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F3A1C" w:rsidRPr="004148C5" w:rsidRDefault="00DF3A1C" w:rsidP="004148C5">
      <w:pPr>
        <w:tabs>
          <w:tab w:val="left" w:pos="2317"/>
        </w:tabs>
        <w:spacing w:line="480" w:lineRule="auto"/>
        <w:jc w:val="center"/>
        <w:rPr>
          <w:b/>
          <w:sz w:val="24"/>
          <w:szCs w:val="24"/>
          <w:u w:val="single"/>
        </w:rPr>
      </w:pPr>
      <w:r w:rsidRPr="004148C5">
        <w:rPr>
          <w:b/>
          <w:sz w:val="24"/>
          <w:szCs w:val="24"/>
          <w:u w:val="single"/>
        </w:rPr>
        <w:t>University of Wales Trinity St. David.</w:t>
      </w:r>
    </w:p>
    <w:p w:rsidR="00DF3A1C" w:rsidRPr="004148C5" w:rsidRDefault="00DF3A1C" w:rsidP="004148C5">
      <w:pPr>
        <w:tabs>
          <w:tab w:val="left" w:pos="2317"/>
        </w:tabs>
        <w:spacing w:line="480" w:lineRule="auto"/>
        <w:jc w:val="both"/>
        <w:rPr>
          <w:sz w:val="24"/>
          <w:szCs w:val="24"/>
        </w:rPr>
      </w:pPr>
    </w:p>
    <w:p w:rsidR="00DF3A1C" w:rsidRPr="004148C5" w:rsidRDefault="00DF3A1C" w:rsidP="004148C5">
      <w:pPr>
        <w:tabs>
          <w:tab w:val="left" w:pos="2317"/>
        </w:tabs>
        <w:spacing w:line="480" w:lineRule="auto"/>
        <w:jc w:val="both"/>
        <w:rPr>
          <w:sz w:val="24"/>
          <w:szCs w:val="24"/>
        </w:rPr>
      </w:pPr>
    </w:p>
    <w:p w:rsidR="002F6D4A" w:rsidRPr="004148C5" w:rsidRDefault="00DF3A1C" w:rsidP="004148C5">
      <w:pPr>
        <w:tabs>
          <w:tab w:val="left" w:pos="2317"/>
        </w:tabs>
        <w:spacing w:line="480" w:lineRule="auto"/>
        <w:jc w:val="center"/>
        <w:rPr>
          <w:b/>
          <w:sz w:val="24"/>
          <w:szCs w:val="24"/>
        </w:rPr>
      </w:pPr>
      <w:r w:rsidRPr="004148C5">
        <w:rPr>
          <w:b/>
          <w:sz w:val="24"/>
          <w:szCs w:val="24"/>
        </w:rPr>
        <w:t>Programme: MSc Policing (Operational and Strategic Leadership).</w:t>
      </w:r>
    </w:p>
    <w:p w:rsidR="00DF3A1C" w:rsidRPr="004148C5" w:rsidRDefault="00DF3A1C" w:rsidP="004148C5">
      <w:pPr>
        <w:tabs>
          <w:tab w:val="left" w:pos="2317"/>
        </w:tabs>
        <w:spacing w:line="480" w:lineRule="auto"/>
        <w:jc w:val="both"/>
        <w:rPr>
          <w:sz w:val="24"/>
          <w:szCs w:val="24"/>
        </w:rPr>
      </w:pPr>
    </w:p>
    <w:p w:rsidR="002F6D4A" w:rsidRPr="004148C5" w:rsidRDefault="002F6D4A" w:rsidP="004148C5">
      <w:pPr>
        <w:tabs>
          <w:tab w:val="left" w:pos="2317"/>
        </w:tabs>
        <w:spacing w:line="480" w:lineRule="auto"/>
        <w:jc w:val="both"/>
        <w:rPr>
          <w:sz w:val="24"/>
          <w:szCs w:val="24"/>
        </w:rPr>
      </w:pPr>
    </w:p>
    <w:p w:rsidR="002F6D4A" w:rsidRPr="004148C5" w:rsidRDefault="002F6D4A" w:rsidP="004148C5">
      <w:pPr>
        <w:tabs>
          <w:tab w:val="left" w:pos="2317"/>
        </w:tabs>
        <w:spacing w:line="480" w:lineRule="auto"/>
        <w:jc w:val="both"/>
        <w:rPr>
          <w:sz w:val="24"/>
          <w:szCs w:val="24"/>
        </w:rPr>
      </w:pPr>
      <w:r w:rsidRPr="004148C5">
        <w:rPr>
          <w:b/>
          <w:sz w:val="24"/>
          <w:szCs w:val="24"/>
        </w:rPr>
        <w:t>Assignment:</w:t>
      </w:r>
      <w:r w:rsidRPr="004148C5">
        <w:rPr>
          <w:sz w:val="24"/>
          <w:szCs w:val="24"/>
        </w:rPr>
        <w:t xml:space="preserve"> </w:t>
      </w:r>
      <w:r w:rsidRPr="004148C5">
        <w:rPr>
          <w:sz w:val="24"/>
          <w:szCs w:val="24"/>
        </w:rPr>
        <w:tab/>
        <w:t>Corporate Governance in Policing</w:t>
      </w:r>
    </w:p>
    <w:p w:rsidR="002F6D4A" w:rsidRPr="004148C5" w:rsidRDefault="002F6D4A" w:rsidP="004148C5">
      <w:pPr>
        <w:tabs>
          <w:tab w:val="left" w:pos="2317"/>
        </w:tabs>
        <w:spacing w:line="480" w:lineRule="auto"/>
        <w:jc w:val="both"/>
        <w:rPr>
          <w:sz w:val="24"/>
          <w:szCs w:val="24"/>
        </w:rPr>
      </w:pPr>
      <w:r w:rsidRPr="004148C5">
        <w:rPr>
          <w:b/>
          <w:sz w:val="24"/>
          <w:szCs w:val="24"/>
        </w:rPr>
        <w:t>Course Code:</w:t>
      </w:r>
      <w:r w:rsidRPr="004148C5">
        <w:rPr>
          <w:sz w:val="24"/>
          <w:szCs w:val="24"/>
        </w:rPr>
        <w:t xml:space="preserve"> </w:t>
      </w:r>
      <w:r w:rsidRPr="004148C5">
        <w:rPr>
          <w:sz w:val="24"/>
          <w:szCs w:val="24"/>
        </w:rPr>
        <w:tab/>
        <w:t>BMPO7002</w:t>
      </w:r>
    </w:p>
    <w:p w:rsidR="00DF3A1C" w:rsidRPr="004148C5" w:rsidRDefault="00DF3A1C" w:rsidP="004148C5">
      <w:pPr>
        <w:tabs>
          <w:tab w:val="left" w:pos="2317"/>
        </w:tabs>
        <w:spacing w:line="480" w:lineRule="auto"/>
        <w:jc w:val="both"/>
        <w:rPr>
          <w:sz w:val="24"/>
          <w:szCs w:val="24"/>
        </w:rPr>
      </w:pPr>
    </w:p>
    <w:p w:rsidR="00DF3A1C" w:rsidRPr="004148C5" w:rsidRDefault="00DF3A1C" w:rsidP="004148C5">
      <w:pPr>
        <w:tabs>
          <w:tab w:val="left" w:pos="2317"/>
        </w:tabs>
        <w:spacing w:line="480" w:lineRule="auto"/>
        <w:jc w:val="both"/>
        <w:rPr>
          <w:sz w:val="24"/>
          <w:szCs w:val="24"/>
        </w:rPr>
      </w:pPr>
    </w:p>
    <w:p w:rsidR="00DF3A1C" w:rsidRPr="004148C5" w:rsidRDefault="00DF3A1C" w:rsidP="004148C5">
      <w:pPr>
        <w:tabs>
          <w:tab w:val="left" w:pos="2317"/>
        </w:tabs>
        <w:spacing w:line="480" w:lineRule="auto"/>
        <w:jc w:val="both"/>
        <w:rPr>
          <w:b/>
          <w:sz w:val="24"/>
          <w:szCs w:val="24"/>
        </w:rPr>
      </w:pPr>
      <w:r w:rsidRPr="004148C5">
        <w:rPr>
          <w:b/>
          <w:sz w:val="24"/>
          <w:szCs w:val="24"/>
        </w:rPr>
        <w:t>Submitted by</w:t>
      </w:r>
    </w:p>
    <w:p w:rsidR="00DF3A1C" w:rsidRPr="004148C5" w:rsidRDefault="00DF3A1C" w:rsidP="004148C5">
      <w:pPr>
        <w:tabs>
          <w:tab w:val="left" w:pos="2317"/>
        </w:tabs>
        <w:spacing w:line="480" w:lineRule="auto"/>
        <w:jc w:val="both"/>
        <w:rPr>
          <w:sz w:val="24"/>
          <w:szCs w:val="24"/>
        </w:rPr>
      </w:pPr>
      <w:r w:rsidRPr="004148C5">
        <w:rPr>
          <w:b/>
          <w:sz w:val="24"/>
          <w:szCs w:val="24"/>
        </w:rPr>
        <w:t>Name:</w:t>
      </w:r>
      <w:r w:rsidRPr="004148C5">
        <w:rPr>
          <w:sz w:val="24"/>
          <w:szCs w:val="24"/>
        </w:rPr>
        <w:t xml:space="preserve"> </w:t>
      </w:r>
      <w:r w:rsidRPr="004148C5">
        <w:rPr>
          <w:sz w:val="24"/>
          <w:szCs w:val="24"/>
        </w:rPr>
        <w:tab/>
        <w:t>Justin Evans</w:t>
      </w:r>
    </w:p>
    <w:p w:rsidR="00DF3A1C" w:rsidRPr="004148C5" w:rsidRDefault="00DF3A1C" w:rsidP="004148C5">
      <w:pPr>
        <w:tabs>
          <w:tab w:val="left" w:pos="2317"/>
        </w:tabs>
        <w:spacing w:line="480" w:lineRule="auto"/>
        <w:jc w:val="both"/>
        <w:rPr>
          <w:sz w:val="24"/>
          <w:szCs w:val="24"/>
        </w:rPr>
      </w:pPr>
      <w:r w:rsidRPr="004148C5">
        <w:rPr>
          <w:b/>
          <w:sz w:val="24"/>
          <w:szCs w:val="24"/>
        </w:rPr>
        <w:t>Student no:</w:t>
      </w:r>
      <w:r w:rsidRPr="004148C5">
        <w:rPr>
          <w:sz w:val="24"/>
          <w:szCs w:val="24"/>
        </w:rPr>
        <w:tab/>
        <w:t>2016153</w:t>
      </w:r>
    </w:p>
    <w:p w:rsidR="002F6D4A" w:rsidRPr="004148C5" w:rsidRDefault="00DF3A1C" w:rsidP="004148C5">
      <w:pPr>
        <w:tabs>
          <w:tab w:val="left" w:pos="2317"/>
        </w:tabs>
        <w:spacing w:line="480" w:lineRule="auto"/>
        <w:jc w:val="both"/>
        <w:rPr>
          <w:sz w:val="24"/>
          <w:szCs w:val="24"/>
        </w:rPr>
      </w:pPr>
      <w:r w:rsidRPr="004148C5">
        <w:rPr>
          <w:b/>
          <w:sz w:val="24"/>
          <w:szCs w:val="24"/>
        </w:rPr>
        <w:t>Date:</w:t>
      </w:r>
      <w:r w:rsidRPr="004148C5">
        <w:rPr>
          <w:sz w:val="24"/>
          <w:szCs w:val="24"/>
        </w:rPr>
        <w:tab/>
        <w:t>9</w:t>
      </w:r>
      <w:r w:rsidRPr="004148C5">
        <w:rPr>
          <w:sz w:val="24"/>
          <w:szCs w:val="24"/>
          <w:vertAlign w:val="superscript"/>
        </w:rPr>
        <w:t>th</w:t>
      </w:r>
      <w:r w:rsidRPr="004148C5">
        <w:rPr>
          <w:sz w:val="24"/>
          <w:szCs w:val="24"/>
        </w:rPr>
        <w:t xml:space="preserve"> April 2021</w:t>
      </w:r>
      <w:r w:rsidRPr="004148C5">
        <w:rPr>
          <w:sz w:val="24"/>
          <w:szCs w:val="24"/>
        </w:rPr>
        <w:tab/>
      </w:r>
      <w:r w:rsidRPr="004148C5">
        <w:rPr>
          <w:sz w:val="24"/>
          <w:szCs w:val="24"/>
        </w:rPr>
        <w:tab/>
      </w:r>
      <w:r w:rsidRPr="004148C5">
        <w:rPr>
          <w:sz w:val="24"/>
          <w:szCs w:val="24"/>
        </w:rPr>
        <w:tab/>
      </w:r>
      <w:r w:rsidR="002F6D4A" w:rsidRPr="004148C5">
        <w:rPr>
          <w:sz w:val="24"/>
          <w:szCs w:val="24"/>
        </w:rPr>
        <w:br w:type="page"/>
      </w:r>
    </w:p>
    <w:p w:rsidR="00D57BEB" w:rsidRPr="004148C5" w:rsidRDefault="00494470" w:rsidP="004148C5">
      <w:pPr>
        <w:tabs>
          <w:tab w:val="left" w:pos="2317"/>
        </w:tabs>
        <w:spacing w:line="480" w:lineRule="auto"/>
        <w:jc w:val="both"/>
        <w:rPr>
          <w:sz w:val="24"/>
          <w:szCs w:val="24"/>
        </w:rPr>
      </w:pPr>
      <w:r w:rsidRPr="004148C5">
        <w:rPr>
          <w:sz w:val="24"/>
          <w:szCs w:val="24"/>
        </w:rPr>
        <w:lastRenderedPageBreak/>
        <w:t>A r</w:t>
      </w:r>
      <w:r w:rsidR="00D57BEB" w:rsidRPr="004148C5">
        <w:rPr>
          <w:sz w:val="24"/>
          <w:szCs w:val="24"/>
        </w:rPr>
        <w:t xml:space="preserve">eview of academic literature provides countless definitions of </w:t>
      </w:r>
      <w:r w:rsidR="00FD65C9">
        <w:rPr>
          <w:sz w:val="24"/>
          <w:szCs w:val="24"/>
        </w:rPr>
        <w:t>the term ‘</w:t>
      </w:r>
      <w:r w:rsidR="00D57BEB" w:rsidRPr="004148C5">
        <w:rPr>
          <w:sz w:val="24"/>
          <w:szCs w:val="24"/>
        </w:rPr>
        <w:t>governance</w:t>
      </w:r>
      <w:r w:rsidR="00FD65C9">
        <w:rPr>
          <w:sz w:val="24"/>
          <w:szCs w:val="24"/>
        </w:rPr>
        <w:t>’</w:t>
      </w:r>
      <w:r w:rsidR="00D57BEB" w:rsidRPr="004148C5">
        <w:rPr>
          <w:sz w:val="24"/>
          <w:szCs w:val="24"/>
        </w:rPr>
        <w:t xml:space="preserve">. </w:t>
      </w:r>
      <w:proofErr w:type="spellStart"/>
      <w:r w:rsidR="00D57BEB" w:rsidRPr="004148C5">
        <w:rPr>
          <w:sz w:val="24"/>
          <w:szCs w:val="24"/>
        </w:rPr>
        <w:t>Bevir</w:t>
      </w:r>
      <w:proofErr w:type="spellEnd"/>
      <w:r w:rsidR="00D57BEB" w:rsidRPr="004148C5">
        <w:rPr>
          <w:sz w:val="24"/>
          <w:szCs w:val="24"/>
        </w:rPr>
        <w:t xml:space="preserve"> </w:t>
      </w:r>
      <w:sdt>
        <w:sdtPr>
          <w:rPr>
            <w:sz w:val="24"/>
            <w:szCs w:val="24"/>
          </w:rPr>
          <w:id w:val="-1232159771"/>
          <w:citation/>
        </w:sdtPr>
        <w:sdtContent>
          <w:r w:rsidR="00D57BEB" w:rsidRPr="004148C5">
            <w:rPr>
              <w:sz w:val="24"/>
              <w:szCs w:val="24"/>
            </w:rPr>
            <w:fldChar w:fldCharType="begin"/>
          </w:r>
          <w:r w:rsidR="00D57BEB" w:rsidRPr="004148C5">
            <w:rPr>
              <w:sz w:val="24"/>
              <w:szCs w:val="24"/>
            </w:rPr>
            <w:instrText xml:space="preserve">CITATION Bev11 \n  \l 2057 </w:instrText>
          </w:r>
          <w:r w:rsidR="00D57BEB" w:rsidRPr="004148C5">
            <w:rPr>
              <w:sz w:val="24"/>
              <w:szCs w:val="24"/>
            </w:rPr>
            <w:fldChar w:fldCharType="separate"/>
          </w:r>
          <w:r w:rsidR="00D57BEB" w:rsidRPr="004148C5">
            <w:rPr>
              <w:noProof/>
              <w:sz w:val="24"/>
              <w:szCs w:val="24"/>
            </w:rPr>
            <w:t>(2011)</w:t>
          </w:r>
          <w:r w:rsidR="00D57BEB" w:rsidRPr="004148C5">
            <w:rPr>
              <w:sz w:val="24"/>
              <w:szCs w:val="24"/>
            </w:rPr>
            <w:fldChar w:fldCharType="end"/>
          </w:r>
        </w:sdtContent>
      </w:sdt>
      <w:r w:rsidR="00D57BEB" w:rsidRPr="004148C5">
        <w:rPr>
          <w:sz w:val="24"/>
          <w:szCs w:val="24"/>
        </w:rPr>
        <w:t xml:space="preserve"> described governance as all processes of governing regardless of who undertakes it or how they deliver it, but that it differs from government in that it focusses on interactions and activities rather than institutions or the state. For Fukuyama  </w:t>
      </w:r>
      <w:sdt>
        <w:sdtPr>
          <w:rPr>
            <w:sz w:val="24"/>
            <w:szCs w:val="24"/>
          </w:rPr>
          <w:id w:val="-581675206"/>
          <w:citation/>
        </w:sdtPr>
        <w:sdtContent>
          <w:r w:rsidR="00D57BEB" w:rsidRPr="004148C5">
            <w:rPr>
              <w:sz w:val="24"/>
              <w:szCs w:val="24"/>
            </w:rPr>
            <w:fldChar w:fldCharType="begin"/>
          </w:r>
          <w:r w:rsidR="00D57BEB" w:rsidRPr="004148C5">
            <w:rPr>
              <w:sz w:val="24"/>
              <w:szCs w:val="24"/>
            </w:rPr>
            <w:instrText xml:space="preserve">CITATION Fuk13 \n  \l 2057 </w:instrText>
          </w:r>
          <w:r w:rsidR="00D57BEB" w:rsidRPr="004148C5">
            <w:rPr>
              <w:sz w:val="24"/>
              <w:szCs w:val="24"/>
            </w:rPr>
            <w:fldChar w:fldCharType="separate"/>
          </w:r>
          <w:r w:rsidR="00D57BEB" w:rsidRPr="004148C5">
            <w:rPr>
              <w:noProof/>
              <w:sz w:val="24"/>
              <w:szCs w:val="24"/>
            </w:rPr>
            <w:t>(2013)</w:t>
          </w:r>
          <w:r w:rsidR="00D57BEB" w:rsidRPr="004148C5">
            <w:rPr>
              <w:sz w:val="24"/>
              <w:szCs w:val="24"/>
            </w:rPr>
            <w:fldChar w:fldCharType="end"/>
          </w:r>
        </w:sdtContent>
      </w:sdt>
      <w:r w:rsidR="00D57BEB" w:rsidRPr="004148C5">
        <w:rPr>
          <w:sz w:val="24"/>
          <w:szCs w:val="24"/>
        </w:rPr>
        <w:t xml:space="preserve"> however, governance is defined by a government’s ability to ensure that rule is maintained and that services are delivered, and is not to be confused with democracy. Cadbury </w:t>
      </w:r>
      <w:sdt>
        <w:sdtPr>
          <w:rPr>
            <w:sz w:val="24"/>
            <w:szCs w:val="24"/>
          </w:rPr>
          <w:id w:val="1475252248"/>
          <w:citation/>
        </w:sdtPr>
        <w:sdtContent>
          <w:r w:rsidR="00D57BEB" w:rsidRPr="004148C5">
            <w:rPr>
              <w:sz w:val="24"/>
              <w:szCs w:val="24"/>
            </w:rPr>
            <w:fldChar w:fldCharType="begin"/>
          </w:r>
          <w:r w:rsidR="00D57BEB" w:rsidRPr="004148C5">
            <w:rPr>
              <w:sz w:val="24"/>
              <w:szCs w:val="24"/>
            </w:rPr>
            <w:instrText xml:space="preserve">CITATION Cad02 \n  \l 2057 </w:instrText>
          </w:r>
          <w:r w:rsidR="00D57BEB" w:rsidRPr="004148C5">
            <w:rPr>
              <w:sz w:val="24"/>
              <w:szCs w:val="24"/>
            </w:rPr>
            <w:fldChar w:fldCharType="separate"/>
          </w:r>
          <w:r w:rsidR="00D57BEB" w:rsidRPr="004148C5">
            <w:rPr>
              <w:noProof/>
              <w:sz w:val="24"/>
              <w:szCs w:val="24"/>
            </w:rPr>
            <w:t>(2002)</w:t>
          </w:r>
          <w:r w:rsidR="00D57BEB" w:rsidRPr="004148C5">
            <w:rPr>
              <w:sz w:val="24"/>
              <w:szCs w:val="24"/>
            </w:rPr>
            <w:fldChar w:fldCharType="end"/>
          </w:r>
        </w:sdtContent>
      </w:sdt>
      <w:r w:rsidR="00D57BEB" w:rsidRPr="004148C5">
        <w:rPr>
          <w:sz w:val="24"/>
          <w:szCs w:val="24"/>
        </w:rPr>
        <w:t xml:space="preserve"> described governance as ‘the system by which companies are directed and controlled’ </w:t>
      </w:r>
      <w:sdt>
        <w:sdtPr>
          <w:rPr>
            <w:sz w:val="24"/>
            <w:szCs w:val="24"/>
          </w:rPr>
          <w:id w:val="-1371601283"/>
          <w:citation/>
        </w:sdtPr>
        <w:sdtContent>
          <w:r w:rsidR="00D57BEB" w:rsidRPr="004148C5">
            <w:rPr>
              <w:sz w:val="24"/>
              <w:szCs w:val="24"/>
            </w:rPr>
            <w:fldChar w:fldCharType="begin"/>
          </w:r>
          <w:r w:rsidR="00D57BEB" w:rsidRPr="004148C5">
            <w:rPr>
              <w:sz w:val="24"/>
              <w:szCs w:val="24"/>
            </w:rPr>
            <w:instrText xml:space="preserve">CITATION Cad02 \p 1 \l 2057 </w:instrText>
          </w:r>
          <w:r w:rsidR="00D57BEB" w:rsidRPr="004148C5">
            <w:rPr>
              <w:sz w:val="24"/>
              <w:szCs w:val="24"/>
            </w:rPr>
            <w:fldChar w:fldCharType="separate"/>
          </w:r>
          <w:r w:rsidR="00D57BEB" w:rsidRPr="004148C5">
            <w:rPr>
              <w:noProof/>
              <w:sz w:val="24"/>
              <w:szCs w:val="24"/>
            </w:rPr>
            <w:t>(Cadbury, 2002, p. 1)</w:t>
          </w:r>
          <w:r w:rsidR="00D57BEB" w:rsidRPr="004148C5">
            <w:rPr>
              <w:sz w:val="24"/>
              <w:szCs w:val="24"/>
            </w:rPr>
            <w:fldChar w:fldCharType="end"/>
          </w:r>
        </w:sdtContent>
      </w:sdt>
      <w:r w:rsidR="00D57BEB" w:rsidRPr="004148C5">
        <w:rPr>
          <w:sz w:val="24"/>
          <w:szCs w:val="24"/>
        </w:rPr>
        <w:t xml:space="preserve">. From reviewing the literature, there are several </w:t>
      </w:r>
      <w:r w:rsidR="004148C5">
        <w:rPr>
          <w:sz w:val="24"/>
          <w:szCs w:val="24"/>
        </w:rPr>
        <w:t>recurring elements</w:t>
      </w:r>
      <w:r w:rsidR="00D57BEB" w:rsidRPr="004148C5">
        <w:rPr>
          <w:sz w:val="24"/>
          <w:szCs w:val="24"/>
        </w:rPr>
        <w:t xml:space="preserve"> that apply to each of the definitions. The first is the importance of systems and structures that exist between each of the actors, and the second that the systems operate within constraints such </w:t>
      </w:r>
      <w:r w:rsidR="00EF5833">
        <w:rPr>
          <w:sz w:val="24"/>
          <w:szCs w:val="24"/>
        </w:rPr>
        <w:t xml:space="preserve">as </w:t>
      </w:r>
      <w:r w:rsidR="00D57BEB" w:rsidRPr="004148C5">
        <w:rPr>
          <w:sz w:val="24"/>
          <w:szCs w:val="24"/>
        </w:rPr>
        <w:t xml:space="preserve">law, statute, terms of reference or public opinion. The term governance derives from the ancient Latin word </w:t>
      </w:r>
      <w:r w:rsidR="00143A93">
        <w:rPr>
          <w:sz w:val="24"/>
          <w:szCs w:val="24"/>
        </w:rPr>
        <w:t>‘</w:t>
      </w:r>
      <w:proofErr w:type="spellStart"/>
      <w:r w:rsidR="00D57BEB" w:rsidRPr="004148C5">
        <w:rPr>
          <w:sz w:val="24"/>
          <w:szCs w:val="24"/>
        </w:rPr>
        <w:t>gubernare</w:t>
      </w:r>
      <w:proofErr w:type="spellEnd"/>
      <w:r w:rsidR="00143A93">
        <w:rPr>
          <w:sz w:val="24"/>
          <w:szCs w:val="24"/>
        </w:rPr>
        <w:t xml:space="preserve">’ </w:t>
      </w:r>
      <w:r w:rsidR="00D57BEB" w:rsidRPr="004148C5">
        <w:rPr>
          <w:sz w:val="24"/>
          <w:szCs w:val="24"/>
        </w:rPr>
        <w:t xml:space="preserve">– meaning the activity of </w:t>
      </w:r>
      <w:r w:rsidR="00D57BEB" w:rsidRPr="004148C5">
        <w:rPr>
          <w:rFonts w:cstheme="minorHAnsi"/>
          <w:sz w:val="24"/>
          <w:szCs w:val="24"/>
        </w:rPr>
        <w:t>steering a ship. When considering governance issues it is useful to further consider the words of Cicero. The Roman statesman, scholar, lawyer and writer stated that ‘h</w:t>
      </w:r>
      <w:r w:rsidR="00D57BEB" w:rsidRPr="004148C5">
        <w:rPr>
          <w:rFonts w:cstheme="minorHAnsi"/>
          <w:color w:val="000000"/>
          <w:sz w:val="24"/>
          <w:szCs w:val="24"/>
          <w:shd w:val="clear" w:color="auto" w:fill="FFFFFF"/>
        </w:rPr>
        <w:t>e that governs sits quietly at the stern and scarce is seen to stir’</w:t>
      </w:r>
      <w:r w:rsidR="00D57BEB" w:rsidRPr="004148C5">
        <w:rPr>
          <w:rFonts w:cstheme="minorHAnsi"/>
          <w:sz w:val="24"/>
          <w:szCs w:val="24"/>
        </w:rPr>
        <w:t xml:space="preserve"> </w:t>
      </w:r>
      <w:sdt>
        <w:sdtPr>
          <w:rPr>
            <w:rFonts w:cstheme="minorHAnsi"/>
            <w:sz w:val="24"/>
            <w:szCs w:val="24"/>
          </w:rPr>
          <w:id w:val="-411389691"/>
          <w:citation/>
        </w:sdtPr>
        <w:sdtContent>
          <w:r w:rsidR="00D57BEB" w:rsidRPr="004148C5">
            <w:rPr>
              <w:rFonts w:cstheme="minorHAnsi"/>
              <w:sz w:val="24"/>
              <w:szCs w:val="24"/>
            </w:rPr>
            <w:fldChar w:fldCharType="begin"/>
          </w:r>
          <w:r w:rsidR="00D57BEB" w:rsidRPr="004148C5">
            <w:rPr>
              <w:rFonts w:cstheme="minorHAnsi"/>
              <w:sz w:val="24"/>
              <w:szCs w:val="24"/>
            </w:rPr>
            <w:instrText xml:space="preserve">CITATION Cad02 \p 1 \l 2057 </w:instrText>
          </w:r>
          <w:r w:rsidR="00D57BEB" w:rsidRPr="004148C5">
            <w:rPr>
              <w:rFonts w:cstheme="minorHAnsi"/>
              <w:sz w:val="24"/>
              <w:szCs w:val="24"/>
            </w:rPr>
            <w:fldChar w:fldCharType="separate"/>
          </w:r>
          <w:r w:rsidR="00D57BEB" w:rsidRPr="004148C5">
            <w:rPr>
              <w:rFonts w:cstheme="minorHAnsi"/>
              <w:noProof/>
              <w:sz w:val="24"/>
              <w:szCs w:val="24"/>
            </w:rPr>
            <w:t>(Cadbury, 2002, p. 1)</w:t>
          </w:r>
          <w:r w:rsidR="00D57BEB" w:rsidRPr="004148C5">
            <w:rPr>
              <w:rFonts w:cstheme="minorHAnsi"/>
              <w:sz w:val="24"/>
              <w:szCs w:val="24"/>
            </w:rPr>
            <w:fldChar w:fldCharType="end"/>
          </w:r>
        </w:sdtContent>
      </w:sdt>
      <w:r w:rsidR="00D57BEB" w:rsidRPr="004148C5">
        <w:rPr>
          <w:rFonts w:cstheme="minorHAnsi"/>
          <w:sz w:val="24"/>
          <w:szCs w:val="24"/>
        </w:rPr>
        <w:t xml:space="preserve">. This is taken to mean that governance need not be forceful and that the ship can be steered without unnecessary interjection from the Governor. </w:t>
      </w:r>
      <w:r w:rsidR="006A094D">
        <w:rPr>
          <w:rFonts w:cstheme="minorHAnsi"/>
          <w:sz w:val="24"/>
          <w:szCs w:val="24"/>
        </w:rPr>
        <w:t>Early recognition of g</w:t>
      </w:r>
      <w:r w:rsidR="00D57BEB" w:rsidRPr="004148C5">
        <w:rPr>
          <w:rFonts w:cstheme="minorHAnsi"/>
          <w:sz w:val="24"/>
          <w:szCs w:val="24"/>
        </w:rPr>
        <w:t xml:space="preserve">overnance as a concept is heralded from the ancient Greek assemblies which allowed the community to effectively govern itself, with the rule of law introduced and powers limited through the creation of the republic </w:t>
      </w:r>
      <w:sdt>
        <w:sdtPr>
          <w:rPr>
            <w:rFonts w:cstheme="minorHAnsi"/>
            <w:sz w:val="24"/>
            <w:szCs w:val="24"/>
          </w:rPr>
          <w:id w:val="-1479521355"/>
          <w:citation/>
        </w:sdtPr>
        <w:sdtContent>
          <w:r w:rsidR="00D57BEB" w:rsidRPr="004148C5">
            <w:rPr>
              <w:rFonts w:cstheme="minorHAnsi"/>
              <w:sz w:val="24"/>
              <w:szCs w:val="24"/>
            </w:rPr>
            <w:fldChar w:fldCharType="begin"/>
          </w:r>
          <w:r w:rsidR="00D57BEB" w:rsidRPr="004148C5">
            <w:rPr>
              <w:rFonts w:cstheme="minorHAnsi"/>
              <w:sz w:val="24"/>
              <w:szCs w:val="24"/>
            </w:rPr>
            <w:instrText xml:space="preserve"> CITATION Qui11 \l 2057 </w:instrText>
          </w:r>
          <w:r w:rsidR="00D57BEB" w:rsidRPr="004148C5">
            <w:rPr>
              <w:rFonts w:cstheme="minorHAnsi"/>
              <w:sz w:val="24"/>
              <w:szCs w:val="24"/>
            </w:rPr>
            <w:fldChar w:fldCharType="separate"/>
          </w:r>
          <w:r w:rsidR="00D57BEB" w:rsidRPr="004148C5">
            <w:rPr>
              <w:rFonts w:cstheme="minorHAnsi"/>
              <w:noProof/>
              <w:sz w:val="24"/>
              <w:szCs w:val="24"/>
            </w:rPr>
            <w:t>(Quirk, 2011)</w:t>
          </w:r>
          <w:r w:rsidR="00D57BEB" w:rsidRPr="004148C5">
            <w:rPr>
              <w:rFonts w:cstheme="minorHAnsi"/>
              <w:sz w:val="24"/>
              <w:szCs w:val="24"/>
            </w:rPr>
            <w:fldChar w:fldCharType="end"/>
          </w:r>
        </w:sdtContent>
      </w:sdt>
      <w:r w:rsidR="00D57BEB" w:rsidRPr="004148C5">
        <w:rPr>
          <w:rFonts w:cstheme="minorHAnsi"/>
          <w:sz w:val="24"/>
          <w:szCs w:val="24"/>
        </w:rPr>
        <w:t>.</w:t>
      </w:r>
    </w:p>
    <w:p w:rsidR="00D57BEB" w:rsidRPr="004148C5" w:rsidRDefault="00D57BEB" w:rsidP="005204C9">
      <w:pPr>
        <w:tabs>
          <w:tab w:val="left" w:pos="2317"/>
        </w:tabs>
        <w:spacing w:line="480" w:lineRule="auto"/>
        <w:jc w:val="both"/>
        <w:rPr>
          <w:sz w:val="24"/>
          <w:szCs w:val="24"/>
        </w:rPr>
      </w:pPr>
      <w:r w:rsidRPr="004148C5">
        <w:rPr>
          <w:sz w:val="24"/>
          <w:szCs w:val="24"/>
        </w:rPr>
        <w:t xml:space="preserve">Different organisations in different sectors are governed in different ways and any organisation will function as an element of the wider external environment. Factors or constraints that effect the organisation include technology, economy, social activity, government actions, corporate responsibility and ethical behaviour. The rate at which these issues change means that any examination of governance must include those processes by </w:t>
      </w:r>
      <w:r w:rsidRPr="004148C5">
        <w:rPr>
          <w:sz w:val="24"/>
          <w:szCs w:val="24"/>
        </w:rPr>
        <w:lastRenderedPageBreak/>
        <w:t xml:space="preserve">which an organisation adapts to these external pressures </w:t>
      </w:r>
      <w:sdt>
        <w:sdtPr>
          <w:rPr>
            <w:sz w:val="24"/>
            <w:szCs w:val="24"/>
          </w:rPr>
          <w:id w:val="-1505975073"/>
          <w:citation/>
        </w:sdtPr>
        <w:sdtContent>
          <w:r w:rsidRPr="004148C5">
            <w:rPr>
              <w:sz w:val="24"/>
              <w:szCs w:val="24"/>
            </w:rPr>
            <w:fldChar w:fldCharType="begin"/>
          </w:r>
          <w:r w:rsidRPr="004148C5">
            <w:rPr>
              <w:sz w:val="24"/>
              <w:szCs w:val="24"/>
            </w:rPr>
            <w:instrText xml:space="preserve"> CITATION Mul13 \l 2057 </w:instrText>
          </w:r>
          <w:r w:rsidRPr="004148C5">
            <w:rPr>
              <w:sz w:val="24"/>
              <w:szCs w:val="24"/>
            </w:rPr>
            <w:fldChar w:fldCharType="separate"/>
          </w:r>
          <w:r w:rsidRPr="004148C5">
            <w:rPr>
              <w:noProof/>
              <w:sz w:val="24"/>
              <w:szCs w:val="24"/>
            </w:rPr>
            <w:t>(Mullins, 2019)</w:t>
          </w:r>
          <w:r w:rsidRPr="004148C5">
            <w:rPr>
              <w:sz w:val="24"/>
              <w:szCs w:val="24"/>
            </w:rPr>
            <w:fldChar w:fldCharType="end"/>
          </w:r>
        </w:sdtContent>
      </w:sdt>
      <w:r w:rsidRPr="004148C5">
        <w:rPr>
          <w:sz w:val="24"/>
          <w:szCs w:val="24"/>
        </w:rPr>
        <w:t>.</w:t>
      </w:r>
      <w:r w:rsidR="005204C9">
        <w:rPr>
          <w:sz w:val="24"/>
          <w:szCs w:val="24"/>
        </w:rPr>
        <w:t xml:space="preserve"> </w:t>
      </w:r>
      <w:r w:rsidRPr="004148C5">
        <w:rPr>
          <w:sz w:val="24"/>
          <w:szCs w:val="24"/>
        </w:rPr>
        <w:t xml:space="preserve">For </w:t>
      </w:r>
      <w:proofErr w:type="spellStart"/>
      <w:r w:rsidRPr="004148C5">
        <w:rPr>
          <w:sz w:val="24"/>
          <w:szCs w:val="24"/>
        </w:rPr>
        <w:t>Bovaird</w:t>
      </w:r>
      <w:proofErr w:type="spellEnd"/>
      <w:r w:rsidRPr="004148C5">
        <w:rPr>
          <w:sz w:val="24"/>
          <w:szCs w:val="24"/>
        </w:rPr>
        <w:t xml:space="preserve"> and </w:t>
      </w:r>
      <w:proofErr w:type="spellStart"/>
      <w:r w:rsidRPr="004148C5">
        <w:rPr>
          <w:sz w:val="24"/>
          <w:szCs w:val="24"/>
        </w:rPr>
        <w:t>Loefller</w:t>
      </w:r>
      <w:proofErr w:type="spellEnd"/>
      <w:r w:rsidRPr="004148C5">
        <w:rPr>
          <w:sz w:val="24"/>
          <w:szCs w:val="24"/>
        </w:rPr>
        <w:t xml:space="preserve"> </w:t>
      </w:r>
      <w:sdt>
        <w:sdtPr>
          <w:rPr>
            <w:sz w:val="24"/>
            <w:szCs w:val="24"/>
          </w:rPr>
          <w:id w:val="-1482309897"/>
          <w:citation/>
        </w:sdtPr>
        <w:sdtContent>
          <w:r w:rsidRPr="004148C5">
            <w:rPr>
              <w:sz w:val="24"/>
              <w:szCs w:val="24"/>
            </w:rPr>
            <w:fldChar w:fldCharType="begin"/>
          </w:r>
          <w:r w:rsidRPr="004148C5">
            <w:rPr>
              <w:sz w:val="24"/>
              <w:szCs w:val="24"/>
            </w:rPr>
            <w:instrText xml:space="preserve">CITATION Bov15 \n  \l 2057 </w:instrText>
          </w:r>
          <w:r w:rsidRPr="004148C5">
            <w:rPr>
              <w:sz w:val="24"/>
              <w:szCs w:val="24"/>
            </w:rPr>
            <w:fldChar w:fldCharType="separate"/>
          </w:r>
          <w:r w:rsidRPr="004148C5">
            <w:rPr>
              <w:noProof/>
              <w:sz w:val="24"/>
              <w:szCs w:val="24"/>
            </w:rPr>
            <w:t>(2016)</w:t>
          </w:r>
          <w:r w:rsidRPr="004148C5">
            <w:rPr>
              <w:sz w:val="24"/>
              <w:szCs w:val="24"/>
            </w:rPr>
            <w:fldChar w:fldCharType="end"/>
          </w:r>
        </w:sdtContent>
      </w:sdt>
      <w:r w:rsidRPr="004148C5">
        <w:rPr>
          <w:sz w:val="24"/>
          <w:szCs w:val="24"/>
        </w:rPr>
        <w:t xml:space="preserve">, governance has evolved through history to include leadership and management alongside structures and processes, and approaches to governance will also differ depending on the type and legal status of an organisation. Those structures and processes that apply to a large, multinational limited company would not apply to a sole trader or general partnership </w:t>
      </w:r>
      <w:sdt>
        <w:sdtPr>
          <w:rPr>
            <w:sz w:val="24"/>
            <w:szCs w:val="24"/>
          </w:rPr>
          <w:id w:val="-1370142533"/>
          <w:citation/>
        </w:sdtPr>
        <w:sdtContent>
          <w:r w:rsidRPr="004148C5">
            <w:rPr>
              <w:sz w:val="24"/>
              <w:szCs w:val="24"/>
            </w:rPr>
            <w:fldChar w:fldCharType="begin"/>
          </w:r>
          <w:r w:rsidRPr="004148C5">
            <w:rPr>
              <w:sz w:val="24"/>
              <w:szCs w:val="24"/>
            </w:rPr>
            <w:instrText xml:space="preserve"> CITATION PWC18 \l 2057 </w:instrText>
          </w:r>
          <w:r w:rsidRPr="004148C5">
            <w:rPr>
              <w:sz w:val="24"/>
              <w:szCs w:val="24"/>
            </w:rPr>
            <w:fldChar w:fldCharType="separate"/>
          </w:r>
          <w:r w:rsidRPr="004148C5">
            <w:rPr>
              <w:noProof/>
              <w:sz w:val="24"/>
              <w:szCs w:val="24"/>
            </w:rPr>
            <w:t>(PWC, 2018)</w:t>
          </w:r>
          <w:r w:rsidRPr="004148C5">
            <w:rPr>
              <w:sz w:val="24"/>
              <w:szCs w:val="24"/>
            </w:rPr>
            <w:fldChar w:fldCharType="end"/>
          </w:r>
        </w:sdtContent>
      </w:sdt>
      <w:r w:rsidRPr="004148C5">
        <w:rPr>
          <w:sz w:val="24"/>
          <w:szCs w:val="24"/>
        </w:rPr>
        <w:t xml:space="preserve">. These differences equally apply when comparing public and private sectors. Government is not like business. Levels of profitability can tell if a business is working, but that is not the case in the public sector </w:t>
      </w:r>
      <w:sdt>
        <w:sdtPr>
          <w:rPr>
            <w:sz w:val="24"/>
            <w:szCs w:val="24"/>
          </w:rPr>
          <w:id w:val="455449314"/>
          <w:citation/>
        </w:sdtPr>
        <w:sdtContent>
          <w:r w:rsidRPr="004148C5">
            <w:rPr>
              <w:sz w:val="24"/>
              <w:szCs w:val="24"/>
            </w:rPr>
            <w:fldChar w:fldCharType="begin"/>
          </w:r>
          <w:r w:rsidRPr="004148C5">
            <w:rPr>
              <w:sz w:val="24"/>
              <w:szCs w:val="24"/>
            </w:rPr>
            <w:instrText xml:space="preserve"> CITATION War15 \l 2057 </w:instrText>
          </w:r>
          <w:r w:rsidRPr="004148C5">
            <w:rPr>
              <w:sz w:val="24"/>
              <w:szCs w:val="24"/>
            </w:rPr>
            <w:fldChar w:fldCharType="separate"/>
          </w:r>
          <w:r w:rsidRPr="004148C5">
            <w:rPr>
              <w:noProof/>
              <w:sz w:val="24"/>
              <w:szCs w:val="24"/>
            </w:rPr>
            <w:t>(Warner, 2015)</w:t>
          </w:r>
          <w:r w:rsidRPr="004148C5">
            <w:rPr>
              <w:sz w:val="24"/>
              <w:szCs w:val="24"/>
            </w:rPr>
            <w:fldChar w:fldCharType="end"/>
          </w:r>
        </w:sdtContent>
      </w:sdt>
      <w:r w:rsidRPr="004148C5">
        <w:rPr>
          <w:sz w:val="24"/>
          <w:szCs w:val="24"/>
        </w:rPr>
        <w:t xml:space="preserve">. It is the case, however; that despite these differences the principles of effective corporate governance apply equally to both entities. Public sector governance arrangements can be far more complex due to the number and nature of the actors involved such as government ministers, agencies and departments, civil servants and the citizen themselves. The Cadbury report </w:t>
      </w:r>
      <w:sdt>
        <w:sdtPr>
          <w:rPr>
            <w:sz w:val="24"/>
            <w:szCs w:val="24"/>
          </w:rPr>
          <w:id w:val="-765464429"/>
          <w:citation/>
        </w:sdtPr>
        <w:sdtContent>
          <w:r w:rsidRPr="004148C5">
            <w:rPr>
              <w:sz w:val="24"/>
              <w:szCs w:val="24"/>
            </w:rPr>
            <w:fldChar w:fldCharType="begin"/>
          </w:r>
          <w:r w:rsidRPr="004148C5">
            <w:rPr>
              <w:sz w:val="24"/>
              <w:szCs w:val="24"/>
            </w:rPr>
            <w:instrText xml:space="preserve">CITATION Cad92 \n  \l 2057 </w:instrText>
          </w:r>
          <w:r w:rsidRPr="004148C5">
            <w:rPr>
              <w:sz w:val="24"/>
              <w:szCs w:val="24"/>
            </w:rPr>
            <w:fldChar w:fldCharType="separate"/>
          </w:r>
          <w:r w:rsidRPr="004148C5">
            <w:rPr>
              <w:noProof/>
              <w:sz w:val="24"/>
              <w:szCs w:val="24"/>
            </w:rPr>
            <w:t>(1992)</w:t>
          </w:r>
          <w:r w:rsidRPr="004148C5">
            <w:rPr>
              <w:sz w:val="24"/>
              <w:szCs w:val="24"/>
            </w:rPr>
            <w:fldChar w:fldCharType="end"/>
          </w:r>
        </w:sdtContent>
      </w:sdt>
      <w:r w:rsidRPr="004148C5">
        <w:rPr>
          <w:sz w:val="24"/>
          <w:szCs w:val="24"/>
        </w:rPr>
        <w:t xml:space="preserve"> identified three vital components of corporate governance: openness, integrity and accountability. It was these broad principles that were used as the foundation for the first public sector corporate governance framework in the UK </w:t>
      </w:r>
      <w:sdt>
        <w:sdtPr>
          <w:rPr>
            <w:sz w:val="24"/>
            <w:szCs w:val="24"/>
          </w:rPr>
          <w:id w:val="-995112459"/>
          <w:citation/>
        </w:sdtPr>
        <w:sdtContent>
          <w:r w:rsidRPr="004148C5">
            <w:rPr>
              <w:sz w:val="24"/>
              <w:szCs w:val="24"/>
            </w:rPr>
            <w:fldChar w:fldCharType="begin"/>
          </w:r>
          <w:r w:rsidRPr="004148C5">
            <w:rPr>
              <w:sz w:val="24"/>
              <w:szCs w:val="24"/>
            </w:rPr>
            <w:instrText xml:space="preserve"> CITATION Anw12 \l 2057 </w:instrText>
          </w:r>
          <w:r w:rsidRPr="004148C5">
            <w:rPr>
              <w:sz w:val="24"/>
              <w:szCs w:val="24"/>
            </w:rPr>
            <w:fldChar w:fldCharType="separate"/>
          </w:r>
          <w:r w:rsidRPr="004148C5">
            <w:rPr>
              <w:noProof/>
              <w:sz w:val="24"/>
              <w:szCs w:val="24"/>
            </w:rPr>
            <w:t>(Anwar, et al., 2012)</w:t>
          </w:r>
          <w:r w:rsidRPr="004148C5">
            <w:rPr>
              <w:sz w:val="24"/>
              <w:szCs w:val="24"/>
            </w:rPr>
            <w:fldChar w:fldCharType="end"/>
          </w:r>
        </w:sdtContent>
      </w:sdt>
      <w:r w:rsidR="005204C9">
        <w:rPr>
          <w:sz w:val="24"/>
          <w:szCs w:val="24"/>
        </w:rPr>
        <w:t xml:space="preserve">, later evolving </w:t>
      </w:r>
      <w:r w:rsidR="005204C9" w:rsidRPr="004148C5">
        <w:rPr>
          <w:sz w:val="24"/>
          <w:szCs w:val="24"/>
        </w:rPr>
        <w:t>into</w:t>
      </w:r>
      <w:r w:rsidR="005204C9">
        <w:rPr>
          <w:sz w:val="24"/>
          <w:szCs w:val="24"/>
        </w:rPr>
        <w:t xml:space="preserve"> the seven principles of public life or ‘Nolan’ principles </w:t>
      </w:r>
      <w:sdt>
        <w:sdtPr>
          <w:rPr>
            <w:sz w:val="24"/>
            <w:szCs w:val="24"/>
          </w:rPr>
          <w:id w:val="108247558"/>
          <w:citation/>
        </w:sdtPr>
        <w:sdtContent>
          <w:r w:rsidR="005204C9">
            <w:rPr>
              <w:sz w:val="24"/>
              <w:szCs w:val="24"/>
            </w:rPr>
            <w:fldChar w:fldCharType="begin"/>
          </w:r>
          <w:r w:rsidR="005204C9">
            <w:rPr>
              <w:sz w:val="24"/>
              <w:szCs w:val="24"/>
            </w:rPr>
            <w:instrText xml:space="preserve"> CITATION Com15 \l 2057 </w:instrText>
          </w:r>
          <w:r w:rsidR="005204C9">
            <w:rPr>
              <w:sz w:val="24"/>
              <w:szCs w:val="24"/>
            </w:rPr>
            <w:fldChar w:fldCharType="separate"/>
          </w:r>
          <w:r w:rsidR="005204C9" w:rsidRPr="005204C9">
            <w:rPr>
              <w:noProof/>
              <w:sz w:val="24"/>
              <w:szCs w:val="24"/>
            </w:rPr>
            <w:t>(Committee on Standards in Public life, 2015)</w:t>
          </w:r>
          <w:r w:rsidR="005204C9">
            <w:rPr>
              <w:sz w:val="24"/>
              <w:szCs w:val="24"/>
            </w:rPr>
            <w:fldChar w:fldCharType="end"/>
          </w:r>
        </w:sdtContent>
      </w:sdt>
      <w:r w:rsidR="005204C9">
        <w:rPr>
          <w:sz w:val="24"/>
          <w:szCs w:val="24"/>
        </w:rPr>
        <w:t xml:space="preserve">. </w:t>
      </w:r>
      <w:r w:rsidRPr="004148C5">
        <w:rPr>
          <w:sz w:val="24"/>
          <w:szCs w:val="24"/>
        </w:rPr>
        <w:t xml:space="preserve">Public governance does not confine itself to results and outputs and is as much about the ethics and the ‘means’ as well as the ‘ends’. </w:t>
      </w:r>
      <w:r w:rsidRPr="004148C5">
        <w:rPr>
          <w:rFonts w:cstheme="minorHAnsi"/>
          <w:sz w:val="24"/>
          <w:szCs w:val="24"/>
        </w:rPr>
        <w:t xml:space="preserve">Organisations exist within wider society and as such are required to balance their success against the standards set by that society. In 1995 the oil company Shell planned to dispose of a disused oil platform in the sea off the coast of Scotland. This decision was reached after 3 years of discussion with the government, and was decreed as being legal, agreed by the government and considered the best environmental course of action. This was due to cost the company £4.5 million. The environmental campaign group Greenpeace occupied the platform, resulting in increased </w:t>
      </w:r>
      <w:r w:rsidRPr="004148C5">
        <w:rPr>
          <w:rFonts w:cstheme="minorHAnsi"/>
          <w:sz w:val="24"/>
          <w:szCs w:val="24"/>
        </w:rPr>
        <w:lastRenderedPageBreak/>
        <w:t>media coverage which in turn led to a boycott of Shell petrol stations and a subsequent drop in sales. This led to the platform being recycled as a ferry platform, but not before a decommissioning which cost Shell £43 million. Whist the original plan would have been optimum for the business in the short term it would have come at a long term cost to legitimacy</w:t>
      </w:r>
      <w:sdt>
        <w:sdtPr>
          <w:rPr>
            <w:rFonts w:cstheme="minorHAnsi"/>
            <w:sz w:val="24"/>
            <w:szCs w:val="24"/>
          </w:rPr>
          <w:id w:val="-1305620867"/>
          <w:citation/>
        </w:sdtPr>
        <w:sdtContent>
          <w:r w:rsidRPr="004148C5">
            <w:rPr>
              <w:rFonts w:cstheme="minorHAnsi"/>
              <w:sz w:val="24"/>
              <w:szCs w:val="24"/>
            </w:rPr>
            <w:fldChar w:fldCharType="begin"/>
          </w:r>
          <w:r w:rsidRPr="004148C5">
            <w:rPr>
              <w:rFonts w:cstheme="minorHAnsi"/>
              <w:sz w:val="24"/>
              <w:szCs w:val="24"/>
            </w:rPr>
            <w:instrText xml:space="preserve"> CITATION Elg17 \l 2057 </w:instrText>
          </w:r>
          <w:r w:rsidRPr="004148C5">
            <w:rPr>
              <w:rFonts w:cstheme="minorHAnsi"/>
              <w:sz w:val="24"/>
              <w:szCs w:val="24"/>
            </w:rPr>
            <w:fldChar w:fldCharType="separate"/>
          </w:r>
          <w:r w:rsidRPr="004148C5">
            <w:rPr>
              <w:rFonts w:cstheme="minorHAnsi"/>
              <w:noProof/>
              <w:sz w:val="24"/>
              <w:szCs w:val="24"/>
            </w:rPr>
            <w:t xml:space="preserve"> (Elgood, 2017)</w:t>
          </w:r>
          <w:r w:rsidRPr="004148C5">
            <w:rPr>
              <w:rFonts w:cstheme="minorHAnsi"/>
              <w:sz w:val="24"/>
              <w:szCs w:val="24"/>
            </w:rPr>
            <w:fldChar w:fldCharType="end"/>
          </w:r>
        </w:sdtContent>
      </w:sdt>
      <w:r w:rsidRPr="004148C5">
        <w:rPr>
          <w:rFonts w:cstheme="minorHAnsi"/>
          <w:sz w:val="24"/>
          <w:szCs w:val="24"/>
        </w:rPr>
        <w:t xml:space="preserve">. </w:t>
      </w:r>
      <w:r w:rsidRPr="004148C5">
        <w:rPr>
          <w:sz w:val="24"/>
          <w:szCs w:val="24"/>
        </w:rPr>
        <w:t xml:space="preserve">Public governance must concern itself with the way agencies and organisations interact to avoid sub optimal results for citizens and stakeholders. The delivery of public services has changed so much in the past fifteen years that there are now many more agencies and departments and therefore public governance has never been so important </w:t>
      </w:r>
      <w:sdt>
        <w:sdtPr>
          <w:rPr>
            <w:sz w:val="24"/>
            <w:szCs w:val="24"/>
          </w:rPr>
          <w:id w:val="1622188597"/>
          <w:citation/>
        </w:sdtPr>
        <w:sdtContent>
          <w:r w:rsidRPr="004148C5">
            <w:rPr>
              <w:sz w:val="24"/>
              <w:szCs w:val="24"/>
            </w:rPr>
            <w:fldChar w:fldCharType="begin"/>
          </w:r>
          <w:r w:rsidRPr="004148C5">
            <w:rPr>
              <w:sz w:val="24"/>
              <w:szCs w:val="24"/>
            </w:rPr>
            <w:instrText xml:space="preserve">CITATION Bov15 \l 2057 </w:instrText>
          </w:r>
          <w:r w:rsidRPr="004148C5">
            <w:rPr>
              <w:sz w:val="24"/>
              <w:szCs w:val="24"/>
            </w:rPr>
            <w:fldChar w:fldCharType="separate"/>
          </w:r>
          <w:r w:rsidRPr="004148C5">
            <w:rPr>
              <w:noProof/>
              <w:sz w:val="24"/>
              <w:szCs w:val="24"/>
            </w:rPr>
            <w:t>(Bovaird &amp; Loeffler, 2016)</w:t>
          </w:r>
          <w:r w:rsidRPr="004148C5">
            <w:rPr>
              <w:sz w:val="24"/>
              <w:szCs w:val="24"/>
            </w:rPr>
            <w:fldChar w:fldCharType="end"/>
          </w:r>
        </w:sdtContent>
      </w:sdt>
      <w:r w:rsidRPr="004148C5">
        <w:rPr>
          <w:sz w:val="24"/>
          <w:szCs w:val="24"/>
        </w:rPr>
        <w:t xml:space="preserve"> </w:t>
      </w:r>
      <w:sdt>
        <w:sdtPr>
          <w:rPr>
            <w:sz w:val="24"/>
            <w:szCs w:val="24"/>
          </w:rPr>
          <w:id w:val="101230030"/>
          <w:citation/>
        </w:sdtPr>
        <w:sdtContent>
          <w:r w:rsidRPr="004148C5">
            <w:rPr>
              <w:sz w:val="24"/>
              <w:szCs w:val="24"/>
            </w:rPr>
            <w:fldChar w:fldCharType="begin"/>
          </w:r>
          <w:r w:rsidRPr="004148C5">
            <w:rPr>
              <w:sz w:val="24"/>
              <w:szCs w:val="24"/>
            </w:rPr>
            <w:instrText xml:space="preserve"> CITATION Cad02 \l 2057 </w:instrText>
          </w:r>
          <w:r w:rsidRPr="004148C5">
            <w:rPr>
              <w:sz w:val="24"/>
              <w:szCs w:val="24"/>
            </w:rPr>
            <w:fldChar w:fldCharType="separate"/>
          </w:r>
          <w:r w:rsidRPr="004148C5">
            <w:rPr>
              <w:noProof/>
              <w:sz w:val="24"/>
              <w:szCs w:val="24"/>
            </w:rPr>
            <w:t>(Cadbury, 2002)</w:t>
          </w:r>
          <w:r w:rsidRPr="004148C5">
            <w:rPr>
              <w:sz w:val="24"/>
              <w:szCs w:val="24"/>
            </w:rPr>
            <w:fldChar w:fldCharType="end"/>
          </w:r>
        </w:sdtContent>
      </w:sdt>
      <w:r w:rsidRPr="004148C5">
        <w:rPr>
          <w:sz w:val="24"/>
          <w:szCs w:val="24"/>
        </w:rPr>
        <w:t>.</w:t>
      </w:r>
    </w:p>
    <w:p w:rsidR="00D57BEB" w:rsidRPr="004148C5" w:rsidRDefault="00D57BEB" w:rsidP="004148C5">
      <w:pPr>
        <w:tabs>
          <w:tab w:val="left" w:pos="2317"/>
        </w:tabs>
        <w:spacing w:line="480" w:lineRule="auto"/>
        <w:jc w:val="both"/>
        <w:rPr>
          <w:sz w:val="24"/>
          <w:szCs w:val="24"/>
        </w:rPr>
      </w:pPr>
      <w:r w:rsidRPr="004148C5">
        <w:rPr>
          <w:sz w:val="24"/>
          <w:szCs w:val="24"/>
        </w:rPr>
        <w:t>This assignment cannot consider each of the governance and accountability structures that touch on policing and wider partnership delivery of public services. Instead, this review will consider the position of the Police and Crime Commissioner</w:t>
      </w:r>
      <w:r w:rsidR="001E4AEE">
        <w:rPr>
          <w:sz w:val="24"/>
          <w:szCs w:val="24"/>
        </w:rPr>
        <w:t xml:space="preserve"> (PCC)</w:t>
      </w:r>
      <w:r w:rsidRPr="004148C5">
        <w:rPr>
          <w:sz w:val="24"/>
          <w:szCs w:val="24"/>
        </w:rPr>
        <w:t xml:space="preserve"> in their provision of governance and accountability arrangements relevant to policing and partners in Wales, alongside where they feature within the wider framework of community safety and crime reduction. This report will not include the professional scrutiny of Police forces by agencies such as her Majesties Inspectorate of Constabulary, Independent Office for Police Conduct or the Audit Commission.</w:t>
      </w:r>
      <w:r w:rsidRPr="004148C5">
        <w:rPr>
          <w:sz w:val="24"/>
          <w:szCs w:val="24"/>
        </w:rPr>
        <w:tab/>
      </w:r>
    </w:p>
    <w:p w:rsidR="00D57BEB" w:rsidRPr="004148C5" w:rsidRDefault="00D57BEB" w:rsidP="004148C5">
      <w:pPr>
        <w:tabs>
          <w:tab w:val="left" w:pos="2317"/>
        </w:tabs>
        <w:spacing w:line="480" w:lineRule="auto"/>
        <w:jc w:val="both"/>
        <w:rPr>
          <w:b/>
          <w:sz w:val="24"/>
          <w:szCs w:val="24"/>
        </w:rPr>
      </w:pPr>
      <w:r w:rsidRPr="004148C5">
        <w:rPr>
          <w:sz w:val="24"/>
          <w:szCs w:val="24"/>
        </w:rPr>
        <w:t xml:space="preserve">Governance and accountability processes have always served a variety of Policing objectives. These include legitimacy, transparency and efficiency which creates capacity within the service to achieve its goals </w:t>
      </w:r>
      <w:sdt>
        <w:sdtPr>
          <w:rPr>
            <w:sz w:val="24"/>
            <w:szCs w:val="24"/>
          </w:rPr>
          <w:id w:val="69472958"/>
          <w:citation/>
        </w:sdtPr>
        <w:sdtContent>
          <w:r w:rsidRPr="004148C5">
            <w:rPr>
              <w:sz w:val="24"/>
              <w:szCs w:val="24"/>
            </w:rPr>
            <w:fldChar w:fldCharType="begin"/>
          </w:r>
          <w:r w:rsidRPr="004148C5">
            <w:rPr>
              <w:sz w:val="24"/>
              <w:szCs w:val="24"/>
            </w:rPr>
            <w:instrText xml:space="preserve"> CITATION Wal11 \l 2057 </w:instrText>
          </w:r>
          <w:r w:rsidRPr="004148C5">
            <w:rPr>
              <w:sz w:val="24"/>
              <w:szCs w:val="24"/>
            </w:rPr>
            <w:fldChar w:fldCharType="separate"/>
          </w:r>
          <w:r w:rsidRPr="004148C5">
            <w:rPr>
              <w:noProof/>
              <w:sz w:val="24"/>
              <w:szCs w:val="24"/>
            </w:rPr>
            <w:t>(Walsh &amp; Conway, 2011)</w:t>
          </w:r>
          <w:r w:rsidRPr="004148C5">
            <w:rPr>
              <w:sz w:val="24"/>
              <w:szCs w:val="24"/>
            </w:rPr>
            <w:fldChar w:fldCharType="end"/>
          </w:r>
        </w:sdtContent>
      </w:sdt>
      <w:r w:rsidRPr="004148C5">
        <w:rPr>
          <w:sz w:val="24"/>
          <w:szCs w:val="24"/>
        </w:rPr>
        <w:t xml:space="preserve">. In an international comparison, policing </w:t>
      </w:r>
      <w:r w:rsidR="001853BE">
        <w:rPr>
          <w:sz w:val="24"/>
          <w:szCs w:val="24"/>
        </w:rPr>
        <w:t xml:space="preserve">(particularly use of force) </w:t>
      </w:r>
      <w:r w:rsidRPr="004148C5">
        <w:rPr>
          <w:sz w:val="24"/>
          <w:szCs w:val="24"/>
        </w:rPr>
        <w:t xml:space="preserve">in the US is under severe scrutiny to reform its structures and processes, and effective governance in Policing remains under the spotlight </w:t>
      </w:r>
      <w:sdt>
        <w:sdtPr>
          <w:rPr>
            <w:sz w:val="24"/>
            <w:szCs w:val="24"/>
          </w:rPr>
          <w:id w:val="-1441530037"/>
          <w:citation/>
        </w:sdtPr>
        <w:sdtContent>
          <w:r w:rsidRPr="004148C5">
            <w:rPr>
              <w:sz w:val="24"/>
              <w:szCs w:val="24"/>
            </w:rPr>
            <w:fldChar w:fldCharType="begin"/>
          </w:r>
          <w:r w:rsidR="002A07C3">
            <w:rPr>
              <w:sz w:val="24"/>
              <w:szCs w:val="24"/>
            </w:rPr>
            <w:instrText xml:space="preserve">CITATION Oba20 \l 2057 </w:instrText>
          </w:r>
          <w:r w:rsidRPr="004148C5">
            <w:rPr>
              <w:sz w:val="24"/>
              <w:szCs w:val="24"/>
            </w:rPr>
            <w:fldChar w:fldCharType="separate"/>
          </w:r>
          <w:r w:rsidR="002A07C3" w:rsidRPr="002A07C3">
            <w:rPr>
              <w:noProof/>
              <w:sz w:val="24"/>
              <w:szCs w:val="24"/>
            </w:rPr>
            <w:t>(Obama Foundation, 2020)</w:t>
          </w:r>
          <w:r w:rsidRPr="004148C5">
            <w:rPr>
              <w:sz w:val="24"/>
              <w:szCs w:val="24"/>
            </w:rPr>
            <w:fldChar w:fldCharType="end"/>
          </w:r>
        </w:sdtContent>
      </w:sdt>
      <w:r w:rsidRPr="004148C5">
        <w:rPr>
          <w:sz w:val="24"/>
          <w:szCs w:val="24"/>
        </w:rPr>
        <w:t xml:space="preserve">. </w:t>
      </w:r>
      <w:r w:rsidR="002A07C3">
        <w:rPr>
          <w:sz w:val="24"/>
          <w:szCs w:val="24"/>
        </w:rPr>
        <w:t>Introduced in 1829 by the Home S</w:t>
      </w:r>
      <w:r w:rsidRPr="004148C5">
        <w:rPr>
          <w:sz w:val="24"/>
          <w:szCs w:val="24"/>
        </w:rPr>
        <w:t xml:space="preserve">ecretary Sir Robert Peel, the modern </w:t>
      </w:r>
      <w:r w:rsidRPr="004148C5">
        <w:rPr>
          <w:sz w:val="24"/>
          <w:szCs w:val="24"/>
        </w:rPr>
        <w:lastRenderedPageBreak/>
        <w:t xml:space="preserve">day British Police service was accountable to the public through the impartial application of the law. On further examination </w:t>
      </w:r>
      <w:proofErr w:type="spellStart"/>
      <w:r w:rsidRPr="004148C5">
        <w:rPr>
          <w:sz w:val="24"/>
          <w:szCs w:val="24"/>
        </w:rPr>
        <w:t>Elmsley</w:t>
      </w:r>
      <w:proofErr w:type="spellEnd"/>
      <w:r w:rsidRPr="004148C5">
        <w:rPr>
          <w:sz w:val="24"/>
          <w:szCs w:val="24"/>
        </w:rPr>
        <w:t xml:space="preserve"> </w:t>
      </w:r>
      <w:sdt>
        <w:sdtPr>
          <w:rPr>
            <w:sz w:val="24"/>
            <w:szCs w:val="24"/>
          </w:rPr>
          <w:id w:val="1186178740"/>
          <w:citation/>
        </w:sdtPr>
        <w:sdtContent>
          <w:r w:rsidRPr="004148C5">
            <w:rPr>
              <w:sz w:val="24"/>
              <w:szCs w:val="24"/>
            </w:rPr>
            <w:fldChar w:fldCharType="begin"/>
          </w:r>
          <w:r w:rsidRPr="004148C5">
            <w:rPr>
              <w:sz w:val="24"/>
              <w:szCs w:val="24"/>
            </w:rPr>
            <w:instrText xml:space="preserve">CITATION Elm01 \n  \l 2057 </w:instrText>
          </w:r>
          <w:r w:rsidRPr="004148C5">
            <w:rPr>
              <w:sz w:val="24"/>
              <w:szCs w:val="24"/>
            </w:rPr>
            <w:fldChar w:fldCharType="separate"/>
          </w:r>
          <w:r w:rsidRPr="004148C5">
            <w:rPr>
              <w:noProof/>
              <w:sz w:val="24"/>
              <w:szCs w:val="24"/>
            </w:rPr>
            <w:t>(2021)</w:t>
          </w:r>
          <w:r w:rsidRPr="004148C5">
            <w:rPr>
              <w:sz w:val="24"/>
              <w:szCs w:val="24"/>
            </w:rPr>
            <w:fldChar w:fldCharType="end"/>
          </w:r>
        </w:sdtContent>
      </w:sdt>
      <w:r w:rsidRPr="004148C5">
        <w:rPr>
          <w:sz w:val="24"/>
          <w:szCs w:val="24"/>
        </w:rPr>
        <w:t xml:space="preserve"> identified that the question marks around governance and accountability were present even then, almost 200 ye</w:t>
      </w:r>
      <w:r w:rsidR="003F3247">
        <w:rPr>
          <w:sz w:val="24"/>
          <w:szCs w:val="24"/>
        </w:rPr>
        <w:t>ars ago. Answerable to central G</w:t>
      </w:r>
      <w:r w:rsidRPr="004148C5">
        <w:rPr>
          <w:sz w:val="24"/>
          <w:szCs w:val="24"/>
        </w:rPr>
        <w:t>overnment, Metropolitan Police Commissioners reported directly to the Home Secretary, who subsequently</w:t>
      </w:r>
      <w:r w:rsidR="003F3247">
        <w:rPr>
          <w:sz w:val="24"/>
          <w:szCs w:val="24"/>
        </w:rPr>
        <w:t xml:space="preserve"> reported to P</w:t>
      </w:r>
      <w:r w:rsidRPr="004148C5">
        <w:rPr>
          <w:sz w:val="24"/>
          <w:szCs w:val="24"/>
        </w:rPr>
        <w:t>arliament. Policing at that time was r</w:t>
      </w:r>
      <w:r w:rsidR="003F3247">
        <w:rPr>
          <w:sz w:val="24"/>
          <w:szCs w:val="24"/>
        </w:rPr>
        <w:t>emoved from the grasp of local G</w:t>
      </w:r>
      <w:r w:rsidRPr="004148C5">
        <w:rPr>
          <w:sz w:val="24"/>
          <w:szCs w:val="24"/>
        </w:rPr>
        <w:t xml:space="preserve">overnment – much to the annoyance of local parishes who had become accustomed to directing their local officers and watchmen </w:t>
      </w:r>
      <w:sdt>
        <w:sdtPr>
          <w:rPr>
            <w:sz w:val="24"/>
            <w:szCs w:val="24"/>
          </w:rPr>
          <w:id w:val="-1202316553"/>
          <w:citation/>
        </w:sdtPr>
        <w:sdtContent>
          <w:r w:rsidRPr="004148C5">
            <w:rPr>
              <w:sz w:val="24"/>
              <w:szCs w:val="24"/>
            </w:rPr>
            <w:fldChar w:fldCharType="begin"/>
          </w:r>
          <w:r w:rsidRPr="004148C5">
            <w:rPr>
              <w:sz w:val="24"/>
              <w:szCs w:val="24"/>
            </w:rPr>
            <w:instrText xml:space="preserve">CITATION Elm01 \l 2057 </w:instrText>
          </w:r>
          <w:r w:rsidRPr="004148C5">
            <w:rPr>
              <w:sz w:val="24"/>
              <w:szCs w:val="24"/>
            </w:rPr>
            <w:fldChar w:fldCharType="separate"/>
          </w:r>
          <w:r w:rsidRPr="004148C5">
            <w:rPr>
              <w:noProof/>
              <w:sz w:val="24"/>
              <w:szCs w:val="24"/>
            </w:rPr>
            <w:t>(Elmsley, 2021)</w:t>
          </w:r>
          <w:r w:rsidRPr="004148C5">
            <w:rPr>
              <w:sz w:val="24"/>
              <w:szCs w:val="24"/>
            </w:rPr>
            <w:fldChar w:fldCharType="end"/>
          </w:r>
        </w:sdtContent>
      </w:sdt>
      <w:r w:rsidRPr="004148C5">
        <w:rPr>
          <w:sz w:val="24"/>
          <w:szCs w:val="24"/>
        </w:rPr>
        <w:t>. The Municipal Corporations Act i</w:t>
      </w:r>
      <w:r w:rsidR="003F3247">
        <w:rPr>
          <w:sz w:val="24"/>
          <w:szCs w:val="24"/>
        </w:rPr>
        <w:t>n 1835 subsequently introduced Watch C</w:t>
      </w:r>
      <w:r w:rsidRPr="004148C5">
        <w:rPr>
          <w:sz w:val="24"/>
          <w:szCs w:val="24"/>
        </w:rPr>
        <w:t xml:space="preserve">ommittees in each force area designed to promote more local forms of accountability </w:t>
      </w:r>
      <w:sdt>
        <w:sdtPr>
          <w:rPr>
            <w:sz w:val="24"/>
            <w:szCs w:val="24"/>
          </w:rPr>
          <w:id w:val="2021739039"/>
          <w:citation/>
        </w:sdtPr>
        <w:sdtContent>
          <w:r w:rsidRPr="004148C5">
            <w:rPr>
              <w:sz w:val="24"/>
              <w:szCs w:val="24"/>
            </w:rPr>
            <w:fldChar w:fldCharType="begin"/>
          </w:r>
          <w:r w:rsidRPr="004148C5">
            <w:rPr>
              <w:sz w:val="24"/>
              <w:szCs w:val="24"/>
            </w:rPr>
            <w:instrText xml:space="preserve"> CITATION Bri21 \l 2057 </w:instrText>
          </w:r>
          <w:r w:rsidRPr="004148C5">
            <w:rPr>
              <w:sz w:val="24"/>
              <w:szCs w:val="24"/>
            </w:rPr>
            <w:fldChar w:fldCharType="separate"/>
          </w:r>
          <w:r w:rsidRPr="004148C5">
            <w:rPr>
              <w:noProof/>
              <w:sz w:val="24"/>
              <w:szCs w:val="24"/>
            </w:rPr>
            <w:t>(Britannica, 2021)</w:t>
          </w:r>
          <w:r w:rsidRPr="004148C5">
            <w:rPr>
              <w:sz w:val="24"/>
              <w:szCs w:val="24"/>
            </w:rPr>
            <w:fldChar w:fldCharType="end"/>
          </w:r>
        </w:sdtContent>
      </w:sdt>
      <w:r w:rsidRPr="004148C5">
        <w:rPr>
          <w:sz w:val="24"/>
          <w:szCs w:val="24"/>
        </w:rPr>
        <w:t xml:space="preserve">. The last 50 years has seen a significant growth in the processes and procedures designed to ensure Police accountability alongside the growth in Police powers. </w:t>
      </w:r>
      <w:sdt>
        <w:sdtPr>
          <w:rPr>
            <w:sz w:val="24"/>
            <w:szCs w:val="24"/>
          </w:rPr>
          <w:id w:val="146020902"/>
          <w:citation/>
        </w:sdtPr>
        <w:sdtContent>
          <w:r w:rsidRPr="004148C5">
            <w:rPr>
              <w:sz w:val="24"/>
              <w:szCs w:val="24"/>
            </w:rPr>
            <w:fldChar w:fldCharType="begin"/>
          </w:r>
          <w:r w:rsidRPr="004148C5">
            <w:rPr>
              <w:sz w:val="24"/>
              <w:szCs w:val="24"/>
            </w:rPr>
            <w:instrText xml:space="preserve"> CITATION Bay01 \l 2057 </w:instrText>
          </w:r>
          <w:r w:rsidRPr="004148C5">
            <w:rPr>
              <w:sz w:val="24"/>
              <w:szCs w:val="24"/>
            </w:rPr>
            <w:fldChar w:fldCharType="separate"/>
          </w:r>
          <w:r w:rsidRPr="004148C5">
            <w:rPr>
              <w:noProof/>
              <w:sz w:val="24"/>
              <w:szCs w:val="24"/>
            </w:rPr>
            <w:t>(Bayley, 2001)</w:t>
          </w:r>
          <w:r w:rsidRPr="004148C5">
            <w:rPr>
              <w:sz w:val="24"/>
              <w:szCs w:val="24"/>
            </w:rPr>
            <w:fldChar w:fldCharType="end"/>
          </w:r>
        </w:sdtContent>
      </w:sdt>
      <w:sdt>
        <w:sdtPr>
          <w:rPr>
            <w:sz w:val="24"/>
            <w:szCs w:val="24"/>
          </w:rPr>
          <w:id w:val="-2042275614"/>
          <w:citation/>
        </w:sdtPr>
        <w:sdtContent>
          <w:r w:rsidRPr="004148C5">
            <w:rPr>
              <w:sz w:val="24"/>
              <w:szCs w:val="24"/>
            </w:rPr>
            <w:fldChar w:fldCharType="begin"/>
          </w:r>
          <w:r w:rsidRPr="004148C5">
            <w:rPr>
              <w:sz w:val="24"/>
              <w:szCs w:val="24"/>
            </w:rPr>
            <w:instrText xml:space="preserve"> CITATION Bea07 \l 2057 </w:instrText>
          </w:r>
          <w:r w:rsidRPr="004148C5">
            <w:rPr>
              <w:sz w:val="24"/>
              <w:szCs w:val="24"/>
            </w:rPr>
            <w:fldChar w:fldCharType="separate"/>
          </w:r>
          <w:r w:rsidRPr="004148C5">
            <w:rPr>
              <w:noProof/>
              <w:sz w:val="24"/>
              <w:szCs w:val="24"/>
            </w:rPr>
            <w:t xml:space="preserve"> (Beare &amp; T, 2007)</w:t>
          </w:r>
          <w:r w:rsidRPr="004148C5">
            <w:rPr>
              <w:sz w:val="24"/>
              <w:szCs w:val="24"/>
            </w:rPr>
            <w:fldChar w:fldCharType="end"/>
          </w:r>
        </w:sdtContent>
      </w:sdt>
      <w:sdt>
        <w:sdtPr>
          <w:rPr>
            <w:sz w:val="24"/>
            <w:szCs w:val="24"/>
          </w:rPr>
          <w:id w:val="1961675452"/>
          <w:citation/>
        </w:sdtPr>
        <w:sdtContent>
          <w:r w:rsidRPr="004148C5">
            <w:rPr>
              <w:sz w:val="24"/>
              <w:szCs w:val="24"/>
            </w:rPr>
            <w:fldChar w:fldCharType="begin"/>
          </w:r>
          <w:r w:rsidRPr="004148C5">
            <w:rPr>
              <w:sz w:val="24"/>
              <w:szCs w:val="24"/>
            </w:rPr>
            <w:instrText xml:space="preserve"> CITATION Bow16 \l 2057 </w:instrText>
          </w:r>
          <w:r w:rsidRPr="004148C5">
            <w:rPr>
              <w:sz w:val="24"/>
              <w:szCs w:val="24"/>
            </w:rPr>
            <w:fldChar w:fldCharType="separate"/>
          </w:r>
          <w:r w:rsidRPr="004148C5">
            <w:rPr>
              <w:noProof/>
              <w:sz w:val="24"/>
              <w:szCs w:val="24"/>
            </w:rPr>
            <w:t xml:space="preserve"> (Bowling, et al., 2016)</w:t>
          </w:r>
          <w:r w:rsidRPr="004148C5">
            <w:rPr>
              <w:sz w:val="24"/>
              <w:szCs w:val="24"/>
            </w:rPr>
            <w:fldChar w:fldCharType="end"/>
          </w:r>
        </w:sdtContent>
      </w:sdt>
      <w:r w:rsidRPr="004148C5">
        <w:rPr>
          <w:sz w:val="24"/>
          <w:szCs w:val="24"/>
        </w:rPr>
        <w:t>. The 1964 Police Act followed the 1962 Royal Commission o</w:t>
      </w:r>
      <w:r w:rsidR="003F3247">
        <w:rPr>
          <w:sz w:val="24"/>
          <w:szCs w:val="24"/>
        </w:rPr>
        <w:t>n the Police and abolished the Watch C</w:t>
      </w:r>
      <w:r w:rsidRPr="004148C5">
        <w:rPr>
          <w:sz w:val="24"/>
          <w:szCs w:val="24"/>
        </w:rPr>
        <w:t>ommittee system, introducing in its place a series of Police Authorities consisting of two thirds elected councillors and one third magistrates. The 1994 Police and Magistrate’s court Act amended the authority membership and introduced independent members.</w:t>
      </w:r>
    </w:p>
    <w:p w:rsidR="00D57BEB" w:rsidRPr="004148C5" w:rsidRDefault="00D57BEB" w:rsidP="004148C5">
      <w:pPr>
        <w:tabs>
          <w:tab w:val="left" w:pos="2317"/>
        </w:tabs>
        <w:spacing w:line="480" w:lineRule="auto"/>
        <w:jc w:val="both"/>
        <w:rPr>
          <w:rFonts w:ascii="Calibri" w:hAnsi="Calibri" w:cs="Calibri"/>
          <w:sz w:val="24"/>
          <w:szCs w:val="24"/>
        </w:rPr>
      </w:pPr>
      <w:r w:rsidRPr="004148C5">
        <w:rPr>
          <w:rFonts w:ascii="Calibri" w:hAnsi="Calibri" w:cs="Calibri"/>
          <w:color w:val="333333"/>
          <w:sz w:val="24"/>
          <w:szCs w:val="24"/>
        </w:rPr>
        <w:t>This ‘tripartite’ police governance model effectively div</w:t>
      </w:r>
      <w:r w:rsidR="00E7249E">
        <w:rPr>
          <w:rFonts w:ascii="Calibri" w:hAnsi="Calibri" w:cs="Calibri"/>
          <w:color w:val="333333"/>
          <w:sz w:val="24"/>
          <w:szCs w:val="24"/>
        </w:rPr>
        <w:t>ided ownership and scrutiny of P</w:t>
      </w:r>
      <w:r w:rsidRPr="004148C5">
        <w:rPr>
          <w:rFonts w:ascii="Calibri" w:hAnsi="Calibri" w:cs="Calibri"/>
          <w:color w:val="333333"/>
          <w:sz w:val="24"/>
          <w:szCs w:val="24"/>
        </w:rPr>
        <w:t>olice forces between Chief Constables, the Home Secretary and Police Authorities</w:t>
      </w:r>
      <w:sdt>
        <w:sdtPr>
          <w:rPr>
            <w:rFonts w:ascii="Calibri" w:hAnsi="Calibri" w:cs="Calibri"/>
            <w:color w:val="333333"/>
            <w:sz w:val="24"/>
            <w:szCs w:val="24"/>
          </w:rPr>
          <w:id w:val="-1512827850"/>
          <w:citation/>
        </w:sdtPr>
        <w:sdtContent>
          <w:r w:rsidRPr="004148C5">
            <w:rPr>
              <w:rFonts w:ascii="Calibri" w:hAnsi="Calibri" w:cs="Calibri"/>
              <w:color w:val="333333"/>
              <w:sz w:val="24"/>
              <w:szCs w:val="24"/>
            </w:rPr>
            <w:fldChar w:fldCharType="begin"/>
          </w:r>
          <w:r w:rsidRPr="004148C5">
            <w:rPr>
              <w:rFonts w:ascii="Calibri" w:hAnsi="Calibri" w:cs="Calibri"/>
              <w:color w:val="333333"/>
              <w:sz w:val="24"/>
              <w:szCs w:val="24"/>
            </w:rPr>
            <w:instrText xml:space="preserve"> CITATION Ber12 \l 2057 </w:instrText>
          </w:r>
          <w:r w:rsidRPr="004148C5">
            <w:rPr>
              <w:rFonts w:ascii="Calibri" w:hAnsi="Calibri" w:cs="Calibri"/>
              <w:color w:val="333333"/>
              <w:sz w:val="24"/>
              <w:szCs w:val="24"/>
            </w:rPr>
            <w:fldChar w:fldCharType="separate"/>
          </w:r>
          <w:r w:rsidRPr="004148C5">
            <w:rPr>
              <w:rFonts w:ascii="Calibri" w:hAnsi="Calibri" w:cs="Calibri"/>
              <w:noProof/>
              <w:color w:val="333333"/>
              <w:sz w:val="24"/>
              <w:szCs w:val="24"/>
            </w:rPr>
            <w:t xml:space="preserve"> (Berman, et al., 2012)</w:t>
          </w:r>
          <w:r w:rsidRPr="004148C5">
            <w:rPr>
              <w:rFonts w:ascii="Calibri" w:hAnsi="Calibri" w:cs="Calibri"/>
              <w:color w:val="333333"/>
              <w:sz w:val="24"/>
              <w:szCs w:val="24"/>
            </w:rPr>
            <w:fldChar w:fldCharType="end"/>
          </w:r>
        </w:sdtContent>
      </w:sdt>
      <w:sdt>
        <w:sdtPr>
          <w:rPr>
            <w:rFonts w:ascii="Calibri" w:hAnsi="Calibri" w:cs="Calibri"/>
            <w:color w:val="333333"/>
            <w:sz w:val="24"/>
            <w:szCs w:val="24"/>
          </w:rPr>
          <w:id w:val="146877715"/>
          <w:citation/>
        </w:sdtPr>
        <w:sdtContent>
          <w:r w:rsidRPr="004148C5">
            <w:rPr>
              <w:rFonts w:ascii="Calibri" w:hAnsi="Calibri" w:cs="Calibri"/>
              <w:color w:val="333333"/>
              <w:sz w:val="24"/>
              <w:szCs w:val="24"/>
            </w:rPr>
            <w:fldChar w:fldCharType="begin"/>
          </w:r>
          <w:r w:rsidRPr="004148C5">
            <w:rPr>
              <w:rFonts w:ascii="Calibri" w:hAnsi="Calibri" w:cs="Calibri"/>
              <w:color w:val="333333"/>
              <w:sz w:val="24"/>
              <w:szCs w:val="24"/>
            </w:rPr>
            <w:instrText xml:space="preserve"> CITATION Lis13 \l 2057 </w:instrText>
          </w:r>
          <w:r w:rsidRPr="004148C5">
            <w:rPr>
              <w:rFonts w:ascii="Calibri" w:hAnsi="Calibri" w:cs="Calibri"/>
              <w:color w:val="333333"/>
              <w:sz w:val="24"/>
              <w:szCs w:val="24"/>
            </w:rPr>
            <w:fldChar w:fldCharType="separate"/>
          </w:r>
          <w:r w:rsidRPr="004148C5">
            <w:rPr>
              <w:rFonts w:ascii="Calibri" w:hAnsi="Calibri" w:cs="Calibri"/>
              <w:noProof/>
              <w:color w:val="333333"/>
              <w:sz w:val="24"/>
              <w:szCs w:val="24"/>
            </w:rPr>
            <w:t xml:space="preserve"> (Lister, 2013)</w:t>
          </w:r>
          <w:r w:rsidRPr="004148C5">
            <w:rPr>
              <w:rFonts w:ascii="Calibri" w:hAnsi="Calibri" w:cs="Calibri"/>
              <w:color w:val="333333"/>
              <w:sz w:val="24"/>
              <w:szCs w:val="24"/>
            </w:rPr>
            <w:fldChar w:fldCharType="end"/>
          </w:r>
        </w:sdtContent>
      </w:sdt>
      <w:sdt>
        <w:sdtPr>
          <w:rPr>
            <w:rFonts w:ascii="Calibri" w:hAnsi="Calibri" w:cs="Calibri"/>
            <w:color w:val="333333"/>
            <w:sz w:val="24"/>
            <w:szCs w:val="24"/>
          </w:rPr>
          <w:id w:val="1755553216"/>
          <w:citation/>
        </w:sdtPr>
        <w:sdtContent>
          <w:r w:rsidRPr="004148C5">
            <w:rPr>
              <w:rFonts w:ascii="Calibri" w:hAnsi="Calibri" w:cs="Calibri"/>
              <w:color w:val="333333"/>
              <w:sz w:val="24"/>
              <w:szCs w:val="24"/>
            </w:rPr>
            <w:fldChar w:fldCharType="begin"/>
          </w:r>
          <w:r w:rsidRPr="004148C5">
            <w:rPr>
              <w:rFonts w:ascii="Calibri" w:hAnsi="Calibri" w:cs="Calibri"/>
              <w:color w:val="333333"/>
              <w:sz w:val="24"/>
              <w:szCs w:val="24"/>
            </w:rPr>
            <w:instrText xml:space="preserve"> CITATION Rog13 \l 2057 </w:instrText>
          </w:r>
          <w:r w:rsidRPr="004148C5">
            <w:rPr>
              <w:rFonts w:ascii="Calibri" w:hAnsi="Calibri" w:cs="Calibri"/>
              <w:color w:val="333333"/>
              <w:sz w:val="24"/>
              <w:szCs w:val="24"/>
            </w:rPr>
            <w:fldChar w:fldCharType="separate"/>
          </w:r>
          <w:r w:rsidRPr="004148C5">
            <w:rPr>
              <w:rFonts w:ascii="Calibri" w:hAnsi="Calibri" w:cs="Calibri"/>
              <w:noProof/>
              <w:color w:val="333333"/>
              <w:sz w:val="24"/>
              <w:szCs w:val="24"/>
            </w:rPr>
            <w:t xml:space="preserve"> (Rogers, 2013)</w:t>
          </w:r>
          <w:r w:rsidRPr="004148C5">
            <w:rPr>
              <w:rFonts w:ascii="Calibri" w:hAnsi="Calibri" w:cs="Calibri"/>
              <w:color w:val="333333"/>
              <w:sz w:val="24"/>
              <w:szCs w:val="24"/>
            </w:rPr>
            <w:fldChar w:fldCharType="end"/>
          </w:r>
        </w:sdtContent>
      </w:sdt>
      <w:r w:rsidRPr="004148C5">
        <w:rPr>
          <w:rFonts w:ascii="Calibri" w:hAnsi="Calibri" w:cs="Calibri"/>
          <w:color w:val="333333"/>
          <w:sz w:val="24"/>
          <w:szCs w:val="24"/>
        </w:rPr>
        <w:t xml:space="preserve">. </w:t>
      </w:r>
      <w:r w:rsidRPr="004148C5">
        <w:rPr>
          <w:rFonts w:ascii="Calibri" w:hAnsi="Calibri" w:cs="Calibri"/>
          <w:sz w:val="24"/>
          <w:szCs w:val="24"/>
        </w:rPr>
        <w:t xml:space="preserve">Firstly, the Chief Constable retained responsibility for the operational direction and control of their own force, whilst the Home Secretary maintained responsibility for the strategic management of forces alongside allocation of finance and subsequent fiscal scrutiny. Individual Police forces were subjected to scrutiny by the relevant Police Authority – whose members generally combined their membership with more general duties as opposed to specialist or dedicated responsibility. The effectiveness of the Police </w:t>
      </w:r>
      <w:r w:rsidRPr="004148C5">
        <w:rPr>
          <w:rFonts w:ascii="Calibri" w:hAnsi="Calibri" w:cs="Calibri"/>
          <w:sz w:val="24"/>
          <w:szCs w:val="24"/>
        </w:rPr>
        <w:lastRenderedPageBreak/>
        <w:t>Authority is a debated point. They were described as failures, with little knowledge of what was required of them. Labelled the weak link</w:t>
      </w:r>
      <w:r w:rsidR="00E7249E">
        <w:rPr>
          <w:rFonts w:ascii="Calibri" w:hAnsi="Calibri" w:cs="Calibri"/>
          <w:sz w:val="24"/>
          <w:szCs w:val="24"/>
        </w:rPr>
        <w:t xml:space="preserve"> -</w:t>
      </w:r>
      <w:r w:rsidRPr="004148C5">
        <w:rPr>
          <w:rFonts w:ascii="Calibri" w:hAnsi="Calibri" w:cs="Calibri"/>
          <w:sz w:val="24"/>
          <w:szCs w:val="24"/>
        </w:rPr>
        <w:t xml:space="preserve"> they lacked powers, resources and expertise and as a result much of the decision making was deferred to the Chief Constable – the very person that should be subject to scrutiny </w:t>
      </w:r>
      <w:sdt>
        <w:sdtPr>
          <w:rPr>
            <w:rFonts w:ascii="Calibri" w:hAnsi="Calibri" w:cs="Calibri"/>
            <w:sz w:val="24"/>
            <w:szCs w:val="24"/>
          </w:rPr>
          <w:id w:val="350612810"/>
          <w:citation/>
        </w:sdtPr>
        <w:sdtContent>
          <w:r w:rsidRPr="004148C5">
            <w:rPr>
              <w:rFonts w:ascii="Calibri" w:hAnsi="Calibri" w:cs="Calibri"/>
              <w:sz w:val="24"/>
              <w:szCs w:val="24"/>
            </w:rPr>
            <w:fldChar w:fldCharType="begin"/>
          </w:r>
          <w:r w:rsidRPr="004148C5">
            <w:rPr>
              <w:rFonts w:ascii="Calibri" w:hAnsi="Calibri" w:cs="Calibri"/>
              <w:sz w:val="24"/>
              <w:szCs w:val="24"/>
            </w:rPr>
            <w:instrText xml:space="preserve"> CITATION Mil12 \l 2057 </w:instrText>
          </w:r>
          <w:r w:rsidRPr="004148C5">
            <w:rPr>
              <w:rFonts w:ascii="Calibri" w:hAnsi="Calibri" w:cs="Calibri"/>
              <w:sz w:val="24"/>
              <w:szCs w:val="24"/>
            </w:rPr>
            <w:fldChar w:fldCharType="separate"/>
          </w:r>
          <w:r w:rsidRPr="004148C5">
            <w:rPr>
              <w:rFonts w:ascii="Calibri" w:hAnsi="Calibri" w:cs="Calibri"/>
              <w:noProof/>
              <w:sz w:val="24"/>
              <w:szCs w:val="24"/>
            </w:rPr>
            <w:t>(Millen &amp; Stephens, 2012)</w:t>
          </w:r>
          <w:r w:rsidRPr="004148C5">
            <w:rPr>
              <w:rFonts w:ascii="Calibri" w:hAnsi="Calibri" w:cs="Calibri"/>
              <w:sz w:val="24"/>
              <w:szCs w:val="24"/>
            </w:rPr>
            <w:fldChar w:fldCharType="end"/>
          </w:r>
        </w:sdtContent>
      </w:sdt>
      <w:sdt>
        <w:sdtPr>
          <w:rPr>
            <w:rFonts w:ascii="Calibri" w:hAnsi="Calibri" w:cs="Calibri"/>
            <w:sz w:val="24"/>
            <w:szCs w:val="24"/>
          </w:rPr>
          <w:id w:val="-1827197730"/>
          <w:citation/>
        </w:sdtPr>
        <w:sdtContent>
          <w:r w:rsidRPr="004148C5">
            <w:rPr>
              <w:rFonts w:ascii="Calibri" w:hAnsi="Calibri" w:cs="Calibri"/>
              <w:sz w:val="24"/>
              <w:szCs w:val="24"/>
            </w:rPr>
            <w:fldChar w:fldCharType="begin"/>
          </w:r>
          <w:r w:rsidRPr="004148C5">
            <w:rPr>
              <w:rFonts w:ascii="Calibri" w:hAnsi="Calibri" w:cs="Calibri"/>
              <w:sz w:val="24"/>
              <w:szCs w:val="24"/>
            </w:rPr>
            <w:instrText xml:space="preserve"> CITATION Bro77 \l 2057 </w:instrText>
          </w:r>
          <w:r w:rsidRPr="004148C5">
            <w:rPr>
              <w:rFonts w:ascii="Calibri" w:hAnsi="Calibri" w:cs="Calibri"/>
              <w:sz w:val="24"/>
              <w:szCs w:val="24"/>
            </w:rPr>
            <w:fldChar w:fldCharType="separate"/>
          </w:r>
          <w:r w:rsidRPr="004148C5">
            <w:rPr>
              <w:rFonts w:ascii="Calibri" w:hAnsi="Calibri" w:cs="Calibri"/>
              <w:noProof/>
              <w:sz w:val="24"/>
              <w:szCs w:val="24"/>
            </w:rPr>
            <w:t>(Brogden, 1977)</w:t>
          </w:r>
          <w:r w:rsidRPr="004148C5">
            <w:rPr>
              <w:rFonts w:ascii="Calibri" w:hAnsi="Calibri" w:cs="Calibri"/>
              <w:sz w:val="24"/>
              <w:szCs w:val="24"/>
            </w:rPr>
            <w:fldChar w:fldCharType="end"/>
          </w:r>
        </w:sdtContent>
      </w:sdt>
      <w:r w:rsidRPr="004148C5">
        <w:rPr>
          <w:rFonts w:ascii="Calibri" w:hAnsi="Calibri" w:cs="Calibri"/>
          <w:sz w:val="24"/>
          <w:szCs w:val="24"/>
        </w:rPr>
        <w:t xml:space="preserve">. Most Chief Constables did establish appropriate working relationships with their Police Authority, though when the most significant matters arose it was inevitably the view of the Chief Constable that would prevail </w:t>
      </w:r>
      <w:sdt>
        <w:sdtPr>
          <w:rPr>
            <w:rFonts w:ascii="Calibri" w:hAnsi="Calibri" w:cs="Calibri"/>
            <w:sz w:val="24"/>
            <w:szCs w:val="24"/>
          </w:rPr>
          <w:id w:val="-1148898770"/>
          <w:citation/>
        </w:sdtPr>
        <w:sdtContent>
          <w:r w:rsidRPr="004148C5">
            <w:rPr>
              <w:rFonts w:ascii="Calibri" w:hAnsi="Calibri" w:cs="Calibri"/>
              <w:sz w:val="24"/>
              <w:szCs w:val="24"/>
            </w:rPr>
            <w:fldChar w:fldCharType="begin"/>
          </w:r>
          <w:r w:rsidRPr="004148C5">
            <w:rPr>
              <w:rFonts w:ascii="Calibri" w:hAnsi="Calibri" w:cs="Calibri"/>
              <w:sz w:val="24"/>
              <w:szCs w:val="24"/>
            </w:rPr>
            <w:instrText xml:space="preserve"> CITATION Rei92 \l 2057 </w:instrText>
          </w:r>
          <w:r w:rsidRPr="004148C5">
            <w:rPr>
              <w:rFonts w:ascii="Calibri" w:hAnsi="Calibri" w:cs="Calibri"/>
              <w:sz w:val="24"/>
              <w:szCs w:val="24"/>
            </w:rPr>
            <w:fldChar w:fldCharType="separate"/>
          </w:r>
          <w:r w:rsidRPr="004148C5">
            <w:rPr>
              <w:rFonts w:ascii="Calibri" w:hAnsi="Calibri" w:cs="Calibri"/>
              <w:noProof/>
              <w:sz w:val="24"/>
              <w:szCs w:val="24"/>
            </w:rPr>
            <w:t>(Reiner, 1992)</w:t>
          </w:r>
          <w:r w:rsidRPr="004148C5">
            <w:rPr>
              <w:rFonts w:ascii="Calibri" w:hAnsi="Calibri" w:cs="Calibri"/>
              <w:sz w:val="24"/>
              <w:szCs w:val="24"/>
            </w:rPr>
            <w:fldChar w:fldCharType="end"/>
          </w:r>
        </w:sdtContent>
      </w:sdt>
      <w:r w:rsidRPr="004148C5">
        <w:rPr>
          <w:rFonts w:ascii="Calibri" w:hAnsi="Calibri" w:cs="Calibri"/>
          <w:sz w:val="24"/>
          <w:szCs w:val="24"/>
        </w:rPr>
        <w:t xml:space="preserve">. The general public’s awareness of the Police Authority as a means of scrutinising the Police was almost non-existent which was particularly concerning given the Police’s responsibility to uphold the law with support of the local community </w:t>
      </w:r>
      <w:sdt>
        <w:sdtPr>
          <w:rPr>
            <w:rFonts w:ascii="Calibri" w:hAnsi="Calibri" w:cs="Calibri"/>
            <w:sz w:val="24"/>
            <w:szCs w:val="24"/>
          </w:rPr>
          <w:id w:val="1587041597"/>
          <w:citation/>
        </w:sdtPr>
        <w:sdtContent>
          <w:r w:rsidRPr="004148C5">
            <w:rPr>
              <w:rFonts w:ascii="Calibri" w:hAnsi="Calibri" w:cs="Calibri"/>
              <w:sz w:val="24"/>
              <w:szCs w:val="24"/>
            </w:rPr>
            <w:fldChar w:fldCharType="begin"/>
          </w:r>
          <w:r w:rsidRPr="004148C5">
            <w:rPr>
              <w:rFonts w:ascii="Calibri" w:hAnsi="Calibri" w:cs="Calibri"/>
              <w:sz w:val="24"/>
              <w:szCs w:val="24"/>
            </w:rPr>
            <w:instrText xml:space="preserve"> CITATION Hom03 \l 2057 </w:instrText>
          </w:r>
          <w:r w:rsidRPr="004148C5">
            <w:rPr>
              <w:rFonts w:ascii="Calibri" w:hAnsi="Calibri" w:cs="Calibri"/>
              <w:sz w:val="24"/>
              <w:szCs w:val="24"/>
            </w:rPr>
            <w:fldChar w:fldCharType="separate"/>
          </w:r>
          <w:r w:rsidRPr="004148C5">
            <w:rPr>
              <w:rFonts w:ascii="Calibri" w:hAnsi="Calibri" w:cs="Calibri"/>
              <w:noProof/>
              <w:sz w:val="24"/>
              <w:szCs w:val="24"/>
            </w:rPr>
            <w:t>(Home Office, 2003)</w:t>
          </w:r>
          <w:r w:rsidRPr="004148C5">
            <w:rPr>
              <w:rFonts w:ascii="Calibri" w:hAnsi="Calibri" w:cs="Calibri"/>
              <w:sz w:val="24"/>
              <w:szCs w:val="24"/>
            </w:rPr>
            <w:fldChar w:fldCharType="end"/>
          </w:r>
        </w:sdtContent>
      </w:sdt>
      <w:r w:rsidRPr="004148C5">
        <w:rPr>
          <w:rFonts w:ascii="Calibri" w:hAnsi="Calibri" w:cs="Calibri"/>
          <w:sz w:val="24"/>
          <w:szCs w:val="24"/>
        </w:rPr>
        <w:t>.</w:t>
      </w:r>
    </w:p>
    <w:p w:rsidR="00D57BEB" w:rsidRPr="004148C5" w:rsidRDefault="00D57BEB" w:rsidP="004148C5">
      <w:pPr>
        <w:spacing w:line="480" w:lineRule="auto"/>
        <w:jc w:val="both"/>
        <w:rPr>
          <w:sz w:val="24"/>
          <w:szCs w:val="24"/>
        </w:rPr>
      </w:pPr>
      <w:r w:rsidRPr="004148C5">
        <w:rPr>
          <w:sz w:val="24"/>
          <w:szCs w:val="24"/>
        </w:rPr>
        <w:t xml:space="preserve">In recent years many modern societies have seen National Government structures being redefined in favour of more localised governance arrangements </w:t>
      </w:r>
      <w:sdt>
        <w:sdtPr>
          <w:rPr>
            <w:sz w:val="24"/>
            <w:szCs w:val="24"/>
          </w:rPr>
          <w:id w:val="1131279767"/>
          <w:citation/>
        </w:sdtPr>
        <w:sdtContent>
          <w:r w:rsidRPr="004148C5">
            <w:rPr>
              <w:sz w:val="24"/>
              <w:szCs w:val="24"/>
            </w:rPr>
            <w:fldChar w:fldCharType="begin"/>
          </w:r>
          <w:r w:rsidRPr="004148C5">
            <w:rPr>
              <w:sz w:val="24"/>
              <w:szCs w:val="24"/>
            </w:rPr>
            <w:instrText xml:space="preserve"> CITATION Gov04 \l 2057 </w:instrText>
          </w:r>
          <w:r w:rsidRPr="004148C5">
            <w:rPr>
              <w:sz w:val="24"/>
              <w:szCs w:val="24"/>
            </w:rPr>
            <w:fldChar w:fldCharType="separate"/>
          </w:r>
          <w:r w:rsidRPr="004148C5">
            <w:rPr>
              <w:noProof/>
              <w:sz w:val="24"/>
              <w:szCs w:val="24"/>
            </w:rPr>
            <w:t>(Van-Kersbergen &amp; Van-Waarden, 2004)</w:t>
          </w:r>
          <w:r w:rsidRPr="004148C5">
            <w:rPr>
              <w:sz w:val="24"/>
              <w:szCs w:val="24"/>
            </w:rPr>
            <w:fldChar w:fldCharType="end"/>
          </w:r>
        </w:sdtContent>
      </w:sdt>
      <w:r w:rsidRPr="004148C5">
        <w:rPr>
          <w:sz w:val="24"/>
          <w:szCs w:val="24"/>
        </w:rPr>
        <w:t xml:space="preserve">. The run up to the 2010 General Election saw broad cross party support for greater scrutiny and local accountability in policing. The Conservative party ‘Big Society Agenda’ aimed to provide more power to local councils and communities to influence the decisions that impact on their area through a renewed focus on society and the opening up of public services </w:t>
      </w:r>
      <w:sdt>
        <w:sdtPr>
          <w:rPr>
            <w:sz w:val="24"/>
            <w:szCs w:val="24"/>
          </w:rPr>
          <w:id w:val="-2033489308"/>
          <w:citation/>
        </w:sdtPr>
        <w:sdtContent>
          <w:r w:rsidRPr="004148C5">
            <w:rPr>
              <w:sz w:val="24"/>
              <w:szCs w:val="24"/>
            </w:rPr>
            <w:fldChar w:fldCharType="begin"/>
          </w:r>
          <w:r w:rsidRPr="004148C5">
            <w:rPr>
              <w:sz w:val="24"/>
              <w:szCs w:val="24"/>
            </w:rPr>
            <w:instrText xml:space="preserve">CITATION HMG10 \l 2057 </w:instrText>
          </w:r>
          <w:r w:rsidRPr="004148C5">
            <w:rPr>
              <w:sz w:val="24"/>
              <w:szCs w:val="24"/>
            </w:rPr>
            <w:fldChar w:fldCharType="separate"/>
          </w:r>
          <w:r w:rsidRPr="004148C5">
            <w:rPr>
              <w:noProof/>
              <w:sz w:val="24"/>
              <w:szCs w:val="24"/>
            </w:rPr>
            <w:t>(HM Government, 2010)</w:t>
          </w:r>
          <w:r w:rsidRPr="004148C5">
            <w:rPr>
              <w:sz w:val="24"/>
              <w:szCs w:val="24"/>
            </w:rPr>
            <w:fldChar w:fldCharType="end"/>
          </w:r>
        </w:sdtContent>
      </w:sdt>
      <w:r w:rsidRPr="004148C5">
        <w:rPr>
          <w:sz w:val="24"/>
          <w:szCs w:val="24"/>
        </w:rPr>
        <w:t xml:space="preserve"> </w:t>
      </w:r>
      <w:sdt>
        <w:sdtPr>
          <w:rPr>
            <w:sz w:val="24"/>
            <w:szCs w:val="24"/>
          </w:rPr>
          <w:id w:val="466935136"/>
          <w:citation/>
        </w:sdtPr>
        <w:sdtContent>
          <w:r w:rsidRPr="004148C5">
            <w:rPr>
              <w:sz w:val="24"/>
              <w:szCs w:val="24"/>
            </w:rPr>
            <w:fldChar w:fldCharType="begin"/>
          </w:r>
          <w:r w:rsidRPr="004148C5">
            <w:rPr>
              <w:sz w:val="24"/>
              <w:szCs w:val="24"/>
            </w:rPr>
            <w:instrText xml:space="preserve"> CITATION Sco11 \l 2057 </w:instrText>
          </w:r>
          <w:r w:rsidRPr="004148C5">
            <w:rPr>
              <w:sz w:val="24"/>
              <w:szCs w:val="24"/>
            </w:rPr>
            <w:fldChar w:fldCharType="separate"/>
          </w:r>
          <w:r w:rsidRPr="004148C5">
            <w:rPr>
              <w:noProof/>
              <w:sz w:val="24"/>
              <w:szCs w:val="24"/>
            </w:rPr>
            <w:t>(Scott, 2011)</w:t>
          </w:r>
          <w:r w:rsidRPr="004148C5">
            <w:rPr>
              <w:sz w:val="24"/>
              <w:szCs w:val="24"/>
            </w:rPr>
            <w:fldChar w:fldCharType="end"/>
          </w:r>
        </w:sdtContent>
      </w:sdt>
      <w:r w:rsidRPr="004148C5">
        <w:rPr>
          <w:sz w:val="24"/>
          <w:szCs w:val="24"/>
        </w:rPr>
        <w:t>. It would be fair to say that the two parties that sub</w:t>
      </w:r>
      <w:r w:rsidR="002E0D17">
        <w:rPr>
          <w:sz w:val="24"/>
          <w:szCs w:val="24"/>
        </w:rPr>
        <w:t>sequently formed the coalition G</w:t>
      </w:r>
      <w:r w:rsidRPr="004148C5">
        <w:rPr>
          <w:sz w:val="24"/>
          <w:szCs w:val="24"/>
        </w:rPr>
        <w:t>overnment championed very different approaches. The Conservative party favoured a directly elected and accountable individual whereas the Liberal Democrats preferred a committee of directly elected officials with a small number of additional members</w:t>
      </w:r>
      <w:sdt>
        <w:sdtPr>
          <w:rPr>
            <w:sz w:val="24"/>
            <w:szCs w:val="24"/>
          </w:rPr>
          <w:id w:val="2055501205"/>
          <w:citation/>
        </w:sdtPr>
        <w:sdtContent>
          <w:r w:rsidRPr="004148C5">
            <w:rPr>
              <w:sz w:val="24"/>
              <w:szCs w:val="24"/>
            </w:rPr>
            <w:fldChar w:fldCharType="begin"/>
          </w:r>
          <w:r w:rsidRPr="004148C5">
            <w:rPr>
              <w:sz w:val="24"/>
              <w:szCs w:val="24"/>
            </w:rPr>
            <w:instrText xml:space="preserve"> CITATION Lis14 \l 2057 </w:instrText>
          </w:r>
          <w:r w:rsidRPr="004148C5">
            <w:rPr>
              <w:sz w:val="24"/>
              <w:szCs w:val="24"/>
            </w:rPr>
            <w:fldChar w:fldCharType="separate"/>
          </w:r>
          <w:r w:rsidRPr="004148C5">
            <w:rPr>
              <w:noProof/>
              <w:sz w:val="24"/>
              <w:szCs w:val="24"/>
            </w:rPr>
            <w:t xml:space="preserve"> (Lister, 2014)</w:t>
          </w:r>
          <w:r w:rsidRPr="004148C5">
            <w:rPr>
              <w:sz w:val="24"/>
              <w:szCs w:val="24"/>
            </w:rPr>
            <w:fldChar w:fldCharType="end"/>
          </w:r>
        </w:sdtContent>
      </w:sdt>
      <w:r w:rsidRPr="004148C5">
        <w:rPr>
          <w:sz w:val="24"/>
          <w:szCs w:val="24"/>
        </w:rPr>
        <w:t xml:space="preserve">. In an exercise of political compromise the Police Reform and Social Responsibility Act </w:t>
      </w:r>
      <w:r w:rsidR="002E0D17">
        <w:rPr>
          <w:sz w:val="24"/>
          <w:szCs w:val="24"/>
        </w:rPr>
        <w:t xml:space="preserve">2011 </w:t>
      </w:r>
      <w:r w:rsidRPr="004148C5">
        <w:rPr>
          <w:sz w:val="24"/>
          <w:szCs w:val="24"/>
        </w:rPr>
        <w:t xml:space="preserve">included the establishment and introduction of both Police and Crime Commissioners and Police and Crime Panels as an additional layer of governance to cover off the divergence. Police governance changed significantly with the </w:t>
      </w:r>
      <w:r w:rsidRPr="004148C5">
        <w:rPr>
          <w:sz w:val="24"/>
          <w:szCs w:val="24"/>
        </w:rPr>
        <w:lastRenderedPageBreak/>
        <w:t xml:space="preserve">introduction of the Police Reform and Social Responsibility Act (PRSRA) 2011 which brought about the introduction of Police and Crime Commissioners charged with ensuring Police effectiveness in their relevant areas </w:t>
      </w:r>
      <w:sdt>
        <w:sdtPr>
          <w:rPr>
            <w:sz w:val="24"/>
            <w:szCs w:val="24"/>
          </w:rPr>
          <w:id w:val="1300266162"/>
          <w:citation/>
        </w:sdtPr>
        <w:sdtContent>
          <w:r w:rsidRPr="004148C5">
            <w:rPr>
              <w:sz w:val="24"/>
              <w:szCs w:val="24"/>
            </w:rPr>
            <w:fldChar w:fldCharType="begin"/>
          </w:r>
          <w:r w:rsidRPr="004148C5">
            <w:rPr>
              <w:sz w:val="24"/>
              <w:szCs w:val="24"/>
            </w:rPr>
            <w:instrText xml:space="preserve"> CITATION Wat19 \l 2057 </w:instrText>
          </w:r>
          <w:r w:rsidRPr="004148C5">
            <w:rPr>
              <w:sz w:val="24"/>
              <w:szCs w:val="24"/>
            </w:rPr>
            <w:fldChar w:fldCharType="separate"/>
          </w:r>
          <w:r w:rsidRPr="004148C5">
            <w:rPr>
              <w:noProof/>
              <w:sz w:val="24"/>
              <w:szCs w:val="24"/>
            </w:rPr>
            <w:t>(Watts, 2019)</w:t>
          </w:r>
          <w:r w:rsidRPr="004148C5">
            <w:rPr>
              <w:sz w:val="24"/>
              <w:szCs w:val="24"/>
            </w:rPr>
            <w:fldChar w:fldCharType="end"/>
          </w:r>
        </w:sdtContent>
      </w:sdt>
      <w:r w:rsidRPr="004148C5">
        <w:rPr>
          <w:sz w:val="24"/>
          <w:szCs w:val="24"/>
        </w:rPr>
        <w:t xml:space="preserve">. This created a new, quadripartite arrangement and four lines of governance between the Chief Constable, Police and Crime Commissioner, Police and Crime Panel and the Home Secretary. </w:t>
      </w:r>
      <w:sdt>
        <w:sdtPr>
          <w:rPr>
            <w:sz w:val="24"/>
            <w:szCs w:val="24"/>
          </w:rPr>
          <w:id w:val="-1459871597"/>
          <w:citation/>
        </w:sdtPr>
        <w:sdtContent>
          <w:r w:rsidRPr="004148C5">
            <w:rPr>
              <w:sz w:val="24"/>
              <w:szCs w:val="24"/>
            </w:rPr>
            <w:fldChar w:fldCharType="begin"/>
          </w:r>
          <w:r w:rsidRPr="004148C5">
            <w:rPr>
              <w:sz w:val="24"/>
              <w:szCs w:val="24"/>
            </w:rPr>
            <w:instrText xml:space="preserve"> CITATION Lis13 \l 2057 </w:instrText>
          </w:r>
          <w:r w:rsidRPr="004148C5">
            <w:rPr>
              <w:sz w:val="24"/>
              <w:szCs w:val="24"/>
            </w:rPr>
            <w:fldChar w:fldCharType="separate"/>
          </w:r>
          <w:r w:rsidRPr="004148C5">
            <w:rPr>
              <w:noProof/>
              <w:sz w:val="24"/>
              <w:szCs w:val="24"/>
            </w:rPr>
            <w:t>(Lister, 2013)</w:t>
          </w:r>
          <w:r w:rsidRPr="004148C5">
            <w:rPr>
              <w:sz w:val="24"/>
              <w:szCs w:val="24"/>
            </w:rPr>
            <w:fldChar w:fldCharType="end"/>
          </w:r>
        </w:sdtContent>
      </w:sdt>
      <w:r w:rsidRPr="004148C5">
        <w:rPr>
          <w:sz w:val="24"/>
          <w:szCs w:val="24"/>
        </w:rPr>
        <w:t xml:space="preserve"> </w:t>
      </w:r>
    </w:p>
    <w:p w:rsidR="00D57BEB" w:rsidRPr="004148C5" w:rsidRDefault="00D57BEB" w:rsidP="004148C5">
      <w:pPr>
        <w:spacing w:line="480" w:lineRule="auto"/>
        <w:jc w:val="both"/>
        <w:rPr>
          <w:sz w:val="24"/>
          <w:szCs w:val="24"/>
        </w:rPr>
      </w:pPr>
      <w:r w:rsidRPr="004148C5">
        <w:rPr>
          <w:sz w:val="24"/>
          <w:szCs w:val="24"/>
        </w:rPr>
        <w:t xml:space="preserve">Directly elected by the public every 4 years, Police and Crime Commissioners recruit (and dismiss) the Chief Constable and are required to ensure that the relevant Police Force is effective and efficient </w:t>
      </w:r>
      <w:sdt>
        <w:sdtPr>
          <w:rPr>
            <w:sz w:val="24"/>
            <w:szCs w:val="24"/>
          </w:rPr>
          <w:id w:val="417829417"/>
          <w:citation/>
        </w:sdtPr>
        <w:sdtContent>
          <w:r w:rsidRPr="004148C5">
            <w:rPr>
              <w:sz w:val="24"/>
              <w:szCs w:val="24"/>
            </w:rPr>
            <w:fldChar w:fldCharType="begin"/>
          </w:r>
          <w:r w:rsidRPr="004148C5">
            <w:rPr>
              <w:sz w:val="24"/>
              <w:szCs w:val="24"/>
            </w:rPr>
            <w:instrText xml:space="preserve"> CITATION Pol11 \l 2057 </w:instrText>
          </w:r>
          <w:r w:rsidRPr="004148C5">
            <w:rPr>
              <w:sz w:val="24"/>
              <w:szCs w:val="24"/>
            </w:rPr>
            <w:fldChar w:fldCharType="separate"/>
          </w:r>
          <w:r w:rsidRPr="004148C5">
            <w:rPr>
              <w:noProof/>
              <w:sz w:val="24"/>
              <w:szCs w:val="24"/>
            </w:rPr>
            <w:t>(PRaSRA, 2011)</w:t>
          </w:r>
          <w:r w:rsidRPr="004148C5">
            <w:rPr>
              <w:sz w:val="24"/>
              <w:szCs w:val="24"/>
            </w:rPr>
            <w:fldChar w:fldCharType="end"/>
          </w:r>
        </w:sdtContent>
      </w:sdt>
      <w:r w:rsidRPr="004148C5">
        <w:rPr>
          <w:sz w:val="24"/>
          <w:szCs w:val="24"/>
        </w:rPr>
        <w:t>. The Commissioner must hold the Chief Constable to account, but not to the extent so as to impede their operational independence</w:t>
      </w:r>
      <w:r w:rsidR="002E489E">
        <w:rPr>
          <w:sz w:val="24"/>
          <w:szCs w:val="24"/>
        </w:rPr>
        <w:t>.</w:t>
      </w:r>
      <w:r w:rsidRPr="004148C5">
        <w:rPr>
          <w:sz w:val="24"/>
          <w:szCs w:val="24"/>
        </w:rPr>
        <w:t xml:space="preserve"> In addition, the Commissioner is also responsible for </w:t>
      </w:r>
      <w:r w:rsidRPr="004148C5">
        <w:rPr>
          <w:rFonts w:cstheme="minorHAnsi"/>
          <w:sz w:val="24"/>
          <w:szCs w:val="24"/>
        </w:rPr>
        <w:t xml:space="preserve">setting the force budget, recommending the council tax precept and the production of the Police and Crime Plan which determines policing priorities alongside strategic objectives and associated community safety interventions </w:t>
      </w:r>
      <w:sdt>
        <w:sdtPr>
          <w:rPr>
            <w:rFonts w:cstheme="minorHAnsi"/>
            <w:sz w:val="24"/>
            <w:szCs w:val="24"/>
          </w:rPr>
          <w:id w:val="-270092167"/>
          <w:citation/>
        </w:sdtPr>
        <w:sdtContent>
          <w:r w:rsidRPr="004148C5">
            <w:rPr>
              <w:rFonts w:cstheme="minorHAnsi"/>
              <w:sz w:val="24"/>
              <w:szCs w:val="24"/>
            </w:rPr>
            <w:fldChar w:fldCharType="begin"/>
          </w:r>
          <w:r w:rsidRPr="004148C5">
            <w:rPr>
              <w:rFonts w:cstheme="minorHAnsi"/>
              <w:sz w:val="24"/>
              <w:szCs w:val="24"/>
            </w:rPr>
            <w:instrText xml:space="preserve">CITATION Pol11 \l 2057 </w:instrText>
          </w:r>
          <w:r w:rsidRPr="004148C5">
            <w:rPr>
              <w:rFonts w:cstheme="minorHAnsi"/>
              <w:sz w:val="24"/>
              <w:szCs w:val="24"/>
            </w:rPr>
            <w:fldChar w:fldCharType="separate"/>
          </w:r>
          <w:r w:rsidRPr="004148C5">
            <w:rPr>
              <w:rFonts w:cstheme="minorHAnsi"/>
              <w:noProof/>
              <w:sz w:val="24"/>
              <w:szCs w:val="24"/>
            </w:rPr>
            <w:t>(PRaSRA, 2011)</w:t>
          </w:r>
          <w:r w:rsidRPr="004148C5">
            <w:rPr>
              <w:rFonts w:cstheme="minorHAnsi"/>
              <w:sz w:val="24"/>
              <w:szCs w:val="24"/>
            </w:rPr>
            <w:fldChar w:fldCharType="end"/>
          </w:r>
        </w:sdtContent>
      </w:sdt>
      <w:r w:rsidRPr="004148C5">
        <w:rPr>
          <w:rFonts w:cstheme="minorHAnsi"/>
          <w:sz w:val="24"/>
          <w:szCs w:val="24"/>
        </w:rPr>
        <w:t>. The Commissioner must engage the public in setting those priorities and also take account of local authority priorities.</w:t>
      </w:r>
    </w:p>
    <w:p w:rsidR="00D57BEB" w:rsidRPr="004148C5" w:rsidRDefault="00D57BEB" w:rsidP="004148C5">
      <w:pPr>
        <w:spacing w:line="480" w:lineRule="auto"/>
        <w:jc w:val="both"/>
        <w:rPr>
          <w:sz w:val="24"/>
          <w:szCs w:val="24"/>
        </w:rPr>
      </w:pPr>
      <w:r w:rsidRPr="004148C5">
        <w:rPr>
          <w:sz w:val="24"/>
          <w:szCs w:val="24"/>
        </w:rPr>
        <w:t xml:space="preserve">Whilst individual Chief Constables still maintain command and control of their respective force, they must also now consider the areas identified within the relevant Police and Crime Plan compiled by the Commissioner following engagement with the public in the local area </w:t>
      </w:r>
      <w:sdt>
        <w:sdtPr>
          <w:rPr>
            <w:sz w:val="24"/>
            <w:szCs w:val="24"/>
          </w:rPr>
          <w:id w:val="-1854486327"/>
          <w:citation/>
        </w:sdtPr>
        <w:sdtContent>
          <w:r w:rsidRPr="004148C5">
            <w:rPr>
              <w:sz w:val="24"/>
              <w:szCs w:val="24"/>
            </w:rPr>
            <w:fldChar w:fldCharType="begin"/>
          </w:r>
          <w:r w:rsidRPr="004148C5">
            <w:rPr>
              <w:sz w:val="24"/>
              <w:szCs w:val="24"/>
            </w:rPr>
            <w:instrText xml:space="preserve"> CITATION Rei13 \l 2057 </w:instrText>
          </w:r>
          <w:r w:rsidRPr="004148C5">
            <w:rPr>
              <w:sz w:val="24"/>
              <w:szCs w:val="24"/>
            </w:rPr>
            <w:fldChar w:fldCharType="separate"/>
          </w:r>
          <w:r w:rsidRPr="004148C5">
            <w:rPr>
              <w:noProof/>
              <w:sz w:val="24"/>
              <w:szCs w:val="24"/>
            </w:rPr>
            <w:t>(Reiner, 2013)</w:t>
          </w:r>
          <w:r w:rsidRPr="004148C5">
            <w:rPr>
              <w:sz w:val="24"/>
              <w:szCs w:val="24"/>
            </w:rPr>
            <w:fldChar w:fldCharType="end"/>
          </w:r>
        </w:sdtContent>
      </w:sdt>
      <w:r w:rsidRPr="004148C5">
        <w:rPr>
          <w:sz w:val="24"/>
          <w:szCs w:val="24"/>
        </w:rPr>
        <w:t>. The concept of a locally directly elected individual accountable to the public does identify an individual as a singl</w:t>
      </w:r>
      <w:r w:rsidR="002E0D17">
        <w:rPr>
          <w:sz w:val="24"/>
          <w:szCs w:val="24"/>
        </w:rPr>
        <w:t xml:space="preserve">e contact to direct contact. </w:t>
      </w:r>
      <w:r w:rsidRPr="004148C5">
        <w:rPr>
          <w:sz w:val="24"/>
          <w:szCs w:val="24"/>
        </w:rPr>
        <w:t xml:space="preserve">A further examination of the point identifies that voter turnout at PCC elections is especially low – especially when held in isolation from other electoral processes. The turnout at the 2016 elections was just 27.3% nationally </w:t>
      </w:r>
      <w:sdt>
        <w:sdtPr>
          <w:rPr>
            <w:sz w:val="24"/>
            <w:szCs w:val="24"/>
          </w:rPr>
          <w:id w:val="-1976747327"/>
          <w:citation/>
        </w:sdtPr>
        <w:sdtContent>
          <w:r w:rsidRPr="004148C5">
            <w:rPr>
              <w:sz w:val="24"/>
              <w:szCs w:val="24"/>
            </w:rPr>
            <w:fldChar w:fldCharType="begin"/>
          </w:r>
          <w:r w:rsidRPr="004148C5">
            <w:rPr>
              <w:sz w:val="24"/>
              <w:szCs w:val="24"/>
            </w:rPr>
            <w:instrText xml:space="preserve">CITATION Res19 \l 2057 </w:instrText>
          </w:r>
          <w:r w:rsidRPr="004148C5">
            <w:rPr>
              <w:sz w:val="24"/>
              <w:szCs w:val="24"/>
            </w:rPr>
            <w:fldChar w:fldCharType="separate"/>
          </w:r>
          <w:r w:rsidRPr="004148C5">
            <w:rPr>
              <w:noProof/>
              <w:sz w:val="24"/>
              <w:szCs w:val="24"/>
            </w:rPr>
            <w:t>(Electoral Commission, 2019)</w:t>
          </w:r>
          <w:r w:rsidRPr="004148C5">
            <w:rPr>
              <w:sz w:val="24"/>
              <w:szCs w:val="24"/>
            </w:rPr>
            <w:fldChar w:fldCharType="end"/>
          </w:r>
        </w:sdtContent>
      </w:sdt>
      <w:r w:rsidRPr="004148C5">
        <w:rPr>
          <w:sz w:val="24"/>
          <w:szCs w:val="24"/>
        </w:rPr>
        <w:t xml:space="preserve"> and therefore can the PCC truly claim a democratic mandate in accordance with the aspirations of the act? The empowerment of a single </w:t>
      </w:r>
      <w:r w:rsidRPr="004148C5">
        <w:rPr>
          <w:sz w:val="24"/>
          <w:szCs w:val="24"/>
        </w:rPr>
        <w:lastRenderedPageBreak/>
        <w:t xml:space="preserve">individual can actually be undemocratic </w:t>
      </w:r>
      <w:r w:rsidR="00AA6988">
        <w:rPr>
          <w:sz w:val="24"/>
          <w:szCs w:val="24"/>
        </w:rPr>
        <w:t xml:space="preserve">- </w:t>
      </w:r>
      <w:r w:rsidRPr="004148C5">
        <w:rPr>
          <w:sz w:val="24"/>
          <w:szCs w:val="24"/>
        </w:rPr>
        <w:t>as subsequent decision making i</w:t>
      </w:r>
      <w:r w:rsidR="00AA6988">
        <w:rPr>
          <w:sz w:val="24"/>
          <w:szCs w:val="24"/>
        </w:rPr>
        <w:t>s actually withheld from voters</w:t>
      </w:r>
      <w:r w:rsidRPr="004148C5">
        <w:rPr>
          <w:sz w:val="24"/>
          <w:szCs w:val="24"/>
        </w:rPr>
        <w:t xml:space="preserve"> </w:t>
      </w:r>
      <w:sdt>
        <w:sdtPr>
          <w:rPr>
            <w:sz w:val="24"/>
            <w:szCs w:val="24"/>
          </w:rPr>
          <w:id w:val="-339390566"/>
          <w:citation/>
        </w:sdtPr>
        <w:sdtContent>
          <w:r w:rsidRPr="004148C5">
            <w:rPr>
              <w:sz w:val="24"/>
              <w:szCs w:val="24"/>
            </w:rPr>
            <w:fldChar w:fldCharType="begin"/>
          </w:r>
          <w:r w:rsidRPr="004148C5">
            <w:rPr>
              <w:sz w:val="24"/>
              <w:szCs w:val="24"/>
            </w:rPr>
            <w:instrText xml:space="preserve"> CITATION Ros20 \l 2057 </w:instrText>
          </w:r>
          <w:r w:rsidRPr="004148C5">
            <w:rPr>
              <w:sz w:val="24"/>
              <w:szCs w:val="24"/>
            </w:rPr>
            <w:fldChar w:fldCharType="separate"/>
          </w:r>
          <w:r w:rsidRPr="004148C5">
            <w:rPr>
              <w:noProof/>
              <w:sz w:val="24"/>
              <w:szCs w:val="24"/>
            </w:rPr>
            <w:t>(Rosonvallon, 2020)</w:t>
          </w:r>
          <w:r w:rsidRPr="004148C5">
            <w:rPr>
              <w:sz w:val="24"/>
              <w:szCs w:val="24"/>
            </w:rPr>
            <w:fldChar w:fldCharType="end"/>
          </w:r>
        </w:sdtContent>
      </w:sdt>
      <w:r w:rsidRPr="004148C5">
        <w:rPr>
          <w:sz w:val="24"/>
          <w:szCs w:val="24"/>
        </w:rPr>
        <w:t xml:space="preserve">. </w:t>
      </w:r>
      <w:r w:rsidR="003C13F6">
        <w:rPr>
          <w:sz w:val="24"/>
          <w:szCs w:val="24"/>
        </w:rPr>
        <w:t>It is acknowledged that t</w:t>
      </w:r>
      <w:r w:rsidRPr="004148C5">
        <w:rPr>
          <w:sz w:val="24"/>
          <w:szCs w:val="24"/>
        </w:rPr>
        <w:t>hose charged with delivery of public service</w:t>
      </w:r>
      <w:r w:rsidR="003C13F6">
        <w:rPr>
          <w:sz w:val="24"/>
          <w:szCs w:val="24"/>
        </w:rPr>
        <w:t>s</w:t>
      </w:r>
      <w:r w:rsidRPr="004148C5">
        <w:rPr>
          <w:sz w:val="24"/>
          <w:szCs w:val="24"/>
        </w:rPr>
        <w:t xml:space="preserve"> must earn the trust of those they serve and cannot claim to be legitimate purely on the basis of election or profession </w:t>
      </w:r>
      <w:sdt>
        <w:sdtPr>
          <w:rPr>
            <w:sz w:val="24"/>
            <w:szCs w:val="24"/>
          </w:rPr>
          <w:id w:val="-503132256"/>
          <w:citation/>
        </w:sdtPr>
        <w:sdtContent>
          <w:r w:rsidRPr="004148C5">
            <w:rPr>
              <w:sz w:val="24"/>
              <w:szCs w:val="24"/>
            </w:rPr>
            <w:fldChar w:fldCharType="begin"/>
          </w:r>
          <w:r w:rsidRPr="004148C5">
            <w:rPr>
              <w:sz w:val="24"/>
              <w:szCs w:val="24"/>
            </w:rPr>
            <w:instrText xml:space="preserve"> CITATION Bov15 \l 2057 </w:instrText>
          </w:r>
          <w:r w:rsidRPr="004148C5">
            <w:rPr>
              <w:sz w:val="24"/>
              <w:szCs w:val="24"/>
            </w:rPr>
            <w:fldChar w:fldCharType="separate"/>
          </w:r>
          <w:r w:rsidRPr="004148C5">
            <w:rPr>
              <w:noProof/>
              <w:sz w:val="24"/>
              <w:szCs w:val="24"/>
            </w:rPr>
            <w:t>(Bovaird &amp; Loeffler, 2016)</w:t>
          </w:r>
          <w:r w:rsidRPr="004148C5">
            <w:rPr>
              <w:sz w:val="24"/>
              <w:szCs w:val="24"/>
            </w:rPr>
            <w:fldChar w:fldCharType="end"/>
          </w:r>
        </w:sdtContent>
      </w:sdt>
      <w:r w:rsidRPr="004148C5">
        <w:rPr>
          <w:sz w:val="24"/>
          <w:szCs w:val="24"/>
        </w:rPr>
        <w:t>. Further examination highlights how the lowest national turnout</w:t>
      </w:r>
      <w:r w:rsidR="001E4AEE">
        <w:rPr>
          <w:sz w:val="24"/>
          <w:szCs w:val="24"/>
        </w:rPr>
        <w:t xml:space="preserve"> - </w:t>
      </w:r>
      <w:r w:rsidR="001E4AEE" w:rsidRPr="004148C5">
        <w:rPr>
          <w:sz w:val="24"/>
          <w:szCs w:val="24"/>
        </w:rPr>
        <w:t>in</w:t>
      </w:r>
      <w:r w:rsidRPr="004148C5">
        <w:rPr>
          <w:sz w:val="24"/>
          <w:szCs w:val="24"/>
        </w:rPr>
        <w:t xml:space="preserve"> the Durham force area saw only 17.4% of eligible voters a</w:t>
      </w:r>
      <w:r w:rsidR="001E4AEE">
        <w:rPr>
          <w:sz w:val="24"/>
          <w:szCs w:val="24"/>
        </w:rPr>
        <w:t>ctually do</w:t>
      </w:r>
      <w:r w:rsidRPr="004148C5">
        <w:rPr>
          <w:sz w:val="24"/>
          <w:szCs w:val="24"/>
        </w:rPr>
        <w:t xml:space="preserve"> so </w:t>
      </w:r>
      <w:sdt>
        <w:sdtPr>
          <w:rPr>
            <w:sz w:val="24"/>
            <w:szCs w:val="24"/>
          </w:rPr>
          <w:id w:val="-37278224"/>
          <w:citation/>
        </w:sdtPr>
        <w:sdtContent>
          <w:r w:rsidRPr="004148C5">
            <w:rPr>
              <w:sz w:val="24"/>
              <w:szCs w:val="24"/>
            </w:rPr>
            <w:fldChar w:fldCharType="begin"/>
          </w:r>
          <w:r w:rsidRPr="004148C5">
            <w:rPr>
              <w:sz w:val="24"/>
              <w:szCs w:val="24"/>
            </w:rPr>
            <w:instrText xml:space="preserve"> CITATION BBC16 \l 2057 </w:instrText>
          </w:r>
          <w:r w:rsidRPr="004148C5">
            <w:rPr>
              <w:sz w:val="24"/>
              <w:szCs w:val="24"/>
            </w:rPr>
            <w:fldChar w:fldCharType="separate"/>
          </w:r>
          <w:r w:rsidRPr="004148C5">
            <w:rPr>
              <w:noProof/>
              <w:sz w:val="24"/>
              <w:szCs w:val="24"/>
            </w:rPr>
            <w:t>(BBC, 2016)</w:t>
          </w:r>
          <w:r w:rsidRPr="004148C5">
            <w:rPr>
              <w:sz w:val="24"/>
              <w:szCs w:val="24"/>
            </w:rPr>
            <w:fldChar w:fldCharType="end"/>
          </w:r>
        </w:sdtContent>
      </w:sdt>
      <w:r w:rsidRPr="004148C5">
        <w:rPr>
          <w:sz w:val="24"/>
          <w:szCs w:val="24"/>
        </w:rPr>
        <w:t xml:space="preserve">. The elected candidate Ron Hogg retained his seat, receiving 50,915 votes from a potential 459,554 registered electors </w:t>
      </w:r>
      <w:sdt>
        <w:sdtPr>
          <w:rPr>
            <w:sz w:val="24"/>
            <w:szCs w:val="24"/>
          </w:rPr>
          <w:id w:val="-1468206924"/>
          <w:citation/>
        </w:sdtPr>
        <w:sdtContent>
          <w:r w:rsidRPr="004148C5">
            <w:rPr>
              <w:sz w:val="24"/>
              <w:szCs w:val="24"/>
            </w:rPr>
            <w:fldChar w:fldCharType="begin"/>
          </w:r>
          <w:r w:rsidRPr="004148C5">
            <w:rPr>
              <w:sz w:val="24"/>
              <w:szCs w:val="24"/>
            </w:rPr>
            <w:instrText xml:space="preserve">CITATION Bou20 \l 2057 </w:instrText>
          </w:r>
          <w:r w:rsidRPr="004148C5">
            <w:rPr>
              <w:sz w:val="24"/>
              <w:szCs w:val="24"/>
            </w:rPr>
            <w:fldChar w:fldCharType="separate"/>
          </w:r>
          <w:r w:rsidRPr="004148C5">
            <w:rPr>
              <w:noProof/>
              <w:sz w:val="24"/>
              <w:szCs w:val="24"/>
            </w:rPr>
            <w:t>(Boundary Commission, 2020)</w:t>
          </w:r>
          <w:r w:rsidRPr="004148C5">
            <w:rPr>
              <w:sz w:val="24"/>
              <w:szCs w:val="24"/>
            </w:rPr>
            <w:fldChar w:fldCharType="end"/>
          </w:r>
        </w:sdtContent>
      </w:sdt>
      <w:r w:rsidRPr="004148C5">
        <w:rPr>
          <w:sz w:val="24"/>
          <w:szCs w:val="24"/>
        </w:rPr>
        <w:t xml:space="preserve"> at a percentage of just over 11%. Almost 89% of eligible voters did not vote for the successful Durham PCC and therefore the question of democratic mandate is a valid one.</w:t>
      </w:r>
      <w:r w:rsidRPr="004148C5">
        <w:rPr>
          <w:b/>
          <w:sz w:val="24"/>
          <w:szCs w:val="24"/>
        </w:rPr>
        <w:t xml:space="preserve"> </w:t>
      </w:r>
    </w:p>
    <w:p w:rsidR="00D57BEB" w:rsidRPr="004148C5" w:rsidRDefault="00D57BEB" w:rsidP="004148C5">
      <w:pPr>
        <w:spacing w:line="480" w:lineRule="auto"/>
        <w:jc w:val="both"/>
        <w:rPr>
          <w:rFonts w:cstheme="minorHAnsi"/>
          <w:iCs/>
          <w:sz w:val="24"/>
          <w:szCs w:val="24"/>
        </w:rPr>
      </w:pPr>
      <w:r w:rsidRPr="004148C5">
        <w:rPr>
          <w:sz w:val="24"/>
          <w:szCs w:val="24"/>
        </w:rPr>
        <w:t>Other than psychological cost and reputational harm to candidates</w:t>
      </w:r>
      <w:sdt>
        <w:sdtPr>
          <w:rPr>
            <w:sz w:val="24"/>
            <w:szCs w:val="24"/>
          </w:rPr>
          <w:id w:val="-336690101"/>
          <w:citation/>
        </w:sdtPr>
        <w:sdtContent>
          <w:r w:rsidRPr="004148C5">
            <w:rPr>
              <w:sz w:val="24"/>
              <w:szCs w:val="24"/>
            </w:rPr>
            <w:fldChar w:fldCharType="begin"/>
          </w:r>
          <w:r w:rsidRPr="004148C5">
            <w:rPr>
              <w:sz w:val="24"/>
              <w:szCs w:val="24"/>
            </w:rPr>
            <w:instrText xml:space="preserve"> CITATION Gne05 \l 2057 </w:instrText>
          </w:r>
          <w:r w:rsidRPr="004148C5">
            <w:rPr>
              <w:sz w:val="24"/>
              <w:szCs w:val="24"/>
            </w:rPr>
            <w:fldChar w:fldCharType="separate"/>
          </w:r>
          <w:r w:rsidRPr="004148C5">
            <w:rPr>
              <w:noProof/>
              <w:sz w:val="24"/>
              <w:szCs w:val="24"/>
            </w:rPr>
            <w:t xml:space="preserve"> (Gneezy, 2005)</w:t>
          </w:r>
          <w:r w:rsidRPr="004148C5">
            <w:rPr>
              <w:sz w:val="24"/>
              <w:szCs w:val="24"/>
            </w:rPr>
            <w:fldChar w:fldCharType="end"/>
          </w:r>
        </w:sdtContent>
      </w:sdt>
      <w:r w:rsidRPr="004148C5">
        <w:rPr>
          <w:sz w:val="24"/>
          <w:szCs w:val="24"/>
        </w:rPr>
        <w:t xml:space="preserve"> , prospective PCC’s are not legally bound to deliver on campaign pledges and voters have no direct method of ensuring that campaign promises are delivered </w:t>
      </w:r>
      <w:sdt>
        <w:sdtPr>
          <w:rPr>
            <w:sz w:val="24"/>
            <w:szCs w:val="24"/>
          </w:rPr>
          <w:id w:val="2131275330"/>
          <w:citation/>
        </w:sdtPr>
        <w:sdtContent>
          <w:r w:rsidRPr="004148C5">
            <w:rPr>
              <w:sz w:val="24"/>
              <w:szCs w:val="24"/>
            </w:rPr>
            <w:fldChar w:fldCharType="begin"/>
          </w:r>
          <w:r w:rsidRPr="004148C5">
            <w:rPr>
              <w:sz w:val="24"/>
              <w:szCs w:val="24"/>
            </w:rPr>
            <w:instrText xml:space="preserve"> CITATION Man01 \l 2057 </w:instrText>
          </w:r>
          <w:r w:rsidRPr="004148C5">
            <w:rPr>
              <w:sz w:val="24"/>
              <w:szCs w:val="24"/>
            </w:rPr>
            <w:fldChar w:fldCharType="separate"/>
          </w:r>
          <w:r w:rsidRPr="004148C5">
            <w:rPr>
              <w:noProof/>
              <w:sz w:val="24"/>
              <w:szCs w:val="24"/>
            </w:rPr>
            <w:t>(Manning, et al., 2001)</w:t>
          </w:r>
          <w:r w:rsidRPr="004148C5">
            <w:rPr>
              <w:sz w:val="24"/>
              <w:szCs w:val="24"/>
            </w:rPr>
            <w:fldChar w:fldCharType="end"/>
          </w:r>
        </w:sdtContent>
      </w:sdt>
      <w:r w:rsidRPr="004148C5">
        <w:rPr>
          <w:sz w:val="24"/>
          <w:szCs w:val="24"/>
        </w:rPr>
        <w:t>.</w:t>
      </w:r>
      <w:r w:rsidRPr="004148C5">
        <w:rPr>
          <w:rFonts w:cstheme="minorHAnsi"/>
          <w:sz w:val="24"/>
          <w:szCs w:val="24"/>
        </w:rPr>
        <w:t xml:space="preserve"> Whilst the election of a single individual with responsibility for oversight of local policing does provide one single person to direct feedback it also causes concern that local police and partner activity could frequently change ‘depending on the priorities and judgements of each individual PCC’</w:t>
      </w:r>
      <w:r w:rsidR="002E489E">
        <w:rPr>
          <w:rFonts w:cstheme="minorHAnsi"/>
          <w:sz w:val="24"/>
          <w:szCs w:val="24"/>
        </w:rPr>
        <w:t xml:space="preserve"> </w:t>
      </w:r>
      <w:sdt>
        <w:sdtPr>
          <w:rPr>
            <w:rFonts w:cstheme="minorHAnsi"/>
            <w:sz w:val="24"/>
            <w:szCs w:val="24"/>
          </w:rPr>
          <w:id w:val="421077081"/>
          <w:citation/>
        </w:sdtPr>
        <w:sdtContent>
          <w:r w:rsidR="002E489E">
            <w:rPr>
              <w:rFonts w:cstheme="minorHAnsi"/>
              <w:sz w:val="24"/>
              <w:szCs w:val="24"/>
            </w:rPr>
            <w:fldChar w:fldCharType="begin"/>
          </w:r>
          <w:r w:rsidR="002E489E">
            <w:rPr>
              <w:rFonts w:cstheme="minorHAnsi"/>
              <w:iCs/>
              <w:sz w:val="24"/>
              <w:szCs w:val="24"/>
            </w:rPr>
            <w:instrText xml:space="preserve">CITATION Mag21 \p 489 \l 2057 </w:instrText>
          </w:r>
          <w:r w:rsidR="002E489E">
            <w:rPr>
              <w:rFonts w:cstheme="minorHAnsi"/>
              <w:sz w:val="24"/>
              <w:szCs w:val="24"/>
            </w:rPr>
            <w:fldChar w:fldCharType="separate"/>
          </w:r>
          <w:r w:rsidR="002E489E" w:rsidRPr="002E489E">
            <w:rPr>
              <w:rFonts w:cstheme="minorHAnsi"/>
              <w:noProof/>
              <w:sz w:val="24"/>
              <w:szCs w:val="24"/>
            </w:rPr>
            <w:t>(Maguire, 2012, p. 489)</w:t>
          </w:r>
          <w:r w:rsidR="002E489E">
            <w:rPr>
              <w:rFonts w:cstheme="minorHAnsi"/>
              <w:sz w:val="24"/>
              <w:szCs w:val="24"/>
            </w:rPr>
            <w:fldChar w:fldCharType="end"/>
          </w:r>
        </w:sdtContent>
      </w:sdt>
      <w:r w:rsidRPr="004148C5">
        <w:rPr>
          <w:rFonts w:cstheme="minorHAnsi"/>
          <w:iCs/>
          <w:sz w:val="24"/>
          <w:szCs w:val="24"/>
        </w:rPr>
        <w:t xml:space="preserve">. </w:t>
      </w:r>
      <w:r w:rsidRPr="004148C5">
        <w:rPr>
          <w:rFonts w:cstheme="minorHAnsi"/>
          <w:sz w:val="24"/>
          <w:szCs w:val="24"/>
        </w:rPr>
        <w:t xml:space="preserve">This was of significant concern in that policing should enforce the law on behalf of and with the support of the community </w:t>
      </w:r>
      <w:r w:rsidRPr="004148C5">
        <w:rPr>
          <w:rFonts w:cstheme="minorHAnsi"/>
          <w:iCs/>
          <w:sz w:val="24"/>
          <w:szCs w:val="24"/>
        </w:rPr>
        <w:t>(Lister 2013).</w:t>
      </w:r>
    </w:p>
    <w:p w:rsidR="00D57BEB" w:rsidRPr="004148C5" w:rsidRDefault="00D57BEB" w:rsidP="004148C5">
      <w:pPr>
        <w:spacing w:line="480" w:lineRule="auto"/>
        <w:jc w:val="both"/>
        <w:rPr>
          <w:sz w:val="24"/>
          <w:szCs w:val="24"/>
        </w:rPr>
      </w:pPr>
      <w:r w:rsidRPr="004148C5">
        <w:rPr>
          <w:rFonts w:cstheme="minorHAnsi"/>
          <w:sz w:val="24"/>
          <w:szCs w:val="24"/>
        </w:rPr>
        <w:t xml:space="preserve">Further concerns have been raised regarding political affiliation of PCCs and the targeting of crime types or particular areas, in an effort to appeal to the public who would subsequently determine their re-election </w:t>
      </w:r>
      <w:r w:rsidRPr="004148C5">
        <w:rPr>
          <w:rFonts w:cstheme="minorHAnsi"/>
          <w:iCs/>
          <w:sz w:val="24"/>
          <w:szCs w:val="24"/>
        </w:rPr>
        <w:t xml:space="preserve">(Lister 2103). </w:t>
      </w:r>
      <w:r w:rsidRPr="004148C5">
        <w:rPr>
          <w:rFonts w:cstheme="minorHAnsi"/>
          <w:sz w:val="24"/>
          <w:szCs w:val="24"/>
        </w:rPr>
        <w:t xml:space="preserve">Despite this, the responsibility of PCCs to hold Chief Constables to account has been widely debated, particularly due to the majority of PCC candidates and elected individuals representing a political party, and the risk of ‘politicising’ the police (Liberty 2010). </w:t>
      </w:r>
      <w:r w:rsidR="002E489E">
        <w:rPr>
          <w:sz w:val="24"/>
          <w:szCs w:val="24"/>
        </w:rPr>
        <w:t>It is acknowledged that operational independence is</w:t>
      </w:r>
      <w:r w:rsidR="002E489E" w:rsidRPr="004148C5">
        <w:rPr>
          <w:sz w:val="24"/>
          <w:szCs w:val="24"/>
        </w:rPr>
        <w:t xml:space="preserve"> a debatable </w:t>
      </w:r>
      <w:r w:rsidR="002E489E" w:rsidRPr="004148C5">
        <w:rPr>
          <w:sz w:val="24"/>
          <w:szCs w:val="24"/>
        </w:rPr>
        <w:lastRenderedPageBreak/>
        <w:t>concept</w:t>
      </w:r>
      <w:r w:rsidR="002E489E">
        <w:rPr>
          <w:sz w:val="24"/>
          <w:szCs w:val="24"/>
        </w:rPr>
        <w:t xml:space="preserve"> and</w:t>
      </w:r>
      <w:r w:rsidR="002E489E" w:rsidRPr="004148C5">
        <w:rPr>
          <w:sz w:val="24"/>
          <w:szCs w:val="24"/>
        </w:rPr>
        <w:t xml:space="preserve"> is ‘fluid and context driven’ </w:t>
      </w:r>
      <w:r w:rsidR="002E489E">
        <w:rPr>
          <w:sz w:val="24"/>
          <w:szCs w:val="24"/>
        </w:rPr>
        <w:t>while</w:t>
      </w:r>
      <w:r w:rsidR="002E489E" w:rsidRPr="004148C5">
        <w:rPr>
          <w:sz w:val="24"/>
          <w:szCs w:val="24"/>
        </w:rPr>
        <w:t xml:space="preserve"> remain</w:t>
      </w:r>
      <w:r w:rsidR="002E489E">
        <w:rPr>
          <w:sz w:val="24"/>
          <w:szCs w:val="24"/>
        </w:rPr>
        <w:t>ing</w:t>
      </w:r>
      <w:r w:rsidR="002E489E" w:rsidRPr="004148C5">
        <w:rPr>
          <w:sz w:val="24"/>
          <w:szCs w:val="24"/>
        </w:rPr>
        <w:t xml:space="preserve"> subject to conversation </w:t>
      </w:r>
      <w:sdt>
        <w:sdtPr>
          <w:rPr>
            <w:sz w:val="24"/>
            <w:szCs w:val="24"/>
          </w:rPr>
          <w:id w:val="-1387786216"/>
          <w:citation/>
        </w:sdtPr>
        <w:sdtContent>
          <w:r w:rsidR="002E489E" w:rsidRPr="004148C5">
            <w:rPr>
              <w:sz w:val="24"/>
              <w:szCs w:val="24"/>
            </w:rPr>
            <w:fldChar w:fldCharType="begin"/>
          </w:r>
          <w:r w:rsidR="002E489E" w:rsidRPr="004148C5">
            <w:rPr>
              <w:sz w:val="24"/>
              <w:szCs w:val="24"/>
            </w:rPr>
            <w:instrText xml:space="preserve"> CITATION Hom10 \l 2057 </w:instrText>
          </w:r>
          <w:r w:rsidR="002E489E" w:rsidRPr="004148C5">
            <w:rPr>
              <w:sz w:val="24"/>
              <w:szCs w:val="24"/>
            </w:rPr>
            <w:fldChar w:fldCharType="separate"/>
          </w:r>
          <w:r w:rsidR="002E489E" w:rsidRPr="004148C5">
            <w:rPr>
              <w:noProof/>
              <w:sz w:val="24"/>
              <w:szCs w:val="24"/>
            </w:rPr>
            <w:t>(Home Affairs Commitee, 2010)</w:t>
          </w:r>
          <w:r w:rsidR="002E489E" w:rsidRPr="004148C5">
            <w:rPr>
              <w:sz w:val="24"/>
              <w:szCs w:val="24"/>
            </w:rPr>
            <w:fldChar w:fldCharType="end"/>
          </w:r>
        </w:sdtContent>
      </w:sdt>
      <w:r w:rsidR="002E489E" w:rsidRPr="004148C5">
        <w:rPr>
          <w:sz w:val="24"/>
          <w:szCs w:val="24"/>
        </w:rPr>
        <w:t xml:space="preserve">. Interestingly, for Jones </w:t>
      </w:r>
      <w:sdt>
        <w:sdtPr>
          <w:rPr>
            <w:sz w:val="24"/>
            <w:szCs w:val="24"/>
          </w:rPr>
          <w:id w:val="-721443256"/>
          <w:citation/>
        </w:sdtPr>
        <w:sdtContent>
          <w:r w:rsidR="002E489E" w:rsidRPr="004148C5">
            <w:rPr>
              <w:sz w:val="24"/>
              <w:szCs w:val="24"/>
            </w:rPr>
            <w:fldChar w:fldCharType="begin"/>
          </w:r>
          <w:r w:rsidR="002E489E" w:rsidRPr="004148C5">
            <w:rPr>
              <w:sz w:val="24"/>
              <w:szCs w:val="24"/>
            </w:rPr>
            <w:instrText xml:space="preserve">CITATION Jon21 \n  \l 2057 </w:instrText>
          </w:r>
          <w:r w:rsidR="002E489E" w:rsidRPr="004148C5">
            <w:rPr>
              <w:sz w:val="24"/>
              <w:szCs w:val="24"/>
            </w:rPr>
            <w:fldChar w:fldCharType="separate"/>
          </w:r>
          <w:r w:rsidR="002E489E" w:rsidRPr="004148C5">
            <w:rPr>
              <w:noProof/>
              <w:sz w:val="24"/>
              <w:szCs w:val="24"/>
            </w:rPr>
            <w:t>(2021)</w:t>
          </w:r>
          <w:r w:rsidR="002E489E" w:rsidRPr="004148C5">
            <w:rPr>
              <w:sz w:val="24"/>
              <w:szCs w:val="24"/>
            </w:rPr>
            <w:fldChar w:fldCharType="end"/>
          </w:r>
        </w:sdtContent>
      </w:sdt>
      <w:r w:rsidR="002E489E" w:rsidRPr="004148C5">
        <w:rPr>
          <w:sz w:val="24"/>
          <w:szCs w:val="24"/>
        </w:rPr>
        <w:t xml:space="preserve"> it is unreasonable to expect the Police and Crime Commissioner to avoid raising operational issues with the relevant force, and it is for the force to ‘push back’ against any perceived over stepping of the line.</w:t>
      </w:r>
      <w:r w:rsidR="0026395B">
        <w:rPr>
          <w:sz w:val="24"/>
          <w:szCs w:val="24"/>
        </w:rPr>
        <w:t xml:space="preserve"> </w:t>
      </w:r>
      <w:r w:rsidRPr="004148C5">
        <w:rPr>
          <w:sz w:val="24"/>
          <w:szCs w:val="24"/>
        </w:rPr>
        <w:t xml:space="preserve">Many PCC’s have indeed established formal scrutiny processes in their respective areas </w:t>
      </w:r>
      <w:sdt>
        <w:sdtPr>
          <w:rPr>
            <w:sz w:val="24"/>
            <w:szCs w:val="24"/>
          </w:rPr>
          <w:id w:val="-985937940"/>
          <w:citation/>
        </w:sdtPr>
        <w:sdtContent>
          <w:r w:rsidRPr="004148C5">
            <w:rPr>
              <w:sz w:val="24"/>
              <w:szCs w:val="24"/>
            </w:rPr>
            <w:fldChar w:fldCharType="begin"/>
          </w:r>
          <w:r w:rsidRPr="004148C5">
            <w:rPr>
              <w:sz w:val="24"/>
              <w:szCs w:val="24"/>
            </w:rPr>
            <w:instrText xml:space="preserve"> CITATION Fou211 \l 2057 </w:instrText>
          </w:r>
          <w:r w:rsidRPr="004148C5">
            <w:rPr>
              <w:sz w:val="24"/>
              <w:szCs w:val="24"/>
            </w:rPr>
            <w:fldChar w:fldCharType="separate"/>
          </w:r>
          <w:r w:rsidRPr="004148C5">
            <w:rPr>
              <w:noProof/>
              <w:sz w:val="24"/>
              <w:szCs w:val="24"/>
            </w:rPr>
            <w:t>(Foulkes, 2021)</w:t>
          </w:r>
          <w:r w:rsidRPr="004148C5">
            <w:rPr>
              <w:sz w:val="24"/>
              <w:szCs w:val="24"/>
            </w:rPr>
            <w:fldChar w:fldCharType="end"/>
          </w:r>
        </w:sdtContent>
      </w:sdt>
      <w:r w:rsidRPr="004148C5">
        <w:rPr>
          <w:sz w:val="24"/>
          <w:szCs w:val="24"/>
        </w:rPr>
        <w:t xml:space="preserve"> </w:t>
      </w:r>
      <w:sdt>
        <w:sdtPr>
          <w:rPr>
            <w:sz w:val="24"/>
            <w:szCs w:val="24"/>
          </w:rPr>
          <w:id w:val="256025886"/>
          <w:citation/>
        </w:sdtPr>
        <w:sdtContent>
          <w:r w:rsidRPr="004148C5">
            <w:rPr>
              <w:sz w:val="24"/>
              <w:szCs w:val="24"/>
            </w:rPr>
            <w:fldChar w:fldCharType="begin"/>
          </w:r>
          <w:r w:rsidRPr="004148C5">
            <w:rPr>
              <w:sz w:val="24"/>
              <w:szCs w:val="24"/>
            </w:rPr>
            <w:instrText xml:space="preserve"> CITATION Jon21 \l 2057 </w:instrText>
          </w:r>
          <w:r w:rsidRPr="004148C5">
            <w:rPr>
              <w:sz w:val="24"/>
              <w:szCs w:val="24"/>
            </w:rPr>
            <w:fldChar w:fldCharType="separate"/>
          </w:r>
          <w:r w:rsidRPr="004148C5">
            <w:rPr>
              <w:noProof/>
              <w:sz w:val="24"/>
              <w:szCs w:val="24"/>
            </w:rPr>
            <w:t>(Jones, 2021)</w:t>
          </w:r>
          <w:r w:rsidRPr="004148C5">
            <w:rPr>
              <w:sz w:val="24"/>
              <w:szCs w:val="24"/>
            </w:rPr>
            <w:fldChar w:fldCharType="end"/>
          </w:r>
        </w:sdtContent>
      </w:sdt>
      <w:sdt>
        <w:sdtPr>
          <w:rPr>
            <w:sz w:val="24"/>
            <w:szCs w:val="24"/>
          </w:rPr>
          <w:id w:val="-572820321"/>
          <w:citation/>
        </w:sdtPr>
        <w:sdtContent>
          <w:r w:rsidRPr="004148C5">
            <w:rPr>
              <w:sz w:val="24"/>
              <w:szCs w:val="24"/>
            </w:rPr>
            <w:fldChar w:fldCharType="begin"/>
          </w:r>
          <w:r w:rsidRPr="004148C5">
            <w:rPr>
              <w:sz w:val="24"/>
              <w:szCs w:val="24"/>
            </w:rPr>
            <w:instrText xml:space="preserve"> CITATION Vau21 \l 2057 </w:instrText>
          </w:r>
          <w:r w:rsidRPr="004148C5">
            <w:rPr>
              <w:sz w:val="24"/>
              <w:szCs w:val="24"/>
            </w:rPr>
            <w:fldChar w:fldCharType="separate"/>
          </w:r>
          <w:r w:rsidRPr="004148C5">
            <w:rPr>
              <w:noProof/>
              <w:sz w:val="24"/>
              <w:szCs w:val="24"/>
            </w:rPr>
            <w:t xml:space="preserve"> (Vaughan, 2021)</w:t>
          </w:r>
          <w:r w:rsidRPr="004148C5">
            <w:rPr>
              <w:sz w:val="24"/>
              <w:szCs w:val="24"/>
            </w:rPr>
            <w:fldChar w:fldCharType="end"/>
          </w:r>
        </w:sdtContent>
      </w:sdt>
      <w:r w:rsidRPr="004148C5">
        <w:rPr>
          <w:sz w:val="24"/>
          <w:szCs w:val="24"/>
        </w:rPr>
        <w:t xml:space="preserve">, and there is a view that the Commissioner now holds the Chief Constable to account in a way the Police Authority failed to do </w:t>
      </w:r>
      <w:sdt>
        <w:sdtPr>
          <w:rPr>
            <w:sz w:val="24"/>
            <w:szCs w:val="24"/>
          </w:rPr>
          <w:id w:val="-688520138"/>
          <w:citation/>
        </w:sdtPr>
        <w:sdtContent>
          <w:r w:rsidRPr="004148C5">
            <w:rPr>
              <w:sz w:val="24"/>
              <w:szCs w:val="24"/>
            </w:rPr>
            <w:fldChar w:fldCharType="begin"/>
          </w:r>
          <w:r w:rsidRPr="004148C5">
            <w:rPr>
              <w:sz w:val="24"/>
              <w:szCs w:val="24"/>
            </w:rPr>
            <w:instrText xml:space="preserve"> CITATION Mui16 \l 2057 </w:instrText>
          </w:r>
          <w:r w:rsidRPr="004148C5">
            <w:rPr>
              <w:sz w:val="24"/>
              <w:szCs w:val="24"/>
            </w:rPr>
            <w:fldChar w:fldCharType="separate"/>
          </w:r>
          <w:r w:rsidRPr="004148C5">
            <w:rPr>
              <w:noProof/>
              <w:sz w:val="24"/>
              <w:szCs w:val="24"/>
            </w:rPr>
            <w:t>(Muir, 2016)</w:t>
          </w:r>
          <w:r w:rsidRPr="004148C5">
            <w:rPr>
              <w:sz w:val="24"/>
              <w:szCs w:val="24"/>
            </w:rPr>
            <w:fldChar w:fldCharType="end"/>
          </w:r>
        </w:sdtContent>
      </w:sdt>
      <w:r w:rsidRPr="004148C5">
        <w:rPr>
          <w:sz w:val="24"/>
          <w:szCs w:val="24"/>
        </w:rPr>
        <w:t xml:space="preserve"> . </w:t>
      </w:r>
      <w:r w:rsidR="0026395B">
        <w:rPr>
          <w:sz w:val="24"/>
          <w:szCs w:val="24"/>
        </w:rPr>
        <w:t xml:space="preserve">For Vaughan </w:t>
      </w:r>
      <w:sdt>
        <w:sdtPr>
          <w:rPr>
            <w:sz w:val="24"/>
            <w:szCs w:val="24"/>
          </w:rPr>
          <w:id w:val="713538876"/>
          <w:citation/>
        </w:sdtPr>
        <w:sdtContent>
          <w:r w:rsidR="0026395B">
            <w:rPr>
              <w:sz w:val="24"/>
              <w:szCs w:val="24"/>
            </w:rPr>
            <w:fldChar w:fldCharType="begin"/>
          </w:r>
          <w:r w:rsidR="0026395B">
            <w:rPr>
              <w:sz w:val="24"/>
              <w:szCs w:val="24"/>
            </w:rPr>
            <w:instrText xml:space="preserve">CITATION Vau21 \n  \l 2057 </w:instrText>
          </w:r>
          <w:r w:rsidR="0026395B">
            <w:rPr>
              <w:sz w:val="24"/>
              <w:szCs w:val="24"/>
            </w:rPr>
            <w:fldChar w:fldCharType="separate"/>
          </w:r>
          <w:r w:rsidR="0026395B" w:rsidRPr="0026395B">
            <w:rPr>
              <w:noProof/>
              <w:sz w:val="24"/>
              <w:szCs w:val="24"/>
            </w:rPr>
            <w:t>(2021)</w:t>
          </w:r>
          <w:r w:rsidR="0026395B">
            <w:rPr>
              <w:sz w:val="24"/>
              <w:szCs w:val="24"/>
            </w:rPr>
            <w:fldChar w:fldCharType="end"/>
          </w:r>
        </w:sdtContent>
      </w:sdt>
      <w:r w:rsidR="0026395B">
        <w:rPr>
          <w:sz w:val="24"/>
          <w:szCs w:val="24"/>
        </w:rPr>
        <w:t xml:space="preserve"> one of the benefits of the Commissioner post is that they can draw attention to particular issues that the Chief Constable cannot. </w:t>
      </w:r>
      <w:r w:rsidRPr="004148C5">
        <w:rPr>
          <w:sz w:val="24"/>
          <w:szCs w:val="24"/>
        </w:rPr>
        <w:t>For Reiner</w:t>
      </w:r>
      <w:sdt>
        <w:sdtPr>
          <w:rPr>
            <w:sz w:val="24"/>
            <w:szCs w:val="24"/>
          </w:rPr>
          <w:id w:val="-994332726"/>
          <w:citation/>
        </w:sdtPr>
        <w:sdtContent>
          <w:r w:rsidRPr="004148C5">
            <w:rPr>
              <w:sz w:val="24"/>
              <w:szCs w:val="24"/>
            </w:rPr>
            <w:fldChar w:fldCharType="begin"/>
          </w:r>
          <w:r w:rsidRPr="004148C5">
            <w:rPr>
              <w:sz w:val="24"/>
              <w:szCs w:val="24"/>
            </w:rPr>
            <w:instrText xml:space="preserve">CITATION Rei13 \n  \l 2057 </w:instrText>
          </w:r>
          <w:r w:rsidRPr="004148C5">
            <w:rPr>
              <w:sz w:val="24"/>
              <w:szCs w:val="24"/>
            </w:rPr>
            <w:fldChar w:fldCharType="separate"/>
          </w:r>
          <w:r w:rsidRPr="004148C5">
            <w:rPr>
              <w:noProof/>
              <w:sz w:val="24"/>
              <w:szCs w:val="24"/>
            </w:rPr>
            <w:t xml:space="preserve"> (2013)</w:t>
          </w:r>
          <w:r w:rsidRPr="004148C5">
            <w:rPr>
              <w:sz w:val="24"/>
              <w:szCs w:val="24"/>
            </w:rPr>
            <w:fldChar w:fldCharType="end"/>
          </w:r>
        </w:sdtContent>
      </w:sdt>
      <w:r w:rsidRPr="004148C5">
        <w:rPr>
          <w:sz w:val="24"/>
          <w:szCs w:val="24"/>
        </w:rPr>
        <w:t xml:space="preserve"> the enhanced focus on public engagement within the new arrangement has however lost elements of the local balanced against the national and of drawing on experience of elected officials – in combination with experience of experts.</w:t>
      </w:r>
    </w:p>
    <w:p w:rsidR="00D57BEB" w:rsidRPr="004148C5" w:rsidRDefault="00D57BEB" w:rsidP="004148C5">
      <w:pPr>
        <w:spacing w:line="480" w:lineRule="auto"/>
        <w:jc w:val="both"/>
        <w:rPr>
          <w:b/>
          <w:sz w:val="24"/>
          <w:szCs w:val="24"/>
        </w:rPr>
      </w:pPr>
      <w:r w:rsidRPr="004148C5">
        <w:rPr>
          <w:sz w:val="24"/>
          <w:szCs w:val="24"/>
        </w:rPr>
        <w:t>Police and Crime Panels – consisting of a combination of local authority and independently elected members are charged with both scrutinising and supporting the PCC and holding them to account in their functions and decisions</w:t>
      </w:r>
      <w:sdt>
        <w:sdtPr>
          <w:rPr>
            <w:sz w:val="24"/>
            <w:szCs w:val="24"/>
          </w:rPr>
          <w:id w:val="-1716658639"/>
          <w:citation/>
        </w:sdtPr>
        <w:sdtContent>
          <w:r w:rsidRPr="004148C5">
            <w:rPr>
              <w:sz w:val="24"/>
              <w:szCs w:val="24"/>
            </w:rPr>
            <w:fldChar w:fldCharType="begin"/>
          </w:r>
          <w:r w:rsidRPr="004148C5">
            <w:rPr>
              <w:sz w:val="24"/>
              <w:szCs w:val="24"/>
            </w:rPr>
            <w:instrText xml:space="preserve"> CITATION Joy14 \l 2057 </w:instrText>
          </w:r>
          <w:r w:rsidRPr="004148C5">
            <w:rPr>
              <w:sz w:val="24"/>
              <w:szCs w:val="24"/>
            </w:rPr>
            <w:fldChar w:fldCharType="separate"/>
          </w:r>
          <w:r w:rsidRPr="004148C5">
            <w:rPr>
              <w:noProof/>
              <w:sz w:val="24"/>
              <w:szCs w:val="24"/>
            </w:rPr>
            <w:t xml:space="preserve"> (Joyce &amp; Lister, 2014)</w:t>
          </w:r>
          <w:r w:rsidRPr="004148C5">
            <w:rPr>
              <w:sz w:val="24"/>
              <w:szCs w:val="24"/>
            </w:rPr>
            <w:fldChar w:fldCharType="end"/>
          </w:r>
        </w:sdtContent>
      </w:sdt>
      <w:r w:rsidRPr="004148C5">
        <w:rPr>
          <w:sz w:val="24"/>
          <w:szCs w:val="24"/>
        </w:rPr>
        <w:t>. The Panel is required to fulfil several statutory functions such as reviewing and makin</w:t>
      </w:r>
      <w:r w:rsidR="009851B4">
        <w:rPr>
          <w:sz w:val="24"/>
          <w:szCs w:val="24"/>
        </w:rPr>
        <w:t>g recommendations on the draft Police and Crime P</w:t>
      </w:r>
      <w:r w:rsidRPr="004148C5">
        <w:rPr>
          <w:sz w:val="24"/>
          <w:szCs w:val="24"/>
        </w:rPr>
        <w:t xml:space="preserve">lan, reviewing the PCC annual report, agreeing the Police precept element of council tax and of confirming (or vetoing) the PCC’s choice for Chief Constable </w:t>
      </w:r>
      <w:sdt>
        <w:sdtPr>
          <w:rPr>
            <w:sz w:val="24"/>
            <w:szCs w:val="24"/>
          </w:rPr>
          <w:id w:val="1284224801"/>
          <w:citation/>
        </w:sdtPr>
        <w:sdtContent>
          <w:r w:rsidRPr="004148C5">
            <w:rPr>
              <w:sz w:val="24"/>
              <w:szCs w:val="24"/>
            </w:rPr>
            <w:fldChar w:fldCharType="begin"/>
          </w:r>
          <w:r w:rsidRPr="004148C5">
            <w:rPr>
              <w:noProof/>
              <w:sz w:val="24"/>
              <w:szCs w:val="24"/>
            </w:rPr>
            <w:instrText xml:space="preserve"> CITATION Pol11 \l 2057 </w:instrText>
          </w:r>
          <w:r w:rsidRPr="004148C5">
            <w:rPr>
              <w:sz w:val="24"/>
              <w:szCs w:val="24"/>
            </w:rPr>
            <w:fldChar w:fldCharType="separate"/>
          </w:r>
          <w:r w:rsidRPr="004148C5">
            <w:rPr>
              <w:noProof/>
              <w:sz w:val="24"/>
              <w:szCs w:val="24"/>
            </w:rPr>
            <w:t>(PRaSRA, 2011)</w:t>
          </w:r>
          <w:r w:rsidRPr="004148C5">
            <w:rPr>
              <w:sz w:val="24"/>
              <w:szCs w:val="24"/>
            </w:rPr>
            <w:fldChar w:fldCharType="end"/>
          </w:r>
        </w:sdtContent>
      </w:sdt>
      <w:r w:rsidRPr="004148C5">
        <w:rPr>
          <w:sz w:val="24"/>
          <w:szCs w:val="24"/>
        </w:rPr>
        <w:t xml:space="preserve">. Even at the consultation stage of the reform process, concerns were raised regarding the effectiveness of the Police and Crime Panels and whether they were actually able to wield any significant influence or power over the PCC. The House of Commons rejected amendments aimed at strengthening the roles and powers of the panels and the legislation was introduced largely unaltered from that that had been proposed and consulted upon. From the review of the literature it can be argued that the scrutiny requirement has been met </w:t>
      </w:r>
      <w:r w:rsidRPr="004148C5">
        <w:rPr>
          <w:sz w:val="24"/>
          <w:szCs w:val="24"/>
        </w:rPr>
        <w:lastRenderedPageBreak/>
        <w:t xml:space="preserve">to varying degrees as a method of accountability. Some of the consistently reported deficiencies include a lack of training, legal powers and finance alongside ineffective leadership, a failure to truly understand the role and futile processes </w:t>
      </w:r>
      <w:sdt>
        <w:sdtPr>
          <w:rPr>
            <w:sz w:val="24"/>
            <w:szCs w:val="24"/>
          </w:rPr>
          <w:id w:val="-1882775611"/>
          <w:citation/>
        </w:sdtPr>
        <w:sdtContent>
          <w:r w:rsidRPr="004148C5">
            <w:rPr>
              <w:sz w:val="24"/>
              <w:szCs w:val="24"/>
            </w:rPr>
            <w:fldChar w:fldCharType="begin"/>
          </w:r>
          <w:r w:rsidRPr="004148C5">
            <w:rPr>
              <w:sz w:val="24"/>
              <w:szCs w:val="24"/>
            </w:rPr>
            <w:instrText xml:space="preserve">CITATION Sna \l 2057 </w:instrText>
          </w:r>
          <w:r w:rsidRPr="004148C5">
            <w:rPr>
              <w:sz w:val="24"/>
              <w:szCs w:val="24"/>
            </w:rPr>
            <w:fldChar w:fldCharType="separate"/>
          </w:r>
          <w:r w:rsidRPr="004148C5">
            <w:rPr>
              <w:noProof/>
              <w:sz w:val="24"/>
              <w:szCs w:val="24"/>
            </w:rPr>
            <w:t>(Snape &amp; Taylor, 2001)</w:t>
          </w:r>
          <w:r w:rsidRPr="004148C5">
            <w:rPr>
              <w:sz w:val="24"/>
              <w:szCs w:val="24"/>
            </w:rPr>
            <w:fldChar w:fldCharType="end"/>
          </w:r>
        </w:sdtContent>
      </w:sdt>
      <w:sdt>
        <w:sdtPr>
          <w:rPr>
            <w:sz w:val="24"/>
            <w:szCs w:val="24"/>
          </w:rPr>
          <w:id w:val="-505828416"/>
          <w:citation/>
        </w:sdtPr>
        <w:sdtContent>
          <w:r w:rsidRPr="004148C5">
            <w:rPr>
              <w:sz w:val="24"/>
              <w:szCs w:val="24"/>
            </w:rPr>
            <w:fldChar w:fldCharType="begin"/>
          </w:r>
          <w:r w:rsidRPr="004148C5">
            <w:rPr>
              <w:sz w:val="24"/>
              <w:szCs w:val="24"/>
            </w:rPr>
            <w:instrText xml:space="preserve"> CITATION Gai04 \l 2057 </w:instrText>
          </w:r>
          <w:r w:rsidRPr="004148C5">
            <w:rPr>
              <w:sz w:val="24"/>
              <w:szCs w:val="24"/>
            </w:rPr>
            <w:fldChar w:fldCharType="separate"/>
          </w:r>
          <w:r w:rsidRPr="004148C5">
            <w:rPr>
              <w:noProof/>
              <w:sz w:val="24"/>
              <w:szCs w:val="24"/>
            </w:rPr>
            <w:t xml:space="preserve"> (Gains, et al., 2004)</w:t>
          </w:r>
          <w:r w:rsidRPr="004148C5">
            <w:rPr>
              <w:sz w:val="24"/>
              <w:szCs w:val="24"/>
            </w:rPr>
            <w:fldChar w:fldCharType="end"/>
          </w:r>
        </w:sdtContent>
      </w:sdt>
      <w:sdt>
        <w:sdtPr>
          <w:rPr>
            <w:sz w:val="24"/>
            <w:szCs w:val="24"/>
          </w:rPr>
          <w:id w:val="1509021852"/>
          <w:citation/>
        </w:sdtPr>
        <w:sdtContent>
          <w:r w:rsidRPr="004148C5">
            <w:rPr>
              <w:sz w:val="24"/>
              <w:szCs w:val="24"/>
            </w:rPr>
            <w:fldChar w:fldCharType="begin"/>
          </w:r>
          <w:r w:rsidRPr="004148C5">
            <w:rPr>
              <w:sz w:val="24"/>
              <w:szCs w:val="24"/>
            </w:rPr>
            <w:instrText xml:space="preserve"> CITATION Cou11 \l 2057 </w:instrText>
          </w:r>
          <w:r w:rsidRPr="004148C5">
            <w:rPr>
              <w:sz w:val="24"/>
              <w:szCs w:val="24"/>
            </w:rPr>
            <w:fldChar w:fldCharType="separate"/>
          </w:r>
          <w:r w:rsidRPr="004148C5">
            <w:rPr>
              <w:noProof/>
              <w:sz w:val="24"/>
              <w:szCs w:val="24"/>
            </w:rPr>
            <w:t xml:space="preserve"> (Coulson, 2011)</w:t>
          </w:r>
          <w:r w:rsidRPr="004148C5">
            <w:rPr>
              <w:sz w:val="24"/>
              <w:szCs w:val="24"/>
            </w:rPr>
            <w:fldChar w:fldCharType="end"/>
          </w:r>
        </w:sdtContent>
      </w:sdt>
      <w:r w:rsidR="009851B4">
        <w:rPr>
          <w:sz w:val="24"/>
          <w:szCs w:val="24"/>
        </w:rPr>
        <w:t>. Furthermore, t</w:t>
      </w:r>
      <w:r w:rsidRPr="004148C5">
        <w:rPr>
          <w:sz w:val="24"/>
          <w:szCs w:val="24"/>
        </w:rPr>
        <w:t xml:space="preserve">he PCC is not bound by the decisions of the panel – </w:t>
      </w:r>
      <w:r w:rsidR="009851B4">
        <w:rPr>
          <w:sz w:val="24"/>
          <w:szCs w:val="24"/>
        </w:rPr>
        <w:t xml:space="preserve">and </w:t>
      </w:r>
      <w:r w:rsidRPr="004148C5">
        <w:rPr>
          <w:sz w:val="24"/>
          <w:szCs w:val="24"/>
        </w:rPr>
        <w:t xml:space="preserve">under the legislation they must </w:t>
      </w:r>
      <w:r w:rsidR="009851B4">
        <w:rPr>
          <w:sz w:val="24"/>
          <w:szCs w:val="24"/>
        </w:rPr>
        <w:t xml:space="preserve">only </w:t>
      </w:r>
      <w:r w:rsidRPr="004148C5">
        <w:rPr>
          <w:sz w:val="24"/>
          <w:szCs w:val="24"/>
        </w:rPr>
        <w:t xml:space="preserve">have regard for the views of the panel. One could </w:t>
      </w:r>
      <w:r w:rsidR="00434EC4">
        <w:rPr>
          <w:sz w:val="24"/>
          <w:szCs w:val="24"/>
        </w:rPr>
        <w:t>comment</w:t>
      </w:r>
      <w:r w:rsidRPr="004148C5">
        <w:rPr>
          <w:sz w:val="24"/>
          <w:szCs w:val="24"/>
        </w:rPr>
        <w:t xml:space="preserve"> that this is insufficient for a body </w:t>
      </w:r>
      <w:bookmarkStart w:id="0" w:name="_GoBack"/>
      <w:r w:rsidRPr="004148C5">
        <w:rPr>
          <w:sz w:val="24"/>
          <w:szCs w:val="24"/>
        </w:rPr>
        <w:t xml:space="preserve">with </w:t>
      </w:r>
      <w:bookmarkEnd w:id="0"/>
      <w:r w:rsidRPr="004148C5">
        <w:rPr>
          <w:sz w:val="24"/>
          <w:szCs w:val="24"/>
        </w:rPr>
        <w:t xml:space="preserve">scrutiny responsibilities within a modern governance framework.  The genesis of the panels through a political settlement is perhaps indicative of the power and authority granted to them </w:t>
      </w:r>
      <w:sdt>
        <w:sdtPr>
          <w:rPr>
            <w:sz w:val="24"/>
            <w:szCs w:val="24"/>
          </w:rPr>
          <w:id w:val="-1443062221"/>
          <w:citation/>
        </w:sdtPr>
        <w:sdtContent>
          <w:r w:rsidRPr="004148C5">
            <w:rPr>
              <w:sz w:val="24"/>
              <w:szCs w:val="24"/>
            </w:rPr>
            <w:fldChar w:fldCharType="begin"/>
          </w:r>
          <w:r w:rsidRPr="004148C5">
            <w:rPr>
              <w:sz w:val="24"/>
              <w:szCs w:val="24"/>
            </w:rPr>
            <w:instrText xml:space="preserve"> CITATION Lis14 \l 2057 </w:instrText>
          </w:r>
          <w:r w:rsidRPr="004148C5">
            <w:rPr>
              <w:sz w:val="24"/>
              <w:szCs w:val="24"/>
            </w:rPr>
            <w:fldChar w:fldCharType="separate"/>
          </w:r>
          <w:r w:rsidRPr="004148C5">
            <w:rPr>
              <w:noProof/>
              <w:sz w:val="24"/>
              <w:szCs w:val="24"/>
            </w:rPr>
            <w:t>(Lister, 2014)</w:t>
          </w:r>
          <w:r w:rsidRPr="004148C5">
            <w:rPr>
              <w:sz w:val="24"/>
              <w:szCs w:val="24"/>
            </w:rPr>
            <w:fldChar w:fldCharType="end"/>
          </w:r>
        </w:sdtContent>
      </w:sdt>
      <w:r w:rsidRPr="004148C5">
        <w:rPr>
          <w:sz w:val="24"/>
          <w:szCs w:val="24"/>
        </w:rPr>
        <w:t xml:space="preserve">. </w:t>
      </w:r>
      <w:r w:rsidR="00434EC4">
        <w:rPr>
          <w:sz w:val="24"/>
          <w:szCs w:val="24"/>
        </w:rPr>
        <w:t>The p</w:t>
      </w:r>
      <w:r w:rsidRPr="004148C5">
        <w:rPr>
          <w:sz w:val="24"/>
          <w:szCs w:val="24"/>
        </w:rPr>
        <w:t xml:space="preserve">anel’s role can be broadly described by ‘support’ and ‘scrutiny’. How can these concepts work together in practice? It can be argued that each function works against the other which will inevitably result in conflict whenever a scrutinising body is also required to act supportively </w:t>
      </w:r>
      <w:sdt>
        <w:sdtPr>
          <w:rPr>
            <w:sz w:val="24"/>
            <w:szCs w:val="24"/>
          </w:rPr>
          <w:id w:val="431551172"/>
          <w:citation/>
        </w:sdtPr>
        <w:sdtContent>
          <w:r w:rsidRPr="004148C5">
            <w:rPr>
              <w:sz w:val="24"/>
              <w:szCs w:val="24"/>
            </w:rPr>
            <w:fldChar w:fldCharType="begin"/>
          </w:r>
          <w:r w:rsidRPr="004148C5">
            <w:rPr>
              <w:sz w:val="24"/>
              <w:szCs w:val="24"/>
            </w:rPr>
            <w:instrText xml:space="preserve">CITATION cou12 \l 2057 </w:instrText>
          </w:r>
          <w:r w:rsidRPr="004148C5">
            <w:rPr>
              <w:sz w:val="24"/>
              <w:szCs w:val="24"/>
            </w:rPr>
            <w:fldChar w:fldCharType="separate"/>
          </w:r>
          <w:r w:rsidRPr="004148C5">
            <w:rPr>
              <w:noProof/>
              <w:sz w:val="24"/>
              <w:szCs w:val="24"/>
            </w:rPr>
            <w:t>(Coulson &amp; Whiteman, 2012)</w:t>
          </w:r>
          <w:r w:rsidRPr="004148C5">
            <w:rPr>
              <w:sz w:val="24"/>
              <w:szCs w:val="24"/>
            </w:rPr>
            <w:fldChar w:fldCharType="end"/>
          </w:r>
        </w:sdtContent>
      </w:sdt>
      <w:sdt>
        <w:sdtPr>
          <w:rPr>
            <w:sz w:val="24"/>
            <w:szCs w:val="24"/>
          </w:rPr>
          <w:id w:val="-1140655015"/>
          <w:citation/>
        </w:sdtPr>
        <w:sdtContent>
          <w:r w:rsidRPr="004148C5">
            <w:rPr>
              <w:sz w:val="24"/>
              <w:szCs w:val="24"/>
            </w:rPr>
            <w:fldChar w:fldCharType="begin"/>
          </w:r>
          <w:r w:rsidRPr="004148C5">
            <w:rPr>
              <w:sz w:val="24"/>
              <w:szCs w:val="24"/>
            </w:rPr>
            <w:instrText xml:space="preserve"> CITATION Cop04 \l 2057 </w:instrText>
          </w:r>
          <w:r w:rsidRPr="004148C5">
            <w:rPr>
              <w:sz w:val="24"/>
              <w:szCs w:val="24"/>
            </w:rPr>
            <w:fldChar w:fldCharType="separate"/>
          </w:r>
          <w:r w:rsidRPr="004148C5">
            <w:rPr>
              <w:noProof/>
              <w:sz w:val="24"/>
              <w:szCs w:val="24"/>
            </w:rPr>
            <w:t xml:space="preserve"> (Copus &amp; Leach, 2004)</w:t>
          </w:r>
          <w:r w:rsidRPr="004148C5">
            <w:rPr>
              <w:sz w:val="24"/>
              <w:szCs w:val="24"/>
            </w:rPr>
            <w:fldChar w:fldCharType="end"/>
          </w:r>
        </w:sdtContent>
      </w:sdt>
      <w:r w:rsidRPr="004148C5">
        <w:rPr>
          <w:sz w:val="24"/>
          <w:szCs w:val="24"/>
        </w:rPr>
        <w:t xml:space="preserve">. This dual role also contributes to a confused fog of concerns which draws focus away from accountability and scrutiny and risks pushing individual panel members in different directions </w:t>
      </w:r>
      <w:sdt>
        <w:sdtPr>
          <w:rPr>
            <w:sz w:val="24"/>
            <w:szCs w:val="24"/>
          </w:rPr>
          <w:id w:val="597454480"/>
          <w:citation/>
        </w:sdtPr>
        <w:sdtContent>
          <w:r w:rsidRPr="004148C5">
            <w:rPr>
              <w:sz w:val="24"/>
              <w:szCs w:val="24"/>
            </w:rPr>
            <w:fldChar w:fldCharType="begin"/>
          </w:r>
          <w:r w:rsidRPr="004148C5">
            <w:rPr>
              <w:sz w:val="24"/>
              <w:szCs w:val="24"/>
            </w:rPr>
            <w:instrText xml:space="preserve">CITATION Lea09 \l 2057 </w:instrText>
          </w:r>
          <w:r w:rsidRPr="004148C5">
            <w:rPr>
              <w:sz w:val="24"/>
              <w:szCs w:val="24"/>
            </w:rPr>
            <w:fldChar w:fldCharType="separate"/>
          </w:r>
          <w:r w:rsidRPr="004148C5">
            <w:rPr>
              <w:noProof/>
              <w:sz w:val="24"/>
              <w:szCs w:val="24"/>
            </w:rPr>
            <w:t>(Leach, 2009)</w:t>
          </w:r>
          <w:r w:rsidRPr="004148C5">
            <w:rPr>
              <w:sz w:val="24"/>
              <w:szCs w:val="24"/>
            </w:rPr>
            <w:fldChar w:fldCharType="end"/>
          </w:r>
        </w:sdtContent>
      </w:sdt>
      <w:r w:rsidRPr="004148C5">
        <w:rPr>
          <w:sz w:val="24"/>
          <w:szCs w:val="24"/>
        </w:rPr>
        <w:t>. It is in this imprecise space that other factors can disproportionately influence panel members, not least the issue of political allegiance. The appetite to scrutinise rigorously must be a consideration - particularly when the panel member and the PCC share the same political affiliations</w:t>
      </w:r>
      <w:sdt>
        <w:sdtPr>
          <w:rPr>
            <w:sz w:val="24"/>
            <w:szCs w:val="24"/>
          </w:rPr>
          <w:id w:val="576405490"/>
          <w:citation/>
        </w:sdtPr>
        <w:sdtContent>
          <w:r w:rsidRPr="004148C5">
            <w:rPr>
              <w:sz w:val="24"/>
              <w:szCs w:val="24"/>
            </w:rPr>
            <w:fldChar w:fldCharType="begin"/>
          </w:r>
          <w:r w:rsidRPr="004148C5">
            <w:rPr>
              <w:sz w:val="24"/>
              <w:szCs w:val="24"/>
            </w:rPr>
            <w:instrText xml:space="preserve"> CITATION Cop04 \l 2057 </w:instrText>
          </w:r>
          <w:r w:rsidRPr="004148C5">
            <w:rPr>
              <w:sz w:val="24"/>
              <w:szCs w:val="24"/>
            </w:rPr>
            <w:fldChar w:fldCharType="separate"/>
          </w:r>
          <w:r w:rsidRPr="004148C5">
            <w:rPr>
              <w:noProof/>
              <w:sz w:val="24"/>
              <w:szCs w:val="24"/>
            </w:rPr>
            <w:t xml:space="preserve"> (Copus &amp; Leach, 2004)</w:t>
          </w:r>
          <w:r w:rsidRPr="004148C5">
            <w:rPr>
              <w:sz w:val="24"/>
              <w:szCs w:val="24"/>
            </w:rPr>
            <w:fldChar w:fldCharType="end"/>
          </w:r>
        </w:sdtContent>
      </w:sdt>
      <w:sdt>
        <w:sdtPr>
          <w:rPr>
            <w:sz w:val="24"/>
            <w:szCs w:val="24"/>
          </w:rPr>
          <w:id w:val="-1243877328"/>
          <w:citation/>
        </w:sdtPr>
        <w:sdtContent>
          <w:r w:rsidRPr="004148C5">
            <w:rPr>
              <w:sz w:val="24"/>
              <w:szCs w:val="24"/>
            </w:rPr>
            <w:fldChar w:fldCharType="begin"/>
          </w:r>
          <w:r w:rsidRPr="004148C5">
            <w:rPr>
              <w:sz w:val="24"/>
              <w:szCs w:val="24"/>
            </w:rPr>
            <w:instrText xml:space="preserve"> CITATION Lea09 \l 2057 </w:instrText>
          </w:r>
          <w:r w:rsidRPr="004148C5">
            <w:rPr>
              <w:sz w:val="24"/>
              <w:szCs w:val="24"/>
            </w:rPr>
            <w:fldChar w:fldCharType="separate"/>
          </w:r>
          <w:r w:rsidRPr="004148C5">
            <w:rPr>
              <w:noProof/>
              <w:sz w:val="24"/>
              <w:szCs w:val="24"/>
            </w:rPr>
            <w:t xml:space="preserve"> (Leach, 2009)</w:t>
          </w:r>
          <w:r w:rsidRPr="004148C5">
            <w:rPr>
              <w:sz w:val="24"/>
              <w:szCs w:val="24"/>
            </w:rPr>
            <w:fldChar w:fldCharType="end"/>
          </w:r>
        </w:sdtContent>
      </w:sdt>
      <w:sdt>
        <w:sdtPr>
          <w:rPr>
            <w:sz w:val="24"/>
            <w:szCs w:val="24"/>
          </w:rPr>
          <w:id w:val="-1800759947"/>
          <w:citation/>
        </w:sdtPr>
        <w:sdtContent>
          <w:r w:rsidRPr="004148C5">
            <w:rPr>
              <w:sz w:val="24"/>
              <w:szCs w:val="24"/>
            </w:rPr>
            <w:fldChar w:fldCharType="begin"/>
          </w:r>
          <w:r w:rsidRPr="004148C5">
            <w:rPr>
              <w:sz w:val="24"/>
              <w:szCs w:val="24"/>
            </w:rPr>
            <w:instrText xml:space="preserve"> CITATION San13 \l 2057 </w:instrText>
          </w:r>
          <w:r w:rsidRPr="004148C5">
            <w:rPr>
              <w:sz w:val="24"/>
              <w:szCs w:val="24"/>
            </w:rPr>
            <w:fldChar w:fldCharType="separate"/>
          </w:r>
          <w:r w:rsidRPr="004148C5">
            <w:rPr>
              <w:noProof/>
              <w:sz w:val="24"/>
              <w:szCs w:val="24"/>
            </w:rPr>
            <w:t xml:space="preserve"> (Sandford, 2013)</w:t>
          </w:r>
          <w:r w:rsidRPr="004148C5">
            <w:rPr>
              <w:sz w:val="24"/>
              <w:szCs w:val="24"/>
            </w:rPr>
            <w:fldChar w:fldCharType="end"/>
          </w:r>
        </w:sdtContent>
      </w:sdt>
      <w:r w:rsidRPr="004148C5">
        <w:rPr>
          <w:sz w:val="24"/>
          <w:szCs w:val="24"/>
        </w:rPr>
        <w:t>.</w:t>
      </w:r>
      <w:r w:rsidRPr="004148C5">
        <w:rPr>
          <w:rFonts w:cstheme="minorHAnsi"/>
          <w:sz w:val="24"/>
          <w:szCs w:val="24"/>
        </w:rPr>
        <w:t xml:space="preserve"> Where political allegiances do influence scrutiny arrangements then this clear does present an issue in terms of accountability</w:t>
      </w:r>
      <w:sdt>
        <w:sdtPr>
          <w:rPr>
            <w:rFonts w:cstheme="minorHAnsi"/>
            <w:b/>
            <w:sz w:val="24"/>
            <w:szCs w:val="24"/>
          </w:rPr>
          <w:id w:val="-1876462549"/>
          <w:citation/>
        </w:sdtPr>
        <w:sdtContent>
          <w:r w:rsidRPr="004148C5">
            <w:rPr>
              <w:rFonts w:cstheme="minorHAnsi"/>
              <w:b/>
              <w:sz w:val="24"/>
              <w:szCs w:val="24"/>
            </w:rPr>
            <w:fldChar w:fldCharType="begin"/>
          </w:r>
          <w:r w:rsidRPr="004148C5">
            <w:rPr>
              <w:rFonts w:cstheme="minorHAnsi"/>
              <w:b/>
              <w:sz w:val="24"/>
              <w:szCs w:val="24"/>
            </w:rPr>
            <w:instrText xml:space="preserve"> CITATION Lis14 \l 2057 </w:instrText>
          </w:r>
          <w:r w:rsidRPr="004148C5">
            <w:rPr>
              <w:rFonts w:cstheme="minorHAnsi"/>
              <w:b/>
              <w:sz w:val="24"/>
              <w:szCs w:val="24"/>
            </w:rPr>
            <w:fldChar w:fldCharType="separate"/>
          </w:r>
          <w:r w:rsidRPr="004148C5">
            <w:rPr>
              <w:rFonts w:cstheme="minorHAnsi"/>
              <w:b/>
              <w:noProof/>
              <w:sz w:val="24"/>
              <w:szCs w:val="24"/>
            </w:rPr>
            <w:t xml:space="preserve"> </w:t>
          </w:r>
          <w:r w:rsidRPr="004148C5">
            <w:rPr>
              <w:rFonts w:cstheme="minorHAnsi"/>
              <w:noProof/>
              <w:sz w:val="24"/>
              <w:szCs w:val="24"/>
            </w:rPr>
            <w:t>(Lister, 2014)</w:t>
          </w:r>
          <w:r w:rsidRPr="004148C5">
            <w:rPr>
              <w:rFonts w:cstheme="minorHAnsi"/>
              <w:b/>
              <w:sz w:val="24"/>
              <w:szCs w:val="24"/>
            </w:rPr>
            <w:fldChar w:fldCharType="end"/>
          </w:r>
        </w:sdtContent>
      </w:sdt>
      <w:r w:rsidRPr="004148C5">
        <w:rPr>
          <w:rFonts w:cstheme="minorHAnsi"/>
          <w:b/>
          <w:sz w:val="24"/>
          <w:szCs w:val="24"/>
        </w:rPr>
        <w:t xml:space="preserve">. </w:t>
      </w:r>
      <w:r w:rsidRPr="004148C5">
        <w:rPr>
          <w:rFonts w:cstheme="minorHAnsi"/>
          <w:sz w:val="24"/>
          <w:szCs w:val="24"/>
        </w:rPr>
        <w:t xml:space="preserve">Politics can have serious implications for policing when decisions are made based on popularity </w:t>
      </w:r>
      <w:sdt>
        <w:sdtPr>
          <w:rPr>
            <w:rFonts w:cstheme="minorHAnsi"/>
            <w:sz w:val="24"/>
            <w:szCs w:val="24"/>
          </w:rPr>
          <w:id w:val="1107631046"/>
          <w:citation/>
        </w:sdtPr>
        <w:sdtContent>
          <w:r w:rsidRPr="004148C5">
            <w:rPr>
              <w:rFonts w:cstheme="minorHAnsi"/>
              <w:sz w:val="24"/>
              <w:szCs w:val="24"/>
            </w:rPr>
            <w:fldChar w:fldCharType="begin"/>
          </w:r>
          <w:r w:rsidRPr="004148C5">
            <w:rPr>
              <w:rFonts w:cstheme="minorHAnsi"/>
              <w:sz w:val="24"/>
              <w:szCs w:val="24"/>
            </w:rPr>
            <w:instrText xml:space="preserve"> CITATION Rei13 \l 2057 </w:instrText>
          </w:r>
          <w:r w:rsidRPr="004148C5">
            <w:rPr>
              <w:rFonts w:cstheme="minorHAnsi"/>
              <w:sz w:val="24"/>
              <w:szCs w:val="24"/>
            </w:rPr>
            <w:fldChar w:fldCharType="separate"/>
          </w:r>
          <w:r w:rsidRPr="004148C5">
            <w:rPr>
              <w:rFonts w:cstheme="minorHAnsi"/>
              <w:noProof/>
              <w:sz w:val="24"/>
              <w:szCs w:val="24"/>
            </w:rPr>
            <w:t>(Reiner, 2013)</w:t>
          </w:r>
          <w:r w:rsidRPr="004148C5">
            <w:rPr>
              <w:rFonts w:cstheme="minorHAnsi"/>
              <w:sz w:val="24"/>
              <w:szCs w:val="24"/>
            </w:rPr>
            <w:fldChar w:fldCharType="end"/>
          </w:r>
        </w:sdtContent>
      </w:sdt>
    </w:p>
    <w:p w:rsidR="00D57BEB" w:rsidRPr="004148C5" w:rsidRDefault="00D57BEB" w:rsidP="004148C5">
      <w:pPr>
        <w:tabs>
          <w:tab w:val="left" w:pos="5948"/>
        </w:tabs>
        <w:spacing w:line="480" w:lineRule="auto"/>
        <w:jc w:val="both"/>
        <w:rPr>
          <w:sz w:val="24"/>
          <w:szCs w:val="24"/>
        </w:rPr>
      </w:pPr>
      <w:r w:rsidRPr="004148C5">
        <w:rPr>
          <w:sz w:val="24"/>
          <w:szCs w:val="24"/>
        </w:rPr>
        <w:t xml:space="preserve">In his evaluation of the Surry PCP and Commissioner, Bailey </w:t>
      </w:r>
      <w:sdt>
        <w:sdtPr>
          <w:rPr>
            <w:sz w:val="24"/>
            <w:szCs w:val="24"/>
          </w:rPr>
          <w:id w:val="636690797"/>
          <w:citation/>
        </w:sdtPr>
        <w:sdtContent>
          <w:r w:rsidRPr="004148C5">
            <w:rPr>
              <w:sz w:val="24"/>
              <w:szCs w:val="24"/>
            </w:rPr>
            <w:fldChar w:fldCharType="begin"/>
          </w:r>
          <w:r w:rsidRPr="004148C5">
            <w:rPr>
              <w:sz w:val="24"/>
              <w:szCs w:val="24"/>
            </w:rPr>
            <w:instrText xml:space="preserve">CITATION Bai15 \n  \l 2057 </w:instrText>
          </w:r>
          <w:r w:rsidRPr="004148C5">
            <w:rPr>
              <w:sz w:val="24"/>
              <w:szCs w:val="24"/>
            </w:rPr>
            <w:fldChar w:fldCharType="separate"/>
          </w:r>
          <w:r w:rsidRPr="004148C5">
            <w:rPr>
              <w:noProof/>
              <w:sz w:val="24"/>
              <w:szCs w:val="24"/>
            </w:rPr>
            <w:t>(2015)</w:t>
          </w:r>
          <w:r w:rsidRPr="004148C5">
            <w:rPr>
              <w:sz w:val="24"/>
              <w:szCs w:val="24"/>
            </w:rPr>
            <w:fldChar w:fldCharType="end"/>
          </w:r>
        </w:sdtContent>
      </w:sdt>
      <w:r w:rsidRPr="004148C5">
        <w:rPr>
          <w:sz w:val="24"/>
          <w:szCs w:val="24"/>
        </w:rPr>
        <w:t xml:space="preserve"> identified that the panel – with a vast political majority clearly lacked the authority to hold the independent Commissioner to account.</w:t>
      </w:r>
    </w:p>
    <w:p w:rsidR="00D57BEB" w:rsidRPr="004148C5" w:rsidRDefault="00D57BEB" w:rsidP="004148C5">
      <w:pPr>
        <w:tabs>
          <w:tab w:val="left" w:pos="5948"/>
        </w:tabs>
        <w:spacing w:line="480" w:lineRule="auto"/>
        <w:jc w:val="both"/>
        <w:rPr>
          <w:sz w:val="24"/>
          <w:szCs w:val="24"/>
        </w:rPr>
      </w:pPr>
      <w:r w:rsidRPr="004148C5">
        <w:rPr>
          <w:sz w:val="24"/>
          <w:szCs w:val="24"/>
        </w:rPr>
        <w:lastRenderedPageBreak/>
        <w:t xml:space="preserve">In considering the impact and effectiveness of the panel one can interpret several incidents as clearly demonstrating the panel’s limitations within the processes of accountability. Two members of Hertfordshire’s Police and Crime panel resigned due to the panel having no powers to hold the commissioner to account. The local Mayor described the panel as </w:t>
      </w:r>
      <w:r w:rsidR="00821AB3">
        <w:rPr>
          <w:sz w:val="24"/>
          <w:szCs w:val="24"/>
        </w:rPr>
        <w:t xml:space="preserve">an </w:t>
      </w:r>
      <w:r w:rsidRPr="004148C5">
        <w:rPr>
          <w:sz w:val="24"/>
          <w:szCs w:val="24"/>
        </w:rPr>
        <w:t xml:space="preserve">attempt to introduce some accountability but failing to actually do so </w:t>
      </w:r>
      <w:sdt>
        <w:sdtPr>
          <w:rPr>
            <w:sz w:val="24"/>
            <w:szCs w:val="24"/>
          </w:rPr>
          <w:id w:val="-2099010857"/>
          <w:citation/>
        </w:sdtPr>
        <w:sdtContent>
          <w:r w:rsidRPr="004148C5">
            <w:rPr>
              <w:sz w:val="24"/>
              <w:szCs w:val="24"/>
            </w:rPr>
            <w:fldChar w:fldCharType="begin"/>
          </w:r>
          <w:r w:rsidRPr="004148C5">
            <w:rPr>
              <w:sz w:val="24"/>
              <w:szCs w:val="24"/>
            </w:rPr>
            <w:instrText xml:space="preserve"> CITATION Pol13 \l 2057 </w:instrText>
          </w:r>
          <w:r w:rsidRPr="004148C5">
            <w:rPr>
              <w:sz w:val="24"/>
              <w:szCs w:val="24"/>
            </w:rPr>
            <w:fldChar w:fldCharType="separate"/>
          </w:r>
          <w:r w:rsidRPr="004148C5">
            <w:rPr>
              <w:noProof/>
              <w:sz w:val="24"/>
              <w:szCs w:val="24"/>
            </w:rPr>
            <w:t>(Police Professional, 2013)</w:t>
          </w:r>
          <w:r w:rsidRPr="004148C5">
            <w:rPr>
              <w:sz w:val="24"/>
              <w:szCs w:val="24"/>
            </w:rPr>
            <w:fldChar w:fldCharType="end"/>
          </w:r>
        </w:sdtContent>
      </w:sdt>
      <w:r w:rsidRPr="004148C5">
        <w:rPr>
          <w:sz w:val="24"/>
          <w:szCs w:val="24"/>
        </w:rPr>
        <w:t>. Most panel members are co-opted from local councillor roles with existing commitments and busy diaries.</w:t>
      </w:r>
    </w:p>
    <w:p w:rsidR="00D57BEB" w:rsidRPr="004148C5" w:rsidRDefault="00D57BEB" w:rsidP="004148C5">
      <w:pPr>
        <w:spacing w:after="0" w:line="480" w:lineRule="auto"/>
        <w:jc w:val="both"/>
        <w:rPr>
          <w:sz w:val="24"/>
          <w:szCs w:val="24"/>
        </w:rPr>
      </w:pPr>
      <w:r w:rsidRPr="004148C5">
        <w:rPr>
          <w:sz w:val="24"/>
          <w:szCs w:val="24"/>
        </w:rPr>
        <w:t>Whilst the creation of the PCC post has created a single post holder to direct policing concerns, there still remains a lack of a straightforward figure of accountability</w:t>
      </w:r>
      <w:r w:rsidR="00821AB3">
        <w:rPr>
          <w:sz w:val="24"/>
          <w:szCs w:val="24"/>
        </w:rPr>
        <w:t xml:space="preserve"> within the framework</w:t>
      </w:r>
      <w:r w:rsidRPr="004148C5">
        <w:rPr>
          <w:sz w:val="24"/>
          <w:szCs w:val="24"/>
        </w:rPr>
        <w:t xml:space="preserve">: the PCC holds the Chief Constable to account, but the PCC is also held to account by the public, the Police and Crime Panel, their political party, and the Home Secretary </w:t>
      </w:r>
      <w:sdt>
        <w:sdtPr>
          <w:rPr>
            <w:sz w:val="24"/>
            <w:szCs w:val="24"/>
          </w:rPr>
          <w:id w:val="-2005656456"/>
          <w:citation/>
        </w:sdtPr>
        <w:sdtContent>
          <w:r w:rsidRPr="004148C5">
            <w:rPr>
              <w:sz w:val="24"/>
              <w:szCs w:val="24"/>
            </w:rPr>
            <w:fldChar w:fldCharType="begin"/>
          </w:r>
          <w:r w:rsidRPr="004148C5">
            <w:rPr>
              <w:sz w:val="24"/>
              <w:szCs w:val="24"/>
            </w:rPr>
            <w:instrText xml:space="preserve"> CITATION Lis15 \l 2057 </w:instrText>
          </w:r>
          <w:r w:rsidRPr="004148C5">
            <w:rPr>
              <w:sz w:val="24"/>
              <w:szCs w:val="24"/>
            </w:rPr>
            <w:fldChar w:fldCharType="separate"/>
          </w:r>
          <w:r w:rsidRPr="004148C5">
            <w:rPr>
              <w:noProof/>
              <w:sz w:val="24"/>
              <w:szCs w:val="24"/>
            </w:rPr>
            <w:t>(Lister &amp; Rowe, 2015)</w:t>
          </w:r>
          <w:r w:rsidRPr="004148C5">
            <w:rPr>
              <w:sz w:val="24"/>
              <w:szCs w:val="24"/>
            </w:rPr>
            <w:fldChar w:fldCharType="end"/>
          </w:r>
        </w:sdtContent>
      </w:sdt>
      <w:r w:rsidRPr="004148C5">
        <w:rPr>
          <w:sz w:val="24"/>
          <w:szCs w:val="24"/>
        </w:rPr>
        <w:t xml:space="preserve"> demonstrating both Marshall’s ‘explanatory and cooperative’ and ‘subordinate and obedient’ models of accountability  </w:t>
      </w:r>
      <w:sdt>
        <w:sdtPr>
          <w:rPr>
            <w:sz w:val="24"/>
            <w:szCs w:val="24"/>
          </w:rPr>
          <w:id w:val="-880780709"/>
          <w:citation/>
        </w:sdtPr>
        <w:sdtContent>
          <w:r w:rsidRPr="004148C5">
            <w:rPr>
              <w:sz w:val="24"/>
              <w:szCs w:val="24"/>
            </w:rPr>
            <w:fldChar w:fldCharType="begin"/>
          </w:r>
          <w:r w:rsidRPr="004148C5">
            <w:rPr>
              <w:sz w:val="24"/>
              <w:szCs w:val="24"/>
            </w:rPr>
            <w:instrText xml:space="preserve"> CITATION Rei95 \l 2057 </w:instrText>
          </w:r>
          <w:r w:rsidRPr="004148C5">
            <w:rPr>
              <w:sz w:val="24"/>
              <w:szCs w:val="24"/>
            </w:rPr>
            <w:fldChar w:fldCharType="separate"/>
          </w:r>
          <w:r w:rsidRPr="004148C5">
            <w:rPr>
              <w:noProof/>
              <w:sz w:val="24"/>
              <w:szCs w:val="24"/>
            </w:rPr>
            <w:t>(Reiner, 1995)</w:t>
          </w:r>
          <w:r w:rsidRPr="004148C5">
            <w:rPr>
              <w:sz w:val="24"/>
              <w:szCs w:val="24"/>
            </w:rPr>
            <w:fldChar w:fldCharType="end"/>
          </w:r>
        </w:sdtContent>
      </w:sdt>
      <w:r w:rsidRPr="004148C5">
        <w:rPr>
          <w:sz w:val="24"/>
          <w:szCs w:val="24"/>
        </w:rPr>
        <w:t>.</w:t>
      </w:r>
    </w:p>
    <w:p w:rsidR="00D57BEB" w:rsidRPr="004148C5" w:rsidRDefault="00D57BEB" w:rsidP="004148C5">
      <w:pPr>
        <w:spacing w:after="0" w:line="480" w:lineRule="auto"/>
        <w:jc w:val="both"/>
        <w:rPr>
          <w:sz w:val="24"/>
          <w:szCs w:val="24"/>
        </w:rPr>
      </w:pPr>
    </w:p>
    <w:p w:rsidR="00D57BEB" w:rsidRPr="004148C5" w:rsidRDefault="00D57BEB" w:rsidP="004148C5">
      <w:pPr>
        <w:spacing w:line="480" w:lineRule="auto"/>
        <w:jc w:val="both"/>
        <w:rPr>
          <w:rFonts w:cstheme="minorHAnsi"/>
          <w:color w:val="000000" w:themeColor="text1"/>
          <w:sz w:val="24"/>
          <w:szCs w:val="24"/>
          <w:shd w:val="clear" w:color="auto" w:fill="FFFFFF"/>
        </w:rPr>
      </w:pPr>
      <w:r w:rsidRPr="004148C5">
        <w:rPr>
          <w:sz w:val="24"/>
          <w:szCs w:val="24"/>
        </w:rPr>
        <w:t>In line</w:t>
      </w:r>
      <w:r w:rsidRPr="004148C5">
        <w:rPr>
          <w:rFonts w:cstheme="minorHAnsi"/>
          <w:color w:val="000000" w:themeColor="text1"/>
          <w:sz w:val="24"/>
          <w:szCs w:val="24"/>
          <w:shd w:val="clear" w:color="auto" w:fill="FFFFFF"/>
        </w:rPr>
        <w:t xml:space="preserve"> with the ‘and crime’ responsibility of their title </w:t>
      </w:r>
      <w:r w:rsidRPr="004148C5">
        <w:rPr>
          <w:rFonts w:cstheme="minorHAnsi"/>
          <w:color w:val="000000" w:themeColor="text1"/>
          <w:sz w:val="24"/>
          <w:szCs w:val="24"/>
        </w:rPr>
        <w:t>- PCCs are also charged with maintaining an effective and successful wider criminal justice system, which necessitates close cooperation with Community Safety Partnerships to establish comprehensive crime and disorder reduction initiatives</w:t>
      </w:r>
      <w:sdt>
        <w:sdtPr>
          <w:rPr>
            <w:rFonts w:cstheme="minorHAnsi"/>
            <w:color w:val="000000" w:themeColor="text1"/>
            <w:sz w:val="24"/>
            <w:szCs w:val="24"/>
          </w:rPr>
          <w:id w:val="-136413276"/>
          <w:citation/>
        </w:sdtPr>
        <w:sdtContent>
          <w:r w:rsidRPr="004148C5">
            <w:rPr>
              <w:rFonts w:cstheme="minorHAnsi"/>
              <w:color w:val="000000" w:themeColor="text1"/>
              <w:sz w:val="24"/>
              <w:szCs w:val="24"/>
            </w:rPr>
            <w:fldChar w:fldCharType="begin"/>
          </w:r>
          <w:r w:rsidRPr="004148C5">
            <w:rPr>
              <w:rFonts w:cstheme="minorHAnsi"/>
              <w:color w:val="000000" w:themeColor="text1"/>
              <w:sz w:val="24"/>
              <w:szCs w:val="24"/>
            </w:rPr>
            <w:instrText xml:space="preserve"> CITATION Lov18 \l 2057 </w:instrText>
          </w:r>
          <w:r w:rsidRPr="004148C5">
            <w:rPr>
              <w:rFonts w:cstheme="minorHAnsi"/>
              <w:color w:val="000000" w:themeColor="text1"/>
              <w:sz w:val="24"/>
              <w:szCs w:val="24"/>
            </w:rPr>
            <w:fldChar w:fldCharType="separate"/>
          </w:r>
          <w:r w:rsidRPr="004148C5">
            <w:rPr>
              <w:rFonts w:cstheme="minorHAnsi"/>
              <w:noProof/>
              <w:color w:val="000000" w:themeColor="text1"/>
              <w:sz w:val="24"/>
              <w:szCs w:val="24"/>
            </w:rPr>
            <w:t xml:space="preserve"> (Loveday, 2018)</w:t>
          </w:r>
          <w:r w:rsidRPr="004148C5">
            <w:rPr>
              <w:rFonts w:cstheme="minorHAnsi"/>
              <w:color w:val="000000" w:themeColor="text1"/>
              <w:sz w:val="24"/>
              <w:szCs w:val="24"/>
            </w:rPr>
            <w:fldChar w:fldCharType="end"/>
          </w:r>
        </w:sdtContent>
      </w:sdt>
      <w:sdt>
        <w:sdtPr>
          <w:rPr>
            <w:rFonts w:cstheme="minorHAnsi"/>
            <w:b/>
            <w:color w:val="000000" w:themeColor="text1"/>
            <w:sz w:val="24"/>
            <w:szCs w:val="24"/>
          </w:rPr>
          <w:id w:val="2100980546"/>
          <w:citation/>
        </w:sdtPr>
        <w:sdtContent>
          <w:r w:rsidRPr="004148C5">
            <w:rPr>
              <w:rFonts w:cstheme="minorHAnsi"/>
              <w:b/>
              <w:color w:val="000000" w:themeColor="text1"/>
              <w:sz w:val="24"/>
              <w:szCs w:val="24"/>
            </w:rPr>
            <w:fldChar w:fldCharType="begin"/>
          </w:r>
          <w:r w:rsidRPr="004148C5">
            <w:rPr>
              <w:rFonts w:cstheme="minorHAnsi"/>
              <w:b/>
              <w:color w:val="000000" w:themeColor="text1"/>
              <w:sz w:val="24"/>
              <w:szCs w:val="24"/>
            </w:rPr>
            <w:instrText xml:space="preserve"> CITATION Cra17 \l 2057 </w:instrText>
          </w:r>
          <w:r w:rsidRPr="004148C5">
            <w:rPr>
              <w:rFonts w:cstheme="minorHAnsi"/>
              <w:b/>
              <w:color w:val="000000" w:themeColor="text1"/>
              <w:sz w:val="24"/>
              <w:szCs w:val="24"/>
            </w:rPr>
            <w:fldChar w:fldCharType="separate"/>
          </w:r>
          <w:r w:rsidRPr="004148C5">
            <w:rPr>
              <w:rFonts w:cstheme="minorHAnsi"/>
              <w:b/>
              <w:noProof/>
              <w:color w:val="000000" w:themeColor="text1"/>
              <w:sz w:val="24"/>
              <w:szCs w:val="24"/>
            </w:rPr>
            <w:t xml:space="preserve"> </w:t>
          </w:r>
          <w:r w:rsidRPr="004148C5">
            <w:rPr>
              <w:rFonts w:cstheme="minorHAnsi"/>
              <w:noProof/>
              <w:color w:val="000000" w:themeColor="text1"/>
              <w:sz w:val="24"/>
              <w:szCs w:val="24"/>
            </w:rPr>
            <w:t>(Crawford &amp; Evans, 2017)</w:t>
          </w:r>
          <w:r w:rsidRPr="004148C5">
            <w:rPr>
              <w:rFonts w:cstheme="minorHAnsi"/>
              <w:b/>
              <w:color w:val="000000" w:themeColor="text1"/>
              <w:sz w:val="24"/>
              <w:szCs w:val="24"/>
            </w:rPr>
            <w:fldChar w:fldCharType="end"/>
          </w:r>
        </w:sdtContent>
      </w:sdt>
      <w:r w:rsidRPr="004148C5">
        <w:rPr>
          <w:rFonts w:cstheme="minorHAnsi"/>
          <w:b/>
          <w:color w:val="000000" w:themeColor="text1"/>
          <w:sz w:val="24"/>
          <w:szCs w:val="24"/>
        </w:rPr>
        <w:t xml:space="preserve">. </w:t>
      </w:r>
      <w:r w:rsidRPr="004148C5">
        <w:rPr>
          <w:sz w:val="24"/>
          <w:szCs w:val="24"/>
        </w:rPr>
        <w:t xml:space="preserve">When considering who is actually accountable in this context, </w:t>
      </w:r>
      <w:proofErr w:type="spellStart"/>
      <w:r w:rsidRPr="004148C5">
        <w:rPr>
          <w:sz w:val="24"/>
          <w:szCs w:val="24"/>
        </w:rPr>
        <w:t>Loeffler</w:t>
      </w:r>
      <w:proofErr w:type="spellEnd"/>
      <w:r w:rsidRPr="004148C5">
        <w:rPr>
          <w:sz w:val="24"/>
          <w:szCs w:val="24"/>
        </w:rPr>
        <w:t xml:space="preserve"> (2016) identified that neither the Police nor any other agency can deliver long term solutions to the public alone and that many of the underlying factors that impact on crime cannot be addressed by the Police. </w:t>
      </w:r>
      <w:r w:rsidRPr="004148C5">
        <w:rPr>
          <w:rFonts w:cstheme="minorHAnsi"/>
          <w:color w:val="000000" w:themeColor="text1"/>
          <w:sz w:val="24"/>
          <w:szCs w:val="24"/>
          <w:shd w:val="clear" w:color="auto" w:fill="FFFFFF"/>
        </w:rPr>
        <w:t xml:space="preserve">Academic literature supports the view that a number of issues contribute to crime: availability of victims or targets, a cohort of motivated perpetrators and an absence of guardianship </w:t>
      </w:r>
      <w:sdt>
        <w:sdtPr>
          <w:rPr>
            <w:rFonts w:cstheme="minorHAnsi"/>
            <w:color w:val="000000" w:themeColor="text1"/>
            <w:sz w:val="24"/>
            <w:szCs w:val="24"/>
            <w:shd w:val="clear" w:color="auto" w:fill="FFFFFF"/>
          </w:rPr>
          <w:id w:val="1504550733"/>
          <w:citation/>
        </w:sdtPr>
        <w:sdtContent>
          <w:r w:rsidRPr="004148C5">
            <w:rPr>
              <w:rFonts w:cstheme="minorHAnsi"/>
              <w:color w:val="000000" w:themeColor="text1"/>
              <w:sz w:val="24"/>
              <w:szCs w:val="24"/>
              <w:shd w:val="clear" w:color="auto" w:fill="FFFFFF"/>
            </w:rPr>
            <w:fldChar w:fldCharType="begin"/>
          </w:r>
          <w:r w:rsidRPr="004148C5">
            <w:rPr>
              <w:rFonts w:cstheme="minorHAnsi"/>
              <w:color w:val="000000" w:themeColor="text1"/>
              <w:sz w:val="24"/>
              <w:szCs w:val="24"/>
              <w:shd w:val="clear" w:color="auto" w:fill="FFFFFF"/>
            </w:rPr>
            <w:instrText xml:space="preserve"> CITATION Wan13 \l 2057 </w:instrText>
          </w:r>
          <w:r w:rsidRPr="004148C5">
            <w:rPr>
              <w:rFonts w:cstheme="minorHAnsi"/>
              <w:color w:val="000000" w:themeColor="text1"/>
              <w:sz w:val="24"/>
              <w:szCs w:val="24"/>
              <w:shd w:val="clear" w:color="auto" w:fill="FFFFFF"/>
            </w:rPr>
            <w:fldChar w:fldCharType="separate"/>
          </w:r>
          <w:r w:rsidRPr="004148C5">
            <w:rPr>
              <w:rFonts w:cstheme="minorHAnsi"/>
              <w:noProof/>
              <w:color w:val="000000" w:themeColor="text1"/>
              <w:sz w:val="24"/>
              <w:szCs w:val="24"/>
              <w:shd w:val="clear" w:color="auto" w:fill="FFFFFF"/>
            </w:rPr>
            <w:t>(Wang, et al., 2013)</w:t>
          </w:r>
          <w:r w:rsidRPr="004148C5">
            <w:rPr>
              <w:rFonts w:cstheme="minorHAnsi"/>
              <w:color w:val="000000" w:themeColor="text1"/>
              <w:sz w:val="24"/>
              <w:szCs w:val="24"/>
              <w:shd w:val="clear" w:color="auto" w:fill="FFFFFF"/>
            </w:rPr>
            <w:fldChar w:fldCharType="end"/>
          </w:r>
        </w:sdtContent>
      </w:sdt>
      <w:sdt>
        <w:sdtPr>
          <w:rPr>
            <w:rFonts w:cstheme="minorHAnsi"/>
            <w:color w:val="000000" w:themeColor="text1"/>
            <w:sz w:val="24"/>
            <w:szCs w:val="24"/>
            <w:shd w:val="clear" w:color="auto" w:fill="FFFFFF"/>
          </w:rPr>
          <w:id w:val="-1165852936"/>
          <w:citation/>
        </w:sdtPr>
        <w:sdtContent>
          <w:r w:rsidRPr="004148C5">
            <w:rPr>
              <w:rFonts w:cstheme="minorHAnsi"/>
              <w:color w:val="000000" w:themeColor="text1"/>
              <w:sz w:val="24"/>
              <w:szCs w:val="24"/>
              <w:shd w:val="clear" w:color="auto" w:fill="FFFFFF"/>
            </w:rPr>
            <w:fldChar w:fldCharType="begin"/>
          </w:r>
          <w:r w:rsidRPr="004148C5">
            <w:rPr>
              <w:rFonts w:cstheme="minorHAnsi"/>
              <w:color w:val="000000" w:themeColor="text1"/>
              <w:sz w:val="24"/>
              <w:szCs w:val="24"/>
              <w:shd w:val="clear" w:color="auto" w:fill="FFFFFF"/>
            </w:rPr>
            <w:instrText xml:space="preserve">CITATION Coh79 \l 2057 </w:instrText>
          </w:r>
          <w:r w:rsidRPr="004148C5">
            <w:rPr>
              <w:rFonts w:cstheme="minorHAnsi"/>
              <w:color w:val="000000" w:themeColor="text1"/>
              <w:sz w:val="24"/>
              <w:szCs w:val="24"/>
              <w:shd w:val="clear" w:color="auto" w:fill="FFFFFF"/>
            </w:rPr>
            <w:fldChar w:fldCharType="separate"/>
          </w:r>
          <w:r w:rsidRPr="004148C5">
            <w:rPr>
              <w:rFonts w:cstheme="minorHAnsi"/>
              <w:noProof/>
              <w:color w:val="000000" w:themeColor="text1"/>
              <w:sz w:val="24"/>
              <w:szCs w:val="24"/>
              <w:shd w:val="clear" w:color="auto" w:fill="FFFFFF"/>
            </w:rPr>
            <w:t xml:space="preserve"> (Cohen &amp; Felson, 1979)</w:t>
          </w:r>
          <w:r w:rsidRPr="004148C5">
            <w:rPr>
              <w:rFonts w:cstheme="minorHAnsi"/>
              <w:color w:val="000000" w:themeColor="text1"/>
              <w:sz w:val="24"/>
              <w:szCs w:val="24"/>
              <w:shd w:val="clear" w:color="auto" w:fill="FFFFFF"/>
            </w:rPr>
            <w:fldChar w:fldCharType="end"/>
          </w:r>
        </w:sdtContent>
      </w:sdt>
      <w:r w:rsidR="003E4F58">
        <w:rPr>
          <w:rFonts w:cstheme="minorHAnsi"/>
          <w:color w:val="000000" w:themeColor="text1"/>
          <w:sz w:val="24"/>
          <w:szCs w:val="24"/>
          <w:shd w:val="clear" w:color="auto" w:fill="FFFFFF"/>
        </w:rPr>
        <w:t xml:space="preserve"> driven by a</w:t>
      </w:r>
      <w:r w:rsidRPr="004148C5">
        <w:rPr>
          <w:rFonts w:cstheme="minorHAnsi"/>
          <w:color w:val="000000" w:themeColor="text1"/>
          <w:sz w:val="24"/>
          <w:szCs w:val="24"/>
          <w:shd w:val="clear" w:color="auto" w:fill="FFFFFF"/>
        </w:rPr>
        <w:t xml:space="preserve"> number of social and economic </w:t>
      </w:r>
      <w:r w:rsidR="003E4F58">
        <w:rPr>
          <w:rFonts w:cstheme="minorHAnsi"/>
          <w:color w:val="000000" w:themeColor="text1"/>
          <w:sz w:val="24"/>
          <w:szCs w:val="24"/>
          <w:shd w:val="clear" w:color="auto" w:fill="FFFFFF"/>
        </w:rPr>
        <w:t>factors</w:t>
      </w:r>
      <w:r w:rsidRPr="004148C5">
        <w:rPr>
          <w:rFonts w:cstheme="minorHAnsi"/>
          <w:color w:val="000000" w:themeColor="text1"/>
          <w:sz w:val="24"/>
          <w:szCs w:val="24"/>
          <w:shd w:val="clear" w:color="auto" w:fill="FFFFFF"/>
        </w:rPr>
        <w:t xml:space="preserve"> behind this </w:t>
      </w:r>
      <w:r w:rsidRPr="004148C5">
        <w:rPr>
          <w:rFonts w:cstheme="minorHAnsi"/>
          <w:color w:val="000000" w:themeColor="text1"/>
          <w:sz w:val="24"/>
          <w:szCs w:val="24"/>
          <w:shd w:val="clear" w:color="auto" w:fill="FFFFFF"/>
        </w:rPr>
        <w:lastRenderedPageBreak/>
        <w:t xml:space="preserve">such as poverty, exposure to violence and mental ill health </w:t>
      </w:r>
      <w:sdt>
        <w:sdtPr>
          <w:rPr>
            <w:rFonts w:cstheme="minorHAnsi"/>
            <w:color w:val="000000" w:themeColor="text1"/>
            <w:sz w:val="24"/>
            <w:szCs w:val="24"/>
            <w:shd w:val="clear" w:color="auto" w:fill="FFFFFF"/>
          </w:rPr>
          <w:id w:val="1086731902"/>
          <w:citation/>
        </w:sdtPr>
        <w:sdtContent>
          <w:r w:rsidRPr="004148C5">
            <w:rPr>
              <w:rFonts w:cstheme="minorHAnsi"/>
              <w:color w:val="000000" w:themeColor="text1"/>
              <w:sz w:val="24"/>
              <w:szCs w:val="24"/>
              <w:shd w:val="clear" w:color="auto" w:fill="FFFFFF"/>
            </w:rPr>
            <w:fldChar w:fldCharType="begin"/>
          </w:r>
          <w:r w:rsidRPr="004148C5">
            <w:rPr>
              <w:rFonts w:cstheme="minorHAnsi"/>
              <w:color w:val="000000" w:themeColor="text1"/>
              <w:sz w:val="24"/>
              <w:szCs w:val="24"/>
              <w:shd w:val="clear" w:color="auto" w:fill="FFFFFF"/>
            </w:rPr>
            <w:instrText xml:space="preserve"> CITATION Kan00 \l 2057 </w:instrText>
          </w:r>
          <w:r w:rsidRPr="004148C5">
            <w:rPr>
              <w:rFonts w:cstheme="minorHAnsi"/>
              <w:color w:val="000000" w:themeColor="text1"/>
              <w:sz w:val="24"/>
              <w:szCs w:val="24"/>
              <w:shd w:val="clear" w:color="auto" w:fill="FFFFFF"/>
            </w:rPr>
            <w:fldChar w:fldCharType="separate"/>
          </w:r>
          <w:r w:rsidRPr="004148C5">
            <w:rPr>
              <w:rFonts w:cstheme="minorHAnsi"/>
              <w:noProof/>
              <w:color w:val="000000" w:themeColor="text1"/>
              <w:sz w:val="24"/>
              <w:szCs w:val="24"/>
              <w:shd w:val="clear" w:color="auto" w:fill="FFFFFF"/>
            </w:rPr>
            <w:t>(Kanazawa &amp; Still, 2000)</w:t>
          </w:r>
          <w:r w:rsidRPr="004148C5">
            <w:rPr>
              <w:rFonts w:cstheme="minorHAnsi"/>
              <w:color w:val="000000" w:themeColor="text1"/>
              <w:sz w:val="24"/>
              <w:szCs w:val="24"/>
              <w:shd w:val="clear" w:color="auto" w:fill="FFFFFF"/>
            </w:rPr>
            <w:fldChar w:fldCharType="end"/>
          </w:r>
        </w:sdtContent>
      </w:sdt>
      <w:r w:rsidR="003E4F58">
        <w:rPr>
          <w:rFonts w:cstheme="minorHAnsi"/>
          <w:color w:val="000000" w:themeColor="text1"/>
          <w:sz w:val="24"/>
          <w:szCs w:val="24"/>
          <w:shd w:val="clear" w:color="auto" w:fill="FFFFFF"/>
        </w:rPr>
        <w:t>. O</w:t>
      </w:r>
      <w:r w:rsidRPr="004148C5">
        <w:rPr>
          <w:sz w:val="24"/>
          <w:szCs w:val="24"/>
        </w:rPr>
        <w:t xml:space="preserve">ne cannot avoid hearing the word ‘community’ being routinely used in any debate in what is to be done about the problems of </w:t>
      </w:r>
      <w:r w:rsidR="00442CC0">
        <w:rPr>
          <w:sz w:val="24"/>
          <w:szCs w:val="24"/>
        </w:rPr>
        <w:t>crime. Put simply, Community S</w:t>
      </w:r>
      <w:r w:rsidRPr="004148C5">
        <w:rPr>
          <w:sz w:val="24"/>
          <w:szCs w:val="24"/>
        </w:rPr>
        <w:t>afety can be described as a strategy involving a range of agencies and the community themselves to deliver long term outcomes that go far beyond any policing of crime approaches</w:t>
      </w:r>
      <w:sdt>
        <w:sdtPr>
          <w:rPr>
            <w:sz w:val="24"/>
            <w:szCs w:val="24"/>
          </w:rPr>
          <w:id w:val="-990557454"/>
          <w:citation/>
        </w:sdtPr>
        <w:sdtContent>
          <w:r w:rsidRPr="004148C5">
            <w:rPr>
              <w:sz w:val="24"/>
              <w:szCs w:val="24"/>
            </w:rPr>
            <w:fldChar w:fldCharType="begin"/>
          </w:r>
          <w:r w:rsidRPr="004148C5">
            <w:rPr>
              <w:sz w:val="24"/>
              <w:szCs w:val="24"/>
            </w:rPr>
            <w:instrText xml:space="preserve"> CITATION Hug071 \l 2057 </w:instrText>
          </w:r>
          <w:r w:rsidRPr="004148C5">
            <w:rPr>
              <w:sz w:val="24"/>
              <w:szCs w:val="24"/>
            </w:rPr>
            <w:fldChar w:fldCharType="separate"/>
          </w:r>
          <w:r w:rsidRPr="004148C5">
            <w:rPr>
              <w:noProof/>
              <w:sz w:val="24"/>
              <w:szCs w:val="24"/>
            </w:rPr>
            <w:t xml:space="preserve"> (Hughes, 2007)</w:t>
          </w:r>
          <w:r w:rsidRPr="004148C5">
            <w:rPr>
              <w:sz w:val="24"/>
              <w:szCs w:val="24"/>
            </w:rPr>
            <w:fldChar w:fldCharType="end"/>
          </w:r>
        </w:sdtContent>
      </w:sdt>
      <w:r w:rsidRPr="004148C5">
        <w:rPr>
          <w:sz w:val="24"/>
          <w:szCs w:val="24"/>
        </w:rPr>
        <w:t xml:space="preserve">. </w:t>
      </w:r>
    </w:p>
    <w:p w:rsidR="00D57BEB" w:rsidRPr="004148C5" w:rsidRDefault="00D57BEB" w:rsidP="004148C5">
      <w:pPr>
        <w:spacing w:line="480" w:lineRule="auto"/>
        <w:jc w:val="both"/>
        <w:rPr>
          <w:sz w:val="24"/>
          <w:szCs w:val="24"/>
        </w:rPr>
      </w:pPr>
      <w:r w:rsidRPr="004148C5">
        <w:rPr>
          <w:sz w:val="24"/>
          <w:szCs w:val="24"/>
        </w:rPr>
        <w:t>In considering the benefit to the public of the Commissioner</w:t>
      </w:r>
      <w:r w:rsidR="003E4F58">
        <w:rPr>
          <w:sz w:val="24"/>
          <w:szCs w:val="24"/>
        </w:rPr>
        <w:t>’</w:t>
      </w:r>
      <w:r w:rsidR="00F23529">
        <w:rPr>
          <w:sz w:val="24"/>
          <w:szCs w:val="24"/>
        </w:rPr>
        <w:t xml:space="preserve">s reform to Police governance </w:t>
      </w:r>
      <w:r w:rsidRPr="004148C5">
        <w:rPr>
          <w:sz w:val="24"/>
          <w:szCs w:val="24"/>
        </w:rPr>
        <w:t>and the impact on the Community Safety agenda, a review of t</w:t>
      </w:r>
      <w:r w:rsidRPr="004148C5">
        <w:rPr>
          <w:rFonts w:cstheme="minorHAnsi"/>
          <w:color w:val="000000" w:themeColor="text1"/>
          <w:sz w:val="24"/>
          <w:szCs w:val="24"/>
        </w:rPr>
        <w:t>he Morgan report (1991) identifies the need to bring partners together to tackle</w:t>
      </w:r>
      <w:r w:rsidR="00F23529">
        <w:rPr>
          <w:rFonts w:cstheme="minorHAnsi"/>
          <w:color w:val="000000" w:themeColor="text1"/>
          <w:sz w:val="24"/>
          <w:szCs w:val="24"/>
        </w:rPr>
        <w:t xml:space="preserve"> the</w:t>
      </w:r>
      <w:r w:rsidRPr="004148C5">
        <w:rPr>
          <w:rFonts w:cstheme="minorHAnsi"/>
          <w:color w:val="000000" w:themeColor="text1"/>
          <w:sz w:val="24"/>
          <w:szCs w:val="24"/>
        </w:rPr>
        <w:t xml:space="preserve"> </w:t>
      </w:r>
      <w:r w:rsidR="001A73E3">
        <w:rPr>
          <w:rFonts w:cstheme="minorHAnsi"/>
          <w:color w:val="000000" w:themeColor="text1"/>
          <w:sz w:val="24"/>
          <w:szCs w:val="24"/>
        </w:rPr>
        <w:t>issues of crime prevention and Community S</w:t>
      </w:r>
      <w:r w:rsidRPr="004148C5">
        <w:rPr>
          <w:rFonts w:cstheme="minorHAnsi"/>
          <w:color w:val="000000" w:themeColor="text1"/>
          <w:sz w:val="24"/>
          <w:szCs w:val="24"/>
        </w:rPr>
        <w:t xml:space="preserve">afety whilst recognising the difficulties in achieving this. </w:t>
      </w:r>
      <w:r w:rsidRPr="004148C5">
        <w:rPr>
          <w:sz w:val="24"/>
          <w:szCs w:val="24"/>
          <w:lang w:val="en-US"/>
        </w:rPr>
        <w:t>The majority of public services in Wales are delivered concurrently by multiple areas of government and private providers with overlapping responsibilities as opposed to individual departments working in isolation.</w:t>
      </w:r>
      <w:sdt>
        <w:sdtPr>
          <w:rPr>
            <w:sz w:val="24"/>
            <w:szCs w:val="24"/>
            <w:lang w:val="en-US"/>
          </w:rPr>
          <w:id w:val="781463743"/>
          <w:citation/>
        </w:sdtPr>
        <w:sdtContent>
          <w:r w:rsidRPr="004148C5">
            <w:rPr>
              <w:sz w:val="24"/>
              <w:szCs w:val="24"/>
              <w:lang w:val="en-US"/>
            </w:rPr>
            <w:fldChar w:fldCharType="begin"/>
          </w:r>
          <w:r w:rsidRPr="004148C5">
            <w:rPr>
              <w:sz w:val="24"/>
              <w:szCs w:val="24"/>
            </w:rPr>
            <w:instrText xml:space="preserve"> CITATION Dow14 \l 2057 </w:instrText>
          </w:r>
          <w:r w:rsidRPr="004148C5">
            <w:rPr>
              <w:sz w:val="24"/>
              <w:szCs w:val="24"/>
              <w:lang w:val="en-US"/>
            </w:rPr>
            <w:fldChar w:fldCharType="separate"/>
          </w:r>
          <w:r w:rsidRPr="004148C5">
            <w:rPr>
              <w:noProof/>
              <w:sz w:val="24"/>
              <w:szCs w:val="24"/>
            </w:rPr>
            <w:t xml:space="preserve"> (Downe, et al., 2014)</w:t>
          </w:r>
          <w:r w:rsidRPr="004148C5">
            <w:rPr>
              <w:sz w:val="24"/>
              <w:szCs w:val="24"/>
              <w:lang w:val="en-US"/>
            </w:rPr>
            <w:fldChar w:fldCharType="end"/>
          </w:r>
        </w:sdtContent>
      </w:sdt>
      <w:r w:rsidRPr="004148C5">
        <w:rPr>
          <w:sz w:val="24"/>
          <w:szCs w:val="24"/>
          <w:lang w:val="en-US"/>
        </w:rPr>
        <w:t>.</w:t>
      </w:r>
      <w:r w:rsidRPr="004148C5">
        <w:rPr>
          <w:rFonts w:cstheme="minorHAnsi"/>
          <w:color w:val="000000" w:themeColor="text1"/>
          <w:sz w:val="24"/>
          <w:szCs w:val="24"/>
        </w:rPr>
        <w:t xml:space="preserve"> 1998 saw the introduction of the Crime and Disorder act which enshrined in law the model of statutory partnership working arrangements to tackle issues impacting on Community Safety, creating a legal duty on the public sector to work together to reduce crime and disorder in their particular communities</w:t>
      </w:r>
      <w:sdt>
        <w:sdtPr>
          <w:rPr>
            <w:rFonts w:cstheme="minorHAnsi"/>
            <w:color w:val="000000" w:themeColor="text1"/>
            <w:sz w:val="24"/>
            <w:szCs w:val="24"/>
          </w:rPr>
          <w:id w:val="199600545"/>
          <w:citation/>
        </w:sdtPr>
        <w:sdtContent>
          <w:r w:rsidRPr="004148C5">
            <w:rPr>
              <w:rFonts w:cstheme="minorHAnsi"/>
              <w:color w:val="000000" w:themeColor="text1"/>
              <w:sz w:val="24"/>
              <w:szCs w:val="24"/>
            </w:rPr>
            <w:fldChar w:fldCharType="begin"/>
          </w:r>
          <w:r w:rsidRPr="004148C5">
            <w:rPr>
              <w:rFonts w:cstheme="minorHAnsi"/>
              <w:color w:val="000000" w:themeColor="text1"/>
              <w:sz w:val="24"/>
              <w:szCs w:val="24"/>
            </w:rPr>
            <w:instrText xml:space="preserve"> CITATION Gil08 \l 2057 </w:instrText>
          </w:r>
          <w:r w:rsidRPr="004148C5">
            <w:rPr>
              <w:rFonts w:cstheme="minorHAnsi"/>
              <w:color w:val="000000" w:themeColor="text1"/>
              <w:sz w:val="24"/>
              <w:szCs w:val="24"/>
            </w:rPr>
            <w:fldChar w:fldCharType="separate"/>
          </w:r>
          <w:r w:rsidRPr="004148C5">
            <w:rPr>
              <w:rFonts w:cstheme="minorHAnsi"/>
              <w:noProof/>
              <w:color w:val="000000" w:themeColor="text1"/>
              <w:sz w:val="24"/>
              <w:szCs w:val="24"/>
            </w:rPr>
            <w:t xml:space="preserve"> (Gilling, 2008)</w:t>
          </w:r>
          <w:r w:rsidRPr="004148C5">
            <w:rPr>
              <w:rFonts w:cstheme="minorHAnsi"/>
              <w:color w:val="000000" w:themeColor="text1"/>
              <w:sz w:val="24"/>
              <w:szCs w:val="24"/>
            </w:rPr>
            <w:fldChar w:fldCharType="end"/>
          </w:r>
        </w:sdtContent>
      </w:sdt>
      <w:r w:rsidRPr="004148C5">
        <w:rPr>
          <w:rFonts w:cstheme="minorHAnsi"/>
          <w:color w:val="000000" w:themeColor="text1"/>
          <w:sz w:val="24"/>
          <w:szCs w:val="24"/>
        </w:rPr>
        <w:t xml:space="preserve">. The subsequent legislation mandated that each local authority (of which Wales has 22) must establish Community Safety Partnerships – and create the frameworks in which all responsible public service providers must work together to tackle the causes of crime and disorder and where joint decision making and scrutiny is to be undertaken </w:t>
      </w:r>
      <w:sdt>
        <w:sdtPr>
          <w:rPr>
            <w:rFonts w:cstheme="minorHAnsi"/>
            <w:color w:val="000000" w:themeColor="text1"/>
            <w:sz w:val="24"/>
            <w:szCs w:val="24"/>
          </w:rPr>
          <w:id w:val="-659460199"/>
          <w:citation/>
        </w:sdtPr>
        <w:sdtContent>
          <w:r w:rsidRPr="004148C5">
            <w:rPr>
              <w:rFonts w:cstheme="minorHAnsi"/>
              <w:color w:val="000000" w:themeColor="text1"/>
              <w:sz w:val="24"/>
              <w:szCs w:val="24"/>
            </w:rPr>
            <w:fldChar w:fldCharType="begin"/>
          </w:r>
          <w:r w:rsidRPr="004148C5">
            <w:rPr>
              <w:rFonts w:cstheme="minorHAnsi"/>
              <w:color w:val="000000" w:themeColor="text1"/>
              <w:sz w:val="24"/>
              <w:szCs w:val="24"/>
            </w:rPr>
            <w:instrText xml:space="preserve"> CITATION Har18 \l 2057 </w:instrText>
          </w:r>
          <w:r w:rsidRPr="004148C5">
            <w:rPr>
              <w:rFonts w:cstheme="minorHAnsi"/>
              <w:color w:val="000000" w:themeColor="text1"/>
              <w:sz w:val="24"/>
              <w:szCs w:val="24"/>
            </w:rPr>
            <w:fldChar w:fldCharType="separate"/>
          </w:r>
          <w:r w:rsidRPr="004148C5">
            <w:rPr>
              <w:rFonts w:cstheme="minorHAnsi"/>
              <w:noProof/>
              <w:color w:val="000000" w:themeColor="text1"/>
              <w:sz w:val="24"/>
              <w:szCs w:val="24"/>
            </w:rPr>
            <w:t>(Harkin, 2018)</w:t>
          </w:r>
          <w:r w:rsidRPr="004148C5">
            <w:rPr>
              <w:rFonts w:cstheme="minorHAnsi"/>
              <w:color w:val="000000" w:themeColor="text1"/>
              <w:sz w:val="24"/>
              <w:szCs w:val="24"/>
            </w:rPr>
            <w:fldChar w:fldCharType="end"/>
          </w:r>
        </w:sdtContent>
      </w:sdt>
      <w:r w:rsidRPr="004148C5">
        <w:rPr>
          <w:rFonts w:cstheme="minorHAnsi"/>
          <w:color w:val="000000" w:themeColor="text1"/>
          <w:sz w:val="24"/>
          <w:szCs w:val="24"/>
        </w:rPr>
        <w:t xml:space="preserve">. </w:t>
      </w:r>
      <w:r w:rsidRPr="004148C5">
        <w:rPr>
          <w:rFonts w:cstheme="minorHAnsi"/>
          <w:color w:val="000000" w:themeColor="text1"/>
          <w:sz w:val="24"/>
          <w:szCs w:val="24"/>
          <w:shd w:val="clear" w:color="auto" w:fill="FFFFFF"/>
        </w:rPr>
        <w:t xml:space="preserve">The impact of devolution in Wales must also be considered in the partnership context as responsibility for Policing and Commissioners is retained by UK Government via the Home Office whereas other public sector partners charged with crime reduction activity are devolved to Welsh Government. Policy approaches differ across both nations and remain divergent in approach and the Structures of Public Services in Wales have changed </w:t>
      </w:r>
      <w:r w:rsidRPr="004148C5">
        <w:rPr>
          <w:rFonts w:cstheme="minorHAnsi"/>
          <w:color w:val="000000" w:themeColor="text1"/>
          <w:sz w:val="24"/>
          <w:szCs w:val="24"/>
          <w:shd w:val="clear" w:color="auto" w:fill="FFFFFF"/>
        </w:rPr>
        <w:lastRenderedPageBreak/>
        <w:t xml:space="preserve">significantly since devolution in 1999 </w:t>
      </w:r>
      <w:sdt>
        <w:sdtPr>
          <w:rPr>
            <w:rFonts w:cstheme="minorHAnsi"/>
            <w:color w:val="000000" w:themeColor="text1"/>
            <w:sz w:val="24"/>
            <w:szCs w:val="24"/>
            <w:shd w:val="clear" w:color="auto" w:fill="FFFFFF"/>
          </w:rPr>
          <w:id w:val="-1651361514"/>
          <w:citation/>
        </w:sdtPr>
        <w:sdtContent>
          <w:r w:rsidRPr="004148C5">
            <w:rPr>
              <w:rFonts w:cstheme="minorHAnsi"/>
              <w:color w:val="000000" w:themeColor="text1"/>
              <w:sz w:val="24"/>
              <w:szCs w:val="24"/>
              <w:shd w:val="clear" w:color="auto" w:fill="FFFFFF"/>
            </w:rPr>
            <w:fldChar w:fldCharType="begin"/>
          </w:r>
          <w:r w:rsidRPr="004148C5">
            <w:rPr>
              <w:rFonts w:cstheme="minorHAnsi"/>
              <w:color w:val="000000" w:themeColor="text1"/>
              <w:sz w:val="24"/>
              <w:szCs w:val="24"/>
              <w:shd w:val="clear" w:color="auto" w:fill="FFFFFF"/>
            </w:rPr>
            <w:instrText xml:space="preserve"> CITATION Wel17 \l 2057 </w:instrText>
          </w:r>
          <w:r w:rsidRPr="004148C5">
            <w:rPr>
              <w:rFonts w:cstheme="minorHAnsi"/>
              <w:color w:val="000000" w:themeColor="text1"/>
              <w:sz w:val="24"/>
              <w:szCs w:val="24"/>
              <w:shd w:val="clear" w:color="auto" w:fill="FFFFFF"/>
            </w:rPr>
            <w:fldChar w:fldCharType="separate"/>
          </w:r>
          <w:r w:rsidRPr="004148C5">
            <w:rPr>
              <w:rFonts w:cstheme="minorHAnsi"/>
              <w:noProof/>
              <w:color w:val="000000" w:themeColor="text1"/>
              <w:sz w:val="24"/>
              <w:szCs w:val="24"/>
              <w:shd w:val="clear" w:color="auto" w:fill="FFFFFF"/>
            </w:rPr>
            <w:t>(Welsh Government, 2017)</w:t>
          </w:r>
          <w:r w:rsidRPr="004148C5">
            <w:rPr>
              <w:rFonts w:cstheme="minorHAnsi"/>
              <w:color w:val="000000" w:themeColor="text1"/>
              <w:sz w:val="24"/>
              <w:szCs w:val="24"/>
              <w:shd w:val="clear" w:color="auto" w:fill="FFFFFF"/>
            </w:rPr>
            <w:fldChar w:fldCharType="end"/>
          </w:r>
        </w:sdtContent>
      </w:sdt>
      <w:r w:rsidRPr="004148C5">
        <w:rPr>
          <w:rFonts w:cstheme="minorHAnsi"/>
          <w:color w:val="000000" w:themeColor="text1"/>
          <w:sz w:val="24"/>
          <w:szCs w:val="24"/>
          <w:shd w:val="clear" w:color="auto" w:fill="FFFFFF"/>
        </w:rPr>
        <w:t>. The Home Office has redirected Community Safety funding from Welsh Government directly to Police and Crime Commissioners: However in the Welsh context, Welsh Government has</w:t>
      </w:r>
      <w:r w:rsidR="00322D2C">
        <w:rPr>
          <w:rFonts w:cstheme="minorHAnsi"/>
          <w:color w:val="000000" w:themeColor="text1"/>
          <w:sz w:val="24"/>
          <w:szCs w:val="24"/>
          <w:shd w:val="clear" w:color="auto" w:fill="FFFFFF"/>
        </w:rPr>
        <w:t xml:space="preserve"> remained committed to funding Community S</w:t>
      </w:r>
      <w:r w:rsidRPr="004148C5">
        <w:rPr>
          <w:rFonts w:cstheme="minorHAnsi"/>
          <w:color w:val="000000" w:themeColor="text1"/>
          <w:sz w:val="24"/>
          <w:szCs w:val="24"/>
          <w:shd w:val="clear" w:color="auto" w:fill="FFFFFF"/>
        </w:rPr>
        <w:t xml:space="preserve">afety issues – and at a level that far exceeds that provided by the PCC </w:t>
      </w:r>
      <w:sdt>
        <w:sdtPr>
          <w:rPr>
            <w:rFonts w:cstheme="minorHAnsi"/>
            <w:color w:val="000000" w:themeColor="text1"/>
            <w:sz w:val="24"/>
            <w:szCs w:val="24"/>
            <w:shd w:val="clear" w:color="auto" w:fill="FFFFFF"/>
          </w:rPr>
          <w:id w:val="861407876"/>
          <w:citation/>
        </w:sdtPr>
        <w:sdtContent>
          <w:r w:rsidRPr="004148C5">
            <w:rPr>
              <w:rFonts w:cstheme="minorHAnsi"/>
              <w:color w:val="000000" w:themeColor="text1"/>
              <w:sz w:val="24"/>
              <w:szCs w:val="24"/>
              <w:shd w:val="clear" w:color="auto" w:fill="FFFFFF"/>
            </w:rPr>
            <w:fldChar w:fldCharType="begin"/>
          </w:r>
          <w:r w:rsidRPr="004148C5">
            <w:rPr>
              <w:rFonts w:cstheme="minorHAnsi"/>
              <w:b/>
              <w:color w:val="333333"/>
              <w:sz w:val="24"/>
              <w:szCs w:val="24"/>
            </w:rPr>
            <w:instrText xml:space="preserve"> CITATION Cha19 \l 2057 </w:instrText>
          </w:r>
          <w:r w:rsidRPr="004148C5">
            <w:rPr>
              <w:rFonts w:cstheme="minorHAnsi"/>
              <w:color w:val="000000" w:themeColor="text1"/>
              <w:sz w:val="24"/>
              <w:szCs w:val="24"/>
              <w:shd w:val="clear" w:color="auto" w:fill="FFFFFF"/>
            </w:rPr>
            <w:fldChar w:fldCharType="separate"/>
          </w:r>
          <w:r w:rsidRPr="004148C5">
            <w:rPr>
              <w:rFonts w:cstheme="minorHAnsi"/>
              <w:noProof/>
              <w:color w:val="333333"/>
              <w:sz w:val="24"/>
              <w:szCs w:val="24"/>
            </w:rPr>
            <w:t>(Chambers, 2019)</w:t>
          </w:r>
          <w:r w:rsidRPr="004148C5">
            <w:rPr>
              <w:rFonts w:cstheme="minorHAnsi"/>
              <w:color w:val="000000" w:themeColor="text1"/>
              <w:sz w:val="24"/>
              <w:szCs w:val="24"/>
              <w:shd w:val="clear" w:color="auto" w:fill="FFFFFF"/>
            </w:rPr>
            <w:fldChar w:fldCharType="end"/>
          </w:r>
        </w:sdtContent>
      </w:sdt>
      <w:r w:rsidRPr="004148C5">
        <w:rPr>
          <w:rFonts w:cstheme="minorHAnsi"/>
          <w:color w:val="000000" w:themeColor="text1"/>
          <w:sz w:val="24"/>
          <w:szCs w:val="24"/>
          <w:shd w:val="clear" w:color="auto" w:fill="FFFFFF"/>
        </w:rPr>
        <w:t xml:space="preserve">. On the basis of these funding arrangements, Welsh Government will remain the key stakeholder within the Community Safety arena despite the UK Government aim that the PCC actually be accountable for ‘and crime’ performance. The potential benefit of further devolution in the Community Safety context is a relevant one. </w:t>
      </w:r>
      <w:r w:rsidRPr="004148C5">
        <w:rPr>
          <w:sz w:val="24"/>
          <w:szCs w:val="24"/>
          <w:lang w:val="en-US"/>
        </w:rPr>
        <w:t xml:space="preserve">Under current financial arrangements, devolved administrations are in receipt of block funding from the UK government calculated by the Barnett formula. It is argued that this system is flawed in that it takes no account of public/private service delivery and makes assumptions that Welsh public service priorities will align with UK Government policy and that all needs remain equitable so therefore service delivery is consistent </w:t>
      </w:r>
      <w:sdt>
        <w:sdtPr>
          <w:rPr>
            <w:sz w:val="24"/>
            <w:szCs w:val="24"/>
            <w:lang w:val="en-US"/>
          </w:rPr>
          <w:id w:val="-538283384"/>
          <w:citation/>
        </w:sdtPr>
        <w:sdtContent>
          <w:r w:rsidRPr="004148C5">
            <w:rPr>
              <w:sz w:val="24"/>
              <w:szCs w:val="24"/>
              <w:lang w:val="en-US"/>
            </w:rPr>
            <w:fldChar w:fldCharType="begin"/>
          </w:r>
          <w:r w:rsidRPr="004148C5">
            <w:rPr>
              <w:sz w:val="24"/>
              <w:szCs w:val="24"/>
            </w:rPr>
            <w:instrText xml:space="preserve"> CITATION Mel09 \l 2057 </w:instrText>
          </w:r>
          <w:r w:rsidRPr="004148C5">
            <w:rPr>
              <w:sz w:val="24"/>
              <w:szCs w:val="24"/>
              <w:lang w:val="en-US"/>
            </w:rPr>
            <w:fldChar w:fldCharType="separate"/>
          </w:r>
          <w:r w:rsidRPr="004148C5">
            <w:rPr>
              <w:noProof/>
              <w:sz w:val="24"/>
              <w:szCs w:val="24"/>
            </w:rPr>
            <w:t>(Mellett, 2009)</w:t>
          </w:r>
          <w:r w:rsidRPr="004148C5">
            <w:rPr>
              <w:sz w:val="24"/>
              <w:szCs w:val="24"/>
              <w:lang w:val="en-US"/>
            </w:rPr>
            <w:fldChar w:fldCharType="end"/>
          </w:r>
        </w:sdtContent>
      </w:sdt>
      <w:r w:rsidRPr="004148C5">
        <w:rPr>
          <w:sz w:val="24"/>
          <w:szCs w:val="24"/>
          <w:lang w:val="en-US"/>
        </w:rPr>
        <w:t>. This financing arrangement will become more fiercely contested as decentralisation evolves further</w:t>
      </w:r>
      <w:sdt>
        <w:sdtPr>
          <w:rPr>
            <w:sz w:val="24"/>
            <w:szCs w:val="24"/>
            <w:lang w:val="en-US"/>
          </w:rPr>
          <w:id w:val="860010903"/>
          <w:citation/>
        </w:sdtPr>
        <w:sdtContent>
          <w:r w:rsidRPr="004148C5">
            <w:rPr>
              <w:sz w:val="24"/>
              <w:szCs w:val="24"/>
              <w:lang w:val="en-US"/>
            </w:rPr>
            <w:fldChar w:fldCharType="begin"/>
          </w:r>
          <w:r w:rsidRPr="004148C5">
            <w:rPr>
              <w:sz w:val="24"/>
              <w:szCs w:val="24"/>
            </w:rPr>
            <w:instrText xml:space="preserve"> CITATION Ble01 \l 2057 </w:instrText>
          </w:r>
          <w:r w:rsidRPr="004148C5">
            <w:rPr>
              <w:sz w:val="24"/>
              <w:szCs w:val="24"/>
              <w:lang w:val="en-US"/>
            </w:rPr>
            <w:fldChar w:fldCharType="separate"/>
          </w:r>
          <w:r w:rsidRPr="004148C5">
            <w:rPr>
              <w:noProof/>
              <w:sz w:val="24"/>
              <w:szCs w:val="24"/>
            </w:rPr>
            <w:t xml:space="preserve"> (Blewitt &amp; Bristow, 2001)</w:t>
          </w:r>
          <w:r w:rsidRPr="004148C5">
            <w:rPr>
              <w:sz w:val="24"/>
              <w:szCs w:val="24"/>
              <w:lang w:val="en-US"/>
            </w:rPr>
            <w:fldChar w:fldCharType="end"/>
          </w:r>
        </w:sdtContent>
      </w:sdt>
      <w:r w:rsidRPr="004148C5">
        <w:rPr>
          <w:sz w:val="24"/>
          <w:szCs w:val="24"/>
          <w:lang w:val="en-US"/>
        </w:rPr>
        <w:t>.</w:t>
      </w:r>
      <w:r w:rsidRPr="004148C5">
        <w:rPr>
          <w:sz w:val="24"/>
          <w:szCs w:val="24"/>
        </w:rPr>
        <w:t xml:space="preserve"> </w:t>
      </w:r>
      <w:r w:rsidRPr="004148C5">
        <w:rPr>
          <w:sz w:val="24"/>
          <w:szCs w:val="24"/>
          <w:lang w:val="en-US"/>
        </w:rPr>
        <w:t>The ability to raise revenues through taxation within the devolved administrations is minimal to the point of not being worth the political cost and it is further argued that the unconditional allocation of funds does nothing to promote financial accountability, transparency and responsiveness to the public as devolved administrations remain responsible for spending but not for generating income</w:t>
      </w:r>
      <w:sdt>
        <w:sdtPr>
          <w:rPr>
            <w:sz w:val="24"/>
            <w:szCs w:val="24"/>
            <w:lang w:val="en-US"/>
          </w:rPr>
          <w:id w:val="-1673172943"/>
          <w:citation/>
        </w:sdtPr>
        <w:sdtContent>
          <w:r w:rsidRPr="004148C5">
            <w:rPr>
              <w:sz w:val="24"/>
              <w:szCs w:val="24"/>
              <w:lang w:val="en-US"/>
            </w:rPr>
            <w:fldChar w:fldCharType="begin"/>
          </w:r>
          <w:r w:rsidRPr="004148C5">
            <w:rPr>
              <w:sz w:val="24"/>
              <w:szCs w:val="24"/>
            </w:rPr>
            <w:instrText xml:space="preserve"> CITATION Mel09 \l 2057 </w:instrText>
          </w:r>
          <w:r w:rsidRPr="004148C5">
            <w:rPr>
              <w:sz w:val="24"/>
              <w:szCs w:val="24"/>
              <w:lang w:val="en-US"/>
            </w:rPr>
            <w:fldChar w:fldCharType="separate"/>
          </w:r>
          <w:r w:rsidRPr="004148C5">
            <w:rPr>
              <w:noProof/>
              <w:sz w:val="24"/>
              <w:szCs w:val="24"/>
            </w:rPr>
            <w:t xml:space="preserve"> (Mellett, 2009)</w:t>
          </w:r>
          <w:r w:rsidRPr="004148C5">
            <w:rPr>
              <w:sz w:val="24"/>
              <w:szCs w:val="24"/>
              <w:lang w:val="en-US"/>
            </w:rPr>
            <w:fldChar w:fldCharType="end"/>
          </w:r>
        </w:sdtContent>
      </w:sdt>
      <w:r w:rsidRPr="004148C5">
        <w:rPr>
          <w:sz w:val="24"/>
          <w:szCs w:val="24"/>
          <w:lang w:val="en-US"/>
        </w:rPr>
        <w:t>.</w:t>
      </w:r>
      <w:r w:rsidRPr="004148C5">
        <w:rPr>
          <w:sz w:val="24"/>
          <w:szCs w:val="24"/>
        </w:rPr>
        <w:t xml:space="preserve"> The aim of Welsh Government includes improving safety, crime reduction and reducing substance misuse therefore significantly overlapping with the aims set out by UK Government when establishing the post of the PCC</w:t>
      </w:r>
      <w:sdt>
        <w:sdtPr>
          <w:rPr>
            <w:sz w:val="24"/>
            <w:szCs w:val="24"/>
          </w:rPr>
          <w:id w:val="1830945484"/>
          <w:citation/>
        </w:sdtPr>
        <w:sdtContent>
          <w:r w:rsidRPr="004148C5">
            <w:rPr>
              <w:sz w:val="24"/>
              <w:szCs w:val="24"/>
            </w:rPr>
            <w:fldChar w:fldCharType="begin"/>
          </w:r>
          <w:r w:rsidRPr="004148C5">
            <w:rPr>
              <w:sz w:val="24"/>
              <w:szCs w:val="24"/>
            </w:rPr>
            <w:instrText xml:space="preserve"> CITATION Cha17 \l 2057 </w:instrText>
          </w:r>
          <w:r w:rsidRPr="004148C5">
            <w:rPr>
              <w:sz w:val="24"/>
              <w:szCs w:val="24"/>
            </w:rPr>
            <w:fldChar w:fldCharType="separate"/>
          </w:r>
          <w:r w:rsidRPr="004148C5">
            <w:rPr>
              <w:noProof/>
              <w:sz w:val="24"/>
              <w:szCs w:val="24"/>
            </w:rPr>
            <w:t xml:space="preserve"> (Chambers, 2017)</w:t>
          </w:r>
          <w:r w:rsidRPr="004148C5">
            <w:rPr>
              <w:sz w:val="24"/>
              <w:szCs w:val="24"/>
            </w:rPr>
            <w:fldChar w:fldCharType="end"/>
          </w:r>
        </w:sdtContent>
      </w:sdt>
      <w:r w:rsidRPr="004148C5">
        <w:rPr>
          <w:sz w:val="24"/>
          <w:szCs w:val="24"/>
        </w:rPr>
        <w:t xml:space="preserve">. A review of the Police and Crime plans in Wales also identifies all of these issues and more as Commissioner’s priorities </w:t>
      </w:r>
      <w:sdt>
        <w:sdtPr>
          <w:rPr>
            <w:sz w:val="24"/>
            <w:szCs w:val="24"/>
          </w:rPr>
          <w:id w:val="-1501421335"/>
          <w:citation/>
        </w:sdtPr>
        <w:sdtContent>
          <w:r w:rsidRPr="004148C5">
            <w:rPr>
              <w:sz w:val="24"/>
              <w:szCs w:val="24"/>
            </w:rPr>
            <w:fldChar w:fldCharType="begin"/>
          </w:r>
          <w:r w:rsidRPr="004148C5">
            <w:rPr>
              <w:sz w:val="24"/>
              <w:szCs w:val="24"/>
            </w:rPr>
            <w:instrText xml:space="preserve"> CITATION Rev17 \l 2057 </w:instrText>
          </w:r>
          <w:r w:rsidRPr="004148C5">
            <w:rPr>
              <w:sz w:val="24"/>
              <w:szCs w:val="24"/>
            </w:rPr>
            <w:fldChar w:fldCharType="separate"/>
          </w:r>
          <w:r w:rsidRPr="004148C5">
            <w:rPr>
              <w:noProof/>
              <w:sz w:val="24"/>
              <w:szCs w:val="24"/>
            </w:rPr>
            <w:t>(Revolving Doors, 2017)</w:t>
          </w:r>
          <w:r w:rsidRPr="004148C5">
            <w:rPr>
              <w:sz w:val="24"/>
              <w:szCs w:val="24"/>
            </w:rPr>
            <w:fldChar w:fldCharType="end"/>
          </w:r>
        </w:sdtContent>
      </w:sdt>
      <w:r w:rsidRPr="004148C5">
        <w:rPr>
          <w:sz w:val="24"/>
          <w:szCs w:val="24"/>
        </w:rPr>
        <w:t xml:space="preserve"> and in considering this overlapping of community safety responsibilities it is </w:t>
      </w:r>
      <w:r w:rsidRPr="004148C5">
        <w:rPr>
          <w:sz w:val="24"/>
          <w:szCs w:val="24"/>
        </w:rPr>
        <w:lastRenderedPageBreak/>
        <w:t xml:space="preserve">suggested that this is counterproductive and actually has the effect of building barriers against good service delivery where efforts are unnecessarily duplicated </w:t>
      </w:r>
      <w:sdt>
        <w:sdtPr>
          <w:rPr>
            <w:sz w:val="24"/>
            <w:szCs w:val="24"/>
          </w:rPr>
          <w:id w:val="-889805718"/>
          <w:citation/>
        </w:sdtPr>
        <w:sdtContent>
          <w:r w:rsidRPr="004148C5">
            <w:rPr>
              <w:sz w:val="24"/>
              <w:szCs w:val="24"/>
            </w:rPr>
            <w:fldChar w:fldCharType="begin"/>
          </w:r>
          <w:r w:rsidRPr="004148C5">
            <w:rPr>
              <w:sz w:val="24"/>
              <w:szCs w:val="24"/>
            </w:rPr>
            <w:instrText xml:space="preserve">CITATION Tho16 \l 2057 </w:instrText>
          </w:r>
          <w:r w:rsidRPr="004148C5">
            <w:rPr>
              <w:sz w:val="24"/>
              <w:szCs w:val="24"/>
            </w:rPr>
            <w:fldChar w:fldCharType="separate"/>
          </w:r>
          <w:r w:rsidRPr="004148C5">
            <w:rPr>
              <w:noProof/>
              <w:sz w:val="24"/>
              <w:szCs w:val="24"/>
            </w:rPr>
            <w:t>(Thomas, 2016)</w:t>
          </w:r>
          <w:r w:rsidRPr="004148C5">
            <w:rPr>
              <w:sz w:val="24"/>
              <w:szCs w:val="24"/>
            </w:rPr>
            <w:fldChar w:fldCharType="end"/>
          </w:r>
        </w:sdtContent>
      </w:sdt>
      <w:r w:rsidRPr="004148C5">
        <w:rPr>
          <w:sz w:val="24"/>
          <w:szCs w:val="24"/>
        </w:rPr>
        <w:t xml:space="preserve">. </w:t>
      </w:r>
    </w:p>
    <w:p w:rsidR="00D57BEB" w:rsidRPr="004148C5" w:rsidRDefault="00D57BEB" w:rsidP="004148C5">
      <w:pPr>
        <w:tabs>
          <w:tab w:val="left" w:pos="2317"/>
        </w:tabs>
        <w:spacing w:line="480" w:lineRule="auto"/>
        <w:jc w:val="both"/>
        <w:rPr>
          <w:rFonts w:ascii="Calibri" w:hAnsi="Calibri" w:cs="Calibri"/>
          <w:sz w:val="24"/>
          <w:szCs w:val="24"/>
        </w:rPr>
      </w:pPr>
      <w:r w:rsidRPr="004148C5">
        <w:rPr>
          <w:rFonts w:ascii="Calibri" w:hAnsi="Calibri" w:cs="Calibri"/>
          <w:sz w:val="24"/>
          <w:szCs w:val="24"/>
        </w:rPr>
        <w:t xml:space="preserve">In what is possibly the most significant review of Public Service delivery in Wales since devolution, Sir Paul Williams was appointed by the now First Minister to undertake a fundamental review of all aspects of devolved public service provision </w:t>
      </w:r>
      <w:sdt>
        <w:sdtPr>
          <w:rPr>
            <w:rFonts w:ascii="Calibri" w:hAnsi="Calibri" w:cs="Calibri"/>
            <w:sz w:val="24"/>
            <w:szCs w:val="24"/>
          </w:rPr>
          <w:id w:val="1122804450"/>
          <w:citation/>
        </w:sdtPr>
        <w:sdtContent>
          <w:r w:rsidRPr="004148C5">
            <w:rPr>
              <w:rFonts w:ascii="Calibri" w:hAnsi="Calibri" w:cs="Calibri"/>
              <w:sz w:val="24"/>
              <w:szCs w:val="24"/>
            </w:rPr>
            <w:fldChar w:fldCharType="begin"/>
          </w:r>
          <w:r w:rsidRPr="004148C5">
            <w:rPr>
              <w:rFonts w:ascii="Calibri" w:hAnsi="Calibri" w:cs="Calibri"/>
              <w:sz w:val="24"/>
              <w:szCs w:val="24"/>
            </w:rPr>
            <w:instrText xml:space="preserve"> CITATION Wil14 \l 2057 </w:instrText>
          </w:r>
          <w:r w:rsidRPr="004148C5">
            <w:rPr>
              <w:rFonts w:ascii="Calibri" w:hAnsi="Calibri" w:cs="Calibri"/>
              <w:sz w:val="24"/>
              <w:szCs w:val="24"/>
            </w:rPr>
            <w:fldChar w:fldCharType="separate"/>
          </w:r>
          <w:r w:rsidRPr="004148C5">
            <w:rPr>
              <w:rFonts w:ascii="Calibri" w:hAnsi="Calibri" w:cs="Calibri"/>
              <w:noProof/>
              <w:sz w:val="24"/>
              <w:szCs w:val="24"/>
            </w:rPr>
            <w:t>(Williams, 2014)</w:t>
          </w:r>
          <w:r w:rsidRPr="004148C5">
            <w:rPr>
              <w:rFonts w:ascii="Calibri" w:hAnsi="Calibri" w:cs="Calibri"/>
              <w:sz w:val="24"/>
              <w:szCs w:val="24"/>
            </w:rPr>
            <w:fldChar w:fldCharType="end"/>
          </w:r>
        </w:sdtContent>
      </w:sdt>
      <w:r w:rsidRPr="004148C5">
        <w:rPr>
          <w:rFonts w:ascii="Calibri" w:hAnsi="Calibri" w:cs="Calibri"/>
          <w:sz w:val="24"/>
          <w:szCs w:val="24"/>
        </w:rPr>
        <w:t xml:space="preserve">. The review placed governance and delivery at the centre of their work to ensure that providers are held accountable for performance in delivery to the public. The review established that the demand and pressures on the Public sector are unsustainable and that conventional measures that deliver only marginal efficiencies are insufficient. </w:t>
      </w:r>
    </w:p>
    <w:p w:rsidR="00D57BEB" w:rsidRPr="004148C5" w:rsidRDefault="00D57BEB" w:rsidP="004148C5">
      <w:pPr>
        <w:spacing w:line="480" w:lineRule="auto"/>
        <w:jc w:val="both"/>
        <w:rPr>
          <w:rFonts w:cstheme="minorHAnsi"/>
          <w:color w:val="000000" w:themeColor="text1"/>
          <w:sz w:val="24"/>
          <w:szCs w:val="24"/>
          <w:shd w:val="clear" w:color="auto" w:fill="FFFFFF"/>
        </w:rPr>
      </w:pPr>
      <w:r w:rsidRPr="004148C5">
        <w:rPr>
          <w:sz w:val="24"/>
          <w:szCs w:val="24"/>
        </w:rPr>
        <w:t>Each individual Community Safety Partnership is required to publish a strategic assessment – identifying the priorities for the area. In their 2017 response to the Welsh Audi</w:t>
      </w:r>
      <w:r w:rsidR="00690587">
        <w:rPr>
          <w:sz w:val="24"/>
          <w:szCs w:val="24"/>
        </w:rPr>
        <w:t>t Office review of Community S</w:t>
      </w:r>
      <w:r w:rsidRPr="004148C5">
        <w:rPr>
          <w:sz w:val="24"/>
          <w:szCs w:val="24"/>
        </w:rPr>
        <w:t>afety, Welsh Government reinforced the Williams’ vi</w:t>
      </w:r>
      <w:r w:rsidR="00690587">
        <w:rPr>
          <w:sz w:val="24"/>
          <w:szCs w:val="24"/>
        </w:rPr>
        <w:t>ew that the current framework of</w:t>
      </w:r>
      <w:r w:rsidRPr="004148C5">
        <w:rPr>
          <w:sz w:val="24"/>
          <w:szCs w:val="24"/>
        </w:rPr>
        <w:t xml:space="preserve"> governance and accountability is flawed</w:t>
      </w:r>
      <w:r w:rsidR="00322D2C">
        <w:rPr>
          <w:sz w:val="24"/>
          <w:szCs w:val="24"/>
        </w:rPr>
        <w:t xml:space="preserve"> </w:t>
      </w:r>
      <w:sdt>
        <w:sdtPr>
          <w:rPr>
            <w:sz w:val="24"/>
            <w:szCs w:val="24"/>
          </w:rPr>
          <w:id w:val="2091645401"/>
          <w:citation/>
        </w:sdtPr>
        <w:sdtContent>
          <w:r w:rsidR="00322D2C">
            <w:rPr>
              <w:sz w:val="24"/>
              <w:szCs w:val="24"/>
            </w:rPr>
            <w:fldChar w:fldCharType="begin"/>
          </w:r>
          <w:r w:rsidR="00322D2C">
            <w:rPr>
              <w:sz w:val="24"/>
              <w:szCs w:val="24"/>
            </w:rPr>
            <w:instrText xml:space="preserve"> CITATION Wel17 \l 2057 </w:instrText>
          </w:r>
          <w:r w:rsidR="00322D2C">
            <w:rPr>
              <w:sz w:val="24"/>
              <w:szCs w:val="24"/>
            </w:rPr>
            <w:fldChar w:fldCharType="separate"/>
          </w:r>
          <w:r w:rsidR="00322D2C" w:rsidRPr="00322D2C">
            <w:rPr>
              <w:noProof/>
              <w:sz w:val="24"/>
              <w:szCs w:val="24"/>
            </w:rPr>
            <w:t>(Welsh Government, 2017)</w:t>
          </w:r>
          <w:r w:rsidR="00322D2C">
            <w:rPr>
              <w:sz w:val="24"/>
              <w:szCs w:val="24"/>
            </w:rPr>
            <w:fldChar w:fldCharType="end"/>
          </w:r>
        </w:sdtContent>
      </w:sdt>
      <w:r w:rsidRPr="004148C5">
        <w:rPr>
          <w:sz w:val="24"/>
          <w:szCs w:val="24"/>
        </w:rPr>
        <w:t xml:space="preserve"> </w:t>
      </w:r>
      <w:sdt>
        <w:sdtPr>
          <w:rPr>
            <w:sz w:val="24"/>
            <w:szCs w:val="24"/>
          </w:rPr>
          <w:id w:val="131218214"/>
          <w:citation/>
        </w:sdtPr>
        <w:sdtContent>
          <w:r w:rsidRPr="004148C5">
            <w:rPr>
              <w:sz w:val="24"/>
              <w:szCs w:val="24"/>
            </w:rPr>
            <w:fldChar w:fldCharType="begin"/>
          </w:r>
          <w:r w:rsidRPr="004148C5">
            <w:rPr>
              <w:sz w:val="24"/>
              <w:szCs w:val="24"/>
            </w:rPr>
            <w:instrText xml:space="preserve"> CITATION Wil14 \l 2057 </w:instrText>
          </w:r>
          <w:r w:rsidRPr="004148C5">
            <w:rPr>
              <w:sz w:val="24"/>
              <w:szCs w:val="24"/>
            </w:rPr>
            <w:fldChar w:fldCharType="separate"/>
          </w:r>
          <w:r w:rsidRPr="004148C5">
            <w:rPr>
              <w:noProof/>
              <w:sz w:val="24"/>
              <w:szCs w:val="24"/>
            </w:rPr>
            <w:t>(Williams, 2014)</w:t>
          </w:r>
          <w:r w:rsidRPr="004148C5">
            <w:rPr>
              <w:sz w:val="24"/>
              <w:szCs w:val="24"/>
            </w:rPr>
            <w:fldChar w:fldCharType="end"/>
          </w:r>
        </w:sdtContent>
      </w:sdt>
      <w:r w:rsidRPr="004148C5">
        <w:rPr>
          <w:sz w:val="24"/>
          <w:szCs w:val="24"/>
        </w:rPr>
        <w:t xml:space="preserve">. The </w:t>
      </w:r>
      <w:r w:rsidRPr="004148C5">
        <w:rPr>
          <w:rFonts w:cstheme="minorHAnsi"/>
          <w:color w:val="000000" w:themeColor="text1"/>
          <w:sz w:val="24"/>
          <w:szCs w:val="24"/>
          <w:shd w:val="clear" w:color="auto" w:fill="FFFFFF"/>
        </w:rPr>
        <w:t>complexity involved in different agencies responsibilities makes it very difficult to establish a coo</w:t>
      </w:r>
      <w:r w:rsidR="00322D2C">
        <w:rPr>
          <w:rFonts w:cstheme="minorHAnsi"/>
          <w:color w:val="000000" w:themeColor="text1"/>
          <w:sz w:val="24"/>
          <w:szCs w:val="24"/>
          <w:shd w:val="clear" w:color="auto" w:fill="FFFFFF"/>
        </w:rPr>
        <w:t>rdinated strategic approach to Community S</w:t>
      </w:r>
      <w:r w:rsidRPr="004148C5">
        <w:rPr>
          <w:rFonts w:cstheme="minorHAnsi"/>
          <w:color w:val="000000" w:themeColor="text1"/>
          <w:sz w:val="24"/>
          <w:szCs w:val="24"/>
          <w:shd w:val="clear" w:color="auto" w:fill="FFFFFF"/>
        </w:rPr>
        <w:t xml:space="preserve">afety and therefore weakens collective accountability </w:t>
      </w:r>
      <w:sdt>
        <w:sdtPr>
          <w:rPr>
            <w:rFonts w:cstheme="minorHAnsi"/>
            <w:color w:val="000000" w:themeColor="text1"/>
            <w:sz w:val="24"/>
            <w:szCs w:val="24"/>
            <w:shd w:val="clear" w:color="auto" w:fill="FFFFFF"/>
          </w:rPr>
          <w:id w:val="1149252429"/>
          <w:citation/>
        </w:sdtPr>
        <w:sdtContent>
          <w:r w:rsidRPr="004148C5">
            <w:rPr>
              <w:rFonts w:cstheme="minorHAnsi"/>
              <w:color w:val="000000" w:themeColor="text1"/>
              <w:sz w:val="24"/>
              <w:szCs w:val="24"/>
              <w:shd w:val="clear" w:color="auto" w:fill="FFFFFF"/>
            </w:rPr>
            <w:fldChar w:fldCharType="begin"/>
          </w:r>
          <w:r w:rsidRPr="004148C5">
            <w:rPr>
              <w:rFonts w:cstheme="minorHAnsi"/>
              <w:color w:val="000000" w:themeColor="text1"/>
              <w:sz w:val="24"/>
              <w:szCs w:val="24"/>
              <w:shd w:val="clear" w:color="auto" w:fill="FFFFFF"/>
            </w:rPr>
            <w:instrText xml:space="preserve"> CITATION Wel17 \l 2057 </w:instrText>
          </w:r>
          <w:r w:rsidRPr="004148C5">
            <w:rPr>
              <w:rFonts w:cstheme="minorHAnsi"/>
              <w:color w:val="000000" w:themeColor="text1"/>
              <w:sz w:val="24"/>
              <w:szCs w:val="24"/>
              <w:shd w:val="clear" w:color="auto" w:fill="FFFFFF"/>
            </w:rPr>
            <w:fldChar w:fldCharType="separate"/>
          </w:r>
          <w:r w:rsidRPr="004148C5">
            <w:rPr>
              <w:rFonts w:cstheme="minorHAnsi"/>
              <w:noProof/>
              <w:color w:val="000000" w:themeColor="text1"/>
              <w:sz w:val="24"/>
              <w:szCs w:val="24"/>
              <w:shd w:val="clear" w:color="auto" w:fill="FFFFFF"/>
            </w:rPr>
            <w:t>(Welsh Government, 2017)</w:t>
          </w:r>
          <w:r w:rsidRPr="004148C5">
            <w:rPr>
              <w:rFonts w:cstheme="minorHAnsi"/>
              <w:color w:val="000000" w:themeColor="text1"/>
              <w:sz w:val="24"/>
              <w:szCs w:val="24"/>
              <w:shd w:val="clear" w:color="auto" w:fill="FFFFFF"/>
            </w:rPr>
            <w:fldChar w:fldCharType="end"/>
          </w:r>
        </w:sdtContent>
      </w:sdt>
      <w:r w:rsidRPr="004148C5">
        <w:rPr>
          <w:rFonts w:cstheme="minorHAnsi"/>
          <w:color w:val="000000" w:themeColor="text1"/>
          <w:sz w:val="24"/>
          <w:szCs w:val="24"/>
          <w:shd w:val="clear" w:color="auto" w:fill="FFFFFF"/>
        </w:rPr>
        <w:t>. Local Government is responsib</w:t>
      </w:r>
      <w:r w:rsidR="00322D2C">
        <w:rPr>
          <w:rFonts w:cstheme="minorHAnsi"/>
          <w:color w:val="000000" w:themeColor="text1"/>
          <w:sz w:val="24"/>
          <w:szCs w:val="24"/>
          <w:shd w:val="clear" w:color="auto" w:fill="FFFFFF"/>
        </w:rPr>
        <w:t>le for management of Community S</w:t>
      </w:r>
      <w:r w:rsidRPr="004148C5">
        <w:rPr>
          <w:rFonts w:cstheme="minorHAnsi"/>
          <w:color w:val="000000" w:themeColor="text1"/>
          <w:sz w:val="24"/>
          <w:szCs w:val="24"/>
          <w:shd w:val="clear" w:color="auto" w:fill="FFFFFF"/>
        </w:rPr>
        <w:t>afety Partnerships at a Local Authority level – whereas Policing operates o</w:t>
      </w:r>
      <w:r w:rsidR="00322D2C">
        <w:rPr>
          <w:rFonts w:cstheme="minorHAnsi"/>
          <w:color w:val="000000" w:themeColor="text1"/>
          <w:sz w:val="24"/>
          <w:szCs w:val="24"/>
          <w:shd w:val="clear" w:color="auto" w:fill="FFFFFF"/>
        </w:rPr>
        <w:t>n a regional level across many a</w:t>
      </w:r>
      <w:r w:rsidRPr="004148C5">
        <w:rPr>
          <w:rFonts w:cstheme="minorHAnsi"/>
          <w:color w:val="000000" w:themeColor="text1"/>
          <w:sz w:val="24"/>
          <w:szCs w:val="24"/>
          <w:shd w:val="clear" w:color="auto" w:fill="FFFFFF"/>
        </w:rPr>
        <w:t xml:space="preserve">uthority areas </w:t>
      </w:r>
      <w:sdt>
        <w:sdtPr>
          <w:rPr>
            <w:rFonts w:cstheme="minorHAnsi"/>
            <w:color w:val="000000" w:themeColor="text1"/>
            <w:sz w:val="24"/>
            <w:szCs w:val="24"/>
            <w:shd w:val="clear" w:color="auto" w:fill="FFFFFF"/>
          </w:rPr>
          <w:id w:val="334196490"/>
          <w:citation/>
        </w:sdtPr>
        <w:sdtContent>
          <w:r w:rsidRPr="004148C5">
            <w:rPr>
              <w:rFonts w:cstheme="minorHAnsi"/>
              <w:color w:val="000000" w:themeColor="text1"/>
              <w:sz w:val="24"/>
              <w:szCs w:val="24"/>
              <w:shd w:val="clear" w:color="auto" w:fill="FFFFFF"/>
            </w:rPr>
            <w:fldChar w:fldCharType="begin"/>
          </w:r>
          <w:r w:rsidRPr="004148C5">
            <w:rPr>
              <w:rFonts w:cstheme="minorHAnsi"/>
              <w:color w:val="000000" w:themeColor="text1"/>
              <w:sz w:val="24"/>
              <w:szCs w:val="24"/>
              <w:shd w:val="clear" w:color="auto" w:fill="FFFFFF"/>
            </w:rPr>
            <w:instrText xml:space="preserve"> CITATION Tho16 \l 2057 </w:instrText>
          </w:r>
          <w:r w:rsidRPr="004148C5">
            <w:rPr>
              <w:rFonts w:cstheme="minorHAnsi"/>
              <w:color w:val="000000" w:themeColor="text1"/>
              <w:sz w:val="24"/>
              <w:szCs w:val="24"/>
              <w:shd w:val="clear" w:color="auto" w:fill="FFFFFF"/>
            </w:rPr>
            <w:fldChar w:fldCharType="separate"/>
          </w:r>
          <w:r w:rsidRPr="004148C5">
            <w:rPr>
              <w:rFonts w:cstheme="minorHAnsi"/>
              <w:noProof/>
              <w:color w:val="000000" w:themeColor="text1"/>
              <w:sz w:val="24"/>
              <w:szCs w:val="24"/>
              <w:shd w:val="clear" w:color="auto" w:fill="FFFFFF"/>
            </w:rPr>
            <w:t>(Thomas, 2016)</w:t>
          </w:r>
          <w:r w:rsidRPr="004148C5">
            <w:rPr>
              <w:rFonts w:cstheme="minorHAnsi"/>
              <w:color w:val="000000" w:themeColor="text1"/>
              <w:sz w:val="24"/>
              <w:szCs w:val="24"/>
              <w:shd w:val="clear" w:color="auto" w:fill="FFFFFF"/>
            </w:rPr>
            <w:fldChar w:fldCharType="end"/>
          </w:r>
        </w:sdtContent>
      </w:sdt>
      <w:r w:rsidRPr="004148C5">
        <w:rPr>
          <w:rFonts w:cstheme="minorHAnsi"/>
          <w:color w:val="000000" w:themeColor="text1"/>
          <w:sz w:val="24"/>
          <w:szCs w:val="24"/>
          <w:shd w:val="clear" w:color="auto" w:fill="FFFFFF"/>
        </w:rPr>
        <w:t xml:space="preserve">. </w:t>
      </w:r>
      <w:r w:rsidRPr="004148C5">
        <w:rPr>
          <w:sz w:val="24"/>
          <w:szCs w:val="24"/>
        </w:rPr>
        <w:t>The quality of the infor</w:t>
      </w:r>
      <w:r w:rsidR="00322D2C">
        <w:rPr>
          <w:sz w:val="24"/>
          <w:szCs w:val="24"/>
        </w:rPr>
        <w:t>mation that underpins existing Community S</w:t>
      </w:r>
      <w:r w:rsidRPr="004148C5">
        <w:rPr>
          <w:sz w:val="24"/>
          <w:szCs w:val="24"/>
        </w:rPr>
        <w:t xml:space="preserve">afety planning has been found to be outdated and of poor quality. Community Safety Partnerships rely too heavily on Police data to inform planning and decision making and there remains concern that information is still not being appropriately shared which in simple terms has the potential to direct activity into the wrong areas </w:t>
      </w:r>
      <w:sdt>
        <w:sdtPr>
          <w:rPr>
            <w:sz w:val="24"/>
            <w:szCs w:val="24"/>
          </w:rPr>
          <w:id w:val="941034541"/>
          <w:citation/>
        </w:sdtPr>
        <w:sdtContent>
          <w:r w:rsidRPr="004148C5">
            <w:rPr>
              <w:sz w:val="24"/>
              <w:szCs w:val="24"/>
            </w:rPr>
            <w:fldChar w:fldCharType="begin"/>
          </w:r>
          <w:r w:rsidRPr="004148C5">
            <w:rPr>
              <w:sz w:val="24"/>
              <w:szCs w:val="24"/>
            </w:rPr>
            <w:instrText xml:space="preserve"> CITATION Wel17 \l 2057 </w:instrText>
          </w:r>
          <w:r w:rsidRPr="004148C5">
            <w:rPr>
              <w:sz w:val="24"/>
              <w:szCs w:val="24"/>
            </w:rPr>
            <w:fldChar w:fldCharType="separate"/>
          </w:r>
          <w:r w:rsidRPr="004148C5">
            <w:rPr>
              <w:noProof/>
              <w:sz w:val="24"/>
              <w:szCs w:val="24"/>
            </w:rPr>
            <w:t>(Welsh Government, 2017)</w:t>
          </w:r>
          <w:r w:rsidRPr="004148C5">
            <w:rPr>
              <w:sz w:val="24"/>
              <w:szCs w:val="24"/>
            </w:rPr>
            <w:fldChar w:fldCharType="end"/>
          </w:r>
        </w:sdtContent>
      </w:sdt>
      <w:r w:rsidRPr="004148C5">
        <w:rPr>
          <w:sz w:val="24"/>
          <w:szCs w:val="24"/>
        </w:rPr>
        <w:t>.</w:t>
      </w:r>
    </w:p>
    <w:p w:rsidR="00D57BEB" w:rsidRPr="004148C5" w:rsidRDefault="00D57BEB" w:rsidP="004148C5">
      <w:pPr>
        <w:tabs>
          <w:tab w:val="left" w:pos="2317"/>
        </w:tabs>
        <w:spacing w:line="480" w:lineRule="auto"/>
        <w:jc w:val="both"/>
        <w:rPr>
          <w:rFonts w:ascii="Calibri" w:hAnsi="Calibri" w:cs="Calibri"/>
          <w:sz w:val="24"/>
          <w:szCs w:val="24"/>
        </w:rPr>
      </w:pPr>
      <w:r w:rsidRPr="004148C5">
        <w:rPr>
          <w:rFonts w:ascii="Calibri" w:hAnsi="Calibri" w:cs="Calibri"/>
          <w:sz w:val="24"/>
          <w:szCs w:val="24"/>
        </w:rPr>
        <w:lastRenderedPageBreak/>
        <w:t xml:space="preserve">Williams </w:t>
      </w:r>
      <w:sdt>
        <w:sdtPr>
          <w:rPr>
            <w:rFonts w:ascii="Calibri" w:hAnsi="Calibri" w:cs="Calibri"/>
            <w:sz w:val="24"/>
            <w:szCs w:val="24"/>
          </w:rPr>
          <w:id w:val="536855482"/>
          <w:citation/>
        </w:sdtPr>
        <w:sdtContent>
          <w:r w:rsidRPr="004148C5">
            <w:rPr>
              <w:rFonts w:ascii="Calibri" w:hAnsi="Calibri" w:cs="Calibri"/>
              <w:sz w:val="24"/>
              <w:szCs w:val="24"/>
            </w:rPr>
            <w:fldChar w:fldCharType="begin"/>
          </w:r>
          <w:r w:rsidRPr="004148C5">
            <w:rPr>
              <w:rFonts w:ascii="Calibri" w:hAnsi="Calibri" w:cs="Calibri"/>
              <w:sz w:val="24"/>
              <w:szCs w:val="24"/>
            </w:rPr>
            <w:instrText xml:space="preserve">CITATION Wil14 \n  \l 2057 </w:instrText>
          </w:r>
          <w:r w:rsidRPr="004148C5">
            <w:rPr>
              <w:rFonts w:ascii="Calibri" w:hAnsi="Calibri" w:cs="Calibri"/>
              <w:sz w:val="24"/>
              <w:szCs w:val="24"/>
            </w:rPr>
            <w:fldChar w:fldCharType="separate"/>
          </w:r>
          <w:r w:rsidRPr="004148C5">
            <w:rPr>
              <w:rFonts w:ascii="Calibri" w:hAnsi="Calibri" w:cs="Calibri"/>
              <w:noProof/>
              <w:sz w:val="24"/>
              <w:szCs w:val="24"/>
            </w:rPr>
            <w:t>(2014)</w:t>
          </w:r>
          <w:r w:rsidRPr="004148C5">
            <w:rPr>
              <w:rFonts w:ascii="Calibri" w:hAnsi="Calibri" w:cs="Calibri"/>
              <w:sz w:val="24"/>
              <w:szCs w:val="24"/>
            </w:rPr>
            <w:fldChar w:fldCharType="end"/>
          </w:r>
        </w:sdtContent>
      </w:sdt>
      <w:r w:rsidRPr="004148C5">
        <w:rPr>
          <w:rFonts w:ascii="Calibri" w:hAnsi="Calibri" w:cs="Calibri"/>
          <w:sz w:val="24"/>
          <w:szCs w:val="24"/>
        </w:rPr>
        <w:t>, describes the public sector in Wales as being ‘overly complex and crowded’</w:t>
      </w:r>
      <w:r w:rsidR="00322D2C">
        <w:rPr>
          <w:rFonts w:ascii="Calibri" w:hAnsi="Calibri" w:cs="Calibri"/>
          <w:sz w:val="24"/>
          <w:szCs w:val="24"/>
        </w:rPr>
        <w:t xml:space="preserve"> </w:t>
      </w:r>
      <w:sdt>
        <w:sdtPr>
          <w:rPr>
            <w:rFonts w:ascii="Calibri" w:hAnsi="Calibri" w:cs="Calibri"/>
            <w:sz w:val="24"/>
            <w:szCs w:val="24"/>
          </w:rPr>
          <w:id w:val="-1429261356"/>
          <w:citation/>
        </w:sdtPr>
        <w:sdtContent>
          <w:r w:rsidR="00322D2C">
            <w:rPr>
              <w:rFonts w:ascii="Calibri" w:hAnsi="Calibri" w:cs="Calibri"/>
              <w:sz w:val="24"/>
              <w:szCs w:val="24"/>
            </w:rPr>
            <w:fldChar w:fldCharType="begin"/>
          </w:r>
          <w:r w:rsidR="00322D2C">
            <w:rPr>
              <w:rFonts w:ascii="Calibri" w:hAnsi="Calibri" w:cs="Calibri"/>
              <w:sz w:val="24"/>
              <w:szCs w:val="24"/>
            </w:rPr>
            <w:instrText xml:space="preserve">CITATION Wil14 \p 75 \l 2057 </w:instrText>
          </w:r>
          <w:r w:rsidR="00322D2C">
            <w:rPr>
              <w:rFonts w:ascii="Calibri" w:hAnsi="Calibri" w:cs="Calibri"/>
              <w:sz w:val="24"/>
              <w:szCs w:val="24"/>
            </w:rPr>
            <w:fldChar w:fldCharType="separate"/>
          </w:r>
          <w:r w:rsidR="00322D2C" w:rsidRPr="00322D2C">
            <w:rPr>
              <w:rFonts w:ascii="Calibri" w:hAnsi="Calibri" w:cs="Calibri"/>
              <w:noProof/>
              <w:sz w:val="24"/>
              <w:szCs w:val="24"/>
            </w:rPr>
            <w:t>(Williams, 2014, p. 75)</w:t>
          </w:r>
          <w:r w:rsidR="00322D2C">
            <w:rPr>
              <w:rFonts w:ascii="Calibri" w:hAnsi="Calibri" w:cs="Calibri"/>
              <w:sz w:val="24"/>
              <w:szCs w:val="24"/>
            </w:rPr>
            <w:fldChar w:fldCharType="end"/>
          </w:r>
        </w:sdtContent>
      </w:sdt>
      <w:r w:rsidRPr="004148C5">
        <w:rPr>
          <w:rFonts w:ascii="Calibri" w:hAnsi="Calibri" w:cs="Calibri"/>
          <w:sz w:val="24"/>
          <w:szCs w:val="24"/>
        </w:rPr>
        <w:t xml:space="preserve">. There are too many public sector organisations in Wales, the relationships between them are too complex and the problems identified are systemic, impacting on the whole of Welsh public sector. Some organisations are too small and face a number of risks to their delivery and governance while many are not sufficiently responsive - with ambiguous governance arrangements that are described as being ineffective in driving improvement activity and that processes, systems and structures fail to provide sufficient challenge or consider the needs of the citizen. </w:t>
      </w:r>
    </w:p>
    <w:p w:rsidR="00D57BEB" w:rsidRPr="004148C5" w:rsidRDefault="00D57BEB" w:rsidP="004148C5">
      <w:pPr>
        <w:tabs>
          <w:tab w:val="left" w:pos="2317"/>
        </w:tabs>
        <w:spacing w:line="480" w:lineRule="auto"/>
        <w:ind w:left="720"/>
        <w:jc w:val="both"/>
        <w:rPr>
          <w:sz w:val="24"/>
          <w:szCs w:val="24"/>
        </w:rPr>
      </w:pPr>
      <w:r w:rsidRPr="004148C5">
        <w:rPr>
          <w:sz w:val="24"/>
          <w:szCs w:val="24"/>
        </w:rPr>
        <w:t xml:space="preserve">Basic standards and principles of good governance are not being applied and monitored consistently and effectively enough and that checks and balances in the system are not always operating effectively. </w:t>
      </w:r>
      <w:sdt>
        <w:sdtPr>
          <w:rPr>
            <w:sz w:val="24"/>
            <w:szCs w:val="24"/>
          </w:rPr>
          <w:id w:val="-1052688281"/>
          <w:citation/>
        </w:sdtPr>
        <w:sdtContent>
          <w:r w:rsidRPr="004148C5">
            <w:rPr>
              <w:sz w:val="24"/>
              <w:szCs w:val="24"/>
            </w:rPr>
            <w:fldChar w:fldCharType="begin"/>
          </w:r>
          <w:r w:rsidRPr="004148C5">
            <w:rPr>
              <w:sz w:val="24"/>
              <w:szCs w:val="24"/>
            </w:rPr>
            <w:instrText xml:space="preserve">CITATION Wil14 \p 28 \l 2057 </w:instrText>
          </w:r>
          <w:r w:rsidRPr="004148C5">
            <w:rPr>
              <w:sz w:val="24"/>
              <w:szCs w:val="24"/>
            </w:rPr>
            <w:fldChar w:fldCharType="separate"/>
          </w:r>
          <w:r w:rsidRPr="004148C5">
            <w:rPr>
              <w:noProof/>
              <w:sz w:val="24"/>
              <w:szCs w:val="24"/>
            </w:rPr>
            <w:t>(Williams, 2014, p. 28)</w:t>
          </w:r>
          <w:r w:rsidRPr="004148C5">
            <w:rPr>
              <w:sz w:val="24"/>
              <w:szCs w:val="24"/>
            </w:rPr>
            <w:fldChar w:fldCharType="end"/>
          </w:r>
        </w:sdtContent>
      </w:sdt>
      <w:r w:rsidRPr="004148C5">
        <w:rPr>
          <w:sz w:val="24"/>
          <w:szCs w:val="24"/>
        </w:rPr>
        <w:t xml:space="preserve"> </w:t>
      </w:r>
    </w:p>
    <w:p w:rsidR="00D57BEB" w:rsidRPr="004148C5" w:rsidRDefault="00D57BEB" w:rsidP="004148C5">
      <w:pPr>
        <w:tabs>
          <w:tab w:val="left" w:pos="2317"/>
        </w:tabs>
        <w:spacing w:line="480" w:lineRule="auto"/>
        <w:jc w:val="both"/>
        <w:rPr>
          <w:sz w:val="24"/>
          <w:szCs w:val="24"/>
        </w:rPr>
      </w:pPr>
      <w:r w:rsidRPr="004148C5">
        <w:rPr>
          <w:sz w:val="24"/>
          <w:szCs w:val="24"/>
        </w:rPr>
        <w:t>The lack of a clear governance and accountability strategy within the Community Safety arena is impeding the</w:t>
      </w:r>
      <w:r w:rsidR="00ED419C">
        <w:rPr>
          <w:sz w:val="24"/>
          <w:szCs w:val="24"/>
        </w:rPr>
        <w:t xml:space="preserve"> delivery of good quality, citiz</w:t>
      </w:r>
      <w:r w:rsidRPr="004148C5">
        <w:rPr>
          <w:sz w:val="24"/>
          <w:szCs w:val="24"/>
        </w:rPr>
        <w:t>en focussed services</w:t>
      </w:r>
      <w:sdt>
        <w:sdtPr>
          <w:rPr>
            <w:sz w:val="24"/>
            <w:szCs w:val="24"/>
          </w:rPr>
          <w:id w:val="-507285030"/>
          <w:citation/>
        </w:sdtPr>
        <w:sdtContent>
          <w:r w:rsidRPr="004148C5">
            <w:rPr>
              <w:sz w:val="24"/>
              <w:szCs w:val="24"/>
            </w:rPr>
            <w:fldChar w:fldCharType="begin"/>
          </w:r>
          <w:r w:rsidRPr="004148C5">
            <w:rPr>
              <w:sz w:val="24"/>
              <w:szCs w:val="24"/>
            </w:rPr>
            <w:instrText xml:space="preserve"> CITATION Rog19 \l 2057 </w:instrText>
          </w:r>
          <w:r w:rsidRPr="004148C5">
            <w:rPr>
              <w:sz w:val="24"/>
              <w:szCs w:val="24"/>
            </w:rPr>
            <w:fldChar w:fldCharType="separate"/>
          </w:r>
          <w:r w:rsidRPr="004148C5">
            <w:rPr>
              <w:noProof/>
              <w:sz w:val="24"/>
              <w:szCs w:val="24"/>
            </w:rPr>
            <w:t xml:space="preserve"> (Rogers &amp; Thomas, 2019)</w:t>
          </w:r>
          <w:r w:rsidRPr="004148C5">
            <w:rPr>
              <w:sz w:val="24"/>
              <w:szCs w:val="24"/>
            </w:rPr>
            <w:fldChar w:fldCharType="end"/>
          </w:r>
        </w:sdtContent>
      </w:sdt>
      <w:r w:rsidRPr="004148C5">
        <w:rPr>
          <w:sz w:val="24"/>
          <w:szCs w:val="24"/>
        </w:rPr>
        <w:t xml:space="preserve"> and Welsh Government has actually identified that existing governance and accountability arrangements do not support wider partnership working and therefore amended Section 58 of the Local Government (Wales) Measure 2011 to allow relevant areas to establish more regional Joint Overview and Scrutiny Committees </w:t>
      </w:r>
      <w:sdt>
        <w:sdtPr>
          <w:rPr>
            <w:sz w:val="24"/>
            <w:szCs w:val="24"/>
          </w:rPr>
          <w:id w:val="779145556"/>
          <w:citation/>
        </w:sdtPr>
        <w:sdtContent>
          <w:r w:rsidRPr="004148C5">
            <w:rPr>
              <w:sz w:val="24"/>
              <w:szCs w:val="24"/>
            </w:rPr>
            <w:fldChar w:fldCharType="begin"/>
          </w:r>
          <w:r w:rsidRPr="004148C5">
            <w:rPr>
              <w:sz w:val="24"/>
              <w:szCs w:val="24"/>
            </w:rPr>
            <w:instrText xml:space="preserve"> CITATION Wel13 \l 2057 </w:instrText>
          </w:r>
          <w:r w:rsidRPr="004148C5">
            <w:rPr>
              <w:sz w:val="24"/>
              <w:szCs w:val="24"/>
            </w:rPr>
            <w:fldChar w:fldCharType="separate"/>
          </w:r>
          <w:r w:rsidRPr="004148C5">
            <w:rPr>
              <w:noProof/>
              <w:sz w:val="24"/>
              <w:szCs w:val="24"/>
            </w:rPr>
            <w:t>(Welsh Government, 2013)</w:t>
          </w:r>
          <w:r w:rsidRPr="004148C5">
            <w:rPr>
              <w:sz w:val="24"/>
              <w:szCs w:val="24"/>
            </w:rPr>
            <w:fldChar w:fldCharType="end"/>
          </w:r>
        </w:sdtContent>
      </w:sdt>
      <w:r w:rsidRPr="004148C5">
        <w:rPr>
          <w:sz w:val="24"/>
          <w:szCs w:val="24"/>
        </w:rPr>
        <w:t>. Despite their Community Safety responsibilities</w:t>
      </w:r>
      <w:r w:rsidR="00322D2C">
        <w:rPr>
          <w:sz w:val="24"/>
          <w:szCs w:val="24"/>
        </w:rPr>
        <w:t>, t</w:t>
      </w:r>
      <w:r w:rsidRPr="004148C5">
        <w:rPr>
          <w:sz w:val="24"/>
          <w:szCs w:val="24"/>
        </w:rPr>
        <w:t>he Police and Crime Commissioner is not referred to</w:t>
      </w:r>
      <w:r w:rsidR="00322D2C">
        <w:rPr>
          <w:sz w:val="24"/>
          <w:szCs w:val="24"/>
        </w:rPr>
        <w:t xml:space="preserve"> at all</w:t>
      </w:r>
      <w:r w:rsidRPr="004148C5">
        <w:rPr>
          <w:sz w:val="24"/>
          <w:szCs w:val="24"/>
        </w:rPr>
        <w:t xml:space="preserve"> within the S.58  document, though Welsh Government tasked the four Welsh Commissioners with the staging of Community Safety engagement events on a regional basis to test early findings of their Community Safety review</w:t>
      </w:r>
      <w:r w:rsidR="00322D2C">
        <w:rPr>
          <w:sz w:val="24"/>
          <w:szCs w:val="24"/>
        </w:rPr>
        <w:t xml:space="preserve"> thereby recognising their position within the agenda</w:t>
      </w:r>
      <w:r w:rsidRPr="004148C5">
        <w:rPr>
          <w:sz w:val="24"/>
          <w:szCs w:val="24"/>
        </w:rPr>
        <w:t xml:space="preserve"> </w:t>
      </w:r>
      <w:sdt>
        <w:sdtPr>
          <w:rPr>
            <w:sz w:val="24"/>
            <w:szCs w:val="24"/>
          </w:rPr>
          <w:id w:val="247233719"/>
          <w:citation/>
        </w:sdtPr>
        <w:sdtContent>
          <w:r w:rsidRPr="004148C5">
            <w:rPr>
              <w:sz w:val="24"/>
              <w:szCs w:val="24"/>
            </w:rPr>
            <w:fldChar w:fldCharType="begin"/>
          </w:r>
          <w:r w:rsidRPr="004148C5">
            <w:rPr>
              <w:sz w:val="24"/>
              <w:szCs w:val="24"/>
            </w:rPr>
            <w:instrText xml:space="preserve"> CITATION Wel17 \l 2057 </w:instrText>
          </w:r>
          <w:r w:rsidRPr="004148C5">
            <w:rPr>
              <w:sz w:val="24"/>
              <w:szCs w:val="24"/>
            </w:rPr>
            <w:fldChar w:fldCharType="separate"/>
          </w:r>
          <w:r w:rsidRPr="004148C5">
            <w:rPr>
              <w:noProof/>
              <w:sz w:val="24"/>
              <w:szCs w:val="24"/>
            </w:rPr>
            <w:t>(Welsh Government, 2017)</w:t>
          </w:r>
          <w:r w:rsidRPr="004148C5">
            <w:rPr>
              <w:sz w:val="24"/>
              <w:szCs w:val="24"/>
            </w:rPr>
            <w:fldChar w:fldCharType="end"/>
          </w:r>
        </w:sdtContent>
      </w:sdt>
      <w:r w:rsidRPr="004148C5">
        <w:rPr>
          <w:sz w:val="24"/>
          <w:szCs w:val="24"/>
        </w:rPr>
        <w:t>.</w:t>
      </w:r>
    </w:p>
    <w:p w:rsidR="00D57BEB" w:rsidRPr="004148C5" w:rsidRDefault="00D57BEB" w:rsidP="004148C5">
      <w:pPr>
        <w:spacing w:line="480" w:lineRule="auto"/>
        <w:jc w:val="both"/>
        <w:rPr>
          <w:sz w:val="24"/>
          <w:szCs w:val="24"/>
        </w:rPr>
      </w:pPr>
      <w:r w:rsidRPr="004148C5">
        <w:rPr>
          <w:rFonts w:ascii="Calibri" w:hAnsi="Calibri" w:cs="Calibri"/>
          <w:sz w:val="24"/>
          <w:szCs w:val="24"/>
        </w:rPr>
        <w:lastRenderedPageBreak/>
        <w:t xml:space="preserve">External challenge is also described as weak with scrutiny of joint working arrangements particularly poor </w:t>
      </w:r>
      <w:sdt>
        <w:sdtPr>
          <w:rPr>
            <w:rFonts w:ascii="Calibri" w:hAnsi="Calibri" w:cs="Calibri"/>
            <w:sz w:val="24"/>
            <w:szCs w:val="24"/>
          </w:rPr>
          <w:id w:val="-1148969837"/>
          <w:citation/>
        </w:sdtPr>
        <w:sdtContent>
          <w:r w:rsidRPr="004148C5">
            <w:rPr>
              <w:rFonts w:ascii="Calibri" w:hAnsi="Calibri" w:cs="Calibri"/>
              <w:sz w:val="24"/>
              <w:szCs w:val="24"/>
            </w:rPr>
            <w:fldChar w:fldCharType="begin"/>
          </w:r>
          <w:r w:rsidRPr="004148C5">
            <w:rPr>
              <w:rFonts w:ascii="Calibri" w:hAnsi="Calibri" w:cs="Calibri"/>
              <w:sz w:val="24"/>
              <w:szCs w:val="24"/>
            </w:rPr>
            <w:instrText xml:space="preserve"> CITATION Wil14 \l 2057 </w:instrText>
          </w:r>
          <w:r w:rsidRPr="004148C5">
            <w:rPr>
              <w:rFonts w:ascii="Calibri" w:hAnsi="Calibri" w:cs="Calibri"/>
              <w:sz w:val="24"/>
              <w:szCs w:val="24"/>
            </w:rPr>
            <w:fldChar w:fldCharType="separate"/>
          </w:r>
          <w:r w:rsidRPr="004148C5">
            <w:rPr>
              <w:rFonts w:ascii="Calibri" w:hAnsi="Calibri" w:cs="Calibri"/>
              <w:noProof/>
              <w:sz w:val="24"/>
              <w:szCs w:val="24"/>
            </w:rPr>
            <w:t>(Williams, 2014)</w:t>
          </w:r>
          <w:r w:rsidRPr="004148C5">
            <w:rPr>
              <w:rFonts w:ascii="Calibri" w:hAnsi="Calibri" w:cs="Calibri"/>
              <w:sz w:val="24"/>
              <w:szCs w:val="24"/>
            </w:rPr>
            <w:fldChar w:fldCharType="end"/>
          </w:r>
        </w:sdtContent>
      </w:sdt>
      <w:r w:rsidRPr="004148C5">
        <w:rPr>
          <w:rFonts w:ascii="Calibri" w:hAnsi="Calibri" w:cs="Calibri"/>
          <w:sz w:val="24"/>
          <w:szCs w:val="24"/>
        </w:rPr>
        <w:t xml:space="preserve">. </w:t>
      </w:r>
      <w:r w:rsidRPr="004148C5">
        <w:rPr>
          <w:rFonts w:cstheme="minorHAnsi"/>
          <w:color w:val="000000" w:themeColor="text1"/>
          <w:sz w:val="24"/>
          <w:szCs w:val="24"/>
          <w:shd w:val="clear" w:color="auto" w:fill="FFFFFF"/>
        </w:rPr>
        <w:t xml:space="preserve">The issue of boundaries is a relevant </w:t>
      </w:r>
      <w:r w:rsidR="004F249C">
        <w:rPr>
          <w:rFonts w:cstheme="minorHAnsi"/>
          <w:color w:val="000000" w:themeColor="text1"/>
          <w:sz w:val="24"/>
          <w:szCs w:val="24"/>
          <w:shd w:val="clear" w:color="auto" w:fill="FFFFFF"/>
        </w:rPr>
        <w:t>one. Wales has four individual Police F</w:t>
      </w:r>
      <w:r w:rsidRPr="004148C5">
        <w:rPr>
          <w:rFonts w:cstheme="minorHAnsi"/>
          <w:color w:val="000000" w:themeColor="text1"/>
          <w:sz w:val="24"/>
          <w:szCs w:val="24"/>
          <w:shd w:val="clear" w:color="auto" w:fill="FFFFFF"/>
        </w:rPr>
        <w:t>orces, three Fire and Resc</w:t>
      </w:r>
      <w:r w:rsidR="004F249C">
        <w:rPr>
          <w:rFonts w:cstheme="minorHAnsi"/>
          <w:color w:val="000000" w:themeColor="text1"/>
          <w:sz w:val="24"/>
          <w:szCs w:val="24"/>
          <w:shd w:val="clear" w:color="auto" w:fill="FFFFFF"/>
        </w:rPr>
        <w:t>ue Authorities, seven regional Health Boards and twenty two Local A</w:t>
      </w:r>
      <w:r w:rsidRPr="004148C5">
        <w:rPr>
          <w:rFonts w:cstheme="minorHAnsi"/>
          <w:color w:val="000000" w:themeColor="text1"/>
          <w:sz w:val="24"/>
          <w:szCs w:val="24"/>
          <w:shd w:val="clear" w:color="auto" w:fill="FFFFFF"/>
        </w:rPr>
        <w:t xml:space="preserve">uthorities. South Wales Police for example covers two Fire and Rescue Authorities, four Health Boards and seven Local Authorities. The geographical boundaries served by each service varies and these different alignments hinder partnership working, with some organisations duplicating activity due to different working and governance arrangements </w:t>
      </w:r>
      <w:sdt>
        <w:sdtPr>
          <w:rPr>
            <w:rFonts w:cstheme="minorHAnsi"/>
            <w:color w:val="000000" w:themeColor="text1"/>
            <w:sz w:val="24"/>
            <w:szCs w:val="24"/>
            <w:shd w:val="clear" w:color="auto" w:fill="FFFFFF"/>
          </w:rPr>
          <w:id w:val="-455181048"/>
          <w:citation/>
        </w:sdtPr>
        <w:sdtContent>
          <w:r w:rsidRPr="004148C5">
            <w:rPr>
              <w:rFonts w:cstheme="minorHAnsi"/>
              <w:color w:val="000000" w:themeColor="text1"/>
              <w:sz w:val="24"/>
              <w:szCs w:val="24"/>
              <w:shd w:val="clear" w:color="auto" w:fill="FFFFFF"/>
            </w:rPr>
            <w:fldChar w:fldCharType="begin"/>
          </w:r>
          <w:r w:rsidRPr="004148C5">
            <w:rPr>
              <w:rFonts w:cstheme="minorHAnsi"/>
              <w:color w:val="000000" w:themeColor="text1"/>
              <w:sz w:val="24"/>
              <w:szCs w:val="24"/>
              <w:shd w:val="clear" w:color="auto" w:fill="FFFFFF"/>
            </w:rPr>
            <w:instrText xml:space="preserve"> CITATION Tho16 \l 2057 </w:instrText>
          </w:r>
          <w:r w:rsidRPr="004148C5">
            <w:rPr>
              <w:rFonts w:cstheme="minorHAnsi"/>
              <w:color w:val="000000" w:themeColor="text1"/>
              <w:sz w:val="24"/>
              <w:szCs w:val="24"/>
              <w:shd w:val="clear" w:color="auto" w:fill="FFFFFF"/>
            </w:rPr>
            <w:fldChar w:fldCharType="separate"/>
          </w:r>
          <w:r w:rsidRPr="004148C5">
            <w:rPr>
              <w:rFonts w:cstheme="minorHAnsi"/>
              <w:noProof/>
              <w:color w:val="000000" w:themeColor="text1"/>
              <w:sz w:val="24"/>
              <w:szCs w:val="24"/>
              <w:shd w:val="clear" w:color="auto" w:fill="FFFFFF"/>
            </w:rPr>
            <w:t>(Thomas, 2016)</w:t>
          </w:r>
          <w:r w:rsidRPr="004148C5">
            <w:rPr>
              <w:rFonts w:cstheme="minorHAnsi"/>
              <w:color w:val="000000" w:themeColor="text1"/>
              <w:sz w:val="24"/>
              <w:szCs w:val="24"/>
              <w:shd w:val="clear" w:color="auto" w:fill="FFFFFF"/>
            </w:rPr>
            <w:fldChar w:fldCharType="end"/>
          </w:r>
        </w:sdtContent>
      </w:sdt>
      <w:r w:rsidRPr="004148C5">
        <w:rPr>
          <w:rFonts w:cstheme="minorHAnsi"/>
          <w:color w:val="000000" w:themeColor="text1"/>
          <w:sz w:val="24"/>
          <w:szCs w:val="24"/>
          <w:shd w:val="clear" w:color="auto" w:fill="FFFFFF"/>
        </w:rPr>
        <w:t>. This addit</w:t>
      </w:r>
      <w:r w:rsidR="00ED419C">
        <w:rPr>
          <w:rFonts w:cstheme="minorHAnsi"/>
          <w:color w:val="000000" w:themeColor="text1"/>
          <w:sz w:val="24"/>
          <w:szCs w:val="24"/>
          <w:shd w:val="clear" w:color="auto" w:fill="FFFFFF"/>
        </w:rPr>
        <w:t>ional activity places added</w:t>
      </w:r>
      <w:r w:rsidRPr="004148C5">
        <w:rPr>
          <w:rFonts w:cstheme="minorHAnsi"/>
          <w:color w:val="000000" w:themeColor="text1"/>
          <w:sz w:val="24"/>
          <w:szCs w:val="24"/>
          <w:shd w:val="clear" w:color="auto" w:fill="FFFFFF"/>
        </w:rPr>
        <w:t xml:space="preserve"> stresses on increasingly stretched resources reporting into multiple governance structures and t</w:t>
      </w:r>
      <w:r w:rsidRPr="004148C5">
        <w:rPr>
          <w:sz w:val="24"/>
          <w:szCs w:val="24"/>
        </w:rPr>
        <w:t xml:space="preserve">here is evidence that providers within the Community Safety arena are suffering what has been termed ‘assessment fatigue’ as a result of reporting into a variety of disconnected accountability mechanisms to meet the different statutory requirements </w:t>
      </w:r>
      <w:sdt>
        <w:sdtPr>
          <w:rPr>
            <w:sz w:val="24"/>
            <w:szCs w:val="24"/>
          </w:rPr>
          <w:id w:val="439797228"/>
          <w:citation/>
        </w:sdtPr>
        <w:sdtContent>
          <w:r w:rsidRPr="004148C5">
            <w:rPr>
              <w:sz w:val="24"/>
              <w:szCs w:val="24"/>
            </w:rPr>
            <w:fldChar w:fldCharType="begin"/>
          </w:r>
          <w:r w:rsidRPr="004148C5">
            <w:rPr>
              <w:sz w:val="24"/>
              <w:szCs w:val="24"/>
            </w:rPr>
            <w:instrText xml:space="preserve"> CITATION Wel17 \l 2057 </w:instrText>
          </w:r>
          <w:r w:rsidRPr="004148C5">
            <w:rPr>
              <w:sz w:val="24"/>
              <w:szCs w:val="24"/>
            </w:rPr>
            <w:fldChar w:fldCharType="separate"/>
          </w:r>
          <w:r w:rsidRPr="004148C5">
            <w:rPr>
              <w:noProof/>
              <w:sz w:val="24"/>
              <w:szCs w:val="24"/>
            </w:rPr>
            <w:t>(Welsh Government, 2017)</w:t>
          </w:r>
          <w:r w:rsidRPr="004148C5">
            <w:rPr>
              <w:sz w:val="24"/>
              <w:szCs w:val="24"/>
            </w:rPr>
            <w:fldChar w:fldCharType="end"/>
          </w:r>
        </w:sdtContent>
      </w:sdt>
      <w:r w:rsidRPr="004148C5">
        <w:rPr>
          <w:sz w:val="24"/>
          <w:szCs w:val="24"/>
        </w:rPr>
        <w:t xml:space="preserve">. It is almost impossible to set the politics to one side of the Community Safety agenda setting conversation and even </w:t>
      </w:r>
      <w:proofErr w:type="spellStart"/>
      <w:r w:rsidRPr="004148C5">
        <w:rPr>
          <w:sz w:val="24"/>
          <w:szCs w:val="24"/>
        </w:rPr>
        <w:t>i</w:t>
      </w:r>
      <w:proofErr w:type="spellEnd"/>
      <w:r w:rsidRPr="004148C5">
        <w:rPr>
          <w:sz w:val="24"/>
          <w:szCs w:val="24"/>
          <w:lang w:val="en-US"/>
        </w:rPr>
        <w:t xml:space="preserve">n an international comparison </w:t>
      </w:r>
      <w:proofErr w:type="spellStart"/>
      <w:r w:rsidRPr="004148C5">
        <w:rPr>
          <w:sz w:val="24"/>
          <w:szCs w:val="24"/>
          <w:lang w:val="en-US"/>
        </w:rPr>
        <w:t>Vatiero</w:t>
      </w:r>
      <w:proofErr w:type="spellEnd"/>
      <w:sdt>
        <w:sdtPr>
          <w:rPr>
            <w:sz w:val="24"/>
            <w:szCs w:val="24"/>
            <w:lang w:val="en-US"/>
          </w:rPr>
          <w:id w:val="1911118370"/>
          <w:citation/>
        </w:sdtPr>
        <w:sdtContent>
          <w:r w:rsidRPr="004148C5">
            <w:rPr>
              <w:sz w:val="24"/>
              <w:szCs w:val="24"/>
              <w:lang w:val="en-US"/>
            </w:rPr>
            <w:fldChar w:fldCharType="begin"/>
          </w:r>
          <w:r w:rsidRPr="004148C5">
            <w:rPr>
              <w:sz w:val="24"/>
              <w:szCs w:val="24"/>
            </w:rPr>
            <w:instrText xml:space="preserve">CITATION Vat171 \n  \l 2057 </w:instrText>
          </w:r>
          <w:r w:rsidRPr="004148C5">
            <w:rPr>
              <w:sz w:val="24"/>
              <w:szCs w:val="24"/>
              <w:lang w:val="en-US"/>
            </w:rPr>
            <w:fldChar w:fldCharType="separate"/>
          </w:r>
          <w:r w:rsidRPr="004148C5">
            <w:rPr>
              <w:noProof/>
              <w:sz w:val="24"/>
              <w:szCs w:val="24"/>
            </w:rPr>
            <w:t xml:space="preserve"> (2017)</w:t>
          </w:r>
          <w:r w:rsidRPr="004148C5">
            <w:rPr>
              <w:sz w:val="24"/>
              <w:szCs w:val="24"/>
              <w:lang w:val="en-US"/>
            </w:rPr>
            <w:fldChar w:fldCharType="end"/>
          </w:r>
        </w:sdtContent>
      </w:sdt>
      <w:r w:rsidRPr="004148C5">
        <w:rPr>
          <w:sz w:val="24"/>
          <w:szCs w:val="24"/>
          <w:lang w:val="en-US"/>
        </w:rPr>
        <w:t xml:space="preserve"> outlined how governance arrangements do indeed change in direct correlation with political decisions in any particular nation</w:t>
      </w:r>
      <w:r w:rsidRPr="004148C5">
        <w:rPr>
          <w:sz w:val="24"/>
          <w:szCs w:val="24"/>
        </w:rPr>
        <w:t xml:space="preserve">. </w:t>
      </w:r>
    </w:p>
    <w:p w:rsidR="00D57BEB" w:rsidRPr="004148C5" w:rsidRDefault="00D57BEB" w:rsidP="004148C5">
      <w:pPr>
        <w:tabs>
          <w:tab w:val="left" w:pos="2317"/>
        </w:tabs>
        <w:spacing w:line="480" w:lineRule="auto"/>
        <w:jc w:val="both"/>
        <w:rPr>
          <w:rFonts w:ascii="Calibri" w:hAnsi="Calibri" w:cs="Calibri"/>
          <w:sz w:val="24"/>
          <w:szCs w:val="24"/>
        </w:rPr>
      </w:pPr>
      <w:r w:rsidRPr="004148C5">
        <w:rPr>
          <w:rFonts w:ascii="Calibri" w:hAnsi="Calibri" w:cs="Calibri"/>
          <w:sz w:val="24"/>
          <w:szCs w:val="24"/>
        </w:rPr>
        <w:t xml:space="preserve">Williams </w:t>
      </w:r>
      <w:sdt>
        <w:sdtPr>
          <w:rPr>
            <w:rFonts w:ascii="Calibri" w:hAnsi="Calibri" w:cs="Calibri"/>
            <w:sz w:val="24"/>
            <w:szCs w:val="24"/>
          </w:rPr>
          <w:id w:val="-1162307903"/>
          <w:citation/>
        </w:sdtPr>
        <w:sdtContent>
          <w:r w:rsidRPr="004148C5">
            <w:rPr>
              <w:rFonts w:ascii="Calibri" w:hAnsi="Calibri" w:cs="Calibri"/>
              <w:sz w:val="24"/>
              <w:szCs w:val="24"/>
            </w:rPr>
            <w:fldChar w:fldCharType="begin"/>
          </w:r>
          <w:r w:rsidRPr="004148C5">
            <w:rPr>
              <w:rFonts w:ascii="Calibri" w:hAnsi="Calibri" w:cs="Calibri"/>
              <w:sz w:val="24"/>
              <w:szCs w:val="24"/>
            </w:rPr>
            <w:instrText xml:space="preserve">CITATION Wil14 \n  \l 2057 </w:instrText>
          </w:r>
          <w:r w:rsidRPr="004148C5">
            <w:rPr>
              <w:rFonts w:ascii="Calibri" w:hAnsi="Calibri" w:cs="Calibri"/>
              <w:sz w:val="24"/>
              <w:szCs w:val="24"/>
            </w:rPr>
            <w:fldChar w:fldCharType="separate"/>
          </w:r>
          <w:r w:rsidRPr="004148C5">
            <w:rPr>
              <w:rFonts w:ascii="Calibri" w:hAnsi="Calibri" w:cs="Calibri"/>
              <w:noProof/>
              <w:sz w:val="24"/>
              <w:szCs w:val="24"/>
            </w:rPr>
            <w:t>(2014)</w:t>
          </w:r>
          <w:r w:rsidRPr="004148C5">
            <w:rPr>
              <w:rFonts w:ascii="Calibri" w:hAnsi="Calibri" w:cs="Calibri"/>
              <w:sz w:val="24"/>
              <w:szCs w:val="24"/>
            </w:rPr>
            <w:fldChar w:fldCharType="end"/>
          </w:r>
        </w:sdtContent>
      </w:sdt>
      <w:r w:rsidRPr="004148C5">
        <w:rPr>
          <w:rFonts w:ascii="Calibri" w:hAnsi="Calibri" w:cs="Calibri"/>
          <w:sz w:val="24"/>
          <w:szCs w:val="24"/>
        </w:rPr>
        <w:t xml:space="preserve"> made a number of critical recommendations aimed at simplifying the public sector landscape in Wales.  Williams is insistent that the only viable way in which the significant public sector challenges can be met is through a shift in emphasis towards the design of long term solutions which maintain well-being over the long term and prevent critical situations occurring rather than continually responding to them. This can only be achieved if space is created for these processes to be formulated and its intended that this capacity be created through the merger of the current twenty two local authorities in Wales. It is further intended that governance and accountability structures be streamlined, making </w:t>
      </w:r>
      <w:r w:rsidRPr="004148C5">
        <w:rPr>
          <w:rFonts w:ascii="Calibri" w:hAnsi="Calibri" w:cs="Calibri"/>
          <w:sz w:val="24"/>
          <w:szCs w:val="24"/>
        </w:rPr>
        <w:lastRenderedPageBreak/>
        <w:t>them less ambiguous and more robust. It is considered that this improved framework will provide a more responsive public sector, which will in turn drive improvement activity and encourage connection with citizens to deliver long term and sustainable solutions. The ground breaking Well-being of Future Generations (Wales) Act (WF</w:t>
      </w:r>
      <w:r w:rsidR="004F249C">
        <w:rPr>
          <w:rFonts w:ascii="Calibri" w:hAnsi="Calibri" w:cs="Calibri"/>
          <w:sz w:val="24"/>
          <w:szCs w:val="24"/>
        </w:rPr>
        <w:t>GA) 2015 now imposes a duty on public s</w:t>
      </w:r>
      <w:r w:rsidRPr="004148C5">
        <w:rPr>
          <w:rFonts w:ascii="Calibri" w:hAnsi="Calibri" w:cs="Calibri"/>
          <w:sz w:val="24"/>
          <w:szCs w:val="24"/>
        </w:rPr>
        <w:t xml:space="preserve">ector partners to work together through Public Service Board governance in order to respect the interests of future generations </w:t>
      </w:r>
      <w:sdt>
        <w:sdtPr>
          <w:rPr>
            <w:rFonts w:ascii="Calibri" w:hAnsi="Calibri" w:cs="Calibri"/>
            <w:sz w:val="24"/>
            <w:szCs w:val="24"/>
          </w:rPr>
          <w:id w:val="1116174745"/>
          <w:citation/>
        </w:sdtPr>
        <w:sdtContent>
          <w:r w:rsidRPr="004148C5">
            <w:rPr>
              <w:rFonts w:ascii="Calibri" w:hAnsi="Calibri" w:cs="Calibri"/>
              <w:sz w:val="24"/>
              <w:szCs w:val="24"/>
            </w:rPr>
            <w:fldChar w:fldCharType="begin"/>
          </w:r>
          <w:r w:rsidRPr="004148C5">
            <w:rPr>
              <w:rFonts w:ascii="Calibri" w:hAnsi="Calibri" w:cs="Calibri"/>
              <w:sz w:val="24"/>
              <w:szCs w:val="24"/>
            </w:rPr>
            <w:instrText xml:space="preserve"> CITATION Dav17 \l 2057 </w:instrText>
          </w:r>
          <w:r w:rsidRPr="004148C5">
            <w:rPr>
              <w:rFonts w:ascii="Calibri" w:hAnsi="Calibri" w:cs="Calibri"/>
              <w:sz w:val="24"/>
              <w:szCs w:val="24"/>
            </w:rPr>
            <w:fldChar w:fldCharType="separate"/>
          </w:r>
          <w:r w:rsidRPr="004148C5">
            <w:rPr>
              <w:rFonts w:ascii="Calibri" w:hAnsi="Calibri" w:cs="Calibri"/>
              <w:noProof/>
              <w:sz w:val="24"/>
              <w:szCs w:val="24"/>
            </w:rPr>
            <w:t>(Davies, 2017)</w:t>
          </w:r>
          <w:r w:rsidRPr="004148C5">
            <w:rPr>
              <w:rFonts w:ascii="Calibri" w:hAnsi="Calibri" w:cs="Calibri"/>
              <w:sz w:val="24"/>
              <w:szCs w:val="24"/>
            </w:rPr>
            <w:fldChar w:fldCharType="end"/>
          </w:r>
        </w:sdtContent>
      </w:sdt>
      <w:r w:rsidRPr="004148C5">
        <w:rPr>
          <w:rFonts w:ascii="Calibri" w:hAnsi="Calibri" w:cs="Calibri"/>
          <w:sz w:val="24"/>
          <w:szCs w:val="24"/>
        </w:rPr>
        <w:t xml:space="preserve">.  Designed to provide the overarching framework for all public sector governance in Wales, the powers of the future generation’s commissioner include the holding of each partner to account under the act with the expectation that decision making be considered in the long term context </w:t>
      </w:r>
      <w:sdt>
        <w:sdtPr>
          <w:rPr>
            <w:rFonts w:ascii="Calibri" w:hAnsi="Calibri" w:cs="Calibri"/>
            <w:sz w:val="24"/>
            <w:szCs w:val="24"/>
          </w:rPr>
          <w:id w:val="1019968850"/>
          <w:citation/>
        </w:sdtPr>
        <w:sdtContent>
          <w:r w:rsidRPr="004148C5">
            <w:rPr>
              <w:rFonts w:ascii="Calibri" w:hAnsi="Calibri" w:cs="Calibri"/>
              <w:sz w:val="24"/>
              <w:szCs w:val="24"/>
            </w:rPr>
            <w:fldChar w:fldCharType="begin"/>
          </w:r>
          <w:r w:rsidRPr="004148C5">
            <w:rPr>
              <w:rFonts w:ascii="Calibri" w:hAnsi="Calibri" w:cs="Calibri"/>
              <w:sz w:val="24"/>
              <w:szCs w:val="24"/>
            </w:rPr>
            <w:instrText xml:space="preserve"> CITATION Mes20 \l 2057 </w:instrText>
          </w:r>
          <w:r w:rsidRPr="004148C5">
            <w:rPr>
              <w:rFonts w:ascii="Calibri" w:hAnsi="Calibri" w:cs="Calibri"/>
              <w:sz w:val="24"/>
              <w:szCs w:val="24"/>
            </w:rPr>
            <w:fldChar w:fldCharType="separate"/>
          </w:r>
          <w:r w:rsidRPr="004148C5">
            <w:rPr>
              <w:rFonts w:ascii="Calibri" w:hAnsi="Calibri" w:cs="Calibri"/>
              <w:noProof/>
              <w:sz w:val="24"/>
              <w:szCs w:val="24"/>
            </w:rPr>
            <w:t>(Messham &amp; Sheard, 2020)</w:t>
          </w:r>
          <w:r w:rsidRPr="004148C5">
            <w:rPr>
              <w:rFonts w:ascii="Calibri" w:hAnsi="Calibri" w:cs="Calibri"/>
              <w:sz w:val="24"/>
              <w:szCs w:val="24"/>
            </w:rPr>
            <w:fldChar w:fldCharType="end"/>
          </w:r>
        </w:sdtContent>
      </w:sdt>
      <w:r w:rsidRPr="004148C5">
        <w:rPr>
          <w:rFonts w:ascii="Calibri" w:hAnsi="Calibri" w:cs="Calibri"/>
          <w:sz w:val="24"/>
          <w:szCs w:val="24"/>
        </w:rPr>
        <w:t xml:space="preserve">. The WFGA now directs Community Safety partners to ‘understand the root causes of issues to prevent them from reoccurring’ and goes beyond existing strategic assessment </w:t>
      </w:r>
      <w:sdt>
        <w:sdtPr>
          <w:rPr>
            <w:rFonts w:ascii="Calibri" w:hAnsi="Calibri" w:cs="Calibri"/>
            <w:sz w:val="24"/>
            <w:szCs w:val="24"/>
          </w:rPr>
          <w:id w:val="1999000511"/>
          <w:citation/>
        </w:sdtPr>
        <w:sdtContent>
          <w:r w:rsidRPr="004148C5">
            <w:rPr>
              <w:rFonts w:ascii="Calibri" w:hAnsi="Calibri" w:cs="Calibri"/>
              <w:sz w:val="24"/>
              <w:szCs w:val="24"/>
            </w:rPr>
            <w:fldChar w:fldCharType="begin"/>
          </w:r>
          <w:r w:rsidRPr="004148C5">
            <w:rPr>
              <w:rFonts w:ascii="Calibri" w:hAnsi="Calibri" w:cs="Calibri"/>
              <w:sz w:val="24"/>
              <w:szCs w:val="24"/>
            </w:rPr>
            <w:instrText xml:space="preserve">CITATION Wel15 \l 2057 </w:instrText>
          </w:r>
          <w:r w:rsidRPr="004148C5">
            <w:rPr>
              <w:rFonts w:ascii="Calibri" w:hAnsi="Calibri" w:cs="Calibri"/>
              <w:sz w:val="24"/>
              <w:szCs w:val="24"/>
            </w:rPr>
            <w:fldChar w:fldCharType="separate"/>
          </w:r>
          <w:r w:rsidRPr="004148C5">
            <w:rPr>
              <w:rFonts w:ascii="Calibri" w:hAnsi="Calibri" w:cs="Calibri"/>
              <w:noProof/>
              <w:sz w:val="24"/>
              <w:szCs w:val="24"/>
            </w:rPr>
            <w:t>(Well-being of Future Generations (Wales) Act, 2015)</w:t>
          </w:r>
          <w:r w:rsidRPr="004148C5">
            <w:rPr>
              <w:rFonts w:ascii="Calibri" w:hAnsi="Calibri" w:cs="Calibri"/>
              <w:sz w:val="24"/>
              <w:szCs w:val="24"/>
            </w:rPr>
            <w:fldChar w:fldCharType="end"/>
          </w:r>
        </w:sdtContent>
      </w:sdt>
      <w:r w:rsidRPr="004148C5">
        <w:rPr>
          <w:rFonts w:ascii="Calibri" w:hAnsi="Calibri" w:cs="Calibri"/>
          <w:sz w:val="24"/>
          <w:szCs w:val="24"/>
        </w:rPr>
        <w:t>.</w:t>
      </w:r>
    </w:p>
    <w:p w:rsidR="00D57BEB" w:rsidRPr="004148C5" w:rsidRDefault="00D57BEB" w:rsidP="004148C5">
      <w:pPr>
        <w:spacing w:line="480" w:lineRule="auto"/>
        <w:jc w:val="both"/>
        <w:rPr>
          <w:b/>
          <w:sz w:val="24"/>
          <w:szCs w:val="24"/>
        </w:rPr>
      </w:pPr>
      <w:r w:rsidRPr="004148C5">
        <w:rPr>
          <w:rFonts w:cstheme="minorHAnsi"/>
          <w:color w:val="000000" w:themeColor="text1"/>
          <w:sz w:val="24"/>
          <w:szCs w:val="24"/>
          <w:shd w:val="clear" w:color="auto" w:fill="FFFFFF"/>
        </w:rPr>
        <w:t xml:space="preserve">Some attempts are being made to reduce these issues through a regional approach. The North Wales Safer Communities Board comprises all of the members required to work together by law and aims to bring consistency of approach across the region and has reduced duplication between local and regional priorities </w:t>
      </w:r>
      <w:sdt>
        <w:sdtPr>
          <w:rPr>
            <w:rFonts w:cstheme="minorHAnsi"/>
            <w:color w:val="000000" w:themeColor="text1"/>
            <w:sz w:val="24"/>
            <w:szCs w:val="24"/>
            <w:shd w:val="clear" w:color="auto" w:fill="FFFFFF"/>
          </w:rPr>
          <w:id w:val="1982500889"/>
          <w:citation/>
        </w:sdtPr>
        <w:sdtContent>
          <w:r w:rsidRPr="004148C5">
            <w:rPr>
              <w:rFonts w:cstheme="minorHAnsi"/>
              <w:color w:val="000000" w:themeColor="text1"/>
              <w:sz w:val="24"/>
              <w:szCs w:val="24"/>
              <w:shd w:val="clear" w:color="auto" w:fill="FFFFFF"/>
            </w:rPr>
            <w:fldChar w:fldCharType="begin"/>
          </w:r>
          <w:r w:rsidRPr="004148C5">
            <w:rPr>
              <w:rFonts w:cstheme="minorHAnsi"/>
              <w:color w:val="000000" w:themeColor="text1"/>
              <w:sz w:val="24"/>
              <w:szCs w:val="24"/>
              <w:shd w:val="clear" w:color="auto" w:fill="FFFFFF"/>
            </w:rPr>
            <w:instrText xml:space="preserve"> CITATION Tho16 \l 2057 </w:instrText>
          </w:r>
          <w:r w:rsidRPr="004148C5">
            <w:rPr>
              <w:rFonts w:cstheme="minorHAnsi"/>
              <w:color w:val="000000" w:themeColor="text1"/>
              <w:sz w:val="24"/>
              <w:szCs w:val="24"/>
              <w:shd w:val="clear" w:color="auto" w:fill="FFFFFF"/>
            </w:rPr>
            <w:fldChar w:fldCharType="separate"/>
          </w:r>
          <w:r w:rsidRPr="004148C5">
            <w:rPr>
              <w:rFonts w:cstheme="minorHAnsi"/>
              <w:noProof/>
              <w:color w:val="000000" w:themeColor="text1"/>
              <w:sz w:val="24"/>
              <w:szCs w:val="24"/>
              <w:shd w:val="clear" w:color="auto" w:fill="FFFFFF"/>
            </w:rPr>
            <w:t>(Thomas, 2016)</w:t>
          </w:r>
          <w:r w:rsidRPr="004148C5">
            <w:rPr>
              <w:rFonts w:cstheme="minorHAnsi"/>
              <w:color w:val="000000" w:themeColor="text1"/>
              <w:sz w:val="24"/>
              <w:szCs w:val="24"/>
              <w:shd w:val="clear" w:color="auto" w:fill="FFFFFF"/>
            </w:rPr>
            <w:fldChar w:fldCharType="end"/>
          </w:r>
        </w:sdtContent>
      </w:sdt>
      <w:r w:rsidRPr="004148C5">
        <w:rPr>
          <w:rFonts w:cstheme="minorHAnsi"/>
          <w:color w:val="000000" w:themeColor="text1"/>
          <w:sz w:val="24"/>
          <w:szCs w:val="24"/>
          <w:shd w:val="clear" w:color="auto" w:fill="FFFFFF"/>
        </w:rPr>
        <w:t>. This coordinated activity requires clear parameters and reporting structures and i</w:t>
      </w:r>
      <w:r w:rsidRPr="004148C5">
        <w:rPr>
          <w:sz w:val="24"/>
          <w:szCs w:val="24"/>
        </w:rPr>
        <w:t>n accountability terms, governance needs all stakeholders to work cooperatively to address the underlying issues; however, bringing organisations together to deliver against a single objective is not without its problems. Individual organisations remain under pressure to fulfil their own central goals and forcing different agencies to collaborate can result in a culture war. Those practitioners loc</w:t>
      </w:r>
      <w:r w:rsidR="004F249C">
        <w:rPr>
          <w:sz w:val="24"/>
          <w:szCs w:val="24"/>
        </w:rPr>
        <w:t xml:space="preserve">ated </w:t>
      </w:r>
      <w:r w:rsidR="00AD7C98">
        <w:rPr>
          <w:sz w:val="24"/>
          <w:szCs w:val="24"/>
        </w:rPr>
        <w:t xml:space="preserve">in </w:t>
      </w:r>
      <w:r w:rsidR="00AD7C98" w:rsidRPr="004148C5">
        <w:rPr>
          <w:sz w:val="24"/>
          <w:szCs w:val="24"/>
        </w:rPr>
        <w:t>joined</w:t>
      </w:r>
      <w:r w:rsidRPr="004148C5">
        <w:rPr>
          <w:sz w:val="24"/>
          <w:szCs w:val="24"/>
        </w:rPr>
        <w:t>-up arrangements such as a Community Safety Partnerships must navigate a politically sensitive and potentially contentious environment where priorities frequently change</w:t>
      </w:r>
      <w:sdt>
        <w:sdtPr>
          <w:rPr>
            <w:b/>
            <w:sz w:val="24"/>
            <w:szCs w:val="24"/>
          </w:rPr>
          <w:id w:val="929544058"/>
          <w:citation/>
        </w:sdtPr>
        <w:sdtContent>
          <w:r w:rsidRPr="004148C5">
            <w:rPr>
              <w:b/>
              <w:sz w:val="24"/>
              <w:szCs w:val="24"/>
            </w:rPr>
            <w:fldChar w:fldCharType="begin"/>
          </w:r>
          <w:r w:rsidRPr="004148C5">
            <w:rPr>
              <w:b/>
              <w:sz w:val="24"/>
              <w:szCs w:val="24"/>
            </w:rPr>
            <w:instrText xml:space="preserve"> CITATION Hug07 \l 2057 </w:instrText>
          </w:r>
          <w:r w:rsidRPr="004148C5">
            <w:rPr>
              <w:b/>
              <w:sz w:val="24"/>
              <w:szCs w:val="24"/>
            </w:rPr>
            <w:fldChar w:fldCharType="separate"/>
          </w:r>
          <w:r w:rsidRPr="004148C5">
            <w:rPr>
              <w:b/>
              <w:noProof/>
              <w:sz w:val="24"/>
              <w:szCs w:val="24"/>
            </w:rPr>
            <w:t xml:space="preserve"> </w:t>
          </w:r>
          <w:r w:rsidRPr="004148C5">
            <w:rPr>
              <w:noProof/>
              <w:sz w:val="24"/>
              <w:szCs w:val="24"/>
            </w:rPr>
            <w:t>(Hughes &amp; Rowe, 2007)</w:t>
          </w:r>
          <w:r w:rsidRPr="004148C5">
            <w:rPr>
              <w:b/>
              <w:sz w:val="24"/>
              <w:szCs w:val="24"/>
            </w:rPr>
            <w:fldChar w:fldCharType="end"/>
          </w:r>
        </w:sdtContent>
      </w:sdt>
      <w:r w:rsidRPr="004148C5">
        <w:rPr>
          <w:b/>
          <w:sz w:val="24"/>
          <w:szCs w:val="24"/>
        </w:rPr>
        <w:t xml:space="preserve">. </w:t>
      </w:r>
    </w:p>
    <w:p w:rsidR="00D57BEB" w:rsidRPr="004148C5" w:rsidRDefault="00D57BEB" w:rsidP="004148C5">
      <w:pPr>
        <w:tabs>
          <w:tab w:val="left" w:pos="2317"/>
        </w:tabs>
        <w:spacing w:line="480" w:lineRule="auto"/>
        <w:jc w:val="both"/>
        <w:rPr>
          <w:rFonts w:ascii="Calibri" w:hAnsi="Calibri" w:cs="Calibri"/>
          <w:sz w:val="24"/>
          <w:szCs w:val="24"/>
        </w:rPr>
      </w:pPr>
      <w:r w:rsidRPr="004148C5">
        <w:rPr>
          <w:rFonts w:ascii="Calibri" w:hAnsi="Calibri" w:cs="Calibri"/>
          <w:sz w:val="24"/>
          <w:szCs w:val="24"/>
        </w:rPr>
        <w:lastRenderedPageBreak/>
        <w:t xml:space="preserve">The Williams commission uses powerful language to put forward a cogent argument for radical change to public services in Wales. Despite identifying the need for change, Welsh </w:t>
      </w:r>
      <w:r w:rsidR="004F249C">
        <w:rPr>
          <w:rFonts w:ascii="Calibri" w:hAnsi="Calibri" w:cs="Calibri"/>
          <w:sz w:val="24"/>
          <w:szCs w:val="24"/>
        </w:rPr>
        <w:t xml:space="preserve">Government is </w:t>
      </w:r>
      <w:r w:rsidRPr="004148C5">
        <w:rPr>
          <w:rFonts w:ascii="Calibri" w:hAnsi="Calibri" w:cs="Calibri"/>
          <w:sz w:val="24"/>
          <w:szCs w:val="24"/>
        </w:rPr>
        <w:t>yet to implement many of the recommendations and have now stepped away from plans to merge the current 22 Local Authorities for a more regional approach – instead opting for a framework for voluntary merger</w:t>
      </w:r>
      <w:r w:rsidR="004F249C">
        <w:rPr>
          <w:rFonts w:ascii="Calibri" w:hAnsi="Calibri" w:cs="Calibri"/>
          <w:sz w:val="24"/>
          <w:szCs w:val="24"/>
        </w:rPr>
        <w:t xml:space="preserve"> of services as a collaboration</w:t>
      </w:r>
      <w:r w:rsidRPr="004148C5">
        <w:rPr>
          <w:rFonts w:ascii="Calibri" w:hAnsi="Calibri" w:cs="Calibri"/>
          <w:sz w:val="24"/>
          <w:szCs w:val="24"/>
        </w:rPr>
        <w:t xml:space="preserve"> that will require individual authorities to willingly cede their individual power in favour of a regional approach </w:t>
      </w:r>
      <w:sdt>
        <w:sdtPr>
          <w:rPr>
            <w:rFonts w:ascii="Calibri" w:hAnsi="Calibri" w:cs="Calibri"/>
            <w:sz w:val="24"/>
            <w:szCs w:val="24"/>
          </w:rPr>
          <w:id w:val="-2027241120"/>
          <w:citation/>
        </w:sdtPr>
        <w:sdtContent>
          <w:r w:rsidRPr="004148C5">
            <w:rPr>
              <w:rFonts w:ascii="Calibri" w:hAnsi="Calibri" w:cs="Calibri"/>
              <w:sz w:val="24"/>
              <w:szCs w:val="24"/>
            </w:rPr>
            <w:fldChar w:fldCharType="begin"/>
          </w:r>
          <w:r w:rsidRPr="004148C5">
            <w:rPr>
              <w:rFonts w:ascii="Calibri" w:hAnsi="Calibri" w:cs="Calibri"/>
              <w:sz w:val="24"/>
              <w:szCs w:val="24"/>
            </w:rPr>
            <w:instrText xml:space="preserve"> CITATION BBC161 \l 2057 </w:instrText>
          </w:r>
          <w:r w:rsidRPr="004148C5">
            <w:rPr>
              <w:rFonts w:ascii="Calibri" w:hAnsi="Calibri" w:cs="Calibri"/>
              <w:sz w:val="24"/>
              <w:szCs w:val="24"/>
            </w:rPr>
            <w:fldChar w:fldCharType="separate"/>
          </w:r>
          <w:r w:rsidRPr="004148C5">
            <w:rPr>
              <w:rFonts w:ascii="Calibri" w:hAnsi="Calibri" w:cs="Calibri"/>
              <w:noProof/>
              <w:sz w:val="24"/>
              <w:szCs w:val="24"/>
            </w:rPr>
            <w:t>(BBC, 2016)</w:t>
          </w:r>
          <w:r w:rsidRPr="004148C5">
            <w:rPr>
              <w:rFonts w:ascii="Calibri" w:hAnsi="Calibri" w:cs="Calibri"/>
              <w:sz w:val="24"/>
              <w:szCs w:val="24"/>
            </w:rPr>
            <w:fldChar w:fldCharType="end"/>
          </w:r>
        </w:sdtContent>
      </w:sdt>
      <w:r w:rsidRPr="004148C5">
        <w:rPr>
          <w:rFonts w:ascii="Calibri" w:hAnsi="Calibri" w:cs="Calibri"/>
          <w:sz w:val="24"/>
          <w:szCs w:val="24"/>
        </w:rPr>
        <w:t xml:space="preserve"> – that maybe replicates the Police and Crime Commissioner scope. </w:t>
      </w:r>
    </w:p>
    <w:p w:rsidR="00D57BEB" w:rsidRPr="004148C5" w:rsidRDefault="00D57BEB" w:rsidP="004148C5">
      <w:pPr>
        <w:tabs>
          <w:tab w:val="left" w:pos="2317"/>
        </w:tabs>
        <w:spacing w:line="480" w:lineRule="auto"/>
        <w:jc w:val="both"/>
        <w:rPr>
          <w:rFonts w:ascii="Calibri" w:hAnsi="Calibri" w:cs="Calibri"/>
          <w:sz w:val="24"/>
          <w:szCs w:val="24"/>
        </w:rPr>
      </w:pPr>
      <w:r w:rsidRPr="004148C5">
        <w:rPr>
          <w:rFonts w:ascii="Calibri" w:hAnsi="Calibri" w:cs="Calibri"/>
          <w:sz w:val="24"/>
          <w:szCs w:val="24"/>
        </w:rPr>
        <w:t>Wales has a strong history of leadership in public governance, and the biggest challenge may actually be that of future leadership. Wales needs forward thinkers who will lead the development of services on behalf of communities, yet the relu</w:t>
      </w:r>
      <w:r w:rsidR="004F249C">
        <w:rPr>
          <w:rFonts w:ascii="Calibri" w:hAnsi="Calibri" w:cs="Calibri"/>
          <w:sz w:val="24"/>
          <w:szCs w:val="24"/>
        </w:rPr>
        <w:t>ctance to progress this</w:t>
      </w:r>
      <w:r w:rsidRPr="004148C5">
        <w:rPr>
          <w:rFonts w:ascii="Calibri" w:hAnsi="Calibri" w:cs="Calibri"/>
          <w:sz w:val="24"/>
          <w:szCs w:val="24"/>
        </w:rPr>
        <w:t xml:space="preserve"> ‘radical change’ can be interpreted several ways. This may simply reflect the challenge of long term structural change versus the regular political change of electoral cycles – or more concernedly that key decision makers have become institutionalised to the point that they have become the defenders of the system and therefore impeding efforts to change. The ‘tone from the top’ relating to governance and accountability is vital in establishing credibility and in creating and maintaining momentum and this is where the issue of semi devolution is keenly felt – a point well highlighted through the block funding arrangements. It can be argued that accountability for spending money, but not raising it – is not really accountability at all.  </w:t>
      </w:r>
    </w:p>
    <w:p w:rsidR="00D57BEB" w:rsidRPr="004148C5" w:rsidRDefault="00D57BEB" w:rsidP="004148C5">
      <w:pPr>
        <w:tabs>
          <w:tab w:val="left" w:pos="2317"/>
        </w:tabs>
        <w:spacing w:line="480" w:lineRule="auto"/>
        <w:jc w:val="both"/>
        <w:rPr>
          <w:rFonts w:ascii="Calibri" w:hAnsi="Calibri" w:cs="Calibri"/>
          <w:sz w:val="24"/>
          <w:szCs w:val="24"/>
        </w:rPr>
      </w:pPr>
      <w:r w:rsidRPr="004148C5">
        <w:rPr>
          <w:rFonts w:ascii="Calibri" w:hAnsi="Calibri" w:cs="Calibri"/>
          <w:sz w:val="24"/>
          <w:szCs w:val="24"/>
        </w:rPr>
        <w:t xml:space="preserve">The current status of devolution within Wales makes for a mixed economy of devolved and non-devolved services who report to different masters (with different policies and priorities), yet are expected to create a synergy in collective effort, scrutiny, accountability and ultimately governance. </w:t>
      </w:r>
    </w:p>
    <w:p w:rsidR="00D57BEB" w:rsidRPr="004148C5" w:rsidRDefault="00D57BEB" w:rsidP="004148C5">
      <w:pPr>
        <w:tabs>
          <w:tab w:val="left" w:pos="2317"/>
        </w:tabs>
        <w:spacing w:line="480" w:lineRule="auto"/>
        <w:jc w:val="both"/>
        <w:rPr>
          <w:sz w:val="24"/>
          <w:szCs w:val="24"/>
        </w:rPr>
      </w:pPr>
      <w:r w:rsidRPr="004148C5">
        <w:rPr>
          <w:rFonts w:ascii="Calibri" w:hAnsi="Calibri" w:cs="Calibri"/>
          <w:sz w:val="24"/>
          <w:szCs w:val="24"/>
        </w:rPr>
        <w:lastRenderedPageBreak/>
        <w:t>It is, at best, questionable as to whether the introduction of an additional (</w:t>
      </w:r>
      <w:proofErr w:type="spellStart"/>
      <w:r w:rsidRPr="004148C5">
        <w:rPr>
          <w:rFonts w:ascii="Calibri" w:hAnsi="Calibri" w:cs="Calibri"/>
          <w:sz w:val="24"/>
          <w:szCs w:val="24"/>
        </w:rPr>
        <w:t>non devolved</w:t>
      </w:r>
      <w:proofErr w:type="spellEnd"/>
      <w:r w:rsidRPr="004148C5">
        <w:rPr>
          <w:rFonts w:ascii="Calibri" w:hAnsi="Calibri" w:cs="Calibri"/>
          <w:sz w:val="24"/>
          <w:szCs w:val="24"/>
        </w:rPr>
        <w:t>) actor in the form of the Police and Crime Commissioner is to have any significant impact in an already cluttered (devolved) public sector landscape subjected to ambiguous, repetitive and ineffective governance and scrutiny arrangements.</w:t>
      </w:r>
      <w:r w:rsidRPr="004148C5">
        <w:rPr>
          <w:sz w:val="24"/>
          <w:szCs w:val="24"/>
        </w:rPr>
        <w:t xml:space="preserve"> The Commissioner’s wider geographical responsibilities conflict with the local responsibilities set out in Community Safety legislation and present significant challenge in obtaining the views of public at a local level, whilst having regard to Local Authority priorities and balancing these against the areas set out by the Home Secretary in the Strategic Policing Requirement when formulating regional Police and Crime plans. It is also questi</w:t>
      </w:r>
      <w:r w:rsidR="004F249C">
        <w:rPr>
          <w:sz w:val="24"/>
          <w:szCs w:val="24"/>
        </w:rPr>
        <w:t>onable as to why an individual C</w:t>
      </w:r>
      <w:r w:rsidRPr="004148C5">
        <w:rPr>
          <w:sz w:val="24"/>
          <w:szCs w:val="24"/>
        </w:rPr>
        <w:t>ommissioner (and associated infrastructure) is required for each individual force within this cluttered public service space and whether the aspirations can be met by a more focussed structure.</w:t>
      </w:r>
    </w:p>
    <w:p w:rsidR="00D57BEB" w:rsidRPr="004148C5" w:rsidRDefault="00D57BEB" w:rsidP="004148C5">
      <w:pPr>
        <w:tabs>
          <w:tab w:val="left" w:pos="2317"/>
        </w:tabs>
        <w:spacing w:line="480" w:lineRule="auto"/>
        <w:jc w:val="both"/>
        <w:rPr>
          <w:rFonts w:ascii="Calibri" w:hAnsi="Calibri" w:cs="Calibri"/>
          <w:sz w:val="24"/>
          <w:szCs w:val="24"/>
        </w:rPr>
      </w:pPr>
      <w:r w:rsidRPr="004148C5">
        <w:rPr>
          <w:sz w:val="24"/>
          <w:szCs w:val="24"/>
        </w:rPr>
        <w:t>The inability of Police and Crime panels to fulfil their scrutiny role compounds this issue of impact</w:t>
      </w:r>
      <w:r w:rsidR="004F249C">
        <w:rPr>
          <w:sz w:val="24"/>
          <w:szCs w:val="24"/>
        </w:rPr>
        <w:t xml:space="preserve"> and effectiveness.</w:t>
      </w:r>
      <w:r w:rsidRPr="004148C5">
        <w:rPr>
          <w:sz w:val="24"/>
          <w:szCs w:val="24"/>
        </w:rPr>
        <w:t xml:space="preserve"> The ‘quadripartite’ framework of accountability implemented by the 2011 Act is therefore complex – particularly in Wales where the Commissioner has no executive powers to hold devolved partners to account against crime reduction and Community Safety issues. </w:t>
      </w:r>
    </w:p>
    <w:p w:rsidR="002F6D4A" w:rsidRPr="004148C5" w:rsidRDefault="002F6D4A" w:rsidP="004148C5">
      <w:pPr>
        <w:spacing w:line="480" w:lineRule="auto"/>
        <w:jc w:val="both"/>
        <w:rPr>
          <w:sz w:val="24"/>
          <w:szCs w:val="24"/>
        </w:rPr>
      </w:pPr>
    </w:p>
    <w:p w:rsidR="002F6D4A" w:rsidRPr="004148C5" w:rsidRDefault="002F6D4A" w:rsidP="004148C5">
      <w:pPr>
        <w:spacing w:line="480" w:lineRule="auto"/>
        <w:jc w:val="both"/>
        <w:rPr>
          <w:sz w:val="24"/>
          <w:szCs w:val="24"/>
        </w:rPr>
      </w:pPr>
      <w:r w:rsidRPr="004148C5">
        <w:rPr>
          <w:sz w:val="24"/>
          <w:szCs w:val="24"/>
        </w:rPr>
        <w:br w:type="page"/>
      </w:r>
    </w:p>
    <w:p w:rsidR="00FD65C9" w:rsidRDefault="00FD65C9" w:rsidP="00FD65C9">
      <w:pPr>
        <w:pStyle w:val="Bibliography"/>
        <w:jc w:val="center"/>
        <w:rPr>
          <w:sz w:val="24"/>
          <w:szCs w:val="24"/>
        </w:rPr>
      </w:pPr>
      <w:r>
        <w:rPr>
          <w:sz w:val="24"/>
          <w:szCs w:val="24"/>
        </w:rPr>
        <w:lastRenderedPageBreak/>
        <w:t>Bibliography</w:t>
      </w:r>
    </w:p>
    <w:p w:rsidR="00FD65C9" w:rsidRDefault="00FD65C9" w:rsidP="00FD65C9">
      <w:pPr>
        <w:pStyle w:val="Bibliography"/>
        <w:rPr>
          <w:sz w:val="24"/>
          <w:szCs w:val="24"/>
        </w:rPr>
      </w:pPr>
    </w:p>
    <w:p w:rsidR="00FD65C9" w:rsidRDefault="00FD65C9" w:rsidP="00FD65C9">
      <w:pPr>
        <w:pStyle w:val="Bibliography"/>
        <w:rPr>
          <w:noProof/>
          <w:sz w:val="24"/>
          <w:szCs w:val="24"/>
        </w:rPr>
      </w:pPr>
      <w:r>
        <w:rPr>
          <w:sz w:val="24"/>
          <w:szCs w:val="24"/>
        </w:rPr>
        <w:fldChar w:fldCharType="begin"/>
      </w:r>
      <w:r>
        <w:rPr>
          <w:sz w:val="24"/>
          <w:szCs w:val="24"/>
        </w:rPr>
        <w:instrText xml:space="preserve"> BIBLIOGRAPHY  \l 2057 </w:instrText>
      </w:r>
      <w:r>
        <w:rPr>
          <w:sz w:val="24"/>
          <w:szCs w:val="24"/>
        </w:rPr>
        <w:fldChar w:fldCharType="separate"/>
      </w:r>
      <w:r>
        <w:rPr>
          <w:noProof/>
        </w:rPr>
        <w:t xml:space="preserve">Anwar, Y., Ikbal, M. </w:t>
      </w:r>
      <w:r w:rsidRPr="00E73F49">
        <w:rPr>
          <w:noProof/>
          <w:sz w:val="24"/>
          <w:szCs w:val="24"/>
        </w:rPr>
        <w:t>&amp;</w:t>
      </w:r>
      <w:r>
        <w:rPr>
          <w:noProof/>
        </w:rPr>
        <w:t xml:space="preserve"> Mulyadi, M., 2012. The importance of corporate </w:t>
      </w:r>
      <w:r w:rsidRPr="00E73F49">
        <w:rPr>
          <w:noProof/>
          <w:sz w:val="24"/>
          <w:szCs w:val="24"/>
        </w:rPr>
        <w:t>governance</w:t>
      </w:r>
      <w:r>
        <w:rPr>
          <w:noProof/>
        </w:rPr>
        <w:t xml:space="preserve"> in public sector. </w:t>
      </w:r>
      <w:r>
        <w:rPr>
          <w:i/>
          <w:iCs/>
          <w:noProof/>
        </w:rPr>
        <w:t xml:space="preserve">Global Business and Economics Research Journal, </w:t>
      </w:r>
      <w:r>
        <w:rPr>
          <w:noProof/>
        </w:rPr>
        <w:t>1(1), pp. 25-31.</w:t>
      </w:r>
    </w:p>
    <w:p w:rsidR="00FD65C9" w:rsidRDefault="00E73F49" w:rsidP="00FD65C9">
      <w:pPr>
        <w:pStyle w:val="Bibliography"/>
        <w:rPr>
          <w:noProof/>
        </w:rPr>
      </w:pPr>
      <w:r>
        <w:rPr>
          <w:noProof/>
        </w:rPr>
        <w:t>Bailey, R., 2015. Policing the</w:t>
      </w:r>
      <w:r w:rsidR="00FD65C9">
        <w:rPr>
          <w:noProof/>
        </w:rPr>
        <w:t xml:space="preserve"> Police &amp; Crime Commissioners (PCCs): An examination of the current statutory and political frameworks for holding PCC's to account - a case study of the Surrey Police and Crime panel.. </w:t>
      </w:r>
      <w:r w:rsidR="00FD65C9">
        <w:rPr>
          <w:i/>
          <w:iCs/>
          <w:noProof/>
        </w:rPr>
        <w:t xml:space="preserve">Policing: A journal of Policy and Practice, </w:t>
      </w:r>
      <w:r w:rsidR="00FD65C9">
        <w:rPr>
          <w:noProof/>
        </w:rPr>
        <w:t>9(4), pp. 305-313.</w:t>
      </w:r>
    </w:p>
    <w:p w:rsidR="00FD65C9" w:rsidRDefault="00FD65C9" w:rsidP="00FD65C9">
      <w:pPr>
        <w:pStyle w:val="Bibliography"/>
        <w:rPr>
          <w:noProof/>
        </w:rPr>
      </w:pPr>
      <w:r>
        <w:rPr>
          <w:noProof/>
        </w:rPr>
        <w:t xml:space="preserve">Bayley, D., 2001. </w:t>
      </w:r>
      <w:r>
        <w:rPr>
          <w:i/>
          <w:iCs/>
          <w:noProof/>
        </w:rPr>
        <w:t xml:space="preserve">Democratizing the Police abroad: What to do and how to do it, </w:t>
      </w:r>
      <w:r>
        <w:rPr>
          <w:noProof/>
        </w:rPr>
        <w:t>Washington: National Institute of Justice.</w:t>
      </w:r>
    </w:p>
    <w:p w:rsidR="00FD65C9" w:rsidRDefault="00FD65C9" w:rsidP="00FD65C9">
      <w:pPr>
        <w:pStyle w:val="Bibliography"/>
        <w:rPr>
          <w:noProof/>
        </w:rPr>
      </w:pPr>
      <w:r>
        <w:rPr>
          <w:noProof/>
        </w:rPr>
        <w:t xml:space="preserve">BBC, 2016. </w:t>
      </w:r>
      <w:r>
        <w:rPr>
          <w:i/>
          <w:iCs/>
          <w:noProof/>
        </w:rPr>
        <w:t xml:space="preserve">Police &amp; Crime Commissioner elections 2016. </w:t>
      </w:r>
      <w:r>
        <w:rPr>
          <w:noProof/>
        </w:rPr>
        <w:t xml:space="preserve">[Online] </w:t>
      </w:r>
      <w:r>
        <w:rPr>
          <w:noProof/>
        </w:rPr>
        <w:br/>
        <w:t xml:space="preserve">Available at: </w:t>
      </w:r>
      <w:r>
        <w:rPr>
          <w:noProof/>
          <w:u w:val="single"/>
        </w:rPr>
        <w:t>https://www.bbc.co.uk/news/election/2016/police</w:t>
      </w:r>
      <w:r>
        <w:rPr>
          <w:noProof/>
        </w:rPr>
        <w:br/>
        <w:t>[Accessed 20 March 2021].</w:t>
      </w:r>
    </w:p>
    <w:p w:rsidR="00FD65C9" w:rsidRDefault="00FD65C9" w:rsidP="00FD65C9">
      <w:pPr>
        <w:pStyle w:val="Bibliography"/>
        <w:rPr>
          <w:noProof/>
        </w:rPr>
      </w:pPr>
      <w:r>
        <w:rPr>
          <w:noProof/>
        </w:rPr>
        <w:t xml:space="preserve">BBC, 2016. </w:t>
      </w:r>
      <w:r>
        <w:rPr>
          <w:i/>
          <w:iCs/>
          <w:noProof/>
        </w:rPr>
        <w:t xml:space="preserve">Regional council service plan tricky, Sir Paul Williams says. </w:t>
      </w:r>
      <w:r>
        <w:rPr>
          <w:noProof/>
        </w:rPr>
        <w:t xml:space="preserve">[Online] </w:t>
      </w:r>
      <w:r>
        <w:rPr>
          <w:noProof/>
        </w:rPr>
        <w:br/>
        <w:t xml:space="preserve">Available at: </w:t>
      </w:r>
      <w:r>
        <w:rPr>
          <w:noProof/>
          <w:u w:val="single"/>
        </w:rPr>
        <w:t>https://www.bbc.co.uk/news/uk-wales-politics-37589288</w:t>
      </w:r>
      <w:r>
        <w:rPr>
          <w:noProof/>
        </w:rPr>
        <w:br/>
        <w:t>[Accessed 6 March 2021].</w:t>
      </w:r>
    </w:p>
    <w:p w:rsidR="00FD65C9" w:rsidRDefault="00FD65C9" w:rsidP="00FD65C9">
      <w:pPr>
        <w:pStyle w:val="Bibliography"/>
        <w:rPr>
          <w:noProof/>
        </w:rPr>
      </w:pPr>
      <w:r>
        <w:rPr>
          <w:noProof/>
        </w:rPr>
        <w:t xml:space="preserve">Beare, M. &amp; T, M., 2007. </w:t>
      </w:r>
      <w:r>
        <w:rPr>
          <w:i/>
          <w:iCs/>
          <w:noProof/>
        </w:rPr>
        <w:t xml:space="preserve">Police and Government relations. Who's calling the shots?. </w:t>
      </w:r>
      <w:r>
        <w:rPr>
          <w:noProof/>
        </w:rPr>
        <w:t>Toronto: University of Toronto Press.</w:t>
      </w:r>
    </w:p>
    <w:p w:rsidR="00FD65C9" w:rsidRDefault="00FD65C9" w:rsidP="00FD65C9">
      <w:pPr>
        <w:pStyle w:val="Bibliography"/>
        <w:rPr>
          <w:noProof/>
        </w:rPr>
      </w:pPr>
      <w:r>
        <w:rPr>
          <w:noProof/>
        </w:rPr>
        <w:t xml:space="preserve">Berman, G., Coleman, C. &amp; Taylor, M., 2012. </w:t>
      </w:r>
      <w:r>
        <w:rPr>
          <w:i/>
          <w:iCs/>
          <w:noProof/>
        </w:rPr>
        <w:t xml:space="preserve">Police and Crime Commissioner Elections. House of Commons Library, Research Paper 12/73, </w:t>
      </w:r>
      <w:r>
        <w:rPr>
          <w:noProof/>
        </w:rPr>
        <w:t>London: House of Commons Library.</w:t>
      </w:r>
    </w:p>
    <w:p w:rsidR="00FD65C9" w:rsidRDefault="00FD65C9" w:rsidP="00FD65C9">
      <w:pPr>
        <w:pStyle w:val="Bibliography"/>
        <w:rPr>
          <w:noProof/>
        </w:rPr>
      </w:pPr>
      <w:r>
        <w:rPr>
          <w:noProof/>
        </w:rPr>
        <w:t xml:space="preserve">Bevir, M., 2011. Democratic Governance: A Geneology. </w:t>
      </w:r>
      <w:r>
        <w:rPr>
          <w:i/>
          <w:iCs/>
          <w:noProof/>
        </w:rPr>
        <w:t xml:space="preserve">Local Government Studies, </w:t>
      </w:r>
      <w:r>
        <w:rPr>
          <w:noProof/>
        </w:rPr>
        <w:t>37(1), pp. 3-17.</w:t>
      </w:r>
    </w:p>
    <w:p w:rsidR="00FD65C9" w:rsidRDefault="00FD65C9" w:rsidP="00FD65C9">
      <w:pPr>
        <w:pStyle w:val="Bibliography"/>
        <w:rPr>
          <w:noProof/>
        </w:rPr>
      </w:pPr>
      <w:r>
        <w:rPr>
          <w:noProof/>
        </w:rPr>
        <w:t xml:space="preserve">Blewitt, N. &amp; Bristow, G., 2001. The Structural Funds and additionality in Wales : devolution and multilevel governance. </w:t>
      </w:r>
      <w:r>
        <w:rPr>
          <w:i/>
          <w:iCs/>
          <w:noProof/>
        </w:rPr>
        <w:t xml:space="preserve">Environmet and Planning: Economy and Space, </w:t>
      </w:r>
      <w:r>
        <w:rPr>
          <w:noProof/>
        </w:rPr>
        <w:t>33(6), pp. 1083-1099.</w:t>
      </w:r>
    </w:p>
    <w:p w:rsidR="00FD65C9" w:rsidRDefault="00FD65C9" w:rsidP="00FD65C9">
      <w:pPr>
        <w:pStyle w:val="Bibliography"/>
        <w:rPr>
          <w:noProof/>
        </w:rPr>
      </w:pPr>
      <w:r>
        <w:rPr>
          <w:noProof/>
        </w:rPr>
        <w:t xml:space="preserve">Boundary Commission, 2020. </w:t>
      </w:r>
      <w:r>
        <w:rPr>
          <w:i/>
          <w:iCs/>
          <w:noProof/>
        </w:rPr>
        <w:t xml:space="preserve">Electoral data and maps. </w:t>
      </w:r>
      <w:r>
        <w:rPr>
          <w:noProof/>
        </w:rPr>
        <w:t xml:space="preserve">[Online] </w:t>
      </w:r>
      <w:r>
        <w:rPr>
          <w:noProof/>
        </w:rPr>
        <w:br/>
        <w:t xml:space="preserve">Available at: </w:t>
      </w:r>
      <w:r>
        <w:rPr>
          <w:noProof/>
          <w:u w:val="single"/>
        </w:rPr>
        <w:t>https://boundarycommissionforengland.independent.gov.uk/data-and-resources/</w:t>
      </w:r>
      <w:r>
        <w:rPr>
          <w:noProof/>
        </w:rPr>
        <w:br/>
        <w:t>[Accessed 7th March 2021].</w:t>
      </w:r>
    </w:p>
    <w:p w:rsidR="00FD65C9" w:rsidRDefault="00FD65C9" w:rsidP="00FD65C9">
      <w:pPr>
        <w:pStyle w:val="Bibliography"/>
        <w:rPr>
          <w:noProof/>
        </w:rPr>
      </w:pPr>
      <w:r>
        <w:rPr>
          <w:noProof/>
        </w:rPr>
        <w:t xml:space="preserve">Bovaird, T. &amp; Loeffler, E., 2016. </w:t>
      </w:r>
      <w:r>
        <w:rPr>
          <w:i/>
          <w:iCs/>
          <w:noProof/>
        </w:rPr>
        <w:t xml:space="preserve">Public Management and Governance. </w:t>
      </w:r>
      <w:r>
        <w:rPr>
          <w:noProof/>
        </w:rPr>
        <w:t>3 ed. Abingdon: Routledge.</w:t>
      </w:r>
    </w:p>
    <w:p w:rsidR="00FD65C9" w:rsidRDefault="00FD65C9" w:rsidP="00FD65C9">
      <w:pPr>
        <w:pStyle w:val="Bibliography"/>
        <w:rPr>
          <w:noProof/>
        </w:rPr>
      </w:pPr>
      <w:r>
        <w:rPr>
          <w:noProof/>
        </w:rPr>
        <w:t xml:space="preserve">Bowling, B., Iyer, S., Reiner, R. &amp; Sheptycki, J., 2016. Policing: Past, present &amp; future. </w:t>
      </w:r>
      <w:r>
        <w:rPr>
          <w:i/>
          <w:iCs/>
          <w:noProof/>
        </w:rPr>
        <w:t>What is to be done about crime and punishment.</w:t>
      </w:r>
    </w:p>
    <w:p w:rsidR="00FD65C9" w:rsidRDefault="00FD65C9" w:rsidP="00FD65C9">
      <w:pPr>
        <w:pStyle w:val="Bibliography"/>
        <w:rPr>
          <w:noProof/>
        </w:rPr>
      </w:pPr>
      <w:r>
        <w:rPr>
          <w:noProof/>
        </w:rPr>
        <w:t xml:space="preserve">Britannica, 2021. </w:t>
      </w:r>
      <w:r>
        <w:rPr>
          <w:i/>
          <w:iCs/>
          <w:noProof/>
        </w:rPr>
        <w:t xml:space="preserve">Municipal Corporations Act 1835. </w:t>
      </w:r>
      <w:r>
        <w:rPr>
          <w:noProof/>
        </w:rPr>
        <w:t xml:space="preserve">[Online] </w:t>
      </w:r>
      <w:r>
        <w:rPr>
          <w:noProof/>
        </w:rPr>
        <w:br/>
        <w:t xml:space="preserve">Available at: </w:t>
      </w:r>
      <w:r>
        <w:rPr>
          <w:noProof/>
          <w:u w:val="single"/>
        </w:rPr>
        <w:t>https://www.britannica.com/topic/police/The-development-of-professional-policing-in-England</w:t>
      </w:r>
      <w:r>
        <w:rPr>
          <w:noProof/>
        </w:rPr>
        <w:br/>
        <w:t>[Accessed 19 March 2021].</w:t>
      </w:r>
    </w:p>
    <w:p w:rsidR="00FD65C9" w:rsidRDefault="00FD65C9" w:rsidP="00FD65C9">
      <w:pPr>
        <w:pStyle w:val="Bibliography"/>
        <w:rPr>
          <w:noProof/>
        </w:rPr>
      </w:pPr>
      <w:r>
        <w:rPr>
          <w:noProof/>
        </w:rPr>
        <w:t xml:space="preserve">Brogden, M., 1977. A Police Authority - A denial of conflict. </w:t>
      </w:r>
      <w:r>
        <w:rPr>
          <w:i/>
          <w:iCs/>
          <w:noProof/>
        </w:rPr>
        <w:t xml:space="preserve">Sociological Review, </w:t>
      </w:r>
      <w:r>
        <w:rPr>
          <w:noProof/>
        </w:rPr>
        <w:t>25(2), pp. 325-349.</w:t>
      </w:r>
    </w:p>
    <w:p w:rsidR="00FD65C9" w:rsidRDefault="00FD65C9" w:rsidP="00FD65C9">
      <w:pPr>
        <w:pStyle w:val="Bibliography"/>
        <w:rPr>
          <w:noProof/>
        </w:rPr>
      </w:pPr>
      <w:r>
        <w:rPr>
          <w:noProof/>
        </w:rPr>
        <w:t xml:space="preserve">Cadbury, A., 1992. </w:t>
      </w:r>
      <w:r>
        <w:rPr>
          <w:i/>
          <w:iCs/>
          <w:noProof/>
        </w:rPr>
        <w:t xml:space="preserve">Report of the committe on the Financial Aspects of Corporate Governance, </w:t>
      </w:r>
      <w:r>
        <w:rPr>
          <w:noProof/>
        </w:rPr>
        <w:t>London: Professional Publishing ltd.</w:t>
      </w:r>
    </w:p>
    <w:p w:rsidR="00FD65C9" w:rsidRDefault="00FD65C9" w:rsidP="00FD65C9">
      <w:pPr>
        <w:pStyle w:val="Bibliography"/>
        <w:rPr>
          <w:noProof/>
        </w:rPr>
      </w:pPr>
      <w:r>
        <w:rPr>
          <w:noProof/>
        </w:rPr>
        <w:t xml:space="preserve">Cadbury, A., 2002. </w:t>
      </w:r>
      <w:r>
        <w:rPr>
          <w:i/>
          <w:iCs/>
          <w:noProof/>
        </w:rPr>
        <w:t xml:space="preserve">Corporate Governance and Chairmanship. A Personal View. </w:t>
      </w:r>
      <w:r>
        <w:rPr>
          <w:noProof/>
        </w:rPr>
        <w:t>s.l.:Oxford Scholarship Online.</w:t>
      </w:r>
    </w:p>
    <w:p w:rsidR="00FD65C9" w:rsidRDefault="00FD65C9" w:rsidP="00FD65C9">
      <w:pPr>
        <w:pStyle w:val="Bibliography"/>
        <w:rPr>
          <w:noProof/>
        </w:rPr>
      </w:pPr>
      <w:r>
        <w:rPr>
          <w:noProof/>
        </w:rPr>
        <w:lastRenderedPageBreak/>
        <w:t xml:space="preserve">Chambers, S., 2017. </w:t>
      </w:r>
      <w:r>
        <w:rPr>
          <w:i/>
          <w:iCs/>
          <w:noProof/>
        </w:rPr>
        <w:t xml:space="preserve">The Impact of Police and Crime Commissioners on Community Safety agendas in England and Wales: A comparitice study of South Wales and Avon and </w:t>
      </w:r>
      <w:r w:rsidRPr="00FD65C9">
        <w:rPr>
          <w:i/>
          <w:iCs/>
          <w:noProof/>
          <w:sz w:val="24"/>
          <w:szCs w:val="24"/>
        </w:rPr>
        <w:t>Somerset</w:t>
      </w:r>
      <w:r>
        <w:rPr>
          <w:i/>
          <w:iCs/>
          <w:noProof/>
        </w:rPr>
        <w:t xml:space="preserve"> 2012-2016, </w:t>
      </w:r>
      <w:r>
        <w:rPr>
          <w:noProof/>
        </w:rPr>
        <w:t>Cardiff University: PhD Thesis.</w:t>
      </w:r>
    </w:p>
    <w:p w:rsidR="00FD65C9" w:rsidRDefault="00FD65C9" w:rsidP="00FD65C9">
      <w:pPr>
        <w:pStyle w:val="Bibliography"/>
        <w:rPr>
          <w:noProof/>
        </w:rPr>
      </w:pPr>
      <w:r>
        <w:rPr>
          <w:noProof/>
        </w:rPr>
        <w:t xml:space="preserve">Chambers, S., 2019. </w:t>
      </w:r>
      <w:r>
        <w:rPr>
          <w:i/>
          <w:iCs/>
          <w:noProof/>
        </w:rPr>
        <w:t>Submi</w:t>
      </w:r>
      <w:r w:rsidR="00E73F49">
        <w:rPr>
          <w:i/>
          <w:iCs/>
          <w:noProof/>
        </w:rPr>
        <w:t>ssion to Commision on justice i</w:t>
      </w:r>
      <w:r>
        <w:rPr>
          <w:i/>
          <w:iCs/>
          <w:noProof/>
        </w:rPr>
        <w:t xml:space="preserve">n Wales, </w:t>
      </w:r>
      <w:r>
        <w:rPr>
          <w:noProof/>
        </w:rPr>
        <w:t>Cardiff: Welsh Government.</w:t>
      </w:r>
    </w:p>
    <w:p w:rsidR="00FD65C9" w:rsidRDefault="00FD65C9" w:rsidP="00FD65C9">
      <w:pPr>
        <w:pStyle w:val="Bibliography"/>
        <w:rPr>
          <w:noProof/>
        </w:rPr>
      </w:pPr>
      <w:r>
        <w:rPr>
          <w:noProof/>
        </w:rPr>
        <w:t xml:space="preserve">Cohen, L. &amp; Felson, M., 1979. Social Change and Crime Rate Trends: A Routine Activity Approach. </w:t>
      </w:r>
      <w:r>
        <w:rPr>
          <w:i/>
          <w:iCs/>
          <w:noProof/>
        </w:rPr>
        <w:t xml:space="preserve">American sociological review, </w:t>
      </w:r>
      <w:r>
        <w:rPr>
          <w:noProof/>
        </w:rPr>
        <w:t>44(4), pp. 588-608.</w:t>
      </w:r>
    </w:p>
    <w:p w:rsidR="00FD65C9" w:rsidRDefault="00FD65C9" w:rsidP="00FD65C9">
      <w:pPr>
        <w:pStyle w:val="Bibliography"/>
        <w:rPr>
          <w:noProof/>
        </w:rPr>
      </w:pPr>
      <w:r>
        <w:rPr>
          <w:noProof/>
        </w:rPr>
        <w:t xml:space="preserve">Committee on Standards in Public life, 2015. </w:t>
      </w:r>
      <w:r>
        <w:rPr>
          <w:i/>
          <w:iCs/>
          <w:noProof/>
        </w:rPr>
        <w:t xml:space="preserve">The 7 Principles of Public Life. </w:t>
      </w:r>
      <w:r>
        <w:rPr>
          <w:noProof/>
        </w:rPr>
        <w:t xml:space="preserve">[Online] </w:t>
      </w:r>
      <w:r>
        <w:rPr>
          <w:noProof/>
        </w:rPr>
        <w:br/>
        <w:t xml:space="preserve">Available at: </w:t>
      </w:r>
      <w:r>
        <w:rPr>
          <w:noProof/>
          <w:u w:val="single"/>
        </w:rPr>
        <w:t>https://www.gov.uk/government/publications/the-7-principles-of-public-life/the-7-principles-of-public-life--2</w:t>
      </w:r>
      <w:r>
        <w:rPr>
          <w:noProof/>
        </w:rPr>
        <w:br/>
        <w:t>[Accessed 19 February 2021].</w:t>
      </w:r>
    </w:p>
    <w:p w:rsidR="00FD65C9" w:rsidRDefault="00FD65C9" w:rsidP="00FD65C9">
      <w:pPr>
        <w:pStyle w:val="Bibliography"/>
        <w:rPr>
          <w:noProof/>
        </w:rPr>
      </w:pPr>
      <w:r>
        <w:rPr>
          <w:noProof/>
        </w:rPr>
        <w:t xml:space="preserve">Copus, C. &amp; Leach, S., 2004. Scrutiny and the political party group in the UK local government: new models of behaviour. </w:t>
      </w:r>
      <w:r>
        <w:rPr>
          <w:i/>
          <w:iCs/>
          <w:noProof/>
        </w:rPr>
        <w:t xml:space="preserve">Public Administration, </w:t>
      </w:r>
      <w:r>
        <w:rPr>
          <w:noProof/>
        </w:rPr>
        <w:t>82(2), pp. 331-354.</w:t>
      </w:r>
    </w:p>
    <w:p w:rsidR="00FD65C9" w:rsidRDefault="00FD65C9" w:rsidP="00FD65C9">
      <w:pPr>
        <w:pStyle w:val="Bibliography"/>
        <w:rPr>
          <w:noProof/>
        </w:rPr>
      </w:pPr>
      <w:r>
        <w:rPr>
          <w:noProof/>
        </w:rPr>
        <w:t xml:space="preserve">Coulson, A., 2011. Scrutiny in English local government and the role of councillors. </w:t>
      </w:r>
      <w:r>
        <w:rPr>
          <w:i/>
          <w:iCs/>
          <w:noProof/>
        </w:rPr>
        <w:t xml:space="preserve">The Political quarterly, </w:t>
      </w:r>
      <w:r>
        <w:rPr>
          <w:noProof/>
        </w:rPr>
        <w:t>82(1), pp. 102-111.</w:t>
      </w:r>
    </w:p>
    <w:p w:rsidR="00FD65C9" w:rsidRDefault="00FD65C9" w:rsidP="00FD65C9">
      <w:pPr>
        <w:pStyle w:val="Bibliography"/>
        <w:rPr>
          <w:noProof/>
        </w:rPr>
      </w:pPr>
      <w:r>
        <w:rPr>
          <w:noProof/>
        </w:rPr>
        <w:t xml:space="preserve">Coulson, A. &amp; Whiteman, P., 2012. Holding politicians to account? Overview and scrutiny in English local government. </w:t>
      </w:r>
      <w:r>
        <w:rPr>
          <w:i/>
          <w:iCs/>
          <w:noProof/>
        </w:rPr>
        <w:t xml:space="preserve">Public Money and Management, </w:t>
      </w:r>
      <w:r>
        <w:rPr>
          <w:noProof/>
        </w:rPr>
        <w:t>32(3), pp. 185-192.</w:t>
      </w:r>
    </w:p>
    <w:p w:rsidR="00FD65C9" w:rsidRDefault="00FD65C9" w:rsidP="00FD65C9">
      <w:pPr>
        <w:pStyle w:val="Bibliography"/>
        <w:rPr>
          <w:noProof/>
        </w:rPr>
      </w:pPr>
      <w:r>
        <w:rPr>
          <w:noProof/>
        </w:rPr>
        <w:t xml:space="preserve">Crawford, A. &amp; Evans, K., 2017. Crime prevention and community safety. In: </w:t>
      </w:r>
      <w:r>
        <w:rPr>
          <w:i/>
          <w:iCs/>
          <w:noProof/>
        </w:rPr>
        <w:t xml:space="preserve">Oxford Handbook of Criminology. </w:t>
      </w:r>
      <w:r>
        <w:rPr>
          <w:noProof/>
        </w:rPr>
        <w:t>Oxford: Oxford University Press, pp. 797-824.</w:t>
      </w:r>
    </w:p>
    <w:p w:rsidR="00FD65C9" w:rsidRDefault="00FD65C9" w:rsidP="00FD65C9">
      <w:pPr>
        <w:pStyle w:val="Bibliography"/>
        <w:rPr>
          <w:noProof/>
        </w:rPr>
      </w:pPr>
      <w:r>
        <w:rPr>
          <w:noProof/>
        </w:rPr>
        <w:t xml:space="preserve">Davies, H., 2017. The Well-being of Future Generations (Wales) Act 2015—A Step Change in the Legal Protection of the Interests of Future Generations?. </w:t>
      </w:r>
      <w:r>
        <w:rPr>
          <w:i/>
          <w:iCs/>
          <w:noProof/>
        </w:rPr>
        <w:t xml:space="preserve">Journal of Environmental law, </w:t>
      </w:r>
      <w:r>
        <w:rPr>
          <w:noProof/>
        </w:rPr>
        <w:t>29(1), pp. 165-175.</w:t>
      </w:r>
    </w:p>
    <w:p w:rsidR="00FD65C9" w:rsidRDefault="00FD65C9" w:rsidP="00FD65C9">
      <w:pPr>
        <w:pStyle w:val="Bibliography"/>
        <w:rPr>
          <w:noProof/>
        </w:rPr>
      </w:pPr>
      <w:r>
        <w:rPr>
          <w:noProof/>
        </w:rPr>
        <w:t xml:space="preserve">Downe, J., Entwistle, T., Guarneros-Meza, V. &amp; Martin, S., 2014. The Multi-Level Governance of Wales: Layer Cake or Marble Cake?. </w:t>
      </w:r>
      <w:r>
        <w:rPr>
          <w:i/>
          <w:iCs/>
          <w:noProof/>
        </w:rPr>
        <w:t xml:space="preserve">The British Journal of Politics and International Relations, </w:t>
      </w:r>
      <w:r>
        <w:rPr>
          <w:noProof/>
        </w:rPr>
        <w:t>16(2), pp. 310-325.</w:t>
      </w:r>
    </w:p>
    <w:p w:rsidR="00FD65C9" w:rsidRDefault="00FD65C9" w:rsidP="00FD65C9">
      <w:pPr>
        <w:pStyle w:val="Bibliography"/>
        <w:rPr>
          <w:noProof/>
        </w:rPr>
      </w:pPr>
      <w:r>
        <w:rPr>
          <w:noProof/>
        </w:rPr>
        <w:t xml:space="preserve">Electoral Commission, 2019. </w:t>
      </w:r>
      <w:r>
        <w:rPr>
          <w:i/>
          <w:iCs/>
          <w:noProof/>
        </w:rPr>
        <w:t xml:space="preserve">Results and turnout at the 2016 Police and Crime Commissioner elections. </w:t>
      </w:r>
      <w:r>
        <w:rPr>
          <w:noProof/>
        </w:rPr>
        <w:t xml:space="preserve">[Online] </w:t>
      </w:r>
      <w:r>
        <w:rPr>
          <w:noProof/>
        </w:rPr>
        <w:br/>
        <w:t xml:space="preserve">Available at: </w:t>
      </w:r>
      <w:r>
        <w:rPr>
          <w:noProof/>
          <w:u w:val="single"/>
        </w:rPr>
        <w:t>https://www.electoralcommission.org.uk/who-we-are-and-what-we-do/elections-and-referendums/past-elections-and-referendums/police-and-crime-commissioner-elections/results-and-turnout-2016-police-and-crime-commissioner-elections</w:t>
      </w:r>
      <w:r>
        <w:rPr>
          <w:noProof/>
        </w:rPr>
        <w:br/>
        <w:t>[Accessed 20 March 2021].</w:t>
      </w:r>
    </w:p>
    <w:p w:rsidR="00FD65C9" w:rsidRDefault="00FD65C9" w:rsidP="00FD65C9">
      <w:pPr>
        <w:pStyle w:val="Bibliography"/>
        <w:rPr>
          <w:noProof/>
        </w:rPr>
      </w:pPr>
      <w:r>
        <w:rPr>
          <w:noProof/>
        </w:rPr>
        <w:t xml:space="preserve">Elgood, C., 2017. </w:t>
      </w:r>
      <w:r>
        <w:rPr>
          <w:i/>
          <w:iCs/>
          <w:noProof/>
        </w:rPr>
        <w:t xml:space="preserve">Ethics in Business Decision Making P1.. </w:t>
      </w:r>
      <w:r>
        <w:rPr>
          <w:noProof/>
        </w:rPr>
        <w:t xml:space="preserve">[Online] </w:t>
      </w:r>
      <w:r>
        <w:rPr>
          <w:noProof/>
        </w:rPr>
        <w:br/>
        <w:t xml:space="preserve">Available at: </w:t>
      </w:r>
      <w:r>
        <w:rPr>
          <w:noProof/>
          <w:u w:val="single"/>
        </w:rPr>
        <w:t>https://www.chris-elgood.com/wp-content/uploads/2017/07/n10-Ethics-in-Business-Decision-Making-v1.0.pdf 14/01/2020.</w:t>
      </w:r>
      <w:r>
        <w:rPr>
          <w:noProof/>
        </w:rPr>
        <w:br/>
        <w:t>[Accessed 1 March 2021].</w:t>
      </w:r>
    </w:p>
    <w:p w:rsidR="00FD65C9" w:rsidRDefault="00FD65C9" w:rsidP="00FD65C9">
      <w:pPr>
        <w:pStyle w:val="Bibliography"/>
        <w:rPr>
          <w:noProof/>
        </w:rPr>
      </w:pPr>
      <w:r>
        <w:rPr>
          <w:noProof/>
        </w:rPr>
        <w:t xml:space="preserve">Elmsley, C., 2021. </w:t>
      </w:r>
      <w:r>
        <w:rPr>
          <w:i/>
          <w:iCs/>
          <w:noProof/>
        </w:rPr>
        <w:t xml:space="preserve">A short history of Police and Policing. </w:t>
      </w:r>
      <w:r>
        <w:rPr>
          <w:noProof/>
        </w:rPr>
        <w:t>1 ed. Oxford: Oxford University Press.</w:t>
      </w:r>
    </w:p>
    <w:p w:rsidR="00FD65C9" w:rsidRDefault="00FD65C9" w:rsidP="00FD65C9">
      <w:pPr>
        <w:pStyle w:val="Bibliography"/>
        <w:rPr>
          <w:noProof/>
        </w:rPr>
      </w:pPr>
      <w:r>
        <w:rPr>
          <w:noProof/>
        </w:rPr>
        <w:t xml:space="preserve">Foulkes, C., 2021. </w:t>
      </w:r>
      <w:r>
        <w:rPr>
          <w:i/>
          <w:iCs/>
          <w:noProof/>
        </w:rPr>
        <w:t xml:space="preserve">Corporate Governance with Chief Constable Carl Foulkes: an MS Teams Seminar at UWTSD, 16th February 2021. </w:t>
      </w:r>
      <w:r>
        <w:rPr>
          <w:noProof/>
        </w:rPr>
        <w:t>s.l.:s.n.</w:t>
      </w:r>
    </w:p>
    <w:p w:rsidR="00FD65C9" w:rsidRDefault="00FD65C9" w:rsidP="00FD65C9">
      <w:pPr>
        <w:pStyle w:val="Bibliography"/>
        <w:rPr>
          <w:noProof/>
        </w:rPr>
      </w:pPr>
      <w:r>
        <w:rPr>
          <w:noProof/>
        </w:rPr>
        <w:t xml:space="preserve">Fukuyama, F., 2013. What is Governance. </w:t>
      </w:r>
      <w:r>
        <w:rPr>
          <w:i/>
          <w:iCs/>
          <w:noProof/>
        </w:rPr>
        <w:t xml:space="preserve">Governance, </w:t>
      </w:r>
      <w:r>
        <w:rPr>
          <w:noProof/>
        </w:rPr>
        <w:t>26(3), pp. 347-368.</w:t>
      </w:r>
    </w:p>
    <w:p w:rsidR="00FD65C9" w:rsidRDefault="00FD65C9" w:rsidP="00FD65C9">
      <w:pPr>
        <w:pStyle w:val="Bibliography"/>
        <w:rPr>
          <w:noProof/>
        </w:rPr>
      </w:pPr>
      <w:r>
        <w:rPr>
          <w:noProof/>
        </w:rPr>
        <w:lastRenderedPageBreak/>
        <w:t xml:space="preserve">Gains, F. et al., 2004. </w:t>
      </w:r>
      <w:r>
        <w:rPr>
          <w:i/>
          <w:iCs/>
          <w:noProof/>
        </w:rPr>
        <w:t xml:space="preserve">Operating the New Council Constitutions in English Local Authorities: A process evaluation, </w:t>
      </w:r>
      <w:r>
        <w:rPr>
          <w:noProof/>
        </w:rPr>
        <w:t>London: Office of the Deputy Prime Minister.</w:t>
      </w:r>
    </w:p>
    <w:p w:rsidR="00FD65C9" w:rsidRDefault="00FD65C9" w:rsidP="00FD65C9">
      <w:pPr>
        <w:pStyle w:val="Bibliography"/>
        <w:rPr>
          <w:noProof/>
        </w:rPr>
      </w:pPr>
      <w:r>
        <w:rPr>
          <w:noProof/>
        </w:rPr>
        <w:t xml:space="preserve">Gilling, D., 2008. Celebrating a decade of the Crime and Disorder Act? A personal view. </w:t>
      </w:r>
      <w:r>
        <w:rPr>
          <w:i/>
          <w:iCs/>
          <w:noProof/>
        </w:rPr>
        <w:t xml:space="preserve">Safer Communities, </w:t>
      </w:r>
      <w:r>
        <w:rPr>
          <w:noProof/>
        </w:rPr>
        <w:t>7(3), pp. 39-45.</w:t>
      </w:r>
    </w:p>
    <w:p w:rsidR="00FD65C9" w:rsidRDefault="00FD65C9" w:rsidP="00FD65C9">
      <w:pPr>
        <w:pStyle w:val="Bibliography"/>
        <w:rPr>
          <w:noProof/>
        </w:rPr>
      </w:pPr>
      <w:r>
        <w:rPr>
          <w:noProof/>
        </w:rPr>
        <w:t xml:space="preserve">Gneezy, U., 2005. Deception: The role of consequences. </w:t>
      </w:r>
      <w:r>
        <w:rPr>
          <w:i/>
          <w:iCs/>
          <w:noProof/>
        </w:rPr>
        <w:t xml:space="preserve">The American Economic Review, </w:t>
      </w:r>
      <w:r>
        <w:rPr>
          <w:noProof/>
        </w:rPr>
        <w:t>95(1), pp. 384-394.</w:t>
      </w:r>
    </w:p>
    <w:p w:rsidR="00FD65C9" w:rsidRDefault="00FD65C9" w:rsidP="00FD65C9">
      <w:pPr>
        <w:pStyle w:val="Bibliography"/>
        <w:rPr>
          <w:noProof/>
        </w:rPr>
      </w:pPr>
      <w:r>
        <w:rPr>
          <w:noProof/>
        </w:rPr>
        <w:t xml:space="preserve">Harkin, D., 2018. Community Safety Partnerships: the limits and possibilities of 'policing with the community'. </w:t>
      </w:r>
      <w:r>
        <w:rPr>
          <w:i/>
          <w:iCs/>
          <w:noProof/>
        </w:rPr>
        <w:t xml:space="preserve">Crime Prevention and Community Safety, </w:t>
      </w:r>
      <w:r>
        <w:rPr>
          <w:noProof/>
        </w:rPr>
        <w:t>20(2), pp. 125-136.</w:t>
      </w:r>
    </w:p>
    <w:p w:rsidR="00FD65C9" w:rsidRDefault="00FD65C9" w:rsidP="00FD65C9">
      <w:pPr>
        <w:pStyle w:val="Bibliography"/>
        <w:rPr>
          <w:noProof/>
        </w:rPr>
      </w:pPr>
      <w:r>
        <w:rPr>
          <w:noProof/>
        </w:rPr>
        <w:t xml:space="preserve">HM Government, 2010. </w:t>
      </w:r>
      <w:r>
        <w:rPr>
          <w:i/>
          <w:iCs/>
          <w:noProof/>
        </w:rPr>
        <w:t xml:space="preserve">Building a Stronger Civil Society: a strategy for voluntary and community groups, charities and social enterprises.. </w:t>
      </w:r>
      <w:r>
        <w:rPr>
          <w:noProof/>
        </w:rPr>
        <w:t>s.l.:s.n.</w:t>
      </w:r>
    </w:p>
    <w:p w:rsidR="00FD65C9" w:rsidRDefault="00FD65C9" w:rsidP="00FD65C9">
      <w:pPr>
        <w:pStyle w:val="Bibliography"/>
        <w:rPr>
          <w:noProof/>
        </w:rPr>
      </w:pPr>
      <w:r>
        <w:rPr>
          <w:noProof/>
        </w:rPr>
        <w:t xml:space="preserve">Home Affairs Commitee, 2010. </w:t>
      </w:r>
      <w:r>
        <w:rPr>
          <w:i/>
          <w:iCs/>
          <w:noProof/>
        </w:rPr>
        <w:t xml:space="preserve">Policing: police and crime comissioners. </w:t>
      </w:r>
      <w:r>
        <w:rPr>
          <w:noProof/>
        </w:rPr>
        <w:t xml:space="preserve">[Online] </w:t>
      </w:r>
      <w:r>
        <w:rPr>
          <w:noProof/>
        </w:rPr>
        <w:br/>
        <w:t xml:space="preserve">Available at: </w:t>
      </w:r>
      <w:r>
        <w:rPr>
          <w:noProof/>
          <w:u w:val="single"/>
        </w:rPr>
        <w:t>https://publications.parliament.uk/pa/cm201011/cmselect/cmhaff/511/511uw02.htm</w:t>
      </w:r>
      <w:r>
        <w:rPr>
          <w:noProof/>
        </w:rPr>
        <w:br/>
        <w:t>[Accessed 18 December 2020].</w:t>
      </w:r>
    </w:p>
    <w:p w:rsidR="00FD65C9" w:rsidRDefault="00FD65C9" w:rsidP="00FD65C9">
      <w:pPr>
        <w:pStyle w:val="Bibliography"/>
        <w:rPr>
          <w:noProof/>
        </w:rPr>
      </w:pPr>
      <w:r>
        <w:rPr>
          <w:noProof/>
        </w:rPr>
        <w:t xml:space="preserve">Home Office, 2003. </w:t>
      </w:r>
      <w:r>
        <w:rPr>
          <w:i/>
          <w:iCs/>
          <w:noProof/>
        </w:rPr>
        <w:t xml:space="preserve">The role of Police Authorities in public engagement. Home Office Reports 38/03, </w:t>
      </w:r>
      <w:r>
        <w:rPr>
          <w:noProof/>
        </w:rPr>
        <w:t>London: s.n.</w:t>
      </w:r>
    </w:p>
    <w:p w:rsidR="00FD65C9" w:rsidRDefault="00FD65C9" w:rsidP="00FD65C9">
      <w:pPr>
        <w:pStyle w:val="Bibliography"/>
        <w:rPr>
          <w:noProof/>
        </w:rPr>
      </w:pPr>
      <w:r>
        <w:rPr>
          <w:noProof/>
        </w:rPr>
        <w:t xml:space="preserve">Hughes, G., 2007. </w:t>
      </w:r>
      <w:r>
        <w:rPr>
          <w:i/>
          <w:iCs/>
          <w:noProof/>
        </w:rPr>
        <w:t xml:space="preserve">Governing the social and the problem of the ‘stranger’, </w:t>
      </w:r>
      <w:r>
        <w:rPr>
          <w:noProof/>
        </w:rPr>
        <w:t>Cardiff: Cardiff School of social sciences.</w:t>
      </w:r>
    </w:p>
    <w:p w:rsidR="00FD65C9" w:rsidRDefault="00FD65C9" w:rsidP="00FD65C9">
      <w:pPr>
        <w:pStyle w:val="Bibliography"/>
        <w:rPr>
          <w:noProof/>
        </w:rPr>
      </w:pPr>
      <w:r>
        <w:rPr>
          <w:noProof/>
        </w:rPr>
        <w:t xml:space="preserve">Hughes, G. &amp; Rowe, M., 2007. Neighbourhood Policing and </w:t>
      </w:r>
      <w:r w:rsidR="00E73F49">
        <w:rPr>
          <w:noProof/>
        </w:rPr>
        <w:t>Community Safety: Researching the</w:t>
      </w:r>
      <w:r>
        <w:rPr>
          <w:noProof/>
        </w:rPr>
        <w:t xml:space="preserve"> instabilities of the local governance of crime, disorder and security in contemporary UK. </w:t>
      </w:r>
      <w:r>
        <w:rPr>
          <w:i/>
          <w:iCs/>
          <w:noProof/>
        </w:rPr>
        <w:t xml:space="preserve">Criminolgy &amp; Criminal Justice, </w:t>
      </w:r>
      <w:r>
        <w:rPr>
          <w:noProof/>
        </w:rPr>
        <w:t>7(4), pp. 317-346.</w:t>
      </w:r>
    </w:p>
    <w:p w:rsidR="00FD65C9" w:rsidRDefault="00FD65C9" w:rsidP="00FD65C9">
      <w:pPr>
        <w:pStyle w:val="Bibliography"/>
        <w:rPr>
          <w:noProof/>
        </w:rPr>
      </w:pPr>
      <w:r>
        <w:rPr>
          <w:noProof/>
        </w:rPr>
        <w:t xml:space="preserve">Jones, A., 2021. </w:t>
      </w:r>
      <w:r>
        <w:rPr>
          <w:i/>
          <w:iCs/>
          <w:noProof/>
        </w:rPr>
        <w:t xml:space="preserve">Corporate Governance with North Wales Police and Crime Commissioner Arfon Jones: an MS Teams Seminar at UWTSD. 23rd March 2021. </w:t>
      </w:r>
      <w:r>
        <w:rPr>
          <w:noProof/>
        </w:rPr>
        <w:t>s.l.:s.n.</w:t>
      </w:r>
    </w:p>
    <w:p w:rsidR="00FD65C9" w:rsidRDefault="00FD65C9" w:rsidP="00FD65C9">
      <w:pPr>
        <w:pStyle w:val="Bibliography"/>
        <w:rPr>
          <w:noProof/>
        </w:rPr>
      </w:pPr>
      <w:r>
        <w:rPr>
          <w:noProof/>
        </w:rPr>
        <w:t xml:space="preserve">Joyce, P. &amp; Lister, S., 2014. Scrutinising the role of the Police and Crime panel in the new era of Police governance in England and Wales. </w:t>
      </w:r>
      <w:r>
        <w:rPr>
          <w:i/>
          <w:iCs/>
          <w:noProof/>
        </w:rPr>
        <w:t xml:space="preserve">Safer Communities, </w:t>
      </w:r>
      <w:r>
        <w:rPr>
          <w:noProof/>
        </w:rPr>
        <w:t>13(1), pp. 22-31.</w:t>
      </w:r>
    </w:p>
    <w:p w:rsidR="00FD65C9" w:rsidRDefault="00FD65C9" w:rsidP="00FD65C9">
      <w:pPr>
        <w:pStyle w:val="Bibliography"/>
        <w:rPr>
          <w:noProof/>
        </w:rPr>
      </w:pPr>
      <w:r>
        <w:rPr>
          <w:noProof/>
        </w:rPr>
        <w:t xml:space="preserve">Kanazawa, S. &amp; Still, M., 2000. Why Men Commit Crimes (And Why They Desist). </w:t>
      </w:r>
      <w:r>
        <w:rPr>
          <w:i/>
          <w:iCs/>
          <w:noProof/>
        </w:rPr>
        <w:t xml:space="preserve">Sociological theory, </w:t>
      </w:r>
      <w:r>
        <w:rPr>
          <w:noProof/>
        </w:rPr>
        <w:t>18(3), pp. 434-447.</w:t>
      </w:r>
    </w:p>
    <w:p w:rsidR="00FD65C9" w:rsidRDefault="00FD65C9" w:rsidP="00FD65C9">
      <w:pPr>
        <w:pStyle w:val="Bibliography"/>
        <w:rPr>
          <w:noProof/>
        </w:rPr>
      </w:pPr>
      <w:r>
        <w:rPr>
          <w:noProof/>
        </w:rPr>
        <w:t xml:space="preserve">Leach, S., 2009. Party Politics and Scrutiny in Local Government: Clearing the Hurdles. </w:t>
      </w:r>
      <w:r>
        <w:rPr>
          <w:i/>
          <w:iCs/>
          <w:noProof/>
        </w:rPr>
        <w:t>Centre for public scrutiny London.</w:t>
      </w:r>
    </w:p>
    <w:p w:rsidR="00FD65C9" w:rsidRDefault="00FD65C9" w:rsidP="00FD65C9">
      <w:pPr>
        <w:pStyle w:val="Bibliography"/>
        <w:rPr>
          <w:noProof/>
        </w:rPr>
      </w:pPr>
      <w:r>
        <w:rPr>
          <w:noProof/>
        </w:rPr>
        <w:t>Lister, S., 2013. The new politics of the police: police and crime co</w:t>
      </w:r>
      <w:r w:rsidR="00E73F49">
        <w:rPr>
          <w:noProof/>
        </w:rPr>
        <w:t>m</w:t>
      </w:r>
      <w:r>
        <w:rPr>
          <w:noProof/>
        </w:rPr>
        <w:t xml:space="preserve">missioners and the 'operational independence' of the police. </w:t>
      </w:r>
      <w:r>
        <w:rPr>
          <w:i/>
          <w:iCs/>
          <w:noProof/>
        </w:rPr>
        <w:t xml:space="preserve">Policing; A journey of Policy and Practice., </w:t>
      </w:r>
      <w:r>
        <w:rPr>
          <w:noProof/>
        </w:rPr>
        <w:t>7(3), pp. 239-247.</w:t>
      </w:r>
    </w:p>
    <w:p w:rsidR="00FD65C9" w:rsidRDefault="00FD65C9" w:rsidP="00FD65C9">
      <w:pPr>
        <w:pStyle w:val="Bibliography"/>
        <w:rPr>
          <w:noProof/>
        </w:rPr>
      </w:pPr>
      <w:r>
        <w:rPr>
          <w:noProof/>
        </w:rPr>
        <w:t xml:space="preserve">Lister, S., 2014. Scrutinising the role of the Police and Crime Panel in the new era of police governance in England and wales. </w:t>
      </w:r>
      <w:r>
        <w:rPr>
          <w:i/>
          <w:iCs/>
          <w:noProof/>
        </w:rPr>
        <w:t xml:space="preserve">Safer Communities, </w:t>
      </w:r>
      <w:r>
        <w:rPr>
          <w:noProof/>
        </w:rPr>
        <w:t>13(1), pp. 22-31.</w:t>
      </w:r>
    </w:p>
    <w:p w:rsidR="00FD65C9" w:rsidRDefault="00FD65C9" w:rsidP="00FD65C9">
      <w:pPr>
        <w:pStyle w:val="Bibliography"/>
        <w:rPr>
          <w:noProof/>
        </w:rPr>
      </w:pPr>
      <w:r>
        <w:rPr>
          <w:noProof/>
        </w:rPr>
        <w:t xml:space="preserve">Lister, S. &amp; Rowe, M., 2015. Electing police and crime commissioners in England and Wales: prospecting for the democratisation of policing, Policing and Society. </w:t>
      </w:r>
      <w:r>
        <w:rPr>
          <w:i/>
          <w:iCs/>
          <w:noProof/>
        </w:rPr>
        <w:t xml:space="preserve">Policing &amp; Society, </w:t>
      </w:r>
      <w:r>
        <w:rPr>
          <w:noProof/>
        </w:rPr>
        <w:t>25(4), pp. 358-377.</w:t>
      </w:r>
    </w:p>
    <w:p w:rsidR="00FD65C9" w:rsidRDefault="00FD65C9" w:rsidP="00FD65C9">
      <w:pPr>
        <w:pStyle w:val="Bibliography"/>
        <w:rPr>
          <w:noProof/>
        </w:rPr>
      </w:pPr>
      <w:r>
        <w:rPr>
          <w:noProof/>
        </w:rPr>
        <w:t xml:space="preserve">Loveday, B., 2018. Police and crime commissioners: Developing and sustaining a new model of police governance in England and Wales.. </w:t>
      </w:r>
      <w:r>
        <w:rPr>
          <w:i/>
          <w:iCs/>
          <w:noProof/>
        </w:rPr>
        <w:t xml:space="preserve">International journal of police science &amp; management, </w:t>
      </w:r>
      <w:r>
        <w:rPr>
          <w:noProof/>
        </w:rPr>
        <w:t>20(1), pp. 28-37.</w:t>
      </w:r>
    </w:p>
    <w:p w:rsidR="00FD65C9" w:rsidRDefault="00FD65C9" w:rsidP="00FD65C9">
      <w:pPr>
        <w:pStyle w:val="Bibliography"/>
        <w:rPr>
          <w:noProof/>
        </w:rPr>
      </w:pPr>
      <w:r>
        <w:rPr>
          <w:noProof/>
        </w:rPr>
        <w:lastRenderedPageBreak/>
        <w:t xml:space="preserve">Maguire, M., 2012. ‘Response 1: Big Society, the Voluntary Sector and the Marketization of Criminal Justice’.. </w:t>
      </w:r>
      <w:r>
        <w:rPr>
          <w:i/>
          <w:iCs/>
          <w:noProof/>
        </w:rPr>
        <w:t xml:space="preserve">Criminology and Criminal Justice , </w:t>
      </w:r>
      <w:r>
        <w:rPr>
          <w:noProof/>
        </w:rPr>
        <w:t>12(5), p. 489.</w:t>
      </w:r>
    </w:p>
    <w:p w:rsidR="00FD65C9" w:rsidRDefault="00FD65C9" w:rsidP="00FD65C9">
      <w:pPr>
        <w:pStyle w:val="Bibliography"/>
        <w:rPr>
          <w:noProof/>
        </w:rPr>
      </w:pPr>
      <w:r>
        <w:rPr>
          <w:noProof/>
        </w:rPr>
        <w:t>Manning, B., Prezwors</w:t>
      </w:r>
      <w:r w:rsidR="00E73F49">
        <w:rPr>
          <w:noProof/>
        </w:rPr>
        <w:t>ki, A. &amp; Stokes, C., 2001. Demo</w:t>
      </w:r>
      <w:r>
        <w:rPr>
          <w:noProof/>
        </w:rPr>
        <w:t xml:space="preserve">cracy, Accountability &amp; Representation. </w:t>
      </w:r>
      <w:r>
        <w:rPr>
          <w:i/>
          <w:iCs/>
          <w:noProof/>
        </w:rPr>
        <w:t xml:space="preserve">Public Choice, </w:t>
      </w:r>
      <w:r>
        <w:rPr>
          <w:noProof/>
        </w:rPr>
        <w:t>107(1/2), pp. 185-189.</w:t>
      </w:r>
    </w:p>
    <w:p w:rsidR="00FD65C9" w:rsidRDefault="00FD65C9" w:rsidP="00FD65C9">
      <w:pPr>
        <w:pStyle w:val="Bibliography"/>
        <w:rPr>
          <w:noProof/>
        </w:rPr>
      </w:pPr>
      <w:r>
        <w:rPr>
          <w:noProof/>
        </w:rPr>
        <w:t xml:space="preserve">Mellett, R., 2009. A Principles-based Approach to the Barnett Formula. </w:t>
      </w:r>
      <w:r>
        <w:rPr>
          <w:i/>
          <w:iCs/>
          <w:noProof/>
        </w:rPr>
        <w:t xml:space="preserve">The Political Quarterly, </w:t>
      </w:r>
      <w:r>
        <w:rPr>
          <w:noProof/>
        </w:rPr>
        <w:t>80(1), pp. 76-83.</w:t>
      </w:r>
    </w:p>
    <w:p w:rsidR="00FD65C9" w:rsidRDefault="00FD65C9" w:rsidP="00FD65C9">
      <w:pPr>
        <w:pStyle w:val="Bibliography"/>
        <w:rPr>
          <w:noProof/>
        </w:rPr>
      </w:pPr>
      <w:r>
        <w:rPr>
          <w:noProof/>
        </w:rPr>
        <w:t xml:space="preserve">Messham, E. &amp; Sheard, S., 2020. Taking the long view: the development of the Well-being of Future Generations (Wales) Act. </w:t>
      </w:r>
      <w:r>
        <w:rPr>
          <w:i/>
          <w:iCs/>
          <w:noProof/>
        </w:rPr>
        <w:t xml:space="preserve">Health research policies and systems, </w:t>
      </w:r>
      <w:r>
        <w:rPr>
          <w:noProof/>
        </w:rPr>
        <w:t>Volume 18, pp. 1-12.</w:t>
      </w:r>
    </w:p>
    <w:p w:rsidR="00FD65C9" w:rsidRDefault="00FD65C9" w:rsidP="00FD65C9">
      <w:pPr>
        <w:pStyle w:val="Bibliography"/>
        <w:rPr>
          <w:noProof/>
        </w:rPr>
      </w:pPr>
      <w:r>
        <w:rPr>
          <w:noProof/>
        </w:rPr>
        <w:t xml:space="preserve">Millen, F. &amp; Stephens, M., 2012. Police Authorities, Accountability and Citzenship. </w:t>
      </w:r>
      <w:r>
        <w:rPr>
          <w:i/>
          <w:iCs/>
          <w:noProof/>
        </w:rPr>
        <w:t xml:space="preserve">Policing, </w:t>
      </w:r>
      <w:r>
        <w:rPr>
          <w:noProof/>
        </w:rPr>
        <w:t>6(3), pp. 261-271.</w:t>
      </w:r>
    </w:p>
    <w:p w:rsidR="00FD65C9" w:rsidRDefault="00FD65C9" w:rsidP="00FD65C9">
      <w:pPr>
        <w:pStyle w:val="Bibliography"/>
        <w:rPr>
          <w:noProof/>
        </w:rPr>
      </w:pPr>
      <w:r>
        <w:rPr>
          <w:noProof/>
        </w:rPr>
        <w:t xml:space="preserve">Muir, R., 2016. </w:t>
      </w:r>
      <w:r>
        <w:rPr>
          <w:i/>
          <w:iCs/>
          <w:noProof/>
        </w:rPr>
        <w:t xml:space="preserve">‘Police and Crime Commissioners – the quiet success story’, Police Foundation. [Blog].. </w:t>
      </w:r>
      <w:r>
        <w:rPr>
          <w:noProof/>
        </w:rPr>
        <w:t xml:space="preserve">[Online] </w:t>
      </w:r>
      <w:r>
        <w:rPr>
          <w:noProof/>
        </w:rPr>
        <w:br/>
        <w:t xml:space="preserve">Available at: </w:t>
      </w:r>
      <w:r>
        <w:rPr>
          <w:noProof/>
          <w:u w:val="single"/>
        </w:rPr>
        <w:t>https://barrowcadbury.org.uk/voices/police-crime-commissioners-quiet-success-story/</w:t>
      </w:r>
      <w:r>
        <w:rPr>
          <w:noProof/>
        </w:rPr>
        <w:br/>
        <w:t>[Accessed 22 December 2020].</w:t>
      </w:r>
    </w:p>
    <w:p w:rsidR="00FD65C9" w:rsidRDefault="00FD65C9" w:rsidP="00FD65C9">
      <w:pPr>
        <w:pStyle w:val="Bibliography"/>
        <w:rPr>
          <w:noProof/>
        </w:rPr>
      </w:pPr>
      <w:r>
        <w:rPr>
          <w:noProof/>
        </w:rPr>
        <w:t xml:space="preserve">Mullins, L., 2019. </w:t>
      </w:r>
      <w:r>
        <w:rPr>
          <w:i/>
          <w:iCs/>
          <w:noProof/>
        </w:rPr>
        <w:t xml:space="preserve">Management and Organisational behaviour. </w:t>
      </w:r>
      <w:r>
        <w:rPr>
          <w:noProof/>
        </w:rPr>
        <w:t>12 ed. Harlow: Pearson Education ltd..</w:t>
      </w:r>
    </w:p>
    <w:p w:rsidR="00FD65C9" w:rsidRDefault="00FD65C9" w:rsidP="00FD65C9">
      <w:pPr>
        <w:pStyle w:val="Bibliography"/>
        <w:rPr>
          <w:noProof/>
        </w:rPr>
      </w:pPr>
      <w:r>
        <w:rPr>
          <w:noProof/>
        </w:rPr>
        <w:t xml:space="preserve">Obama Foundation, 2020. </w:t>
      </w:r>
      <w:r>
        <w:rPr>
          <w:i/>
          <w:iCs/>
          <w:noProof/>
        </w:rPr>
        <w:t xml:space="preserve">Highlights from the first Reimagining Policing workshop: Police Accountability and Reforms, </w:t>
      </w:r>
      <w:r>
        <w:rPr>
          <w:noProof/>
        </w:rPr>
        <w:t>Washington: s.n.</w:t>
      </w:r>
    </w:p>
    <w:p w:rsidR="00FD65C9" w:rsidRDefault="00FD65C9" w:rsidP="00FD65C9">
      <w:pPr>
        <w:pStyle w:val="Bibliography"/>
        <w:rPr>
          <w:noProof/>
        </w:rPr>
      </w:pPr>
      <w:r>
        <w:rPr>
          <w:noProof/>
        </w:rPr>
        <w:t xml:space="preserve">Police Professional, 2013. </w:t>
      </w:r>
      <w:r>
        <w:rPr>
          <w:i/>
          <w:iCs/>
          <w:noProof/>
        </w:rPr>
        <w:t xml:space="preserve">Hertfordshire PCP members resign over ineffective powers. </w:t>
      </w:r>
      <w:r>
        <w:rPr>
          <w:noProof/>
        </w:rPr>
        <w:t xml:space="preserve">[Online] </w:t>
      </w:r>
      <w:r>
        <w:rPr>
          <w:noProof/>
        </w:rPr>
        <w:br/>
        <w:t xml:space="preserve">Available at: </w:t>
      </w:r>
      <w:r>
        <w:rPr>
          <w:noProof/>
          <w:u w:val="single"/>
        </w:rPr>
        <w:t>https://www.policeprofessional.com/news/hertfordshire-pcp-members-resign-over-%C2%91ineffective%C2%92-powers/</w:t>
      </w:r>
      <w:r>
        <w:rPr>
          <w:noProof/>
        </w:rPr>
        <w:br/>
        <w:t>[Accessed 4 March 2021].</w:t>
      </w:r>
    </w:p>
    <w:p w:rsidR="00FD65C9" w:rsidRDefault="00FD65C9" w:rsidP="00FD65C9">
      <w:pPr>
        <w:pStyle w:val="Bibliography"/>
        <w:rPr>
          <w:noProof/>
        </w:rPr>
      </w:pPr>
      <w:r>
        <w:rPr>
          <w:noProof/>
        </w:rPr>
        <w:t xml:space="preserve">PRaSRA, 2011. </w:t>
      </w:r>
      <w:r>
        <w:rPr>
          <w:i/>
          <w:iCs/>
          <w:noProof/>
        </w:rPr>
        <w:t xml:space="preserve">Police Reform and Social Responsibility Act 2011. </w:t>
      </w:r>
      <w:r>
        <w:rPr>
          <w:noProof/>
        </w:rPr>
        <w:t xml:space="preserve">[Online] </w:t>
      </w:r>
      <w:r>
        <w:rPr>
          <w:noProof/>
        </w:rPr>
        <w:br/>
        <w:t xml:space="preserve">Available at: </w:t>
      </w:r>
      <w:r>
        <w:rPr>
          <w:noProof/>
          <w:u w:val="single"/>
        </w:rPr>
        <w:t>https://www.legislation.gov.uk/ukpga/2011/13/contents/enacted</w:t>
      </w:r>
      <w:r>
        <w:rPr>
          <w:noProof/>
        </w:rPr>
        <w:br/>
        <w:t>[Accessed 14 December 2020].</w:t>
      </w:r>
    </w:p>
    <w:p w:rsidR="00FD65C9" w:rsidRDefault="00FD65C9" w:rsidP="00FD65C9">
      <w:pPr>
        <w:pStyle w:val="Bibliography"/>
        <w:rPr>
          <w:noProof/>
        </w:rPr>
      </w:pPr>
      <w:r>
        <w:rPr>
          <w:noProof/>
        </w:rPr>
        <w:t xml:space="preserve">PWC, 2018. </w:t>
      </w:r>
      <w:r>
        <w:rPr>
          <w:i/>
          <w:iCs/>
          <w:noProof/>
        </w:rPr>
        <w:t xml:space="preserve">Short guide legal structures. </w:t>
      </w:r>
      <w:r>
        <w:rPr>
          <w:noProof/>
        </w:rPr>
        <w:t xml:space="preserve">[Online] </w:t>
      </w:r>
      <w:r>
        <w:rPr>
          <w:noProof/>
        </w:rPr>
        <w:br/>
        <w:t xml:space="preserve">Available at: </w:t>
      </w:r>
      <w:r>
        <w:rPr>
          <w:noProof/>
          <w:u w:val="single"/>
        </w:rPr>
        <w:t xml:space="preserve">https://www.pwc.co.uk/ux23/guides-templates-insights/short-guide-legal-structures.html </w:t>
      </w:r>
      <w:r>
        <w:rPr>
          <w:noProof/>
        </w:rPr>
        <w:br/>
        <w:t>[Accessed 7 January 2020].</w:t>
      </w:r>
    </w:p>
    <w:p w:rsidR="00FD65C9" w:rsidRDefault="00FD65C9" w:rsidP="00FD65C9">
      <w:pPr>
        <w:pStyle w:val="Bibliography"/>
        <w:rPr>
          <w:noProof/>
        </w:rPr>
      </w:pPr>
      <w:r>
        <w:rPr>
          <w:noProof/>
        </w:rPr>
        <w:t xml:space="preserve">Quirk, B., 2011. </w:t>
      </w:r>
      <w:r>
        <w:rPr>
          <w:i/>
          <w:iCs/>
          <w:noProof/>
        </w:rPr>
        <w:t xml:space="preserve">Re-imagining Government: public leadership and management in challenging times.. </w:t>
      </w:r>
      <w:r>
        <w:rPr>
          <w:noProof/>
        </w:rPr>
        <w:t>Basingstoke: Palgrave Macmillan.</w:t>
      </w:r>
    </w:p>
    <w:p w:rsidR="00FD65C9" w:rsidRDefault="00FD65C9" w:rsidP="00FD65C9">
      <w:pPr>
        <w:pStyle w:val="Bibliography"/>
        <w:rPr>
          <w:noProof/>
        </w:rPr>
      </w:pPr>
      <w:r>
        <w:rPr>
          <w:noProof/>
        </w:rPr>
        <w:t xml:space="preserve">Reiner, R., 1992. </w:t>
      </w:r>
      <w:r>
        <w:rPr>
          <w:i/>
          <w:iCs/>
          <w:noProof/>
        </w:rPr>
        <w:t xml:space="preserve">The Politics of the Police. </w:t>
      </w:r>
      <w:r>
        <w:rPr>
          <w:noProof/>
        </w:rPr>
        <w:t>Hemel Hempstead: Harvester Wheatsheaf.</w:t>
      </w:r>
    </w:p>
    <w:p w:rsidR="00FD65C9" w:rsidRDefault="00FD65C9" w:rsidP="00FD65C9">
      <w:pPr>
        <w:pStyle w:val="Bibliography"/>
        <w:rPr>
          <w:noProof/>
        </w:rPr>
      </w:pPr>
      <w:r>
        <w:rPr>
          <w:noProof/>
        </w:rPr>
        <w:t xml:space="preserve">Reiner, R., 1995. Counting the Coppers: Antinomies of Accountability in Policing. In: P. Stenning, ed. </w:t>
      </w:r>
      <w:r>
        <w:rPr>
          <w:i/>
          <w:iCs/>
          <w:noProof/>
        </w:rPr>
        <w:t xml:space="preserve">Accountability for Criminal Justice. </w:t>
      </w:r>
      <w:r>
        <w:rPr>
          <w:noProof/>
        </w:rPr>
        <w:t>Toronto: University of Toronto publishing.</w:t>
      </w:r>
    </w:p>
    <w:p w:rsidR="00FD65C9" w:rsidRDefault="00FD65C9" w:rsidP="00FD65C9">
      <w:pPr>
        <w:pStyle w:val="Bibliography"/>
        <w:rPr>
          <w:noProof/>
        </w:rPr>
      </w:pPr>
      <w:r>
        <w:rPr>
          <w:noProof/>
        </w:rPr>
        <w:t xml:space="preserve">Reiner, R., 2013. Who Governs? Democracy, plutocracy, science and prophecy in Policing.. </w:t>
      </w:r>
      <w:r>
        <w:rPr>
          <w:i/>
          <w:iCs/>
          <w:noProof/>
        </w:rPr>
        <w:t xml:space="preserve">Criminolgy &amp; Criminal Justice, </w:t>
      </w:r>
      <w:r>
        <w:rPr>
          <w:noProof/>
        </w:rPr>
        <w:t>13(2), pp. 161-180.</w:t>
      </w:r>
    </w:p>
    <w:p w:rsidR="00FD65C9" w:rsidRDefault="00FD65C9" w:rsidP="00FD65C9">
      <w:pPr>
        <w:pStyle w:val="Bibliography"/>
        <w:rPr>
          <w:noProof/>
        </w:rPr>
      </w:pPr>
      <w:r>
        <w:rPr>
          <w:noProof/>
        </w:rPr>
        <w:t xml:space="preserve">Revolving Doors, 2017. </w:t>
      </w:r>
      <w:r>
        <w:rPr>
          <w:i/>
          <w:iCs/>
          <w:noProof/>
        </w:rPr>
        <w:t xml:space="preserve">Under the spotlight: revieing police and crime plans for multiple and complex needs, and transition into adulthood. </w:t>
      </w:r>
      <w:r>
        <w:rPr>
          <w:noProof/>
        </w:rPr>
        <w:t xml:space="preserve">[Online] </w:t>
      </w:r>
      <w:r>
        <w:rPr>
          <w:noProof/>
        </w:rPr>
        <w:br/>
        <w:t xml:space="preserve">Available at: </w:t>
      </w:r>
      <w:r>
        <w:rPr>
          <w:noProof/>
          <w:u w:val="single"/>
        </w:rPr>
        <w:t>http://www.revolving-doors.org.uk/file/2183/download?token=2cgqdhZt</w:t>
      </w:r>
      <w:r>
        <w:rPr>
          <w:noProof/>
        </w:rPr>
        <w:br/>
        <w:t>[Accessed 2 January 2021].</w:t>
      </w:r>
    </w:p>
    <w:p w:rsidR="00FD65C9" w:rsidRDefault="00FD65C9" w:rsidP="00FD65C9">
      <w:pPr>
        <w:pStyle w:val="Bibliography"/>
        <w:rPr>
          <w:noProof/>
        </w:rPr>
      </w:pPr>
      <w:r>
        <w:rPr>
          <w:noProof/>
        </w:rPr>
        <w:lastRenderedPageBreak/>
        <w:t xml:space="preserve">Rogers, C., 2013. The Commissioner cometh: The challenge for democratic policing in England and Wales. </w:t>
      </w:r>
      <w:r>
        <w:rPr>
          <w:i/>
          <w:iCs/>
          <w:noProof/>
        </w:rPr>
        <w:t xml:space="preserve">International journal of law, crime and justice, </w:t>
      </w:r>
      <w:r>
        <w:rPr>
          <w:noProof/>
        </w:rPr>
        <w:t>41(2), pp. 132-143.</w:t>
      </w:r>
    </w:p>
    <w:p w:rsidR="00FD65C9" w:rsidRDefault="00FD65C9" w:rsidP="00FD65C9">
      <w:pPr>
        <w:pStyle w:val="Bibliography"/>
        <w:rPr>
          <w:noProof/>
        </w:rPr>
      </w:pPr>
      <w:r>
        <w:rPr>
          <w:noProof/>
        </w:rPr>
        <w:t xml:space="preserve">Rogers, C. &amp; Thomas, G., 2019. </w:t>
      </w:r>
      <w:r>
        <w:rPr>
          <w:i/>
          <w:iCs/>
          <w:noProof/>
        </w:rPr>
        <w:t xml:space="preserve">Working Together for Safer Communities (Community Safety Partnerships) review 2017. </w:t>
      </w:r>
      <w:r>
        <w:rPr>
          <w:noProof/>
        </w:rPr>
        <w:t xml:space="preserve">[Online] </w:t>
      </w:r>
      <w:r>
        <w:rPr>
          <w:noProof/>
        </w:rPr>
        <w:br/>
        <w:t xml:space="preserve">Available at: </w:t>
      </w:r>
      <w:r>
        <w:rPr>
          <w:noProof/>
          <w:u w:val="single"/>
        </w:rPr>
        <w:t>https://gov.wales/sites/default/files/publications/2019-03/community-safety-review-appendix-vii_0.pdf</w:t>
      </w:r>
      <w:r>
        <w:rPr>
          <w:noProof/>
        </w:rPr>
        <w:br/>
        <w:t>[Accessed 12 March 2021].</w:t>
      </w:r>
    </w:p>
    <w:p w:rsidR="00FD65C9" w:rsidRDefault="00FD65C9" w:rsidP="00FD65C9">
      <w:pPr>
        <w:pStyle w:val="Bibliography"/>
        <w:rPr>
          <w:noProof/>
        </w:rPr>
      </w:pPr>
      <w:r>
        <w:rPr>
          <w:noProof/>
        </w:rPr>
        <w:t xml:space="preserve">Rosonvallon, P., 2020. Good Government: Democracy beyond Elections. </w:t>
      </w:r>
      <w:r>
        <w:rPr>
          <w:i/>
          <w:iCs/>
          <w:noProof/>
        </w:rPr>
        <w:t xml:space="preserve">Contemporary Political Theory, </w:t>
      </w:r>
      <w:r>
        <w:rPr>
          <w:noProof/>
        </w:rPr>
        <w:t>19(1), pp. 71-74.</w:t>
      </w:r>
    </w:p>
    <w:p w:rsidR="00FD65C9" w:rsidRDefault="00FD65C9" w:rsidP="00FD65C9">
      <w:pPr>
        <w:pStyle w:val="Bibliography"/>
        <w:rPr>
          <w:noProof/>
        </w:rPr>
      </w:pPr>
      <w:r>
        <w:rPr>
          <w:noProof/>
        </w:rPr>
        <w:t xml:space="preserve">Sandford, M., 2013. </w:t>
      </w:r>
      <w:r>
        <w:rPr>
          <w:i/>
          <w:iCs/>
          <w:noProof/>
        </w:rPr>
        <w:t xml:space="preserve">Overview and Scrutiny in Local Government, </w:t>
      </w:r>
      <w:r>
        <w:rPr>
          <w:noProof/>
        </w:rPr>
        <w:t>London: House of Commons Library, SN/PC/6520,.</w:t>
      </w:r>
    </w:p>
    <w:p w:rsidR="00FD65C9" w:rsidRDefault="00FD65C9" w:rsidP="00FD65C9">
      <w:pPr>
        <w:pStyle w:val="Bibliography"/>
        <w:rPr>
          <w:noProof/>
        </w:rPr>
      </w:pPr>
      <w:r>
        <w:rPr>
          <w:noProof/>
        </w:rPr>
        <w:t xml:space="preserve">Scott, M., 2011. Reflections on the 'Big Society'. </w:t>
      </w:r>
      <w:r>
        <w:rPr>
          <w:i/>
          <w:iCs/>
          <w:noProof/>
        </w:rPr>
        <w:t xml:space="preserve">Community Development Journal, </w:t>
      </w:r>
      <w:r>
        <w:rPr>
          <w:noProof/>
        </w:rPr>
        <w:t>46(1), pp. 132-137.</w:t>
      </w:r>
    </w:p>
    <w:p w:rsidR="00FD65C9" w:rsidRDefault="00FD65C9" w:rsidP="00FD65C9">
      <w:pPr>
        <w:pStyle w:val="Bibliography"/>
        <w:rPr>
          <w:noProof/>
        </w:rPr>
      </w:pPr>
      <w:r>
        <w:rPr>
          <w:noProof/>
        </w:rPr>
        <w:t xml:space="preserve">Snape, S. &amp; Taylor, F., 2001. A Hard Nut to Crack?”, Making Overview and Scrutiny Work. </w:t>
      </w:r>
      <w:r>
        <w:rPr>
          <w:i/>
          <w:iCs/>
          <w:noProof/>
        </w:rPr>
        <w:t>Local Government Association, London.</w:t>
      </w:r>
    </w:p>
    <w:p w:rsidR="00FD65C9" w:rsidRDefault="00FD65C9" w:rsidP="00FD65C9">
      <w:pPr>
        <w:pStyle w:val="Bibliography"/>
        <w:rPr>
          <w:noProof/>
        </w:rPr>
      </w:pPr>
      <w:r>
        <w:rPr>
          <w:noProof/>
        </w:rPr>
        <w:t xml:space="preserve">Thomas, H., 2016. </w:t>
      </w:r>
      <w:r>
        <w:rPr>
          <w:i/>
          <w:iCs/>
          <w:noProof/>
        </w:rPr>
        <w:t xml:space="preserve">Community Safety in Wales, </w:t>
      </w:r>
      <w:r>
        <w:rPr>
          <w:noProof/>
        </w:rPr>
        <w:t>Cardiff: Wales Audit Office.</w:t>
      </w:r>
    </w:p>
    <w:p w:rsidR="00FD65C9" w:rsidRDefault="00FD65C9" w:rsidP="00FD65C9">
      <w:pPr>
        <w:pStyle w:val="Bibliography"/>
        <w:rPr>
          <w:noProof/>
        </w:rPr>
      </w:pPr>
      <w:r>
        <w:rPr>
          <w:noProof/>
        </w:rPr>
        <w:t xml:space="preserve">Van-Kersbergen, K. &amp; Van-Waarden, F., 2004. ‘Governance’ as a bridge between disciplines: Cross-disciplinary inspiration regarding shifts in governance and problems of governability, accountability and legitimacy. </w:t>
      </w:r>
      <w:r>
        <w:rPr>
          <w:i/>
          <w:iCs/>
          <w:noProof/>
        </w:rPr>
        <w:t xml:space="preserve">European Journal of Political Research., </w:t>
      </w:r>
      <w:r>
        <w:rPr>
          <w:noProof/>
        </w:rPr>
        <w:t>43(2), pp. 143-171.</w:t>
      </w:r>
    </w:p>
    <w:p w:rsidR="00FD65C9" w:rsidRDefault="00FD65C9" w:rsidP="00FD65C9">
      <w:pPr>
        <w:pStyle w:val="Bibliography"/>
        <w:rPr>
          <w:noProof/>
        </w:rPr>
      </w:pPr>
      <w:r>
        <w:rPr>
          <w:noProof/>
        </w:rPr>
        <w:t xml:space="preserve">Vatiero, M., 2017. ON THE (POLITICAL) ORIGIN OF ‘CORPORATE GOVERNANCE’ SPECIES. </w:t>
      </w:r>
      <w:r>
        <w:rPr>
          <w:i/>
          <w:iCs/>
          <w:noProof/>
        </w:rPr>
        <w:t xml:space="preserve">Journal of Economic Surveys, </w:t>
      </w:r>
      <w:r>
        <w:rPr>
          <w:noProof/>
        </w:rPr>
        <w:t>31(2), pp. 393-409.</w:t>
      </w:r>
    </w:p>
    <w:p w:rsidR="00FD65C9" w:rsidRDefault="00FD65C9" w:rsidP="00FD65C9">
      <w:pPr>
        <w:pStyle w:val="Bibliography"/>
        <w:rPr>
          <w:noProof/>
        </w:rPr>
      </w:pPr>
      <w:r>
        <w:rPr>
          <w:noProof/>
        </w:rPr>
        <w:t xml:space="preserve">Vaughan, J., 2021. </w:t>
      </w:r>
      <w:r>
        <w:rPr>
          <w:i/>
          <w:iCs/>
          <w:noProof/>
        </w:rPr>
        <w:t xml:space="preserve">Corporate Governance with South Wales Chief Constable Jeremy Vaughan: an MS Teams seminar at UWTSD, 16th March 2021. </w:t>
      </w:r>
      <w:r>
        <w:rPr>
          <w:noProof/>
        </w:rPr>
        <w:t>s.l.:s.n.</w:t>
      </w:r>
    </w:p>
    <w:p w:rsidR="00FD65C9" w:rsidRDefault="00FD65C9" w:rsidP="00FD65C9">
      <w:pPr>
        <w:pStyle w:val="Bibliography"/>
        <w:rPr>
          <w:noProof/>
        </w:rPr>
      </w:pPr>
      <w:r>
        <w:rPr>
          <w:noProof/>
        </w:rPr>
        <w:t xml:space="preserve">Walsh, D. &amp; Conway, V., 2011. Police governance and accountability: overview of current issues. </w:t>
      </w:r>
      <w:r>
        <w:rPr>
          <w:i/>
          <w:iCs/>
          <w:noProof/>
        </w:rPr>
        <w:t xml:space="preserve">Crime, Law &amp; Social change, </w:t>
      </w:r>
      <w:r>
        <w:rPr>
          <w:noProof/>
        </w:rPr>
        <w:t>55(2-3), pp. 61-86.</w:t>
      </w:r>
    </w:p>
    <w:p w:rsidR="00FD65C9" w:rsidRDefault="00FD65C9" w:rsidP="00FD65C9">
      <w:pPr>
        <w:pStyle w:val="Bibliography"/>
        <w:rPr>
          <w:noProof/>
        </w:rPr>
      </w:pPr>
      <w:r>
        <w:rPr>
          <w:noProof/>
        </w:rPr>
        <w:t xml:space="preserve">Wang, D. et al., 2013. Crime hotspot mapping using the crime related factors--a spatial data mining approach. </w:t>
      </w:r>
      <w:r>
        <w:rPr>
          <w:i/>
          <w:iCs/>
          <w:noProof/>
        </w:rPr>
        <w:t xml:space="preserve">Applied Intelligence, </w:t>
      </w:r>
      <w:r>
        <w:rPr>
          <w:noProof/>
        </w:rPr>
        <w:t>39(4), pp. 772-781.</w:t>
      </w:r>
    </w:p>
    <w:p w:rsidR="00FD65C9" w:rsidRDefault="00FD65C9" w:rsidP="00FD65C9">
      <w:pPr>
        <w:pStyle w:val="Bibliography"/>
        <w:rPr>
          <w:noProof/>
        </w:rPr>
      </w:pPr>
      <w:r>
        <w:rPr>
          <w:noProof/>
        </w:rPr>
        <w:t xml:space="preserve">Warner, B., 2015. </w:t>
      </w:r>
      <w:r>
        <w:rPr>
          <w:i/>
          <w:iCs/>
          <w:noProof/>
        </w:rPr>
        <w:t xml:space="preserve">What is good governance? TEDxJacksonvilleSalon. </w:t>
      </w:r>
      <w:r>
        <w:rPr>
          <w:noProof/>
        </w:rPr>
        <w:t xml:space="preserve">[Online] </w:t>
      </w:r>
      <w:r>
        <w:rPr>
          <w:noProof/>
        </w:rPr>
        <w:br/>
        <w:t xml:space="preserve">Available at: </w:t>
      </w:r>
      <w:r>
        <w:rPr>
          <w:noProof/>
          <w:u w:val="single"/>
        </w:rPr>
        <w:t>https://www.youtube.com/watch?app=desktop&amp;v=E6hWPDUUQ1w</w:t>
      </w:r>
      <w:r>
        <w:rPr>
          <w:noProof/>
        </w:rPr>
        <w:br/>
        <w:t>[Accessed 7 March 2021].</w:t>
      </w:r>
    </w:p>
    <w:p w:rsidR="00FD65C9" w:rsidRDefault="00FD65C9" w:rsidP="00FD65C9">
      <w:pPr>
        <w:pStyle w:val="Bibliography"/>
        <w:rPr>
          <w:noProof/>
        </w:rPr>
      </w:pPr>
      <w:r>
        <w:rPr>
          <w:noProof/>
        </w:rPr>
        <w:t xml:space="preserve">Watts, S., 2019. </w:t>
      </w:r>
      <w:r>
        <w:rPr>
          <w:i/>
          <w:iCs/>
          <w:noProof/>
        </w:rPr>
        <w:t xml:space="preserve">Yes Prime Minister. Early Indications of the Impact of a Change in Policing Governance and the Introduction of Police and Crime Commissioners Across England &amp; Wales. , </w:t>
      </w:r>
      <w:r>
        <w:rPr>
          <w:noProof/>
        </w:rPr>
        <w:t>Portsmouth: s.n.</w:t>
      </w:r>
    </w:p>
    <w:p w:rsidR="00FD65C9" w:rsidRDefault="00FD65C9" w:rsidP="00FD65C9">
      <w:pPr>
        <w:pStyle w:val="Bibliography"/>
        <w:rPr>
          <w:noProof/>
        </w:rPr>
      </w:pPr>
      <w:r>
        <w:rPr>
          <w:i/>
          <w:iCs/>
          <w:noProof/>
        </w:rPr>
        <w:t xml:space="preserve">Well-being of Future Generations (Wales) Act </w:t>
      </w:r>
      <w:r>
        <w:rPr>
          <w:noProof/>
        </w:rPr>
        <w:t xml:space="preserve">(2015). </w:t>
      </w:r>
    </w:p>
    <w:p w:rsidR="00FD65C9" w:rsidRDefault="00FD65C9" w:rsidP="00FD65C9">
      <w:pPr>
        <w:pStyle w:val="Bibliography"/>
        <w:rPr>
          <w:noProof/>
        </w:rPr>
      </w:pPr>
      <w:r>
        <w:rPr>
          <w:noProof/>
        </w:rPr>
        <w:t xml:space="preserve">Welsh Government, 2013. </w:t>
      </w:r>
      <w:r w:rsidR="00E73F49">
        <w:rPr>
          <w:i/>
          <w:iCs/>
          <w:noProof/>
        </w:rPr>
        <w:t>Statutory Guidance for the</w:t>
      </w:r>
      <w:r>
        <w:rPr>
          <w:i/>
          <w:iCs/>
          <w:noProof/>
        </w:rPr>
        <w:t xml:space="preserve"> Local Government Measure. Section 58 Joint Overview and Scrutiny Committees, </w:t>
      </w:r>
      <w:r>
        <w:rPr>
          <w:noProof/>
        </w:rPr>
        <w:t>Cardiff: Crown.</w:t>
      </w:r>
    </w:p>
    <w:p w:rsidR="00FD65C9" w:rsidRDefault="00FD65C9" w:rsidP="00FD65C9">
      <w:pPr>
        <w:pStyle w:val="Bibliography"/>
        <w:rPr>
          <w:noProof/>
        </w:rPr>
      </w:pPr>
      <w:r>
        <w:rPr>
          <w:noProof/>
        </w:rPr>
        <w:t xml:space="preserve">Welsh Government, 2017. </w:t>
      </w:r>
      <w:r>
        <w:rPr>
          <w:i/>
          <w:iCs/>
          <w:noProof/>
        </w:rPr>
        <w:t xml:space="preserve">Working together for safer communities. A Welsh Government review of community safety partnership working in Wales., </w:t>
      </w:r>
      <w:r>
        <w:rPr>
          <w:noProof/>
        </w:rPr>
        <w:t>Cardiff: s.n.</w:t>
      </w:r>
    </w:p>
    <w:p w:rsidR="00FD65C9" w:rsidRDefault="00FD65C9" w:rsidP="00FD65C9">
      <w:pPr>
        <w:pStyle w:val="Bibliography"/>
        <w:rPr>
          <w:noProof/>
        </w:rPr>
      </w:pPr>
      <w:r>
        <w:rPr>
          <w:noProof/>
        </w:rPr>
        <w:lastRenderedPageBreak/>
        <w:t xml:space="preserve">Williams, P., 2014. </w:t>
      </w:r>
      <w:r>
        <w:rPr>
          <w:i/>
          <w:iCs/>
          <w:noProof/>
        </w:rPr>
        <w:t xml:space="preserve">Commission on Public Service Governance and Delivery, </w:t>
      </w:r>
      <w:r>
        <w:rPr>
          <w:noProof/>
        </w:rPr>
        <w:t>Cardiff: Crown .</w:t>
      </w:r>
    </w:p>
    <w:p w:rsidR="0079370B" w:rsidRPr="004148C5" w:rsidRDefault="00FD65C9" w:rsidP="00FD65C9">
      <w:pPr>
        <w:spacing w:line="480" w:lineRule="auto"/>
        <w:jc w:val="both"/>
        <w:rPr>
          <w:sz w:val="24"/>
          <w:szCs w:val="24"/>
        </w:rPr>
      </w:pPr>
      <w:r>
        <w:rPr>
          <w:sz w:val="24"/>
          <w:szCs w:val="24"/>
        </w:rPr>
        <w:fldChar w:fldCharType="end"/>
      </w:r>
    </w:p>
    <w:sectPr w:rsidR="0079370B" w:rsidRPr="004148C5">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42CC0" w:rsidRDefault="00442CC0" w:rsidP="00FD65C9">
      <w:pPr>
        <w:spacing w:after="0" w:line="240" w:lineRule="auto"/>
      </w:pPr>
      <w:r>
        <w:separator/>
      </w:r>
    </w:p>
  </w:endnote>
  <w:endnote w:type="continuationSeparator" w:id="0">
    <w:p w:rsidR="00442CC0" w:rsidRDefault="00442CC0" w:rsidP="00FD65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4673830"/>
      <w:docPartObj>
        <w:docPartGallery w:val="Page Numbers (Bottom of Page)"/>
        <w:docPartUnique/>
      </w:docPartObj>
    </w:sdtPr>
    <w:sdtEndPr>
      <w:rPr>
        <w:noProof/>
      </w:rPr>
    </w:sdtEndPr>
    <w:sdtContent>
      <w:p w:rsidR="00442CC0" w:rsidRDefault="00442CC0">
        <w:pPr>
          <w:pStyle w:val="Footer"/>
          <w:jc w:val="right"/>
        </w:pPr>
        <w:r>
          <w:fldChar w:fldCharType="begin"/>
        </w:r>
        <w:r>
          <w:instrText xml:space="preserve"> PAGE   \* MERGEFORMAT </w:instrText>
        </w:r>
        <w:r>
          <w:fldChar w:fldCharType="separate"/>
        </w:r>
        <w:r w:rsidR="00234235">
          <w:rPr>
            <w:noProof/>
          </w:rPr>
          <w:t>11</w:t>
        </w:r>
        <w:r>
          <w:rPr>
            <w:noProof/>
          </w:rPr>
          <w:fldChar w:fldCharType="end"/>
        </w:r>
      </w:p>
    </w:sdtContent>
  </w:sdt>
  <w:p w:rsidR="00442CC0" w:rsidRDefault="00442C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42CC0" w:rsidRDefault="00442CC0" w:rsidP="00FD65C9">
      <w:pPr>
        <w:spacing w:after="0" w:line="240" w:lineRule="auto"/>
      </w:pPr>
      <w:r>
        <w:separator/>
      </w:r>
    </w:p>
  </w:footnote>
  <w:footnote w:type="continuationSeparator" w:id="0">
    <w:p w:rsidR="00442CC0" w:rsidRDefault="00442CC0" w:rsidP="00FD65C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57BEB"/>
    <w:rsid w:val="00143A93"/>
    <w:rsid w:val="001853BE"/>
    <w:rsid w:val="001A73E3"/>
    <w:rsid w:val="001E4AEE"/>
    <w:rsid w:val="00234235"/>
    <w:rsid w:val="0026395B"/>
    <w:rsid w:val="002A07C3"/>
    <w:rsid w:val="002E0D17"/>
    <w:rsid w:val="002E489E"/>
    <w:rsid w:val="002F6D4A"/>
    <w:rsid w:val="00322D2C"/>
    <w:rsid w:val="003C13F6"/>
    <w:rsid w:val="003E4F58"/>
    <w:rsid w:val="003F3247"/>
    <w:rsid w:val="004148C5"/>
    <w:rsid w:val="00434EC4"/>
    <w:rsid w:val="00442CC0"/>
    <w:rsid w:val="00494470"/>
    <w:rsid w:val="004F249C"/>
    <w:rsid w:val="005204C9"/>
    <w:rsid w:val="00690587"/>
    <w:rsid w:val="006A094D"/>
    <w:rsid w:val="0079370B"/>
    <w:rsid w:val="00821AB3"/>
    <w:rsid w:val="009851B4"/>
    <w:rsid w:val="00AA6988"/>
    <w:rsid w:val="00AD7C98"/>
    <w:rsid w:val="00D57BEB"/>
    <w:rsid w:val="00DF3A1C"/>
    <w:rsid w:val="00E7249E"/>
    <w:rsid w:val="00E73F49"/>
    <w:rsid w:val="00ED419C"/>
    <w:rsid w:val="00EF5833"/>
    <w:rsid w:val="00F23529"/>
    <w:rsid w:val="00FD65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55101"/>
  <w15:chartTrackingRefBased/>
  <w15:docId w15:val="{831FE914-A15B-4F96-B9D3-4B03494768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57BE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F6D4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F6D4A"/>
    <w:rPr>
      <w:rFonts w:eastAsiaTheme="minorEastAsia"/>
      <w:lang w:val="en-US"/>
    </w:rPr>
  </w:style>
  <w:style w:type="paragraph" w:styleId="Bibliography">
    <w:name w:val="Bibliography"/>
    <w:basedOn w:val="Normal"/>
    <w:next w:val="Normal"/>
    <w:uiPriority w:val="37"/>
    <w:unhideWhenUsed/>
    <w:rsid w:val="00FD65C9"/>
  </w:style>
  <w:style w:type="paragraph" w:styleId="Header">
    <w:name w:val="header"/>
    <w:basedOn w:val="Normal"/>
    <w:link w:val="HeaderChar"/>
    <w:uiPriority w:val="99"/>
    <w:unhideWhenUsed/>
    <w:rsid w:val="00FD65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65C9"/>
  </w:style>
  <w:style w:type="paragraph" w:styleId="Footer">
    <w:name w:val="footer"/>
    <w:basedOn w:val="Normal"/>
    <w:link w:val="FooterChar"/>
    <w:uiPriority w:val="99"/>
    <w:unhideWhenUsed/>
    <w:rsid w:val="00FD65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65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4235822">
      <w:bodyDiv w:val="1"/>
      <w:marLeft w:val="0"/>
      <w:marRight w:val="0"/>
      <w:marTop w:val="0"/>
      <w:marBottom w:val="0"/>
      <w:divBdr>
        <w:top w:val="none" w:sz="0" w:space="0" w:color="auto"/>
        <w:left w:val="none" w:sz="0" w:space="0" w:color="auto"/>
        <w:bottom w:val="none" w:sz="0" w:space="0" w:color="auto"/>
        <w:right w:val="none" w:sz="0" w:space="0" w:color="auto"/>
      </w:divBdr>
    </w:div>
    <w:div w:id="72434344">
      <w:bodyDiv w:val="1"/>
      <w:marLeft w:val="0"/>
      <w:marRight w:val="0"/>
      <w:marTop w:val="0"/>
      <w:marBottom w:val="0"/>
      <w:divBdr>
        <w:top w:val="none" w:sz="0" w:space="0" w:color="auto"/>
        <w:left w:val="none" w:sz="0" w:space="0" w:color="auto"/>
        <w:bottom w:val="none" w:sz="0" w:space="0" w:color="auto"/>
        <w:right w:val="none" w:sz="0" w:space="0" w:color="auto"/>
      </w:divBdr>
    </w:div>
    <w:div w:id="121123014">
      <w:bodyDiv w:val="1"/>
      <w:marLeft w:val="0"/>
      <w:marRight w:val="0"/>
      <w:marTop w:val="0"/>
      <w:marBottom w:val="0"/>
      <w:divBdr>
        <w:top w:val="none" w:sz="0" w:space="0" w:color="auto"/>
        <w:left w:val="none" w:sz="0" w:space="0" w:color="auto"/>
        <w:bottom w:val="none" w:sz="0" w:space="0" w:color="auto"/>
        <w:right w:val="none" w:sz="0" w:space="0" w:color="auto"/>
      </w:divBdr>
    </w:div>
    <w:div w:id="333453987">
      <w:bodyDiv w:val="1"/>
      <w:marLeft w:val="0"/>
      <w:marRight w:val="0"/>
      <w:marTop w:val="0"/>
      <w:marBottom w:val="0"/>
      <w:divBdr>
        <w:top w:val="none" w:sz="0" w:space="0" w:color="auto"/>
        <w:left w:val="none" w:sz="0" w:space="0" w:color="auto"/>
        <w:bottom w:val="none" w:sz="0" w:space="0" w:color="auto"/>
        <w:right w:val="none" w:sz="0" w:space="0" w:color="auto"/>
      </w:divBdr>
    </w:div>
    <w:div w:id="429160838">
      <w:bodyDiv w:val="1"/>
      <w:marLeft w:val="0"/>
      <w:marRight w:val="0"/>
      <w:marTop w:val="0"/>
      <w:marBottom w:val="0"/>
      <w:divBdr>
        <w:top w:val="none" w:sz="0" w:space="0" w:color="auto"/>
        <w:left w:val="none" w:sz="0" w:space="0" w:color="auto"/>
        <w:bottom w:val="none" w:sz="0" w:space="0" w:color="auto"/>
        <w:right w:val="none" w:sz="0" w:space="0" w:color="auto"/>
      </w:divBdr>
    </w:div>
    <w:div w:id="434403717">
      <w:bodyDiv w:val="1"/>
      <w:marLeft w:val="0"/>
      <w:marRight w:val="0"/>
      <w:marTop w:val="0"/>
      <w:marBottom w:val="0"/>
      <w:divBdr>
        <w:top w:val="none" w:sz="0" w:space="0" w:color="auto"/>
        <w:left w:val="none" w:sz="0" w:space="0" w:color="auto"/>
        <w:bottom w:val="none" w:sz="0" w:space="0" w:color="auto"/>
        <w:right w:val="none" w:sz="0" w:space="0" w:color="auto"/>
      </w:divBdr>
    </w:div>
    <w:div w:id="446698428">
      <w:bodyDiv w:val="1"/>
      <w:marLeft w:val="0"/>
      <w:marRight w:val="0"/>
      <w:marTop w:val="0"/>
      <w:marBottom w:val="0"/>
      <w:divBdr>
        <w:top w:val="none" w:sz="0" w:space="0" w:color="auto"/>
        <w:left w:val="none" w:sz="0" w:space="0" w:color="auto"/>
        <w:bottom w:val="none" w:sz="0" w:space="0" w:color="auto"/>
        <w:right w:val="none" w:sz="0" w:space="0" w:color="auto"/>
      </w:divBdr>
    </w:div>
    <w:div w:id="664868718">
      <w:bodyDiv w:val="1"/>
      <w:marLeft w:val="0"/>
      <w:marRight w:val="0"/>
      <w:marTop w:val="0"/>
      <w:marBottom w:val="0"/>
      <w:divBdr>
        <w:top w:val="none" w:sz="0" w:space="0" w:color="auto"/>
        <w:left w:val="none" w:sz="0" w:space="0" w:color="auto"/>
        <w:bottom w:val="none" w:sz="0" w:space="0" w:color="auto"/>
        <w:right w:val="none" w:sz="0" w:space="0" w:color="auto"/>
      </w:divBdr>
    </w:div>
    <w:div w:id="918636885">
      <w:bodyDiv w:val="1"/>
      <w:marLeft w:val="0"/>
      <w:marRight w:val="0"/>
      <w:marTop w:val="0"/>
      <w:marBottom w:val="0"/>
      <w:divBdr>
        <w:top w:val="none" w:sz="0" w:space="0" w:color="auto"/>
        <w:left w:val="none" w:sz="0" w:space="0" w:color="auto"/>
        <w:bottom w:val="none" w:sz="0" w:space="0" w:color="auto"/>
        <w:right w:val="none" w:sz="0" w:space="0" w:color="auto"/>
      </w:divBdr>
    </w:div>
    <w:div w:id="938292506">
      <w:bodyDiv w:val="1"/>
      <w:marLeft w:val="0"/>
      <w:marRight w:val="0"/>
      <w:marTop w:val="0"/>
      <w:marBottom w:val="0"/>
      <w:divBdr>
        <w:top w:val="none" w:sz="0" w:space="0" w:color="auto"/>
        <w:left w:val="none" w:sz="0" w:space="0" w:color="auto"/>
        <w:bottom w:val="none" w:sz="0" w:space="0" w:color="auto"/>
        <w:right w:val="none" w:sz="0" w:space="0" w:color="auto"/>
      </w:divBdr>
    </w:div>
    <w:div w:id="944734151">
      <w:bodyDiv w:val="1"/>
      <w:marLeft w:val="0"/>
      <w:marRight w:val="0"/>
      <w:marTop w:val="0"/>
      <w:marBottom w:val="0"/>
      <w:divBdr>
        <w:top w:val="none" w:sz="0" w:space="0" w:color="auto"/>
        <w:left w:val="none" w:sz="0" w:space="0" w:color="auto"/>
        <w:bottom w:val="none" w:sz="0" w:space="0" w:color="auto"/>
        <w:right w:val="none" w:sz="0" w:space="0" w:color="auto"/>
      </w:divBdr>
    </w:div>
    <w:div w:id="1343238554">
      <w:bodyDiv w:val="1"/>
      <w:marLeft w:val="0"/>
      <w:marRight w:val="0"/>
      <w:marTop w:val="0"/>
      <w:marBottom w:val="0"/>
      <w:divBdr>
        <w:top w:val="none" w:sz="0" w:space="0" w:color="auto"/>
        <w:left w:val="none" w:sz="0" w:space="0" w:color="auto"/>
        <w:bottom w:val="none" w:sz="0" w:space="0" w:color="auto"/>
        <w:right w:val="none" w:sz="0" w:space="0" w:color="auto"/>
      </w:divBdr>
    </w:div>
    <w:div w:id="1821000414">
      <w:bodyDiv w:val="1"/>
      <w:marLeft w:val="0"/>
      <w:marRight w:val="0"/>
      <w:marTop w:val="0"/>
      <w:marBottom w:val="0"/>
      <w:divBdr>
        <w:top w:val="none" w:sz="0" w:space="0" w:color="auto"/>
        <w:left w:val="none" w:sz="0" w:space="0" w:color="auto"/>
        <w:bottom w:val="none" w:sz="0" w:space="0" w:color="auto"/>
        <w:right w:val="none" w:sz="0" w:space="0" w:color="auto"/>
      </w:divBdr>
    </w:div>
    <w:div w:id="1882203675">
      <w:bodyDiv w:val="1"/>
      <w:marLeft w:val="0"/>
      <w:marRight w:val="0"/>
      <w:marTop w:val="0"/>
      <w:marBottom w:val="0"/>
      <w:divBdr>
        <w:top w:val="none" w:sz="0" w:space="0" w:color="auto"/>
        <w:left w:val="none" w:sz="0" w:space="0" w:color="auto"/>
        <w:bottom w:val="none" w:sz="0" w:space="0" w:color="auto"/>
        <w:right w:val="none" w:sz="0" w:space="0" w:color="auto"/>
      </w:divBdr>
    </w:div>
    <w:div w:id="1943880208">
      <w:bodyDiv w:val="1"/>
      <w:marLeft w:val="0"/>
      <w:marRight w:val="0"/>
      <w:marTop w:val="0"/>
      <w:marBottom w:val="0"/>
      <w:divBdr>
        <w:top w:val="none" w:sz="0" w:space="0" w:color="auto"/>
        <w:left w:val="none" w:sz="0" w:space="0" w:color="auto"/>
        <w:bottom w:val="none" w:sz="0" w:space="0" w:color="auto"/>
        <w:right w:val="none" w:sz="0" w:space="0" w:color="auto"/>
      </w:divBdr>
    </w:div>
    <w:div w:id="2013794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Bev11</b:Tag>
    <b:SourceType>JournalArticle</b:SourceType>
    <b:Guid>{0FD537F8-8DB1-4A8D-8A85-8B8695BBACA5}</b:Guid>
    <b:Author>
      <b:Author>
        <b:NameList>
          <b:Person>
            <b:Last>Bevir</b:Last>
            <b:First>M</b:First>
          </b:Person>
        </b:NameList>
      </b:Author>
    </b:Author>
    <b:Title>Democratic Governance: A Geneology</b:Title>
    <b:Year>2011</b:Year>
    <b:JournalName>Local Government Studies</b:JournalName>
    <b:Pages>3-17</b:Pages>
    <b:Volume>37</b:Volume>
    <b:Issue>1</b:Issue>
    <b:RefOrder>1</b:RefOrder>
  </b:Source>
  <b:Source>
    <b:Tag>Fuk13</b:Tag>
    <b:SourceType>JournalArticle</b:SourceType>
    <b:Guid>{A1C839B6-11E7-4AF4-9F9E-8CE6824DD7E6}</b:Guid>
    <b:Author>
      <b:Author>
        <b:NameList>
          <b:Person>
            <b:Last>Fukuyama</b:Last>
            <b:First>F</b:First>
          </b:Person>
        </b:NameList>
      </b:Author>
    </b:Author>
    <b:Title>What is Governance</b:Title>
    <b:JournalName>Governance</b:JournalName>
    <b:Year>2013</b:Year>
    <b:Pages>347-368</b:Pages>
    <b:Volume>26</b:Volume>
    <b:Issue>3</b:Issue>
    <b:RefOrder>2</b:RefOrder>
  </b:Source>
  <b:Source>
    <b:Tag>Cad02</b:Tag>
    <b:SourceType>Book</b:SourceType>
    <b:Guid>{15224CB2-05E7-4AB1-9AF6-46C299EB149D}</b:Guid>
    <b:Title>Corporate Governance and Chairmanship. A Personal View</b:Title>
    <b:Year>2002</b:Year>
    <b:Author>
      <b:Author>
        <b:NameList>
          <b:Person>
            <b:Last>Cadbury</b:Last>
            <b:First>A</b:First>
          </b:Person>
        </b:NameList>
      </b:Author>
    </b:Author>
    <b:Publisher>Oxford Scholarship Online</b:Publisher>
    <b:RefOrder>3</b:RefOrder>
  </b:Source>
  <b:Source>
    <b:Tag>Qui11</b:Tag>
    <b:SourceType>Book</b:SourceType>
    <b:Guid>{C991E6D7-895A-4A7E-9BF9-18061C4A9C3B}</b:Guid>
    <b:Author>
      <b:Author>
        <b:NameList>
          <b:Person>
            <b:Last>Quirk</b:Last>
            <b:First>B</b:First>
          </b:Person>
        </b:NameList>
      </b:Author>
    </b:Author>
    <b:Title>Re-imagining Government: public leadership and management in challenging times. </b:Title>
    <b:Year>2011</b:Year>
    <b:City>Basingstoke</b:City>
    <b:Publisher>Palgrave Macmillan</b:Publisher>
    <b:RefOrder>4</b:RefOrder>
  </b:Source>
  <b:Source>
    <b:Tag>Mul13</b:Tag>
    <b:SourceType>Book</b:SourceType>
    <b:Guid>{950965A8-5C0A-4FBD-9715-02A9A886CCD2}</b:Guid>
    <b:Author>
      <b:Author>
        <b:NameList>
          <b:Person>
            <b:Last>Mullins</b:Last>
            <b:First>L.J.</b:First>
          </b:Person>
        </b:NameList>
      </b:Author>
    </b:Author>
    <b:Title>Management and Organisational behaviour</b:Title>
    <b:Year>2019</b:Year>
    <b:Publisher>Pearson Education ltd.</b:Publisher>
    <b:Edition>12</b:Edition>
    <b:City>Harlow</b:City>
    <b:RefOrder>5</b:RefOrder>
  </b:Source>
  <b:Source>
    <b:Tag>Bov15</b:Tag>
    <b:SourceType>Book</b:SourceType>
    <b:Guid>{686998C8-953D-4995-AB88-82864A52DC84}</b:Guid>
    <b:Title>Public Management and Governance</b:Title>
    <b:Year>2016</b:Year>
    <b:Publisher>Routledge</b:Publisher>
    <b:City>Abingdon</b:City>
    <b:Author>
      <b:Author>
        <b:NameList>
          <b:Person>
            <b:Last>Bovaird</b:Last>
            <b:First>T</b:First>
          </b:Person>
          <b:Person>
            <b:Last>Loeffler</b:Last>
            <b:First>E</b:First>
          </b:Person>
        </b:NameList>
      </b:Author>
    </b:Author>
    <b:Edition>3</b:Edition>
    <b:RefOrder>6</b:RefOrder>
  </b:Source>
  <b:Source>
    <b:Tag>PWC18</b:Tag>
    <b:SourceType>InternetSite</b:SourceType>
    <b:Guid>{011416B6-84DD-485F-802B-372683CA57AC}</b:Guid>
    <b:Title>Short guide legal structures</b:Title>
    <b:Year>2018</b:Year>
    <b:Author>
      <b:Author>
        <b:Corporate>PWC</b:Corporate>
      </b:Author>
    </b:Author>
    <b:YearAccessed>2020</b:YearAccessed>
    <b:MonthAccessed>January</b:MonthAccessed>
    <b:DayAccessed>7</b:DayAccessed>
    <b:URL> https://www.pwc.co.uk/ux23/guides-templates-insights/short-guide-legal-structures.html </b:URL>
    <b:RefOrder>7</b:RefOrder>
  </b:Source>
  <b:Source>
    <b:Tag>War15</b:Tag>
    <b:SourceType>InternetSite</b:SourceType>
    <b:Guid>{65BE0088-93B7-4865-9202-5AC5240554A5}</b:Guid>
    <b:Title>What is good governance? TEDxJacksonvilleSalon</b:Title>
    <b:Year>2015</b:Year>
    <b:YearAccessed>2021</b:YearAccessed>
    <b:MonthAccessed>March</b:MonthAccessed>
    <b:DayAccessed>7</b:DayAccessed>
    <b:URL>https://www.youtube.com/watch?app=desktop&amp;v=E6hWPDUUQ1w</b:URL>
    <b:Author>
      <b:Author>
        <b:NameList>
          <b:Person>
            <b:Last>Warner</b:Last>
            <b:First>Ben</b:First>
          </b:Person>
        </b:NameList>
      </b:Author>
    </b:Author>
    <b:RefOrder>8</b:RefOrder>
  </b:Source>
  <b:Source>
    <b:Tag>Cad92</b:Tag>
    <b:SourceType>Report</b:SourceType>
    <b:Guid>{0D4B64A7-67D3-4581-9E3C-E77DCCDF7E8C}</b:Guid>
    <b:Title>Report of the committe on the Financial Aspects of Corporate Governance</b:Title>
    <b:Year>1992</b:Year>
    <b:Author>
      <b:Author>
        <b:NameList>
          <b:Person>
            <b:Last>Cadbury</b:Last>
            <b:First>A</b:First>
          </b:Person>
        </b:NameList>
      </b:Author>
    </b:Author>
    <b:Publisher>Professional Publishing ltd</b:Publisher>
    <b:City>London</b:City>
    <b:RefOrder>9</b:RefOrder>
  </b:Source>
  <b:Source>
    <b:Tag>Anw12</b:Tag>
    <b:SourceType>JournalArticle</b:SourceType>
    <b:Guid>{B65F4B80-0FE3-490F-AA84-DF1399AFD5AE}</b:Guid>
    <b:Title>The importance of corporate governance in public sector</b:Title>
    <b:Year>2012</b:Year>
    <b:Author>
      <b:Author>
        <b:NameList>
          <b:Person>
            <b:Last>Anwar</b:Last>
            <b:First>Y</b:First>
          </b:Person>
          <b:Person>
            <b:Last>Ikbal</b:Last>
            <b:First>M</b:First>
          </b:Person>
          <b:Person>
            <b:Last>Mulyadi</b:Last>
            <b:First>M</b:First>
          </b:Person>
        </b:NameList>
      </b:Author>
    </b:Author>
    <b:JournalName>Global Business and Economics Research Journal</b:JournalName>
    <b:Pages>25-31</b:Pages>
    <b:Volume>1</b:Volume>
    <b:Issue>1</b:Issue>
    <b:RefOrder>10</b:RefOrder>
  </b:Source>
  <b:Source>
    <b:Tag>Elg17</b:Tag>
    <b:SourceType>DocumentFromInternetSite</b:SourceType>
    <b:Guid>{BF5ED5DC-7E8E-4982-B187-6E8335A85774}</b:Guid>
    <b:Title>Ethics in Business Decision Making P1.</b:Title>
    <b:Year>2017</b:Year>
    <b:Author>
      <b:Author>
        <b:NameList>
          <b:Person>
            <b:Last>Elgood</b:Last>
            <b:First>C</b:First>
          </b:Person>
        </b:NameList>
      </b:Author>
    </b:Author>
    <b:YearAccessed>2021</b:YearAccessed>
    <b:MonthAccessed>March</b:MonthAccessed>
    <b:DayAccessed>1</b:DayAccessed>
    <b:URL>https://www.chris-elgood.com/wp-content/uploads/2017/07/n10-Ethics-in-Business-Decision-Making-v1.0.pdf 14/01/2020.</b:URL>
    <b:RefOrder>12</b:RefOrder>
  </b:Source>
  <b:Source>
    <b:Tag>Wal11</b:Tag>
    <b:SourceType>JournalArticle</b:SourceType>
    <b:Guid>{8CFD8712-F778-425D-B36A-01A1C435B8BC}</b:Guid>
    <b:Title>Police governance and accountability: overview of current issues</b:Title>
    <b:Year>2011</b:Year>
    <b:Author>
      <b:Author>
        <b:NameList>
          <b:Person>
            <b:Last>Walsh</b:Last>
            <b:First>D</b:First>
          </b:Person>
          <b:Person>
            <b:Last>Conway</b:Last>
            <b:First>V</b:First>
          </b:Person>
        </b:NameList>
      </b:Author>
    </b:Author>
    <b:JournalName>Crime, Law &amp; Social change</b:JournalName>
    <b:Pages>61-86</b:Pages>
    <b:Volume>55</b:Volume>
    <b:Issue>2-3</b:Issue>
    <b:RefOrder>13</b:RefOrder>
  </b:Source>
  <b:Source>
    <b:Tag>Elm01</b:Tag>
    <b:SourceType>Book</b:SourceType>
    <b:Guid>{1C8AF972-9EB2-4D7C-9EBF-43D4EAA12F7B}</b:Guid>
    <b:Author>
      <b:Author>
        <b:NameList>
          <b:Person>
            <b:Last>Elmsley</b:Last>
            <b:First>C</b:First>
          </b:Person>
        </b:NameList>
      </b:Author>
    </b:Author>
    <b:Title>A short history of Police and Policing</b:Title>
    <b:Year>2021</b:Year>
    <b:City>Oxford</b:City>
    <b:Publisher>Oxford University Press</b:Publisher>
    <b:Edition>1</b:Edition>
    <b:RefOrder>15</b:RefOrder>
  </b:Source>
  <b:Source>
    <b:Tag>Bri21</b:Tag>
    <b:SourceType>InternetSite</b:SourceType>
    <b:Guid>{8D00F90F-3369-4222-A73D-0F086BDACD4C}</b:Guid>
    <b:Title>Municipal Corporations Act 1835</b:Title>
    <b:Year>2021</b:Year>
    <b:Author>
      <b:Author>
        <b:Corporate>Britannica</b:Corporate>
      </b:Author>
    </b:Author>
    <b:YearAccessed>2021</b:YearAccessed>
    <b:MonthAccessed>March</b:MonthAccessed>
    <b:DayAccessed>19</b:DayAccessed>
    <b:URL>https://www.britannica.com/topic/police/The-development-of-professional-policing-in-England</b:URL>
    <b:RefOrder>16</b:RefOrder>
  </b:Source>
  <b:Source>
    <b:Tag>Bay01</b:Tag>
    <b:SourceType>Report</b:SourceType>
    <b:Guid>{39D1C8D1-F005-4F64-8503-0DB41F4FA9E7}</b:Guid>
    <b:Title>Democratizing the Police abroad: What to do and how to do it</b:Title>
    <b:Year>2001</b:Year>
    <b:Author>
      <b:Author>
        <b:NameList>
          <b:Person>
            <b:Last>Bayley</b:Last>
            <b:First>D</b:First>
          </b:Person>
        </b:NameList>
      </b:Author>
    </b:Author>
    <b:Publisher>National Institute of Justice</b:Publisher>
    <b:City>Washington</b:City>
    <b:RefOrder>17</b:RefOrder>
  </b:Source>
  <b:Source>
    <b:Tag>Bea07</b:Tag>
    <b:SourceType>Book</b:SourceType>
    <b:Guid>{74864F9E-CE18-4A2F-9EC7-92D2B067B754}</b:Guid>
    <b:Title>Police and Government relations. Who's calling the shots?</b:Title>
    <b:Year>2007</b:Year>
    <b:Publisher>University of Toronto Press</b:Publisher>
    <b:City>Toronto</b:City>
    <b:Author>
      <b:Author>
        <b:NameList>
          <b:Person>
            <b:Last>Beare</b:Last>
            <b:First>M</b:First>
          </b:Person>
          <b:Person>
            <b:Last>T</b:Last>
            <b:First>Murray</b:First>
          </b:Person>
        </b:NameList>
      </b:Author>
    </b:Author>
    <b:RefOrder>18</b:RefOrder>
  </b:Source>
  <b:Source>
    <b:Tag>Bow16</b:Tag>
    <b:SourceType>JournalArticle</b:SourceType>
    <b:Guid>{30A0C923-6CC2-4931-8B44-0DD7EF378DD6}</b:Guid>
    <b:Author>
      <b:Author>
        <b:NameList>
          <b:Person>
            <b:Last>Bowling</b:Last>
            <b:First>B</b:First>
          </b:Person>
          <b:Person>
            <b:Last>Iyer</b:Last>
            <b:First>S</b:First>
          </b:Person>
          <b:Person>
            <b:Last>Reiner</b:Last>
            <b:First>R</b:First>
          </b:Person>
          <b:Person>
            <b:Last>Sheptycki</b:Last>
            <b:First>J</b:First>
          </b:Person>
        </b:NameList>
      </b:Author>
    </b:Author>
    <b:Title>Policing: Past, present &amp; future</b:Title>
    <b:Year>2016</b:Year>
    <b:Publisher>Palgrave Mcmillan UK</b:Publisher>
    <b:JournalName>What is to be done about crime and punishment</b:JournalName>
    <b:RefOrder>19</b:RefOrder>
  </b:Source>
  <b:Source>
    <b:Tag>Ber12</b:Tag>
    <b:SourceType>Report</b:SourceType>
    <b:Guid>{38E2E427-A004-4BC6-B294-363DDEC0C0FD}</b:Guid>
    <b:Author>
      <b:Author>
        <b:NameList>
          <b:Person>
            <b:Last>Berman</b:Last>
            <b:First>G</b:First>
          </b:Person>
          <b:Person>
            <b:Last>Coleman</b:Last>
            <b:First>C</b:First>
          </b:Person>
          <b:Person>
            <b:Last>Taylor</b:Last>
            <b:First>M</b:First>
          </b:Person>
        </b:NameList>
      </b:Author>
    </b:Author>
    <b:Title>Police and Crime Commissioner Elections. House of Commons Library, Research Paper 12/73</b:Title>
    <b:Year>2012</b:Year>
    <b:Publisher>House of Commons Library</b:Publisher>
    <b:City>London</b:City>
    <b:RefOrder>20</b:RefOrder>
  </b:Source>
  <b:Source>
    <b:Tag>Lis13</b:Tag>
    <b:SourceType>JournalArticle</b:SourceType>
    <b:Guid>{8811304C-0CFB-448D-832E-B83EF7BC0CA7}</b:Guid>
    <b:Author>
      <b:Author>
        <b:NameList>
          <b:Person>
            <b:Last>Lister</b:Last>
            <b:First>S.</b:First>
          </b:Person>
        </b:NameList>
      </b:Author>
    </b:Author>
    <b:Title>The new politics of the police: police and crime comissioners and the 'operational independence' of the police</b:Title>
    <b:JournalName>Policing; A journey of Policy and Practice.</b:JournalName>
    <b:Year>2013</b:Year>
    <b:Pages>239-247</b:Pages>
    <b:Volume>7</b:Volume>
    <b:Issue>3</b:Issue>
    <b:RefOrder>21</b:RefOrder>
  </b:Source>
  <b:Source>
    <b:Tag>Rog13</b:Tag>
    <b:SourceType>JournalArticle</b:SourceType>
    <b:Guid>{41897EA5-18EB-4B13-8753-40771E4FAEB6}</b:Guid>
    <b:Title>The Commissioner cometh: The challenge for democratic policing in England and Wales</b:Title>
    <b:Year>2013</b:Year>
    <b:Author>
      <b:Author>
        <b:NameList>
          <b:Person>
            <b:Last>Rogers</b:Last>
            <b:First>C</b:First>
          </b:Person>
        </b:NameList>
      </b:Author>
    </b:Author>
    <b:JournalName>International journal of law, crime and justice</b:JournalName>
    <b:Pages>132-143</b:Pages>
    <b:Volume>41</b:Volume>
    <b:Issue>2</b:Issue>
    <b:RefOrder>22</b:RefOrder>
  </b:Source>
  <b:Source>
    <b:Tag>Mil12</b:Tag>
    <b:SourceType>JournalArticle</b:SourceType>
    <b:Guid>{76A6F9A0-9AE4-476F-ADA7-1862053D1EC5}</b:Guid>
    <b:Title>Police Authorities, Accountability and Citzenship</b:Title>
    <b:Year>2012</b:Year>
    <b:Author>
      <b:Author>
        <b:NameList>
          <b:Person>
            <b:Last>Millen</b:Last>
            <b:First>F</b:First>
          </b:Person>
          <b:Person>
            <b:Last>Stephens</b:Last>
            <b:First>M</b:First>
          </b:Person>
        </b:NameList>
      </b:Author>
    </b:Author>
    <b:JournalName>Policing</b:JournalName>
    <b:Pages>261-271</b:Pages>
    <b:Volume>6</b:Volume>
    <b:Issue>3</b:Issue>
    <b:RefOrder>23</b:RefOrder>
  </b:Source>
  <b:Source>
    <b:Tag>Bro77</b:Tag>
    <b:SourceType>JournalArticle</b:SourceType>
    <b:Guid>{9546A27C-716A-4578-A061-E242D23C28BB}</b:Guid>
    <b:Author>
      <b:Author>
        <b:NameList>
          <b:Person>
            <b:Last>Brogden</b:Last>
            <b:First>M</b:First>
          </b:Person>
        </b:NameList>
      </b:Author>
    </b:Author>
    <b:Title>A Police Authority - A denial of conflict</b:Title>
    <b:JournalName>Sociological Review</b:JournalName>
    <b:Year>1977</b:Year>
    <b:Pages>325-349</b:Pages>
    <b:Volume>25</b:Volume>
    <b:Issue>2</b:Issue>
    <b:RefOrder>24</b:RefOrder>
  </b:Source>
  <b:Source>
    <b:Tag>Rei92</b:Tag>
    <b:SourceType>Book</b:SourceType>
    <b:Guid>{8051DBF4-6F98-4EE1-A88C-AC5EF2FCFFA1}</b:Guid>
    <b:Title>The Politics of the Police</b:Title>
    <b:Year>1992</b:Year>
    <b:Author>
      <b:Author>
        <b:NameList>
          <b:Person>
            <b:Last>Reiner</b:Last>
            <b:First>R</b:First>
          </b:Person>
        </b:NameList>
      </b:Author>
    </b:Author>
    <b:City>Hemel Hempstead</b:City>
    <b:Publisher>Harvester Wheatsheaf</b:Publisher>
    <b:RefOrder>25</b:RefOrder>
  </b:Source>
  <b:Source>
    <b:Tag>Hom03</b:Tag>
    <b:SourceType>Report</b:SourceType>
    <b:Guid>{95240F13-0282-41F4-AC85-6D703EFAD8FF}</b:Guid>
    <b:Title>The role of Police Authorities in public engagement. Home Office Reports 38/03</b:Title>
    <b:Year>2003</b:Year>
    <b:Author>
      <b:Author>
        <b:Corporate>Home Office</b:Corporate>
      </b:Author>
    </b:Author>
    <b:City>London</b:City>
    <b:RefOrder>26</b:RefOrder>
  </b:Source>
  <b:Source>
    <b:Tag>Gov04</b:Tag>
    <b:SourceType>JournalArticle</b:SourceType>
    <b:Guid>{177CB8CF-BE18-4928-A80D-7A45A670F72A}</b:Guid>
    <b:Title>‘Governance’ as a bridge between disciplines: Cross-disciplinary inspiration regarding shifts in governance and problems of governability, accountability and legitimacy</b:Title>
    <b:JournalName>European Journal of Political Research.</b:JournalName>
    <b:Year>2004</b:Year>
    <b:Pages>143-171</b:Pages>
    <b:Volume>43</b:Volume>
    <b:Issue>2</b:Issue>
    <b:Author>
      <b:Author>
        <b:NameList>
          <b:Person>
            <b:Last>Van-Kersbergen</b:Last>
            <b:First>K</b:First>
          </b:Person>
          <b:Person>
            <b:Last>Van-Waarden</b:Last>
            <b:First>F</b:First>
          </b:Person>
        </b:NameList>
      </b:Author>
    </b:Author>
    <b:RefOrder>27</b:RefOrder>
  </b:Source>
  <b:Source>
    <b:Tag>HMG10</b:Tag>
    <b:SourceType>Misc</b:SourceType>
    <b:Guid>{3F1C3241-BA27-4F77-ADE5-354DB848D7B7}</b:Guid>
    <b:Title>Building a Stronger Civil Society: a strategy for voluntary and community groups, charities and social enterprises.</b:Title>
    <b:Year>2010</b:Year>
    <b:Author>
      <b:Author>
        <b:Corporate>HM Government</b:Corporate>
      </b:Author>
    </b:Author>
    <b:RefOrder>28</b:RefOrder>
  </b:Source>
  <b:Source>
    <b:Tag>Sco11</b:Tag>
    <b:SourceType>JournalArticle</b:SourceType>
    <b:Guid>{4507BB30-70C2-4951-9691-5DDE578B1675}</b:Guid>
    <b:Title>Reflections on the 'Big Society'</b:Title>
    <b:Year>2011</b:Year>
    <b:Author>
      <b:Author>
        <b:NameList>
          <b:Person>
            <b:Last>Scott</b:Last>
            <b:First>M</b:First>
          </b:Person>
        </b:NameList>
      </b:Author>
    </b:Author>
    <b:JournalName>Community Development Journal</b:JournalName>
    <b:Pages>132-137</b:Pages>
    <b:Volume>46</b:Volume>
    <b:Issue>1</b:Issue>
    <b:RefOrder>29</b:RefOrder>
  </b:Source>
  <b:Source>
    <b:Tag>Lis14</b:Tag>
    <b:SourceType>JournalArticle</b:SourceType>
    <b:Guid>{5C7C3CBC-AB33-4D5D-82F8-1869371D5772}</b:Guid>
    <b:Title>Scrutinising the role of the Police and Crime Panel in the new era of police governance in England and wales</b:Title>
    <b:Year>2014</b:Year>
    <b:Author>
      <b:Author>
        <b:NameList>
          <b:Person>
            <b:Last>Lister</b:Last>
            <b:First>S</b:First>
          </b:Person>
        </b:NameList>
      </b:Author>
    </b:Author>
    <b:JournalName>Safer Communities</b:JournalName>
    <b:Pages>22-31</b:Pages>
    <b:Volume>13</b:Volume>
    <b:Issue>1</b:Issue>
    <b:RefOrder>30</b:RefOrder>
  </b:Source>
  <b:Source>
    <b:Tag>Wat19</b:Tag>
    <b:SourceType>Report</b:SourceType>
    <b:Guid>{3F1AAA3E-7812-45A5-A09F-9032401D304D}</b:Guid>
    <b:Title>Yes Prime Minister. Early Indications of the Impact of a Change in Policing Governance and the Introduction of Police and Crime Commissioners Across England &amp; Wales. </b:Title>
    <b:Year>2019</b:Year>
    <b:Author>
      <b:Author>
        <b:NameList>
          <b:Person>
            <b:Last>Watts</b:Last>
            <b:First>S</b:First>
          </b:Person>
        </b:NameList>
      </b:Author>
    </b:Author>
    <b:City>Portsmouth</b:City>
    <b:RefOrder>31</b:RefOrder>
  </b:Source>
  <b:Source>
    <b:Tag>Pol11</b:Tag>
    <b:SourceType>InternetSite</b:SourceType>
    <b:Guid>{22D8EEAC-A599-4EF1-A8D1-24A607F3B517}</b:Guid>
    <b:Title>Police Reform and Social Responsibility Act 2011</b:Title>
    <b:Year>2011</b:Year>
    <b:YearAccessed>2020</b:YearAccessed>
    <b:MonthAccessed>December</b:MonthAccessed>
    <b:DayAccessed>14</b:DayAccessed>
    <b:URL>https://www.legislation.gov.uk/ukpga/2011/13/contents/enacted</b:URL>
    <b:Author>
      <b:Author>
        <b:NameList>
          <b:Person>
            <b:Last>PRaSRA</b:Last>
          </b:Person>
        </b:NameList>
      </b:Author>
    </b:Author>
    <b:RefOrder>32</b:RefOrder>
  </b:Source>
  <b:Source>
    <b:Tag>Hom10</b:Tag>
    <b:SourceType>InternetSite</b:SourceType>
    <b:Guid>{2552BC08-8601-490E-910E-2B127334E216}</b:Guid>
    <b:Author>
      <b:Author>
        <b:Corporate>Home Affairs Commitee</b:Corporate>
      </b:Author>
    </b:Author>
    <b:Title>Policing: police and crime comissioners</b:Title>
    <b:Year>2010</b:Year>
    <b:YearAccessed>2020</b:YearAccessed>
    <b:MonthAccessed>December</b:MonthAccessed>
    <b:DayAccessed>18</b:DayAccessed>
    <b:URL>https://publications.parliament.uk/pa/cm201011/cmselect/cmhaff/511/511uw02.htm</b:URL>
    <b:RefOrder>41</b:RefOrder>
  </b:Source>
  <b:Source>
    <b:Tag>Jon21</b:Tag>
    <b:SourceType>Misc</b:SourceType>
    <b:Guid>{8BE6653A-D6FA-4861-BE7C-8158EC672F20}</b:Guid>
    <b:Title>Corporate Governance with North Wales Police and Crime Commissioner Arfon Jones: an MS Teams Seminar at UWTSD. 23rd March 2021</b:Title>
    <b:Year>2021</b:Year>
    <b:Author>
      <b:Author>
        <b:NameList>
          <b:Person>
            <b:Last>Jones</b:Last>
            <b:First>A</b:First>
          </b:Person>
        </b:NameList>
      </b:Author>
    </b:Author>
    <b:RefOrder>42</b:RefOrder>
  </b:Source>
  <b:Source>
    <b:Tag>Rei13</b:Tag>
    <b:SourceType>JournalArticle</b:SourceType>
    <b:Guid>{3EACC567-105D-4A01-8B8D-54484BBE7DD9}</b:Guid>
    <b:Author>
      <b:Author>
        <b:NameList>
          <b:Person>
            <b:Last>Reiner</b:Last>
            <b:First>R.</b:First>
          </b:Person>
        </b:NameList>
      </b:Author>
    </b:Author>
    <b:Title>Who Governs? Democracy, plutocracy, science and prophecy in Policing.</b:Title>
    <b:Year>2013</b:Year>
    <b:JournalName>Criminolgy &amp; Criminal Justice</b:JournalName>
    <b:Pages>161-180</b:Pages>
    <b:Volume>13</b:Volume>
    <b:Issue>2</b:Issue>
    <b:RefOrder>33</b:RefOrder>
  </b:Source>
  <b:Source>
    <b:Tag>Res19</b:Tag>
    <b:SourceType>InternetSite</b:SourceType>
    <b:Guid>{F284BE10-FDBF-4A53-B27C-A297B06DD731}</b:Guid>
    <b:Title>Results and turnout at the 2016 Police and Crime Commissioner elections</b:Title>
    <b:Year>2019</b:Year>
    <b:YearAccessed>2021</b:YearAccessed>
    <b:MonthAccessed>March</b:MonthAccessed>
    <b:DayAccessed>20</b:DayAccessed>
    <b:URL>https://www.electoralcommission.org.uk/who-we-are-and-what-we-do/elections-and-referendums/past-elections-and-referendums/police-and-crime-commissioner-elections/results-and-turnout-2016-police-and-crime-commissioner-elections</b:URL>
    <b:Author>
      <b:Author>
        <b:Corporate>Electoral Commission</b:Corporate>
      </b:Author>
    </b:Author>
    <b:RefOrder>34</b:RefOrder>
  </b:Source>
  <b:Source>
    <b:Tag>Ros20</b:Tag>
    <b:SourceType>JournalArticle</b:SourceType>
    <b:Guid>{E7D4078F-634A-408A-A2F4-5E9969D3D72B}</b:Guid>
    <b:Author>
      <b:Author>
        <b:NameList>
          <b:Person>
            <b:Last>Rosonvallon</b:Last>
            <b:First>P.</b:First>
          </b:Person>
        </b:NameList>
      </b:Author>
    </b:Author>
    <b:Title>Good Government: Democracy beyond Elections</b:Title>
    <b:JournalName>Contemporary Political Theory</b:JournalName>
    <b:Year>2020</b:Year>
    <b:Pages>71-74</b:Pages>
    <b:Volume>19</b:Volume>
    <b:Issue>1</b:Issue>
    <b:RefOrder>35</b:RefOrder>
  </b:Source>
  <b:Source>
    <b:Tag>BBC16</b:Tag>
    <b:SourceType>InternetSite</b:SourceType>
    <b:Guid>{7CDF811D-2CD2-48AB-9121-E7A1FAE094AA}</b:Guid>
    <b:Author>
      <b:Author>
        <b:Corporate>BBC</b:Corporate>
      </b:Author>
    </b:Author>
    <b:Title>Police &amp; Crime Commissioner elections 2016</b:Title>
    <b:Year>2016</b:Year>
    <b:YearAccessed>2021</b:YearAccessed>
    <b:MonthAccessed>March</b:MonthAccessed>
    <b:DayAccessed>20</b:DayAccessed>
    <b:URL>https://www.bbc.co.uk/news/election/2016/police</b:URL>
    <b:RefOrder>36</b:RefOrder>
  </b:Source>
  <b:Source>
    <b:Tag>Bou20</b:Tag>
    <b:SourceType>InternetSite</b:SourceType>
    <b:Guid>{1F60F3E1-2BC2-4699-9010-44B580A978C6}</b:Guid>
    <b:Author>
      <b:Author>
        <b:Corporate>Boundary Commission</b:Corporate>
      </b:Author>
    </b:Author>
    <b:Title>Electoral data and maps</b:Title>
    <b:Year>2020</b:Year>
    <b:YearAccessed>2021</b:YearAccessed>
    <b:MonthAccessed>March</b:MonthAccessed>
    <b:DayAccessed>7th</b:DayAccessed>
    <b:URL>https://boundarycommissionforengland.independent.gov.uk/data-and-resources/</b:URL>
    <b:RefOrder>37</b:RefOrder>
  </b:Source>
  <b:Source>
    <b:Tag>Gne05</b:Tag>
    <b:SourceType>JournalArticle</b:SourceType>
    <b:Guid>{66A87993-3440-4689-A915-9765419B36D3}</b:Guid>
    <b:Author>
      <b:Author>
        <b:NameList>
          <b:Person>
            <b:Last>Gneezy</b:Last>
            <b:First>U</b:First>
          </b:Person>
        </b:NameList>
      </b:Author>
    </b:Author>
    <b:Title>Deception: The role of consequences</b:Title>
    <b:JournalName>The American Economic Review</b:JournalName>
    <b:Year>2005</b:Year>
    <b:Pages>384-394</b:Pages>
    <b:Volume>95</b:Volume>
    <b:Issue>1</b:Issue>
    <b:RefOrder>38</b:RefOrder>
  </b:Source>
  <b:Source>
    <b:Tag>Man01</b:Tag>
    <b:SourceType>JournalArticle</b:SourceType>
    <b:Guid>{EE8510E8-BEB2-4B8F-BA87-FE9F7D784691}</b:Guid>
    <b:Author>
      <b:Author>
        <b:NameList>
          <b:Person>
            <b:Last>Manning</b:Last>
            <b:First>B</b:First>
          </b:Person>
          <b:Person>
            <b:Last>Prezworski</b:Last>
            <b:First>A</b:First>
          </b:Person>
          <b:Person>
            <b:Last>Stokes</b:Last>
            <b:First>C.</b:First>
          </b:Person>
        </b:NameList>
      </b:Author>
    </b:Author>
    <b:Title>Demoocracy, Accountability &amp; Representation</b:Title>
    <b:Year>2001</b:Year>
    <b:JournalName>Public Choice</b:JournalName>
    <b:Pages>185-189</b:Pages>
    <b:Volume>107</b:Volume>
    <b:Issue>1/2</b:Issue>
    <b:RefOrder>39</b:RefOrder>
  </b:Source>
  <b:Source>
    <b:Tag>Fou211</b:Tag>
    <b:SourceType>Misc</b:SourceType>
    <b:Guid>{AF8D7385-45D7-43B4-AD9A-D51E1066E4C9}</b:Guid>
    <b:Author>
      <b:Author>
        <b:NameList>
          <b:Person>
            <b:Last>Foulkes</b:Last>
            <b:First>C</b:First>
          </b:Person>
        </b:NameList>
      </b:Author>
    </b:Author>
    <b:Title>Corporate Governance with Chief Constable Carl Foulkes: an MS Teams Seminar at UWTSD, 16th February 2021</b:Title>
    <b:Year>2021</b:Year>
    <b:RefOrder>43</b:RefOrder>
  </b:Source>
  <b:Source>
    <b:Tag>Vau21</b:Tag>
    <b:SourceType>Misc</b:SourceType>
    <b:Guid>{545B93B6-897A-404D-9D62-E1A338B5F2A8}</b:Guid>
    <b:Author>
      <b:Author>
        <b:NameList>
          <b:Person>
            <b:Last>Vaughan</b:Last>
            <b:First>J</b:First>
          </b:Person>
        </b:NameList>
      </b:Author>
    </b:Author>
    <b:Title>Corporate Governance with South Wales Chief Constable Jeremy Vaughan: an MS Teams seminar at UWTSD, 16th March 2021</b:Title>
    <b:Year>2021</b:Year>
    <b:RefOrder>44</b:RefOrder>
  </b:Source>
  <b:Source>
    <b:Tag>Mui16</b:Tag>
    <b:SourceType>DocumentFromInternetSite</b:SourceType>
    <b:Guid>{309B92E8-5841-4864-8DF4-D61C0EFF870F}</b:Guid>
    <b:Title>‘Police and Crime Commissioners – the quiet success story’, Police Foundation. [Blog].</b:Title>
    <b:Year>2016</b:Year>
    <b:YearAccessed>2020</b:YearAccessed>
    <b:MonthAccessed>December</b:MonthAccessed>
    <b:DayAccessed>22</b:DayAccessed>
    <b:URL> https://barrowcadbury.org.uk/voices/police-crime-commissioners-quiet-success-story/</b:URL>
    <b:Author>
      <b:Author>
        <b:NameList>
          <b:Person>
            <b:Last>Muir</b:Last>
            <b:First>R</b:First>
          </b:Person>
        </b:NameList>
      </b:Author>
    </b:Author>
    <b:RefOrder>45</b:RefOrder>
  </b:Source>
  <b:Source>
    <b:Tag>Joy14</b:Tag>
    <b:SourceType>JournalArticle</b:SourceType>
    <b:Guid>{3A12B5B9-326E-4EA6-BB18-D2DA544FC3C1}</b:Guid>
    <b:Author>
      <b:Author>
        <b:NameList>
          <b:Person>
            <b:Last>Joyce</b:Last>
            <b:First>P</b:First>
          </b:Person>
          <b:Person>
            <b:Last>Lister</b:Last>
            <b:First>S</b:First>
          </b:Person>
        </b:NameList>
      </b:Author>
    </b:Author>
    <b:Title>Scrutinising the role of the Police and Crime panel in the new era of Police governance in England and Wales</b:Title>
    <b:JournalName>Safer Communities</b:JournalName>
    <b:Year>2014</b:Year>
    <b:Pages>22-31</b:Pages>
    <b:Volume>13</b:Volume>
    <b:Issue>1</b:Issue>
    <b:RefOrder>46</b:RefOrder>
  </b:Source>
  <b:Source>
    <b:Tag>Sna</b:Tag>
    <b:SourceType>JournalArticle</b:SourceType>
    <b:Guid>{07519CBD-8DE9-4608-89D0-347379BFD761}</b:Guid>
    <b:Author>
      <b:Author>
        <b:NameList>
          <b:Person>
            <b:Last>Snape</b:Last>
            <b:First>S</b:First>
          </b:Person>
          <b:Person>
            <b:Last>Taylor</b:Last>
            <b:First>F</b:First>
          </b:Person>
        </b:NameList>
      </b:Author>
    </b:Author>
    <b:Title>A Hard Nut to Crack?”, Making Overview and Scrutiny Work</b:Title>
    <b:JournalName>Local Government Association, London</b:JournalName>
    <b:Year>2001</b:Year>
    <b:RefOrder>47</b:RefOrder>
  </b:Source>
  <b:Source>
    <b:Tag>Gai04</b:Tag>
    <b:SourceType>Report</b:SourceType>
    <b:Guid>{63523CDF-989A-4B50-927E-AD09AA96CC03}</b:Guid>
    <b:Author>
      <b:Author>
        <b:NameList>
          <b:Person>
            <b:Last>Gains</b:Last>
            <b:First>F</b:First>
          </b:Person>
          <b:Person>
            <b:Last>Greasley</b:Last>
            <b:First>S</b:First>
          </b:Person>
          <b:Person>
            <b:Last>John</b:Last>
            <b:First>P</b:First>
          </b:Person>
          <b:Person>
            <b:Last>Rao</b:Last>
            <b:First>N</b:First>
          </b:Person>
          <b:Person>
            <b:Last>Stoker</b:Last>
            <b:First>G</b:First>
          </b:Person>
        </b:NameList>
      </b:Author>
    </b:Author>
    <b:Title>Operating the New Council Constitutions in English Local Authorities: A process evaluation</b:Title>
    <b:Year>2004</b:Year>
    <b:Publisher>Office of the Deputy Prime Minister</b:Publisher>
    <b:City>London</b:City>
    <b:RefOrder>48</b:RefOrder>
  </b:Source>
  <b:Source>
    <b:Tag>Cou11</b:Tag>
    <b:SourceType>JournalArticle</b:SourceType>
    <b:Guid>{FEDB50E5-E5D2-4C07-8971-422A02645314}</b:Guid>
    <b:Title>Scrutiny in English local government and the role of councillors</b:Title>
    <b:Year>2011</b:Year>
    <b:Author>
      <b:Author>
        <b:NameList>
          <b:Person>
            <b:Last>Coulson</b:Last>
            <b:First>A</b:First>
          </b:Person>
        </b:NameList>
      </b:Author>
    </b:Author>
    <b:JournalName>The Political quarterly</b:JournalName>
    <b:Pages>102-111</b:Pages>
    <b:Volume>82</b:Volume>
    <b:Issue>1</b:Issue>
    <b:RefOrder>49</b:RefOrder>
  </b:Source>
  <b:Source>
    <b:Tag>cou12</b:Tag>
    <b:SourceType>JournalArticle</b:SourceType>
    <b:Guid>{063FDA56-B3D7-473D-82DB-2A63306D6DD0}</b:Guid>
    <b:Author>
      <b:Author>
        <b:NameList>
          <b:Person>
            <b:Last>Coulson</b:Last>
            <b:First>A</b:First>
          </b:Person>
          <b:Person>
            <b:Last>Whiteman</b:Last>
            <b:First>P</b:First>
          </b:Person>
        </b:NameList>
      </b:Author>
    </b:Author>
    <b:Title>Holding politicians to account? Overview and scrutiny in English local government</b:Title>
    <b:JournalName>Public Money and Management</b:JournalName>
    <b:Year>2012</b:Year>
    <b:Pages>185-192</b:Pages>
    <b:Volume>32</b:Volume>
    <b:Issue>3</b:Issue>
    <b:RefOrder>50</b:RefOrder>
  </b:Source>
  <b:Source>
    <b:Tag>Cop04</b:Tag>
    <b:SourceType>JournalArticle</b:SourceType>
    <b:Guid>{FC8E5CB5-65AB-40DF-A236-F8B771652B5F}</b:Guid>
    <b:Author>
      <b:Author>
        <b:NameList>
          <b:Person>
            <b:Last>Copus</b:Last>
            <b:First>C</b:First>
          </b:Person>
          <b:Person>
            <b:Last>Leach</b:Last>
            <b:First>S</b:First>
          </b:Person>
        </b:NameList>
      </b:Author>
    </b:Author>
    <b:Title>Scrutiny and the political party group in the UK local government: new models of behaviour</b:Title>
    <b:JournalName>Public Administration</b:JournalName>
    <b:Year>2004</b:Year>
    <b:Pages>331-354</b:Pages>
    <b:Volume>82</b:Volume>
    <b:Issue>2</b:Issue>
    <b:RefOrder>51</b:RefOrder>
  </b:Source>
  <b:Source>
    <b:Tag>Lea09</b:Tag>
    <b:SourceType>JournalArticle</b:SourceType>
    <b:Guid>{D06A4793-B66A-4C29-8124-EDF1F567CD4B}</b:Guid>
    <b:Author>
      <b:Author>
        <b:NameList>
          <b:Person>
            <b:Last>Leach</b:Last>
            <b:First>S</b:First>
          </b:Person>
        </b:NameList>
      </b:Author>
    </b:Author>
    <b:Title>Party Politics and Scrutiny in Local Government: Clearing the Hurdles</b:Title>
    <b:JournalName>Centre for public scrutiny London</b:JournalName>
    <b:Year>2009</b:Year>
    <b:RefOrder>52</b:RefOrder>
  </b:Source>
  <b:Source>
    <b:Tag>San13</b:Tag>
    <b:SourceType>Report</b:SourceType>
    <b:Guid>{1CD6391F-4E46-4410-B6AF-1A778F725C0C}</b:Guid>
    <b:Author>
      <b:Author>
        <b:NameList>
          <b:Person>
            <b:Last>Sandford</b:Last>
            <b:First>M</b:First>
          </b:Person>
        </b:NameList>
      </b:Author>
    </b:Author>
    <b:Title>Overview and Scrutiny in Local Government</b:Title>
    <b:Year>2013</b:Year>
    <b:Publisher> House of Commons Library, SN/PC/6520,</b:Publisher>
    <b:City>London</b:City>
    <b:RefOrder>53</b:RefOrder>
  </b:Source>
  <b:Source>
    <b:Tag>Bai15</b:Tag>
    <b:SourceType>JournalArticle</b:SourceType>
    <b:Guid>{FAD6050B-7A1B-468D-B52C-3A4FA3CC8F56}</b:Guid>
    <b:Author>
      <b:Author>
        <b:NameList>
          <b:Person>
            <b:Last>Bailey</b:Last>
            <b:First>R.</b:First>
          </b:Person>
        </b:NameList>
      </b:Author>
    </b:Author>
    <b:Title>Policing teh Police &amp; Crime Commissioners (PCCs): An examination of the current statutory and political frameworks for holding PCC's to account - a case study of the Surrey Police and Crime panel.</b:Title>
    <b:JournalName>Policing: A journal of Policy and Practice</b:JournalName>
    <b:Year>2015</b:Year>
    <b:Pages>305-313</b:Pages>
    <b:Volume>9</b:Volume>
    <b:Issue>4</b:Issue>
    <b:RefOrder>54</b:RefOrder>
  </b:Source>
  <b:Source>
    <b:Tag>Pol13</b:Tag>
    <b:SourceType>InternetSite</b:SourceType>
    <b:Guid>{40FB2FD2-5315-4776-9A6A-934DA24AA5E8}</b:Guid>
    <b:Title>Hertfordshire PCP members resign over ineffective powers</b:Title>
    <b:Year>2013</b:Year>
    <b:Author>
      <b:Author>
        <b:Corporate>Police Professional</b:Corporate>
      </b:Author>
    </b:Author>
    <b:YearAccessed>2021</b:YearAccessed>
    <b:MonthAccessed>March</b:MonthAccessed>
    <b:DayAccessed>4</b:DayAccessed>
    <b:URL>https://www.policeprofessional.com/news/hertfordshire-pcp-members-resign-over-%C2%91ineffective%C2%92-powers/</b:URL>
    <b:RefOrder>55</b:RefOrder>
  </b:Source>
  <b:Source>
    <b:Tag>Lis15</b:Tag>
    <b:SourceType>JournalArticle</b:SourceType>
    <b:Guid>{40AE74A7-4134-4EFF-8AFA-676C6F726E76}</b:Guid>
    <b:Author>
      <b:Author>
        <b:NameList>
          <b:Person>
            <b:Last>Lister</b:Last>
            <b:First>S</b:First>
          </b:Person>
          <b:Person>
            <b:Last>Rowe</b:Last>
            <b:First>M</b:First>
          </b:Person>
        </b:NameList>
      </b:Author>
    </b:Author>
    <b:Title>Electing police and crime commissioners in England and Wales: prospecting for the democratisation of policing, Policing and Society</b:Title>
    <b:JournalName>Policing &amp; Society</b:JournalName>
    <b:Year>2015</b:Year>
    <b:Pages>358-377</b:Pages>
    <b:Volume>25</b:Volume>
    <b:Issue>4</b:Issue>
    <b:RefOrder>56</b:RefOrder>
  </b:Source>
  <b:Source>
    <b:Tag>Rei95</b:Tag>
    <b:SourceType>BookSection</b:SourceType>
    <b:Guid>{0C00DBF2-1CF6-45EB-81A3-C05E70DD20EA}</b:Guid>
    <b:Title>Counting the Coppers: Antinomies of Accountability in Policing</b:Title>
    <b:Year>1995</b:Year>
    <b:Publisher>University of Toronto publishing</b:Publisher>
    <b:City>Toronto</b:City>
    <b:Author>
      <b:Author>
        <b:NameList>
          <b:Person>
            <b:Last>Reiner</b:Last>
            <b:First>R</b:First>
          </b:Person>
        </b:NameList>
      </b:Author>
      <b:Editor>
        <b:NameList>
          <b:Person>
            <b:Last>Stenning</b:Last>
            <b:First>P</b:First>
          </b:Person>
        </b:NameList>
      </b:Editor>
    </b:Author>
    <b:JournalName>Accountability for Criminal Justice</b:JournalName>
    <b:BookTitle>Accountability for Criminal Justice</b:BookTitle>
    <b:RefOrder>57</b:RefOrder>
  </b:Source>
  <b:Source>
    <b:Tag>Lov18</b:Tag>
    <b:SourceType>JournalArticle</b:SourceType>
    <b:Guid>{0ADC1D7C-D9CA-44C4-AEB1-1206E6476616}</b:Guid>
    <b:Title>Police and crime commissioners: Developing and sustaining a new model of police governance in England and Wales.</b:Title>
    <b:Year>2018</b:Year>
    <b:Author>
      <b:Author>
        <b:NameList>
          <b:Person>
            <b:Last>Loveday</b:Last>
            <b:First>B</b:First>
          </b:Person>
        </b:NameList>
      </b:Author>
    </b:Author>
    <b:JournalName>International journal of police science &amp; management</b:JournalName>
    <b:Pages>28-37</b:Pages>
    <b:Volume>20</b:Volume>
    <b:Issue>1</b:Issue>
    <b:RefOrder>58</b:RefOrder>
  </b:Source>
  <b:Source>
    <b:Tag>Cra17</b:Tag>
    <b:SourceType>BookSection</b:SourceType>
    <b:Guid>{54D29D25-815B-4BAF-AD79-F14AC8FBACC5}</b:Guid>
    <b:Title>Crime prevention and community safety</b:Title>
    <b:Year>2017</b:Year>
    <b:Pages>797-824</b:Pages>
    <b:Author>
      <b:Author>
        <b:NameList>
          <b:Person>
            <b:Last>Crawford</b:Last>
            <b:First>A</b:First>
          </b:Person>
          <b:Person>
            <b:Last>Evans</b:Last>
            <b:First>K.</b:First>
          </b:Person>
        </b:NameList>
      </b:Author>
    </b:Author>
    <b:BookTitle>Oxford Handbook of Criminology</b:BookTitle>
    <b:City>Oxford</b:City>
    <b:Publisher>Oxford University Press</b:Publisher>
    <b:RefOrder>59</b:RefOrder>
  </b:Source>
  <b:Source>
    <b:Tag>Wan13</b:Tag>
    <b:SourceType>JournalArticle</b:SourceType>
    <b:Guid>{66F809DF-AF97-4F92-AFD4-5ACFCDB29165}</b:Guid>
    <b:Author>
      <b:Author>
        <b:NameList>
          <b:Person>
            <b:Last>Wang</b:Last>
            <b:First>D</b:First>
          </b:Person>
          <b:Person>
            <b:Last>Ding</b:Last>
            <b:First>W</b:First>
          </b:Person>
          <b:Person>
            <b:Last>Lo</b:Last>
            <b:First>H</b:First>
          </b:Person>
          <b:Person>
            <b:Last>Stepinski</b:Last>
            <b:First>T</b:First>
          </b:Person>
          <b:Person>
            <b:Last>Salazar</b:Last>
            <b:First>J</b:First>
          </b:Person>
        </b:NameList>
      </b:Author>
    </b:Author>
    <b:Title>Crime hotspot mapping using the crime related factors--a spatial data mining approach</b:Title>
    <b:JournalName>Applied Intelligence</b:JournalName>
    <b:Year>2013</b:Year>
    <b:Pages>772-781</b:Pages>
    <b:Volume>39</b:Volume>
    <b:Issue>4</b:Issue>
    <b:RefOrder>60</b:RefOrder>
  </b:Source>
  <b:Source>
    <b:Tag>Coh79</b:Tag>
    <b:SourceType>JournalArticle</b:SourceType>
    <b:Guid>{B38F663D-7A52-4C8A-8FB7-D9AA437C93F7}</b:Guid>
    <b:Author>
      <b:Author>
        <b:NameList>
          <b:Person>
            <b:Last>Cohen</b:Last>
            <b:First>L</b:First>
          </b:Person>
          <b:Person>
            <b:Last>Felson</b:Last>
            <b:First>M</b:First>
          </b:Person>
        </b:NameList>
      </b:Author>
    </b:Author>
    <b:Title>Social Change and Crime Rate Trends: A Routine Activity Approach</b:Title>
    <b:JournalName>American sociological review</b:JournalName>
    <b:Year>1979</b:Year>
    <b:Pages>588-608</b:Pages>
    <b:Volume>44</b:Volume>
    <b:Issue>4</b:Issue>
    <b:RefOrder>61</b:RefOrder>
  </b:Source>
  <b:Source>
    <b:Tag>Kan00</b:Tag>
    <b:SourceType>JournalArticle</b:SourceType>
    <b:Guid>{FB369D35-5A9C-419C-BEA0-3BE0BC46D522}</b:Guid>
    <b:Author>
      <b:Author>
        <b:NameList>
          <b:Person>
            <b:Last>Kanazawa</b:Last>
            <b:First>S</b:First>
          </b:Person>
          <b:Person>
            <b:Last>Still</b:Last>
            <b:First>M</b:First>
          </b:Person>
        </b:NameList>
      </b:Author>
    </b:Author>
    <b:Title>Why Men Commit Crimes (And Why They Desist)</b:Title>
    <b:JournalName>Sociological theory</b:JournalName>
    <b:Year>2000</b:Year>
    <b:Pages>434-447</b:Pages>
    <b:Volume>18</b:Volume>
    <b:Issue>3</b:Issue>
    <b:RefOrder>62</b:RefOrder>
  </b:Source>
  <b:Source>
    <b:Tag>Hug071</b:Tag>
    <b:SourceType>Report</b:SourceType>
    <b:Guid>{06EEB0F3-0AD9-4343-A928-2552197ED58E}</b:Guid>
    <b:Author>
      <b:Author>
        <b:NameList>
          <b:Person>
            <b:Last>Hughes</b:Last>
            <b:First>G</b:First>
          </b:Person>
        </b:NameList>
      </b:Author>
    </b:Author>
    <b:Title>Governing the social and the problem of the ‘stranger’</b:Title>
    <b:Year>2007</b:Year>
    <b:Publisher>Cardiff School of social sciences</b:Publisher>
    <b:City>Cardiff</b:City>
    <b:RefOrder>63</b:RefOrder>
  </b:Source>
  <b:Source>
    <b:Tag>Dow14</b:Tag>
    <b:SourceType>JournalArticle</b:SourceType>
    <b:Guid>{4D4308CD-5C05-4DD3-BED1-C5C425089100}</b:Guid>
    <b:Author>
      <b:Author>
        <b:NameList>
          <b:Person>
            <b:Last>Downe</b:Last>
            <b:First>J</b:First>
          </b:Person>
          <b:Person>
            <b:Last>Entwistle</b:Last>
            <b:First>T</b:First>
          </b:Person>
          <b:Person>
            <b:Last>Guarneros-Meza</b:Last>
            <b:First>V</b:First>
          </b:Person>
          <b:Person>
            <b:Last>Martin</b:Last>
            <b:First>S</b:First>
          </b:Person>
        </b:NameList>
      </b:Author>
    </b:Author>
    <b:Title>The Multi-Level Governance of Wales: Layer Cake or Marble Cake?</b:Title>
    <b:JournalName>The British Journal of Politics and International Relations</b:JournalName>
    <b:Year>2014</b:Year>
    <b:Pages>310-325</b:Pages>
    <b:Volume>16</b:Volume>
    <b:Issue>2</b:Issue>
    <b:RefOrder>64</b:RefOrder>
  </b:Source>
  <b:Source>
    <b:Tag>Gil08</b:Tag>
    <b:SourceType>JournalArticle</b:SourceType>
    <b:Guid>{A5A39026-8381-4246-BC20-AA5E898E44CC}</b:Guid>
    <b:Title>Celebrating a decade of the Crime and Disorder Act? A personal view</b:Title>
    <b:Year>2008</b:Year>
    <b:Author>
      <b:Author>
        <b:NameList>
          <b:Person>
            <b:Last>Gilling</b:Last>
            <b:First>D</b:First>
          </b:Person>
        </b:NameList>
      </b:Author>
    </b:Author>
    <b:JournalName>Safer Communities</b:JournalName>
    <b:Pages>39-45</b:Pages>
    <b:Volume>7</b:Volume>
    <b:Issue>3</b:Issue>
    <b:RefOrder>65</b:RefOrder>
  </b:Source>
  <b:Source>
    <b:Tag>Har18</b:Tag>
    <b:SourceType>JournalArticle</b:SourceType>
    <b:Guid>{3E31694A-8E6D-45D2-9E10-429C7C6A5F9F}</b:Guid>
    <b:Author>
      <b:Author>
        <b:NameList>
          <b:Person>
            <b:Last>Harkin</b:Last>
            <b:First>D</b:First>
          </b:Person>
        </b:NameList>
      </b:Author>
    </b:Author>
    <b:Title>Community Safety Partnerships: the limits and possibilities of 'policing with the community'</b:Title>
    <b:JournalName>Crime Prevention and Community Safety</b:JournalName>
    <b:Year>2018</b:Year>
    <b:Pages>125-136</b:Pages>
    <b:Volume>20</b:Volume>
    <b:Issue>2</b:Issue>
    <b:RefOrder>66</b:RefOrder>
  </b:Source>
  <b:Source>
    <b:Tag>Wel17</b:Tag>
    <b:SourceType>Report</b:SourceType>
    <b:Guid>{CE9D3D5C-07F6-479D-B7AE-13B8BD17A73D}</b:Guid>
    <b:Author>
      <b:Author>
        <b:Corporate>Welsh Government</b:Corporate>
      </b:Author>
    </b:Author>
    <b:Title>Working together for safer communities. A Welsh Government review of community safety partnership working in Wales.</b:Title>
    <b:Year>2017</b:Year>
    <b:City>Cardiff</b:City>
    <b:RefOrder>67</b:RefOrder>
  </b:Source>
  <b:Source>
    <b:Tag>Cha19</b:Tag>
    <b:SourceType>Report</b:SourceType>
    <b:Guid>{4D837D0B-8316-4223-B691-39B18985CF64}</b:Guid>
    <b:Title>Submission to Commision on justice inn Wales</b:Title>
    <b:Year>2019</b:Year>
    <b:Author>
      <b:Author>
        <b:NameList>
          <b:Person>
            <b:Last>Chambers</b:Last>
            <b:First>S</b:First>
          </b:Person>
        </b:NameList>
      </b:Author>
    </b:Author>
    <b:Publisher>Welsh Government</b:Publisher>
    <b:City>Cardiff</b:City>
    <b:RefOrder>68</b:RefOrder>
  </b:Source>
  <b:Source>
    <b:Tag>Mel09</b:Tag>
    <b:SourceType>JournalArticle</b:SourceType>
    <b:Guid>{A9117FBF-48EA-44A9-B18A-1AB4EB027804}</b:Guid>
    <b:Title>A Principles-based Approach to the Barnett Formula</b:Title>
    <b:Year>2009</b:Year>
    <b:Author>
      <b:Author>
        <b:NameList>
          <b:Person>
            <b:Last>Mellett</b:Last>
            <b:First>R</b:First>
          </b:Person>
        </b:NameList>
      </b:Author>
    </b:Author>
    <b:JournalName>The Political Quarterly</b:JournalName>
    <b:Pages>76-83</b:Pages>
    <b:Volume>80</b:Volume>
    <b:Issue>1</b:Issue>
    <b:RefOrder>69</b:RefOrder>
  </b:Source>
  <b:Source>
    <b:Tag>Ble01</b:Tag>
    <b:SourceType>JournalArticle</b:SourceType>
    <b:Guid>{F3B831B7-285C-4670-9C3F-7540B8DB3F1A}</b:Guid>
    <b:Author>
      <b:Author>
        <b:NameList>
          <b:Person>
            <b:Last>Blewitt</b:Last>
            <b:First>N</b:First>
          </b:Person>
          <b:Person>
            <b:Last>Bristow</b:Last>
            <b:First>G</b:First>
          </b:Person>
        </b:NameList>
      </b:Author>
    </b:Author>
    <b:Title>The Structural Funds and additionality in Wales : devolution and multilevel governance</b:Title>
    <b:JournalName>Environmet and Planning: Economy and Space</b:JournalName>
    <b:Year>2001</b:Year>
    <b:Pages>1083-1099</b:Pages>
    <b:Volume>33</b:Volume>
    <b:Issue>6</b:Issue>
    <b:RefOrder>70</b:RefOrder>
  </b:Source>
  <b:Source>
    <b:Tag>Cha17</b:Tag>
    <b:SourceType>Report</b:SourceType>
    <b:Guid>{F8D1C0C1-ABFB-4DA4-8D23-345991379084}</b:Guid>
    <b:Title>The Impact of Police and Crime Commissioners on Community Safety agendas in England and Wales: A comparitice study of South Wales and Avon and Somerset 2012-2016</b:Title>
    <b:Year>2017</b:Year>
    <b:Author>
      <b:Author>
        <b:NameList>
          <b:Person>
            <b:Last>Chambers</b:Last>
            <b:First>S</b:First>
          </b:Person>
        </b:NameList>
      </b:Author>
    </b:Author>
    <b:Publisher>PhD Thesis</b:Publisher>
    <b:City>Cardiff University</b:City>
    <b:RefOrder>71</b:RefOrder>
  </b:Source>
  <b:Source>
    <b:Tag>Rev17</b:Tag>
    <b:SourceType>DocumentFromInternetSite</b:SourceType>
    <b:Guid>{93B523F1-988B-448F-8DC8-4EB68911D795}</b:Guid>
    <b:Author>
      <b:Author>
        <b:Corporate>Revolving Doors</b:Corporate>
      </b:Author>
    </b:Author>
    <b:Title>Under the spotlight: revieing police and crime plans for multiple and complex needs, and transition into adulthood</b:Title>
    <b:Year>2017</b:Year>
    <b:YearAccessed>2021</b:YearAccessed>
    <b:MonthAccessed>January</b:MonthAccessed>
    <b:DayAccessed>2</b:DayAccessed>
    <b:URL>http://www.revolving-doors.org.uk/file/2183/download?token=2cgqdhZt</b:URL>
    <b:RefOrder>72</b:RefOrder>
  </b:Source>
  <b:Source>
    <b:Tag>Tho16</b:Tag>
    <b:SourceType>Report</b:SourceType>
    <b:Guid>{A8FFDB10-2063-4903-9416-452BE8224C82}</b:Guid>
    <b:Title>Community Safety in Wales</b:Title>
    <b:Year>2016</b:Year>
    <b:City>Cardiff</b:City>
    <b:Publisher>Wales Audit Office</b:Publisher>
    <b:Author>
      <b:Author>
        <b:NameList>
          <b:Person>
            <b:Last>Thomas</b:Last>
            <b:First>H</b:First>
          </b:Person>
        </b:NameList>
      </b:Author>
    </b:Author>
    <b:RefOrder>73</b:RefOrder>
  </b:Source>
  <b:Source>
    <b:Tag>Wil14</b:Tag>
    <b:SourceType>Report</b:SourceType>
    <b:Guid>{778805A1-1060-4D90-B9FA-E57470DAEA0F}</b:Guid>
    <b:Title>Commission on Public Service Governance and Delivery</b:Title>
    <b:Year>2014</b:Year>
    <b:Author>
      <b:Author>
        <b:NameList>
          <b:Person>
            <b:Last>Williams</b:Last>
            <b:First>P</b:First>
          </b:Person>
        </b:NameList>
      </b:Author>
    </b:Author>
    <b:Publisher>Crown </b:Publisher>
    <b:City>Cardiff</b:City>
    <b:RefOrder>74</b:RefOrder>
  </b:Source>
  <b:Source>
    <b:Tag>Rog19</b:Tag>
    <b:SourceType>DocumentFromInternetSite</b:SourceType>
    <b:Guid>{03431DFE-47B5-42BA-8A1F-09859DC2BFD7}</b:Guid>
    <b:Title>Working Together for Safer Communities (Community Safety Partnerships) review 2017</b:Title>
    <b:Year>2019</b:Year>
    <b:Author>
      <b:Author>
        <b:NameList>
          <b:Person>
            <b:Last>Rogers</b:Last>
            <b:First>C</b:First>
          </b:Person>
          <b:Person>
            <b:Last>Thomas</b:Last>
            <b:First>G</b:First>
          </b:Person>
        </b:NameList>
      </b:Author>
    </b:Author>
    <b:Month>March</b:Month>
    <b:YearAccessed>2021</b:YearAccessed>
    <b:MonthAccessed>March</b:MonthAccessed>
    <b:DayAccessed>12</b:DayAccessed>
    <b:URL>https://gov.wales/sites/default/files/publications/2019-03/community-safety-review-appendix-vii_0.pdf</b:URL>
    <b:RefOrder>75</b:RefOrder>
  </b:Source>
  <b:Source>
    <b:Tag>Wel13</b:Tag>
    <b:SourceType>Report</b:SourceType>
    <b:Guid>{D3F5E091-E730-4492-926C-DD6BA3512B31}</b:Guid>
    <b:Title>Statutory Guidance for teh Local Government Measure. Section 58 Joint Overview and Scrutiny Committees</b:Title>
    <b:Year>2013</b:Year>
    <b:Author>
      <b:Author>
        <b:Corporate>Welsh Government</b:Corporate>
      </b:Author>
    </b:Author>
    <b:Publisher>Crown</b:Publisher>
    <b:City>Cardiff</b:City>
    <b:RefOrder>76</b:RefOrder>
  </b:Source>
  <b:Source>
    <b:Tag>Dav17</b:Tag>
    <b:SourceType>JournalArticle</b:SourceType>
    <b:Guid>{3E8AB3F5-3E39-4ACF-96A6-D3C673E5F080}</b:Guid>
    <b:Title>The Well-being of Future Generations (Wales) Act 2015—A Step Change in the Legal Protection of the Interests of Future Generations?</b:Title>
    <b:Year>2017</b:Year>
    <b:Author>
      <b:Author>
        <b:NameList>
          <b:Person>
            <b:Last>Davies</b:Last>
            <b:First>H</b:First>
          </b:Person>
        </b:NameList>
      </b:Author>
    </b:Author>
    <b:JournalName>Journal of Environmental law</b:JournalName>
    <b:Pages>165-175</b:Pages>
    <b:Volume>29</b:Volume>
    <b:Issue>1</b:Issue>
    <b:RefOrder>78</b:RefOrder>
  </b:Source>
  <b:Source>
    <b:Tag>Mes20</b:Tag>
    <b:SourceType>JournalArticle</b:SourceType>
    <b:Guid>{4BF53703-072E-46AC-B659-5922E8040654}</b:Guid>
    <b:Author>
      <b:Author>
        <b:NameList>
          <b:Person>
            <b:Last>Messham</b:Last>
            <b:First>E</b:First>
          </b:Person>
          <b:Person>
            <b:Last>Sheard</b:Last>
            <b:First>S</b:First>
          </b:Person>
        </b:NameList>
      </b:Author>
    </b:Author>
    <b:Title>Taking the long view: the development of the Well-being of Future Generations (Wales) Act</b:Title>
    <b:JournalName>Health research policies and systems</b:JournalName>
    <b:Year>2020</b:Year>
    <b:Pages>1-12</b:Pages>
    <b:Volume>18</b:Volume>
    <b:RefOrder>79</b:RefOrder>
  </b:Source>
  <b:Source>
    <b:Tag>Wel15</b:Tag>
    <b:SourceType>Case</b:SourceType>
    <b:Guid>{B72E24F7-3831-42E4-88DF-426AC5F76713}</b:Guid>
    <b:Title>Well-being of Future Generations (Wales) Act</b:Title>
    <b:Year>2015</b:Year>
    <b:Author>
      <b:Author>
        <b:NameList>
          <b:Person>
            <b:Last>Government</b:Last>
            <b:First>Welsh</b:First>
          </b:Person>
        </b:NameList>
      </b:Author>
    </b:Author>
    <b:RefOrder>80</b:RefOrder>
  </b:Source>
  <b:Source>
    <b:Tag>Hug07</b:Tag>
    <b:SourceType>JournalArticle</b:SourceType>
    <b:Guid>{43829CF6-7015-4546-8C94-E1D43E87C47B}</b:Guid>
    <b:Title>Neighbourhood Policing and Community Safety: Researching teh instabilities of the local governance of crime, disorder and security in contemporary UK</b:Title>
    <b:Year>2007</b:Year>
    <b:Author>
      <b:Author>
        <b:NameList>
          <b:Person>
            <b:Last>Hughes</b:Last>
            <b:First>G</b:First>
          </b:Person>
          <b:Person>
            <b:Last>Rowe</b:Last>
            <b:First>M</b:First>
          </b:Person>
        </b:NameList>
      </b:Author>
    </b:Author>
    <b:JournalName>Criminolgy &amp; Criminal Justice</b:JournalName>
    <b:Pages>317-346</b:Pages>
    <b:Volume>7</b:Volume>
    <b:Issue>4</b:Issue>
    <b:RefOrder>81</b:RefOrder>
  </b:Source>
  <b:Source>
    <b:Tag>BBC161</b:Tag>
    <b:SourceType>InternetSite</b:SourceType>
    <b:Guid>{BC3CDB2D-3D1C-4138-81E2-D61FD8F260EE}</b:Guid>
    <b:Author>
      <b:Author>
        <b:Corporate>BBC</b:Corporate>
      </b:Author>
    </b:Author>
    <b:Title>Regional council service plan tricky, Sir Paul Williams says</b:Title>
    <b:Year>2016</b:Year>
    <b:YearAccessed>2021</b:YearAccessed>
    <b:MonthAccessed>March </b:MonthAccessed>
    <b:DayAccessed>6</b:DayAccessed>
    <b:URL>https://www.bbc.co.uk/news/uk-wales-politics-37589288</b:URL>
    <b:RefOrder>82</b:RefOrder>
  </b:Source>
  <b:Source>
    <b:Tag>Vat171</b:Tag>
    <b:SourceType>JournalArticle</b:SourceType>
    <b:Guid>{F06FF48C-1271-41EF-B765-DB96B82AF31A}</b:Guid>
    <b:Author>
      <b:Author>
        <b:NameList>
          <b:Person>
            <b:Last>Vatiero</b:Last>
            <b:First>M</b:First>
          </b:Person>
        </b:NameList>
      </b:Author>
    </b:Author>
    <b:Title>ON THE (POLITICAL) ORIGIN OF ‘CORPORATE GOVERNANCE’ SPECIES</b:Title>
    <b:Year>2017</b:Year>
    <b:JournalName>Journal of Economic Surveys</b:JournalName>
    <b:Pages>393-409</b:Pages>
    <b:Volume>31</b:Volume>
    <b:Issue>2</b:Issue>
    <b:RefOrder>77</b:RefOrder>
  </b:Source>
  <b:Source>
    <b:Tag>Com15</b:Tag>
    <b:SourceType>DocumentFromInternetSite</b:SourceType>
    <b:Guid>{CE8E6158-8D8A-4646-92BD-A91A6AA442F4}</b:Guid>
    <b:Title>The 7 Principles of Public Life</b:Title>
    <b:Year>2015</b:Year>
    <b:Author>
      <b:Author>
        <b:Corporate>Committee on Standards in Public life</b:Corporate>
      </b:Author>
    </b:Author>
    <b:Month>May</b:Month>
    <b:Day>31</b:Day>
    <b:YearAccessed>2021</b:YearAccessed>
    <b:MonthAccessed>February</b:MonthAccessed>
    <b:DayAccessed>19</b:DayAccessed>
    <b:URL>https://www.gov.uk/government/publications/the-7-principles-of-public-life/the-7-principles-of-public-life--2</b:URL>
    <b:RefOrder>11</b:RefOrder>
  </b:Source>
  <b:Source>
    <b:Tag>Oba20</b:Tag>
    <b:SourceType>ElectronicSource</b:SourceType>
    <b:Guid>{A570B3FF-EB70-40B1-B62D-C6EC060F12C4}</b:Guid>
    <b:Title>Highlights from the first Reimagining Policing workshop: Police Accountability and Reforms</b:Title>
    <b:ProductionCompany>Youtube</b:ProductionCompany>
    <b:Author>
      <b:Director>
        <b:NameList>
          <b:Person>
            <b:Last>Foundation</b:Last>
            <b:First>Obama</b:First>
          </b:Person>
        </b:NameList>
      </b:Director>
      <b:Author>
        <b:Corporate>Obama Foundation</b:Corporate>
      </b:Author>
    </b:Author>
    <b:CountryRegion>USA</b:CountryRegion>
    <b:Year>2020</b:Year>
    <b:City>Washington</b:City>
    <b:RefOrder>14</b:RefOrder>
  </b:Source>
  <b:Source>
    <b:Tag>Mag21</b:Tag>
    <b:SourceType>JournalArticle</b:SourceType>
    <b:Guid>{E6510C2F-EDCC-4EEE-B9BA-D311431ED86C}</b:Guid>
    <b:Year>2012</b:Year>
    <b:Author>
      <b:Author>
        <b:NameList>
          <b:Person>
            <b:Last>Maguire</b:Last>
            <b:First>M</b:First>
          </b:Person>
        </b:NameList>
      </b:Author>
    </b:Author>
    <b:Pages>489</b:Pages>
    <b:Title> ‘Response 1: Big Society, the Voluntary Sector and the Marketization of Criminal Justice’. </b:Title>
    <b:JournalName>Criminology and Criminal Justice </b:JournalName>
    <b:Volume>12</b:Volume>
    <b:Issue>5</b:Issue>
    <b:RefOrder>40</b:RefOrder>
  </b:Source>
</b:Sources>
</file>

<file path=customXml/itemProps1.xml><?xml version="1.0" encoding="utf-8"?>
<ds:datastoreItem xmlns:ds="http://schemas.openxmlformats.org/officeDocument/2006/customXml" ds:itemID="{5744E460-AD26-49E0-93FC-709A21341C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TotalTime>
  <Pages>25</Pages>
  <Words>7897</Words>
  <Characters>45013</Characters>
  <Application>Microsoft Office Word</Application>
  <DocSecurity>0</DocSecurity>
  <Lines>375</Lines>
  <Paragraphs>105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52805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Evans,Justin swp930</dc:creator>
  <cp:keywords/>
  <dc:description/>
  <cp:lastModifiedBy>Evans,Justin swp930</cp:lastModifiedBy>
  <cp:revision>31</cp:revision>
  <dcterms:created xsi:type="dcterms:W3CDTF">2021-04-08T08:33:00Z</dcterms:created>
  <dcterms:modified xsi:type="dcterms:W3CDTF">2021-04-08T15:17:00Z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044329a6-ed60-4409-8a06-7d1bf92ca013</vt:lpwstr>
  </property>
</Properties>
</file>