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D47AE" w14:textId="77777777" w:rsidR="0025193B" w:rsidRDefault="0025193B" w:rsidP="0025193B">
      <w:pPr>
        <w:ind w:left="360"/>
        <w:jc w:val="center"/>
        <w:rPr>
          <w:sz w:val="24"/>
          <w:szCs w:val="24"/>
          <w:u w:val="single"/>
        </w:rPr>
      </w:pPr>
      <w:r w:rsidRPr="0025193B">
        <w:rPr>
          <w:sz w:val="24"/>
          <w:szCs w:val="24"/>
          <w:u w:val="single"/>
        </w:rPr>
        <w:t>The mistakes made following World War One were not to be repeated in 1945. Discuss this statement in relation to social policy adopted by the British Government</w:t>
      </w:r>
    </w:p>
    <w:p w14:paraId="43938FD0" w14:textId="77777777" w:rsidR="0025193B" w:rsidRDefault="0025193B" w:rsidP="0025193B">
      <w:pPr>
        <w:ind w:left="360"/>
        <w:jc w:val="center"/>
        <w:rPr>
          <w:sz w:val="24"/>
          <w:szCs w:val="24"/>
          <w:u w:val="single"/>
        </w:rPr>
      </w:pPr>
      <w:r w:rsidRPr="0025193B">
        <w:rPr>
          <w:sz w:val="24"/>
          <w:szCs w:val="24"/>
          <w:u w:val="single"/>
        </w:rPr>
        <w:t xml:space="preserve"> following World War Two.</w:t>
      </w:r>
    </w:p>
    <w:p w14:paraId="0F0101D9" w14:textId="1291D6C3" w:rsidR="0025193B" w:rsidRDefault="0025193B" w:rsidP="0025193B">
      <w:pPr>
        <w:ind w:left="360"/>
        <w:jc w:val="center"/>
        <w:rPr>
          <w:sz w:val="24"/>
          <w:szCs w:val="24"/>
          <w:u w:val="single"/>
        </w:rPr>
      </w:pPr>
      <w:r>
        <w:rPr>
          <w:sz w:val="24"/>
          <w:szCs w:val="24"/>
          <w:u w:val="single"/>
        </w:rPr>
        <w:t>Rosanna Jevon</w:t>
      </w:r>
    </w:p>
    <w:p w14:paraId="7FE8B6FA" w14:textId="77777777" w:rsidR="00A1583D" w:rsidRDefault="00A1583D" w:rsidP="0025193B">
      <w:pPr>
        <w:ind w:left="360"/>
        <w:jc w:val="center"/>
        <w:rPr>
          <w:sz w:val="24"/>
          <w:szCs w:val="24"/>
          <w:u w:val="single"/>
        </w:rPr>
      </w:pPr>
    </w:p>
    <w:p w14:paraId="0A941CAE" w14:textId="19843FA5" w:rsidR="00C31850" w:rsidRDefault="0007177E" w:rsidP="0007177E">
      <w:pPr>
        <w:ind w:left="360"/>
        <w:rPr>
          <w:sz w:val="24"/>
          <w:szCs w:val="24"/>
        </w:rPr>
      </w:pPr>
      <w:r>
        <w:rPr>
          <w:sz w:val="24"/>
          <w:szCs w:val="24"/>
        </w:rPr>
        <w:t xml:space="preserve">The initial part of this essay will ascertain what the mistakes following world war one </w:t>
      </w:r>
      <w:proofErr w:type="gramStart"/>
      <w:r>
        <w:rPr>
          <w:sz w:val="24"/>
          <w:szCs w:val="24"/>
        </w:rPr>
        <w:t>were</w:t>
      </w:r>
      <w:proofErr w:type="gramEnd"/>
      <w:r w:rsidR="004B0317">
        <w:rPr>
          <w:sz w:val="24"/>
          <w:szCs w:val="24"/>
        </w:rPr>
        <w:t>,</w:t>
      </w:r>
      <w:r w:rsidR="004F623E">
        <w:rPr>
          <w:sz w:val="24"/>
          <w:szCs w:val="24"/>
        </w:rPr>
        <w:t xml:space="preserve"> and an analysis of how and why they occurred</w:t>
      </w:r>
      <w:r>
        <w:rPr>
          <w:sz w:val="24"/>
          <w:szCs w:val="24"/>
        </w:rPr>
        <w:t xml:space="preserve">. Following this, the social policy adopted by the British </w:t>
      </w:r>
      <w:r w:rsidR="009B5F56">
        <w:rPr>
          <w:sz w:val="24"/>
          <w:szCs w:val="24"/>
        </w:rPr>
        <w:t>g</w:t>
      </w:r>
      <w:r>
        <w:rPr>
          <w:sz w:val="24"/>
          <w:szCs w:val="24"/>
        </w:rPr>
        <w:t>overnment post world war two will be exami</w:t>
      </w:r>
      <w:r w:rsidR="004F623E">
        <w:rPr>
          <w:sz w:val="24"/>
          <w:szCs w:val="24"/>
        </w:rPr>
        <w:t>ned, and the extent to which the</w:t>
      </w:r>
      <w:r>
        <w:rPr>
          <w:sz w:val="24"/>
          <w:szCs w:val="24"/>
        </w:rPr>
        <w:t xml:space="preserve"> Beveridge report </w:t>
      </w:r>
      <w:r w:rsidR="004F623E">
        <w:rPr>
          <w:sz w:val="24"/>
          <w:szCs w:val="24"/>
        </w:rPr>
        <w:t xml:space="preserve">had on the new social policy will be </w:t>
      </w:r>
      <w:r w:rsidR="002D2BCB">
        <w:rPr>
          <w:sz w:val="24"/>
          <w:szCs w:val="24"/>
        </w:rPr>
        <w:t>addressed</w:t>
      </w:r>
      <w:r w:rsidR="004F623E">
        <w:rPr>
          <w:sz w:val="24"/>
          <w:szCs w:val="24"/>
        </w:rPr>
        <w:t xml:space="preserve">. The focus of this essay will primarily be on the two </w:t>
      </w:r>
      <w:r w:rsidR="00D43278">
        <w:rPr>
          <w:sz w:val="24"/>
          <w:szCs w:val="24"/>
        </w:rPr>
        <w:t>p</w:t>
      </w:r>
      <w:r w:rsidR="004F623E">
        <w:rPr>
          <w:sz w:val="24"/>
          <w:szCs w:val="24"/>
        </w:rPr>
        <w:t xml:space="preserve">rime ministers David Lloyd George for his role as post world war one leader, and Clement Attlee, the </w:t>
      </w:r>
      <w:proofErr w:type="spellStart"/>
      <w:r w:rsidR="004F623E">
        <w:rPr>
          <w:sz w:val="24"/>
          <w:szCs w:val="24"/>
        </w:rPr>
        <w:t>post world</w:t>
      </w:r>
      <w:proofErr w:type="spellEnd"/>
      <w:r w:rsidR="004F623E">
        <w:rPr>
          <w:sz w:val="24"/>
          <w:szCs w:val="24"/>
        </w:rPr>
        <w:t xml:space="preserve"> war two leader. The respective roles these two men played were instrumental in the social reforms of their day and, developing an understanding </w:t>
      </w:r>
      <w:r w:rsidR="00074603">
        <w:rPr>
          <w:sz w:val="24"/>
          <w:szCs w:val="24"/>
        </w:rPr>
        <w:t xml:space="preserve">of </w:t>
      </w:r>
      <w:r w:rsidR="004F623E">
        <w:rPr>
          <w:sz w:val="24"/>
          <w:szCs w:val="24"/>
        </w:rPr>
        <w:t xml:space="preserve">their personalities and political views is fundamental to understanding the social policies that were created by them and their </w:t>
      </w:r>
      <w:r w:rsidR="002D2BCB">
        <w:rPr>
          <w:sz w:val="24"/>
          <w:szCs w:val="24"/>
        </w:rPr>
        <w:t>governments</w:t>
      </w:r>
      <w:r w:rsidR="004F623E">
        <w:rPr>
          <w:sz w:val="24"/>
          <w:szCs w:val="24"/>
        </w:rPr>
        <w:t xml:space="preserve">. Finally, the conclusion of this essay will put </w:t>
      </w:r>
      <w:proofErr w:type="gramStart"/>
      <w:r w:rsidR="004F623E">
        <w:rPr>
          <w:sz w:val="24"/>
          <w:szCs w:val="24"/>
        </w:rPr>
        <w:t>all of</w:t>
      </w:r>
      <w:proofErr w:type="gramEnd"/>
      <w:r w:rsidR="004F623E">
        <w:rPr>
          <w:sz w:val="24"/>
          <w:szCs w:val="24"/>
        </w:rPr>
        <w:t xml:space="preserve"> the information gathered and analysed into perspective and provide a clear judgement on the question posed by this essay. </w:t>
      </w:r>
    </w:p>
    <w:p w14:paraId="3860CAFE" w14:textId="2DACA6B5" w:rsidR="00DC4BDF" w:rsidRDefault="008570CD" w:rsidP="0007177E">
      <w:pPr>
        <w:ind w:left="360"/>
        <w:rPr>
          <w:sz w:val="24"/>
          <w:szCs w:val="24"/>
        </w:rPr>
      </w:pPr>
      <w:r>
        <w:rPr>
          <w:sz w:val="24"/>
          <w:szCs w:val="24"/>
        </w:rPr>
        <w:t xml:space="preserve">At the end of world war one </w:t>
      </w:r>
      <w:r w:rsidR="00A64932">
        <w:rPr>
          <w:sz w:val="24"/>
          <w:szCs w:val="24"/>
        </w:rPr>
        <w:t>David Lloyd George</w:t>
      </w:r>
      <w:r>
        <w:rPr>
          <w:sz w:val="24"/>
          <w:szCs w:val="24"/>
        </w:rPr>
        <w:t xml:space="preserve"> was one of the most famous men in the world and was beloved by most of the British population.</w:t>
      </w:r>
      <w:r w:rsidR="00251F4E">
        <w:rPr>
          <w:rStyle w:val="FootnoteReference"/>
          <w:sz w:val="24"/>
          <w:szCs w:val="24"/>
        </w:rPr>
        <w:footnoteReference w:id="1"/>
      </w:r>
      <w:r>
        <w:rPr>
          <w:sz w:val="24"/>
          <w:szCs w:val="24"/>
        </w:rPr>
        <w:t xml:space="preserve"> He was widely regarded as the man who had won the war and </w:t>
      </w:r>
      <w:r w:rsidR="007A29FE">
        <w:rPr>
          <w:sz w:val="24"/>
          <w:szCs w:val="24"/>
        </w:rPr>
        <w:t>was</w:t>
      </w:r>
      <w:r>
        <w:rPr>
          <w:sz w:val="24"/>
          <w:szCs w:val="24"/>
        </w:rPr>
        <w:t xml:space="preserve"> easily </w:t>
      </w:r>
      <w:r w:rsidR="007A29FE">
        <w:rPr>
          <w:sz w:val="24"/>
          <w:szCs w:val="24"/>
        </w:rPr>
        <w:t>victorious</w:t>
      </w:r>
      <w:r>
        <w:rPr>
          <w:sz w:val="24"/>
          <w:szCs w:val="24"/>
        </w:rPr>
        <w:t xml:space="preserve"> in the so-called ‘coupon’ election of 19</w:t>
      </w:r>
      <w:r w:rsidR="007A29FE">
        <w:rPr>
          <w:sz w:val="24"/>
          <w:szCs w:val="24"/>
        </w:rPr>
        <w:t>18, however</w:t>
      </w:r>
      <w:r w:rsidR="00FA6834">
        <w:rPr>
          <w:sz w:val="24"/>
          <w:szCs w:val="24"/>
        </w:rPr>
        <w:t>;</w:t>
      </w:r>
      <w:r w:rsidR="007A29FE">
        <w:rPr>
          <w:sz w:val="24"/>
          <w:szCs w:val="24"/>
        </w:rPr>
        <w:t xml:space="preserve"> this </w:t>
      </w:r>
      <w:r w:rsidR="004B0317">
        <w:rPr>
          <w:sz w:val="24"/>
          <w:szCs w:val="24"/>
        </w:rPr>
        <w:t xml:space="preserve">victory </w:t>
      </w:r>
      <w:r w:rsidR="007A29FE">
        <w:rPr>
          <w:sz w:val="24"/>
          <w:szCs w:val="24"/>
        </w:rPr>
        <w:t xml:space="preserve">turned out to be the first major mistake to be made by Lloyd George and his government. Firstly, according to Blake, many historians have criticised the </w:t>
      </w:r>
      <w:r w:rsidR="004B0317">
        <w:rPr>
          <w:sz w:val="24"/>
          <w:szCs w:val="24"/>
        </w:rPr>
        <w:t xml:space="preserve">decision to hold a general </w:t>
      </w:r>
      <w:r w:rsidR="007A29FE">
        <w:rPr>
          <w:sz w:val="24"/>
          <w:szCs w:val="24"/>
        </w:rPr>
        <w:t>election so close to the end of the war</w:t>
      </w:r>
      <w:r w:rsidR="004B0317">
        <w:rPr>
          <w:sz w:val="24"/>
          <w:szCs w:val="24"/>
        </w:rPr>
        <w:t>.</w:t>
      </w:r>
      <w:r w:rsidR="007A29FE">
        <w:rPr>
          <w:sz w:val="24"/>
          <w:szCs w:val="24"/>
        </w:rPr>
        <w:t xml:space="preserve"> </w:t>
      </w:r>
      <w:r w:rsidR="004B0317">
        <w:rPr>
          <w:sz w:val="24"/>
          <w:szCs w:val="24"/>
        </w:rPr>
        <w:t>T</w:t>
      </w:r>
      <w:r w:rsidR="007A29FE">
        <w:rPr>
          <w:sz w:val="24"/>
          <w:szCs w:val="24"/>
        </w:rPr>
        <w:t>ensions and feelings were still running high and the election should have been postponed</w:t>
      </w:r>
      <w:r w:rsidR="00FA6834">
        <w:rPr>
          <w:sz w:val="24"/>
          <w:szCs w:val="24"/>
        </w:rPr>
        <w:t>,</w:t>
      </w:r>
      <w:r w:rsidR="007A29FE">
        <w:rPr>
          <w:sz w:val="24"/>
          <w:szCs w:val="24"/>
        </w:rPr>
        <w:t xml:space="preserve"> </w:t>
      </w:r>
      <w:r w:rsidR="00FA6834">
        <w:rPr>
          <w:sz w:val="24"/>
          <w:szCs w:val="24"/>
        </w:rPr>
        <w:t>allowing</w:t>
      </w:r>
      <w:r w:rsidR="007A29FE">
        <w:rPr>
          <w:sz w:val="24"/>
          <w:szCs w:val="24"/>
        </w:rPr>
        <w:t xml:space="preserve"> the British population</w:t>
      </w:r>
      <w:r w:rsidR="00FA6834">
        <w:rPr>
          <w:sz w:val="24"/>
          <w:szCs w:val="24"/>
        </w:rPr>
        <w:t xml:space="preserve"> time</w:t>
      </w:r>
      <w:r w:rsidR="007A29FE">
        <w:rPr>
          <w:sz w:val="24"/>
          <w:szCs w:val="24"/>
        </w:rPr>
        <w:t xml:space="preserve"> to acclimatise to post war life. It has been suggested that it was opportunism on the part of Bonar Law and Lloyd George to dive straight into a general election</w:t>
      </w:r>
      <w:r w:rsidR="004B0317">
        <w:rPr>
          <w:sz w:val="24"/>
          <w:szCs w:val="24"/>
        </w:rPr>
        <w:t>, taking advantage of the immediate aftermath of victory.</w:t>
      </w:r>
      <w:r w:rsidR="00FA6834">
        <w:rPr>
          <w:sz w:val="24"/>
          <w:szCs w:val="24"/>
        </w:rPr>
        <w:t xml:space="preserve"> This argument is countered, however, by the fact that the sitting coalition government had already exceeded its term in office and a postponement of the election may have been construed as a power grab.</w:t>
      </w:r>
      <w:r w:rsidR="007A29FE">
        <w:rPr>
          <w:rStyle w:val="FootnoteReference"/>
          <w:sz w:val="24"/>
          <w:szCs w:val="24"/>
        </w:rPr>
        <w:footnoteReference w:id="2"/>
      </w:r>
      <w:r w:rsidR="00FA6834">
        <w:rPr>
          <w:sz w:val="24"/>
          <w:szCs w:val="24"/>
        </w:rPr>
        <w:t xml:space="preserve"> The next mistake was the nature of the election itself, the government gave out ‘coupons’ to all candidates they approved of, although they were not the only candidates to stand</w:t>
      </w:r>
      <w:r w:rsidR="00DC4BDF">
        <w:rPr>
          <w:sz w:val="24"/>
          <w:szCs w:val="24"/>
        </w:rPr>
        <w:t>. The coalition candidates numbered four hundred and fifty Conservatives and only one hundred and fifty Liberals, although the numbers were skewed in this was because the Liberals simply did not have any more candidates to put forward, it still meant that Lloyd George became a Liberal leader of a largely Conservative party</w:t>
      </w:r>
      <w:r w:rsidR="002D2BCB">
        <w:rPr>
          <w:sz w:val="24"/>
          <w:szCs w:val="24"/>
        </w:rPr>
        <w:t>,</w:t>
      </w:r>
      <w:r w:rsidR="00DC4BDF">
        <w:rPr>
          <w:sz w:val="24"/>
          <w:szCs w:val="24"/>
        </w:rPr>
        <w:t xml:space="preserve"> </w:t>
      </w:r>
      <w:r w:rsidR="002D2BCB">
        <w:rPr>
          <w:sz w:val="24"/>
          <w:szCs w:val="24"/>
        </w:rPr>
        <w:t>which</w:t>
      </w:r>
      <w:r w:rsidR="00DC4BDF">
        <w:rPr>
          <w:sz w:val="24"/>
          <w:szCs w:val="24"/>
        </w:rPr>
        <w:t xml:space="preserve"> jeopardised his plans for social reform.</w:t>
      </w:r>
      <w:r w:rsidR="00DC4BDF">
        <w:rPr>
          <w:rStyle w:val="FootnoteReference"/>
          <w:sz w:val="24"/>
          <w:szCs w:val="24"/>
        </w:rPr>
        <w:footnoteReference w:id="3"/>
      </w:r>
      <w:r w:rsidR="00DC4BDF">
        <w:rPr>
          <w:sz w:val="24"/>
          <w:szCs w:val="24"/>
        </w:rPr>
        <w:t xml:space="preserve"> </w:t>
      </w:r>
    </w:p>
    <w:p w14:paraId="160F294B" w14:textId="13E98D56" w:rsidR="00746CE2" w:rsidRDefault="00DC4BDF" w:rsidP="0007177E">
      <w:pPr>
        <w:ind w:left="360"/>
        <w:rPr>
          <w:sz w:val="24"/>
          <w:szCs w:val="24"/>
        </w:rPr>
      </w:pPr>
      <w:r>
        <w:rPr>
          <w:sz w:val="24"/>
          <w:szCs w:val="24"/>
        </w:rPr>
        <w:lastRenderedPageBreak/>
        <w:t>Another mistake made in the immediate aftermath of the war was the problem of demobilisation. The perfectly logical system had been put in place that, men who were most needed back at home for their skill</w:t>
      </w:r>
      <w:r w:rsidR="009B028F">
        <w:rPr>
          <w:sz w:val="24"/>
          <w:szCs w:val="24"/>
        </w:rPr>
        <w:t>ed labour</w:t>
      </w:r>
      <w:r>
        <w:rPr>
          <w:sz w:val="24"/>
          <w:szCs w:val="24"/>
        </w:rPr>
        <w:t xml:space="preserve"> were to be the first troops pulled out of service. This policy did not take into consideration the fact that the men who were most need at home had, largely been the last to be conscripted and the men wo had been serving for </w:t>
      </w:r>
      <w:r w:rsidR="007E4378">
        <w:rPr>
          <w:sz w:val="24"/>
          <w:szCs w:val="24"/>
        </w:rPr>
        <w:t>the longest</w:t>
      </w:r>
      <w:r>
        <w:rPr>
          <w:sz w:val="24"/>
          <w:szCs w:val="24"/>
        </w:rPr>
        <w:t xml:space="preserve"> felt </w:t>
      </w:r>
      <w:r w:rsidR="007E4378">
        <w:rPr>
          <w:sz w:val="24"/>
          <w:szCs w:val="24"/>
        </w:rPr>
        <w:t>that they should be the first out. Churchill stepped in and implemented a ‘first in, first out’ policy thus preventing anymore anti-government resentments from developing amongst the troops.</w:t>
      </w:r>
      <w:r w:rsidR="007E4378">
        <w:rPr>
          <w:rStyle w:val="FootnoteReference"/>
          <w:sz w:val="24"/>
          <w:szCs w:val="24"/>
        </w:rPr>
        <w:footnoteReference w:id="4"/>
      </w:r>
      <w:r w:rsidR="007E4378">
        <w:rPr>
          <w:sz w:val="24"/>
          <w:szCs w:val="24"/>
        </w:rPr>
        <w:t xml:space="preserve"> </w:t>
      </w:r>
      <w:r w:rsidR="004125BD">
        <w:rPr>
          <w:sz w:val="24"/>
          <w:szCs w:val="24"/>
        </w:rPr>
        <w:t xml:space="preserve">In 1920 Lloyd George embarked on a </w:t>
      </w:r>
      <w:r w:rsidR="00FF7884">
        <w:rPr>
          <w:sz w:val="24"/>
          <w:szCs w:val="24"/>
        </w:rPr>
        <w:t xml:space="preserve">mission of massive social reform, under the Fisher act, education was reformed. </w:t>
      </w:r>
      <w:r w:rsidR="002D2BCB">
        <w:rPr>
          <w:sz w:val="24"/>
          <w:szCs w:val="24"/>
        </w:rPr>
        <w:t>The Addison act</w:t>
      </w:r>
      <w:r w:rsidR="00FF7884">
        <w:rPr>
          <w:sz w:val="24"/>
          <w:szCs w:val="24"/>
        </w:rPr>
        <w:t xml:space="preserve"> saw two hundred thousand houses built between 1919 and 1921, there were also new proposals for health reform</w:t>
      </w:r>
      <w:r w:rsidR="0041529B">
        <w:rPr>
          <w:sz w:val="24"/>
          <w:szCs w:val="24"/>
        </w:rPr>
        <w:t>s</w:t>
      </w:r>
      <w:r w:rsidR="00FF7884">
        <w:rPr>
          <w:sz w:val="24"/>
          <w:szCs w:val="24"/>
        </w:rPr>
        <w:t>, the introduction of unemployment benefit and increased pensions.</w:t>
      </w:r>
      <w:r w:rsidR="00FF7884">
        <w:rPr>
          <w:rStyle w:val="FootnoteReference"/>
          <w:sz w:val="24"/>
          <w:szCs w:val="24"/>
        </w:rPr>
        <w:footnoteReference w:id="5"/>
      </w:r>
      <w:r w:rsidR="00FF7884">
        <w:rPr>
          <w:sz w:val="24"/>
          <w:szCs w:val="24"/>
        </w:rPr>
        <w:t xml:space="preserve"> </w:t>
      </w:r>
      <w:r w:rsidR="0041529B">
        <w:rPr>
          <w:sz w:val="24"/>
          <w:szCs w:val="24"/>
        </w:rPr>
        <w:t>This, unfortunately, was not to last, in 1922 high unemployment levels and inflation caused a committee</w:t>
      </w:r>
      <w:r w:rsidR="00D43278">
        <w:rPr>
          <w:sz w:val="24"/>
          <w:szCs w:val="24"/>
        </w:rPr>
        <w:t>,</w:t>
      </w:r>
      <w:r w:rsidR="0041529B">
        <w:rPr>
          <w:sz w:val="24"/>
          <w:szCs w:val="24"/>
        </w:rPr>
        <w:t xml:space="preserve"> headed by Sir Eric Geddes</w:t>
      </w:r>
      <w:r w:rsidR="00D43278">
        <w:rPr>
          <w:sz w:val="24"/>
          <w:szCs w:val="24"/>
        </w:rPr>
        <w:t>,</w:t>
      </w:r>
      <w:r w:rsidR="000535E0">
        <w:rPr>
          <w:sz w:val="24"/>
          <w:szCs w:val="24"/>
        </w:rPr>
        <w:t xml:space="preserve"> to completely reverse the social reforms as a cost cutting exercise. This policy was known as ‘Geddes Axe’ and left many working class people angry and disillusioned at the sacrifice of their, ‘land fit for heroes’.</w:t>
      </w:r>
      <w:r w:rsidR="000535E0">
        <w:rPr>
          <w:rStyle w:val="FootnoteReference"/>
          <w:sz w:val="24"/>
          <w:szCs w:val="24"/>
        </w:rPr>
        <w:footnoteReference w:id="6"/>
      </w:r>
      <w:r w:rsidR="0041529B">
        <w:rPr>
          <w:sz w:val="24"/>
          <w:szCs w:val="24"/>
        </w:rPr>
        <w:t xml:space="preserve"> </w:t>
      </w:r>
      <w:r w:rsidR="00FF7884">
        <w:rPr>
          <w:sz w:val="24"/>
          <w:szCs w:val="24"/>
        </w:rPr>
        <w:t xml:space="preserve"> </w:t>
      </w:r>
    </w:p>
    <w:p w14:paraId="4F3B1E4E" w14:textId="6143FFA8" w:rsidR="004F25E1" w:rsidRDefault="0025280E" w:rsidP="0007177E">
      <w:pPr>
        <w:ind w:left="360"/>
        <w:rPr>
          <w:sz w:val="24"/>
          <w:szCs w:val="24"/>
        </w:rPr>
      </w:pPr>
      <w:r>
        <w:rPr>
          <w:sz w:val="24"/>
          <w:szCs w:val="24"/>
        </w:rPr>
        <w:t>One of Lloyd George’s biggest mistakes was his dispute with the miners. The miners were resentful of the appalling management style they were forced to endure, they wanted Lloyd George to either demand an increase in wages or nationalise the mines.</w:t>
      </w:r>
      <w:r>
        <w:rPr>
          <w:rStyle w:val="FootnoteReference"/>
          <w:sz w:val="24"/>
          <w:szCs w:val="24"/>
        </w:rPr>
        <w:footnoteReference w:id="7"/>
      </w:r>
      <w:r>
        <w:rPr>
          <w:sz w:val="24"/>
          <w:szCs w:val="24"/>
        </w:rPr>
        <w:t xml:space="preserve"> Lloyd George refused to do either, his personal belief was that nationalisation was a step on the road to communism, which he was determined to avoid.</w:t>
      </w:r>
      <w:r w:rsidR="00AE3EA1">
        <w:rPr>
          <w:sz w:val="24"/>
          <w:szCs w:val="24"/>
        </w:rPr>
        <w:t xml:space="preserve"> On the 15th April 1921, the prime minister’s skill for diplomacy avoided a major strike of transport workers. Although this may have seemed like a victory it only added to the hostile tensions building between the government and the miners, and Lloyd Georges carefully cultivated relationship with the unions</w:t>
      </w:r>
      <w:r w:rsidR="006626EB">
        <w:rPr>
          <w:sz w:val="24"/>
          <w:szCs w:val="24"/>
        </w:rPr>
        <w:t>, with approximately 6,533,000 members,</w:t>
      </w:r>
      <w:r w:rsidR="006626EB">
        <w:rPr>
          <w:rStyle w:val="FootnoteReference"/>
          <w:sz w:val="24"/>
          <w:szCs w:val="24"/>
        </w:rPr>
        <w:footnoteReference w:id="8"/>
      </w:r>
      <w:r w:rsidR="00AE3EA1">
        <w:rPr>
          <w:sz w:val="24"/>
          <w:szCs w:val="24"/>
        </w:rPr>
        <w:t xml:space="preserve"> was destroyed. Due to his stubbornness, the prime minister had lost the support of many </w:t>
      </w:r>
      <w:r w:rsidR="00A71977">
        <w:rPr>
          <w:sz w:val="24"/>
          <w:szCs w:val="24"/>
        </w:rPr>
        <w:t>working-class</w:t>
      </w:r>
      <w:r w:rsidR="00AE3EA1">
        <w:rPr>
          <w:sz w:val="24"/>
          <w:szCs w:val="24"/>
        </w:rPr>
        <w:t xml:space="preserve"> voters and many of his fellow Welsh countrymen.</w:t>
      </w:r>
      <w:r w:rsidR="00AE3EA1">
        <w:rPr>
          <w:rStyle w:val="FootnoteReference"/>
          <w:sz w:val="24"/>
          <w:szCs w:val="24"/>
        </w:rPr>
        <w:footnoteReference w:id="9"/>
      </w:r>
      <w:r w:rsidR="00A71977">
        <w:rPr>
          <w:sz w:val="24"/>
          <w:szCs w:val="24"/>
        </w:rPr>
        <w:t xml:space="preserve"> </w:t>
      </w:r>
    </w:p>
    <w:p w14:paraId="01E0450C" w14:textId="7E435735" w:rsidR="0025280E" w:rsidRDefault="008E6DF8" w:rsidP="0007177E">
      <w:pPr>
        <w:ind w:left="360"/>
        <w:rPr>
          <w:sz w:val="24"/>
          <w:szCs w:val="24"/>
        </w:rPr>
      </w:pPr>
      <w:r>
        <w:rPr>
          <w:sz w:val="24"/>
          <w:szCs w:val="24"/>
        </w:rPr>
        <w:t xml:space="preserve">The Beveridge report was published in 1942 and served to consolidate many of the social reform issues being debated at the time. The main aim of the report was to create a new world, a world that the servicemen and women would think it worthwhile risking their lives for, and that British civilians would endure the hardships of war for. The report provided </w:t>
      </w:r>
      <w:r w:rsidR="00626D94">
        <w:rPr>
          <w:sz w:val="24"/>
          <w:szCs w:val="24"/>
        </w:rPr>
        <w:t>comprehensive guidelines for the reformation of the social system, including pensions, education and health. The publics reaction to the report was extraordinary, pamphlets sold out almost overnight, and although reactions were mixed, understandably many people remained sceptical of such extraordinary ideas, the reception was largely positive.</w:t>
      </w:r>
      <w:r w:rsidR="00D43278">
        <w:rPr>
          <w:sz w:val="24"/>
          <w:szCs w:val="24"/>
        </w:rPr>
        <w:t xml:space="preserve"> Two of the quotes gathered at the time by mass-</w:t>
      </w:r>
      <w:r w:rsidR="00D43278">
        <w:rPr>
          <w:sz w:val="24"/>
          <w:szCs w:val="24"/>
        </w:rPr>
        <w:lastRenderedPageBreak/>
        <w:t>observation,</w:t>
      </w:r>
      <w:r w:rsidR="00626D94">
        <w:rPr>
          <w:sz w:val="24"/>
          <w:szCs w:val="24"/>
        </w:rPr>
        <w:t xml:space="preserve"> ‘It will make the ordinary man think that the country at last has some regard for him as he is supposed to have regard</w:t>
      </w:r>
      <w:r w:rsidR="00AE3EA1">
        <w:rPr>
          <w:sz w:val="24"/>
          <w:szCs w:val="24"/>
        </w:rPr>
        <w:t xml:space="preserve"> </w:t>
      </w:r>
      <w:r w:rsidR="00626D94">
        <w:rPr>
          <w:sz w:val="24"/>
          <w:szCs w:val="24"/>
        </w:rPr>
        <w:t>for the country.’</w:t>
      </w:r>
      <w:r w:rsidR="00626D94">
        <w:rPr>
          <w:rStyle w:val="FootnoteReference"/>
          <w:sz w:val="24"/>
          <w:szCs w:val="24"/>
        </w:rPr>
        <w:footnoteReference w:id="10"/>
      </w:r>
      <w:r w:rsidR="0025280E">
        <w:rPr>
          <w:sz w:val="24"/>
          <w:szCs w:val="24"/>
        </w:rPr>
        <w:t xml:space="preserve"> </w:t>
      </w:r>
      <w:r w:rsidR="000B2998">
        <w:rPr>
          <w:sz w:val="24"/>
          <w:szCs w:val="24"/>
        </w:rPr>
        <w:t>‘It’s a wonderful plan, of course, but I don’t know if it will come to anything. There’s such a lot will stand out against it. Big business and all that.’</w:t>
      </w:r>
      <w:r w:rsidR="000B2998">
        <w:rPr>
          <w:rStyle w:val="FootnoteReference"/>
          <w:sz w:val="24"/>
          <w:szCs w:val="24"/>
        </w:rPr>
        <w:footnoteReference w:id="11"/>
      </w:r>
      <w:r w:rsidR="00C67BFD">
        <w:rPr>
          <w:sz w:val="24"/>
          <w:szCs w:val="24"/>
        </w:rPr>
        <w:t xml:space="preserve"> The reaction of the government was also mixed, the left obviously in favour and Winston Churchills reaction was to disparage and condemn the report. The overall reaction was to accept the report in principle, but not to make any actual commitments to its implementation.</w:t>
      </w:r>
      <w:r w:rsidR="0007048A">
        <w:rPr>
          <w:rStyle w:val="FootnoteReference"/>
          <w:sz w:val="24"/>
          <w:szCs w:val="24"/>
        </w:rPr>
        <w:footnoteReference w:id="12"/>
      </w:r>
    </w:p>
    <w:p w14:paraId="7071EA07" w14:textId="4783C258" w:rsidR="00D02D05" w:rsidRDefault="00D02D05" w:rsidP="0007177E">
      <w:pPr>
        <w:ind w:left="360"/>
        <w:rPr>
          <w:sz w:val="24"/>
          <w:szCs w:val="24"/>
        </w:rPr>
      </w:pPr>
      <w:r>
        <w:rPr>
          <w:sz w:val="24"/>
          <w:szCs w:val="24"/>
        </w:rPr>
        <w:t>On the 25</w:t>
      </w:r>
      <w:r w:rsidRPr="00D02D05">
        <w:rPr>
          <w:sz w:val="24"/>
          <w:szCs w:val="24"/>
          <w:vertAlign w:val="superscript"/>
        </w:rPr>
        <w:t>th</w:t>
      </w:r>
      <w:r>
        <w:rPr>
          <w:sz w:val="24"/>
          <w:szCs w:val="24"/>
        </w:rPr>
        <w:t xml:space="preserve"> July </w:t>
      </w:r>
      <w:r w:rsidR="00E82BCF">
        <w:rPr>
          <w:sz w:val="24"/>
          <w:szCs w:val="24"/>
        </w:rPr>
        <w:t xml:space="preserve">1945 </w:t>
      </w:r>
      <w:r>
        <w:rPr>
          <w:sz w:val="24"/>
          <w:szCs w:val="24"/>
        </w:rPr>
        <w:t xml:space="preserve">Labour won a landslide victory in the general election, it was not expected by anyone that Labour would be </w:t>
      </w:r>
      <w:r w:rsidR="00E55D6C">
        <w:rPr>
          <w:sz w:val="24"/>
          <w:szCs w:val="24"/>
        </w:rPr>
        <w:t>victorious,</w:t>
      </w:r>
      <w:r>
        <w:rPr>
          <w:sz w:val="24"/>
          <w:szCs w:val="24"/>
        </w:rPr>
        <w:t xml:space="preserve"> but the overall Labour majority was nearly 150 after receiving 47.8% of votes</w:t>
      </w:r>
      <w:r w:rsidR="00E55D6C">
        <w:rPr>
          <w:sz w:val="24"/>
          <w:szCs w:val="24"/>
        </w:rPr>
        <w:t>. After accepting the kings invitation to form a government Attlee became the new prime minister of Britain.</w:t>
      </w:r>
      <w:r w:rsidR="00E55D6C">
        <w:rPr>
          <w:rStyle w:val="FootnoteReference"/>
          <w:sz w:val="24"/>
          <w:szCs w:val="24"/>
        </w:rPr>
        <w:footnoteReference w:id="13"/>
      </w:r>
      <w:r w:rsidR="00E55D6C">
        <w:rPr>
          <w:sz w:val="24"/>
          <w:szCs w:val="24"/>
        </w:rPr>
        <w:t xml:space="preserve"> </w:t>
      </w:r>
      <w:r w:rsidR="005E2BDC">
        <w:rPr>
          <w:sz w:val="24"/>
          <w:szCs w:val="24"/>
        </w:rPr>
        <w:t>Attlee began to prove himself immediately, his skill with the orchestration of the nationalisation of the Bank of England secured a symbolic victory for the Labour party. In December Churchills attempt to undermine Attlee’s accomplishments by demanding a vote of censure, backfired spectacularly. The debate in the house of commons between the former and current prime ministers saw Churchills attack on Attlee swiftly and decisively destroyed, not only did Attlee hold his ground against Churchill but according to Callaghan he, ‘cut Churchill down to size.’</w:t>
      </w:r>
      <w:r w:rsidR="005E2BDC">
        <w:rPr>
          <w:rStyle w:val="FootnoteReference"/>
          <w:sz w:val="24"/>
          <w:szCs w:val="24"/>
        </w:rPr>
        <w:footnoteReference w:id="14"/>
      </w:r>
      <w:r w:rsidR="002D2744">
        <w:rPr>
          <w:sz w:val="24"/>
          <w:szCs w:val="24"/>
        </w:rPr>
        <w:t xml:space="preserve"> With Churchill and his Conservatives put firmly in their place</w:t>
      </w:r>
      <w:r w:rsidR="005F5E4D">
        <w:rPr>
          <w:sz w:val="24"/>
          <w:szCs w:val="24"/>
        </w:rPr>
        <w:t>, Attlee and the Labour party set about a period of nationalisation, civil aviation, cable and wireless communications, road and rail transport, electricity and gas, and the mines, were all nationalised within the first twelve months of the Labour administration.</w:t>
      </w:r>
      <w:r w:rsidR="005F5E4D">
        <w:rPr>
          <w:rStyle w:val="FootnoteReference"/>
          <w:sz w:val="24"/>
          <w:szCs w:val="24"/>
        </w:rPr>
        <w:footnoteReference w:id="15"/>
      </w:r>
    </w:p>
    <w:p w14:paraId="24C38B4D" w14:textId="1EEF7F35" w:rsidR="00126AD5" w:rsidRDefault="00126AD5" w:rsidP="0007177E">
      <w:pPr>
        <w:ind w:left="360"/>
        <w:rPr>
          <w:sz w:val="24"/>
          <w:szCs w:val="24"/>
        </w:rPr>
      </w:pPr>
      <w:r>
        <w:rPr>
          <w:sz w:val="24"/>
          <w:szCs w:val="24"/>
        </w:rPr>
        <w:t xml:space="preserve">Further social reforms were not as easy to implement, this was not only because the country was virtually bankrupt but due to manpower shortages </w:t>
      </w:r>
      <w:proofErr w:type="gramStart"/>
      <w:r>
        <w:rPr>
          <w:sz w:val="24"/>
          <w:szCs w:val="24"/>
        </w:rPr>
        <w:t>as a result of</w:t>
      </w:r>
      <w:proofErr w:type="gramEnd"/>
      <w:r>
        <w:rPr>
          <w:sz w:val="24"/>
          <w:szCs w:val="24"/>
        </w:rPr>
        <w:t xml:space="preserve"> the demobilisation process. Although Britain’s demobilisation policy was running smoothly and was more effective than that of any other </w:t>
      </w:r>
      <w:r w:rsidR="00A77704">
        <w:rPr>
          <w:sz w:val="24"/>
          <w:szCs w:val="24"/>
        </w:rPr>
        <w:t>country</w:t>
      </w:r>
      <w:r>
        <w:rPr>
          <w:sz w:val="24"/>
          <w:szCs w:val="24"/>
        </w:rPr>
        <w:t>, the time-consuming process meant a shortage of workers to kickstart the economy and undertake the task of massive home building schemes.</w:t>
      </w:r>
      <w:r>
        <w:rPr>
          <w:rStyle w:val="FootnoteReference"/>
          <w:sz w:val="24"/>
          <w:szCs w:val="24"/>
        </w:rPr>
        <w:footnoteReference w:id="16"/>
      </w:r>
      <w:r>
        <w:rPr>
          <w:sz w:val="24"/>
          <w:szCs w:val="24"/>
        </w:rPr>
        <w:t xml:space="preserve"> </w:t>
      </w:r>
      <w:r w:rsidR="00175D2A">
        <w:rPr>
          <w:sz w:val="24"/>
          <w:szCs w:val="24"/>
        </w:rPr>
        <w:t xml:space="preserve">The problem of </w:t>
      </w:r>
      <w:r w:rsidR="005E3234">
        <w:rPr>
          <w:sz w:val="24"/>
          <w:szCs w:val="24"/>
        </w:rPr>
        <w:t>housing shortages was not an easy one to overcome, the housing minister, Aneurin Bevan, implemented a series of schemes to help alleviate the publics suffering in the immediate aftermath of the war. He banned the turning of private dwellings into offices, de-requisitioned buildings used in the war effort, had unoccupied buildings requisitioned and repa</w:t>
      </w:r>
      <w:r w:rsidR="00B347FF">
        <w:rPr>
          <w:sz w:val="24"/>
          <w:szCs w:val="24"/>
        </w:rPr>
        <w:t>ired, implemented a ‘share your house’ system and</w:t>
      </w:r>
      <w:r w:rsidR="0002688B">
        <w:rPr>
          <w:sz w:val="24"/>
          <w:szCs w:val="24"/>
        </w:rPr>
        <w:t xml:space="preserve"> had a rent act rushed through parliament. All these policies combined provided homes for 116,229 families as a short-term solution before the commencement of permanent house building.</w:t>
      </w:r>
      <w:r w:rsidR="0002688B">
        <w:rPr>
          <w:rStyle w:val="FootnoteReference"/>
          <w:sz w:val="24"/>
          <w:szCs w:val="24"/>
        </w:rPr>
        <w:footnoteReference w:id="17"/>
      </w:r>
      <w:r>
        <w:rPr>
          <w:sz w:val="24"/>
          <w:szCs w:val="24"/>
        </w:rPr>
        <w:t xml:space="preserve"> </w:t>
      </w:r>
      <w:r w:rsidR="00326F4A">
        <w:rPr>
          <w:sz w:val="24"/>
          <w:szCs w:val="24"/>
        </w:rPr>
        <w:t xml:space="preserve">Labours initial target of building </w:t>
      </w:r>
      <w:r w:rsidR="00326F4A">
        <w:rPr>
          <w:sz w:val="24"/>
          <w:szCs w:val="24"/>
        </w:rPr>
        <w:lastRenderedPageBreak/>
        <w:t>750,000 new homes was achieved in 1948 and by the end of the administration 1,500,000 new, pre-fabricated and repaired homes had been constructed.</w:t>
      </w:r>
      <w:r w:rsidR="00326F4A">
        <w:rPr>
          <w:rStyle w:val="FootnoteReference"/>
          <w:sz w:val="24"/>
          <w:szCs w:val="24"/>
        </w:rPr>
        <w:footnoteReference w:id="18"/>
      </w:r>
      <w:r w:rsidR="0059566F">
        <w:rPr>
          <w:sz w:val="24"/>
          <w:szCs w:val="24"/>
        </w:rPr>
        <w:t xml:space="preserve"> Attlee’s largest contribution to </w:t>
      </w:r>
      <w:r w:rsidR="00EA1A9F">
        <w:rPr>
          <w:sz w:val="24"/>
          <w:szCs w:val="24"/>
        </w:rPr>
        <w:t>the social reforms of post-war Britain was the introduction of, ‘the most comprehensive system of social security ever introduced into any country.’</w:t>
      </w:r>
      <w:r w:rsidR="00EA1A9F">
        <w:rPr>
          <w:rStyle w:val="FootnoteReference"/>
          <w:sz w:val="24"/>
          <w:szCs w:val="24"/>
        </w:rPr>
        <w:footnoteReference w:id="19"/>
      </w:r>
      <w:r w:rsidR="00EB2317">
        <w:rPr>
          <w:sz w:val="24"/>
          <w:szCs w:val="24"/>
        </w:rPr>
        <w:t xml:space="preserve"> </w:t>
      </w:r>
      <w:r w:rsidR="004F052E">
        <w:rPr>
          <w:sz w:val="24"/>
          <w:szCs w:val="24"/>
        </w:rPr>
        <w:t>This consisted of National Insurance, National Injuries, National assistance and the National Health Service and was implemented on 5</w:t>
      </w:r>
      <w:r w:rsidR="004F052E" w:rsidRPr="004F052E">
        <w:rPr>
          <w:sz w:val="24"/>
          <w:szCs w:val="24"/>
          <w:vertAlign w:val="superscript"/>
        </w:rPr>
        <w:t>th</w:t>
      </w:r>
      <w:r w:rsidR="004F052E">
        <w:rPr>
          <w:sz w:val="24"/>
          <w:szCs w:val="24"/>
        </w:rPr>
        <w:t xml:space="preserve"> July 1948.</w:t>
      </w:r>
      <w:r w:rsidR="004F052E">
        <w:rPr>
          <w:rStyle w:val="FootnoteReference"/>
          <w:sz w:val="24"/>
          <w:szCs w:val="24"/>
        </w:rPr>
        <w:footnoteReference w:id="20"/>
      </w:r>
      <w:r w:rsidR="004F052E">
        <w:rPr>
          <w:sz w:val="24"/>
          <w:szCs w:val="24"/>
        </w:rPr>
        <w:t xml:space="preserve"> </w:t>
      </w:r>
    </w:p>
    <w:p w14:paraId="363309C5" w14:textId="4A35C9B4" w:rsidR="00EF30FE" w:rsidRDefault="0063159B" w:rsidP="0007177E">
      <w:pPr>
        <w:ind w:left="360"/>
        <w:rPr>
          <w:sz w:val="24"/>
          <w:szCs w:val="24"/>
        </w:rPr>
      </w:pPr>
      <w:r>
        <w:rPr>
          <w:sz w:val="24"/>
          <w:szCs w:val="24"/>
        </w:rPr>
        <w:t xml:space="preserve">It would seem to be a fair </w:t>
      </w:r>
      <w:r w:rsidR="00F6665D">
        <w:rPr>
          <w:sz w:val="24"/>
          <w:szCs w:val="24"/>
        </w:rPr>
        <w:t>statement</w:t>
      </w:r>
      <w:r>
        <w:rPr>
          <w:sz w:val="24"/>
          <w:szCs w:val="24"/>
        </w:rPr>
        <w:t xml:space="preserve"> that, with regards to social reform, the mistakes made after the first world war were not to be repeated after the second. Although this may be true, it does not </w:t>
      </w:r>
      <w:proofErr w:type="gramStart"/>
      <w:r>
        <w:rPr>
          <w:sz w:val="24"/>
          <w:szCs w:val="24"/>
        </w:rPr>
        <w:t>take into account</w:t>
      </w:r>
      <w:proofErr w:type="gramEnd"/>
      <w:r>
        <w:rPr>
          <w:sz w:val="24"/>
          <w:szCs w:val="24"/>
        </w:rPr>
        <w:t xml:space="preserve"> the full context of the situations</w:t>
      </w:r>
      <w:r w:rsidR="00D7686D">
        <w:rPr>
          <w:sz w:val="24"/>
          <w:szCs w:val="24"/>
        </w:rPr>
        <w:t>.</w:t>
      </w:r>
      <w:r>
        <w:rPr>
          <w:sz w:val="24"/>
          <w:szCs w:val="24"/>
        </w:rPr>
        <w:t xml:space="preserve"> </w:t>
      </w:r>
      <w:r w:rsidR="00D7686D">
        <w:rPr>
          <w:sz w:val="24"/>
          <w:szCs w:val="24"/>
        </w:rPr>
        <w:t>Both David Lloyd George and Clement Attlee were committed socialists, determined to bring about massive social reforms that would benefit the nation as a whole; however, they were leaders of very different parties at very different times. T</w:t>
      </w:r>
      <w:r>
        <w:rPr>
          <w:sz w:val="24"/>
          <w:szCs w:val="24"/>
        </w:rPr>
        <w:t xml:space="preserve">he biggest obstacle to Lloyd Georges reforms was the fact that he was leader of a coalition </w:t>
      </w:r>
      <w:r w:rsidR="00D7686D">
        <w:rPr>
          <w:sz w:val="24"/>
          <w:szCs w:val="24"/>
        </w:rPr>
        <w:t>g</w:t>
      </w:r>
      <w:r>
        <w:rPr>
          <w:sz w:val="24"/>
          <w:szCs w:val="24"/>
        </w:rPr>
        <w:t>overnment and therefore faced genuine opposition to his policies, whereas</w:t>
      </w:r>
      <w:r w:rsidR="00BF237A">
        <w:rPr>
          <w:sz w:val="24"/>
          <w:szCs w:val="24"/>
        </w:rPr>
        <w:t>;</w:t>
      </w:r>
      <w:r>
        <w:rPr>
          <w:sz w:val="24"/>
          <w:szCs w:val="24"/>
        </w:rPr>
        <w:t xml:space="preserve"> Attlee had a massive Labour majority to aid him with his reforms and the objections from the Conservatives were little more than irritations.</w:t>
      </w:r>
      <w:r w:rsidR="00901DE4">
        <w:rPr>
          <w:sz w:val="24"/>
          <w:szCs w:val="24"/>
        </w:rPr>
        <w:t xml:space="preserve"> An unforeseen consequence of Lloyd Georges ‘coupon’ election also added to his difficulties, the description of the post-war parliament as, ‘hard faced men who look as if they have done well out of the war’, may not have been entirely fair but it was not too far from the truth. A large proportion of M.P.s had prospered due to war-time profits</w:t>
      </w:r>
      <w:r w:rsidR="009A1DBD">
        <w:rPr>
          <w:sz w:val="24"/>
          <w:szCs w:val="24"/>
        </w:rPr>
        <w:t>,</w:t>
      </w:r>
      <w:r w:rsidR="00901DE4">
        <w:rPr>
          <w:sz w:val="24"/>
          <w:szCs w:val="24"/>
        </w:rPr>
        <w:t xml:space="preserve"> although not</w:t>
      </w:r>
      <w:r w:rsidR="00892688">
        <w:rPr>
          <w:sz w:val="24"/>
          <w:szCs w:val="24"/>
        </w:rPr>
        <w:t xml:space="preserve"> an</w:t>
      </w:r>
      <w:r w:rsidR="00901DE4">
        <w:rPr>
          <w:sz w:val="24"/>
          <w:szCs w:val="24"/>
        </w:rPr>
        <w:t xml:space="preserve"> illegal</w:t>
      </w:r>
      <w:r w:rsidR="00892688">
        <w:rPr>
          <w:sz w:val="24"/>
          <w:szCs w:val="24"/>
        </w:rPr>
        <w:t xml:space="preserve"> practice</w:t>
      </w:r>
      <w:r w:rsidR="00901DE4">
        <w:rPr>
          <w:sz w:val="24"/>
          <w:szCs w:val="24"/>
        </w:rPr>
        <w:t xml:space="preserve"> it was certainly stigmatized and served to reduce public support for the government.</w:t>
      </w:r>
      <w:r w:rsidR="00901DE4">
        <w:rPr>
          <w:rStyle w:val="FootnoteReference"/>
          <w:sz w:val="24"/>
          <w:szCs w:val="24"/>
        </w:rPr>
        <w:footnoteReference w:id="21"/>
      </w:r>
      <w:r w:rsidR="00901DE4">
        <w:rPr>
          <w:sz w:val="24"/>
          <w:szCs w:val="24"/>
        </w:rPr>
        <w:t xml:space="preserve"> </w:t>
      </w:r>
      <w:r w:rsidR="00892688">
        <w:rPr>
          <w:sz w:val="24"/>
          <w:szCs w:val="24"/>
        </w:rPr>
        <w:t xml:space="preserve">This mistake made by the </w:t>
      </w:r>
      <w:proofErr w:type="spellStart"/>
      <w:r w:rsidR="00892688">
        <w:rPr>
          <w:sz w:val="24"/>
          <w:szCs w:val="24"/>
        </w:rPr>
        <w:t>post world</w:t>
      </w:r>
      <w:proofErr w:type="spellEnd"/>
      <w:r w:rsidR="00892688">
        <w:rPr>
          <w:sz w:val="24"/>
          <w:szCs w:val="24"/>
        </w:rPr>
        <w:t xml:space="preserve"> war one government may have been contributed to the massive support for Labour in the 1945 election.</w:t>
      </w:r>
      <w:r w:rsidR="000411E3">
        <w:rPr>
          <w:sz w:val="24"/>
          <w:szCs w:val="24"/>
        </w:rPr>
        <w:t xml:space="preserve"> Of course, Churchill himself inadvertently aided in the demise of his own political party, with his ill-judged ‘Gestapo’ quote made during a radio broadcast. Churchills own doctor wrote how tasteless Churchills anti-socialist rant had been, ‘no-one agreed with the line that Winston had taken. He scoffs at ‘these foolish people’ who want to rebuild the world, but beneath the bluster he is, I believe, less certain about things.’</w:t>
      </w:r>
      <w:r w:rsidR="000411E3">
        <w:rPr>
          <w:rStyle w:val="FootnoteReference"/>
          <w:sz w:val="24"/>
          <w:szCs w:val="24"/>
        </w:rPr>
        <w:footnoteReference w:id="22"/>
      </w:r>
    </w:p>
    <w:p w14:paraId="5148F0B2" w14:textId="47EBBBEC" w:rsidR="002E79C6" w:rsidRDefault="0063159B" w:rsidP="0007177E">
      <w:pPr>
        <w:ind w:left="360"/>
        <w:rPr>
          <w:sz w:val="24"/>
          <w:szCs w:val="24"/>
        </w:rPr>
      </w:pPr>
      <w:r>
        <w:rPr>
          <w:sz w:val="24"/>
          <w:szCs w:val="24"/>
        </w:rPr>
        <w:t xml:space="preserve"> Lloyd Georges attitude towards nationalisation also cannot be attributed entirely to him and his colleagues</w:t>
      </w:r>
      <w:r w:rsidR="00A77704">
        <w:rPr>
          <w:sz w:val="24"/>
          <w:szCs w:val="24"/>
        </w:rPr>
        <w:t>.</w:t>
      </w:r>
      <w:r w:rsidR="00EA581D">
        <w:rPr>
          <w:sz w:val="24"/>
          <w:szCs w:val="24"/>
        </w:rPr>
        <w:t xml:space="preserve"> </w:t>
      </w:r>
      <w:r w:rsidR="00A77704">
        <w:rPr>
          <w:sz w:val="24"/>
          <w:szCs w:val="24"/>
        </w:rPr>
        <w:t>H</w:t>
      </w:r>
      <w:r w:rsidR="00EA581D">
        <w:rPr>
          <w:sz w:val="24"/>
          <w:szCs w:val="24"/>
        </w:rPr>
        <w:t>e faced pressures not only from the public but also members of the old order, who lived in fear of Soviet style revolution and his decision not to engage in a system of nationalisation would have been influenced by these fears.</w:t>
      </w:r>
      <w:r w:rsidR="00EA581D">
        <w:rPr>
          <w:rStyle w:val="FootnoteReference"/>
          <w:sz w:val="24"/>
          <w:szCs w:val="24"/>
        </w:rPr>
        <w:footnoteReference w:id="23"/>
      </w:r>
      <w:r w:rsidR="00EA581D">
        <w:rPr>
          <w:sz w:val="24"/>
          <w:szCs w:val="24"/>
        </w:rPr>
        <w:t xml:space="preserve"> By 1945 people </w:t>
      </w:r>
      <w:r w:rsidR="00DB304E">
        <w:rPr>
          <w:sz w:val="24"/>
          <w:szCs w:val="24"/>
        </w:rPr>
        <w:t>did not share these same fears, or at least not to the same extent. Attlee also had the benefit of the Beveridge report to aid him, in effect half of the work had</w:t>
      </w:r>
      <w:r w:rsidR="00A77704">
        <w:rPr>
          <w:sz w:val="24"/>
          <w:szCs w:val="24"/>
        </w:rPr>
        <w:t xml:space="preserve"> already</w:t>
      </w:r>
      <w:bookmarkStart w:id="10" w:name="_GoBack"/>
      <w:bookmarkEnd w:id="10"/>
      <w:r w:rsidR="00DB304E">
        <w:rPr>
          <w:sz w:val="24"/>
          <w:szCs w:val="24"/>
        </w:rPr>
        <w:t xml:space="preserve"> been done for him, whereas Lloyd George was starting from scratch. </w:t>
      </w:r>
      <w:proofErr w:type="gramStart"/>
      <w:r w:rsidR="00DB304E">
        <w:rPr>
          <w:sz w:val="24"/>
          <w:szCs w:val="24"/>
        </w:rPr>
        <w:t>With this in mind, it</w:t>
      </w:r>
      <w:proofErr w:type="gramEnd"/>
      <w:r w:rsidR="00DB304E">
        <w:rPr>
          <w:sz w:val="24"/>
          <w:szCs w:val="24"/>
        </w:rPr>
        <w:t xml:space="preserve"> would also be fair to argue that Attlee had the benefit of hindsight and was able to learn from Lloyd George’s mistakes. </w:t>
      </w:r>
    </w:p>
    <w:p w14:paraId="660426C8" w14:textId="1E0082C8" w:rsidR="0063159B" w:rsidRDefault="002F681B" w:rsidP="0007177E">
      <w:pPr>
        <w:ind w:left="360"/>
        <w:rPr>
          <w:sz w:val="24"/>
          <w:szCs w:val="24"/>
        </w:rPr>
      </w:pPr>
      <w:r>
        <w:rPr>
          <w:sz w:val="24"/>
          <w:szCs w:val="24"/>
        </w:rPr>
        <w:lastRenderedPageBreak/>
        <w:t xml:space="preserve">Lloyd Georges social reforms were </w:t>
      </w:r>
      <w:r w:rsidR="002E79C6">
        <w:rPr>
          <w:sz w:val="24"/>
          <w:szCs w:val="24"/>
        </w:rPr>
        <w:t xml:space="preserve">reversed </w:t>
      </w:r>
      <w:proofErr w:type="gramStart"/>
      <w:r w:rsidR="002E79C6">
        <w:rPr>
          <w:sz w:val="24"/>
          <w:szCs w:val="24"/>
        </w:rPr>
        <w:t>as a result of</w:t>
      </w:r>
      <w:proofErr w:type="gramEnd"/>
      <w:r w:rsidR="002E79C6">
        <w:rPr>
          <w:sz w:val="24"/>
          <w:szCs w:val="24"/>
        </w:rPr>
        <w:t xml:space="preserve"> massive global recession and although he could not have been accountable for this, Attlee’s social reform policies did rely on the contributions of the nation as a whole and not on external financial influences. </w:t>
      </w:r>
      <w:r w:rsidR="00A1583D">
        <w:rPr>
          <w:sz w:val="24"/>
          <w:szCs w:val="24"/>
        </w:rPr>
        <w:t xml:space="preserve">As Attlee stated, </w:t>
      </w:r>
      <w:r w:rsidR="002E79C6">
        <w:rPr>
          <w:sz w:val="24"/>
          <w:szCs w:val="24"/>
        </w:rPr>
        <w:t>‘</w:t>
      </w:r>
      <w:r w:rsidR="00A1583D">
        <w:rPr>
          <w:sz w:val="24"/>
          <w:szCs w:val="24"/>
        </w:rPr>
        <w:t>a</w:t>
      </w:r>
      <w:r w:rsidR="002E79C6">
        <w:rPr>
          <w:sz w:val="24"/>
          <w:szCs w:val="24"/>
        </w:rPr>
        <w:t xml:space="preserve">ll social services </w:t>
      </w:r>
      <w:proofErr w:type="gramStart"/>
      <w:r w:rsidR="002E79C6">
        <w:rPr>
          <w:sz w:val="24"/>
          <w:szCs w:val="24"/>
        </w:rPr>
        <w:t>have to</w:t>
      </w:r>
      <w:proofErr w:type="gramEnd"/>
      <w:r w:rsidR="002E79C6">
        <w:rPr>
          <w:sz w:val="24"/>
          <w:szCs w:val="24"/>
        </w:rPr>
        <w:t xml:space="preserve"> be paid for, in one way or another from what is produced by the people of Britain. We cannot create a scheme which gives the nation </w:t>
      </w:r>
      <w:proofErr w:type="gramStart"/>
      <w:r w:rsidR="002E79C6">
        <w:rPr>
          <w:sz w:val="24"/>
          <w:szCs w:val="24"/>
        </w:rPr>
        <w:t>as a whole more</w:t>
      </w:r>
      <w:proofErr w:type="gramEnd"/>
      <w:r w:rsidR="002E79C6">
        <w:rPr>
          <w:sz w:val="24"/>
          <w:szCs w:val="24"/>
        </w:rPr>
        <w:t xml:space="preserve"> than we put into it.’</w:t>
      </w:r>
      <w:r w:rsidR="002E79C6">
        <w:rPr>
          <w:rStyle w:val="FootnoteReference"/>
          <w:sz w:val="24"/>
          <w:szCs w:val="24"/>
        </w:rPr>
        <w:footnoteReference w:id="24"/>
      </w:r>
      <w:r w:rsidR="00DB304E">
        <w:rPr>
          <w:sz w:val="24"/>
          <w:szCs w:val="24"/>
        </w:rPr>
        <w:t xml:space="preserve"> </w:t>
      </w:r>
      <w:r w:rsidR="00D7686D">
        <w:rPr>
          <w:sz w:val="24"/>
          <w:szCs w:val="24"/>
        </w:rPr>
        <w:t xml:space="preserve">This foresight on Attlee’s part may have prevented a ‘Geddes axe’ type situation re-occurring. </w:t>
      </w:r>
      <w:r w:rsidR="00A1583D">
        <w:rPr>
          <w:sz w:val="24"/>
          <w:szCs w:val="24"/>
        </w:rPr>
        <w:t xml:space="preserve">The difference between </w:t>
      </w:r>
      <w:r w:rsidR="00DD6212">
        <w:rPr>
          <w:sz w:val="24"/>
          <w:szCs w:val="24"/>
        </w:rPr>
        <w:t>the housing policies after the two wars is also remarkable, post world war one Churchill initiated a house building scheme which, at it’s zenith, produced 350,000 new homes per year. This was a massive achievement the first of it’s kind anywhere in the world; however, this scheme did not take place until fifteen years after the end of the war when private investors became involved as, up until</w:t>
      </w:r>
      <w:r w:rsidR="0063159B">
        <w:rPr>
          <w:sz w:val="24"/>
          <w:szCs w:val="24"/>
        </w:rPr>
        <w:t xml:space="preserve"> </w:t>
      </w:r>
      <w:r w:rsidR="00DD6212">
        <w:rPr>
          <w:sz w:val="24"/>
          <w:szCs w:val="24"/>
        </w:rPr>
        <w:t>1933, house building had not been profitable. Churchill’s homes were almost exclusively to house the middle classes, he certainly made very little effort to alleviate the overcrowding and suffering of the lower classes still, almost exclusively, occupying slums.</w:t>
      </w:r>
      <w:r w:rsidR="00EF4EDE">
        <w:rPr>
          <w:rStyle w:val="FootnoteReference"/>
          <w:sz w:val="24"/>
          <w:szCs w:val="24"/>
        </w:rPr>
        <w:footnoteReference w:id="25"/>
      </w:r>
      <w:r w:rsidR="00DD6212">
        <w:rPr>
          <w:sz w:val="24"/>
          <w:szCs w:val="24"/>
        </w:rPr>
        <w:t xml:space="preserve"> This is in stark contrast to Attlee and Bevans housing policy, which centred around providing every family in Britain their </w:t>
      </w:r>
      <w:r w:rsidR="00E43D3E">
        <w:rPr>
          <w:sz w:val="24"/>
          <w:szCs w:val="24"/>
        </w:rPr>
        <w:t>own separate</w:t>
      </w:r>
      <w:r w:rsidR="00DD6212">
        <w:rPr>
          <w:sz w:val="24"/>
          <w:szCs w:val="24"/>
        </w:rPr>
        <w:t xml:space="preserve"> residence, a</w:t>
      </w:r>
      <w:r w:rsidR="00EF4EDE">
        <w:rPr>
          <w:sz w:val="24"/>
          <w:szCs w:val="24"/>
        </w:rPr>
        <w:t xml:space="preserve"> challenge which they achieved less than four years after the end of the second world war.</w:t>
      </w:r>
    </w:p>
    <w:p w14:paraId="33401084" w14:textId="475AB519" w:rsidR="00F6665D" w:rsidRDefault="00F6665D" w:rsidP="0007177E">
      <w:pPr>
        <w:ind w:left="360"/>
        <w:rPr>
          <w:sz w:val="24"/>
          <w:szCs w:val="24"/>
        </w:rPr>
      </w:pPr>
      <w:r>
        <w:rPr>
          <w:sz w:val="24"/>
          <w:szCs w:val="24"/>
        </w:rPr>
        <w:t xml:space="preserve">In conclusion, this essay has shown that many of the mistakes made with regards to social reforms post world war one </w:t>
      </w:r>
      <w:proofErr w:type="gramStart"/>
      <w:r>
        <w:rPr>
          <w:sz w:val="24"/>
          <w:szCs w:val="24"/>
        </w:rPr>
        <w:t>were</w:t>
      </w:r>
      <w:proofErr w:type="gramEnd"/>
      <w:r>
        <w:rPr>
          <w:sz w:val="24"/>
          <w:szCs w:val="24"/>
        </w:rPr>
        <w:t xml:space="preserve"> not repeated post world war two; however, this essay has also shown that the mistakes made by Lloyd George’s government were, at least in part, responsible for the successes of Attlee’s government.</w:t>
      </w:r>
      <w:r w:rsidR="00E43D3E">
        <w:rPr>
          <w:sz w:val="24"/>
          <w:szCs w:val="24"/>
        </w:rPr>
        <w:t xml:space="preserve"> Attlee had the benefit of hindsight and he was able to learn from Lloyd Georges mistakes, combined these two men are responsible for the welfare state that exists in Britain today. </w:t>
      </w:r>
    </w:p>
    <w:p w14:paraId="4EBA0D45" w14:textId="77777777" w:rsidR="00F6665D" w:rsidRDefault="00F6665D" w:rsidP="0007177E">
      <w:pPr>
        <w:ind w:left="360"/>
        <w:rPr>
          <w:sz w:val="24"/>
          <w:szCs w:val="24"/>
        </w:rPr>
      </w:pPr>
    </w:p>
    <w:p w14:paraId="5722354B" w14:textId="77777777" w:rsidR="0059566F" w:rsidRDefault="0059566F" w:rsidP="0007177E">
      <w:pPr>
        <w:ind w:left="360"/>
        <w:rPr>
          <w:sz w:val="24"/>
          <w:szCs w:val="24"/>
        </w:rPr>
      </w:pPr>
    </w:p>
    <w:p w14:paraId="15C1B664" w14:textId="77777777" w:rsidR="00162B46" w:rsidRDefault="00162B46" w:rsidP="0007177E">
      <w:pPr>
        <w:ind w:left="360"/>
        <w:rPr>
          <w:sz w:val="24"/>
          <w:szCs w:val="24"/>
        </w:rPr>
      </w:pPr>
    </w:p>
    <w:p w14:paraId="3C9BFE8E" w14:textId="77777777" w:rsidR="007D1384" w:rsidRDefault="007D1384" w:rsidP="0007177E">
      <w:pPr>
        <w:ind w:left="360"/>
        <w:rPr>
          <w:sz w:val="24"/>
          <w:szCs w:val="24"/>
        </w:rPr>
      </w:pPr>
    </w:p>
    <w:p w14:paraId="3BA7332F" w14:textId="7AD69B42" w:rsidR="00DC4BDF" w:rsidRDefault="00FF7884" w:rsidP="0007177E">
      <w:pPr>
        <w:ind w:left="360"/>
        <w:rPr>
          <w:sz w:val="24"/>
          <w:szCs w:val="24"/>
        </w:rPr>
      </w:pPr>
      <w:r>
        <w:rPr>
          <w:sz w:val="24"/>
          <w:szCs w:val="24"/>
        </w:rPr>
        <w:t xml:space="preserve">  </w:t>
      </w:r>
    </w:p>
    <w:p w14:paraId="634C8B03" w14:textId="73165AD3" w:rsidR="0007177E" w:rsidRPr="0007177E" w:rsidRDefault="0007177E" w:rsidP="0007177E">
      <w:pPr>
        <w:ind w:left="360"/>
        <w:rPr>
          <w:sz w:val="24"/>
          <w:szCs w:val="24"/>
        </w:rPr>
      </w:pPr>
      <w:r>
        <w:rPr>
          <w:sz w:val="24"/>
          <w:szCs w:val="24"/>
        </w:rPr>
        <w:t xml:space="preserve"> </w:t>
      </w:r>
    </w:p>
    <w:p w14:paraId="5C0BC2BD" w14:textId="77777777" w:rsidR="00A45987" w:rsidRDefault="00A45987" w:rsidP="00B67BD7">
      <w:pPr>
        <w:ind w:left="360"/>
        <w:rPr>
          <w:sz w:val="24"/>
          <w:szCs w:val="24"/>
          <w:u w:val="single"/>
        </w:rPr>
      </w:pPr>
    </w:p>
    <w:p w14:paraId="466E758B" w14:textId="77777777" w:rsidR="00A45987" w:rsidRDefault="00A45987" w:rsidP="00B67BD7">
      <w:pPr>
        <w:ind w:left="360"/>
        <w:rPr>
          <w:sz w:val="24"/>
          <w:szCs w:val="24"/>
          <w:u w:val="single"/>
        </w:rPr>
      </w:pPr>
    </w:p>
    <w:p w14:paraId="1AE8A08C" w14:textId="77777777" w:rsidR="00A45987" w:rsidRDefault="00A45987" w:rsidP="00B67BD7">
      <w:pPr>
        <w:ind w:left="360"/>
        <w:rPr>
          <w:sz w:val="24"/>
          <w:szCs w:val="24"/>
          <w:u w:val="single"/>
        </w:rPr>
      </w:pPr>
    </w:p>
    <w:p w14:paraId="342933D7" w14:textId="77777777" w:rsidR="00A45987" w:rsidRDefault="00A45987" w:rsidP="00B67BD7">
      <w:pPr>
        <w:ind w:left="360"/>
        <w:rPr>
          <w:sz w:val="24"/>
          <w:szCs w:val="24"/>
          <w:u w:val="single"/>
        </w:rPr>
      </w:pPr>
    </w:p>
    <w:p w14:paraId="571BFDC8" w14:textId="77777777" w:rsidR="00D022E9" w:rsidRDefault="00D022E9" w:rsidP="00D022E9">
      <w:pPr>
        <w:rPr>
          <w:sz w:val="24"/>
          <w:szCs w:val="24"/>
          <w:u w:val="single"/>
        </w:rPr>
      </w:pPr>
    </w:p>
    <w:p w14:paraId="26634B66" w14:textId="77777777" w:rsidR="00D022E9" w:rsidRDefault="00D022E9" w:rsidP="00D022E9">
      <w:pPr>
        <w:rPr>
          <w:sz w:val="24"/>
          <w:szCs w:val="24"/>
          <w:u w:val="single"/>
        </w:rPr>
      </w:pPr>
    </w:p>
    <w:p w14:paraId="5E7F7C52" w14:textId="67E3B9FF" w:rsidR="00B67BD7" w:rsidRPr="00A45987" w:rsidRDefault="00A45987" w:rsidP="00D022E9">
      <w:pPr>
        <w:jc w:val="center"/>
        <w:rPr>
          <w:sz w:val="24"/>
          <w:szCs w:val="24"/>
          <w:u w:val="single"/>
        </w:rPr>
      </w:pPr>
      <w:r>
        <w:rPr>
          <w:sz w:val="24"/>
          <w:szCs w:val="24"/>
          <w:u w:val="single"/>
        </w:rPr>
        <w:t>Bibliography</w:t>
      </w:r>
    </w:p>
    <w:p w14:paraId="5BD15192" w14:textId="77777777" w:rsidR="00B67BD7" w:rsidRPr="00B67BD7" w:rsidRDefault="00B67BD7" w:rsidP="00B67BD7">
      <w:pPr>
        <w:ind w:left="360"/>
        <w:rPr>
          <w:sz w:val="24"/>
          <w:szCs w:val="24"/>
        </w:rPr>
      </w:pPr>
      <w:proofErr w:type="spellStart"/>
      <w:r w:rsidRPr="00B67BD7">
        <w:rPr>
          <w:sz w:val="24"/>
          <w:szCs w:val="24"/>
        </w:rPr>
        <w:t>Beloff</w:t>
      </w:r>
      <w:proofErr w:type="spellEnd"/>
      <w:r w:rsidRPr="00B67BD7">
        <w:rPr>
          <w:sz w:val="24"/>
          <w:szCs w:val="24"/>
        </w:rPr>
        <w:t xml:space="preserve">, Max, </w:t>
      </w:r>
      <w:r w:rsidRPr="00B67BD7">
        <w:rPr>
          <w:i/>
          <w:iCs/>
          <w:sz w:val="24"/>
          <w:szCs w:val="24"/>
        </w:rPr>
        <w:t>Wars and Welfare Britain 1914-1945</w:t>
      </w:r>
      <w:r w:rsidRPr="00B67BD7">
        <w:rPr>
          <w:sz w:val="24"/>
          <w:szCs w:val="24"/>
        </w:rPr>
        <w:t xml:space="preserve"> (London: Hodder &amp; Stoughton, 1984) </w:t>
      </w:r>
    </w:p>
    <w:p w14:paraId="6142B2FF" w14:textId="77777777" w:rsidR="00055475" w:rsidRDefault="00B67BD7" w:rsidP="00B67BD7">
      <w:pPr>
        <w:ind w:left="360"/>
        <w:rPr>
          <w:sz w:val="24"/>
          <w:szCs w:val="24"/>
        </w:rPr>
      </w:pPr>
      <w:r w:rsidRPr="00B67BD7">
        <w:rPr>
          <w:sz w:val="24"/>
          <w:szCs w:val="24"/>
        </w:rPr>
        <w:t xml:space="preserve">Blake, Robert, </w:t>
      </w:r>
      <w:r w:rsidRPr="00B67BD7">
        <w:rPr>
          <w:i/>
          <w:iCs/>
          <w:sz w:val="24"/>
          <w:szCs w:val="24"/>
        </w:rPr>
        <w:t>The Unknown Prime Minister</w:t>
      </w:r>
      <w:r w:rsidRPr="00B67BD7">
        <w:rPr>
          <w:sz w:val="24"/>
          <w:szCs w:val="24"/>
        </w:rPr>
        <w:t xml:space="preserve"> (London: Eyre &amp; </w:t>
      </w:r>
      <w:proofErr w:type="spellStart"/>
      <w:r w:rsidRPr="00B67BD7">
        <w:rPr>
          <w:sz w:val="24"/>
          <w:szCs w:val="24"/>
        </w:rPr>
        <w:t>Spottiswoode</w:t>
      </w:r>
      <w:proofErr w:type="spellEnd"/>
      <w:r w:rsidRPr="00B67BD7">
        <w:rPr>
          <w:sz w:val="24"/>
          <w:szCs w:val="24"/>
        </w:rPr>
        <w:t>, 1955)</w:t>
      </w:r>
    </w:p>
    <w:p w14:paraId="08332A94" w14:textId="1332E414" w:rsidR="00B67BD7" w:rsidRPr="00B67BD7" w:rsidRDefault="00055475" w:rsidP="00B67BD7">
      <w:pPr>
        <w:ind w:left="360"/>
        <w:rPr>
          <w:sz w:val="24"/>
          <w:szCs w:val="24"/>
        </w:rPr>
      </w:pPr>
      <w:bookmarkStart w:id="11" w:name="_Hlk513199364"/>
      <w:r>
        <w:rPr>
          <w:sz w:val="24"/>
          <w:szCs w:val="24"/>
        </w:rPr>
        <w:t xml:space="preserve">Brown, Alan, </w:t>
      </w:r>
      <w:r w:rsidR="00B03A27">
        <w:rPr>
          <w:sz w:val="24"/>
          <w:szCs w:val="24"/>
        </w:rPr>
        <w:t xml:space="preserve">(2014), </w:t>
      </w:r>
      <w:r w:rsidR="00B03A27">
        <w:rPr>
          <w:i/>
          <w:sz w:val="24"/>
          <w:szCs w:val="24"/>
        </w:rPr>
        <w:t xml:space="preserve">David Lloyd George: A Biography, </w:t>
      </w:r>
      <w:r w:rsidR="00B03A27">
        <w:rPr>
          <w:sz w:val="24"/>
          <w:szCs w:val="24"/>
        </w:rPr>
        <w:t>Available at:</w:t>
      </w:r>
      <w:r w:rsidR="00B67BD7" w:rsidRPr="00B67BD7">
        <w:rPr>
          <w:sz w:val="24"/>
          <w:szCs w:val="24"/>
        </w:rPr>
        <w:t xml:space="preserve"> </w:t>
      </w:r>
      <w:hyperlink r:id="rId8" w:history="1">
        <w:r w:rsidR="00B03A27" w:rsidRPr="00CA67BD">
          <w:rPr>
            <w:rStyle w:val="Hyperlink"/>
            <w:sz w:val="24"/>
            <w:szCs w:val="24"/>
          </w:rPr>
          <w:t>https://www.youtube.com/watch?v=pguRnH5bt38</w:t>
        </w:r>
      </w:hyperlink>
      <w:r w:rsidR="00B03A27">
        <w:rPr>
          <w:sz w:val="24"/>
          <w:szCs w:val="24"/>
        </w:rPr>
        <w:t xml:space="preserve"> (04/05/18).</w:t>
      </w:r>
    </w:p>
    <w:bookmarkEnd w:id="11"/>
    <w:p w14:paraId="2DF52FC1" w14:textId="77777777" w:rsidR="00B67BD7" w:rsidRPr="00B67BD7" w:rsidRDefault="00B67BD7" w:rsidP="00B67BD7">
      <w:pPr>
        <w:ind w:left="360"/>
        <w:rPr>
          <w:sz w:val="24"/>
          <w:szCs w:val="24"/>
        </w:rPr>
      </w:pPr>
      <w:r w:rsidRPr="00B67BD7">
        <w:rPr>
          <w:sz w:val="24"/>
          <w:szCs w:val="24"/>
        </w:rPr>
        <w:t xml:space="preserve">Foot, Michael, </w:t>
      </w:r>
      <w:r w:rsidRPr="00B67BD7">
        <w:rPr>
          <w:i/>
          <w:iCs/>
          <w:sz w:val="24"/>
          <w:szCs w:val="24"/>
        </w:rPr>
        <w:t>Aneurin Bevan II 1945-1960.</w:t>
      </w:r>
      <w:r w:rsidRPr="00B67BD7">
        <w:rPr>
          <w:sz w:val="24"/>
          <w:szCs w:val="24"/>
        </w:rPr>
        <w:t xml:space="preserve"> (London: Davis-Poynter, 1973) </w:t>
      </w:r>
    </w:p>
    <w:p w14:paraId="3235DD99" w14:textId="77777777" w:rsidR="00B67BD7" w:rsidRPr="00B67BD7" w:rsidRDefault="00B67BD7" w:rsidP="00B67BD7">
      <w:pPr>
        <w:ind w:left="360"/>
        <w:rPr>
          <w:sz w:val="24"/>
          <w:szCs w:val="24"/>
        </w:rPr>
      </w:pPr>
      <w:r w:rsidRPr="00B67BD7">
        <w:rPr>
          <w:sz w:val="24"/>
          <w:szCs w:val="24"/>
        </w:rPr>
        <w:t xml:space="preserve">Harris, Kenneth, </w:t>
      </w:r>
      <w:r w:rsidRPr="00B67BD7">
        <w:rPr>
          <w:i/>
          <w:iCs/>
          <w:sz w:val="24"/>
          <w:szCs w:val="24"/>
        </w:rPr>
        <w:t>Attlee</w:t>
      </w:r>
      <w:r w:rsidRPr="00B67BD7">
        <w:rPr>
          <w:sz w:val="24"/>
          <w:szCs w:val="24"/>
        </w:rPr>
        <w:t xml:space="preserve"> (London: Weidenfeld and Nicholson, 1982) </w:t>
      </w:r>
    </w:p>
    <w:p w14:paraId="5783124B" w14:textId="77777777" w:rsidR="00B67BD7" w:rsidRPr="00B67BD7" w:rsidRDefault="00B67BD7" w:rsidP="00B67BD7">
      <w:pPr>
        <w:ind w:left="360"/>
        <w:rPr>
          <w:sz w:val="24"/>
          <w:szCs w:val="24"/>
        </w:rPr>
      </w:pPr>
      <w:r w:rsidRPr="00B67BD7">
        <w:rPr>
          <w:sz w:val="24"/>
          <w:szCs w:val="24"/>
        </w:rPr>
        <w:t xml:space="preserve">Jeffreys, Kevin, </w:t>
      </w:r>
      <w:r w:rsidRPr="00B67BD7">
        <w:rPr>
          <w:i/>
          <w:iCs/>
          <w:sz w:val="24"/>
          <w:szCs w:val="24"/>
        </w:rPr>
        <w:t>War and Reform British Politics during the Second World War</w:t>
      </w:r>
      <w:r w:rsidRPr="00B67BD7">
        <w:rPr>
          <w:sz w:val="24"/>
          <w:szCs w:val="24"/>
        </w:rPr>
        <w:t xml:space="preserve"> (Manchester: Manchester university press, 1994) </w:t>
      </w:r>
    </w:p>
    <w:p w14:paraId="5A61ADAC" w14:textId="77777777" w:rsidR="00B67BD7" w:rsidRPr="00B67BD7" w:rsidRDefault="00B67BD7" w:rsidP="00B67BD7">
      <w:pPr>
        <w:ind w:left="360"/>
        <w:rPr>
          <w:sz w:val="24"/>
          <w:szCs w:val="24"/>
        </w:rPr>
      </w:pPr>
      <w:r w:rsidRPr="00B67BD7">
        <w:rPr>
          <w:sz w:val="24"/>
          <w:szCs w:val="24"/>
        </w:rPr>
        <w:t xml:space="preserve">Lewis, Jane, 'In Search of Real Equality: Women between the Wars.', in </w:t>
      </w:r>
      <w:r w:rsidRPr="00B67BD7">
        <w:rPr>
          <w:i/>
          <w:iCs/>
          <w:sz w:val="24"/>
          <w:szCs w:val="24"/>
        </w:rPr>
        <w:t>Class, Culture and Social Change.</w:t>
      </w:r>
      <w:r w:rsidRPr="00B67BD7">
        <w:rPr>
          <w:sz w:val="24"/>
          <w:szCs w:val="24"/>
        </w:rPr>
        <w:t xml:space="preserve">, ed. by Frank </w:t>
      </w:r>
      <w:proofErr w:type="spellStart"/>
      <w:r w:rsidRPr="00B67BD7">
        <w:rPr>
          <w:sz w:val="24"/>
          <w:szCs w:val="24"/>
        </w:rPr>
        <w:t>Gloversmith</w:t>
      </w:r>
      <w:proofErr w:type="spellEnd"/>
      <w:r w:rsidRPr="00B67BD7">
        <w:rPr>
          <w:sz w:val="24"/>
          <w:szCs w:val="24"/>
        </w:rPr>
        <w:t xml:space="preserve"> (Sussex: The Harvester Press, 1980), pp. 185 </w:t>
      </w:r>
    </w:p>
    <w:p w14:paraId="705084EF" w14:textId="77777777" w:rsidR="00B67BD7" w:rsidRPr="00B67BD7" w:rsidRDefault="00B67BD7" w:rsidP="00B67BD7">
      <w:pPr>
        <w:ind w:left="360"/>
        <w:rPr>
          <w:sz w:val="24"/>
          <w:szCs w:val="24"/>
        </w:rPr>
      </w:pPr>
      <w:r w:rsidRPr="00B67BD7">
        <w:rPr>
          <w:sz w:val="24"/>
          <w:szCs w:val="24"/>
        </w:rPr>
        <w:t xml:space="preserve">Macmillan, Harold, </w:t>
      </w:r>
      <w:r w:rsidRPr="00B67BD7">
        <w:rPr>
          <w:i/>
          <w:iCs/>
          <w:sz w:val="24"/>
          <w:szCs w:val="24"/>
        </w:rPr>
        <w:t>Winds of Change</w:t>
      </w:r>
      <w:r w:rsidRPr="00B67BD7">
        <w:rPr>
          <w:sz w:val="24"/>
          <w:szCs w:val="24"/>
        </w:rPr>
        <w:t xml:space="preserve"> (London: Macmillan, 1966) </w:t>
      </w:r>
    </w:p>
    <w:p w14:paraId="5C08C2C7" w14:textId="77777777" w:rsidR="00B67BD7" w:rsidRPr="00B67BD7" w:rsidRDefault="00B67BD7" w:rsidP="00B67BD7">
      <w:pPr>
        <w:ind w:left="360"/>
        <w:rPr>
          <w:sz w:val="24"/>
          <w:szCs w:val="24"/>
        </w:rPr>
      </w:pPr>
      <w:r w:rsidRPr="00B67BD7">
        <w:rPr>
          <w:sz w:val="24"/>
          <w:szCs w:val="24"/>
        </w:rPr>
        <w:t xml:space="preserve">Morgan, Kenneth, </w:t>
      </w:r>
      <w:r w:rsidRPr="00B67BD7">
        <w:rPr>
          <w:i/>
          <w:iCs/>
          <w:sz w:val="24"/>
          <w:szCs w:val="24"/>
        </w:rPr>
        <w:t>David Lloyd George 1863-1945</w:t>
      </w:r>
      <w:r w:rsidRPr="00B67BD7">
        <w:rPr>
          <w:sz w:val="24"/>
          <w:szCs w:val="24"/>
        </w:rPr>
        <w:t xml:space="preserve"> (Cardiff: University of Wales Press, 1981) </w:t>
      </w:r>
    </w:p>
    <w:p w14:paraId="4307CC18" w14:textId="1D2D8C9D" w:rsidR="00943A42" w:rsidRDefault="00943A42" w:rsidP="00943A42">
      <w:pPr>
        <w:ind w:left="360"/>
        <w:rPr>
          <w:sz w:val="24"/>
          <w:szCs w:val="24"/>
          <w:u w:val="single"/>
        </w:rPr>
      </w:pPr>
    </w:p>
    <w:sectPr w:rsidR="00943A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3C90F" w14:textId="77777777" w:rsidR="00D749CE" w:rsidRDefault="00D749CE" w:rsidP="007A29FE">
      <w:pPr>
        <w:spacing w:after="0" w:line="240" w:lineRule="auto"/>
      </w:pPr>
      <w:r>
        <w:separator/>
      </w:r>
    </w:p>
  </w:endnote>
  <w:endnote w:type="continuationSeparator" w:id="0">
    <w:p w14:paraId="0058A81C" w14:textId="77777777" w:rsidR="00D749CE" w:rsidRDefault="00D749CE" w:rsidP="007A2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0DD861" w14:textId="77777777" w:rsidR="00D749CE" w:rsidRDefault="00D749CE" w:rsidP="007A29FE">
      <w:pPr>
        <w:spacing w:after="0" w:line="240" w:lineRule="auto"/>
      </w:pPr>
      <w:r>
        <w:separator/>
      </w:r>
    </w:p>
  </w:footnote>
  <w:footnote w:type="continuationSeparator" w:id="0">
    <w:p w14:paraId="447E8646" w14:textId="77777777" w:rsidR="00D749CE" w:rsidRDefault="00D749CE" w:rsidP="007A29FE">
      <w:pPr>
        <w:spacing w:after="0" w:line="240" w:lineRule="auto"/>
      </w:pPr>
      <w:r>
        <w:continuationSeparator/>
      </w:r>
    </w:p>
  </w:footnote>
  <w:footnote w:id="1">
    <w:p w14:paraId="36989891" w14:textId="7838A8F4" w:rsidR="00251F4E" w:rsidRDefault="00251F4E">
      <w:pPr>
        <w:pStyle w:val="FootnoteText"/>
      </w:pPr>
      <w:r>
        <w:rPr>
          <w:rStyle w:val="FootnoteReference"/>
        </w:rPr>
        <w:footnoteRef/>
      </w:r>
      <w:r>
        <w:t xml:space="preserve"> </w:t>
      </w:r>
      <w:r w:rsidR="00B1225F">
        <w:t xml:space="preserve">Alan. </w:t>
      </w:r>
      <w:r w:rsidRPr="00251F4E">
        <w:t>Brown</w:t>
      </w:r>
      <w:r w:rsidR="00B1225F">
        <w:t>,</w:t>
      </w:r>
      <w:r w:rsidRPr="00251F4E">
        <w:t xml:space="preserve"> (2014), </w:t>
      </w:r>
      <w:r w:rsidRPr="00251F4E">
        <w:rPr>
          <w:i/>
        </w:rPr>
        <w:t xml:space="preserve">David Lloyd George: A Biography, </w:t>
      </w:r>
      <w:r w:rsidRPr="00251F4E">
        <w:t xml:space="preserve">Available at: </w:t>
      </w:r>
      <w:hyperlink r:id="rId1" w:history="1">
        <w:r w:rsidRPr="00251F4E">
          <w:rPr>
            <w:rStyle w:val="Hyperlink"/>
          </w:rPr>
          <w:t>https://www.youtube.com/watch?v=pguRnH5bt38</w:t>
        </w:r>
      </w:hyperlink>
      <w:r w:rsidRPr="00251F4E">
        <w:t xml:space="preserve"> (04/05/18).</w:t>
      </w:r>
    </w:p>
  </w:footnote>
  <w:footnote w:id="2">
    <w:p w14:paraId="5BF152D2" w14:textId="504E63BD" w:rsidR="007A29FE" w:rsidRDefault="007A29FE">
      <w:pPr>
        <w:pStyle w:val="FootnoteText"/>
      </w:pPr>
      <w:r>
        <w:rPr>
          <w:rStyle w:val="FootnoteReference"/>
        </w:rPr>
        <w:footnoteRef/>
      </w:r>
      <w:r>
        <w:t xml:space="preserve"> </w:t>
      </w:r>
      <w:r w:rsidR="00FA6834">
        <w:t>R</w:t>
      </w:r>
      <w:r w:rsidR="00B1225F">
        <w:t>obert</w:t>
      </w:r>
      <w:r w:rsidR="00FA6834">
        <w:t xml:space="preserve">. </w:t>
      </w:r>
      <w:r w:rsidRPr="007A29FE">
        <w:t xml:space="preserve">Blake, </w:t>
      </w:r>
      <w:r w:rsidRPr="007A29FE">
        <w:rPr>
          <w:i/>
          <w:iCs/>
        </w:rPr>
        <w:t>The Unknown Prime Minister</w:t>
      </w:r>
      <w:r w:rsidRPr="007A29FE">
        <w:t xml:space="preserve"> (London: Eyre &amp; </w:t>
      </w:r>
      <w:proofErr w:type="spellStart"/>
      <w:r w:rsidRPr="007A29FE">
        <w:t>Spottiswoode</w:t>
      </w:r>
      <w:proofErr w:type="spellEnd"/>
      <w:r w:rsidRPr="007A29FE">
        <w:t>, 1955)</w:t>
      </w:r>
      <w:r w:rsidR="00DC4BDF">
        <w:t>, p</w:t>
      </w:r>
      <w:r w:rsidR="00B1225F">
        <w:t>.</w:t>
      </w:r>
      <w:r>
        <w:t xml:space="preserve"> 390.</w:t>
      </w:r>
    </w:p>
  </w:footnote>
  <w:footnote w:id="3">
    <w:p w14:paraId="5288B42D" w14:textId="3B72FD4A" w:rsidR="00DC4BDF" w:rsidRPr="00DC4BDF" w:rsidRDefault="00DC4BDF" w:rsidP="00DC4BDF">
      <w:pPr>
        <w:pStyle w:val="FootnoteText"/>
      </w:pPr>
      <w:r>
        <w:rPr>
          <w:rStyle w:val="FootnoteReference"/>
        </w:rPr>
        <w:footnoteRef/>
      </w:r>
      <w:r>
        <w:t xml:space="preserve"> </w:t>
      </w:r>
      <w:bookmarkStart w:id="0" w:name="_Hlk513198358"/>
      <w:r w:rsidRPr="00DC4BDF">
        <w:t xml:space="preserve">Blake, </w:t>
      </w:r>
      <w:r w:rsidRPr="00DC4BDF">
        <w:rPr>
          <w:i/>
          <w:iCs/>
        </w:rPr>
        <w:t>The Unknown Prime Minister</w:t>
      </w:r>
      <w:r>
        <w:t>, pp 392-3</w:t>
      </w:r>
      <w:bookmarkEnd w:id="0"/>
      <w:r>
        <w:t>.</w:t>
      </w:r>
      <w:r w:rsidRPr="00DC4BDF">
        <w:t xml:space="preserve"> </w:t>
      </w:r>
    </w:p>
    <w:p w14:paraId="7D62AAF9" w14:textId="16465820" w:rsidR="00DC4BDF" w:rsidRDefault="00DC4BDF">
      <w:pPr>
        <w:pStyle w:val="FootnoteText"/>
      </w:pPr>
    </w:p>
  </w:footnote>
  <w:footnote w:id="4">
    <w:p w14:paraId="6BDD67A1" w14:textId="60032E60" w:rsidR="007E4378" w:rsidRDefault="007E4378">
      <w:pPr>
        <w:pStyle w:val="FootnoteText"/>
      </w:pPr>
      <w:r>
        <w:rPr>
          <w:rStyle w:val="FootnoteReference"/>
        </w:rPr>
        <w:footnoteRef/>
      </w:r>
      <w:r>
        <w:t xml:space="preserve"> Harold. </w:t>
      </w:r>
      <w:r w:rsidRPr="007E4378">
        <w:t xml:space="preserve">Macmillan, </w:t>
      </w:r>
      <w:r w:rsidRPr="007E4378">
        <w:rPr>
          <w:i/>
          <w:iCs/>
        </w:rPr>
        <w:t>Winds of Change</w:t>
      </w:r>
      <w:r w:rsidRPr="007E4378">
        <w:t xml:space="preserve"> (London: Macmillan, 1966)</w:t>
      </w:r>
      <w:r>
        <w:t>, p</w:t>
      </w:r>
      <w:r w:rsidR="00B1225F">
        <w:t>.</w:t>
      </w:r>
      <w:r>
        <w:t>p</w:t>
      </w:r>
      <w:r w:rsidR="00B1225F">
        <w:t>.</w:t>
      </w:r>
      <w:r>
        <w:t xml:space="preserve"> 106-108.</w:t>
      </w:r>
      <w:r w:rsidRPr="007E4378">
        <w:t xml:space="preserve"> </w:t>
      </w:r>
    </w:p>
  </w:footnote>
  <w:footnote w:id="5">
    <w:p w14:paraId="79166774" w14:textId="75170CF0" w:rsidR="00FF7884" w:rsidRDefault="00FF7884">
      <w:pPr>
        <w:pStyle w:val="FootnoteText"/>
      </w:pPr>
      <w:r>
        <w:rPr>
          <w:rStyle w:val="FootnoteReference"/>
        </w:rPr>
        <w:footnoteRef/>
      </w:r>
      <w:r>
        <w:t xml:space="preserve"> Kenneth. </w:t>
      </w:r>
      <w:r w:rsidRPr="00FF7884">
        <w:t xml:space="preserve">Morgan, </w:t>
      </w:r>
      <w:r w:rsidRPr="00FF7884">
        <w:rPr>
          <w:i/>
          <w:iCs/>
        </w:rPr>
        <w:t>David Lloyd George 1863-1945</w:t>
      </w:r>
      <w:r w:rsidRPr="00FF7884">
        <w:t xml:space="preserve"> (Cardiff: University of Wales Press, 1981)</w:t>
      </w:r>
      <w:r>
        <w:t>, p</w:t>
      </w:r>
      <w:r w:rsidR="00B1225F">
        <w:t>.</w:t>
      </w:r>
      <w:r>
        <w:t xml:space="preserve"> 65.</w:t>
      </w:r>
    </w:p>
  </w:footnote>
  <w:footnote w:id="6">
    <w:p w14:paraId="709491C3" w14:textId="10583AE4" w:rsidR="000535E0" w:rsidRDefault="000535E0">
      <w:pPr>
        <w:pStyle w:val="FootnoteText"/>
      </w:pPr>
      <w:r>
        <w:rPr>
          <w:rStyle w:val="FootnoteReference"/>
        </w:rPr>
        <w:footnoteRef/>
      </w:r>
      <w:r>
        <w:t xml:space="preserve"> </w:t>
      </w:r>
      <w:bookmarkStart w:id="1" w:name="_Hlk513022134"/>
      <w:r w:rsidRPr="000535E0">
        <w:t xml:space="preserve">Morgan, </w:t>
      </w:r>
      <w:r w:rsidRPr="000535E0">
        <w:rPr>
          <w:i/>
          <w:iCs/>
        </w:rPr>
        <w:t>David Lloyd George</w:t>
      </w:r>
      <w:r>
        <w:rPr>
          <w:i/>
          <w:iCs/>
        </w:rPr>
        <w:t xml:space="preserve">, </w:t>
      </w:r>
      <w:r>
        <w:rPr>
          <w:iCs/>
        </w:rPr>
        <w:t>p</w:t>
      </w:r>
      <w:r w:rsidR="00B1225F">
        <w:rPr>
          <w:iCs/>
        </w:rPr>
        <w:t>.</w:t>
      </w:r>
      <w:r>
        <w:rPr>
          <w:iCs/>
        </w:rPr>
        <w:t xml:space="preserve"> 69.</w:t>
      </w:r>
    </w:p>
    <w:bookmarkEnd w:id="1"/>
  </w:footnote>
  <w:footnote w:id="7">
    <w:p w14:paraId="39F567E6" w14:textId="23D7FF4B" w:rsidR="0025280E" w:rsidRDefault="0025280E">
      <w:pPr>
        <w:pStyle w:val="FootnoteText"/>
      </w:pPr>
      <w:r>
        <w:rPr>
          <w:rStyle w:val="FootnoteReference"/>
        </w:rPr>
        <w:footnoteRef/>
      </w:r>
      <w:r>
        <w:t xml:space="preserve"> </w:t>
      </w:r>
      <w:r w:rsidRPr="0025280E">
        <w:t xml:space="preserve">Morgan, </w:t>
      </w:r>
      <w:r w:rsidRPr="0025280E">
        <w:rPr>
          <w:i/>
          <w:iCs/>
        </w:rPr>
        <w:t xml:space="preserve">David Lloyd George, </w:t>
      </w:r>
      <w:r w:rsidRPr="0025280E">
        <w:rPr>
          <w:iCs/>
        </w:rPr>
        <w:t>p</w:t>
      </w:r>
      <w:r w:rsidR="00B1225F">
        <w:rPr>
          <w:iCs/>
        </w:rPr>
        <w:t>.</w:t>
      </w:r>
      <w:r w:rsidRPr="0025280E">
        <w:rPr>
          <w:iCs/>
        </w:rPr>
        <w:t xml:space="preserve"> </w:t>
      </w:r>
      <w:r>
        <w:rPr>
          <w:iCs/>
        </w:rPr>
        <w:t>65</w:t>
      </w:r>
      <w:r w:rsidRPr="0025280E">
        <w:rPr>
          <w:iCs/>
        </w:rPr>
        <w:t>.</w:t>
      </w:r>
    </w:p>
  </w:footnote>
  <w:footnote w:id="8">
    <w:p w14:paraId="08B3A8FA" w14:textId="5DFE8A3F" w:rsidR="006626EB" w:rsidRDefault="006626EB">
      <w:pPr>
        <w:pStyle w:val="FootnoteText"/>
      </w:pPr>
      <w:r>
        <w:rPr>
          <w:rStyle w:val="FootnoteReference"/>
        </w:rPr>
        <w:footnoteRef/>
      </w:r>
      <w:r>
        <w:t xml:space="preserve"> </w:t>
      </w:r>
      <w:r w:rsidRPr="006626EB">
        <w:t>Max</w:t>
      </w:r>
      <w:r w:rsidR="00B1225F">
        <w:t>.</w:t>
      </w:r>
      <w:r w:rsidRPr="006626EB">
        <w:t xml:space="preserve"> </w:t>
      </w:r>
      <w:proofErr w:type="spellStart"/>
      <w:r w:rsidRPr="006626EB">
        <w:t>Beloff</w:t>
      </w:r>
      <w:proofErr w:type="spellEnd"/>
      <w:r w:rsidRPr="006626EB">
        <w:t xml:space="preserve">, </w:t>
      </w:r>
      <w:r w:rsidRPr="006626EB">
        <w:rPr>
          <w:i/>
          <w:iCs/>
        </w:rPr>
        <w:t>Wars and Welfare Britain 1914-1945</w:t>
      </w:r>
      <w:r w:rsidRPr="006626EB">
        <w:t xml:space="preserve"> (London: Hodder &amp; Stoughton, 1984),</w:t>
      </w:r>
      <w:r>
        <w:t xml:space="preserve"> p. 65.</w:t>
      </w:r>
    </w:p>
  </w:footnote>
  <w:footnote w:id="9">
    <w:p w14:paraId="11E6FF27" w14:textId="090A85AE" w:rsidR="00AE3EA1" w:rsidRPr="00AE3EA1" w:rsidRDefault="00AE3EA1" w:rsidP="00AE3EA1">
      <w:pPr>
        <w:pStyle w:val="FootnoteText"/>
      </w:pPr>
      <w:r>
        <w:rPr>
          <w:rStyle w:val="FootnoteReference"/>
        </w:rPr>
        <w:footnoteRef/>
      </w:r>
      <w:r>
        <w:t xml:space="preserve"> </w:t>
      </w:r>
      <w:r w:rsidRPr="00AE3EA1">
        <w:t xml:space="preserve">Morgan, </w:t>
      </w:r>
      <w:r w:rsidRPr="00AE3EA1">
        <w:rPr>
          <w:i/>
          <w:iCs/>
        </w:rPr>
        <w:t xml:space="preserve">David Lloyd George, </w:t>
      </w:r>
      <w:r w:rsidRPr="00AE3EA1">
        <w:rPr>
          <w:iCs/>
        </w:rPr>
        <w:t>p</w:t>
      </w:r>
      <w:r w:rsidR="00B1225F">
        <w:rPr>
          <w:iCs/>
        </w:rPr>
        <w:t>.</w:t>
      </w:r>
      <w:r w:rsidRPr="00AE3EA1">
        <w:rPr>
          <w:iCs/>
        </w:rPr>
        <w:t xml:space="preserve"> </w:t>
      </w:r>
      <w:r w:rsidR="009B2D74">
        <w:rPr>
          <w:iCs/>
        </w:rPr>
        <w:t>67</w:t>
      </w:r>
      <w:r w:rsidRPr="00AE3EA1">
        <w:rPr>
          <w:iCs/>
        </w:rPr>
        <w:t>.</w:t>
      </w:r>
    </w:p>
    <w:p w14:paraId="65D73F6D" w14:textId="77777777" w:rsidR="00AE3EA1" w:rsidRPr="00AE3EA1" w:rsidRDefault="00AE3EA1" w:rsidP="00AE3EA1">
      <w:pPr>
        <w:pStyle w:val="FootnoteText"/>
      </w:pPr>
    </w:p>
    <w:p w14:paraId="2CE50B03" w14:textId="727EC674" w:rsidR="00AE3EA1" w:rsidRDefault="00AE3EA1">
      <w:pPr>
        <w:pStyle w:val="FootnoteText"/>
      </w:pPr>
    </w:p>
  </w:footnote>
  <w:footnote w:id="10">
    <w:p w14:paraId="015A7EDB" w14:textId="53A6FA81" w:rsidR="00626D94" w:rsidRDefault="00626D94">
      <w:pPr>
        <w:pStyle w:val="FootnoteText"/>
      </w:pPr>
      <w:r>
        <w:rPr>
          <w:rStyle w:val="FootnoteReference"/>
        </w:rPr>
        <w:footnoteRef/>
      </w:r>
      <w:r>
        <w:t xml:space="preserve"> </w:t>
      </w:r>
      <w:r w:rsidR="000B2998">
        <w:t>Kevin</w:t>
      </w:r>
      <w:r w:rsidR="00B1225F">
        <w:t>.</w:t>
      </w:r>
      <w:r w:rsidR="000B2998">
        <w:t xml:space="preserve"> </w:t>
      </w:r>
      <w:r w:rsidRPr="00626D94">
        <w:t xml:space="preserve">Jeffreys, </w:t>
      </w:r>
      <w:r w:rsidRPr="00626D94">
        <w:rPr>
          <w:i/>
          <w:iCs/>
        </w:rPr>
        <w:t>War and Reform British Politics during the Second World War</w:t>
      </w:r>
      <w:r w:rsidRPr="00626D94">
        <w:t xml:space="preserve"> (Manchester: Manchester university press, 1994)</w:t>
      </w:r>
      <w:r w:rsidR="000B2998">
        <w:t>, p.94.</w:t>
      </w:r>
      <w:r w:rsidRPr="00626D94">
        <w:t xml:space="preserve"> </w:t>
      </w:r>
    </w:p>
  </w:footnote>
  <w:footnote w:id="11">
    <w:p w14:paraId="7FBCD4C9" w14:textId="6F1A9DAF" w:rsidR="000B2998" w:rsidRDefault="000B2998">
      <w:pPr>
        <w:pStyle w:val="FootnoteText"/>
      </w:pPr>
      <w:r>
        <w:rPr>
          <w:rStyle w:val="FootnoteReference"/>
        </w:rPr>
        <w:footnoteRef/>
      </w:r>
      <w:r>
        <w:t xml:space="preserve"> </w:t>
      </w:r>
      <w:bookmarkStart w:id="2" w:name="_Hlk513107390"/>
      <w:r w:rsidRPr="000B2998">
        <w:t xml:space="preserve">Jeffreys, </w:t>
      </w:r>
      <w:r w:rsidRPr="000B2998">
        <w:rPr>
          <w:i/>
          <w:iCs/>
        </w:rPr>
        <w:t>War and Reform</w:t>
      </w:r>
      <w:r>
        <w:rPr>
          <w:i/>
          <w:iCs/>
        </w:rPr>
        <w:t xml:space="preserve">, </w:t>
      </w:r>
      <w:r>
        <w:rPr>
          <w:iCs/>
        </w:rPr>
        <w:t xml:space="preserve">p. </w:t>
      </w:r>
      <w:bookmarkEnd w:id="2"/>
      <w:r>
        <w:rPr>
          <w:iCs/>
        </w:rPr>
        <w:t>95.</w:t>
      </w:r>
      <w:r w:rsidRPr="000B2998">
        <w:t xml:space="preserve"> </w:t>
      </w:r>
    </w:p>
  </w:footnote>
  <w:footnote w:id="12">
    <w:p w14:paraId="2652F037" w14:textId="5C882C5C" w:rsidR="0007048A" w:rsidRDefault="0007048A">
      <w:pPr>
        <w:pStyle w:val="FootnoteText"/>
      </w:pPr>
      <w:r>
        <w:rPr>
          <w:rStyle w:val="FootnoteReference"/>
        </w:rPr>
        <w:footnoteRef/>
      </w:r>
      <w:r>
        <w:t xml:space="preserve"> </w:t>
      </w:r>
      <w:bookmarkStart w:id="3" w:name="_Hlk513197113"/>
      <w:r w:rsidRPr="0007048A">
        <w:t xml:space="preserve">Jeffreys, </w:t>
      </w:r>
      <w:r w:rsidRPr="0007048A">
        <w:rPr>
          <w:i/>
          <w:iCs/>
        </w:rPr>
        <w:t xml:space="preserve">War and Reform, </w:t>
      </w:r>
      <w:r w:rsidRPr="0007048A">
        <w:rPr>
          <w:iCs/>
        </w:rPr>
        <w:t>p.</w:t>
      </w:r>
      <w:r>
        <w:rPr>
          <w:iCs/>
        </w:rPr>
        <w:t xml:space="preserve">p. </w:t>
      </w:r>
      <w:bookmarkEnd w:id="3"/>
      <w:r>
        <w:rPr>
          <w:iCs/>
        </w:rPr>
        <w:t>92-99.</w:t>
      </w:r>
    </w:p>
  </w:footnote>
  <w:footnote w:id="13">
    <w:p w14:paraId="11258B03" w14:textId="3F207749" w:rsidR="00E55D6C" w:rsidRDefault="00E55D6C">
      <w:pPr>
        <w:pStyle w:val="FootnoteText"/>
      </w:pPr>
      <w:r>
        <w:rPr>
          <w:rStyle w:val="FootnoteReference"/>
        </w:rPr>
        <w:footnoteRef/>
      </w:r>
      <w:r>
        <w:t xml:space="preserve"> Kenneth</w:t>
      </w:r>
      <w:r w:rsidR="00A45987">
        <w:t>.</w:t>
      </w:r>
      <w:r>
        <w:t xml:space="preserve"> </w:t>
      </w:r>
      <w:r w:rsidRPr="00E55D6C">
        <w:t xml:space="preserve">Harris, </w:t>
      </w:r>
      <w:r w:rsidRPr="00E55D6C">
        <w:rPr>
          <w:i/>
          <w:iCs/>
        </w:rPr>
        <w:t>Attlee</w:t>
      </w:r>
      <w:r w:rsidRPr="00E55D6C">
        <w:t xml:space="preserve"> (London: Weidenfeld and Nicholson, 1982)</w:t>
      </w:r>
      <w:r>
        <w:t>, p. 262.</w:t>
      </w:r>
      <w:r w:rsidRPr="00E55D6C">
        <w:t xml:space="preserve"> </w:t>
      </w:r>
    </w:p>
  </w:footnote>
  <w:footnote w:id="14">
    <w:p w14:paraId="2833FB1A" w14:textId="0AFD2AE2" w:rsidR="005E2BDC" w:rsidRDefault="005E2BDC">
      <w:pPr>
        <w:pStyle w:val="FootnoteText"/>
      </w:pPr>
      <w:r>
        <w:rPr>
          <w:rStyle w:val="FootnoteReference"/>
        </w:rPr>
        <w:footnoteRef/>
      </w:r>
      <w:r>
        <w:t xml:space="preserve"> </w:t>
      </w:r>
      <w:bookmarkStart w:id="4" w:name="_Hlk513109461"/>
      <w:r w:rsidRPr="005E2BDC">
        <w:t xml:space="preserve">Harris, </w:t>
      </w:r>
      <w:r w:rsidRPr="005E2BDC">
        <w:rPr>
          <w:i/>
          <w:iCs/>
        </w:rPr>
        <w:t>Attlee</w:t>
      </w:r>
      <w:r>
        <w:t xml:space="preserve">, p.p. </w:t>
      </w:r>
      <w:bookmarkEnd w:id="4"/>
      <w:r>
        <w:t>317-320.</w:t>
      </w:r>
      <w:r w:rsidRPr="005E2BDC">
        <w:t xml:space="preserve"> </w:t>
      </w:r>
    </w:p>
  </w:footnote>
  <w:footnote w:id="15">
    <w:p w14:paraId="239B526D" w14:textId="5A3B0972" w:rsidR="005F5E4D" w:rsidRDefault="005F5E4D">
      <w:pPr>
        <w:pStyle w:val="FootnoteText"/>
      </w:pPr>
      <w:r>
        <w:rPr>
          <w:rStyle w:val="FootnoteReference"/>
        </w:rPr>
        <w:footnoteRef/>
      </w:r>
      <w:r>
        <w:t xml:space="preserve"> </w:t>
      </w:r>
      <w:r w:rsidRPr="005F5E4D">
        <w:t xml:space="preserve">Harris, </w:t>
      </w:r>
      <w:r w:rsidRPr="005F5E4D">
        <w:rPr>
          <w:i/>
          <w:iCs/>
        </w:rPr>
        <w:t>Attlee</w:t>
      </w:r>
      <w:r w:rsidRPr="005F5E4D">
        <w:t>, p.p.</w:t>
      </w:r>
      <w:r>
        <w:t xml:space="preserve"> 320-321.</w:t>
      </w:r>
    </w:p>
  </w:footnote>
  <w:footnote w:id="16">
    <w:p w14:paraId="61FD85B6" w14:textId="2CE1F5AC" w:rsidR="00126AD5" w:rsidRDefault="00126AD5">
      <w:pPr>
        <w:pStyle w:val="FootnoteText"/>
      </w:pPr>
      <w:r>
        <w:rPr>
          <w:rStyle w:val="FootnoteReference"/>
        </w:rPr>
        <w:footnoteRef/>
      </w:r>
      <w:r>
        <w:t xml:space="preserve"> </w:t>
      </w:r>
      <w:bookmarkStart w:id="5" w:name="_Hlk513113270"/>
      <w:r w:rsidRPr="00126AD5">
        <w:t xml:space="preserve">Harris, </w:t>
      </w:r>
      <w:r w:rsidRPr="00126AD5">
        <w:rPr>
          <w:i/>
          <w:iCs/>
        </w:rPr>
        <w:t>Attlee</w:t>
      </w:r>
      <w:r w:rsidRPr="00126AD5">
        <w:t>, p</w:t>
      </w:r>
      <w:bookmarkEnd w:id="5"/>
      <w:r w:rsidRPr="00126AD5">
        <w:t>.p.</w:t>
      </w:r>
      <w:r>
        <w:t xml:space="preserve"> 322-333.</w:t>
      </w:r>
    </w:p>
  </w:footnote>
  <w:footnote w:id="17">
    <w:p w14:paraId="7C8E3377" w14:textId="4AA65C85" w:rsidR="0002688B" w:rsidRPr="0002688B" w:rsidRDefault="0002688B" w:rsidP="0002688B">
      <w:pPr>
        <w:pStyle w:val="FootnoteText"/>
      </w:pPr>
      <w:r>
        <w:rPr>
          <w:rStyle w:val="FootnoteReference"/>
        </w:rPr>
        <w:footnoteRef/>
      </w:r>
      <w:r>
        <w:t xml:space="preserve"> Michael</w:t>
      </w:r>
      <w:r w:rsidR="00A45987">
        <w:t>.</w:t>
      </w:r>
      <w:r>
        <w:t xml:space="preserve"> </w:t>
      </w:r>
      <w:r w:rsidRPr="0002688B">
        <w:t xml:space="preserve">Foot, </w:t>
      </w:r>
      <w:r w:rsidRPr="0002688B">
        <w:rPr>
          <w:i/>
          <w:iCs/>
        </w:rPr>
        <w:t>Aneurin Bevan II 1945-1960.</w:t>
      </w:r>
      <w:r w:rsidRPr="0002688B">
        <w:t xml:space="preserve"> (London: Davis-Poynter, 1973)</w:t>
      </w:r>
      <w:r>
        <w:t>, p.p. 68-69.</w:t>
      </w:r>
      <w:r w:rsidRPr="0002688B">
        <w:t xml:space="preserve"> </w:t>
      </w:r>
    </w:p>
    <w:p w14:paraId="74661115" w14:textId="4374E456" w:rsidR="0002688B" w:rsidRDefault="0002688B">
      <w:pPr>
        <w:pStyle w:val="FootnoteText"/>
      </w:pPr>
    </w:p>
  </w:footnote>
  <w:footnote w:id="18">
    <w:p w14:paraId="154C97F6" w14:textId="68D8C7CB" w:rsidR="00326F4A" w:rsidRDefault="00326F4A">
      <w:pPr>
        <w:pStyle w:val="FootnoteText"/>
      </w:pPr>
      <w:r>
        <w:rPr>
          <w:rStyle w:val="FootnoteReference"/>
        </w:rPr>
        <w:footnoteRef/>
      </w:r>
      <w:r>
        <w:t xml:space="preserve"> </w:t>
      </w:r>
      <w:bookmarkStart w:id="6" w:name="_Hlk513117237"/>
      <w:r w:rsidRPr="00326F4A">
        <w:t xml:space="preserve">Foot, </w:t>
      </w:r>
      <w:r w:rsidRPr="00326F4A">
        <w:rPr>
          <w:i/>
          <w:iCs/>
        </w:rPr>
        <w:t>Aneurin Bevan</w:t>
      </w:r>
      <w:r>
        <w:rPr>
          <w:i/>
          <w:iCs/>
        </w:rPr>
        <w:t xml:space="preserve">, </w:t>
      </w:r>
      <w:r>
        <w:rPr>
          <w:iCs/>
        </w:rPr>
        <w:t xml:space="preserve">p. </w:t>
      </w:r>
      <w:bookmarkEnd w:id="6"/>
      <w:r>
        <w:rPr>
          <w:iCs/>
        </w:rPr>
        <w:t>86.</w:t>
      </w:r>
      <w:r w:rsidRPr="00326F4A">
        <w:t xml:space="preserve"> </w:t>
      </w:r>
    </w:p>
  </w:footnote>
  <w:footnote w:id="19">
    <w:p w14:paraId="5CD8B419" w14:textId="12BFF2F8" w:rsidR="00EA1A9F" w:rsidRDefault="00EA1A9F">
      <w:pPr>
        <w:pStyle w:val="FootnoteText"/>
      </w:pPr>
      <w:r>
        <w:rPr>
          <w:rStyle w:val="FootnoteReference"/>
        </w:rPr>
        <w:footnoteRef/>
      </w:r>
      <w:r>
        <w:t xml:space="preserve"> </w:t>
      </w:r>
      <w:bookmarkStart w:id="7" w:name="_Hlk513114076"/>
      <w:r w:rsidRPr="00EA1A9F">
        <w:t xml:space="preserve">Harris, </w:t>
      </w:r>
      <w:r w:rsidRPr="00EA1A9F">
        <w:rPr>
          <w:i/>
          <w:iCs/>
        </w:rPr>
        <w:t>Attlee</w:t>
      </w:r>
      <w:r w:rsidRPr="00EA1A9F">
        <w:t>, p</w:t>
      </w:r>
      <w:r>
        <w:t>. 423.</w:t>
      </w:r>
      <w:bookmarkEnd w:id="7"/>
    </w:p>
  </w:footnote>
  <w:footnote w:id="20">
    <w:p w14:paraId="01E93BFA" w14:textId="50EA0F11" w:rsidR="004F052E" w:rsidRDefault="004F052E">
      <w:pPr>
        <w:pStyle w:val="FootnoteText"/>
      </w:pPr>
      <w:r>
        <w:rPr>
          <w:rStyle w:val="FootnoteReference"/>
        </w:rPr>
        <w:footnoteRef/>
      </w:r>
      <w:r>
        <w:t xml:space="preserve"> </w:t>
      </w:r>
      <w:bookmarkStart w:id="8" w:name="_Hlk513116282"/>
      <w:r w:rsidRPr="004F052E">
        <w:t xml:space="preserve">Harris, </w:t>
      </w:r>
      <w:r w:rsidRPr="004F052E">
        <w:rPr>
          <w:i/>
          <w:iCs/>
        </w:rPr>
        <w:t>Attlee</w:t>
      </w:r>
      <w:r w:rsidRPr="004F052E">
        <w:t xml:space="preserve">, p. </w:t>
      </w:r>
      <w:bookmarkEnd w:id="8"/>
      <w:r w:rsidRPr="004F052E">
        <w:t>423.</w:t>
      </w:r>
    </w:p>
  </w:footnote>
  <w:footnote w:id="21">
    <w:p w14:paraId="77BC2E2F" w14:textId="501ED82B" w:rsidR="00901DE4" w:rsidRDefault="00901DE4">
      <w:pPr>
        <w:pStyle w:val="FootnoteText"/>
      </w:pPr>
      <w:r>
        <w:rPr>
          <w:rStyle w:val="FootnoteReference"/>
        </w:rPr>
        <w:footnoteRef/>
      </w:r>
      <w:r>
        <w:t xml:space="preserve"> </w:t>
      </w:r>
      <w:r w:rsidRPr="00901DE4">
        <w:t xml:space="preserve">Blake, </w:t>
      </w:r>
      <w:r w:rsidRPr="00901DE4">
        <w:rPr>
          <w:i/>
          <w:iCs/>
        </w:rPr>
        <w:t>The Unknown Prime Minister</w:t>
      </w:r>
      <w:r w:rsidRPr="00901DE4">
        <w:t>, p</w:t>
      </w:r>
      <w:r>
        <w:t>. 412.</w:t>
      </w:r>
    </w:p>
  </w:footnote>
  <w:footnote w:id="22">
    <w:p w14:paraId="06DCF35A" w14:textId="04C8D138" w:rsidR="000411E3" w:rsidRDefault="000411E3">
      <w:pPr>
        <w:pStyle w:val="FootnoteText"/>
      </w:pPr>
      <w:r>
        <w:rPr>
          <w:rStyle w:val="FootnoteReference"/>
        </w:rPr>
        <w:footnoteRef/>
      </w:r>
      <w:r>
        <w:t xml:space="preserve"> </w:t>
      </w:r>
      <w:r w:rsidRPr="000411E3">
        <w:t xml:space="preserve">Jeffreys, </w:t>
      </w:r>
      <w:r w:rsidRPr="000411E3">
        <w:rPr>
          <w:i/>
          <w:iCs/>
        </w:rPr>
        <w:t xml:space="preserve">War and Reform, </w:t>
      </w:r>
      <w:r w:rsidRPr="000411E3">
        <w:rPr>
          <w:iCs/>
        </w:rPr>
        <w:t>p.p.</w:t>
      </w:r>
      <w:r>
        <w:rPr>
          <w:iCs/>
        </w:rPr>
        <w:t xml:space="preserve"> 141-142.</w:t>
      </w:r>
    </w:p>
  </w:footnote>
  <w:footnote w:id="23">
    <w:p w14:paraId="5A667E4D" w14:textId="32706946" w:rsidR="00EA581D" w:rsidRDefault="00EA581D">
      <w:pPr>
        <w:pStyle w:val="FootnoteText"/>
      </w:pPr>
      <w:r>
        <w:rPr>
          <w:rStyle w:val="FootnoteReference"/>
        </w:rPr>
        <w:footnoteRef/>
      </w:r>
      <w:r>
        <w:t xml:space="preserve"> </w:t>
      </w:r>
      <w:bookmarkStart w:id="9" w:name="_Hlk513199912"/>
      <w:proofErr w:type="spellStart"/>
      <w:r w:rsidRPr="00EA581D">
        <w:t>Beloff</w:t>
      </w:r>
      <w:proofErr w:type="spellEnd"/>
      <w:r w:rsidRPr="00EA581D">
        <w:t xml:space="preserve">, </w:t>
      </w:r>
      <w:r w:rsidRPr="00EA581D">
        <w:rPr>
          <w:i/>
          <w:iCs/>
        </w:rPr>
        <w:t>Wars and Welfare</w:t>
      </w:r>
      <w:r>
        <w:t xml:space="preserve"> </w:t>
      </w:r>
      <w:bookmarkEnd w:id="9"/>
      <w:r>
        <w:t>p. 59.</w:t>
      </w:r>
      <w:r w:rsidRPr="00EA581D">
        <w:t xml:space="preserve"> </w:t>
      </w:r>
    </w:p>
  </w:footnote>
  <w:footnote w:id="24">
    <w:p w14:paraId="7981F25C" w14:textId="51EAAB8C" w:rsidR="002E79C6" w:rsidRDefault="002E79C6">
      <w:pPr>
        <w:pStyle w:val="FootnoteText"/>
      </w:pPr>
      <w:r>
        <w:rPr>
          <w:rStyle w:val="FootnoteReference"/>
        </w:rPr>
        <w:footnoteRef/>
      </w:r>
      <w:r>
        <w:t xml:space="preserve"> </w:t>
      </w:r>
      <w:r w:rsidRPr="002E79C6">
        <w:t xml:space="preserve">Harris, </w:t>
      </w:r>
      <w:r w:rsidRPr="002E79C6">
        <w:rPr>
          <w:i/>
          <w:iCs/>
        </w:rPr>
        <w:t>Attlee</w:t>
      </w:r>
      <w:r w:rsidRPr="002E79C6">
        <w:t>, p.</w:t>
      </w:r>
      <w:r>
        <w:t xml:space="preserve"> 424.</w:t>
      </w:r>
    </w:p>
  </w:footnote>
  <w:footnote w:id="25">
    <w:p w14:paraId="5184C1DD" w14:textId="48B37702" w:rsidR="00EF4EDE" w:rsidRDefault="00EF4EDE">
      <w:pPr>
        <w:pStyle w:val="FootnoteText"/>
      </w:pPr>
      <w:r>
        <w:rPr>
          <w:rStyle w:val="FootnoteReference"/>
        </w:rPr>
        <w:footnoteRef/>
      </w:r>
      <w:r>
        <w:t xml:space="preserve"> </w:t>
      </w:r>
      <w:r w:rsidRPr="00EF4EDE">
        <w:t xml:space="preserve">Foot, </w:t>
      </w:r>
      <w:r w:rsidRPr="00EF4EDE">
        <w:rPr>
          <w:i/>
          <w:iCs/>
        </w:rPr>
        <w:t xml:space="preserve">Aneurin Bevan, </w:t>
      </w:r>
      <w:r w:rsidRPr="00EF4EDE">
        <w:rPr>
          <w:iCs/>
        </w:rPr>
        <w:t>p.</w:t>
      </w:r>
      <w:r>
        <w:rPr>
          <w:iCs/>
        </w:rPr>
        <w:t xml:space="preserve"> 65.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284064"/>
    <w:multiLevelType w:val="hybridMultilevel"/>
    <w:tmpl w:val="838299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8810697"/>
    <w:multiLevelType w:val="multilevel"/>
    <w:tmpl w:val="EEF4BA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B"/>
    <w:rsid w:val="00020580"/>
    <w:rsid w:val="00023FD2"/>
    <w:rsid w:val="0002688B"/>
    <w:rsid w:val="000411E3"/>
    <w:rsid w:val="000535E0"/>
    <w:rsid w:val="00055475"/>
    <w:rsid w:val="00061B9C"/>
    <w:rsid w:val="0007048A"/>
    <w:rsid w:val="0007177E"/>
    <w:rsid w:val="00074603"/>
    <w:rsid w:val="000839BC"/>
    <w:rsid w:val="00090FCE"/>
    <w:rsid w:val="000A07BA"/>
    <w:rsid w:val="000A3E09"/>
    <w:rsid w:val="000B2998"/>
    <w:rsid w:val="000E37FE"/>
    <w:rsid w:val="0010286B"/>
    <w:rsid w:val="0012103C"/>
    <w:rsid w:val="00126AD5"/>
    <w:rsid w:val="00150968"/>
    <w:rsid w:val="00162B46"/>
    <w:rsid w:val="001632ED"/>
    <w:rsid w:val="00171155"/>
    <w:rsid w:val="00175582"/>
    <w:rsid w:val="00175D2A"/>
    <w:rsid w:val="00183A42"/>
    <w:rsid w:val="001E1A05"/>
    <w:rsid w:val="001E745F"/>
    <w:rsid w:val="001F0F7C"/>
    <w:rsid w:val="00201620"/>
    <w:rsid w:val="00203EC6"/>
    <w:rsid w:val="002040C2"/>
    <w:rsid w:val="002165DD"/>
    <w:rsid w:val="0025193B"/>
    <w:rsid w:val="00251F4E"/>
    <w:rsid w:val="0025280E"/>
    <w:rsid w:val="00253467"/>
    <w:rsid w:val="002658F7"/>
    <w:rsid w:val="002853C1"/>
    <w:rsid w:val="002A0365"/>
    <w:rsid w:val="002A1137"/>
    <w:rsid w:val="002C2A06"/>
    <w:rsid w:val="002D1EB9"/>
    <w:rsid w:val="002D2744"/>
    <w:rsid w:val="002D2BCB"/>
    <w:rsid w:val="002E3D7D"/>
    <w:rsid w:val="002E79C6"/>
    <w:rsid w:val="002F681B"/>
    <w:rsid w:val="003201EC"/>
    <w:rsid w:val="00326F4A"/>
    <w:rsid w:val="00327D9C"/>
    <w:rsid w:val="00331E5C"/>
    <w:rsid w:val="00335F8F"/>
    <w:rsid w:val="00353DED"/>
    <w:rsid w:val="00366D35"/>
    <w:rsid w:val="003B12F5"/>
    <w:rsid w:val="003B3BB0"/>
    <w:rsid w:val="003F6657"/>
    <w:rsid w:val="004125BD"/>
    <w:rsid w:val="00413EAD"/>
    <w:rsid w:val="0041529B"/>
    <w:rsid w:val="004166B5"/>
    <w:rsid w:val="00432BCA"/>
    <w:rsid w:val="004416E2"/>
    <w:rsid w:val="00451A46"/>
    <w:rsid w:val="00451BFF"/>
    <w:rsid w:val="004A3C45"/>
    <w:rsid w:val="004B0317"/>
    <w:rsid w:val="004C0DCB"/>
    <w:rsid w:val="004C4E91"/>
    <w:rsid w:val="004F052E"/>
    <w:rsid w:val="004F25E1"/>
    <w:rsid w:val="004F623E"/>
    <w:rsid w:val="00531B73"/>
    <w:rsid w:val="00535ADF"/>
    <w:rsid w:val="00543AC7"/>
    <w:rsid w:val="00555AC9"/>
    <w:rsid w:val="0057059E"/>
    <w:rsid w:val="0059218C"/>
    <w:rsid w:val="0059566F"/>
    <w:rsid w:val="005B3389"/>
    <w:rsid w:val="005C0E6F"/>
    <w:rsid w:val="005C12C5"/>
    <w:rsid w:val="005C1377"/>
    <w:rsid w:val="005C7B06"/>
    <w:rsid w:val="005E2BDC"/>
    <w:rsid w:val="005E3234"/>
    <w:rsid w:val="005F4717"/>
    <w:rsid w:val="005F5E4D"/>
    <w:rsid w:val="006146C6"/>
    <w:rsid w:val="00626D94"/>
    <w:rsid w:val="0063159B"/>
    <w:rsid w:val="00640A7A"/>
    <w:rsid w:val="00646FD5"/>
    <w:rsid w:val="006626EB"/>
    <w:rsid w:val="006C7431"/>
    <w:rsid w:val="006D6B43"/>
    <w:rsid w:val="0071336B"/>
    <w:rsid w:val="00746CE2"/>
    <w:rsid w:val="007549FA"/>
    <w:rsid w:val="007631EC"/>
    <w:rsid w:val="0076471F"/>
    <w:rsid w:val="00792B63"/>
    <w:rsid w:val="007A29FE"/>
    <w:rsid w:val="007A668A"/>
    <w:rsid w:val="007D1384"/>
    <w:rsid w:val="007D521D"/>
    <w:rsid w:val="007E4190"/>
    <w:rsid w:val="007E4378"/>
    <w:rsid w:val="008108A1"/>
    <w:rsid w:val="00811B7E"/>
    <w:rsid w:val="00823230"/>
    <w:rsid w:val="008570CD"/>
    <w:rsid w:val="008821E0"/>
    <w:rsid w:val="00892688"/>
    <w:rsid w:val="008C44BD"/>
    <w:rsid w:val="008C618D"/>
    <w:rsid w:val="008E10D8"/>
    <w:rsid w:val="008E6AF8"/>
    <w:rsid w:val="008E6DF8"/>
    <w:rsid w:val="008F7285"/>
    <w:rsid w:val="00901DE4"/>
    <w:rsid w:val="00903C28"/>
    <w:rsid w:val="00906501"/>
    <w:rsid w:val="00920266"/>
    <w:rsid w:val="00921EC5"/>
    <w:rsid w:val="00943A42"/>
    <w:rsid w:val="009546BB"/>
    <w:rsid w:val="00962D9F"/>
    <w:rsid w:val="009822CE"/>
    <w:rsid w:val="009A1DBD"/>
    <w:rsid w:val="009B028F"/>
    <w:rsid w:val="009B2D74"/>
    <w:rsid w:val="009B5F56"/>
    <w:rsid w:val="009D0201"/>
    <w:rsid w:val="009F0056"/>
    <w:rsid w:val="00A1583D"/>
    <w:rsid w:val="00A44E3D"/>
    <w:rsid w:val="00A45987"/>
    <w:rsid w:val="00A51DA0"/>
    <w:rsid w:val="00A64673"/>
    <w:rsid w:val="00A64932"/>
    <w:rsid w:val="00A67A4D"/>
    <w:rsid w:val="00A71977"/>
    <w:rsid w:val="00A77704"/>
    <w:rsid w:val="00A9493C"/>
    <w:rsid w:val="00AC692A"/>
    <w:rsid w:val="00AC7A6F"/>
    <w:rsid w:val="00AE3EA1"/>
    <w:rsid w:val="00AF6AE0"/>
    <w:rsid w:val="00B03A27"/>
    <w:rsid w:val="00B1225F"/>
    <w:rsid w:val="00B347FF"/>
    <w:rsid w:val="00B67BD7"/>
    <w:rsid w:val="00B86814"/>
    <w:rsid w:val="00BC3638"/>
    <w:rsid w:val="00BF237A"/>
    <w:rsid w:val="00BF54D3"/>
    <w:rsid w:val="00C31850"/>
    <w:rsid w:val="00C67BFD"/>
    <w:rsid w:val="00CC5F71"/>
    <w:rsid w:val="00D022E9"/>
    <w:rsid w:val="00D02D05"/>
    <w:rsid w:val="00D05CA3"/>
    <w:rsid w:val="00D43278"/>
    <w:rsid w:val="00D51A4F"/>
    <w:rsid w:val="00D62C34"/>
    <w:rsid w:val="00D72451"/>
    <w:rsid w:val="00D749CE"/>
    <w:rsid w:val="00D7686D"/>
    <w:rsid w:val="00DA0444"/>
    <w:rsid w:val="00DB304E"/>
    <w:rsid w:val="00DB5126"/>
    <w:rsid w:val="00DC4BDF"/>
    <w:rsid w:val="00DD6212"/>
    <w:rsid w:val="00DE71C2"/>
    <w:rsid w:val="00DF496B"/>
    <w:rsid w:val="00E017A3"/>
    <w:rsid w:val="00E0422D"/>
    <w:rsid w:val="00E21221"/>
    <w:rsid w:val="00E36081"/>
    <w:rsid w:val="00E43165"/>
    <w:rsid w:val="00E43D3E"/>
    <w:rsid w:val="00E55D6C"/>
    <w:rsid w:val="00E82BCF"/>
    <w:rsid w:val="00E95185"/>
    <w:rsid w:val="00E95CA5"/>
    <w:rsid w:val="00E96022"/>
    <w:rsid w:val="00E960B7"/>
    <w:rsid w:val="00E9780E"/>
    <w:rsid w:val="00EA1A9F"/>
    <w:rsid w:val="00EA581D"/>
    <w:rsid w:val="00EB2317"/>
    <w:rsid w:val="00EC0F50"/>
    <w:rsid w:val="00EC432D"/>
    <w:rsid w:val="00EC6565"/>
    <w:rsid w:val="00EF30FE"/>
    <w:rsid w:val="00EF4EDE"/>
    <w:rsid w:val="00EF75D1"/>
    <w:rsid w:val="00F134D5"/>
    <w:rsid w:val="00F6665D"/>
    <w:rsid w:val="00FA6834"/>
    <w:rsid w:val="00FA7CA8"/>
    <w:rsid w:val="00FF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7072A"/>
  <w15:chartTrackingRefBased/>
  <w15:docId w15:val="{BDD82280-FE49-4753-A28F-A2BFEDE94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A42"/>
    <w:pPr>
      <w:ind w:left="720"/>
      <w:contextualSpacing/>
    </w:pPr>
  </w:style>
  <w:style w:type="paragraph" w:styleId="FootnoteText">
    <w:name w:val="footnote text"/>
    <w:basedOn w:val="Normal"/>
    <w:link w:val="FootnoteTextChar"/>
    <w:uiPriority w:val="99"/>
    <w:semiHidden/>
    <w:unhideWhenUsed/>
    <w:rsid w:val="007A29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29FE"/>
    <w:rPr>
      <w:sz w:val="20"/>
      <w:szCs w:val="20"/>
    </w:rPr>
  </w:style>
  <w:style w:type="character" w:styleId="FootnoteReference">
    <w:name w:val="footnote reference"/>
    <w:basedOn w:val="DefaultParagraphFont"/>
    <w:uiPriority w:val="99"/>
    <w:semiHidden/>
    <w:unhideWhenUsed/>
    <w:rsid w:val="007A29FE"/>
    <w:rPr>
      <w:vertAlign w:val="superscript"/>
    </w:rPr>
  </w:style>
  <w:style w:type="character" w:styleId="Hyperlink">
    <w:name w:val="Hyperlink"/>
    <w:basedOn w:val="DefaultParagraphFont"/>
    <w:uiPriority w:val="99"/>
    <w:unhideWhenUsed/>
    <w:rsid w:val="00B03A27"/>
    <w:rPr>
      <w:color w:val="0563C1" w:themeColor="hyperlink"/>
      <w:u w:val="single"/>
    </w:rPr>
  </w:style>
  <w:style w:type="character" w:styleId="UnresolvedMention">
    <w:name w:val="Unresolved Mention"/>
    <w:basedOn w:val="DefaultParagraphFont"/>
    <w:uiPriority w:val="99"/>
    <w:semiHidden/>
    <w:unhideWhenUsed/>
    <w:rsid w:val="00B03A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938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pguRnH5bt38"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pguRnH5bt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94D28-5759-4759-ABDF-D1E246F302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8940</TotalTime>
  <Pages>6</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dc:creator>
  <cp:keywords/>
  <dc:description/>
  <cp:lastModifiedBy>Rosie</cp:lastModifiedBy>
  <cp:revision>52</cp:revision>
  <dcterms:created xsi:type="dcterms:W3CDTF">2018-03-27T12:08:00Z</dcterms:created>
  <dcterms:modified xsi:type="dcterms:W3CDTF">2018-05-04T11:55:00Z</dcterms:modified>
</cp:coreProperties>
</file>