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1B" w:rsidRDefault="00EC16E2">
      <w:pPr>
        <w:rPr>
          <w:b/>
          <w:i/>
        </w:rPr>
      </w:pPr>
      <w:r w:rsidRPr="00EC16E2">
        <w:rPr>
          <w:b/>
          <w:i/>
        </w:rPr>
        <w:t xml:space="preserve">Perceived differences between quantitative and qualitative methodology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3685"/>
        <w:gridCol w:w="3686"/>
        <w:gridCol w:w="4710"/>
      </w:tblGrid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Feature</w:t>
            </w:r>
          </w:p>
        </w:tc>
        <w:tc>
          <w:tcPr>
            <w:tcW w:w="3685" w:type="dxa"/>
          </w:tcPr>
          <w:p w:rsidR="00EC16E2" w:rsidRPr="00FD7C81" w:rsidRDefault="00EC16E2" w:rsidP="00FD7C81">
            <w:pPr>
              <w:jc w:val="center"/>
              <w:rPr>
                <w:b/>
              </w:rPr>
            </w:pPr>
            <w:r w:rsidRPr="00FD7C81">
              <w:rPr>
                <w:b/>
              </w:rPr>
              <w:t>Quantitative methodology</w:t>
            </w:r>
          </w:p>
        </w:tc>
        <w:tc>
          <w:tcPr>
            <w:tcW w:w="3686" w:type="dxa"/>
          </w:tcPr>
          <w:p w:rsidR="00EC16E2" w:rsidRPr="00FD7C81" w:rsidRDefault="00EC16E2" w:rsidP="00FD7C81">
            <w:pPr>
              <w:jc w:val="center"/>
              <w:rPr>
                <w:b/>
              </w:rPr>
            </w:pPr>
            <w:r w:rsidRPr="00FD7C81">
              <w:rPr>
                <w:b/>
              </w:rPr>
              <w:t>Qualitative methodology</w:t>
            </w:r>
          </w:p>
        </w:tc>
        <w:tc>
          <w:tcPr>
            <w:tcW w:w="4710" w:type="dxa"/>
          </w:tcPr>
          <w:p w:rsidR="00EC16E2" w:rsidRPr="00FD7C81" w:rsidRDefault="00EC16E2" w:rsidP="00FD7C81">
            <w:pPr>
              <w:jc w:val="center"/>
              <w:rPr>
                <w:b/>
              </w:rPr>
            </w:pPr>
            <w:r w:rsidRPr="00FD7C81">
              <w:rPr>
                <w:b/>
              </w:rPr>
              <w:t>Questions arising</w:t>
            </w:r>
          </w:p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Nature of reality</w:t>
            </w:r>
          </w:p>
        </w:tc>
        <w:tc>
          <w:tcPr>
            <w:tcW w:w="3685" w:type="dxa"/>
          </w:tcPr>
          <w:p w:rsidR="00EC16E2" w:rsidRDefault="00EC16E2">
            <w:r>
              <w:t>Objective; simple; single; tangible sense impressions</w:t>
            </w:r>
          </w:p>
        </w:tc>
        <w:tc>
          <w:tcPr>
            <w:tcW w:w="3686" w:type="dxa"/>
          </w:tcPr>
          <w:p w:rsidR="00EC16E2" w:rsidRDefault="00EC16E2">
            <w:r>
              <w:t>Subjective; problematic; holistic; a social construct.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Causes and effects</w:t>
            </w:r>
          </w:p>
        </w:tc>
        <w:tc>
          <w:tcPr>
            <w:tcW w:w="3685" w:type="dxa"/>
          </w:tcPr>
          <w:p w:rsidR="00EC16E2" w:rsidRDefault="00EC16E2">
            <w:r>
              <w:t>Nomological thinking; cause-effect linkages</w:t>
            </w:r>
          </w:p>
        </w:tc>
        <w:tc>
          <w:tcPr>
            <w:tcW w:w="3686" w:type="dxa"/>
          </w:tcPr>
          <w:p w:rsidR="00EC16E2" w:rsidRDefault="00EC16E2">
            <w:r>
              <w:t>Non-deterministic; mutual shaping; no cause-effect linkages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The role of values</w:t>
            </w:r>
          </w:p>
        </w:tc>
        <w:tc>
          <w:tcPr>
            <w:tcW w:w="3685" w:type="dxa"/>
          </w:tcPr>
          <w:p w:rsidR="00EC16E2" w:rsidRDefault="00EC16E2">
            <w:r>
              <w:t>Value neutral; value-free enquiry</w:t>
            </w:r>
          </w:p>
        </w:tc>
        <w:tc>
          <w:tcPr>
            <w:tcW w:w="3686" w:type="dxa"/>
          </w:tcPr>
          <w:p w:rsidR="00EC16E2" w:rsidRDefault="00EC16E2">
            <w:r>
              <w:t>Normativism; value bound enquiry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Natural and social sciences</w:t>
            </w:r>
            <w:bookmarkStart w:id="0" w:name="_GoBack"/>
            <w:bookmarkEnd w:id="0"/>
          </w:p>
        </w:tc>
        <w:tc>
          <w:tcPr>
            <w:tcW w:w="3685" w:type="dxa"/>
          </w:tcPr>
          <w:p w:rsidR="00EC16E2" w:rsidRDefault="00EC16E2">
            <w:r>
              <w:t>Deductive; model of natural sciences; nomothetic; based on strict rules</w:t>
            </w:r>
          </w:p>
        </w:tc>
        <w:tc>
          <w:tcPr>
            <w:tcW w:w="3686" w:type="dxa"/>
          </w:tcPr>
          <w:p w:rsidR="00EC16E2" w:rsidRDefault="00EC16E2">
            <w:r>
              <w:t>Inductive; rejection of the natural sciences model; ideographic; no strict rules; interpretations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Methods</w:t>
            </w:r>
          </w:p>
        </w:tc>
        <w:tc>
          <w:tcPr>
            <w:tcW w:w="3685" w:type="dxa"/>
          </w:tcPr>
          <w:p w:rsidR="00EC16E2" w:rsidRDefault="00EC16E2">
            <w:r>
              <w:t>Quantitative, mathematical, extensive use of statistics</w:t>
            </w:r>
          </w:p>
        </w:tc>
        <w:tc>
          <w:tcPr>
            <w:tcW w:w="3686" w:type="dxa"/>
          </w:tcPr>
          <w:p w:rsidR="00EC16E2" w:rsidRDefault="00EC16E2">
            <w:r>
              <w:t>Qualitative, with less emphasis on statistics; verbal and qualitative analysis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Researcher’s role</w:t>
            </w:r>
          </w:p>
        </w:tc>
        <w:tc>
          <w:tcPr>
            <w:tcW w:w="3685" w:type="dxa"/>
          </w:tcPr>
          <w:p w:rsidR="00EC16E2" w:rsidRDefault="00EC16E2">
            <w:proofErr w:type="spellStart"/>
            <w:r>
              <w:t>Rther</w:t>
            </w:r>
            <w:proofErr w:type="spellEnd"/>
            <w:r>
              <w:t xml:space="preserve"> passive; is the ‘knower’ is separate from the subject – the known; dualism</w:t>
            </w:r>
          </w:p>
        </w:tc>
        <w:tc>
          <w:tcPr>
            <w:tcW w:w="3686" w:type="dxa"/>
          </w:tcPr>
          <w:p w:rsidR="00EC16E2" w:rsidRDefault="00EC16E2">
            <w:r>
              <w:t xml:space="preserve">Active, ‘knower’ and ‘known’ are interactive and </w:t>
            </w:r>
            <w:proofErr w:type="spellStart"/>
            <w:r>
              <w:t>inseperable</w:t>
            </w:r>
            <w:proofErr w:type="spellEnd"/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  <w:p w:rsidR="00FD7C81" w:rsidRDefault="00FD7C81"/>
        </w:tc>
      </w:tr>
      <w:tr w:rsidR="00EC16E2" w:rsidTr="00FD7C81">
        <w:tc>
          <w:tcPr>
            <w:tcW w:w="2093" w:type="dxa"/>
          </w:tcPr>
          <w:p w:rsidR="00EC16E2" w:rsidRPr="00FD7C81" w:rsidRDefault="00EC16E2">
            <w:pPr>
              <w:rPr>
                <w:b/>
              </w:rPr>
            </w:pPr>
            <w:r w:rsidRPr="00FD7C81">
              <w:rPr>
                <w:b/>
              </w:rPr>
              <w:t>Generalisations</w:t>
            </w:r>
          </w:p>
        </w:tc>
        <w:tc>
          <w:tcPr>
            <w:tcW w:w="3685" w:type="dxa"/>
          </w:tcPr>
          <w:p w:rsidR="00EC16E2" w:rsidRDefault="00EC16E2">
            <w:r>
              <w:t>Inductive generalisations; nomothetic statements</w:t>
            </w:r>
          </w:p>
        </w:tc>
        <w:tc>
          <w:tcPr>
            <w:tcW w:w="3686" w:type="dxa"/>
          </w:tcPr>
          <w:p w:rsidR="00EC16E2" w:rsidRDefault="00EC16E2">
            <w:r>
              <w:t>Analytical or conceptual generalisations; time-and-context specific</w:t>
            </w:r>
          </w:p>
        </w:tc>
        <w:tc>
          <w:tcPr>
            <w:tcW w:w="4710" w:type="dxa"/>
          </w:tcPr>
          <w:p w:rsidR="00EC16E2" w:rsidRDefault="00EC16E2"/>
          <w:p w:rsidR="00FD7C81" w:rsidRDefault="00FD7C81"/>
          <w:p w:rsidR="00FD7C81" w:rsidRDefault="00FD7C81"/>
          <w:p w:rsidR="00FD7C81" w:rsidRDefault="00FD7C81"/>
        </w:tc>
      </w:tr>
    </w:tbl>
    <w:p w:rsidR="00EC16E2" w:rsidRPr="00EC16E2" w:rsidRDefault="00EC16E2">
      <w:r>
        <w:t xml:space="preserve">Adapted from: </w:t>
      </w:r>
      <w:proofErr w:type="spellStart"/>
      <w:r>
        <w:t>Sarantakos</w:t>
      </w:r>
      <w:proofErr w:type="spellEnd"/>
      <w:r>
        <w:t xml:space="preserve">, S. (1998) </w:t>
      </w:r>
      <w:r>
        <w:rPr>
          <w:i/>
        </w:rPr>
        <w:t>Social Research</w:t>
      </w:r>
      <w:r w:rsidR="00FD7C81">
        <w:rPr>
          <w:i/>
        </w:rPr>
        <w:t xml:space="preserve">. </w:t>
      </w:r>
      <w:r w:rsidR="00FD7C81">
        <w:t>Basingstoke, Hampshire: PALGRAVE. Pp54.</w:t>
      </w:r>
      <w:r>
        <w:t xml:space="preserve"> </w:t>
      </w:r>
    </w:p>
    <w:sectPr w:rsidR="00EC16E2" w:rsidRPr="00EC16E2" w:rsidSect="00EC16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E2"/>
    <w:rsid w:val="0071191B"/>
    <w:rsid w:val="00EC16E2"/>
    <w:rsid w:val="00FD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2014-10-03T06:57:00Z</dcterms:created>
  <dcterms:modified xsi:type="dcterms:W3CDTF">2014-10-03T07:14:00Z</dcterms:modified>
</cp:coreProperties>
</file>