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105C738" w14:textId="64BE187A" w:rsidR="00E94A5F" w:rsidRDefault="00E94A5F">
      <w:r>
        <w:rPr>
          <w:noProof/>
        </w:rPr>
        <w:drawing>
          <wp:anchor distT="0" distB="0" distL="114300" distR="114300" simplePos="0" relativeHeight="251659264" behindDoc="0" locked="0" layoutInCell="1" allowOverlap="1" wp14:anchorId="624B8F11" wp14:editId="7C6C81C4">
            <wp:simplePos x="0" y="0"/>
            <wp:positionH relativeFrom="column">
              <wp:posOffset>1289050</wp:posOffset>
            </wp:positionH>
            <wp:positionV relativeFrom="paragraph">
              <wp:posOffset>0</wp:posOffset>
            </wp:positionV>
            <wp:extent cx="2527300" cy="1125855"/>
            <wp:effectExtent l="0" t="0" r="6350" b="0"/>
            <wp:wrapThrough wrapText="bothSides">
              <wp:wrapPolygon edited="0">
                <wp:start x="0" y="0"/>
                <wp:lineTo x="0" y="21198"/>
                <wp:lineTo x="21491" y="21198"/>
                <wp:lineTo x="21491" y="0"/>
                <wp:lineTo x="0" y="0"/>
              </wp:wrapPolygon>
            </wp:wrapThrough>
            <wp:docPr id="1" name="Picture 1" descr="University of Wales Trinity Saint David - bwbsedu"/>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aint David - bwbsedu"/>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527300" cy="112585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4C3D73CE" w14:textId="77777777" w:rsidR="00E94A5F" w:rsidRDefault="00E94A5F"/>
    <w:p w14:paraId="7F117AEC" w14:textId="77777777" w:rsidR="00E94A5F" w:rsidRDefault="00E94A5F"/>
    <w:p w14:paraId="588CBC44" w14:textId="77777777" w:rsidR="00E94A5F" w:rsidRDefault="00E94A5F"/>
    <w:p w14:paraId="615E8525" w14:textId="530F2BBC" w:rsidR="00955F96" w:rsidRDefault="00955F96"/>
    <w:tbl>
      <w:tblPr>
        <w:tblStyle w:val="ListTable1Light-Accent2"/>
        <w:tblpPr w:leftFromText="180" w:rightFromText="180" w:vertAnchor="text" w:horzAnchor="margin" w:tblpY="444"/>
        <w:tblW w:w="0" w:type="auto"/>
        <w:tblLook w:val="04A0" w:firstRow="1" w:lastRow="0" w:firstColumn="1" w:lastColumn="0" w:noHBand="0" w:noVBand="1"/>
      </w:tblPr>
      <w:tblGrid>
        <w:gridCol w:w="2405"/>
        <w:gridCol w:w="6611"/>
      </w:tblGrid>
      <w:tr w:rsidR="00E94A5F" w14:paraId="13C0A872" w14:textId="77777777" w:rsidTr="00D12AF2">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405" w:type="dxa"/>
          </w:tcPr>
          <w:p w14:paraId="2FCA82BC" w14:textId="77777777" w:rsidR="00E94A5F" w:rsidRPr="00AE4E62" w:rsidRDefault="00E94A5F" w:rsidP="00E94A5F">
            <w:pPr>
              <w:rPr>
                <w:rFonts w:cs="Arial"/>
                <w:sz w:val="28"/>
                <w:szCs w:val="28"/>
              </w:rPr>
            </w:pPr>
            <w:bookmarkStart w:id="0" w:name="_Hlk192789062"/>
            <w:r w:rsidRPr="00AE4E62">
              <w:t>Programme:</w:t>
            </w:r>
          </w:p>
        </w:tc>
        <w:tc>
          <w:tcPr>
            <w:tcW w:w="6611" w:type="dxa"/>
          </w:tcPr>
          <w:p w14:paraId="07063234" w14:textId="77777777" w:rsidR="00E94A5F" w:rsidRDefault="00E94A5F" w:rsidP="00E94A5F">
            <w:pPr>
              <w:cnfStyle w:val="100000000000" w:firstRow="1" w:lastRow="0" w:firstColumn="0" w:lastColumn="0" w:oddVBand="0" w:evenVBand="0" w:oddHBand="0" w:evenHBand="0" w:firstRowFirstColumn="0" w:firstRowLastColumn="0" w:lastRowFirstColumn="0" w:lastRowLastColumn="0"/>
              <w:rPr>
                <w:rFonts w:cs="Arial"/>
                <w:b w:val="0"/>
                <w:bCs w:val="0"/>
                <w:sz w:val="28"/>
                <w:szCs w:val="28"/>
              </w:rPr>
            </w:pPr>
            <w:r w:rsidRPr="00064297">
              <w:t xml:space="preserve">MSc Public Health and Social Care in Practice  </w:t>
            </w:r>
          </w:p>
        </w:tc>
      </w:tr>
      <w:tr w:rsidR="00E94A5F" w14:paraId="6D4045A3" w14:textId="77777777" w:rsidTr="00D12AF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405" w:type="dxa"/>
          </w:tcPr>
          <w:p w14:paraId="610ACFB0" w14:textId="77777777" w:rsidR="00E94A5F" w:rsidRPr="003B11AB" w:rsidRDefault="00E94A5F" w:rsidP="00E94A5F">
            <w:pPr>
              <w:rPr>
                <w:rFonts w:cs="Arial"/>
                <w:b w:val="0"/>
                <w:bCs w:val="0"/>
                <w:sz w:val="28"/>
                <w:szCs w:val="28"/>
              </w:rPr>
            </w:pPr>
            <w:r w:rsidRPr="003B11AB">
              <w:rPr>
                <w:b w:val="0"/>
                <w:bCs w:val="0"/>
              </w:rPr>
              <w:t>Module:</w:t>
            </w:r>
          </w:p>
        </w:tc>
        <w:tc>
          <w:tcPr>
            <w:tcW w:w="6611" w:type="dxa"/>
          </w:tcPr>
          <w:p w14:paraId="76CE8E91" w14:textId="77777777" w:rsidR="00E94A5F" w:rsidRDefault="00E94A5F" w:rsidP="00E94A5F">
            <w:pPr>
              <w:cnfStyle w:val="000000100000" w:firstRow="0" w:lastRow="0" w:firstColumn="0" w:lastColumn="0" w:oddVBand="0" w:evenVBand="0" w:oddHBand="1" w:evenHBand="0" w:firstRowFirstColumn="0" w:firstRowLastColumn="0" w:lastRowFirstColumn="0" w:lastRowLastColumn="0"/>
            </w:pPr>
            <w:r w:rsidRPr="000B7329">
              <w:t>Quality Assurance and Service Improvements</w:t>
            </w:r>
          </w:p>
        </w:tc>
      </w:tr>
      <w:tr w:rsidR="00E94A5F" w14:paraId="6CA3E357" w14:textId="77777777" w:rsidTr="00D12AF2">
        <w:tc>
          <w:tcPr>
            <w:cnfStyle w:val="001000000000" w:firstRow="0" w:lastRow="0" w:firstColumn="1" w:lastColumn="0" w:oddVBand="0" w:evenVBand="0" w:oddHBand="0" w:evenHBand="0" w:firstRowFirstColumn="0" w:firstRowLastColumn="0" w:lastRowFirstColumn="0" w:lastRowLastColumn="0"/>
            <w:tcW w:w="2405" w:type="dxa"/>
          </w:tcPr>
          <w:p w14:paraId="55BC6CE2" w14:textId="77777777" w:rsidR="00E94A5F" w:rsidRPr="003B11AB" w:rsidRDefault="00E94A5F" w:rsidP="00E94A5F">
            <w:pPr>
              <w:rPr>
                <w:rFonts w:cs="Arial"/>
                <w:b w:val="0"/>
                <w:bCs w:val="0"/>
                <w:sz w:val="28"/>
                <w:szCs w:val="28"/>
              </w:rPr>
            </w:pPr>
            <w:r w:rsidRPr="003B11AB">
              <w:rPr>
                <w:b w:val="0"/>
                <w:bCs w:val="0"/>
              </w:rPr>
              <w:t>Module code:</w:t>
            </w:r>
          </w:p>
        </w:tc>
        <w:tc>
          <w:tcPr>
            <w:tcW w:w="6611" w:type="dxa"/>
          </w:tcPr>
          <w:p w14:paraId="38A9FEE2" w14:textId="77777777" w:rsidR="00E94A5F" w:rsidRDefault="00E94A5F" w:rsidP="00E94A5F">
            <w:pPr>
              <w:cnfStyle w:val="000000000000" w:firstRow="0" w:lastRow="0" w:firstColumn="0" w:lastColumn="0" w:oddVBand="0" w:evenVBand="0" w:oddHBand="0" w:evenHBand="0" w:firstRowFirstColumn="0" w:firstRowLastColumn="0" w:lastRowFirstColumn="0" w:lastRowLastColumn="0"/>
            </w:pPr>
            <w:r w:rsidRPr="000B7329">
              <w:t>LCHS7006</w:t>
            </w:r>
          </w:p>
        </w:tc>
      </w:tr>
      <w:tr w:rsidR="00E94A5F" w14:paraId="593E597F" w14:textId="77777777" w:rsidTr="00D12AF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405" w:type="dxa"/>
          </w:tcPr>
          <w:p w14:paraId="66556622" w14:textId="77777777" w:rsidR="00E94A5F" w:rsidRPr="003B11AB" w:rsidRDefault="00E94A5F" w:rsidP="00E94A5F">
            <w:pPr>
              <w:rPr>
                <w:rFonts w:cs="Arial"/>
                <w:b w:val="0"/>
                <w:bCs w:val="0"/>
                <w:sz w:val="28"/>
                <w:szCs w:val="28"/>
              </w:rPr>
            </w:pPr>
            <w:r w:rsidRPr="003B11AB">
              <w:rPr>
                <w:b w:val="0"/>
                <w:bCs w:val="0"/>
              </w:rPr>
              <w:t>Assignment Title:</w:t>
            </w:r>
          </w:p>
        </w:tc>
        <w:tc>
          <w:tcPr>
            <w:tcW w:w="6611" w:type="dxa"/>
          </w:tcPr>
          <w:p w14:paraId="753C04FC" w14:textId="77777777" w:rsidR="00E94A5F" w:rsidRDefault="00E94A5F" w:rsidP="00E94A5F">
            <w:pPr>
              <w:jc w:val="left"/>
              <w:cnfStyle w:val="000000100000" w:firstRow="0" w:lastRow="0" w:firstColumn="0" w:lastColumn="0" w:oddVBand="0" w:evenVBand="0" w:oddHBand="1" w:evenHBand="0" w:firstRowFirstColumn="0" w:firstRowLastColumn="0" w:lastRowFirstColumn="0" w:lastRowLastColumn="0"/>
            </w:pPr>
            <w:r>
              <w:t xml:space="preserve">Component 2 </w:t>
            </w:r>
          </w:p>
          <w:p w14:paraId="1A982133" w14:textId="77777777" w:rsidR="00E94A5F" w:rsidRDefault="00E94A5F" w:rsidP="00E94A5F">
            <w:pPr>
              <w:jc w:val="left"/>
              <w:cnfStyle w:val="000000100000" w:firstRow="0" w:lastRow="0" w:firstColumn="0" w:lastColumn="0" w:oddVBand="0" w:evenVBand="0" w:oddHBand="1" w:evenHBand="0" w:firstRowFirstColumn="0" w:firstRowLastColumn="0" w:lastRowFirstColumn="0" w:lastRowLastColumn="0"/>
            </w:pPr>
            <w:r>
              <w:t>Service Improvement Report</w:t>
            </w:r>
          </w:p>
        </w:tc>
      </w:tr>
      <w:tr w:rsidR="00E94A5F" w14:paraId="2974FCE0" w14:textId="77777777" w:rsidTr="00D12AF2">
        <w:tc>
          <w:tcPr>
            <w:cnfStyle w:val="001000000000" w:firstRow="0" w:lastRow="0" w:firstColumn="1" w:lastColumn="0" w:oddVBand="0" w:evenVBand="0" w:oddHBand="0" w:evenHBand="0" w:firstRowFirstColumn="0" w:firstRowLastColumn="0" w:lastRowFirstColumn="0" w:lastRowLastColumn="0"/>
            <w:tcW w:w="2405" w:type="dxa"/>
          </w:tcPr>
          <w:p w14:paraId="42231151" w14:textId="77777777" w:rsidR="00E94A5F" w:rsidRPr="003B11AB" w:rsidRDefault="00E94A5F" w:rsidP="00E94A5F">
            <w:pPr>
              <w:rPr>
                <w:b w:val="0"/>
                <w:bCs w:val="0"/>
              </w:rPr>
            </w:pPr>
            <w:r w:rsidRPr="003B11AB">
              <w:rPr>
                <w:b w:val="0"/>
                <w:bCs w:val="0"/>
              </w:rPr>
              <w:t>Student Name:</w:t>
            </w:r>
          </w:p>
        </w:tc>
        <w:tc>
          <w:tcPr>
            <w:tcW w:w="6611" w:type="dxa"/>
          </w:tcPr>
          <w:p w14:paraId="565C2E9C" w14:textId="69ADF6A4" w:rsidR="00E94A5F" w:rsidRDefault="00D12AF2" w:rsidP="00E94A5F">
            <w:pPr>
              <w:cnfStyle w:val="000000000000" w:firstRow="0" w:lastRow="0" w:firstColumn="0" w:lastColumn="0" w:oddVBand="0" w:evenVBand="0" w:oddHBand="0" w:evenHBand="0" w:firstRowFirstColumn="0" w:firstRowLastColumn="0" w:lastRowFirstColumn="0" w:lastRowLastColumn="0"/>
            </w:pPr>
            <w:r w:rsidRPr="00D12AF2">
              <w:t xml:space="preserve">Md. </w:t>
            </w:r>
            <w:proofErr w:type="spellStart"/>
            <w:r w:rsidRPr="00D12AF2">
              <w:t>Sakyf</w:t>
            </w:r>
            <w:proofErr w:type="spellEnd"/>
            <w:r w:rsidRPr="00D12AF2">
              <w:t xml:space="preserve"> Jawad</w:t>
            </w:r>
          </w:p>
        </w:tc>
      </w:tr>
      <w:tr w:rsidR="00E94A5F" w14:paraId="0184F79F" w14:textId="77777777" w:rsidTr="00D12AF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405" w:type="dxa"/>
          </w:tcPr>
          <w:p w14:paraId="0815EDED" w14:textId="77777777" w:rsidR="00E94A5F" w:rsidRPr="003B11AB" w:rsidRDefault="00E94A5F" w:rsidP="00E94A5F">
            <w:pPr>
              <w:rPr>
                <w:b w:val="0"/>
                <w:bCs w:val="0"/>
              </w:rPr>
            </w:pPr>
            <w:r w:rsidRPr="003B11AB">
              <w:rPr>
                <w:b w:val="0"/>
                <w:bCs w:val="0"/>
              </w:rPr>
              <w:t>Student ID:</w:t>
            </w:r>
          </w:p>
        </w:tc>
        <w:tc>
          <w:tcPr>
            <w:tcW w:w="6611" w:type="dxa"/>
          </w:tcPr>
          <w:p w14:paraId="4C555AB0" w14:textId="256D8B85" w:rsidR="00E94A5F" w:rsidRDefault="00D12AF2" w:rsidP="00E94A5F">
            <w:pPr>
              <w:cnfStyle w:val="000000100000" w:firstRow="0" w:lastRow="0" w:firstColumn="0" w:lastColumn="0" w:oddVBand="0" w:evenVBand="0" w:oddHBand="1" w:evenHBand="0" w:firstRowFirstColumn="0" w:firstRowLastColumn="0" w:lastRowFirstColumn="0" w:lastRowLastColumn="0"/>
            </w:pPr>
            <w:r w:rsidRPr="00D12AF2">
              <w:t>2435265</w:t>
            </w:r>
          </w:p>
        </w:tc>
      </w:tr>
      <w:bookmarkEnd w:id="0"/>
    </w:tbl>
    <w:p w14:paraId="4170A9CF" w14:textId="77777777" w:rsidR="00D53CB1" w:rsidRDefault="00D53CB1">
      <w:pPr>
        <w:spacing w:line="259" w:lineRule="auto"/>
        <w:jc w:val="left"/>
      </w:pPr>
    </w:p>
    <w:p w14:paraId="22E49EB6" w14:textId="77777777" w:rsidR="00D53CB1" w:rsidRDefault="00D53CB1">
      <w:pPr>
        <w:spacing w:line="259" w:lineRule="auto"/>
        <w:jc w:val="left"/>
      </w:pPr>
    </w:p>
    <w:p w14:paraId="1AA98A7E" w14:textId="77777777" w:rsidR="00D53CB1" w:rsidRDefault="00D53CB1" w:rsidP="00D53CB1"/>
    <w:p w14:paraId="35C9A2A1" w14:textId="77777777" w:rsidR="00D53CB1" w:rsidRDefault="00D53CB1" w:rsidP="00D53CB1"/>
    <w:p w14:paraId="62420BE6" w14:textId="77777777" w:rsidR="00D53CB1" w:rsidRDefault="00D53CB1" w:rsidP="00D53CB1">
      <w:pPr>
        <w:jc w:val="center"/>
        <w:rPr>
          <w:b/>
          <w:bCs/>
          <w:sz w:val="24"/>
          <w:szCs w:val="24"/>
        </w:rPr>
      </w:pPr>
      <w:r>
        <w:rPr>
          <w:b/>
          <w:bCs/>
          <w:sz w:val="24"/>
          <w:szCs w:val="24"/>
        </w:rPr>
        <w:t>Title:</w:t>
      </w:r>
    </w:p>
    <w:p w14:paraId="01412A73" w14:textId="1C396E1D" w:rsidR="00E94A5F" w:rsidRPr="00D53CB1" w:rsidRDefault="00D53CB1" w:rsidP="00D53CB1">
      <w:pPr>
        <w:jc w:val="center"/>
        <w:rPr>
          <w:b/>
          <w:bCs/>
        </w:rPr>
      </w:pPr>
      <w:r w:rsidRPr="00D53CB1">
        <w:rPr>
          <w:b/>
          <w:bCs/>
          <w:sz w:val="24"/>
          <w:szCs w:val="24"/>
        </w:rPr>
        <w:t xml:space="preserve">Strategic Analysis of Healthcare Quality Assurance and Service Improvement: A Comprehensive Report on Systemic Reforms After </w:t>
      </w:r>
      <w:proofErr w:type="spellStart"/>
      <w:r w:rsidRPr="00D53CB1">
        <w:rPr>
          <w:b/>
          <w:bCs/>
          <w:sz w:val="24"/>
          <w:szCs w:val="24"/>
        </w:rPr>
        <w:t>Dr.</w:t>
      </w:r>
      <w:proofErr w:type="spellEnd"/>
      <w:r w:rsidRPr="00D53CB1">
        <w:rPr>
          <w:b/>
          <w:bCs/>
          <w:sz w:val="24"/>
          <w:szCs w:val="24"/>
        </w:rPr>
        <w:t xml:space="preserve"> Harold Shipman</w:t>
      </w:r>
      <w:r w:rsidR="00E94A5F" w:rsidRPr="00D53CB1">
        <w:rPr>
          <w:b/>
          <w:bCs/>
        </w:rPr>
        <w:br w:type="page"/>
      </w:r>
    </w:p>
    <w:sdt>
      <w:sdtPr>
        <w:rPr>
          <w:rFonts w:ascii="Arial" w:eastAsiaTheme="minorHAnsi" w:hAnsi="Arial" w:cstheme="minorBidi"/>
          <w:color w:val="auto"/>
          <w:sz w:val="22"/>
          <w:szCs w:val="22"/>
          <w:lang w:val="en-GB"/>
        </w:rPr>
        <w:id w:val="-204413824"/>
        <w:docPartObj>
          <w:docPartGallery w:val="Table of Contents"/>
          <w:docPartUnique/>
        </w:docPartObj>
      </w:sdtPr>
      <w:sdtEndPr>
        <w:rPr>
          <w:b/>
          <w:bCs/>
          <w:noProof/>
        </w:rPr>
      </w:sdtEndPr>
      <w:sdtContent>
        <w:p w14:paraId="59DB9AD3" w14:textId="20FBE0B8" w:rsidR="00FE4220" w:rsidRDefault="00FE4220">
          <w:pPr>
            <w:pStyle w:val="TOCHeading"/>
          </w:pPr>
          <w:r>
            <w:t>Table of Contents</w:t>
          </w:r>
        </w:p>
        <w:p w14:paraId="7A673FF0" w14:textId="3E77E460" w:rsidR="00FE4220" w:rsidRDefault="00FE4220">
          <w:pPr>
            <w:pStyle w:val="TOC1"/>
            <w:tabs>
              <w:tab w:val="right" w:leader="dot" w:pos="9016"/>
            </w:tabs>
            <w:rPr>
              <w:noProof/>
            </w:rPr>
          </w:pPr>
          <w:r>
            <w:fldChar w:fldCharType="begin"/>
          </w:r>
          <w:r>
            <w:instrText xml:space="preserve"> TOC \o "1-3" \h \z \u </w:instrText>
          </w:r>
          <w:r>
            <w:fldChar w:fldCharType="separate"/>
          </w:r>
          <w:hyperlink w:anchor="_Toc226831702" w:history="1">
            <w:r w:rsidRPr="00B06D30">
              <w:rPr>
                <w:rStyle w:val="Hyperlink"/>
                <w:noProof/>
              </w:rPr>
              <w:t>1. Introduction: The Imperative of Quality Assurance in Modern Healthcare</w:t>
            </w:r>
            <w:r>
              <w:rPr>
                <w:noProof/>
                <w:webHidden/>
              </w:rPr>
              <w:tab/>
            </w:r>
            <w:r>
              <w:rPr>
                <w:noProof/>
                <w:webHidden/>
              </w:rPr>
              <w:fldChar w:fldCharType="begin"/>
            </w:r>
            <w:r>
              <w:rPr>
                <w:noProof/>
                <w:webHidden/>
              </w:rPr>
              <w:instrText xml:space="preserve"> PAGEREF _Toc226831702 \h </w:instrText>
            </w:r>
            <w:r>
              <w:rPr>
                <w:noProof/>
                <w:webHidden/>
              </w:rPr>
            </w:r>
            <w:r>
              <w:rPr>
                <w:noProof/>
                <w:webHidden/>
              </w:rPr>
              <w:fldChar w:fldCharType="separate"/>
            </w:r>
            <w:r>
              <w:rPr>
                <w:noProof/>
                <w:webHidden/>
              </w:rPr>
              <w:t>3</w:t>
            </w:r>
            <w:r>
              <w:rPr>
                <w:noProof/>
                <w:webHidden/>
              </w:rPr>
              <w:fldChar w:fldCharType="end"/>
            </w:r>
          </w:hyperlink>
        </w:p>
        <w:p w14:paraId="660CC748" w14:textId="2378941E" w:rsidR="00FE4220" w:rsidRDefault="00FE4220">
          <w:pPr>
            <w:pStyle w:val="TOC1"/>
            <w:tabs>
              <w:tab w:val="right" w:leader="dot" w:pos="9016"/>
            </w:tabs>
            <w:rPr>
              <w:noProof/>
            </w:rPr>
          </w:pPr>
          <w:hyperlink w:anchor="_Toc226831703" w:history="1">
            <w:r w:rsidRPr="00B06D30">
              <w:rPr>
                <w:rStyle w:val="Hyperlink"/>
                <w:noProof/>
              </w:rPr>
              <w:t>2. Main Body: Analysis of Root Causes and Theoretical Evaluation of Service Improvement</w:t>
            </w:r>
            <w:r>
              <w:rPr>
                <w:noProof/>
                <w:webHidden/>
              </w:rPr>
              <w:tab/>
            </w:r>
            <w:r>
              <w:rPr>
                <w:noProof/>
                <w:webHidden/>
              </w:rPr>
              <w:fldChar w:fldCharType="begin"/>
            </w:r>
            <w:r>
              <w:rPr>
                <w:noProof/>
                <w:webHidden/>
              </w:rPr>
              <w:instrText xml:space="preserve"> PAGEREF _Toc226831703 \h </w:instrText>
            </w:r>
            <w:r>
              <w:rPr>
                <w:noProof/>
                <w:webHidden/>
              </w:rPr>
            </w:r>
            <w:r>
              <w:rPr>
                <w:noProof/>
                <w:webHidden/>
              </w:rPr>
              <w:fldChar w:fldCharType="separate"/>
            </w:r>
            <w:r>
              <w:rPr>
                <w:noProof/>
                <w:webHidden/>
              </w:rPr>
              <w:t>4</w:t>
            </w:r>
            <w:r>
              <w:rPr>
                <w:noProof/>
                <w:webHidden/>
              </w:rPr>
              <w:fldChar w:fldCharType="end"/>
            </w:r>
          </w:hyperlink>
        </w:p>
        <w:p w14:paraId="134600FB" w14:textId="7ACFDE4D" w:rsidR="00FE4220" w:rsidRDefault="00FE4220">
          <w:pPr>
            <w:pStyle w:val="TOC2"/>
            <w:tabs>
              <w:tab w:val="right" w:leader="dot" w:pos="9016"/>
            </w:tabs>
            <w:rPr>
              <w:noProof/>
            </w:rPr>
          </w:pPr>
          <w:hyperlink w:anchor="_Toc226831704" w:history="1">
            <w:r w:rsidRPr="00B06D30">
              <w:rPr>
                <w:rStyle w:val="Hyperlink"/>
                <w:noProof/>
              </w:rPr>
              <w:t>2.1 Theoretical Frameworks in the management of healthcare quality</w:t>
            </w:r>
            <w:r>
              <w:rPr>
                <w:noProof/>
                <w:webHidden/>
              </w:rPr>
              <w:tab/>
            </w:r>
            <w:r>
              <w:rPr>
                <w:noProof/>
                <w:webHidden/>
              </w:rPr>
              <w:fldChar w:fldCharType="begin"/>
            </w:r>
            <w:r>
              <w:rPr>
                <w:noProof/>
                <w:webHidden/>
              </w:rPr>
              <w:instrText xml:space="preserve"> PAGEREF _Toc226831704 \h </w:instrText>
            </w:r>
            <w:r>
              <w:rPr>
                <w:noProof/>
                <w:webHidden/>
              </w:rPr>
            </w:r>
            <w:r>
              <w:rPr>
                <w:noProof/>
                <w:webHidden/>
              </w:rPr>
              <w:fldChar w:fldCharType="separate"/>
            </w:r>
            <w:r>
              <w:rPr>
                <w:noProof/>
                <w:webHidden/>
              </w:rPr>
              <w:t>4</w:t>
            </w:r>
            <w:r>
              <w:rPr>
                <w:noProof/>
                <w:webHidden/>
              </w:rPr>
              <w:fldChar w:fldCharType="end"/>
            </w:r>
          </w:hyperlink>
        </w:p>
        <w:p w14:paraId="7FA05F44" w14:textId="6A31868F" w:rsidR="00FE4220" w:rsidRDefault="00FE4220">
          <w:pPr>
            <w:pStyle w:val="TOC2"/>
            <w:tabs>
              <w:tab w:val="right" w:leader="dot" w:pos="9016"/>
            </w:tabs>
            <w:rPr>
              <w:noProof/>
            </w:rPr>
          </w:pPr>
          <w:hyperlink w:anchor="_Toc226831705" w:history="1">
            <w:r w:rsidRPr="00B06D30">
              <w:rPr>
                <w:rStyle w:val="Hyperlink"/>
                <w:noProof/>
              </w:rPr>
              <w:t>2.2 Root Cause Analysis: The Fishbone Diagram Application</w:t>
            </w:r>
            <w:r>
              <w:rPr>
                <w:noProof/>
                <w:webHidden/>
              </w:rPr>
              <w:tab/>
            </w:r>
            <w:r>
              <w:rPr>
                <w:noProof/>
                <w:webHidden/>
              </w:rPr>
              <w:fldChar w:fldCharType="begin"/>
            </w:r>
            <w:r>
              <w:rPr>
                <w:noProof/>
                <w:webHidden/>
              </w:rPr>
              <w:instrText xml:space="preserve"> PAGEREF _Toc226831705 \h </w:instrText>
            </w:r>
            <w:r>
              <w:rPr>
                <w:noProof/>
                <w:webHidden/>
              </w:rPr>
            </w:r>
            <w:r>
              <w:rPr>
                <w:noProof/>
                <w:webHidden/>
              </w:rPr>
              <w:fldChar w:fldCharType="separate"/>
            </w:r>
            <w:r>
              <w:rPr>
                <w:noProof/>
                <w:webHidden/>
              </w:rPr>
              <w:t>5</w:t>
            </w:r>
            <w:r>
              <w:rPr>
                <w:noProof/>
                <w:webHidden/>
              </w:rPr>
              <w:fldChar w:fldCharType="end"/>
            </w:r>
          </w:hyperlink>
        </w:p>
        <w:p w14:paraId="4673BBD9" w14:textId="19BC4C9E" w:rsidR="00FE4220" w:rsidRDefault="00FE4220">
          <w:pPr>
            <w:pStyle w:val="TOC2"/>
            <w:tabs>
              <w:tab w:val="right" w:leader="dot" w:pos="9016"/>
            </w:tabs>
            <w:rPr>
              <w:noProof/>
            </w:rPr>
          </w:pPr>
          <w:hyperlink w:anchor="_Toc226831706" w:history="1">
            <w:r w:rsidRPr="00B06D30">
              <w:rPr>
                <w:rStyle w:val="Hyperlink"/>
                <w:noProof/>
              </w:rPr>
              <w:t>2.3 Strategic Planning and SWOT Analysis in the Post-Shipman Era</w:t>
            </w:r>
            <w:r>
              <w:rPr>
                <w:noProof/>
                <w:webHidden/>
              </w:rPr>
              <w:tab/>
            </w:r>
            <w:r>
              <w:rPr>
                <w:noProof/>
                <w:webHidden/>
              </w:rPr>
              <w:fldChar w:fldCharType="begin"/>
            </w:r>
            <w:r>
              <w:rPr>
                <w:noProof/>
                <w:webHidden/>
              </w:rPr>
              <w:instrText xml:space="preserve"> PAGEREF _Toc226831706 \h </w:instrText>
            </w:r>
            <w:r>
              <w:rPr>
                <w:noProof/>
                <w:webHidden/>
              </w:rPr>
            </w:r>
            <w:r>
              <w:rPr>
                <w:noProof/>
                <w:webHidden/>
              </w:rPr>
              <w:fldChar w:fldCharType="separate"/>
            </w:r>
            <w:r>
              <w:rPr>
                <w:noProof/>
                <w:webHidden/>
              </w:rPr>
              <w:t>7</w:t>
            </w:r>
            <w:r>
              <w:rPr>
                <w:noProof/>
                <w:webHidden/>
              </w:rPr>
              <w:fldChar w:fldCharType="end"/>
            </w:r>
          </w:hyperlink>
        </w:p>
        <w:p w14:paraId="60FA4F51" w14:textId="744AA4A6" w:rsidR="00FE4220" w:rsidRDefault="00FE4220">
          <w:pPr>
            <w:pStyle w:val="TOC2"/>
            <w:tabs>
              <w:tab w:val="right" w:leader="dot" w:pos="9016"/>
            </w:tabs>
            <w:rPr>
              <w:noProof/>
            </w:rPr>
          </w:pPr>
          <w:hyperlink w:anchor="_Toc226831707" w:history="1">
            <w:r w:rsidRPr="00B06D30">
              <w:rPr>
                <w:rStyle w:val="Hyperlink"/>
                <w:noProof/>
              </w:rPr>
              <w:t>2.4 Critical Evaluation of Management Approaches</w:t>
            </w:r>
            <w:r>
              <w:rPr>
                <w:noProof/>
                <w:webHidden/>
              </w:rPr>
              <w:tab/>
            </w:r>
            <w:r>
              <w:rPr>
                <w:noProof/>
                <w:webHidden/>
              </w:rPr>
              <w:fldChar w:fldCharType="begin"/>
            </w:r>
            <w:r>
              <w:rPr>
                <w:noProof/>
                <w:webHidden/>
              </w:rPr>
              <w:instrText xml:space="preserve"> PAGEREF _Toc226831707 \h </w:instrText>
            </w:r>
            <w:r>
              <w:rPr>
                <w:noProof/>
                <w:webHidden/>
              </w:rPr>
            </w:r>
            <w:r>
              <w:rPr>
                <w:noProof/>
                <w:webHidden/>
              </w:rPr>
              <w:fldChar w:fldCharType="separate"/>
            </w:r>
            <w:r>
              <w:rPr>
                <w:noProof/>
                <w:webHidden/>
              </w:rPr>
              <w:t>9</w:t>
            </w:r>
            <w:r>
              <w:rPr>
                <w:noProof/>
                <w:webHidden/>
              </w:rPr>
              <w:fldChar w:fldCharType="end"/>
            </w:r>
          </w:hyperlink>
        </w:p>
        <w:p w14:paraId="7DC1CE4F" w14:textId="764F67E5" w:rsidR="00FE4220" w:rsidRDefault="00FE4220">
          <w:pPr>
            <w:pStyle w:val="TOC2"/>
            <w:tabs>
              <w:tab w:val="right" w:leader="dot" w:pos="9016"/>
            </w:tabs>
            <w:rPr>
              <w:noProof/>
            </w:rPr>
          </w:pPr>
          <w:hyperlink w:anchor="_Toc226831708" w:history="1">
            <w:r w:rsidRPr="00B06D30">
              <w:rPr>
                <w:rStyle w:val="Hyperlink"/>
                <w:noProof/>
              </w:rPr>
              <w:t>3. Recommendations for Service Improvement and Implementation Strategy</w:t>
            </w:r>
            <w:r>
              <w:rPr>
                <w:noProof/>
                <w:webHidden/>
              </w:rPr>
              <w:tab/>
            </w:r>
            <w:r>
              <w:rPr>
                <w:noProof/>
                <w:webHidden/>
              </w:rPr>
              <w:fldChar w:fldCharType="begin"/>
            </w:r>
            <w:r>
              <w:rPr>
                <w:noProof/>
                <w:webHidden/>
              </w:rPr>
              <w:instrText xml:space="preserve"> PAGEREF _Toc226831708 \h </w:instrText>
            </w:r>
            <w:r>
              <w:rPr>
                <w:noProof/>
                <w:webHidden/>
              </w:rPr>
            </w:r>
            <w:r>
              <w:rPr>
                <w:noProof/>
                <w:webHidden/>
              </w:rPr>
              <w:fldChar w:fldCharType="separate"/>
            </w:r>
            <w:r>
              <w:rPr>
                <w:noProof/>
                <w:webHidden/>
              </w:rPr>
              <w:t>10</w:t>
            </w:r>
            <w:r>
              <w:rPr>
                <w:noProof/>
                <w:webHidden/>
              </w:rPr>
              <w:fldChar w:fldCharType="end"/>
            </w:r>
          </w:hyperlink>
        </w:p>
        <w:p w14:paraId="0F149E85" w14:textId="11BB00B9" w:rsidR="00FE4220" w:rsidRDefault="00FE4220">
          <w:pPr>
            <w:pStyle w:val="TOC2"/>
            <w:tabs>
              <w:tab w:val="right" w:leader="dot" w:pos="9016"/>
            </w:tabs>
            <w:rPr>
              <w:noProof/>
            </w:rPr>
          </w:pPr>
          <w:hyperlink w:anchor="_Toc226831709" w:history="1">
            <w:r w:rsidRPr="00B06D30">
              <w:rPr>
                <w:rStyle w:val="Hyperlink"/>
                <w:noProof/>
              </w:rPr>
              <w:t>Recommendation 1: Statutory Medical Examiner System</w:t>
            </w:r>
            <w:r>
              <w:rPr>
                <w:noProof/>
                <w:webHidden/>
              </w:rPr>
              <w:tab/>
            </w:r>
            <w:r>
              <w:rPr>
                <w:noProof/>
                <w:webHidden/>
              </w:rPr>
              <w:fldChar w:fldCharType="begin"/>
            </w:r>
            <w:r>
              <w:rPr>
                <w:noProof/>
                <w:webHidden/>
              </w:rPr>
              <w:instrText xml:space="preserve"> PAGEREF _Toc226831709 \h </w:instrText>
            </w:r>
            <w:r>
              <w:rPr>
                <w:noProof/>
                <w:webHidden/>
              </w:rPr>
            </w:r>
            <w:r>
              <w:rPr>
                <w:noProof/>
                <w:webHidden/>
              </w:rPr>
              <w:fldChar w:fldCharType="separate"/>
            </w:r>
            <w:r>
              <w:rPr>
                <w:noProof/>
                <w:webHidden/>
              </w:rPr>
              <w:t>10</w:t>
            </w:r>
            <w:r>
              <w:rPr>
                <w:noProof/>
                <w:webHidden/>
              </w:rPr>
              <w:fldChar w:fldCharType="end"/>
            </w:r>
          </w:hyperlink>
        </w:p>
        <w:p w14:paraId="2512047F" w14:textId="06404F32" w:rsidR="00FE4220" w:rsidRDefault="00FE4220">
          <w:pPr>
            <w:pStyle w:val="TOC3"/>
            <w:tabs>
              <w:tab w:val="right" w:leader="dot" w:pos="9016"/>
            </w:tabs>
            <w:rPr>
              <w:noProof/>
            </w:rPr>
          </w:pPr>
          <w:hyperlink w:anchor="_Toc226831710" w:history="1">
            <w:r w:rsidRPr="00B06D30">
              <w:rPr>
                <w:rStyle w:val="Hyperlink"/>
                <w:noProof/>
              </w:rPr>
              <w:t>3.1.1 Implementation via PDSA Cycles</w:t>
            </w:r>
            <w:r>
              <w:rPr>
                <w:noProof/>
                <w:webHidden/>
              </w:rPr>
              <w:tab/>
            </w:r>
            <w:r>
              <w:rPr>
                <w:noProof/>
                <w:webHidden/>
              </w:rPr>
              <w:fldChar w:fldCharType="begin"/>
            </w:r>
            <w:r>
              <w:rPr>
                <w:noProof/>
                <w:webHidden/>
              </w:rPr>
              <w:instrText xml:space="preserve"> PAGEREF _Toc226831710 \h </w:instrText>
            </w:r>
            <w:r>
              <w:rPr>
                <w:noProof/>
                <w:webHidden/>
              </w:rPr>
            </w:r>
            <w:r>
              <w:rPr>
                <w:noProof/>
                <w:webHidden/>
              </w:rPr>
              <w:fldChar w:fldCharType="separate"/>
            </w:r>
            <w:r>
              <w:rPr>
                <w:noProof/>
                <w:webHidden/>
              </w:rPr>
              <w:t>10</w:t>
            </w:r>
            <w:r>
              <w:rPr>
                <w:noProof/>
                <w:webHidden/>
              </w:rPr>
              <w:fldChar w:fldCharType="end"/>
            </w:r>
          </w:hyperlink>
        </w:p>
        <w:p w14:paraId="3F434E1C" w14:textId="581304F2" w:rsidR="00FE4220" w:rsidRDefault="00FE4220">
          <w:pPr>
            <w:pStyle w:val="TOC2"/>
            <w:tabs>
              <w:tab w:val="right" w:leader="dot" w:pos="9016"/>
            </w:tabs>
            <w:rPr>
              <w:noProof/>
            </w:rPr>
          </w:pPr>
          <w:hyperlink w:anchor="_Toc226831711" w:history="1">
            <w:r w:rsidRPr="00B06D30">
              <w:rPr>
                <w:rStyle w:val="Hyperlink"/>
                <w:noProof/>
              </w:rPr>
              <w:t>3.2 Recommendation 2: Applying Lean Principles to Controlled Drug Management</w:t>
            </w:r>
            <w:r>
              <w:rPr>
                <w:noProof/>
                <w:webHidden/>
              </w:rPr>
              <w:tab/>
            </w:r>
            <w:r>
              <w:rPr>
                <w:noProof/>
                <w:webHidden/>
              </w:rPr>
              <w:fldChar w:fldCharType="begin"/>
            </w:r>
            <w:r>
              <w:rPr>
                <w:noProof/>
                <w:webHidden/>
              </w:rPr>
              <w:instrText xml:space="preserve"> PAGEREF _Toc226831711 \h </w:instrText>
            </w:r>
            <w:r>
              <w:rPr>
                <w:noProof/>
                <w:webHidden/>
              </w:rPr>
            </w:r>
            <w:r>
              <w:rPr>
                <w:noProof/>
                <w:webHidden/>
              </w:rPr>
              <w:fldChar w:fldCharType="separate"/>
            </w:r>
            <w:r>
              <w:rPr>
                <w:noProof/>
                <w:webHidden/>
              </w:rPr>
              <w:t>11</w:t>
            </w:r>
            <w:r>
              <w:rPr>
                <w:noProof/>
                <w:webHidden/>
              </w:rPr>
              <w:fldChar w:fldCharType="end"/>
            </w:r>
          </w:hyperlink>
        </w:p>
        <w:p w14:paraId="14185713" w14:textId="5AD94ECC" w:rsidR="00FE4220" w:rsidRDefault="00FE4220">
          <w:pPr>
            <w:pStyle w:val="TOC3"/>
            <w:tabs>
              <w:tab w:val="right" w:leader="dot" w:pos="9016"/>
            </w:tabs>
            <w:rPr>
              <w:noProof/>
            </w:rPr>
          </w:pPr>
          <w:hyperlink w:anchor="_Toc226831712" w:history="1">
            <w:r w:rsidRPr="00B06D30">
              <w:rPr>
                <w:rStyle w:val="Hyperlink"/>
                <w:noProof/>
              </w:rPr>
              <w:t>3.2.1 Value Stream Mapping (VSM) and 5S Methodology</w:t>
            </w:r>
            <w:r>
              <w:rPr>
                <w:noProof/>
                <w:webHidden/>
              </w:rPr>
              <w:tab/>
            </w:r>
            <w:r>
              <w:rPr>
                <w:noProof/>
                <w:webHidden/>
              </w:rPr>
              <w:fldChar w:fldCharType="begin"/>
            </w:r>
            <w:r>
              <w:rPr>
                <w:noProof/>
                <w:webHidden/>
              </w:rPr>
              <w:instrText xml:space="preserve"> PAGEREF _Toc226831712 \h </w:instrText>
            </w:r>
            <w:r>
              <w:rPr>
                <w:noProof/>
                <w:webHidden/>
              </w:rPr>
            </w:r>
            <w:r>
              <w:rPr>
                <w:noProof/>
                <w:webHidden/>
              </w:rPr>
              <w:fldChar w:fldCharType="separate"/>
            </w:r>
            <w:r>
              <w:rPr>
                <w:noProof/>
                <w:webHidden/>
              </w:rPr>
              <w:t>11</w:t>
            </w:r>
            <w:r>
              <w:rPr>
                <w:noProof/>
                <w:webHidden/>
              </w:rPr>
              <w:fldChar w:fldCharType="end"/>
            </w:r>
          </w:hyperlink>
        </w:p>
        <w:p w14:paraId="04D131A6" w14:textId="1EF8099F" w:rsidR="00FE4220" w:rsidRDefault="00FE4220">
          <w:pPr>
            <w:pStyle w:val="TOC2"/>
            <w:tabs>
              <w:tab w:val="right" w:leader="dot" w:pos="9016"/>
            </w:tabs>
            <w:rPr>
              <w:noProof/>
            </w:rPr>
          </w:pPr>
          <w:hyperlink w:anchor="_Toc226831713" w:history="1">
            <w:r w:rsidRPr="00B06D30">
              <w:rPr>
                <w:rStyle w:val="Hyperlink"/>
                <w:noProof/>
              </w:rPr>
              <w:t>3.3 Recommendation 3: Strengthening Clinical Governance and Whistleblowing Culture</w:t>
            </w:r>
            <w:r>
              <w:rPr>
                <w:noProof/>
                <w:webHidden/>
              </w:rPr>
              <w:tab/>
            </w:r>
            <w:r>
              <w:rPr>
                <w:noProof/>
                <w:webHidden/>
              </w:rPr>
              <w:fldChar w:fldCharType="begin"/>
            </w:r>
            <w:r>
              <w:rPr>
                <w:noProof/>
                <w:webHidden/>
              </w:rPr>
              <w:instrText xml:space="preserve"> PAGEREF _Toc226831713 \h </w:instrText>
            </w:r>
            <w:r>
              <w:rPr>
                <w:noProof/>
                <w:webHidden/>
              </w:rPr>
            </w:r>
            <w:r>
              <w:rPr>
                <w:noProof/>
                <w:webHidden/>
              </w:rPr>
              <w:fldChar w:fldCharType="separate"/>
            </w:r>
            <w:r>
              <w:rPr>
                <w:noProof/>
                <w:webHidden/>
              </w:rPr>
              <w:t>11</w:t>
            </w:r>
            <w:r>
              <w:rPr>
                <w:noProof/>
                <w:webHidden/>
              </w:rPr>
              <w:fldChar w:fldCharType="end"/>
            </w:r>
          </w:hyperlink>
        </w:p>
        <w:p w14:paraId="686A5431" w14:textId="61274B75" w:rsidR="00FE4220" w:rsidRDefault="00FE4220">
          <w:pPr>
            <w:pStyle w:val="TOC2"/>
            <w:tabs>
              <w:tab w:val="right" w:leader="dot" w:pos="9016"/>
            </w:tabs>
            <w:rPr>
              <w:noProof/>
            </w:rPr>
          </w:pPr>
          <w:hyperlink w:anchor="_Toc226831714" w:history="1">
            <w:r w:rsidRPr="00B06D30">
              <w:rPr>
                <w:rStyle w:val="Hyperlink"/>
                <w:noProof/>
              </w:rPr>
              <w:t>3.4 Implementation Strategy for Long-Term Sustainability</w:t>
            </w:r>
            <w:r>
              <w:rPr>
                <w:noProof/>
                <w:webHidden/>
              </w:rPr>
              <w:tab/>
            </w:r>
            <w:r>
              <w:rPr>
                <w:noProof/>
                <w:webHidden/>
              </w:rPr>
              <w:fldChar w:fldCharType="begin"/>
            </w:r>
            <w:r>
              <w:rPr>
                <w:noProof/>
                <w:webHidden/>
              </w:rPr>
              <w:instrText xml:space="preserve"> PAGEREF _Toc226831714 \h </w:instrText>
            </w:r>
            <w:r>
              <w:rPr>
                <w:noProof/>
                <w:webHidden/>
              </w:rPr>
            </w:r>
            <w:r>
              <w:rPr>
                <w:noProof/>
                <w:webHidden/>
              </w:rPr>
              <w:fldChar w:fldCharType="separate"/>
            </w:r>
            <w:r>
              <w:rPr>
                <w:noProof/>
                <w:webHidden/>
              </w:rPr>
              <w:t>12</w:t>
            </w:r>
            <w:r>
              <w:rPr>
                <w:noProof/>
                <w:webHidden/>
              </w:rPr>
              <w:fldChar w:fldCharType="end"/>
            </w:r>
          </w:hyperlink>
        </w:p>
        <w:p w14:paraId="522CC00E" w14:textId="2BC24C23" w:rsidR="00FE4220" w:rsidRDefault="00FE4220">
          <w:pPr>
            <w:pStyle w:val="TOC2"/>
            <w:tabs>
              <w:tab w:val="right" w:leader="dot" w:pos="9016"/>
            </w:tabs>
            <w:rPr>
              <w:noProof/>
            </w:rPr>
          </w:pPr>
          <w:hyperlink w:anchor="_Toc226831715" w:history="1">
            <w:r w:rsidRPr="00B06D30">
              <w:rPr>
                <w:rStyle w:val="Hyperlink"/>
                <w:noProof/>
              </w:rPr>
              <w:t>4. Conclusion: Summary of Findings and Future Directions</w:t>
            </w:r>
            <w:r>
              <w:rPr>
                <w:noProof/>
                <w:webHidden/>
              </w:rPr>
              <w:tab/>
            </w:r>
            <w:r>
              <w:rPr>
                <w:noProof/>
                <w:webHidden/>
              </w:rPr>
              <w:fldChar w:fldCharType="begin"/>
            </w:r>
            <w:r>
              <w:rPr>
                <w:noProof/>
                <w:webHidden/>
              </w:rPr>
              <w:instrText xml:space="preserve"> PAGEREF _Toc226831715 \h </w:instrText>
            </w:r>
            <w:r>
              <w:rPr>
                <w:noProof/>
                <w:webHidden/>
              </w:rPr>
            </w:r>
            <w:r>
              <w:rPr>
                <w:noProof/>
                <w:webHidden/>
              </w:rPr>
              <w:fldChar w:fldCharType="separate"/>
            </w:r>
            <w:r>
              <w:rPr>
                <w:noProof/>
                <w:webHidden/>
              </w:rPr>
              <w:t>13</w:t>
            </w:r>
            <w:r>
              <w:rPr>
                <w:noProof/>
                <w:webHidden/>
              </w:rPr>
              <w:fldChar w:fldCharType="end"/>
            </w:r>
          </w:hyperlink>
        </w:p>
        <w:p w14:paraId="19D0B447" w14:textId="150A61BD" w:rsidR="00FE4220" w:rsidRDefault="00FE4220">
          <w:pPr>
            <w:pStyle w:val="TOC1"/>
            <w:tabs>
              <w:tab w:val="right" w:leader="dot" w:pos="9016"/>
            </w:tabs>
            <w:rPr>
              <w:noProof/>
            </w:rPr>
          </w:pPr>
          <w:hyperlink w:anchor="_Toc226831716" w:history="1">
            <w:r w:rsidRPr="00B06D30">
              <w:rPr>
                <w:rStyle w:val="Hyperlink"/>
                <w:noProof/>
              </w:rPr>
              <w:t>References</w:t>
            </w:r>
            <w:r>
              <w:rPr>
                <w:noProof/>
                <w:webHidden/>
              </w:rPr>
              <w:tab/>
            </w:r>
            <w:r>
              <w:rPr>
                <w:noProof/>
                <w:webHidden/>
              </w:rPr>
              <w:fldChar w:fldCharType="begin"/>
            </w:r>
            <w:r>
              <w:rPr>
                <w:noProof/>
                <w:webHidden/>
              </w:rPr>
              <w:instrText xml:space="preserve"> PAGEREF _Toc226831716 \h </w:instrText>
            </w:r>
            <w:r>
              <w:rPr>
                <w:noProof/>
                <w:webHidden/>
              </w:rPr>
            </w:r>
            <w:r>
              <w:rPr>
                <w:noProof/>
                <w:webHidden/>
              </w:rPr>
              <w:fldChar w:fldCharType="separate"/>
            </w:r>
            <w:r>
              <w:rPr>
                <w:noProof/>
                <w:webHidden/>
              </w:rPr>
              <w:t>14</w:t>
            </w:r>
            <w:r>
              <w:rPr>
                <w:noProof/>
                <w:webHidden/>
              </w:rPr>
              <w:fldChar w:fldCharType="end"/>
            </w:r>
          </w:hyperlink>
        </w:p>
        <w:p w14:paraId="58CF6612" w14:textId="4A54598A" w:rsidR="00FE4220" w:rsidRDefault="00FE4220">
          <w:r>
            <w:rPr>
              <w:b/>
              <w:bCs/>
              <w:noProof/>
            </w:rPr>
            <w:fldChar w:fldCharType="end"/>
          </w:r>
        </w:p>
      </w:sdtContent>
    </w:sdt>
    <w:p w14:paraId="3F82E8B7" w14:textId="47137EB2" w:rsidR="00E94A5F" w:rsidRDefault="00E94A5F" w:rsidP="00FE4220">
      <w:r>
        <w:br w:type="page"/>
      </w:r>
    </w:p>
    <w:p w14:paraId="70791C05" w14:textId="2276593A" w:rsidR="00E94A5F" w:rsidRDefault="00D53CB1" w:rsidP="00D53CB1">
      <w:pPr>
        <w:pStyle w:val="Heading1"/>
      </w:pPr>
      <w:bookmarkStart w:id="1" w:name="_Toc226831702"/>
      <w:r w:rsidRPr="00D53CB1">
        <w:lastRenderedPageBreak/>
        <w:t>1. Introduction: The Imperative of Quality Assurance in Modern Healthcare</w:t>
      </w:r>
      <w:bookmarkEnd w:id="1"/>
    </w:p>
    <w:p w14:paraId="19E674AB" w14:textId="7E5CE7C8" w:rsidR="00D53CB1" w:rsidRDefault="00D53CB1" w:rsidP="00D53CB1">
      <w:r>
        <w:t>The provision of health and social care is a highly sensitive matter, as it is based on a thin line between clinical knowledge, organizational effectiveness, and social confidence. Quality assurance (QA) is a basic process that helps healthcare organizations to ensure that their services are safe, effective, and responsive to the needs of patients by means of constant assessment and monitoring</w:t>
      </w:r>
      <w:r w:rsidR="00C061AA">
        <w:t xml:space="preserve"> </w:t>
      </w:r>
      <w:r w:rsidR="00C061AA" w:rsidRPr="00C061AA">
        <w:t>(</w:t>
      </w:r>
      <w:proofErr w:type="spellStart"/>
      <w:r w:rsidR="00C061AA" w:rsidRPr="00C061AA">
        <w:t>Schmidtke</w:t>
      </w:r>
      <w:proofErr w:type="spellEnd"/>
      <w:r w:rsidR="00C061AA" w:rsidRPr="00C061AA">
        <w:t xml:space="preserve"> et al., 2024)</w:t>
      </w:r>
      <w:r>
        <w:t>. With the shift in the era of fast technological development, and rising patient demands, QA has ceased to be a peripheral administrative role but a pillar of clinical governance, where the standards of care are not only satisfied, but continuously enhanced</w:t>
      </w:r>
      <w:r w:rsidR="00C061AA">
        <w:t xml:space="preserve"> </w:t>
      </w:r>
      <w:r w:rsidR="00C061AA" w:rsidRPr="00C061AA">
        <w:t>(Santos et al., 2025)</w:t>
      </w:r>
      <w:r w:rsidR="00C061AA">
        <w:t>.</w:t>
      </w:r>
    </w:p>
    <w:p w14:paraId="2F10AD95" w14:textId="4E2AFEB8" w:rsidR="00D53CB1" w:rsidRDefault="00D53CB1" w:rsidP="00D53CB1">
      <w:proofErr w:type="spellStart"/>
      <w:r>
        <w:t>Dr.</w:t>
      </w:r>
      <w:proofErr w:type="spellEnd"/>
      <w:r>
        <w:t xml:space="preserve"> Harold Frederick Shipman is the case that can be discussed as one of the most notable and devastating clinical governance failures in the history of the National Health Service (NHS) in the United Kingdom</w:t>
      </w:r>
      <w:r w:rsidR="00C061AA">
        <w:t xml:space="preserve"> </w:t>
      </w:r>
      <w:r w:rsidR="00C061AA" w:rsidRPr="00C061AA">
        <w:t>(Dyer, 2005)</w:t>
      </w:r>
      <w:r>
        <w:t xml:space="preserve">. In 2000, </w:t>
      </w:r>
      <w:proofErr w:type="spellStart"/>
      <w:r>
        <w:t>Dr.</w:t>
      </w:r>
      <w:proofErr w:type="spellEnd"/>
      <w:r>
        <w:t xml:space="preserve"> Shipman, a general practitioner of Hyde, Greater Manchester, was found guilty of the murder of 15 of his patients although further investigations have found that he could have killed more than 200 people between 1975 and 1998</w:t>
      </w:r>
      <w:r w:rsidR="00C061AA">
        <w:t xml:space="preserve"> </w:t>
      </w:r>
      <w:r w:rsidR="00C061AA" w:rsidRPr="00C061AA">
        <w:t>(</w:t>
      </w:r>
      <w:proofErr w:type="spellStart"/>
      <w:r w:rsidR="00C061AA" w:rsidRPr="00C061AA">
        <w:t>Kmietowicz</w:t>
      </w:r>
      <w:proofErr w:type="spellEnd"/>
      <w:r w:rsidR="00C061AA" w:rsidRPr="00C061AA">
        <w:t>, 2005)</w:t>
      </w:r>
      <w:r>
        <w:t>. It was a heart-wrenching example of how a deficiency of monitoring and accountability can enable malevolent activities to go unnoticed over decades.</w:t>
      </w:r>
    </w:p>
    <w:p w14:paraId="035ECD77" w14:textId="38719128" w:rsidR="00D53CB1" w:rsidRDefault="00D53CB1" w:rsidP="00D53CB1">
      <w:r>
        <w:t>Shipman Inquiry, conducted by Dame Janet Smith, found that the doctor could take advantage of the high trust that was put on medical professionals and the disjointed nature of the current monitoring systems</w:t>
      </w:r>
      <w:r w:rsidR="00C061AA">
        <w:t xml:space="preserve"> </w:t>
      </w:r>
      <w:r w:rsidR="00C061AA" w:rsidRPr="00C061AA">
        <w:t>(Mannion et al., 2019)</w:t>
      </w:r>
      <w:r>
        <w:t>. There was no organized tracking of the mortality rate of general practitioners at the time, and death and cremation certificates signing was not a procedure that could be subjected to any kind of independent verification</w:t>
      </w:r>
      <w:r w:rsidR="00C061AA">
        <w:t xml:space="preserve"> </w:t>
      </w:r>
      <w:r w:rsidR="00C061AA" w:rsidRPr="00C061AA">
        <w:t>(Ellis, 2020)</w:t>
      </w:r>
      <w:r>
        <w:t>. Moreover, controlled drugs such as diamorphine were managed with lax controls and Shipman was able to accumulate a deadly amount of medication by using fake prescriptions and diversion of drugs used by dead patients. These were not just personal but rather organizational and regulatory failures.</w:t>
      </w:r>
    </w:p>
    <w:p w14:paraId="3149C264" w14:textId="38D60BD6" w:rsidR="00D53CB1" w:rsidRDefault="00D53CB1" w:rsidP="00D53CB1">
      <w:r>
        <w:t xml:space="preserve">With the Shipman Inquiry, the UK government initiated a radical reform agenda to enhance patient protection. The present report provides an analysis of the underlying causes of the quality issues revealed in the Shipman case and the assessment of modern service improvement approaches. The report uses theoretical models including the Fishbone Diagram and strategic analysis tools like SWOT analysis to find out how healthcare organizations can shift to the culture of transparency and safety. Moreover, it makes practical suggestions with quality improvement (QI) models like Plan-Do-Study-Act (PDSA) and Lean methodology, and </w:t>
      </w:r>
      <w:r>
        <w:lastRenderedPageBreak/>
        <w:t>strives to make sure that learnings of the Shipman case become forever ingrained in the healthcare governance.</w:t>
      </w:r>
    </w:p>
    <w:p w14:paraId="3F289AE0" w14:textId="77777777" w:rsidR="00D53CB1" w:rsidRDefault="00D53CB1" w:rsidP="00D53CB1">
      <w:pPr>
        <w:pStyle w:val="Heading1"/>
      </w:pPr>
      <w:bookmarkStart w:id="2" w:name="_Toc226831703"/>
      <w:r>
        <w:t>2. Main Body: Analysis of Root Causes and Theoretical Evaluation of Service Improvement</w:t>
      </w:r>
      <w:bookmarkEnd w:id="2"/>
    </w:p>
    <w:p w14:paraId="11958ED5" w14:textId="463B3BFD" w:rsidR="00D53CB1" w:rsidRDefault="00D53CB1" w:rsidP="00D53CB1">
      <w:r>
        <w:t>The identification of the underlying factors that result in the dysfunction of the organization through a thorough application of the theoretical models is imperative in the analysis of service failure and the formulation of improvement strategies. In regard to the Shipman case, the causes run much deeper than personal criminality, and involve structural, process, and culture-wide failures.</w:t>
      </w:r>
    </w:p>
    <w:p w14:paraId="46587B05" w14:textId="2053FCEB" w:rsidR="00D53CB1" w:rsidRDefault="00D53CB1" w:rsidP="00D53CB1">
      <w:pPr>
        <w:pStyle w:val="Heading2"/>
      </w:pPr>
      <w:bookmarkStart w:id="3" w:name="_Toc226831704"/>
      <w:r>
        <w:t>2.1 Theoretical Frameworks in the management of healthcare quality</w:t>
      </w:r>
      <w:bookmarkEnd w:id="3"/>
    </w:p>
    <w:p w14:paraId="49222F09" w14:textId="620A6AE0" w:rsidR="00D53CB1" w:rsidRDefault="00D53CB1" w:rsidP="00D53CB1">
      <w:r>
        <w:t>In order to study the quality of healthcare effectively, researchers and practitioners usually utilize the Donabedian Model, according to which the quality indicators may be broken down into structure, process, and outcomes. Structure is the physical and organizational context within which care is delivered; process is all the interactions between patients and providers; and outcomes are the ultimate outcomes of care</w:t>
      </w:r>
      <w:r w:rsidR="00C061AA">
        <w:t xml:space="preserve"> </w:t>
      </w:r>
      <w:r w:rsidR="00C061AA" w:rsidRPr="00C061AA">
        <w:t>(NHS Improvement, 2021)</w:t>
      </w:r>
      <w:r>
        <w:t>.</w:t>
      </w:r>
      <w:r w:rsidR="00C061AA">
        <w:t xml:space="preserve"> </w:t>
      </w:r>
      <w:r>
        <w:t>The structure (single-handed general practice with minimal external supervision) and the process (unverified death certification and drug prescription) were grossly undermined in the Shipman case directly contributing to the disastrous consequences of unchecked mortality</w:t>
      </w:r>
      <w:r w:rsidR="00C061AA">
        <w:t xml:space="preserve"> </w:t>
      </w:r>
      <w:r w:rsidR="00C061AA" w:rsidRPr="00C061AA">
        <w:t>(</w:t>
      </w:r>
      <w:proofErr w:type="spellStart"/>
      <w:r w:rsidR="00C061AA" w:rsidRPr="00C061AA">
        <w:t>Alogla</w:t>
      </w:r>
      <w:proofErr w:type="spellEnd"/>
      <w:r w:rsidR="00C061AA" w:rsidRPr="00C061AA">
        <w:t>, 2025)</w:t>
      </w:r>
      <w:r>
        <w:t>.</w:t>
      </w:r>
    </w:p>
    <w:p w14:paraId="0690D8FA" w14:textId="1AF2CA2B" w:rsidR="00D53CB1" w:rsidRDefault="00D53CB1" w:rsidP="00D53CB1">
      <w:r>
        <w:t>The other critical framework is Total Quality management (TQM) which underlines that quality is a process that sees all the employees participating in an ongoing process of gaining improvement</w:t>
      </w:r>
      <w:r w:rsidR="00C061AA">
        <w:t xml:space="preserve"> </w:t>
      </w:r>
      <w:r w:rsidR="00C061AA" w:rsidRPr="00C061AA">
        <w:t>(Barr and Brannan, 2024)</w:t>
      </w:r>
      <w:r>
        <w:t>. TQM establishes failures in healthcare to be mostly caused by the lack of employee engagement, bad leadership, and absence of quality-focused culture. When these factors fail, it leads to what is known as bad barrel metaphor in which an organizational culture will be favourable to failure or silence</w:t>
      </w:r>
      <w:r w:rsidR="00C061AA">
        <w:t xml:space="preserve"> </w:t>
      </w:r>
      <w:r w:rsidR="00C061AA" w:rsidRPr="00C061AA">
        <w:t>(Davies and Offer, 2019)</w:t>
      </w:r>
      <w:r>
        <w:t>. The case of Shipman showed that there was a total deficiency of TQM; over the years, the funeral directors and the doctors around had observed abnormal patterns in mortality, but the current culture was neither conducive nor supportive towards reporting these issues.</w:t>
      </w:r>
    </w:p>
    <w:p w14:paraId="5C75465C" w14:textId="1B0429EF" w:rsidR="00D53CB1" w:rsidRDefault="00D53CB1" w:rsidP="00D53CB1">
      <w:pPr>
        <w:spacing w:line="259" w:lineRule="auto"/>
        <w:jc w:val="left"/>
      </w:pPr>
      <w:r>
        <w:br w:type="page"/>
      </w:r>
    </w:p>
    <w:p w14:paraId="43D7FAF5" w14:textId="77777777" w:rsidR="00D53CB1" w:rsidRDefault="00D53CB1" w:rsidP="00D53CB1">
      <w:pPr>
        <w:pStyle w:val="Heading2"/>
      </w:pPr>
      <w:bookmarkStart w:id="4" w:name="_Toc226831705"/>
      <w:r>
        <w:lastRenderedPageBreak/>
        <w:t>2.2 Root Cause Analysis: The Fishbone Diagram Application</w:t>
      </w:r>
      <w:bookmarkEnd w:id="4"/>
    </w:p>
    <w:p w14:paraId="1C3D761F" w14:textId="10CC3ED5" w:rsidR="00D53CB1" w:rsidRDefault="00D53CB1" w:rsidP="00D53CB1">
      <w:r>
        <w:t>The Fishbone (Ishikawa) Diagram is a visualization tool used in root cause analysis to separate the causes of a problem from its symptoms</w:t>
      </w:r>
      <w:r w:rsidR="00C061AA">
        <w:t xml:space="preserve"> </w:t>
      </w:r>
      <w:r w:rsidR="00C061AA" w:rsidRPr="00C061AA">
        <w:t>(Barr and Brannan, 2024)</w:t>
      </w:r>
      <w:r>
        <w:t>. By categorizing the contributors to the Shipman case, organizations can identify which areas require targeted intervention to prevent recurrence.</w:t>
      </w:r>
    </w:p>
    <w:p w14:paraId="2B77BC68" w14:textId="039891AE" w:rsidR="00D53CB1" w:rsidRDefault="00D53CB1" w:rsidP="00D53CB1">
      <w:pPr>
        <w:jc w:val="center"/>
      </w:pPr>
      <w:r>
        <w:rPr>
          <w:noProof/>
        </w:rPr>
        <w:drawing>
          <wp:inline distT="0" distB="0" distL="0" distR="0" wp14:anchorId="7E46F13A" wp14:editId="297A5273">
            <wp:extent cx="5060950" cy="2988938"/>
            <wp:effectExtent l="0" t="0" r="6350" b="254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071123" cy="2994946"/>
                    </a:xfrm>
                    <a:prstGeom prst="rect">
                      <a:avLst/>
                    </a:prstGeom>
                    <a:noFill/>
                  </pic:spPr>
                </pic:pic>
              </a:graphicData>
            </a:graphic>
          </wp:inline>
        </w:drawing>
      </w:r>
    </w:p>
    <w:p w14:paraId="0F197D95" w14:textId="3BC2879E" w:rsidR="00D53CB1" w:rsidRDefault="00D53CB1" w:rsidP="00D53CB1">
      <w:pPr>
        <w:jc w:val="center"/>
        <w:rPr>
          <w:b/>
          <w:bCs/>
          <w:i/>
          <w:iCs/>
        </w:rPr>
      </w:pPr>
      <w:r w:rsidRPr="00D53CB1">
        <w:rPr>
          <w:b/>
          <w:bCs/>
          <w:i/>
          <w:iCs/>
        </w:rPr>
        <w:t>Figure 1: Ishikawa diagram aka Fishbone diagram (</w:t>
      </w:r>
      <w:proofErr w:type="spellStart"/>
      <w:r w:rsidRPr="00D53CB1">
        <w:rPr>
          <w:b/>
          <w:bCs/>
          <w:i/>
          <w:iCs/>
        </w:rPr>
        <w:t>Hristoski</w:t>
      </w:r>
      <w:proofErr w:type="spellEnd"/>
      <w:r w:rsidRPr="00D53CB1">
        <w:rPr>
          <w:b/>
          <w:bCs/>
          <w:i/>
          <w:iCs/>
        </w:rPr>
        <w:t xml:space="preserve"> et al., 2017)</w:t>
      </w:r>
    </w:p>
    <w:p w14:paraId="30D997A2" w14:textId="77777777" w:rsidR="009B64C6" w:rsidRPr="00D53CB1" w:rsidRDefault="009B64C6" w:rsidP="00D53CB1">
      <w:pPr>
        <w:jc w:val="center"/>
        <w:rPr>
          <w:b/>
          <w:bCs/>
          <w:i/>
          <w:iCs/>
        </w:rPr>
      </w:pPr>
    </w:p>
    <w:tbl>
      <w:tblPr>
        <w:tblStyle w:val="PlainTable2"/>
        <w:tblW w:w="0" w:type="auto"/>
        <w:tblLook w:val="04A0" w:firstRow="1" w:lastRow="0" w:firstColumn="1" w:lastColumn="0" w:noHBand="0" w:noVBand="1"/>
      </w:tblPr>
      <w:tblGrid>
        <w:gridCol w:w="4508"/>
        <w:gridCol w:w="4508"/>
      </w:tblGrid>
      <w:tr w:rsidR="00D53CB1" w:rsidRPr="00D53CB1" w14:paraId="619F45E4" w14:textId="77777777" w:rsidTr="009B64C6">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65561042" w14:textId="77777777" w:rsidR="00D53CB1" w:rsidRPr="00D53CB1" w:rsidRDefault="00D53CB1" w:rsidP="009B64C6">
            <w:pPr>
              <w:jc w:val="center"/>
            </w:pPr>
            <w:r w:rsidRPr="00D53CB1">
              <w:t>Category</w:t>
            </w:r>
          </w:p>
        </w:tc>
        <w:tc>
          <w:tcPr>
            <w:tcW w:w="4508" w:type="dxa"/>
          </w:tcPr>
          <w:p w14:paraId="31BAAD83" w14:textId="77777777" w:rsidR="00D53CB1" w:rsidRPr="00D53CB1" w:rsidRDefault="00D53CB1" w:rsidP="009B64C6">
            <w:pPr>
              <w:jc w:val="center"/>
              <w:cnfStyle w:val="100000000000" w:firstRow="1" w:lastRow="0" w:firstColumn="0" w:lastColumn="0" w:oddVBand="0" w:evenVBand="0" w:oddHBand="0" w:evenHBand="0" w:firstRowFirstColumn="0" w:firstRowLastColumn="0" w:lastRowFirstColumn="0" w:lastRowLastColumn="0"/>
            </w:pPr>
            <w:r w:rsidRPr="00D53CB1">
              <w:t>Contributing Factors Identified in the Shipman Case</w:t>
            </w:r>
          </w:p>
        </w:tc>
      </w:tr>
      <w:tr w:rsidR="00D53CB1" w:rsidRPr="00D53CB1" w14:paraId="77150A69" w14:textId="77777777" w:rsidTr="009B64C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36492AB9" w14:textId="77777777" w:rsidR="00D53CB1" w:rsidRPr="00D53CB1" w:rsidRDefault="00D53CB1" w:rsidP="009B64C6">
            <w:pPr>
              <w:jc w:val="center"/>
            </w:pPr>
            <w:r w:rsidRPr="00D53CB1">
              <w:t>Manpower (People)</w:t>
            </w:r>
          </w:p>
        </w:tc>
        <w:tc>
          <w:tcPr>
            <w:tcW w:w="4508" w:type="dxa"/>
          </w:tcPr>
          <w:p w14:paraId="2FF8CE74" w14:textId="1B329E7D" w:rsidR="00D53CB1" w:rsidRPr="00D53CB1" w:rsidRDefault="00D53CB1" w:rsidP="009B64C6">
            <w:pPr>
              <w:cnfStyle w:val="000000100000" w:firstRow="0" w:lastRow="0" w:firstColumn="0" w:lastColumn="0" w:oddVBand="0" w:evenVBand="0" w:oddHBand="1" w:evenHBand="0" w:firstRowFirstColumn="0" w:firstRowLastColumn="0" w:lastRowFirstColumn="0" w:lastRowLastColumn="0"/>
            </w:pPr>
            <w:r w:rsidRPr="00D53CB1">
              <w:t xml:space="preserve">A high level of unquestioning trust in doctors was evident, alongside the professional isolation of single-handed general practitioners. There was a lack of peer review mechanisms, and a prevailing cultural bias </w:t>
            </w:r>
            <w:proofErr w:type="spellStart"/>
            <w:r w:rsidRPr="00D53CB1">
              <w:t>favored</w:t>
            </w:r>
            <w:proofErr w:type="spellEnd"/>
            <w:r w:rsidRPr="00D53CB1">
              <w:t xml:space="preserve"> clinical autonomy over patient safety, reducing opportunities for accountability and challenge</w:t>
            </w:r>
            <w:r w:rsidR="00C061AA">
              <w:t xml:space="preserve"> </w:t>
            </w:r>
            <w:r w:rsidR="00C061AA" w:rsidRPr="00C061AA">
              <w:t>(Barr and Brannan, 2024)</w:t>
            </w:r>
            <w:r w:rsidRPr="00D53CB1">
              <w:t>.</w:t>
            </w:r>
          </w:p>
        </w:tc>
      </w:tr>
      <w:tr w:rsidR="00D53CB1" w:rsidRPr="00D53CB1" w14:paraId="686AE8F7" w14:textId="77777777" w:rsidTr="009B64C6">
        <w:tc>
          <w:tcPr>
            <w:cnfStyle w:val="001000000000" w:firstRow="0" w:lastRow="0" w:firstColumn="1" w:lastColumn="0" w:oddVBand="0" w:evenVBand="0" w:oddHBand="0" w:evenHBand="0" w:firstRowFirstColumn="0" w:firstRowLastColumn="0" w:lastRowFirstColumn="0" w:lastRowLastColumn="0"/>
            <w:tcW w:w="4508" w:type="dxa"/>
          </w:tcPr>
          <w:p w14:paraId="7D3D48EA" w14:textId="77777777" w:rsidR="00D53CB1" w:rsidRPr="00D53CB1" w:rsidRDefault="00D53CB1" w:rsidP="009B64C6">
            <w:pPr>
              <w:jc w:val="center"/>
            </w:pPr>
            <w:r w:rsidRPr="00D53CB1">
              <w:t>Methods (Processes)</w:t>
            </w:r>
          </w:p>
        </w:tc>
        <w:tc>
          <w:tcPr>
            <w:tcW w:w="4508" w:type="dxa"/>
          </w:tcPr>
          <w:p w14:paraId="33233311" w14:textId="77777777" w:rsidR="00D53CB1" w:rsidRPr="00D53CB1" w:rsidRDefault="00D53CB1" w:rsidP="009B64C6">
            <w:pPr>
              <w:cnfStyle w:val="000000000000" w:firstRow="0" w:lastRow="0" w:firstColumn="0" w:lastColumn="0" w:oddVBand="0" w:evenVBand="0" w:oddHBand="0" w:evenHBand="0" w:firstRowFirstColumn="0" w:firstRowLastColumn="0" w:lastRowFirstColumn="0" w:lastRowLastColumn="0"/>
            </w:pPr>
            <w:r w:rsidRPr="00D53CB1">
              <w:t xml:space="preserve">Death certification processes were flawed and lacked independent verification. Cremation documentation was often </w:t>
            </w:r>
            <w:r w:rsidRPr="00D53CB1">
              <w:lastRenderedPageBreak/>
              <w:t>completed in a cursory manner, while standardized mortality audits were absent. Additionally, early police investigations were inadequate, reflecting procedural weaknesses in detecting irregularities.</w:t>
            </w:r>
          </w:p>
        </w:tc>
      </w:tr>
      <w:tr w:rsidR="00D53CB1" w:rsidRPr="00D53CB1" w14:paraId="41A211BB" w14:textId="77777777" w:rsidTr="009B64C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68784B1B" w14:textId="77777777" w:rsidR="00D53CB1" w:rsidRPr="00D53CB1" w:rsidRDefault="00D53CB1" w:rsidP="009B64C6">
            <w:pPr>
              <w:jc w:val="center"/>
            </w:pPr>
            <w:r w:rsidRPr="00D53CB1">
              <w:lastRenderedPageBreak/>
              <w:t>Machine (Technology)</w:t>
            </w:r>
          </w:p>
        </w:tc>
        <w:tc>
          <w:tcPr>
            <w:tcW w:w="4508" w:type="dxa"/>
          </w:tcPr>
          <w:p w14:paraId="69E642EB" w14:textId="2FDA9D27" w:rsidR="00D53CB1" w:rsidRPr="00D53CB1" w:rsidRDefault="00D53CB1" w:rsidP="009B64C6">
            <w:pPr>
              <w:cnfStyle w:val="000000100000" w:firstRow="0" w:lastRow="0" w:firstColumn="0" w:lastColumn="0" w:oddVBand="0" w:evenVBand="0" w:oddHBand="1" w:evenHBand="0" w:firstRowFirstColumn="0" w:firstRowLastColumn="0" w:lastRowFirstColumn="0" w:lastRowLastColumn="0"/>
            </w:pPr>
            <w:r w:rsidRPr="00D53CB1">
              <w:t>There was an absence of digital systems capable of tracking mortality trends in real time. The lack of shared electronic health records further limited transparency, while prescription monitoring relied on manual and poorly coordinated registers, increasing the risk of oversight failures</w:t>
            </w:r>
            <w:r w:rsidR="00C061AA">
              <w:t xml:space="preserve"> </w:t>
            </w:r>
            <w:r w:rsidR="00C061AA" w:rsidRPr="00C061AA">
              <w:t>(Jewell, 2005)</w:t>
            </w:r>
            <w:r w:rsidRPr="00D53CB1">
              <w:t>.</w:t>
            </w:r>
          </w:p>
        </w:tc>
      </w:tr>
      <w:tr w:rsidR="00D53CB1" w:rsidRPr="00D53CB1" w14:paraId="1B8AE54D" w14:textId="77777777" w:rsidTr="009B64C6">
        <w:tc>
          <w:tcPr>
            <w:cnfStyle w:val="001000000000" w:firstRow="0" w:lastRow="0" w:firstColumn="1" w:lastColumn="0" w:oddVBand="0" w:evenVBand="0" w:oddHBand="0" w:evenHBand="0" w:firstRowFirstColumn="0" w:firstRowLastColumn="0" w:lastRowFirstColumn="0" w:lastRowLastColumn="0"/>
            <w:tcW w:w="4508" w:type="dxa"/>
          </w:tcPr>
          <w:p w14:paraId="018EFD0B" w14:textId="77777777" w:rsidR="00D53CB1" w:rsidRPr="00D53CB1" w:rsidRDefault="00D53CB1" w:rsidP="009B64C6">
            <w:pPr>
              <w:jc w:val="center"/>
            </w:pPr>
            <w:r w:rsidRPr="00D53CB1">
              <w:t>Material (Drugs)</w:t>
            </w:r>
          </w:p>
        </w:tc>
        <w:tc>
          <w:tcPr>
            <w:tcW w:w="4508" w:type="dxa"/>
          </w:tcPr>
          <w:p w14:paraId="658E34C2" w14:textId="520036D7" w:rsidR="00D53CB1" w:rsidRPr="00D53CB1" w:rsidRDefault="00D53CB1" w:rsidP="009B64C6">
            <w:pPr>
              <w:cnfStyle w:val="000000000000" w:firstRow="0" w:lastRow="0" w:firstColumn="0" w:lastColumn="0" w:oddVBand="0" w:evenVBand="0" w:oddHBand="0" w:evenHBand="0" w:firstRowFirstColumn="0" w:firstRowLastColumn="0" w:lastRowFirstColumn="0" w:lastRowLastColumn="0"/>
            </w:pPr>
            <w:r w:rsidRPr="00D53CB1">
              <w:t>Controls surrounding diamorphine prescribing were weak, with insufficient monitoring mechanisms in place. There was also a lack of proper oversight regarding drug disposal following patient death, alongside notable gaps within the controlled drug inspection system.</w:t>
            </w:r>
          </w:p>
        </w:tc>
      </w:tr>
      <w:tr w:rsidR="00D53CB1" w:rsidRPr="00D53CB1" w14:paraId="54F2973A" w14:textId="77777777" w:rsidTr="009B64C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3A8B6C5A" w14:textId="77777777" w:rsidR="00D53CB1" w:rsidRPr="00D53CB1" w:rsidRDefault="00D53CB1" w:rsidP="009B64C6">
            <w:pPr>
              <w:jc w:val="center"/>
            </w:pPr>
            <w:r w:rsidRPr="00D53CB1">
              <w:t>Management (Policy)</w:t>
            </w:r>
          </w:p>
        </w:tc>
        <w:tc>
          <w:tcPr>
            <w:tcW w:w="4508" w:type="dxa"/>
          </w:tcPr>
          <w:p w14:paraId="11C88713" w14:textId="2D04ABEA" w:rsidR="00D53CB1" w:rsidRPr="00D53CB1" w:rsidRDefault="00D53CB1" w:rsidP="009B64C6">
            <w:pPr>
              <w:cnfStyle w:val="000000100000" w:firstRow="0" w:lastRow="0" w:firstColumn="0" w:lastColumn="0" w:oddVBand="0" w:evenVBand="0" w:oddHBand="1" w:evenHBand="0" w:firstRowFirstColumn="0" w:firstRowLastColumn="0" w:lastRowFirstColumn="0" w:lastRowLastColumn="0"/>
            </w:pPr>
            <w:r w:rsidRPr="00D53CB1">
              <w:t>Regulatory oversight was fragmented, with ineffective communication between health authorities and the coroner’s office</w:t>
            </w:r>
            <w:r w:rsidR="00C061AA">
              <w:t xml:space="preserve"> </w:t>
            </w:r>
            <w:r w:rsidR="00C061AA" w:rsidRPr="00C061AA">
              <w:t>(</w:t>
            </w:r>
            <w:proofErr w:type="spellStart"/>
            <w:r w:rsidR="00C061AA" w:rsidRPr="00C061AA">
              <w:t>Kumah</w:t>
            </w:r>
            <w:proofErr w:type="spellEnd"/>
            <w:r w:rsidR="00C061AA" w:rsidRPr="00C061AA">
              <w:t xml:space="preserve"> et al., 2024)</w:t>
            </w:r>
            <w:r w:rsidRPr="00D53CB1">
              <w:t>. Whistleblowing mechanisms were inadequate, and there was no established “no-blame” culture, discouraging staff from raising concerns.</w:t>
            </w:r>
          </w:p>
        </w:tc>
      </w:tr>
      <w:tr w:rsidR="00D53CB1" w:rsidRPr="00D53CB1" w14:paraId="4F88582A" w14:textId="77777777" w:rsidTr="009B64C6">
        <w:tc>
          <w:tcPr>
            <w:cnfStyle w:val="001000000000" w:firstRow="0" w:lastRow="0" w:firstColumn="1" w:lastColumn="0" w:oddVBand="0" w:evenVBand="0" w:oddHBand="0" w:evenHBand="0" w:firstRowFirstColumn="0" w:firstRowLastColumn="0" w:lastRowFirstColumn="0" w:lastRowLastColumn="0"/>
            <w:tcW w:w="4508" w:type="dxa"/>
          </w:tcPr>
          <w:p w14:paraId="79A0762A" w14:textId="77777777" w:rsidR="00D53CB1" w:rsidRPr="00D53CB1" w:rsidRDefault="00D53CB1" w:rsidP="009B64C6">
            <w:pPr>
              <w:jc w:val="center"/>
            </w:pPr>
            <w:r w:rsidRPr="00D53CB1">
              <w:t>Measurement (Data)</w:t>
            </w:r>
          </w:p>
        </w:tc>
        <w:tc>
          <w:tcPr>
            <w:tcW w:w="4508" w:type="dxa"/>
          </w:tcPr>
          <w:p w14:paraId="1BE23141" w14:textId="77777777" w:rsidR="00D53CB1" w:rsidRPr="00D53CB1" w:rsidRDefault="00D53CB1" w:rsidP="009B64C6">
            <w:pPr>
              <w:cnfStyle w:val="000000000000" w:firstRow="0" w:lastRow="0" w:firstColumn="0" w:lastColumn="0" w:oddVBand="0" w:evenVBand="0" w:oddHBand="0" w:evenHBand="0" w:firstRowFirstColumn="0" w:firstRowLastColumn="0" w:lastRowFirstColumn="0" w:lastRowLastColumn="0"/>
            </w:pPr>
            <w:r w:rsidRPr="00D53CB1">
              <w:t>There was no routine statistical analysis of mortality data at the general practice level. Outliers in cremation rates were not identified, and the absence of Key Performance Indicators (KPIs) for drug safety contributed to a failure in monitoring and early detection.</w:t>
            </w:r>
          </w:p>
        </w:tc>
      </w:tr>
    </w:tbl>
    <w:p w14:paraId="74A89CE9" w14:textId="77777777" w:rsidR="00D53CB1" w:rsidRDefault="00D53CB1" w:rsidP="00D53CB1"/>
    <w:p w14:paraId="67E6B153" w14:textId="269AF686" w:rsidR="00D53CB1" w:rsidRDefault="00D53CB1" w:rsidP="00D53CB1"/>
    <w:p w14:paraId="21F02FE6" w14:textId="166A4D65" w:rsidR="009B64C6" w:rsidRDefault="009B64C6" w:rsidP="00D53CB1"/>
    <w:p w14:paraId="416D9A4A" w14:textId="00585F83" w:rsidR="009B64C6" w:rsidRDefault="009B64C6" w:rsidP="009B64C6">
      <w:r>
        <w:lastRenderedPageBreak/>
        <w:t>The section of Manpower brings out the main historical problem; a paternalistic relationship between patients and doctors. Shipman took advantage of this trust, and frequently changed medical records following a death to fabricate a previous sickness and excuse his behavior</w:t>
      </w:r>
      <w:r w:rsidR="00C061AA">
        <w:t xml:space="preserve"> </w:t>
      </w:r>
      <w:r w:rsidR="00C061AA" w:rsidRPr="00C061AA">
        <w:t>(Landmark Chambers, 2024)</w:t>
      </w:r>
      <w:r>
        <w:t>. This manipulation of "Methods" could only be done since there was no need of having another medical professional confirm his findings. The most obvious failure is the "Measurement" one; a statistical analysis subsequently revealed that the mortality rates of Shipman were clear outliers, but there was no mechanism to alert to that at the time</w:t>
      </w:r>
      <w:r w:rsidR="00C061AA">
        <w:t xml:space="preserve"> </w:t>
      </w:r>
      <w:r w:rsidR="00C061AA" w:rsidRPr="00C061AA">
        <w:t>(NHS Improving Quality, 2015)</w:t>
      </w:r>
      <w:r>
        <w:t>.</w:t>
      </w:r>
    </w:p>
    <w:p w14:paraId="0727D012" w14:textId="56CD99C5" w:rsidR="009B64C6" w:rsidRDefault="009B64C6" w:rsidP="009B64C6">
      <w:r>
        <w:t xml:space="preserve">The Swiss Cheese Model also describes this failure by indicating that various layers of safety protection were all failed at the same time. Every slice of cheese is a </w:t>
      </w:r>
      <w:proofErr w:type="spellStart"/>
      <w:r>
        <w:t>defense</w:t>
      </w:r>
      <w:proofErr w:type="spellEnd"/>
      <w:r>
        <w:t xml:space="preserve"> professional, police probe, death certification, and drug control but the gaps in these layers coincided, which allowed Shipman to go on with his crimes over 23 years</w:t>
      </w:r>
      <w:r w:rsidR="00C061AA">
        <w:t xml:space="preserve"> </w:t>
      </w:r>
      <w:r w:rsidR="00C061AA" w:rsidRPr="00C061AA">
        <w:t>(</w:t>
      </w:r>
      <w:proofErr w:type="spellStart"/>
      <w:r w:rsidR="00C061AA" w:rsidRPr="00C061AA">
        <w:t>Playfor</w:t>
      </w:r>
      <w:proofErr w:type="spellEnd"/>
      <w:r w:rsidR="00C061AA" w:rsidRPr="00C061AA">
        <w:t xml:space="preserve"> and </w:t>
      </w:r>
      <w:proofErr w:type="spellStart"/>
      <w:r w:rsidR="00C061AA" w:rsidRPr="00C061AA">
        <w:t>Bunni</w:t>
      </w:r>
      <w:proofErr w:type="spellEnd"/>
      <w:r w:rsidR="00C061AA" w:rsidRPr="00C061AA">
        <w:t>, 2026)</w:t>
      </w:r>
      <w:r>
        <w:t>.</w:t>
      </w:r>
    </w:p>
    <w:p w14:paraId="4B26EED1" w14:textId="04541D0A" w:rsidR="009B64C6" w:rsidRDefault="009B64C6" w:rsidP="009B64C6">
      <w:pPr>
        <w:pStyle w:val="Heading2"/>
      </w:pPr>
      <w:bookmarkStart w:id="5" w:name="_Toc226831706"/>
      <w:r w:rsidRPr="009B64C6">
        <w:t>2.3 Strategic Planning and SWOT Analysis in the Post-Shipman Era</w:t>
      </w:r>
      <w:bookmarkEnd w:id="5"/>
    </w:p>
    <w:p w14:paraId="29EAC8D9" w14:textId="61C19C9E" w:rsidR="009B64C6" w:rsidRDefault="009B64C6" w:rsidP="009B64C6">
      <w:r w:rsidRPr="009B64C6">
        <w:t>Strategic planning in health care is the method of analysing the capability of an organization based on the SWOT analysis (Strengths, Weaknesses, Opportunities, Threats) as methods of overlaying the internal capability of an organization on the external environment</w:t>
      </w:r>
      <w:r w:rsidR="00C061AA">
        <w:t xml:space="preserve"> </w:t>
      </w:r>
      <w:r w:rsidR="00C061AA" w:rsidRPr="00C061AA">
        <w:t>(</w:t>
      </w:r>
      <w:proofErr w:type="spellStart"/>
      <w:r w:rsidR="00C061AA" w:rsidRPr="00C061AA">
        <w:t>Teoli</w:t>
      </w:r>
      <w:proofErr w:type="spellEnd"/>
      <w:r w:rsidR="00C061AA" w:rsidRPr="00C061AA">
        <w:t xml:space="preserve">, An and </w:t>
      </w:r>
      <w:proofErr w:type="spellStart"/>
      <w:r w:rsidR="00C061AA" w:rsidRPr="00C061AA">
        <w:t>Sanvictores</w:t>
      </w:r>
      <w:proofErr w:type="spellEnd"/>
      <w:r w:rsidR="00C061AA" w:rsidRPr="00C061AA">
        <w:t>, 2023)</w:t>
      </w:r>
      <w:r w:rsidRPr="009B64C6">
        <w:t>. In the case of contemporary healthcare organizations, a SWOT analysis would be useful in aligning clinical governance with the national priorities of safety.</w:t>
      </w:r>
    </w:p>
    <w:p w14:paraId="6730DE31" w14:textId="199C4CAD" w:rsidR="009B64C6" w:rsidRDefault="009B64C6" w:rsidP="000C3ACE">
      <w:pPr>
        <w:jc w:val="center"/>
      </w:pPr>
      <w:r>
        <w:rPr>
          <w:noProof/>
        </w:rPr>
        <w:drawing>
          <wp:inline distT="0" distB="0" distL="0" distR="0" wp14:anchorId="474E5B76" wp14:editId="56691D77">
            <wp:extent cx="6458733" cy="3143250"/>
            <wp:effectExtent l="0" t="0" r="0" b="0"/>
            <wp:docPr id="3" name="Graphic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extLst>
                        <a:ext uri="{96DAC541-7B7A-43D3-8B79-37D633B846F1}">
                          <asvg:svgBlip xmlns:asvg="http://schemas.microsoft.com/office/drawing/2016/SVG/main" r:embed="rId11"/>
                        </a:ext>
                      </a:extLst>
                    </a:blip>
                    <a:srcRect t="21926" b="13185"/>
                    <a:stretch/>
                  </pic:blipFill>
                  <pic:spPr bwMode="auto">
                    <a:xfrm>
                      <a:off x="0" y="0"/>
                      <a:ext cx="6461759" cy="3144723"/>
                    </a:xfrm>
                    <a:prstGeom prst="rect">
                      <a:avLst/>
                    </a:prstGeom>
                    <a:ln>
                      <a:noFill/>
                    </a:ln>
                    <a:extLst>
                      <a:ext uri="{53640926-AAD7-44D8-BBD7-CCE9431645EC}">
                        <a14:shadowObscured xmlns:a14="http://schemas.microsoft.com/office/drawing/2010/main"/>
                      </a:ext>
                    </a:extLst>
                  </pic:spPr>
                </pic:pic>
              </a:graphicData>
            </a:graphic>
          </wp:inline>
        </w:drawing>
      </w:r>
    </w:p>
    <w:p w14:paraId="1C3658A6" w14:textId="7BDEC789" w:rsidR="000C3ACE" w:rsidRPr="000C3ACE" w:rsidRDefault="000C3ACE" w:rsidP="000C3ACE">
      <w:pPr>
        <w:jc w:val="center"/>
        <w:rPr>
          <w:b/>
          <w:bCs/>
          <w:i/>
          <w:iCs/>
        </w:rPr>
      </w:pPr>
      <w:r w:rsidRPr="000C3ACE">
        <w:rPr>
          <w:b/>
          <w:bCs/>
          <w:i/>
          <w:iCs/>
        </w:rPr>
        <w:t>Figure 2: SWOT Analysis of Current Healthcare Governance 2024 Reforms (Own)</w:t>
      </w:r>
    </w:p>
    <w:p w14:paraId="2C99D153" w14:textId="24002F0D" w:rsidR="000C3ACE" w:rsidRDefault="000C3ACE">
      <w:pPr>
        <w:spacing w:line="259" w:lineRule="auto"/>
        <w:jc w:val="left"/>
      </w:pPr>
      <w:r>
        <w:br w:type="page"/>
      </w:r>
    </w:p>
    <w:tbl>
      <w:tblPr>
        <w:tblStyle w:val="PlainTable2"/>
        <w:tblW w:w="0" w:type="auto"/>
        <w:tblLook w:val="04A0" w:firstRow="1" w:lastRow="0" w:firstColumn="1" w:lastColumn="0" w:noHBand="0" w:noVBand="1"/>
      </w:tblPr>
      <w:tblGrid>
        <w:gridCol w:w="4508"/>
        <w:gridCol w:w="4508"/>
      </w:tblGrid>
      <w:tr w:rsidR="000C3ACE" w14:paraId="4F8172BD" w14:textId="77777777" w:rsidTr="000C3ACE">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7C3CA1E0" w14:textId="332668EC" w:rsidR="000C3ACE" w:rsidRDefault="000C3ACE" w:rsidP="000C3ACE">
            <w:pPr>
              <w:jc w:val="center"/>
            </w:pPr>
            <w:r w:rsidRPr="000C3ACE">
              <w:lastRenderedPageBreak/>
              <w:t>SWOT Factor</w:t>
            </w:r>
          </w:p>
        </w:tc>
        <w:tc>
          <w:tcPr>
            <w:tcW w:w="4508" w:type="dxa"/>
          </w:tcPr>
          <w:p w14:paraId="3D1AFDA5" w14:textId="14968E62" w:rsidR="000C3ACE" w:rsidRDefault="000C3ACE" w:rsidP="000C3ACE">
            <w:pPr>
              <w:jc w:val="center"/>
              <w:cnfStyle w:val="100000000000" w:firstRow="1" w:lastRow="0" w:firstColumn="0" w:lastColumn="0" w:oddVBand="0" w:evenVBand="0" w:oddHBand="0" w:evenHBand="0" w:firstRowFirstColumn="0" w:firstRowLastColumn="0" w:lastRowFirstColumn="0" w:lastRowLastColumn="0"/>
            </w:pPr>
            <w:r w:rsidRPr="000C3ACE">
              <w:t>Analysis of Current Healthcare Governance (2024 Reforms)</w:t>
            </w:r>
          </w:p>
        </w:tc>
      </w:tr>
      <w:tr w:rsidR="000C3ACE" w14:paraId="0C16F057" w14:textId="77777777" w:rsidTr="000C3AC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341BA7A9" w14:textId="78F4243B" w:rsidR="000C3ACE" w:rsidRDefault="000C3ACE" w:rsidP="000C3ACE">
            <w:pPr>
              <w:jc w:val="center"/>
            </w:pPr>
            <w:r w:rsidRPr="000C3ACE">
              <w:t>Strengths</w:t>
            </w:r>
          </w:p>
        </w:tc>
        <w:tc>
          <w:tcPr>
            <w:tcW w:w="4508" w:type="dxa"/>
          </w:tcPr>
          <w:p w14:paraId="23FBC08F" w14:textId="1EAAA2EF" w:rsidR="000C3ACE" w:rsidRDefault="000C3ACE" w:rsidP="000C3ACE">
            <w:pPr>
              <w:cnfStyle w:val="000000100000" w:firstRow="0" w:lastRow="0" w:firstColumn="0" w:lastColumn="0" w:oddVBand="0" w:evenVBand="0" w:oddHBand="1" w:evenHBand="0" w:firstRowFirstColumn="0" w:firstRowLastColumn="0" w:lastRowFirstColumn="0" w:lastRowLastColumn="0"/>
            </w:pPr>
            <w:r w:rsidRPr="000C3ACE">
              <w:t>Implementation of statutory Medical Examiners (Sept 2024); mandatory doctor revalidation (GMC); robust digital prescribing systems; culture shift toward shared responsibility for safety.</w:t>
            </w:r>
          </w:p>
        </w:tc>
      </w:tr>
      <w:tr w:rsidR="000C3ACE" w14:paraId="6BE62314" w14:textId="77777777" w:rsidTr="000C3ACE">
        <w:tc>
          <w:tcPr>
            <w:cnfStyle w:val="001000000000" w:firstRow="0" w:lastRow="0" w:firstColumn="1" w:lastColumn="0" w:oddVBand="0" w:evenVBand="0" w:oddHBand="0" w:evenHBand="0" w:firstRowFirstColumn="0" w:firstRowLastColumn="0" w:lastRowFirstColumn="0" w:lastRowLastColumn="0"/>
            <w:tcW w:w="4508" w:type="dxa"/>
          </w:tcPr>
          <w:p w14:paraId="670EEA88" w14:textId="1E911FDA" w:rsidR="000C3ACE" w:rsidRDefault="000C3ACE" w:rsidP="000C3ACE">
            <w:pPr>
              <w:jc w:val="center"/>
            </w:pPr>
            <w:r w:rsidRPr="000C3ACE">
              <w:t>Weaknesses</w:t>
            </w:r>
          </w:p>
        </w:tc>
        <w:tc>
          <w:tcPr>
            <w:tcW w:w="4508" w:type="dxa"/>
          </w:tcPr>
          <w:p w14:paraId="424854B3" w14:textId="0A4E406B" w:rsidR="000C3ACE" w:rsidRDefault="000C3ACE" w:rsidP="000C3ACE">
            <w:pPr>
              <w:cnfStyle w:val="000000000000" w:firstRow="0" w:lastRow="0" w:firstColumn="0" w:lastColumn="0" w:oddVBand="0" w:evenVBand="0" w:oddHBand="0" w:evenHBand="0" w:firstRowFirstColumn="0" w:firstRowLastColumn="0" w:lastRowFirstColumn="0" w:lastRowLastColumn="0"/>
            </w:pPr>
            <w:r w:rsidRPr="000C3ACE">
              <w:t>Administrative burden on GPs; potential for "tick-box" compliance; clinical variability in remote areas; ongoing challenges in inter-professional communication and data sharing.</w:t>
            </w:r>
          </w:p>
        </w:tc>
      </w:tr>
      <w:tr w:rsidR="000C3ACE" w14:paraId="17FFBA72" w14:textId="77777777" w:rsidTr="000C3AC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76DC9E1D" w14:textId="39CFA69C" w:rsidR="000C3ACE" w:rsidRDefault="000C3ACE" w:rsidP="000C3ACE">
            <w:pPr>
              <w:jc w:val="center"/>
            </w:pPr>
            <w:r w:rsidRPr="000C3ACE">
              <w:t>Opportunities</w:t>
            </w:r>
          </w:p>
        </w:tc>
        <w:tc>
          <w:tcPr>
            <w:tcW w:w="4508" w:type="dxa"/>
          </w:tcPr>
          <w:p w14:paraId="08AAB573" w14:textId="328F9D85" w:rsidR="000C3ACE" w:rsidRDefault="000C3ACE" w:rsidP="000C3ACE">
            <w:pPr>
              <w:cnfStyle w:val="000000100000" w:firstRow="0" w:lastRow="0" w:firstColumn="0" w:lastColumn="0" w:oddVBand="0" w:evenVBand="0" w:oddHBand="1" w:evenHBand="0" w:firstRowFirstColumn="0" w:firstRowLastColumn="0" w:lastRowFirstColumn="0" w:lastRowLastColumn="0"/>
            </w:pPr>
            <w:r w:rsidRPr="000C3ACE">
              <w:t>Expansion of AI and big data analytics for mortality monitoring; increased funding for clinical governance; community outreach to rebuild public trust; further integration of health and social care.</w:t>
            </w:r>
          </w:p>
        </w:tc>
      </w:tr>
      <w:tr w:rsidR="000C3ACE" w14:paraId="21FC1073" w14:textId="77777777" w:rsidTr="000C3ACE">
        <w:tc>
          <w:tcPr>
            <w:cnfStyle w:val="001000000000" w:firstRow="0" w:lastRow="0" w:firstColumn="1" w:lastColumn="0" w:oddVBand="0" w:evenVBand="0" w:oddHBand="0" w:evenHBand="0" w:firstRowFirstColumn="0" w:firstRowLastColumn="0" w:lastRowFirstColumn="0" w:lastRowLastColumn="0"/>
            <w:tcW w:w="4508" w:type="dxa"/>
          </w:tcPr>
          <w:p w14:paraId="48A06DB2" w14:textId="1394EF73" w:rsidR="000C3ACE" w:rsidRDefault="000C3ACE" w:rsidP="000C3ACE">
            <w:pPr>
              <w:jc w:val="center"/>
            </w:pPr>
            <w:r w:rsidRPr="000C3ACE">
              <w:t>Threats</w:t>
            </w:r>
          </w:p>
        </w:tc>
        <w:tc>
          <w:tcPr>
            <w:tcW w:w="4508" w:type="dxa"/>
          </w:tcPr>
          <w:p w14:paraId="4D9D2E0A" w14:textId="00E4CDAF" w:rsidR="000C3ACE" w:rsidRDefault="000C3ACE" w:rsidP="000C3ACE">
            <w:pPr>
              <w:cnfStyle w:val="000000000000" w:firstRow="0" w:lastRow="0" w:firstColumn="0" w:lastColumn="0" w:oddVBand="0" w:evenVBand="0" w:oddHBand="0" w:evenHBand="0" w:firstRowFirstColumn="0" w:firstRowLastColumn="0" w:lastRowFirstColumn="0" w:lastRowLastColumn="0"/>
            </w:pPr>
            <w:r w:rsidRPr="000C3ACE">
              <w:t>Rising demand and staff shortages; economic pressures causing cuts to non-clinical oversight; erosion of public trust if new systems are perceived as bureaucratic delays; emerging complex drug risks.</w:t>
            </w:r>
          </w:p>
        </w:tc>
      </w:tr>
    </w:tbl>
    <w:p w14:paraId="3619CDA8" w14:textId="64B35DCE" w:rsidR="000C3ACE" w:rsidRDefault="000C3ACE" w:rsidP="000C3ACE"/>
    <w:p w14:paraId="7783F222" w14:textId="2297F4D2" w:rsidR="000C3ACE" w:rsidRDefault="000C3ACE" w:rsidP="000C3ACE">
      <w:r>
        <w:t>The major Strength of the current landscape is the 2024 Death Certification Reform, whereby all the deaths, which have not been probed by a coroner, must be examined by an independent Medical Examiner</w:t>
      </w:r>
      <w:r w:rsidR="00C061AA">
        <w:t xml:space="preserve"> </w:t>
      </w:r>
      <w:r w:rsidR="00C061AA" w:rsidRPr="00C061AA">
        <w:t>(Parliament.uk, 2025)</w:t>
      </w:r>
      <w:r>
        <w:t>. This directly refers to the Method failure of the Shipman era. Nevertheless, there is a major “Weakness” in that there is always a possibility of such systems being perceived as administrative activities and not imperative safety inspections. The opportunity to apply data analytics is large; it is now possible to use systems such as statistical process control (SPC) charts to track clinical practice and spot anomalies much quicker than through manual audits</w:t>
      </w:r>
      <w:r w:rsidR="00C061AA">
        <w:t xml:space="preserve"> </w:t>
      </w:r>
      <w:r w:rsidR="00C061AA" w:rsidRPr="00C061AA">
        <w:t>(Powell et al., 2021)</w:t>
      </w:r>
      <w:r>
        <w:t>. Among the threats are the threat of the so-called alert fatigue, where clinicians can disregard the warning signal of automated systems because of high workloads.</w:t>
      </w:r>
    </w:p>
    <w:p w14:paraId="5022A09F" w14:textId="1E05D712" w:rsidR="000C3ACE" w:rsidRDefault="000C3ACE" w:rsidP="000C3ACE">
      <w:r>
        <w:t>Through a Strengths-Opportunities (SO) approach, companies can use their strong digital infrastructure to implement regional tele-governance programs, with risks being monitored in real-time</w:t>
      </w:r>
      <w:r w:rsidR="00C061AA">
        <w:t xml:space="preserve"> </w:t>
      </w:r>
      <w:r w:rsidR="00C061AA" w:rsidRPr="00C061AA">
        <w:t>(</w:t>
      </w:r>
      <w:proofErr w:type="spellStart"/>
      <w:r w:rsidR="00C061AA" w:rsidRPr="00C061AA">
        <w:t>Seelbach</w:t>
      </w:r>
      <w:proofErr w:type="spellEnd"/>
      <w:r w:rsidR="00C061AA" w:rsidRPr="00C061AA">
        <w:t xml:space="preserve"> and Brannan, 2023)</w:t>
      </w:r>
      <w:r>
        <w:t xml:space="preserve">. In its turn, a Weaknesses-Threats (WT) approach </w:t>
      </w:r>
      <w:r>
        <w:lastRenderedPageBreak/>
        <w:t>would require introducing obligatory streamlined reporting forms to overburdened staff members, making sure that the necessary safety-related information is recorded despite the resource limitations</w:t>
      </w:r>
      <w:r w:rsidR="00C061AA">
        <w:t xml:space="preserve"> </w:t>
      </w:r>
      <w:r w:rsidR="00C061AA" w:rsidRPr="00C061AA">
        <w:t>(Stead, 2025)</w:t>
      </w:r>
      <w:r w:rsidR="00C061AA">
        <w:t>.</w:t>
      </w:r>
    </w:p>
    <w:p w14:paraId="2CE307F3" w14:textId="73E037CA" w:rsidR="00D53CB1" w:rsidRDefault="000C3ACE" w:rsidP="000C3ACE">
      <w:pPr>
        <w:pStyle w:val="Heading2"/>
      </w:pPr>
      <w:bookmarkStart w:id="6" w:name="_Toc226831707"/>
      <w:r w:rsidRPr="000C3ACE">
        <w:t>2.4 Critical Evaluation of Management Approaches</w:t>
      </w:r>
      <w:bookmarkEnd w:id="6"/>
    </w:p>
    <w:p w14:paraId="2C8E930B" w14:textId="176788C6" w:rsidR="000C3ACE" w:rsidRDefault="000C3ACE" w:rsidP="000C3ACE">
      <w:r>
        <w:t>CQI has taken a central role in the healthcare field, bridging best evidence to the up-to-date practice to improve patient outcomes. CQI, in contrast to the historical models that emphasized periodic checking, presupposes the systematized use of the tools to determine barriers and test results in real time</w:t>
      </w:r>
      <w:r w:rsidR="00FE4220">
        <w:t xml:space="preserve"> </w:t>
      </w:r>
      <w:r w:rsidR="00FE4220" w:rsidRPr="00FE4220">
        <w:t>(Taylor et al., 2014)</w:t>
      </w:r>
      <w:r>
        <w:t>. The Shipman Inquiry highlighted clinical governance as a collective duty of all healthcare bodies to shift towards a system-wide enhancement instead of individual accountability</w:t>
      </w:r>
      <w:r w:rsidR="00FE4220">
        <w:t xml:space="preserve"> </w:t>
      </w:r>
      <w:r w:rsidR="00FE4220" w:rsidRPr="00FE4220">
        <w:t xml:space="preserve">(Van </w:t>
      </w:r>
      <w:proofErr w:type="spellStart"/>
      <w:r w:rsidR="00FE4220" w:rsidRPr="00FE4220">
        <w:t>Houdt</w:t>
      </w:r>
      <w:proofErr w:type="spellEnd"/>
      <w:r w:rsidR="00FE4220" w:rsidRPr="00FE4220">
        <w:t xml:space="preserve"> et al., 2013)</w:t>
      </w:r>
      <w:r w:rsidR="00FE4220">
        <w:t>.</w:t>
      </w:r>
    </w:p>
    <w:p w14:paraId="7BC935CB" w14:textId="08C4D58A" w:rsidR="000C3ACE" w:rsidRDefault="000C3ACE" w:rsidP="000C3ACE">
      <w:r>
        <w:t>Moving to the no-blame or safety culture is a necessary step to good governance. This culture promotes reporting of near misses and suspicious trends without fear of professional suicide</w:t>
      </w:r>
      <w:r w:rsidR="00FE4220">
        <w:t xml:space="preserve"> </w:t>
      </w:r>
      <w:r w:rsidR="00FE4220" w:rsidRPr="00FE4220">
        <w:t>(Welch, 2025)</w:t>
      </w:r>
      <w:r>
        <w:t>. This can be backed up by the Freedom to Speak Up (FTSU) guardians in the NHS in the modern context, which offers a channel through which the staff can raise concerns. Also 5-yearly doctor revalidation will ensure that clinicians are required to demonstrate their competence in regular local appraisal and patient comments, avoiding the isolation that enabled Shipman to practice unimpeded</w:t>
      </w:r>
      <w:r w:rsidR="00FE4220">
        <w:t xml:space="preserve"> </w:t>
      </w:r>
      <w:r w:rsidR="00FE4220" w:rsidRPr="00FE4220">
        <w:t>(Younis, 2024)</w:t>
      </w:r>
      <w:r w:rsidR="00FE4220">
        <w:t>.</w:t>
      </w:r>
    </w:p>
    <w:p w14:paraId="47C3C33F" w14:textId="77777777" w:rsidR="000C3ACE" w:rsidRDefault="000C3ACE">
      <w:pPr>
        <w:spacing w:line="259" w:lineRule="auto"/>
        <w:jc w:val="left"/>
      </w:pPr>
      <w:r>
        <w:br w:type="page"/>
      </w:r>
    </w:p>
    <w:p w14:paraId="668BD122" w14:textId="3C262061" w:rsidR="000C3ACE" w:rsidRDefault="000C3ACE" w:rsidP="000C3ACE">
      <w:pPr>
        <w:pStyle w:val="Heading2"/>
      </w:pPr>
      <w:bookmarkStart w:id="7" w:name="_Toc226831708"/>
      <w:r w:rsidRPr="000C3ACE">
        <w:lastRenderedPageBreak/>
        <w:t>3. Recommendations for Service Improvement and Implementation Strategy</w:t>
      </w:r>
      <w:bookmarkEnd w:id="7"/>
    </w:p>
    <w:p w14:paraId="776FC5A7" w14:textId="72582292" w:rsidR="000C3ACE" w:rsidRDefault="000C3ACE" w:rsidP="000C3ACE">
      <w:r>
        <w:t>To eradicate the underlying factors behind systemic governance failure and guarantee permanent quality improvement, healthcare organizations need to go beyond reactive compliance and towards active, evidence-based management. The recommendations below are based on implementing the 2024 reforms and improving the safety measures through the use of the PDSA and Lean methodologies.</w:t>
      </w:r>
    </w:p>
    <w:p w14:paraId="632656FB" w14:textId="0CDCF2EE" w:rsidR="000C3ACE" w:rsidRPr="000C3ACE" w:rsidRDefault="000C3ACE" w:rsidP="00764E4F">
      <w:pPr>
        <w:pStyle w:val="Heading2"/>
      </w:pPr>
      <w:bookmarkStart w:id="8" w:name="_Toc226831709"/>
      <w:r w:rsidRPr="000C3ACE">
        <w:t>Recommendation 1: Statutory Medical Examiner System</w:t>
      </w:r>
      <w:bookmarkEnd w:id="8"/>
    </w:p>
    <w:p w14:paraId="4DA9B610" w14:textId="46AB1B12" w:rsidR="000C3ACE" w:rsidRDefault="000C3ACE" w:rsidP="000C3ACE">
      <w:r>
        <w:t>The 2024 Death Certification Reforms is the largest change to the death registration procedure in decades. It is advisable that Integrated Care Boards (ICBs) and local NHS Trusts should completely incorporate the Medical Examiner (ME) system into their clinical governance processes to provide independent examination of all deaths</w:t>
      </w:r>
      <w:r w:rsidR="00FE4220">
        <w:t xml:space="preserve"> </w:t>
      </w:r>
      <w:r w:rsidR="00FE4220" w:rsidRPr="00FE4220">
        <w:t>(Zhou and Yin, 2026)</w:t>
      </w:r>
      <w:r>
        <w:t>.</w:t>
      </w:r>
    </w:p>
    <w:p w14:paraId="5C2C63EC" w14:textId="0AC9702A" w:rsidR="00764E4F" w:rsidRDefault="00764E4F" w:rsidP="00764E4F">
      <w:pPr>
        <w:pStyle w:val="Heading3"/>
      </w:pPr>
      <w:bookmarkStart w:id="9" w:name="_Toc226831710"/>
      <w:r w:rsidRPr="00764E4F">
        <w:t>3.1.1 Implementation via PDSA Cycles</w:t>
      </w:r>
      <w:bookmarkEnd w:id="9"/>
    </w:p>
    <w:p w14:paraId="432EBB43" w14:textId="13604431" w:rsidR="000C3ACE" w:rsidRDefault="000C3ACE" w:rsidP="000C3ACE">
      <w:r>
        <w:t>Plan-Do-Study-Act (PDSA) cycle enables the organizations to experiment with changes over a small scale before broader implementation.</w:t>
      </w:r>
    </w:p>
    <w:p w14:paraId="1CA35866" w14:textId="6F24DA53" w:rsidR="000C3ACE" w:rsidRPr="000C3ACE" w:rsidRDefault="000C3ACE" w:rsidP="000C3ACE">
      <w:pPr>
        <w:rPr>
          <w:b/>
          <w:bCs/>
        </w:rPr>
      </w:pPr>
      <w:r w:rsidRPr="000C3ACE">
        <w:rPr>
          <w:b/>
          <w:bCs/>
        </w:rPr>
        <w:t>Plan:</w:t>
      </w:r>
    </w:p>
    <w:p w14:paraId="586A5163" w14:textId="0F7A5397" w:rsidR="000C3ACE" w:rsidRDefault="000C3ACE" w:rsidP="000C3ACE">
      <w:r>
        <w:t>State the purpose: 100% of the non-coronial deaths in the community should be reported by an ME within 48 hours of death notification</w:t>
      </w:r>
      <w:r w:rsidR="00FE4220">
        <w:t xml:space="preserve"> </w:t>
      </w:r>
      <w:r w:rsidR="00FE4220" w:rsidRPr="00FE4220">
        <w:t>(</w:t>
      </w:r>
      <w:proofErr w:type="spellStart"/>
      <w:r w:rsidR="00FE4220" w:rsidRPr="00FE4220">
        <w:t>Abuzied</w:t>
      </w:r>
      <w:proofErr w:type="spellEnd"/>
      <w:r w:rsidR="00FE4220" w:rsidRPr="00FE4220">
        <w:t xml:space="preserve"> et al., 2023)</w:t>
      </w:r>
      <w:r>
        <w:t>. The team determines a pilot group of five GP surgeries to use the new referral portal.</w:t>
      </w:r>
    </w:p>
    <w:p w14:paraId="69FC0B2D" w14:textId="552A7939" w:rsidR="000C3ACE" w:rsidRPr="000C3ACE" w:rsidRDefault="000C3ACE" w:rsidP="000C3ACE">
      <w:pPr>
        <w:rPr>
          <w:b/>
          <w:bCs/>
        </w:rPr>
      </w:pPr>
      <w:r w:rsidRPr="000C3ACE">
        <w:rPr>
          <w:b/>
          <w:bCs/>
        </w:rPr>
        <w:t>Do:</w:t>
      </w:r>
    </w:p>
    <w:p w14:paraId="5D2FCDCC" w14:textId="1F17DD09" w:rsidR="000C3ACE" w:rsidRDefault="000C3ACE" w:rsidP="000C3ACE">
      <w:r>
        <w:t>Execute the plan. Death notifications and the proposed Medical Certificate of Cause of Death (MCCD) are sent to ME office through the digital portal by GP surgeries</w:t>
      </w:r>
      <w:r w:rsidR="00FE4220">
        <w:t xml:space="preserve"> </w:t>
      </w:r>
      <w:r w:rsidR="00FE4220" w:rsidRPr="00FE4220">
        <w:t>(Agency for Healthcare Research and Quality, 2015)</w:t>
      </w:r>
      <w:r>
        <w:t>.</w:t>
      </w:r>
    </w:p>
    <w:p w14:paraId="5446E99C" w14:textId="21C306A2" w:rsidR="000C3ACE" w:rsidRPr="000C3ACE" w:rsidRDefault="000C3ACE" w:rsidP="000C3ACE">
      <w:pPr>
        <w:rPr>
          <w:b/>
          <w:bCs/>
        </w:rPr>
      </w:pPr>
      <w:r w:rsidRPr="000C3ACE">
        <w:rPr>
          <w:b/>
          <w:bCs/>
        </w:rPr>
        <w:t>Study:</w:t>
      </w:r>
    </w:p>
    <w:p w14:paraId="38C1E648" w14:textId="04ECD51F" w:rsidR="000C3ACE" w:rsidRDefault="00764E4F" w:rsidP="000C3ACE">
      <w:r>
        <w:t>Analyse</w:t>
      </w:r>
      <w:r w:rsidR="000C3ACE">
        <w:t xml:space="preserve"> the data. Was the independent review conducted in 48 hours? Did the ME find any inaccuracies in the proposed MCCD? Bereaved families are asked to give their feedback on whether they felt they had a voice in the process or not.</w:t>
      </w:r>
    </w:p>
    <w:p w14:paraId="46CD2C63" w14:textId="6FE68582" w:rsidR="000C3ACE" w:rsidRPr="000C3ACE" w:rsidRDefault="000C3ACE" w:rsidP="000C3ACE">
      <w:pPr>
        <w:rPr>
          <w:b/>
          <w:bCs/>
        </w:rPr>
      </w:pPr>
      <w:r w:rsidRPr="000C3ACE">
        <w:rPr>
          <w:b/>
          <w:bCs/>
        </w:rPr>
        <w:t>Act:</w:t>
      </w:r>
    </w:p>
    <w:p w14:paraId="1DB4F093" w14:textId="799CBABE" w:rsidR="000C3ACE" w:rsidRDefault="000C3ACE" w:rsidP="000C3ACE">
      <w:r>
        <w:t>According to the findings, streamline the digital portal so that it becomes easy to use by community practitioners. In case of success, expand the process to the whole ICB region.</w:t>
      </w:r>
    </w:p>
    <w:p w14:paraId="0CB5083B" w14:textId="392A3B75" w:rsidR="000C3ACE" w:rsidRDefault="000C3ACE" w:rsidP="000C3ACE"/>
    <w:p w14:paraId="2437CA14" w14:textId="0B501B30" w:rsidR="00764E4F" w:rsidRDefault="00764E4F" w:rsidP="000C3ACE"/>
    <w:p w14:paraId="1B2FC393" w14:textId="523C244A" w:rsidR="00764E4F" w:rsidRDefault="00764E4F" w:rsidP="00764E4F">
      <w:pPr>
        <w:pStyle w:val="Heading2"/>
      </w:pPr>
      <w:bookmarkStart w:id="10" w:name="_Toc226831711"/>
      <w:r w:rsidRPr="00764E4F">
        <w:t>3.2 Recommendation 2: Applying Lean Principles to Controlled Drug Management</w:t>
      </w:r>
      <w:bookmarkEnd w:id="10"/>
    </w:p>
    <w:p w14:paraId="7814DAF4" w14:textId="1D755EE3" w:rsidR="00764E4F" w:rsidRDefault="00764E4F" w:rsidP="00764E4F">
      <w:r>
        <w:t>The lean methodology entails the removal of waste (</w:t>
      </w:r>
      <w:proofErr w:type="spellStart"/>
      <w:r>
        <w:t>muda</w:t>
      </w:r>
      <w:proofErr w:type="spellEnd"/>
      <w:r>
        <w:t>) and delivering value to the customer, which is the patient, in this context. To avert the diversion of drugs such as diamorphine, organizations ought to use Lean tools to the primary care-controlled drug supply chain.</w:t>
      </w:r>
    </w:p>
    <w:p w14:paraId="2B94C225" w14:textId="5BA5E9B1" w:rsidR="00764E4F" w:rsidRDefault="00764E4F" w:rsidP="00764E4F">
      <w:pPr>
        <w:pStyle w:val="Heading3"/>
      </w:pPr>
      <w:bookmarkStart w:id="11" w:name="_Toc226831712"/>
      <w:r>
        <w:t>3.2.1 Value Stream Mapping (VSM) and 5S Methodology</w:t>
      </w:r>
      <w:bookmarkEnd w:id="11"/>
    </w:p>
    <w:p w14:paraId="6848FA68" w14:textId="299C20C2" w:rsidR="00764E4F" w:rsidRDefault="00764E4F" w:rsidP="00764E4F">
      <w:r>
        <w:t>The flow of controlled drugs should be visualized with the use of a Value Stream Map that starts with prescribing and ends with drug administration and dispensing</w:t>
      </w:r>
      <w:r w:rsidR="00FE4220">
        <w:t xml:space="preserve"> </w:t>
      </w:r>
      <w:r w:rsidR="00FE4220" w:rsidRPr="00FE4220">
        <w:t>(</w:t>
      </w:r>
      <w:proofErr w:type="spellStart"/>
      <w:r w:rsidR="00FE4220" w:rsidRPr="00FE4220">
        <w:t>Maake</w:t>
      </w:r>
      <w:proofErr w:type="spellEnd"/>
      <w:r w:rsidR="00FE4220" w:rsidRPr="00FE4220">
        <w:t xml:space="preserve"> et al., 2025)</w:t>
      </w:r>
      <w:r>
        <w:t>. This assists in pinpointing the non-value-added processes in which drugs may be stolen.</w:t>
      </w:r>
    </w:p>
    <w:p w14:paraId="080F9E48" w14:textId="77777777" w:rsidR="00764E4F" w:rsidRDefault="00764E4F" w:rsidP="00764E4F">
      <w:r w:rsidRPr="00764E4F">
        <w:rPr>
          <w:b/>
          <w:bCs/>
        </w:rPr>
        <w:t>Standardization (5S):</w:t>
      </w:r>
      <w:r w:rsidRPr="00764E4F">
        <w:t xml:space="preserve"> Implement the 5S framework (Sort, Set in order, Shine, Standardize, Sustain) in the management of drug registers and cabinets.</w:t>
      </w:r>
    </w:p>
    <w:p w14:paraId="2C3BBA00" w14:textId="77777777" w:rsidR="00764E4F" w:rsidRDefault="00764E4F" w:rsidP="00764E4F">
      <w:pPr>
        <w:pStyle w:val="ListParagraph"/>
        <w:numPr>
          <w:ilvl w:val="0"/>
          <w:numId w:val="1"/>
        </w:numPr>
      </w:pPr>
      <w:r w:rsidRPr="00764E4F">
        <w:rPr>
          <w:b/>
          <w:bCs/>
        </w:rPr>
        <w:t>Sort:</w:t>
      </w:r>
      <w:r w:rsidRPr="00764E4F">
        <w:t xml:space="preserve"> Remove obsolete or returned medications immediately for witnessed destruction.</w:t>
      </w:r>
    </w:p>
    <w:p w14:paraId="6E7BDD56" w14:textId="77777777" w:rsidR="00764E4F" w:rsidRDefault="00764E4F" w:rsidP="00764E4F">
      <w:pPr>
        <w:pStyle w:val="ListParagraph"/>
        <w:numPr>
          <w:ilvl w:val="0"/>
          <w:numId w:val="1"/>
        </w:numPr>
      </w:pPr>
      <w:r w:rsidRPr="00764E4F">
        <w:rPr>
          <w:b/>
          <w:bCs/>
        </w:rPr>
        <w:t>Set in Order:</w:t>
      </w:r>
      <w:r w:rsidRPr="00764E4F">
        <w:t xml:space="preserve"> Organize the drug register with clear visual cues for inventory levels.</w:t>
      </w:r>
    </w:p>
    <w:p w14:paraId="60057EB5" w14:textId="77777777" w:rsidR="00764E4F" w:rsidRDefault="00764E4F" w:rsidP="00764E4F">
      <w:pPr>
        <w:pStyle w:val="ListParagraph"/>
        <w:numPr>
          <w:ilvl w:val="0"/>
          <w:numId w:val="1"/>
        </w:numPr>
      </w:pPr>
      <w:r w:rsidRPr="00764E4F">
        <w:rPr>
          <w:b/>
          <w:bCs/>
        </w:rPr>
        <w:t>Standardize:</w:t>
      </w:r>
      <w:r w:rsidRPr="00764E4F">
        <w:t xml:space="preserve"> Create a mandatory second-signature protocol for all high-dose opiate prescriptions in primary care, mirroring acute care standards.</w:t>
      </w:r>
    </w:p>
    <w:p w14:paraId="5F5BF4B4" w14:textId="77777777" w:rsidR="00764E4F" w:rsidRDefault="00764E4F" w:rsidP="00764E4F">
      <w:pPr>
        <w:pStyle w:val="ListParagraph"/>
        <w:numPr>
          <w:ilvl w:val="0"/>
          <w:numId w:val="1"/>
        </w:numPr>
      </w:pPr>
      <w:r w:rsidRPr="00764E4F">
        <w:rPr>
          <w:b/>
          <w:bCs/>
        </w:rPr>
        <w:t>Sustain:</w:t>
      </w:r>
      <w:r w:rsidRPr="00764E4F">
        <w:t xml:space="preserve"> Conduct monthly unannounced audits of controlled drug stocks.</w:t>
      </w:r>
    </w:p>
    <w:p w14:paraId="541F7560" w14:textId="094D2BEF" w:rsidR="00764E4F" w:rsidRDefault="00764E4F" w:rsidP="00764E4F">
      <w:r w:rsidRPr="00764E4F">
        <w:rPr>
          <w:b/>
          <w:bCs/>
        </w:rPr>
        <w:t>Just-in-Time (JIT) Supply:</w:t>
      </w:r>
      <w:r w:rsidRPr="00764E4F">
        <w:t xml:space="preserve"> Transition to a "Pull" system where controlled drugs are only issued based on verified clinical need, reducing the "inventory" waste that Shipman exploited</w:t>
      </w:r>
      <w:r w:rsidR="00FE4220">
        <w:t xml:space="preserve"> </w:t>
      </w:r>
      <w:r w:rsidR="00FE4220" w:rsidRPr="00FE4220">
        <w:t>(Kim and Woo et al., 2025)</w:t>
      </w:r>
      <w:r w:rsidRPr="00764E4F">
        <w:t>. Electronic Prescribing Service (EPS) data should be integrated with regional monitoring to flag high-volume prescribers in real-time.</w:t>
      </w:r>
    </w:p>
    <w:p w14:paraId="32BCA702" w14:textId="72F301FE" w:rsidR="00764E4F" w:rsidRDefault="00764E4F" w:rsidP="00764E4F">
      <w:pPr>
        <w:pStyle w:val="Heading2"/>
      </w:pPr>
      <w:bookmarkStart w:id="12" w:name="_Toc226831713"/>
      <w:r w:rsidRPr="00764E4F">
        <w:t>3.3 Recommendation 3: Strengthening Clinical Governance and Whistleblowing Culture</w:t>
      </w:r>
      <w:bookmarkEnd w:id="12"/>
    </w:p>
    <w:p w14:paraId="6FA068FA" w14:textId="494352FA" w:rsidR="00764E4F" w:rsidRDefault="00764E4F" w:rsidP="00764E4F">
      <w:r w:rsidRPr="00764E4F">
        <w:t>To achieve good governance, the paternalistic model has to be abandoned in favour of a patient-centred model in which the patient is the fount of control. Companies should create an atmosphere in which employees are comfortable speaking up.</w:t>
      </w:r>
    </w:p>
    <w:p w14:paraId="60E1F608" w14:textId="0926607A" w:rsidR="00764E4F" w:rsidRDefault="00764E4F" w:rsidP="00764E4F">
      <w:r w:rsidRPr="00764E4F">
        <w:rPr>
          <w:b/>
          <w:bCs/>
        </w:rPr>
        <w:t>Establishing a "No-Blame" Reporting System:</w:t>
      </w:r>
      <w:r>
        <w:t xml:space="preserve"> Promote reporting of near misses and issues of professional conduct using Datix or other systems</w:t>
      </w:r>
      <w:r w:rsidR="00FE4220">
        <w:t xml:space="preserve"> </w:t>
      </w:r>
      <w:r w:rsidR="00FE4220" w:rsidRPr="00FE4220">
        <w:t>(</w:t>
      </w:r>
      <w:proofErr w:type="spellStart"/>
      <w:r w:rsidR="00FE4220" w:rsidRPr="00FE4220">
        <w:t>Schmidtke</w:t>
      </w:r>
      <w:proofErr w:type="spellEnd"/>
      <w:r w:rsidR="00FE4220" w:rsidRPr="00FE4220">
        <w:t xml:space="preserve"> et al., 2024)</w:t>
      </w:r>
      <w:r>
        <w:t>. Governance teams need to make sure that such reports result in learning, rather than punishment.</w:t>
      </w:r>
    </w:p>
    <w:p w14:paraId="65A9E6A9" w14:textId="3DAAF99B" w:rsidR="00764E4F" w:rsidRDefault="00764E4F" w:rsidP="00764E4F">
      <w:r w:rsidRPr="00764E4F">
        <w:rPr>
          <w:b/>
          <w:bCs/>
        </w:rPr>
        <w:lastRenderedPageBreak/>
        <w:t>Mandatory Mortality Audits:</w:t>
      </w:r>
      <w:r>
        <w:t xml:space="preserve"> Quarterly meetings at GP practices to talk about patient deaths and any worrying trends or clinical learning opportunities should be known as the Morbidity and Mortality (M&amp;M) meetings</w:t>
      </w:r>
      <w:r w:rsidR="00FE4220">
        <w:t xml:space="preserve"> </w:t>
      </w:r>
      <w:r w:rsidR="00FE4220" w:rsidRPr="00FE4220">
        <w:t>(Santos et al., 2025)</w:t>
      </w:r>
      <w:r w:rsidR="00FE4220">
        <w:t>.</w:t>
      </w:r>
    </w:p>
    <w:p w14:paraId="7A1D7267" w14:textId="6BA0044B" w:rsidR="00764E4F" w:rsidRDefault="00764E4F" w:rsidP="00764E4F">
      <w:r w:rsidRPr="00764E4F">
        <w:rPr>
          <w:b/>
          <w:bCs/>
        </w:rPr>
        <w:t>Statistical Process Control (SPC):</w:t>
      </w:r>
      <w:r>
        <w:t xml:space="preserve"> Use data analytics to track the practice-level mortality rates. The SPC charts are able to distinguish between common cause variation and the special cause variation which may either reflect a quality issue or a risk that needs protection.</w:t>
      </w:r>
    </w:p>
    <w:tbl>
      <w:tblPr>
        <w:tblStyle w:val="PlainTable2"/>
        <w:tblW w:w="0" w:type="auto"/>
        <w:tblLook w:val="04A0" w:firstRow="1" w:lastRow="0" w:firstColumn="1" w:lastColumn="0" w:noHBand="0" w:noVBand="1"/>
      </w:tblPr>
      <w:tblGrid>
        <w:gridCol w:w="4508"/>
        <w:gridCol w:w="4508"/>
      </w:tblGrid>
      <w:tr w:rsidR="00764E4F" w14:paraId="44ECE06F" w14:textId="77777777" w:rsidTr="00764E4F">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70B7E671" w14:textId="69FCC19D" w:rsidR="00764E4F" w:rsidRDefault="00764E4F" w:rsidP="00764E4F">
            <w:pPr>
              <w:jc w:val="center"/>
            </w:pPr>
            <w:r w:rsidRPr="00764E4F">
              <w:t>Governance Pillar</w:t>
            </w:r>
          </w:p>
        </w:tc>
        <w:tc>
          <w:tcPr>
            <w:tcW w:w="4508" w:type="dxa"/>
          </w:tcPr>
          <w:p w14:paraId="5A107888" w14:textId="58CE25B6" w:rsidR="00764E4F" w:rsidRDefault="00764E4F" w:rsidP="00764E4F">
            <w:pPr>
              <w:jc w:val="center"/>
              <w:cnfStyle w:val="100000000000" w:firstRow="1" w:lastRow="0" w:firstColumn="0" w:lastColumn="0" w:oddVBand="0" w:evenVBand="0" w:oddHBand="0" w:evenHBand="0" w:firstRowFirstColumn="0" w:firstRowLastColumn="0" w:lastRowFirstColumn="0" w:lastRowLastColumn="0"/>
            </w:pPr>
            <w:r w:rsidRPr="00764E4F">
              <w:t>Strategic Recommendation</w:t>
            </w:r>
          </w:p>
        </w:tc>
      </w:tr>
      <w:tr w:rsidR="00764E4F" w14:paraId="093AB785" w14:textId="77777777" w:rsidTr="00764E4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4E6AD2CC" w14:textId="26F6CE9C" w:rsidR="00764E4F" w:rsidRDefault="00764E4F" w:rsidP="00764E4F">
            <w:pPr>
              <w:jc w:val="center"/>
            </w:pPr>
            <w:r w:rsidRPr="00764E4F">
              <w:t>Clinical Effectiveness</w:t>
            </w:r>
          </w:p>
        </w:tc>
        <w:tc>
          <w:tcPr>
            <w:tcW w:w="4508" w:type="dxa"/>
          </w:tcPr>
          <w:p w14:paraId="7325B918" w14:textId="699BCF2C" w:rsidR="00764E4F" w:rsidRDefault="00764E4F" w:rsidP="00764E4F">
            <w:pPr>
              <w:jc w:val="center"/>
              <w:cnfStyle w:val="000000100000" w:firstRow="0" w:lastRow="0" w:firstColumn="0" w:lastColumn="0" w:oddVBand="0" w:evenVBand="0" w:oddHBand="1" w:evenHBand="0" w:firstRowFirstColumn="0" w:firstRowLastColumn="0" w:lastRowFirstColumn="0" w:lastRowLastColumn="0"/>
            </w:pPr>
            <w:r w:rsidRPr="00764E4F">
              <w:t>Standardize controlled drug prescribing using evidence-based guidelines.</w:t>
            </w:r>
          </w:p>
        </w:tc>
      </w:tr>
      <w:tr w:rsidR="00764E4F" w14:paraId="6495F495" w14:textId="77777777" w:rsidTr="00764E4F">
        <w:tc>
          <w:tcPr>
            <w:cnfStyle w:val="001000000000" w:firstRow="0" w:lastRow="0" w:firstColumn="1" w:lastColumn="0" w:oddVBand="0" w:evenVBand="0" w:oddHBand="0" w:evenHBand="0" w:firstRowFirstColumn="0" w:firstRowLastColumn="0" w:lastRowFirstColumn="0" w:lastRowLastColumn="0"/>
            <w:tcW w:w="4508" w:type="dxa"/>
          </w:tcPr>
          <w:p w14:paraId="2C9F2F13" w14:textId="6CB5017E" w:rsidR="00764E4F" w:rsidRDefault="00764E4F" w:rsidP="00764E4F">
            <w:pPr>
              <w:jc w:val="center"/>
            </w:pPr>
            <w:r w:rsidRPr="00764E4F">
              <w:t>Clinical Audit</w:t>
            </w:r>
          </w:p>
        </w:tc>
        <w:tc>
          <w:tcPr>
            <w:tcW w:w="4508" w:type="dxa"/>
          </w:tcPr>
          <w:p w14:paraId="71DDC9DC" w14:textId="5997A088" w:rsidR="00764E4F" w:rsidRDefault="00764E4F" w:rsidP="00764E4F">
            <w:pPr>
              <w:jc w:val="center"/>
              <w:cnfStyle w:val="000000000000" w:firstRow="0" w:lastRow="0" w:firstColumn="0" w:lastColumn="0" w:oddVBand="0" w:evenVBand="0" w:oddHBand="0" w:evenHBand="0" w:firstRowFirstColumn="0" w:firstRowLastColumn="0" w:lastRowFirstColumn="0" w:lastRowLastColumn="0"/>
            </w:pPr>
            <w:r w:rsidRPr="00764E4F">
              <w:t>Implement quarterly mortality reviews for every general practice.</w:t>
            </w:r>
          </w:p>
        </w:tc>
      </w:tr>
      <w:tr w:rsidR="00764E4F" w14:paraId="1286E001" w14:textId="77777777" w:rsidTr="00764E4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67D4D51D" w14:textId="67DADC82" w:rsidR="00764E4F" w:rsidRDefault="00764E4F" w:rsidP="00764E4F">
            <w:pPr>
              <w:jc w:val="center"/>
            </w:pPr>
            <w:r w:rsidRPr="00764E4F">
              <w:t>Risk Management</w:t>
            </w:r>
          </w:p>
        </w:tc>
        <w:tc>
          <w:tcPr>
            <w:tcW w:w="4508" w:type="dxa"/>
          </w:tcPr>
          <w:p w14:paraId="6B00A355" w14:textId="0595620C" w:rsidR="00764E4F" w:rsidRDefault="00764E4F" w:rsidP="00764E4F">
            <w:pPr>
              <w:jc w:val="center"/>
              <w:cnfStyle w:val="000000100000" w:firstRow="0" w:lastRow="0" w:firstColumn="0" w:lastColumn="0" w:oddVBand="0" w:evenVBand="0" w:oddHBand="1" w:evenHBand="0" w:firstRowFirstColumn="0" w:firstRowLastColumn="0" w:lastRowFirstColumn="0" w:lastRowLastColumn="0"/>
            </w:pPr>
            <w:r w:rsidRPr="00764E4F">
              <w:t>Use SPC charts to monitor mortality outliers in real-time.</w:t>
            </w:r>
          </w:p>
        </w:tc>
      </w:tr>
      <w:tr w:rsidR="00764E4F" w14:paraId="4531DB8F" w14:textId="77777777" w:rsidTr="00764E4F">
        <w:tc>
          <w:tcPr>
            <w:cnfStyle w:val="001000000000" w:firstRow="0" w:lastRow="0" w:firstColumn="1" w:lastColumn="0" w:oddVBand="0" w:evenVBand="0" w:oddHBand="0" w:evenHBand="0" w:firstRowFirstColumn="0" w:firstRowLastColumn="0" w:lastRowFirstColumn="0" w:lastRowLastColumn="0"/>
            <w:tcW w:w="4508" w:type="dxa"/>
          </w:tcPr>
          <w:p w14:paraId="5B4C3E09" w14:textId="6573D7F2" w:rsidR="00764E4F" w:rsidRDefault="00764E4F" w:rsidP="00764E4F">
            <w:pPr>
              <w:jc w:val="center"/>
            </w:pPr>
            <w:r w:rsidRPr="00764E4F">
              <w:t>Staff Management</w:t>
            </w:r>
          </w:p>
        </w:tc>
        <w:tc>
          <w:tcPr>
            <w:tcW w:w="4508" w:type="dxa"/>
          </w:tcPr>
          <w:p w14:paraId="16F4B78A" w14:textId="30BE390A" w:rsidR="00764E4F" w:rsidRDefault="00764E4F" w:rsidP="00764E4F">
            <w:pPr>
              <w:jc w:val="center"/>
              <w:cnfStyle w:val="000000000000" w:firstRow="0" w:lastRow="0" w:firstColumn="0" w:lastColumn="0" w:oddVBand="0" w:evenVBand="0" w:oddHBand="0" w:evenHBand="0" w:firstRowFirstColumn="0" w:firstRowLastColumn="0" w:lastRowFirstColumn="0" w:lastRowLastColumn="0"/>
            </w:pPr>
            <w:r w:rsidRPr="00764E4F">
              <w:t>Ensure 100% completion of 5-yearly revalidation cycles for all doctors.</w:t>
            </w:r>
          </w:p>
        </w:tc>
      </w:tr>
      <w:tr w:rsidR="00764E4F" w14:paraId="1AE807D0" w14:textId="77777777" w:rsidTr="00764E4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24C0E028" w14:textId="70D72113" w:rsidR="00764E4F" w:rsidRDefault="00764E4F" w:rsidP="00764E4F">
            <w:pPr>
              <w:jc w:val="center"/>
            </w:pPr>
            <w:r w:rsidRPr="00764E4F">
              <w:t>Information Management</w:t>
            </w:r>
          </w:p>
        </w:tc>
        <w:tc>
          <w:tcPr>
            <w:tcW w:w="4508" w:type="dxa"/>
          </w:tcPr>
          <w:p w14:paraId="166424E4" w14:textId="592CEB3F" w:rsidR="00764E4F" w:rsidRDefault="00764E4F" w:rsidP="00764E4F">
            <w:pPr>
              <w:jc w:val="center"/>
              <w:cnfStyle w:val="000000100000" w:firstRow="0" w:lastRow="0" w:firstColumn="0" w:lastColumn="0" w:oddVBand="0" w:evenVBand="0" w:oddHBand="1" w:evenHBand="0" w:firstRowFirstColumn="0" w:firstRowLastColumn="0" w:lastRowFirstColumn="0" w:lastRowLastColumn="0"/>
            </w:pPr>
            <w:r w:rsidRPr="00764E4F">
              <w:t>Integrate EPS data with national drug monitoring systems.</w:t>
            </w:r>
          </w:p>
        </w:tc>
      </w:tr>
    </w:tbl>
    <w:p w14:paraId="74D18FBA" w14:textId="77777777" w:rsidR="00764E4F" w:rsidRDefault="00764E4F" w:rsidP="00764E4F"/>
    <w:p w14:paraId="0C006135" w14:textId="5982FECC" w:rsidR="00764E4F" w:rsidRDefault="00764E4F" w:rsidP="00764E4F">
      <w:pPr>
        <w:pStyle w:val="Heading2"/>
      </w:pPr>
      <w:bookmarkStart w:id="13" w:name="_Toc226831714"/>
      <w:r w:rsidRPr="00764E4F">
        <w:t>3.4 Implementation Strategy for Long-Term Sustainability</w:t>
      </w:r>
      <w:bookmarkEnd w:id="13"/>
    </w:p>
    <w:p w14:paraId="027B3B01" w14:textId="253F94ED" w:rsidR="00764E4F" w:rsidRDefault="00764E4F" w:rsidP="00764E4F">
      <w:r>
        <w:t>These improvements can only be sustained by commitment by the leadership and involvement of the frontline staff. It is suggested that each healthcare organization should have a Senior Responsible Officer (SRO) of Clinical Governance who will be responsible to the integrity of such systems.</w:t>
      </w:r>
    </w:p>
    <w:p w14:paraId="7B77B7AB" w14:textId="25137217" w:rsidR="00764E4F" w:rsidRDefault="00764E4F" w:rsidP="00764E4F">
      <w:r w:rsidRPr="00764E4F">
        <w:rPr>
          <w:b/>
          <w:bCs/>
        </w:rPr>
        <w:t>Stakeholder Engagement:</w:t>
      </w:r>
      <w:r>
        <w:t xml:space="preserve"> Engage patients and the people in governance system designs to restore confidence. The Medical Examiner position involves talking to families about the cause of death and is a crucial feedback mechanism that was not present in the Shipman era</w:t>
      </w:r>
      <w:r w:rsidR="00FE4220">
        <w:t xml:space="preserve"> </w:t>
      </w:r>
      <w:r w:rsidR="00FE4220" w:rsidRPr="00FE4220">
        <w:t>(</w:t>
      </w:r>
      <w:proofErr w:type="spellStart"/>
      <w:r w:rsidR="00FE4220" w:rsidRPr="00FE4220">
        <w:t>Saikat</w:t>
      </w:r>
      <w:proofErr w:type="spellEnd"/>
      <w:r w:rsidR="00FE4220" w:rsidRPr="00FE4220">
        <w:t xml:space="preserve"> et al., 2025)</w:t>
      </w:r>
      <w:r>
        <w:t>.</w:t>
      </w:r>
    </w:p>
    <w:p w14:paraId="70F26F70" w14:textId="14EFDA67" w:rsidR="00764E4F" w:rsidRDefault="00764E4F" w:rsidP="00764E4F">
      <w:r w:rsidRPr="00764E4F">
        <w:rPr>
          <w:b/>
          <w:bCs/>
        </w:rPr>
        <w:t>Education and Training:</w:t>
      </w:r>
      <w:r>
        <w:t xml:space="preserve"> Conduct continuous training to Medical Examiners and GP staff on the new 2024 regulations. Train staff to identify and report suspicious patterns using high-quality simulations and case studies.</w:t>
      </w:r>
    </w:p>
    <w:p w14:paraId="1175B4A6" w14:textId="3E57A17E" w:rsidR="00764E4F" w:rsidRDefault="00764E4F" w:rsidP="00764E4F">
      <w:r w:rsidRPr="00764E4F">
        <w:rPr>
          <w:b/>
          <w:bCs/>
        </w:rPr>
        <w:t>Resource Allocation:</w:t>
      </w:r>
      <w:r>
        <w:t xml:space="preserve"> Make sure that Medical Examiner offices are properly financed and staffed to cope with the number of deaths in the community. The assessment of the 2024 reforms indicates that there is a slight increment in registration times, which is pivotal to have adequate administrative support to avoid bottlenecks</w:t>
      </w:r>
      <w:r w:rsidR="00FE4220">
        <w:t xml:space="preserve"> </w:t>
      </w:r>
      <w:r w:rsidR="00FE4220" w:rsidRPr="00FE4220">
        <w:t>(</w:t>
      </w:r>
      <w:proofErr w:type="spellStart"/>
      <w:r w:rsidR="00FE4220" w:rsidRPr="00FE4220">
        <w:t>Maake</w:t>
      </w:r>
      <w:proofErr w:type="spellEnd"/>
      <w:r w:rsidR="00FE4220" w:rsidRPr="00FE4220">
        <w:t xml:space="preserve"> et al., 2025)</w:t>
      </w:r>
      <w:r w:rsidR="00FE4220">
        <w:t>.</w:t>
      </w:r>
    </w:p>
    <w:p w14:paraId="0971D2CF" w14:textId="4210AD34" w:rsidR="00764E4F" w:rsidRDefault="00764E4F" w:rsidP="00764E4F">
      <w:pPr>
        <w:pStyle w:val="Heading2"/>
      </w:pPr>
      <w:bookmarkStart w:id="14" w:name="_Toc226831715"/>
      <w:r w:rsidRPr="00764E4F">
        <w:lastRenderedPageBreak/>
        <w:t>4. Conclusion: Summary of Findings and Future Directions</w:t>
      </w:r>
      <w:bookmarkEnd w:id="14"/>
    </w:p>
    <w:p w14:paraId="221CC7AF" w14:textId="5FBE5EE0" w:rsidR="00764E4F" w:rsidRDefault="00764E4F" w:rsidP="00764E4F">
      <w:r>
        <w:t xml:space="preserve">The example of </w:t>
      </w:r>
      <w:proofErr w:type="spellStart"/>
      <w:r>
        <w:t>Dr.</w:t>
      </w:r>
      <w:proofErr w:type="spellEnd"/>
      <w:r>
        <w:t xml:space="preserve"> Harold Shipman is a warning to all healthcare organizations that lack of transparency and coordinated governance may have disastrous effects on patient safety. The root cause analysis done using the Fishbone Diagram reveals that a mix of paternalistic culture, incorrect certification procedures and ineffective drug controls provided a fertile ground on which criminality could thrive unnoticed.</w:t>
      </w:r>
    </w:p>
    <w:p w14:paraId="4159CB95" w14:textId="254AA599" w:rsidR="00764E4F" w:rsidRDefault="00764E4F" w:rsidP="00764E4F">
      <w:r>
        <w:t xml:space="preserve">The radical change in the modern healthcare governance has been in response to these findings. The strategic assessment made through SWOT analysis reveals that the adoption of statutory Medical Examiners in September 2024, along with the introduction of a mandatory revalidation and digital prescribing solutions, has greatly enhanced the system </w:t>
      </w:r>
      <w:proofErr w:type="spellStart"/>
      <w:r>
        <w:t>defenses</w:t>
      </w:r>
      <w:proofErr w:type="spellEnd"/>
      <w:r>
        <w:t>.</w:t>
      </w:r>
    </w:p>
    <w:p w14:paraId="3F293637" w14:textId="3BBF997A" w:rsidR="00764E4F" w:rsidRDefault="00764E4F" w:rsidP="00764E4F">
      <w:r>
        <w:t>The practical way forward is actionable recommendations based on PDSA cycles to roll out the Medical Examiner and Lean methodology to manage controlled drugs. Organizations will be able to detect clinical risks at an earlier stage and more precisely by getting rid of the waste of uncoordinated paperwork and by monitoring real-time data.</w:t>
      </w:r>
    </w:p>
    <w:p w14:paraId="14D188E6" w14:textId="406FAE51" w:rsidR="00764E4F" w:rsidRDefault="00764E4F" w:rsidP="00764E4F">
      <w:r>
        <w:t>Finally, quality assurance is not a fixed code of rules but an on-going, evolutionary learning process. The lessons of the Shipman Inquiry should be continually exercised via a strong clinical governance, fact-driven supervision, and a resolute dedication to patient safety. Healthcare organizations can restore and maintain the trust that people place in the delivery of care by making sure that all deaths are investigated and all grievances are listened to. A thriving future of healthcare quality is in the effective combination of human-focused safety cultures with improved digital surveillance systems, which will provide a sustainable environment where clinical excellence can thrive and patients are not at risk.</w:t>
      </w:r>
    </w:p>
    <w:p w14:paraId="177F40D4" w14:textId="07E6D1F9" w:rsidR="00764E4F" w:rsidRDefault="00764E4F">
      <w:pPr>
        <w:spacing w:line="259" w:lineRule="auto"/>
        <w:jc w:val="left"/>
      </w:pPr>
      <w:r>
        <w:br w:type="page"/>
      </w:r>
    </w:p>
    <w:p w14:paraId="3D11DF7A" w14:textId="4DF4FAFA" w:rsidR="00764E4F" w:rsidRDefault="00764E4F" w:rsidP="00764E4F">
      <w:pPr>
        <w:pStyle w:val="Heading1"/>
      </w:pPr>
      <w:bookmarkStart w:id="15" w:name="_Toc226831716"/>
      <w:r>
        <w:lastRenderedPageBreak/>
        <w:t>References</w:t>
      </w:r>
      <w:bookmarkEnd w:id="15"/>
    </w:p>
    <w:p w14:paraId="75B69375" w14:textId="1B02C3AD" w:rsidR="00FE4220" w:rsidRDefault="00FE4220" w:rsidP="00FE4220">
      <w:proofErr w:type="spellStart"/>
      <w:r>
        <w:t>Abuzied</w:t>
      </w:r>
      <w:proofErr w:type="spellEnd"/>
      <w:r>
        <w:t xml:space="preserve">, Y., </w:t>
      </w:r>
      <w:proofErr w:type="spellStart"/>
      <w:r>
        <w:t>Alshammary</w:t>
      </w:r>
      <w:proofErr w:type="spellEnd"/>
      <w:r>
        <w:t xml:space="preserve">, S.A., </w:t>
      </w:r>
      <w:proofErr w:type="spellStart"/>
      <w:r>
        <w:t>Alhalahlah</w:t>
      </w:r>
      <w:proofErr w:type="spellEnd"/>
      <w:r>
        <w:t xml:space="preserve">, T. and </w:t>
      </w:r>
      <w:proofErr w:type="spellStart"/>
      <w:r>
        <w:t>Somduth</w:t>
      </w:r>
      <w:proofErr w:type="spellEnd"/>
      <w:r>
        <w:t xml:space="preserve">, S. (2023). Using FOCUS-PDSA Quality Improvement Methodology Model in Healthcare: Process and Outcomes. </w:t>
      </w:r>
      <w:r>
        <w:rPr>
          <w:i/>
          <w:iCs/>
        </w:rPr>
        <w:t>Global Journal on Quality and Safety in Healthcare</w:t>
      </w:r>
      <w:r>
        <w:t xml:space="preserve">, [online] 6(2), pp.70–72. doi: </w:t>
      </w:r>
      <w:hyperlink r:id="rId12" w:history="1">
        <w:r w:rsidRPr="00995FCE">
          <w:rPr>
            <w:rStyle w:val="Hyperlink"/>
          </w:rPr>
          <w:t>https://doi.org/10.36401/jqsh-22-19</w:t>
        </w:r>
      </w:hyperlink>
      <w:r>
        <w:t>.</w:t>
      </w:r>
    </w:p>
    <w:p w14:paraId="7843DD58" w14:textId="19EB675C" w:rsidR="00FE4220" w:rsidRDefault="00FE4220" w:rsidP="00FE4220">
      <w:r>
        <w:t xml:space="preserve">Agency for Healthcare Research and Quality (2015). </w:t>
      </w:r>
      <w:r>
        <w:rPr>
          <w:i/>
          <w:iCs/>
        </w:rPr>
        <w:t>Types of Health Care Quality Measures</w:t>
      </w:r>
      <w:r>
        <w:t xml:space="preserve">. [online] Ahrq.gov. Available at: </w:t>
      </w:r>
      <w:hyperlink r:id="rId13" w:history="1">
        <w:r w:rsidRPr="00995FCE">
          <w:rPr>
            <w:rStyle w:val="Hyperlink"/>
          </w:rPr>
          <w:t>https://www.ahrq.gov/talkingquality/measures/types.html</w:t>
        </w:r>
      </w:hyperlink>
      <w:r>
        <w:t>.</w:t>
      </w:r>
    </w:p>
    <w:p w14:paraId="5E8F8442" w14:textId="277AF105" w:rsidR="00FE4220" w:rsidRDefault="00FE4220" w:rsidP="00FE4220">
      <w:proofErr w:type="spellStart"/>
      <w:r>
        <w:t>Alogla</w:t>
      </w:r>
      <w:proofErr w:type="spellEnd"/>
      <w:r>
        <w:t xml:space="preserve">, A. (2025). Revisiting lean healthcare: adopting value stream mapping from manufacturing. </w:t>
      </w:r>
      <w:r>
        <w:rPr>
          <w:i/>
          <w:iCs/>
        </w:rPr>
        <w:t>Frontiers in Health Services</w:t>
      </w:r>
      <w:r>
        <w:t xml:space="preserve">, 5. doi: </w:t>
      </w:r>
      <w:hyperlink r:id="rId14" w:history="1">
        <w:r w:rsidRPr="00995FCE">
          <w:rPr>
            <w:rStyle w:val="Hyperlink"/>
          </w:rPr>
          <w:t>https://doi.org/10.3389/frhs.2025.1613756</w:t>
        </w:r>
      </w:hyperlink>
      <w:r>
        <w:t>.</w:t>
      </w:r>
    </w:p>
    <w:p w14:paraId="42D1CB97" w14:textId="7A115271" w:rsidR="00FE4220" w:rsidRDefault="00FE4220" w:rsidP="00FE4220">
      <w:r>
        <w:t xml:space="preserve">Barr, E. and Brannan, G.D. (2024). </w:t>
      </w:r>
      <w:r>
        <w:rPr>
          <w:i/>
          <w:iCs/>
        </w:rPr>
        <w:t>Quality improvement methods (LEAN, PDSA, SIX SIGMA)</w:t>
      </w:r>
      <w:r>
        <w:t xml:space="preserve">. [online] PubMed. Available at: </w:t>
      </w:r>
      <w:hyperlink r:id="rId15" w:history="1">
        <w:r w:rsidRPr="00995FCE">
          <w:rPr>
            <w:rStyle w:val="Hyperlink"/>
          </w:rPr>
          <w:t>https://www.ncbi.nlm.nih.gov/books/NBK599556/</w:t>
        </w:r>
      </w:hyperlink>
      <w:r>
        <w:t>.</w:t>
      </w:r>
    </w:p>
    <w:p w14:paraId="057C441D" w14:textId="5CFFBD18" w:rsidR="00FE4220" w:rsidRDefault="00FE4220" w:rsidP="00FE4220">
      <w:r>
        <w:t xml:space="preserve">Davies, A. and Offer, M. (2019). Using sequential Plan-Do-Study-Act cycles to facilitate implementation of a morbidity and mortality review process. </w:t>
      </w:r>
      <w:r>
        <w:rPr>
          <w:i/>
          <w:iCs/>
        </w:rPr>
        <w:t>Future Healthcare Journal</w:t>
      </w:r>
      <w:r>
        <w:t>, [online] 6(</w:t>
      </w:r>
      <w:proofErr w:type="spellStart"/>
      <w:r>
        <w:t>Suppl</w:t>
      </w:r>
      <w:proofErr w:type="spellEnd"/>
      <w:r>
        <w:t xml:space="preserve"> 2), p.79. doi: </w:t>
      </w:r>
      <w:hyperlink r:id="rId16" w:history="1">
        <w:r w:rsidRPr="00995FCE">
          <w:rPr>
            <w:rStyle w:val="Hyperlink"/>
          </w:rPr>
          <w:t>https://doi.org/10.7861/futurehosp.6-2s-s79</w:t>
        </w:r>
      </w:hyperlink>
      <w:r>
        <w:t>.</w:t>
      </w:r>
    </w:p>
    <w:p w14:paraId="0B4DC15D" w14:textId="5F52E7D3" w:rsidR="00FE4220" w:rsidRDefault="00FE4220" w:rsidP="00FE4220">
      <w:r>
        <w:t xml:space="preserve">Dyer, C. (2005). Shipman inquiry finds GMC has ‘fundamental </w:t>
      </w:r>
      <w:proofErr w:type="gramStart"/>
      <w:r>
        <w:t>flaws’</w:t>
      </w:r>
      <w:proofErr w:type="gramEnd"/>
      <w:r>
        <w:t xml:space="preserve">. </w:t>
      </w:r>
      <w:r>
        <w:rPr>
          <w:i/>
          <w:iCs/>
        </w:rPr>
        <w:t>BMJ : British Medical Journal</w:t>
      </w:r>
      <w:r>
        <w:t xml:space="preserve">, [online] 330(7481), p.10. Available at: </w:t>
      </w:r>
      <w:hyperlink r:id="rId17" w:history="1">
        <w:r w:rsidRPr="00995FCE">
          <w:rPr>
            <w:rStyle w:val="Hyperlink"/>
          </w:rPr>
          <w:t>https://pmc.ncbi.nlm.nih.gov/articles/PMC539838/</w:t>
        </w:r>
      </w:hyperlink>
      <w:r>
        <w:t>.</w:t>
      </w:r>
    </w:p>
    <w:p w14:paraId="40FFC26F" w14:textId="5DB815D2" w:rsidR="00FE4220" w:rsidRDefault="00FE4220" w:rsidP="00FE4220">
      <w:r>
        <w:t xml:space="preserve">Ellis, L.D. (2020). </w:t>
      </w:r>
      <w:r>
        <w:rPr>
          <w:i/>
          <w:iCs/>
        </w:rPr>
        <w:t>The Importance of Adopting a Lean Mindset and Culture for Health Care Organizations | Harvard Medical School Professional, Corporate, and Continuing Education</w:t>
      </w:r>
      <w:r>
        <w:t xml:space="preserve">. [online] Harvard.edu. Available at: </w:t>
      </w:r>
      <w:hyperlink r:id="rId18" w:history="1">
        <w:r w:rsidRPr="00995FCE">
          <w:rPr>
            <w:rStyle w:val="Hyperlink"/>
          </w:rPr>
          <w:t>https://learn.hms.harvard.edu/insights/all-insights/importance-adopting-lean-mindset-and-culture-health-care-organizations</w:t>
        </w:r>
      </w:hyperlink>
      <w:r>
        <w:t>.</w:t>
      </w:r>
    </w:p>
    <w:p w14:paraId="2ED2F843" w14:textId="7FE5AD72" w:rsidR="00FE4220" w:rsidRDefault="00FE4220" w:rsidP="00FE4220">
      <w:proofErr w:type="spellStart"/>
      <w:r>
        <w:t>Hristoski</w:t>
      </w:r>
      <w:proofErr w:type="spellEnd"/>
      <w:r>
        <w:t xml:space="preserve">, I.S., </w:t>
      </w:r>
      <w:proofErr w:type="spellStart"/>
      <w:r>
        <w:t>Olivera</w:t>
      </w:r>
      <w:proofErr w:type="spellEnd"/>
      <w:r>
        <w:t xml:space="preserve"> </w:t>
      </w:r>
      <w:proofErr w:type="spellStart"/>
      <w:r>
        <w:t>Kostoska</w:t>
      </w:r>
      <w:proofErr w:type="spellEnd"/>
      <w:r>
        <w:t xml:space="preserve">, Zoran </w:t>
      </w:r>
      <w:proofErr w:type="spellStart"/>
      <w:r>
        <w:t>Kotevski</w:t>
      </w:r>
      <w:proofErr w:type="spellEnd"/>
      <w:r>
        <w:t xml:space="preserve"> and </w:t>
      </w:r>
      <w:proofErr w:type="spellStart"/>
      <w:r>
        <w:t>Dimovski</w:t>
      </w:r>
      <w:proofErr w:type="spellEnd"/>
      <w:r>
        <w:t xml:space="preserve">, T. (2017). Causality of Factors Reducing Competitiveness of e-Commerce Firms. [online] Vol. 3(No. 2), </w:t>
      </w:r>
      <w:proofErr w:type="spellStart"/>
      <w:r>
        <w:t>p.pp</w:t>
      </w:r>
      <w:proofErr w:type="spellEnd"/>
      <w:r>
        <w:t xml:space="preserve">. 109-127. Available at: </w:t>
      </w:r>
      <w:hyperlink r:id="rId19" w:history="1">
        <w:r w:rsidRPr="00995FCE">
          <w:rPr>
            <w:rStyle w:val="Hyperlink"/>
          </w:rPr>
          <w:t>https://www.researchgate.net/publication/317196193_Causality_of_Factors_Reducing_Competitiveness_of_e-Commerce_Firms</w:t>
        </w:r>
      </w:hyperlink>
      <w:r>
        <w:t>.</w:t>
      </w:r>
    </w:p>
    <w:p w14:paraId="6E8AF74E" w14:textId="1B6FA08B" w:rsidR="00FE4220" w:rsidRDefault="00FE4220" w:rsidP="00FE4220">
      <w:r>
        <w:t xml:space="preserve">Jewell, D. (2005). After Shipman: reforming the GMC — again. </w:t>
      </w:r>
      <w:r>
        <w:rPr>
          <w:i/>
          <w:iCs/>
        </w:rPr>
        <w:t>The British Journal of General Practice</w:t>
      </w:r>
      <w:r>
        <w:t xml:space="preserve">, [online] 55(511), p.83. Available at: </w:t>
      </w:r>
      <w:hyperlink r:id="rId20" w:history="1">
        <w:r w:rsidRPr="00995FCE">
          <w:rPr>
            <w:rStyle w:val="Hyperlink"/>
          </w:rPr>
          <w:t>https://pmc.ncbi.nlm.nih.gov/articles/PMC1463210/</w:t>
        </w:r>
      </w:hyperlink>
      <w:r>
        <w:t>.</w:t>
      </w:r>
    </w:p>
    <w:p w14:paraId="348FF65E" w14:textId="77777777" w:rsidR="00FE4220" w:rsidRDefault="00FE4220" w:rsidP="00FE4220"/>
    <w:p w14:paraId="643E6AC9" w14:textId="768B761A" w:rsidR="00FE4220" w:rsidRDefault="00FE4220" w:rsidP="00FE4220">
      <w:r w:rsidRPr="00752E29">
        <w:lastRenderedPageBreak/>
        <w:t xml:space="preserve">Kim, M.J. and Woo, M.W.J. (2025). Healthcare workers’ perceptions of patient safety culture in emergency departments: a scoping review. BMJ Open, 15(6), p.e097086. doi: </w:t>
      </w:r>
      <w:hyperlink r:id="rId21" w:history="1">
        <w:r w:rsidRPr="00995FCE">
          <w:rPr>
            <w:rStyle w:val="Hyperlink"/>
          </w:rPr>
          <w:t>https://doi.org/10.1136/bmjopen-2024-097086</w:t>
        </w:r>
      </w:hyperlink>
      <w:r w:rsidRPr="00752E29">
        <w:t>.</w:t>
      </w:r>
    </w:p>
    <w:p w14:paraId="4993A02C" w14:textId="5104D80A" w:rsidR="00FE4220" w:rsidRDefault="00FE4220" w:rsidP="00FE4220">
      <w:proofErr w:type="spellStart"/>
      <w:r w:rsidRPr="00752E29">
        <w:t>Kmietowicz</w:t>
      </w:r>
      <w:proofErr w:type="spellEnd"/>
      <w:r w:rsidRPr="00752E29">
        <w:t xml:space="preserve">, Z. (2005). GMC gives evidence to inquiry. BMJ, 330(7499), p.1044.4. doi: </w:t>
      </w:r>
      <w:hyperlink r:id="rId22" w:history="1">
        <w:r w:rsidRPr="00995FCE">
          <w:rPr>
            <w:rStyle w:val="Hyperlink"/>
          </w:rPr>
          <w:t>https://doi.org/10.1136/bmj.330.7499.1044-c</w:t>
        </w:r>
      </w:hyperlink>
      <w:r w:rsidRPr="00752E29">
        <w:t>.</w:t>
      </w:r>
    </w:p>
    <w:p w14:paraId="3F749B31" w14:textId="49DF464C" w:rsidR="00FE4220" w:rsidRDefault="00FE4220" w:rsidP="00FE4220">
      <w:proofErr w:type="spellStart"/>
      <w:r>
        <w:t>Kumah</w:t>
      </w:r>
      <w:proofErr w:type="spellEnd"/>
      <w:r>
        <w:t xml:space="preserve">, A., </w:t>
      </w:r>
      <w:proofErr w:type="spellStart"/>
      <w:r>
        <w:t>Nwogu</w:t>
      </w:r>
      <w:proofErr w:type="spellEnd"/>
      <w:r>
        <w:t xml:space="preserve">, C.N., </w:t>
      </w:r>
      <w:proofErr w:type="spellStart"/>
      <w:r>
        <w:t>Issah</w:t>
      </w:r>
      <w:proofErr w:type="spellEnd"/>
      <w:r>
        <w:t xml:space="preserve">, A.-R., </w:t>
      </w:r>
      <w:proofErr w:type="spellStart"/>
      <w:r>
        <w:t>Obot</w:t>
      </w:r>
      <w:proofErr w:type="spellEnd"/>
      <w:r>
        <w:t xml:space="preserve">, E., </w:t>
      </w:r>
      <w:proofErr w:type="spellStart"/>
      <w:r>
        <w:t>Kanamitie</w:t>
      </w:r>
      <w:proofErr w:type="spellEnd"/>
      <w:r>
        <w:t xml:space="preserve">, D.T., </w:t>
      </w:r>
      <w:proofErr w:type="spellStart"/>
      <w:r>
        <w:t>Sifa</w:t>
      </w:r>
      <w:proofErr w:type="spellEnd"/>
      <w:r>
        <w:t xml:space="preserve">, J.S. and Aidoo, L.A. (2024). Cause-and-Effect (Fishbone) Diagram: a Tool for Generating and Organizing Quality Improvement Ideas. </w:t>
      </w:r>
      <w:r>
        <w:rPr>
          <w:i/>
          <w:iCs/>
        </w:rPr>
        <w:t>Innovations Journals</w:t>
      </w:r>
      <w:r>
        <w:t xml:space="preserve">, [online] 7(2), pp.85–87. doi: </w:t>
      </w:r>
      <w:hyperlink r:id="rId23" w:history="1">
        <w:r w:rsidRPr="00995FCE">
          <w:rPr>
            <w:rStyle w:val="Hyperlink"/>
          </w:rPr>
          <w:t>https://doi.org/10.36401/JQSH-23-42</w:t>
        </w:r>
      </w:hyperlink>
      <w:r>
        <w:t>.</w:t>
      </w:r>
    </w:p>
    <w:p w14:paraId="77726D28" w14:textId="0642C9FE" w:rsidR="00FE4220" w:rsidRDefault="00FE4220" w:rsidP="00FE4220">
      <w:r>
        <w:t xml:space="preserve">Landmark Chambers. (2024). </w:t>
      </w:r>
      <w:r>
        <w:rPr>
          <w:i/>
          <w:iCs/>
        </w:rPr>
        <w:t>Medical Examiners - statutory reforms - Landmark Chambers</w:t>
      </w:r>
      <w:r>
        <w:t xml:space="preserve">. [online] Available at: </w:t>
      </w:r>
      <w:hyperlink r:id="rId24" w:history="1">
        <w:r w:rsidRPr="00995FCE">
          <w:rPr>
            <w:rStyle w:val="Hyperlink"/>
          </w:rPr>
          <w:t>https://www.landmarkchambers.co.uk/news-and-cases/blog/health-and-social-care-law/medical-examiners-statutory-reforms</w:t>
        </w:r>
      </w:hyperlink>
      <w:r>
        <w:t>.</w:t>
      </w:r>
    </w:p>
    <w:p w14:paraId="7BD286DF" w14:textId="77777777" w:rsidR="00FE4220" w:rsidRDefault="00FE4220" w:rsidP="00FE4220">
      <w:proofErr w:type="spellStart"/>
      <w:r w:rsidRPr="00752E29">
        <w:t>Maake</w:t>
      </w:r>
      <w:proofErr w:type="spellEnd"/>
      <w:r w:rsidRPr="00752E29">
        <w:t xml:space="preserve">, K., </w:t>
      </w:r>
      <w:proofErr w:type="spellStart"/>
      <w:r w:rsidRPr="00752E29">
        <w:t>Chitha</w:t>
      </w:r>
      <w:proofErr w:type="spellEnd"/>
      <w:r w:rsidRPr="00752E29">
        <w:t xml:space="preserve">, W., </w:t>
      </w:r>
      <w:proofErr w:type="spellStart"/>
      <w:r w:rsidRPr="00752E29">
        <w:t>Nomatshila</w:t>
      </w:r>
      <w:proofErr w:type="spellEnd"/>
      <w:r w:rsidRPr="00752E29">
        <w:t xml:space="preserve">, S.C. and </w:t>
      </w:r>
      <w:proofErr w:type="spellStart"/>
      <w:r w:rsidRPr="00752E29">
        <w:t>Mabunda</w:t>
      </w:r>
      <w:proofErr w:type="spellEnd"/>
      <w:r w:rsidRPr="00752E29">
        <w:t xml:space="preserve">, S.A. (2025). Exploring Clinical Governance Interventions and Organisational Learning in Public Hospitals in South Africa’s Eastern Cape and Mpumalanga Provinces: A Mixed-Methods Study Protocol. Healthcare, [online] 13(19), pp.2430–2430. doi: </w:t>
      </w:r>
      <w:hyperlink r:id="rId25" w:history="1">
        <w:r w:rsidRPr="00995FCE">
          <w:rPr>
            <w:rStyle w:val="Hyperlink"/>
          </w:rPr>
          <w:t>https://doi.org/10.3390/healthcare13192430</w:t>
        </w:r>
      </w:hyperlink>
      <w:r w:rsidRPr="00752E29">
        <w:t>.</w:t>
      </w:r>
    </w:p>
    <w:p w14:paraId="568D1637" w14:textId="60D91313" w:rsidR="00FE4220" w:rsidRDefault="00FE4220" w:rsidP="00FE4220">
      <w:r>
        <w:t xml:space="preserve">Mannion, R., Davies, H., Powell, M., Blenkinsopp, J., Millar, R., McHale, J. and Snowden, N. (2019). Healthcare scandals and the failings of doctors. </w:t>
      </w:r>
      <w:r>
        <w:rPr>
          <w:i/>
          <w:iCs/>
        </w:rPr>
        <w:t>Journal of Health Organization and Management</w:t>
      </w:r>
      <w:r>
        <w:t xml:space="preserve">, [online] 33(2), pp.221–240. doi: </w:t>
      </w:r>
      <w:hyperlink r:id="rId26" w:history="1">
        <w:r w:rsidRPr="00995FCE">
          <w:rPr>
            <w:rStyle w:val="Hyperlink"/>
          </w:rPr>
          <w:t>https://doi.org/10.1108/JHOM-04-2018-0126</w:t>
        </w:r>
      </w:hyperlink>
      <w:r>
        <w:t>.</w:t>
      </w:r>
    </w:p>
    <w:p w14:paraId="7D9A29E6" w14:textId="2517236A" w:rsidR="00FE4220" w:rsidRDefault="00FE4220" w:rsidP="00FE4220">
      <w:r>
        <w:t xml:space="preserve">NHS Improvement (2021). </w:t>
      </w:r>
      <w:r>
        <w:rPr>
          <w:i/>
          <w:iCs/>
        </w:rPr>
        <w:t>A model for measuring quality care</w:t>
      </w:r>
      <w:r>
        <w:t xml:space="preserve">. [online] Available at: </w:t>
      </w:r>
      <w:hyperlink r:id="rId27" w:history="1">
        <w:r w:rsidRPr="00995FCE">
          <w:rPr>
            <w:rStyle w:val="Hyperlink"/>
          </w:rPr>
          <w:t>https://www.med.unc.edu/ihqi/wp-content/uploads/sites/463/2021/01/A-Model-for-Measuring-Quality-Care-NHS-Improvement-brief.pdf</w:t>
        </w:r>
      </w:hyperlink>
      <w:r>
        <w:t>.</w:t>
      </w:r>
    </w:p>
    <w:p w14:paraId="1E46484E" w14:textId="7C8FC332" w:rsidR="00FE4220" w:rsidRDefault="00FE4220" w:rsidP="00FE4220">
      <w:r>
        <w:t xml:space="preserve">NHS Improving Quality (2015). </w:t>
      </w:r>
      <w:r>
        <w:rPr>
          <w:i/>
          <w:iCs/>
        </w:rPr>
        <w:t>Making Processes Flow in Healthcare</w:t>
      </w:r>
      <w:r>
        <w:t xml:space="preserve">. [online] Available at: </w:t>
      </w:r>
      <w:hyperlink r:id="rId28" w:history="1">
        <w:r w:rsidRPr="00995FCE">
          <w:rPr>
            <w:rStyle w:val="Hyperlink"/>
          </w:rPr>
          <w:t>https://www.england.nhs.uk/improvement-hub/wp-content/uploads/sites/44/2017/11/Bringing-Lean-to-Life.pdf</w:t>
        </w:r>
      </w:hyperlink>
      <w:r>
        <w:t>.</w:t>
      </w:r>
    </w:p>
    <w:p w14:paraId="0950939C" w14:textId="6BE7A8CD" w:rsidR="00FE4220" w:rsidRDefault="00FE4220" w:rsidP="00FE4220">
      <w:r>
        <w:t xml:space="preserve">Parliament.uk. (2025). </w:t>
      </w:r>
      <w:r>
        <w:rPr>
          <w:i/>
          <w:iCs/>
        </w:rPr>
        <w:t>Shipman Inquiry - Hansard - UK Parliament</w:t>
      </w:r>
      <w:r>
        <w:t xml:space="preserve">. [online] Available at: </w:t>
      </w:r>
      <w:hyperlink r:id="rId29" w:history="1">
        <w:r w:rsidRPr="00995FCE">
          <w:rPr>
            <w:rStyle w:val="Hyperlink"/>
          </w:rPr>
          <w:t>https://hansard.parliament.uk/lords/2004-12-09/debates/3208dcb1-ef27-4513-be43-10cb4e5a5d97/ShipmanInquiry</w:t>
        </w:r>
      </w:hyperlink>
      <w:r>
        <w:t>.</w:t>
      </w:r>
    </w:p>
    <w:p w14:paraId="733B6EC8" w14:textId="659BB93A" w:rsidR="00FE4220" w:rsidRDefault="00FE4220" w:rsidP="00FE4220">
      <w:proofErr w:type="spellStart"/>
      <w:r>
        <w:t>Playfor</w:t>
      </w:r>
      <w:proofErr w:type="spellEnd"/>
      <w:r>
        <w:t xml:space="preserve">, S.D. and </w:t>
      </w:r>
      <w:proofErr w:type="spellStart"/>
      <w:r>
        <w:t>Bunni</w:t>
      </w:r>
      <w:proofErr w:type="spellEnd"/>
      <w:r>
        <w:t xml:space="preserve">, L. (2026). The Medical Examiner system in England and Wales: deaths of neonates, children and young people. </w:t>
      </w:r>
      <w:r>
        <w:rPr>
          <w:i/>
          <w:iCs/>
        </w:rPr>
        <w:t>Paediatrics and Child Health</w:t>
      </w:r>
      <w:r>
        <w:t xml:space="preserve">. doi: </w:t>
      </w:r>
      <w:hyperlink r:id="rId30" w:history="1">
        <w:r w:rsidRPr="00995FCE">
          <w:rPr>
            <w:rStyle w:val="Hyperlink"/>
          </w:rPr>
          <w:t>https://doi.org/10.1016/j.paed.2026.01.007</w:t>
        </w:r>
      </w:hyperlink>
      <w:r>
        <w:t>.</w:t>
      </w:r>
    </w:p>
    <w:p w14:paraId="4D243D73" w14:textId="77777777" w:rsidR="00FE4220" w:rsidRDefault="00FE4220" w:rsidP="00FE4220"/>
    <w:p w14:paraId="4A15E7D1" w14:textId="084E06A3" w:rsidR="00FE4220" w:rsidRDefault="00FE4220" w:rsidP="00FE4220">
      <w:r>
        <w:lastRenderedPageBreak/>
        <w:t xml:space="preserve">Powell, M., Blenkinsopp, J., Davies, H., Mannion, R., Millar, R., McHale, J. and Snowden, N. (2021). The case of the disappearing </w:t>
      </w:r>
      <w:proofErr w:type="spellStart"/>
      <w:r>
        <w:t>whistleblower</w:t>
      </w:r>
      <w:proofErr w:type="spellEnd"/>
      <w:r>
        <w:t xml:space="preserve">: an analysis of National Health Service inquiries. </w:t>
      </w:r>
      <w:r>
        <w:rPr>
          <w:i/>
          <w:iCs/>
        </w:rPr>
        <w:t>Public Money &amp; Management</w:t>
      </w:r>
      <w:r>
        <w:t xml:space="preserve">, 42(2), pp.59–69. doi: </w:t>
      </w:r>
      <w:hyperlink r:id="rId31" w:history="1">
        <w:r w:rsidRPr="00995FCE">
          <w:rPr>
            <w:rStyle w:val="Hyperlink"/>
          </w:rPr>
          <w:t>https://doi.org/10.1080/09540962.2021.1892959</w:t>
        </w:r>
      </w:hyperlink>
      <w:r>
        <w:t>.</w:t>
      </w:r>
    </w:p>
    <w:p w14:paraId="456B0BD3" w14:textId="02256AE5" w:rsidR="00FE4220" w:rsidRDefault="00FE4220" w:rsidP="00FE4220">
      <w:proofErr w:type="spellStart"/>
      <w:r w:rsidRPr="00752E29">
        <w:t>Saikat</w:t>
      </w:r>
      <w:proofErr w:type="spellEnd"/>
      <w:r w:rsidRPr="00752E29">
        <w:t xml:space="preserve">, S., </w:t>
      </w:r>
      <w:proofErr w:type="spellStart"/>
      <w:r w:rsidRPr="00752E29">
        <w:t>Seifeldin</w:t>
      </w:r>
      <w:proofErr w:type="spellEnd"/>
      <w:r w:rsidRPr="00752E29">
        <w:t xml:space="preserve">, R., Zhang, Y., </w:t>
      </w:r>
      <w:proofErr w:type="spellStart"/>
      <w:r w:rsidRPr="00752E29">
        <w:t>Nweje</w:t>
      </w:r>
      <w:proofErr w:type="spellEnd"/>
      <w:r w:rsidRPr="00752E29">
        <w:t xml:space="preserve">, M., </w:t>
      </w:r>
      <w:proofErr w:type="spellStart"/>
      <w:r w:rsidRPr="00752E29">
        <w:t>Shivji</w:t>
      </w:r>
      <w:proofErr w:type="spellEnd"/>
      <w:r w:rsidRPr="00752E29">
        <w:t xml:space="preserve">, S., </w:t>
      </w:r>
      <w:proofErr w:type="spellStart"/>
      <w:r w:rsidRPr="00752E29">
        <w:t>Schmets</w:t>
      </w:r>
      <w:proofErr w:type="spellEnd"/>
      <w:r w:rsidRPr="00752E29">
        <w:t xml:space="preserve">, G., Squires, N., </w:t>
      </w:r>
      <w:proofErr w:type="spellStart"/>
      <w:r w:rsidRPr="00752E29">
        <w:t>Viso</w:t>
      </w:r>
      <w:proofErr w:type="spellEnd"/>
      <w:r w:rsidRPr="00752E29">
        <w:t xml:space="preserve">, A.-C. and </w:t>
      </w:r>
      <w:proofErr w:type="spellStart"/>
      <w:r w:rsidRPr="00752E29">
        <w:t>Selbie</w:t>
      </w:r>
      <w:proofErr w:type="spellEnd"/>
      <w:r w:rsidRPr="00752E29">
        <w:t xml:space="preserve">, D. (2025). Governance for public health across health and allied sectors: a scoping review. BMJ Public Health, 3(2), p.e003542. doi: </w:t>
      </w:r>
      <w:hyperlink r:id="rId32" w:history="1">
        <w:r w:rsidRPr="00995FCE">
          <w:rPr>
            <w:rStyle w:val="Hyperlink"/>
          </w:rPr>
          <w:t>https://doi.org/10.1136/bmjph-2025-003542</w:t>
        </w:r>
      </w:hyperlink>
      <w:r w:rsidRPr="00752E29">
        <w:t>.</w:t>
      </w:r>
    </w:p>
    <w:p w14:paraId="36B181C2" w14:textId="135C10E0" w:rsidR="00FE4220" w:rsidRDefault="00FE4220" w:rsidP="00FE4220">
      <w:r w:rsidRPr="00752E29">
        <w:t xml:space="preserve">Santos, C., </w:t>
      </w:r>
      <w:proofErr w:type="spellStart"/>
      <w:r w:rsidRPr="00752E29">
        <w:t>Ajayi-Obe</w:t>
      </w:r>
      <w:proofErr w:type="spellEnd"/>
      <w:r w:rsidRPr="00752E29">
        <w:t xml:space="preserve">, A. and Aurelio, M. (2025). Using Quality Improvement to improve serious incident reporting in the English NHS. BMJ Open Quality, [online] 14(3). doi: </w:t>
      </w:r>
      <w:hyperlink r:id="rId33" w:history="1">
        <w:r w:rsidRPr="00995FCE">
          <w:rPr>
            <w:rStyle w:val="Hyperlink"/>
          </w:rPr>
          <w:t>https://doi.org/10.1136/bmjoq-2024-003234</w:t>
        </w:r>
      </w:hyperlink>
      <w:r w:rsidRPr="00752E29">
        <w:t>.</w:t>
      </w:r>
    </w:p>
    <w:p w14:paraId="52CBBCBA" w14:textId="77777777" w:rsidR="00FE4220" w:rsidRDefault="00FE4220" w:rsidP="00FE4220">
      <w:proofErr w:type="spellStart"/>
      <w:r w:rsidRPr="00752E29">
        <w:t>Schmidtke</w:t>
      </w:r>
      <w:proofErr w:type="spellEnd"/>
      <w:r w:rsidRPr="00752E29">
        <w:t xml:space="preserve">, K.A., </w:t>
      </w:r>
      <w:proofErr w:type="spellStart"/>
      <w:r w:rsidRPr="00752E29">
        <w:t>Kudrna</w:t>
      </w:r>
      <w:proofErr w:type="spellEnd"/>
      <w:r w:rsidRPr="00752E29">
        <w:t xml:space="preserve">, L., Quinn, L., Bird, P., Hemming, K., Venable, Z. and </w:t>
      </w:r>
      <w:proofErr w:type="spellStart"/>
      <w:r w:rsidRPr="00752E29">
        <w:t>Lilford</w:t>
      </w:r>
      <w:proofErr w:type="spellEnd"/>
      <w:r w:rsidRPr="00752E29">
        <w:t xml:space="preserve">, R. (2024). Cluster randomised evaluation of a training intervention to increase the use of statistical process control charts for hospitals in England: making data count. BMJ Quality &amp; Safety, p.bmjqs-017094. doi: </w:t>
      </w:r>
      <w:hyperlink r:id="rId34" w:history="1">
        <w:r w:rsidRPr="00995FCE">
          <w:rPr>
            <w:rStyle w:val="Hyperlink"/>
          </w:rPr>
          <w:t>https://doi.org/10.1136/bmjqs-2024-017094</w:t>
        </w:r>
      </w:hyperlink>
      <w:r w:rsidRPr="00752E29">
        <w:t>.</w:t>
      </w:r>
    </w:p>
    <w:p w14:paraId="6D140FD2" w14:textId="6E0EB35A" w:rsidR="00FE4220" w:rsidRDefault="00FE4220" w:rsidP="00FE4220">
      <w:proofErr w:type="spellStart"/>
      <w:r>
        <w:t>Seelbach</w:t>
      </w:r>
      <w:proofErr w:type="spellEnd"/>
      <w:r>
        <w:t xml:space="preserve">, C.L. and Brannan, G.D. (2023). </w:t>
      </w:r>
      <w:r>
        <w:rPr>
          <w:i/>
          <w:iCs/>
        </w:rPr>
        <w:t>Quality management</w:t>
      </w:r>
      <w:r>
        <w:t xml:space="preserve">. [online] PubMed. Available at: </w:t>
      </w:r>
      <w:hyperlink r:id="rId35" w:history="1">
        <w:r w:rsidRPr="00995FCE">
          <w:rPr>
            <w:rStyle w:val="Hyperlink"/>
          </w:rPr>
          <w:t>https://www.ncbi.nlm.nih.gov/books/NBK557505/</w:t>
        </w:r>
      </w:hyperlink>
      <w:r>
        <w:t>.</w:t>
      </w:r>
    </w:p>
    <w:p w14:paraId="35AFECD7" w14:textId="126CE82F" w:rsidR="00FE4220" w:rsidRDefault="00FE4220" w:rsidP="00FE4220">
      <w:r>
        <w:t xml:space="preserve">Stead, R. (2025). Harold Shipman: Woman ‘saved her mother from killer GP’. [online] 31 Jan. Available at: </w:t>
      </w:r>
      <w:hyperlink r:id="rId36" w:history="1">
        <w:r w:rsidRPr="00995FCE">
          <w:rPr>
            <w:rStyle w:val="Hyperlink"/>
          </w:rPr>
          <w:t>https://www.bbc.com/news/articles/cx2qnvjj39jo</w:t>
        </w:r>
      </w:hyperlink>
      <w:r>
        <w:t>.</w:t>
      </w:r>
    </w:p>
    <w:p w14:paraId="391DD031" w14:textId="5E7CF9C8" w:rsidR="00FE4220" w:rsidRDefault="00FE4220" w:rsidP="00FE4220">
      <w:r>
        <w:t xml:space="preserve">Taylor, M.J., McNicholas, C., Nicolay, C., Darzi, A., Bell, D. and Reed, J.E. (2014). Systematic Review of the Application of the Plan–do–study–act Method to Improve Quality in Healthcare. </w:t>
      </w:r>
      <w:r>
        <w:rPr>
          <w:i/>
          <w:iCs/>
        </w:rPr>
        <w:t>BMJ Quality &amp; Safety</w:t>
      </w:r>
      <w:r>
        <w:t xml:space="preserve">, [online] 23(4), pp.290–298. doi: </w:t>
      </w:r>
      <w:hyperlink r:id="rId37" w:history="1">
        <w:r w:rsidRPr="00995FCE">
          <w:rPr>
            <w:rStyle w:val="Hyperlink"/>
          </w:rPr>
          <w:t>https://doi.org/10.1136/bmjqs-2013-001862</w:t>
        </w:r>
      </w:hyperlink>
      <w:r>
        <w:t>.</w:t>
      </w:r>
    </w:p>
    <w:p w14:paraId="47C8CAB5" w14:textId="2E06E5A8" w:rsidR="00FE4220" w:rsidRDefault="00FE4220" w:rsidP="00FE4220">
      <w:proofErr w:type="spellStart"/>
      <w:r>
        <w:t>Teoli</w:t>
      </w:r>
      <w:proofErr w:type="spellEnd"/>
      <w:r>
        <w:t xml:space="preserve">, D., An, J. and </w:t>
      </w:r>
      <w:proofErr w:type="spellStart"/>
      <w:r>
        <w:t>Sanvictores</w:t>
      </w:r>
      <w:proofErr w:type="spellEnd"/>
      <w:r>
        <w:t xml:space="preserve">, T. (2023). </w:t>
      </w:r>
      <w:r>
        <w:rPr>
          <w:i/>
          <w:iCs/>
        </w:rPr>
        <w:t>SWOT analysis</w:t>
      </w:r>
      <w:r>
        <w:t xml:space="preserve">. [online] National Library of Medicine. Available at: </w:t>
      </w:r>
      <w:hyperlink r:id="rId38" w:history="1">
        <w:r w:rsidRPr="00995FCE">
          <w:rPr>
            <w:rStyle w:val="Hyperlink"/>
          </w:rPr>
          <w:t>https://www.ncbi.nlm.nih.gov/books/NBK537302/</w:t>
        </w:r>
      </w:hyperlink>
      <w:r>
        <w:t>.</w:t>
      </w:r>
    </w:p>
    <w:p w14:paraId="7D155299" w14:textId="7A71534E" w:rsidR="00FE4220" w:rsidRDefault="00FE4220" w:rsidP="00FE4220">
      <w:r>
        <w:t xml:space="preserve">Van </w:t>
      </w:r>
      <w:proofErr w:type="spellStart"/>
      <w:r>
        <w:t>Houdt</w:t>
      </w:r>
      <w:proofErr w:type="spellEnd"/>
      <w:r>
        <w:t xml:space="preserve">, S., </w:t>
      </w:r>
      <w:proofErr w:type="spellStart"/>
      <w:r>
        <w:t>Heyrman</w:t>
      </w:r>
      <w:proofErr w:type="spellEnd"/>
      <w:r>
        <w:t xml:space="preserve">, J., </w:t>
      </w:r>
      <w:proofErr w:type="spellStart"/>
      <w:r>
        <w:t>Vanhaecht</w:t>
      </w:r>
      <w:proofErr w:type="spellEnd"/>
      <w:r>
        <w:t xml:space="preserve">, K., </w:t>
      </w:r>
      <w:proofErr w:type="spellStart"/>
      <w:r>
        <w:t>Sermeus</w:t>
      </w:r>
      <w:proofErr w:type="spellEnd"/>
      <w:r>
        <w:t xml:space="preserve">, W. and De </w:t>
      </w:r>
      <w:proofErr w:type="spellStart"/>
      <w:r>
        <w:t>Lepeleire</w:t>
      </w:r>
      <w:proofErr w:type="spellEnd"/>
      <w:r>
        <w:t xml:space="preserve">, J. (2013). An in-depth analysis of theoretical frameworks for the study of care coordination. </w:t>
      </w:r>
      <w:r>
        <w:rPr>
          <w:i/>
          <w:iCs/>
        </w:rPr>
        <w:t>International Journal of Integrated Care</w:t>
      </w:r>
      <w:r>
        <w:t xml:space="preserve">, [online] 13(2). doi: </w:t>
      </w:r>
      <w:hyperlink r:id="rId39" w:history="1">
        <w:r w:rsidRPr="00995FCE">
          <w:rPr>
            <w:rStyle w:val="Hyperlink"/>
          </w:rPr>
          <w:t>https://doi.org/10.5334/ijic.1068</w:t>
        </w:r>
      </w:hyperlink>
      <w:r>
        <w:t>.</w:t>
      </w:r>
    </w:p>
    <w:p w14:paraId="360EB769" w14:textId="5472782B" w:rsidR="00FE4220" w:rsidRDefault="00FE4220" w:rsidP="00FE4220">
      <w:r>
        <w:t xml:space="preserve">Welch, M. (2025). </w:t>
      </w:r>
      <w:r>
        <w:rPr>
          <w:i/>
          <w:iCs/>
        </w:rPr>
        <w:t>Page Restricted</w:t>
      </w:r>
      <w:r>
        <w:t xml:space="preserve">. [online] Salford.ac.uk. Available at: </w:t>
      </w:r>
      <w:hyperlink r:id="rId40" w:history="1">
        <w:r w:rsidRPr="00995FCE">
          <w:rPr>
            <w:rStyle w:val="Hyperlink"/>
          </w:rPr>
          <w:t>https://www.salford.ac.uk/spd/clinical-governance-vs-risk-management-in-healthcare</w:t>
        </w:r>
      </w:hyperlink>
      <w:r>
        <w:t>.</w:t>
      </w:r>
    </w:p>
    <w:p w14:paraId="6C20C337" w14:textId="77777777" w:rsidR="00FE4220" w:rsidRDefault="00FE4220" w:rsidP="00FE4220"/>
    <w:p w14:paraId="6D9F0C7C" w14:textId="77965A01" w:rsidR="00FE4220" w:rsidRDefault="00FE4220" w:rsidP="00FE4220">
      <w:r>
        <w:lastRenderedPageBreak/>
        <w:t xml:space="preserve">Younis, A. (2024). </w:t>
      </w:r>
      <w:r>
        <w:rPr>
          <w:i/>
          <w:iCs/>
        </w:rPr>
        <w:t>PDSA QUALITY IMPROVEMENT IN HEALTHCARE: A PRACTICAL FRAMEWORK FOR SAFER, BETTER CARE</w:t>
      </w:r>
      <w:r>
        <w:t xml:space="preserve">. [online] Qualityleadersacademy.com. Available at: </w:t>
      </w:r>
      <w:hyperlink r:id="rId41" w:history="1">
        <w:r w:rsidRPr="00995FCE">
          <w:rPr>
            <w:rStyle w:val="Hyperlink"/>
          </w:rPr>
          <w:t>https://www.qualityleadersacademy.com/pdsa-quality-improvement</w:t>
        </w:r>
      </w:hyperlink>
      <w:r>
        <w:t>.</w:t>
      </w:r>
    </w:p>
    <w:p w14:paraId="09AEECFB" w14:textId="5E0EA276" w:rsidR="00FE4220" w:rsidRDefault="00FE4220" w:rsidP="00FE4220">
      <w:r>
        <w:t xml:space="preserve">Zhou, S. and Yin, H. (2026). Navigating challenges and opportunities: a SWOT analysis of digital management </w:t>
      </w:r>
      <w:proofErr w:type="spellStart"/>
      <w:r>
        <w:t>center</w:t>
      </w:r>
      <w:proofErr w:type="spellEnd"/>
      <w:r>
        <w:t xml:space="preserve"> implementation in county hospitals. </w:t>
      </w:r>
      <w:r>
        <w:rPr>
          <w:i/>
          <w:iCs/>
        </w:rPr>
        <w:t>Frontiers in Public Health</w:t>
      </w:r>
      <w:r>
        <w:t xml:space="preserve">, 14. doi: </w:t>
      </w:r>
      <w:hyperlink r:id="rId42" w:history="1">
        <w:r w:rsidRPr="00995FCE">
          <w:rPr>
            <w:rStyle w:val="Hyperlink"/>
          </w:rPr>
          <w:t>https://doi.org/10.3389/fpubh.2026.1767910</w:t>
        </w:r>
      </w:hyperlink>
      <w:r>
        <w:t>.</w:t>
      </w:r>
    </w:p>
    <w:p w14:paraId="2F0D3574" w14:textId="77777777" w:rsidR="00FE4220" w:rsidRDefault="00FE4220" w:rsidP="00FE4220"/>
    <w:p w14:paraId="05B98CDD" w14:textId="77777777" w:rsidR="00752E29" w:rsidRDefault="00752E29" w:rsidP="00752E29"/>
    <w:sectPr w:rsidR="00752E29">
      <w:footerReference w:type="default" r:id="rId4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F9ED000" w14:textId="77777777" w:rsidR="00966FEF" w:rsidRDefault="00966FEF" w:rsidP="00FE4220">
      <w:pPr>
        <w:spacing w:after="0" w:line="240" w:lineRule="auto"/>
      </w:pPr>
      <w:r>
        <w:separator/>
      </w:r>
    </w:p>
  </w:endnote>
  <w:endnote w:type="continuationSeparator" w:id="0">
    <w:p w14:paraId="4CEFD084" w14:textId="77777777" w:rsidR="00966FEF" w:rsidRDefault="00966FEF" w:rsidP="00FE422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4002EFF" w:usb1="C000ACFF" w:usb2="00000009" w:usb3="00000000" w:csb0="000001FF" w:csb1="00000000"/>
  </w:font>
  <w:font w:name="Vrinda">
    <w:panose1 w:val="020B0502040204020203"/>
    <w:charset w:val="01"/>
    <w:family w:val="roman"/>
    <w:pitch w:val="variable"/>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41576688"/>
      <w:docPartObj>
        <w:docPartGallery w:val="Page Numbers (Bottom of Page)"/>
        <w:docPartUnique/>
      </w:docPartObj>
    </w:sdtPr>
    <w:sdtEndPr>
      <w:rPr>
        <w:color w:val="7F7F7F" w:themeColor="background1" w:themeShade="7F"/>
        <w:spacing w:val="60"/>
      </w:rPr>
    </w:sdtEndPr>
    <w:sdtContent>
      <w:p w14:paraId="5A62E221" w14:textId="2D8D2D4E" w:rsidR="00FE4220" w:rsidRDefault="00FE4220">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74F1EA62" w14:textId="77777777" w:rsidR="00FE4220" w:rsidRDefault="00FE422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7BCE116" w14:textId="77777777" w:rsidR="00966FEF" w:rsidRDefault="00966FEF" w:rsidP="00FE4220">
      <w:pPr>
        <w:spacing w:after="0" w:line="240" w:lineRule="auto"/>
      </w:pPr>
      <w:r>
        <w:separator/>
      </w:r>
    </w:p>
  </w:footnote>
  <w:footnote w:type="continuationSeparator" w:id="0">
    <w:p w14:paraId="2E9DA154" w14:textId="77777777" w:rsidR="00966FEF" w:rsidRDefault="00966FEF" w:rsidP="00FE422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D77640A"/>
    <w:multiLevelType w:val="hybridMultilevel"/>
    <w:tmpl w:val="4BEC1A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1748059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29"/>
  <w:removePersonalInformation/>
  <w:removeDateAndTime/>
  <w:proofState w:spelling="clean" w:grammar="clean"/>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94A5F"/>
    <w:rsid w:val="000C3ACE"/>
    <w:rsid w:val="00146148"/>
    <w:rsid w:val="0046399F"/>
    <w:rsid w:val="0050755B"/>
    <w:rsid w:val="00743AA7"/>
    <w:rsid w:val="00752E29"/>
    <w:rsid w:val="00764E4F"/>
    <w:rsid w:val="007B15E0"/>
    <w:rsid w:val="009109B0"/>
    <w:rsid w:val="00955F96"/>
    <w:rsid w:val="00966FEF"/>
    <w:rsid w:val="009B64C6"/>
    <w:rsid w:val="009F700A"/>
    <w:rsid w:val="00C061AA"/>
    <w:rsid w:val="00C12E49"/>
    <w:rsid w:val="00D12AF2"/>
    <w:rsid w:val="00D53CB1"/>
    <w:rsid w:val="00DA5D33"/>
    <w:rsid w:val="00E94A5F"/>
    <w:rsid w:val="00FE4220"/>
  </w:rsids>
  <m:mathPr>
    <m:mathFont m:val="Cambria Math"/>
    <m:brkBin m:val="before"/>
    <m:brkBinSub m:val="--"/>
    <m:smallFrac m:val="0"/>
    <m:dispDef/>
    <m:lMargin m:val="0"/>
    <m:rMargin m:val="0"/>
    <m:defJc m:val="centerGroup"/>
    <m:wrapIndent m:val="1440"/>
    <m:intLim m:val="subSup"/>
    <m:naryLim m:val="undOvr"/>
  </m:mathPr>
  <w:themeFontLang w:val="en-GB" w:bidi="bn-IN"/>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2644EAA0"/>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94A5F"/>
    <w:pPr>
      <w:spacing w:line="360" w:lineRule="auto"/>
      <w:jc w:val="both"/>
    </w:pPr>
    <w:rPr>
      <w:rFonts w:ascii="Arial" w:hAnsi="Arial"/>
    </w:rPr>
  </w:style>
  <w:style w:type="paragraph" w:styleId="Heading1">
    <w:name w:val="heading 1"/>
    <w:basedOn w:val="Normal"/>
    <w:next w:val="Normal"/>
    <w:link w:val="Heading1Char"/>
    <w:autoRedefine/>
    <w:uiPriority w:val="9"/>
    <w:qFormat/>
    <w:rsid w:val="00E94A5F"/>
    <w:pPr>
      <w:keepNext/>
      <w:keepLines/>
      <w:spacing w:before="240" w:after="0"/>
      <w:outlineLvl w:val="0"/>
    </w:pPr>
    <w:rPr>
      <w:rFonts w:eastAsiaTheme="majorEastAsia" w:cstheme="majorBidi"/>
      <w:color w:val="2F5496" w:themeColor="accent1" w:themeShade="BF"/>
      <w:sz w:val="32"/>
      <w:szCs w:val="32"/>
    </w:rPr>
  </w:style>
  <w:style w:type="paragraph" w:styleId="Heading2">
    <w:name w:val="heading 2"/>
    <w:basedOn w:val="Normal"/>
    <w:next w:val="Normal"/>
    <w:link w:val="Heading2Char"/>
    <w:autoRedefine/>
    <w:uiPriority w:val="9"/>
    <w:unhideWhenUsed/>
    <w:qFormat/>
    <w:rsid w:val="00E94A5F"/>
    <w:pPr>
      <w:keepNext/>
      <w:keepLines/>
      <w:spacing w:before="40" w:after="0"/>
      <w:outlineLvl w:val="1"/>
    </w:pPr>
    <w:rPr>
      <w:rFonts w:eastAsiaTheme="majorEastAsia" w:cstheme="majorBidi"/>
      <w:color w:val="2F5496" w:themeColor="accent1" w:themeShade="BF"/>
      <w:sz w:val="28"/>
      <w:szCs w:val="26"/>
    </w:rPr>
  </w:style>
  <w:style w:type="paragraph" w:styleId="Heading3">
    <w:name w:val="heading 3"/>
    <w:basedOn w:val="Normal"/>
    <w:next w:val="Normal"/>
    <w:link w:val="Heading3Char"/>
    <w:autoRedefine/>
    <w:uiPriority w:val="9"/>
    <w:unhideWhenUsed/>
    <w:qFormat/>
    <w:rsid w:val="00764E4F"/>
    <w:pPr>
      <w:keepNext/>
      <w:keepLines/>
      <w:spacing w:before="40" w:after="0"/>
      <w:outlineLvl w:val="2"/>
    </w:pPr>
    <w:rPr>
      <w:rFonts w:eastAsiaTheme="majorEastAsia"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E94A5F"/>
    <w:rPr>
      <w:rFonts w:ascii="Arial" w:eastAsiaTheme="majorEastAsia" w:hAnsi="Arial" w:cstheme="majorBidi"/>
      <w:color w:val="2F5496" w:themeColor="accent1" w:themeShade="BF"/>
      <w:sz w:val="28"/>
      <w:szCs w:val="26"/>
    </w:rPr>
  </w:style>
  <w:style w:type="character" w:customStyle="1" w:styleId="Heading1Char">
    <w:name w:val="Heading 1 Char"/>
    <w:basedOn w:val="DefaultParagraphFont"/>
    <w:link w:val="Heading1"/>
    <w:uiPriority w:val="9"/>
    <w:rsid w:val="00E94A5F"/>
    <w:rPr>
      <w:rFonts w:ascii="Arial" w:eastAsiaTheme="majorEastAsia" w:hAnsi="Arial" w:cstheme="majorBidi"/>
      <w:color w:val="2F5496" w:themeColor="accent1" w:themeShade="BF"/>
      <w:sz w:val="32"/>
      <w:szCs w:val="32"/>
    </w:rPr>
  </w:style>
  <w:style w:type="table" w:styleId="GridTable4-Accent5">
    <w:name w:val="Grid Table 4 Accent 5"/>
    <w:basedOn w:val="TableNormal"/>
    <w:uiPriority w:val="49"/>
    <w:rsid w:val="00E94A5F"/>
    <w:pPr>
      <w:spacing w:after="0" w:line="240" w:lineRule="auto"/>
    </w:pPr>
    <w:tblPr>
      <w:tblStyleRowBandSize w:val="1"/>
      <w:tblStyleColBandSize w:val="1"/>
      <w:tblBorders>
        <w:top w:val="single" w:sz="4" w:space="0" w:color="9CC2E5" w:themeColor="accent5" w:themeTint="99"/>
        <w:left w:val="single" w:sz="4" w:space="0" w:color="9CC2E5" w:themeColor="accent5" w:themeTint="99"/>
        <w:bottom w:val="single" w:sz="4" w:space="0" w:color="9CC2E5" w:themeColor="accent5" w:themeTint="99"/>
        <w:right w:val="single" w:sz="4" w:space="0" w:color="9CC2E5" w:themeColor="accent5" w:themeTint="99"/>
        <w:insideH w:val="single" w:sz="4" w:space="0" w:color="9CC2E5" w:themeColor="accent5" w:themeTint="99"/>
        <w:insideV w:val="single" w:sz="4" w:space="0" w:color="9CC2E5" w:themeColor="accent5" w:themeTint="99"/>
      </w:tblBorders>
    </w:tblPr>
    <w:tblStylePr w:type="firstRow">
      <w:rPr>
        <w:b/>
        <w:bCs/>
        <w:color w:val="FFFFFF" w:themeColor="background1"/>
      </w:rPr>
      <w:tblPr/>
      <w:tcPr>
        <w:tcBorders>
          <w:top w:val="single" w:sz="4" w:space="0" w:color="5B9BD5" w:themeColor="accent5"/>
          <w:left w:val="single" w:sz="4" w:space="0" w:color="5B9BD5" w:themeColor="accent5"/>
          <w:bottom w:val="single" w:sz="4" w:space="0" w:color="5B9BD5" w:themeColor="accent5"/>
          <w:right w:val="single" w:sz="4" w:space="0" w:color="5B9BD5" w:themeColor="accent5"/>
          <w:insideH w:val="nil"/>
          <w:insideV w:val="nil"/>
        </w:tcBorders>
        <w:shd w:val="clear" w:color="auto" w:fill="5B9BD5" w:themeFill="accent5"/>
      </w:tcPr>
    </w:tblStylePr>
    <w:tblStylePr w:type="lastRow">
      <w:rPr>
        <w:b/>
        <w:bCs/>
      </w:rPr>
      <w:tblPr/>
      <w:tcPr>
        <w:tcBorders>
          <w:top w:val="double" w:sz="4" w:space="0" w:color="5B9BD5" w:themeColor="accent5"/>
        </w:tcBorders>
      </w:tcPr>
    </w:tblStylePr>
    <w:tblStylePr w:type="firstCol">
      <w:rPr>
        <w:b/>
        <w:bCs/>
      </w:rPr>
    </w:tblStylePr>
    <w:tblStylePr w:type="lastCol">
      <w:rPr>
        <w:b/>
        <w:bCs/>
      </w:rPr>
    </w:tblStylePr>
    <w:tblStylePr w:type="band1Vert">
      <w:tblPr/>
      <w:tcPr>
        <w:shd w:val="clear" w:color="auto" w:fill="DEEAF6" w:themeFill="accent5" w:themeFillTint="33"/>
      </w:tcPr>
    </w:tblStylePr>
    <w:tblStylePr w:type="band1Horz">
      <w:tblPr/>
      <w:tcPr>
        <w:shd w:val="clear" w:color="auto" w:fill="DEEAF6" w:themeFill="accent5" w:themeFillTint="33"/>
      </w:tcPr>
    </w:tblStylePr>
  </w:style>
  <w:style w:type="table" w:styleId="ListTable1Light-Accent2">
    <w:name w:val="List Table 1 Light Accent 2"/>
    <w:basedOn w:val="TableNormal"/>
    <w:uiPriority w:val="46"/>
    <w:rsid w:val="00D12AF2"/>
    <w:pPr>
      <w:spacing w:after="0" w:line="240" w:lineRule="auto"/>
    </w:pPr>
    <w:tblPr>
      <w:tblStyleRowBandSize w:val="1"/>
      <w:tblStyleColBandSize w:val="1"/>
    </w:tblPr>
    <w:tblStylePr w:type="firstRow">
      <w:rPr>
        <w:b/>
        <w:bCs/>
      </w:rPr>
      <w:tblPr/>
      <w:tcPr>
        <w:tcBorders>
          <w:bottom w:val="single" w:sz="4" w:space="0" w:color="F4B083" w:themeColor="accent2" w:themeTint="99"/>
        </w:tcBorders>
      </w:tcPr>
    </w:tblStylePr>
    <w:tblStylePr w:type="lastRow">
      <w:rPr>
        <w:b/>
        <w:bCs/>
      </w:rPr>
      <w:tblPr/>
      <w:tcPr>
        <w:tcBorders>
          <w:top w:val="single" w:sz="4" w:space="0" w:color="F4B083" w:themeColor="accent2" w:themeTint="99"/>
        </w:tcBorders>
      </w:tcPr>
    </w:tblStylePr>
    <w:tblStylePr w:type="firstCol">
      <w:rPr>
        <w:b/>
        <w:bCs/>
      </w:rPr>
    </w:tblStylePr>
    <w:tblStylePr w:type="lastCol">
      <w:rPr>
        <w:b/>
        <w:bCs/>
      </w:rPr>
    </w:tblStylePr>
    <w:tblStylePr w:type="band1Vert">
      <w:tblPr/>
      <w:tcPr>
        <w:shd w:val="clear" w:color="auto" w:fill="FBE4D5" w:themeFill="accent2" w:themeFillTint="33"/>
      </w:tcPr>
    </w:tblStylePr>
    <w:tblStylePr w:type="band1Horz">
      <w:tblPr/>
      <w:tcPr>
        <w:shd w:val="clear" w:color="auto" w:fill="FBE4D5" w:themeFill="accent2" w:themeFillTint="33"/>
      </w:tcPr>
    </w:tblStylePr>
  </w:style>
  <w:style w:type="paragraph" w:styleId="ListParagraph">
    <w:name w:val="List Paragraph"/>
    <w:basedOn w:val="Normal"/>
    <w:uiPriority w:val="34"/>
    <w:qFormat/>
    <w:rsid w:val="00D53CB1"/>
    <w:pPr>
      <w:ind w:left="720"/>
      <w:contextualSpacing/>
    </w:pPr>
  </w:style>
  <w:style w:type="table" w:styleId="TableGrid">
    <w:name w:val="Table Grid"/>
    <w:basedOn w:val="TableNormal"/>
    <w:uiPriority w:val="39"/>
    <w:rsid w:val="00D53CB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2">
    <w:name w:val="Plain Table 2"/>
    <w:basedOn w:val="TableNormal"/>
    <w:uiPriority w:val="42"/>
    <w:rsid w:val="009B64C6"/>
    <w:pPr>
      <w:spacing w:after="0" w:line="240" w:lineRule="auto"/>
    </w:pPr>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character" w:customStyle="1" w:styleId="Heading3Char">
    <w:name w:val="Heading 3 Char"/>
    <w:basedOn w:val="DefaultParagraphFont"/>
    <w:link w:val="Heading3"/>
    <w:uiPriority w:val="9"/>
    <w:rsid w:val="00764E4F"/>
    <w:rPr>
      <w:rFonts w:ascii="Arial" w:eastAsiaTheme="majorEastAsia" w:hAnsi="Arial" w:cstheme="majorBidi"/>
      <w:color w:val="1F3763" w:themeColor="accent1" w:themeShade="7F"/>
      <w:sz w:val="24"/>
      <w:szCs w:val="24"/>
    </w:rPr>
  </w:style>
  <w:style w:type="character" w:styleId="Hyperlink">
    <w:name w:val="Hyperlink"/>
    <w:basedOn w:val="DefaultParagraphFont"/>
    <w:uiPriority w:val="99"/>
    <w:unhideWhenUsed/>
    <w:rsid w:val="00752E29"/>
    <w:rPr>
      <w:color w:val="0563C1" w:themeColor="hyperlink"/>
      <w:u w:val="single"/>
    </w:rPr>
  </w:style>
  <w:style w:type="character" w:styleId="UnresolvedMention">
    <w:name w:val="Unresolved Mention"/>
    <w:basedOn w:val="DefaultParagraphFont"/>
    <w:uiPriority w:val="99"/>
    <w:semiHidden/>
    <w:unhideWhenUsed/>
    <w:rsid w:val="00752E29"/>
    <w:rPr>
      <w:color w:val="605E5C"/>
      <w:shd w:val="clear" w:color="auto" w:fill="E1DFDD"/>
    </w:rPr>
  </w:style>
  <w:style w:type="paragraph" w:styleId="NormalWeb">
    <w:name w:val="Normal (Web)"/>
    <w:basedOn w:val="Normal"/>
    <w:uiPriority w:val="99"/>
    <w:semiHidden/>
    <w:unhideWhenUsed/>
    <w:rsid w:val="00FE4220"/>
    <w:pPr>
      <w:spacing w:before="100" w:beforeAutospacing="1" w:after="100" w:afterAutospacing="1" w:line="240" w:lineRule="auto"/>
      <w:jc w:val="left"/>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FE4220"/>
    <w:pPr>
      <w:tabs>
        <w:tab w:val="center" w:pos="4513"/>
        <w:tab w:val="right" w:pos="9026"/>
      </w:tabs>
      <w:spacing w:after="0" w:line="240" w:lineRule="auto"/>
    </w:pPr>
  </w:style>
  <w:style w:type="character" w:customStyle="1" w:styleId="HeaderChar">
    <w:name w:val="Header Char"/>
    <w:basedOn w:val="DefaultParagraphFont"/>
    <w:link w:val="Header"/>
    <w:uiPriority w:val="99"/>
    <w:rsid w:val="00FE4220"/>
    <w:rPr>
      <w:rFonts w:ascii="Arial" w:hAnsi="Arial"/>
    </w:rPr>
  </w:style>
  <w:style w:type="paragraph" w:styleId="Footer">
    <w:name w:val="footer"/>
    <w:basedOn w:val="Normal"/>
    <w:link w:val="FooterChar"/>
    <w:uiPriority w:val="99"/>
    <w:unhideWhenUsed/>
    <w:rsid w:val="00FE4220"/>
    <w:pPr>
      <w:tabs>
        <w:tab w:val="center" w:pos="4513"/>
        <w:tab w:val="right" w:pos="9026"/>
      </w:tabs>
      <w:spacing w:after="0" w:line="240" w:lineRule="auto"/>
    </w:pPr>
  </w:style>
  <w:style w:type="character" w:customStyle="1" w:styleId="FooterChar">
    <w:name w:val="Footer Char"/>
    <w:basedOn w:val="DefaultParagraphFont"/>
    <w:link w:val="Footer"/>
    <w:uiPriority w:val="99"/>
    <w:rsid w:val="00FE4220"/>
    <w:rPr>
      <w:rFonts w:ascii="Arial" w:hAnsi="Arial"/>
    </w:rPr>
  </w:style>
  <w:style w:type="paragraph" w:styleId="TOCHeading">
    <w:name w:val="TOC Heading"/>
    <w:basedOn w:val="Heading1"/>
    <w:next w:val="Normal"/>
    <w:uiPriority w:val="39"/>
    <w:unhideWhenUsed/>
    <w:qFormat/>
    <w:rsid w:val="00FE4220"/>
    <w:pPr>
      <w:spacing w:line="259" w:lineRule="auto"/>
      <w:jc w:val="left"/>
      <w:outlineLvl w:val="9"/>
    </w:pPr>
    <w:rPr>
      <w:rFonts w:asciiTheme="majorHAnsi" w:hAnsiTheme="majorHAnsi"/>
      <w:lang w:val="en-US"/>
    </w:rPr>
  </w:style>
  <w:style w:type="paragraph" w:styleId="TOC1">
    <w:name w:val="toc 1"/>
    <w:basedOn w:val="Normal"/>
    <w:next w:val="Normal"/>
    <w:autoRedefine/>
    <w:uiPriority w:val="39"/>
    <w:unhideWhenUsed/>
    <w:rsid w:val="00FE4220"/>
    <w:pPr>
      <w:spacing w:after="100"/>
    </w:pPr>
  </w:style>
  <w:style w:type="paragraph" w:styleId="TOC2">
    <w:name w:val="toc 2"/>
    <w:basedOn w:val="Normal"/>
    <w:next w:val="Normal"/>
    <w:autoRedefine/>
    <w:uiPriority w:val="39"/>
    <w:unhideWhenUsed/>
    <w:rsid w:val="00FE4220"/>
    <w:pPr>
      <w:spacing w:after="100"/>
      <w:ind w:left="220"/>
    </w:pPr>
  </w:style>
  <w:style w:type="paragraph" w:styleId="TOC3">
    <w:name w:val="toc 3"/>
    <w:basedOn w:val="Normal"/>
    <w:next w:val="Normal"/>
    <w:autoRedefine/>
    <w:uiPriority w:val="39"/>
    <w:unhideWhenUsed/>
    <w:rsid w:val="00FE4220"/>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55355935">
      <w:bodyDiv w:val="1"/>
      <w:marLeft w:val="0"/>
      <w:marRight w:val="0"/>
      <w:marTop w:val="0"/>
      <w:marBottom w:val="0"/>
      <w:divBdr>
        <w:top w:val="none" w:sz="0" w:space="0" w:color="auto"/>
        <w:left w:val="none" w:sz="0" w:space="0" w:color="auto"/>
        <w:bottom w:val="none" w:sz="0" w:space="0" w:color="auto"/>
        <w:right w:val="none" w:sz="0" w:space="0" w:color="auto"/>
      </w:divBdr>
      <w:divsChild>
        <w:div w:id="2023586428">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 /><Relationship Id="rId13" Type="http://schemas.openxmlformats.org/officeDocument/2006/relationships/hyperlink" Target="https://www.ahrq.gov/talkingquality/measures/types.html" TargetMode="External" /><Relationship Id="rId18" Type="http://schemas.openxmlformats.org/officeDocument/2006/relationships/hyperlink" Target="https://learn.hms.harvard.edu/insights/all-insights/importance-adopting-lean-mindset-and-culture-health-care-organizations" TargetMode="External" /><Relationship Id="rId26" Type="http://schemas.openxmlformats.org/officeDocument/2006/relationships/hyperlink" Target="https://doi.org/10.1108/JHOM-04-2018-0126" TargetMode="External" /><Relationship Id="rId39" Type="http://schemas.openxmlformats.org/officeDocument/2006/relationships/hyperlink" Target="https://doi.org/10.5334/ijic.1068" TargetMode="External" /><Relationship Id="rId3" Type="http://schemas.openxmlformats.org/officeDocument/2006/relationships/styles" Target="styles.xml" /><Relationship Id="rId21" Type="http://schemas.openxmlformats.org/officeDocument/2006/relationships/hyperlink" Target="https://doi.org/10.1136/bmjopen-2024-097086" TargetMode="External" /><Relationship Id="rId34" Type="http://schemas.openxmlformats.org/officeDocument/2006/relationships/hyperlink" Target="https://doi.org/10.1136/bmjqs-2024-017094" TargetMode="External" /><Relationship Id="rId42" Type="http://schemas.openxmlformats.org/officeDocument/2006/relationships/hyperlink" Target="https://doi.org/10.3389/fpubh.2026.1767910" TargetMode="External" /><Relationship Id="rId7" Type="http://schemas.openxmlformats.org/officeDocument/2006/relationships/endnotes" Target="endnotes.xml" /><Relationship Id="rId12" Type="http://schemas.openxmlformats.org/officeDocument/2006/relationships/hyperlink" Target="https://doi.org/10.36401/jqsh-22-19" TargetMode="External" /><Relationship Id="rId17" Type="http://schemas.openxmlformats.org/officeDocument/2006/relationships/hyperlink" Target="https://pmc.ncbi.nlm.nih.gov/articles/PMC539838/" TargetMode="External" /><Relationship Id="rId25" Type="http://schemas.openxmlformats.org/officeDocument/2006/relationships/hyperlink" Target="https://doi.org/10.3390/healthcare13192430" TargetMode="External" /><Relationship Id="rId33" Type="http://schemas.openxmlformats.org/officeDocument/2006/relationships/hyperlink" Target="https://doi.org/10.1136/bmjoq-2024-003234" TargetMode="External" /><Relationship Id="rId38" Type="http://schemas.openxmlformats.org/officeDocument/2006/relationships/hyperlink" Target="https://www.ncbi.nlm.nih.gov/books/NBK537302/" TargetMode="External" /><Relationship Id="rId2" Type="http://schemas.openxmlformats.org/officeDocument/2006/relationships/numbering" Target="numbering.xml" /><Relationship Id="rId16" Type="http://schemas.openxmlformats.org/officeDocument/2006/relationships/hyperlink" Target="https://doi.org/10.7861/futurehosp.6-2s-s79" TargetMode="External" /><Relationship Id="rId20" Type="http://schemas.openxmlformats.org/officeDocument/2006/relationships/hyperlink" Target="https://pmc.ncbi.nlm.nih.gov/articles/PMC1463210/" TargetMode="External" /><Relationship Id="rId29" Type="http://schemas.openxmlformats.org/officeDocument/2006/relationships/hyperlink" Target="https://hansard.parliament.uk/lords/2004-12-09/debates/3208dcb1-ef27-4513-be43-10cb4e5a5d97/ShipmanInquiry" TargetMode="External" /><Relationship Id="rId41" Type="http://schemas.openxmlformats.org/officeDocument/2006/relationships/hyperlink" Target="https://www.qualityleadersacademy.com/pdsa-quality-improvement" TargetMode="Externa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image" Target="media/image4.svg" /><Relationship Id="rId24" Type="http://schemas.openxmlformats.org/officeDocument/2006/relationships/hyperlink" Target="https://www.landmarkchambers.co.uk/news-and-cases/blog/health-and-social-care-law/medical-examiners-statutory-reforms" TargetMode="External" /><Relationship Id="rId32" Type="http://schemas.openxmlformats.org/officeDocument/2006/relationships/hyperlink" Target="https://doi.org/10.1136/bmjph-2025-003542" TargetMode="External" /><Relationship Id="rId37" Type="http://schemas.openxmlformats.org/officeDocument/2006/relationships/hyperlink" Target="https://doi.org/10.1136/bmjqs-2013-001862" TargetMode="External" /><Relationship Id="rId40" Type="http://schemas.openxmlformats.org/officeDocument/2006/relationships/hyperlink" Target="https://www.salford.ac.uk/spd/clinical-governance-vs-risk-management-in-healthcare" TargetMode="External" /><Relationship Id="rId45" Type="http://schemas.openxmlformats.org/officeDocument/2006/relationships/theme" Target="theme/theme1.xml" /><Relationship Id="rId5" Type="http://schemas.openxmlformats.org/officeDocument/2006/relationships/webSettings" Target="webSettings.xml" /><Relationship Id="rId15" Type="http://schemas.openxmlformats.org/officeDocument/2006/relationships/hyperlink" Target="https://www.ncbi.nlm.nih.gov/books/NBK599556/" TargetMode="External" /><Relationship Id="rId23" Type="http://schemas.openxmlformats.org/officeDocument/2006/relationships/hyperlink" Target="https://doi.org/10.36401/JQSH-23-42" TargetMode="External" /><Relationship Id="rId28" Type="http://schemas.openxmlformats.org/officeDocument/2006/relationships/hyperlink" Target="https://www.england.nhs.uk/improvement-hub/wp-content/uploads/sites/44/2017/11/Bringing-Lean-to-Life.pdf" TargetMode="External" /><Relationship Id="rId36" Type="http://schemas.openxmlformats.org/officeDocument/2006/relationships/hyperlink" Target="https://www.bbc.com/news/articles/cx2qnvjj39jo" TargetMode="External" /><Relationship Id="rId10" Type="http://schemas.openxmlformats.org/officeDocument/2006/relationships/image" Target="media/image3.png" /><Relationship Id="rId19" Type="http://schemas.openxmlformats.org/officeDocument/2006/relationships/hyperlink" Target="https://www.researchgate.net/publication/317196193_Causality_of_Factors_Reducing_Competitiveness_of_e-Commerce_Firms" TargetMode="External" /><Relationship Id="rId31" Type="http://schemas.openxmlformats.org/officeDocument/2006/relationships/hyperlink" Target="https://doi.org/10.1080/09540962.2021.1892959" TargetMode="External" /><Relationship Id="rId44" Type="http://schemas.openxmlformats.org/officeDocument/2006/relationships/fontTable" Target="fontTable.xml" /><Relationship Id="rId4" Type="http://schemas.openxmlformats.org/officeDocument/2006/relationships/settings" Target="settings.xml" /><Relationship Id="rId9" Type="http://schemas.openxmlformats.org/officeDocument/2006/relationships/image" Target="media/image2.png" /><Relationship Id="rId14" Type="http://schemas.openxmlformats.org/officeDocument/2006/relationships/hyperlink" Target="https://doi.org/10.3389/frhs.2025.1613756" TargetMode="External" /><Relationship Id="rId22" Type="http://schemas.openxmlformats.org/officeDocument/2006/relationships/hyperlink" Target="https://doi.org/10.1136/bmj.330.7499.1044-c" TargetMode="External" /><Relationship Id="rId27" Type="http://schemas.openxmlformats.org/officeDocument/2006/relationships/hyperlink" Target="https://www.med.unc.edu/ihqi/wp-content/uploads/sites/463/2021/01/A-Model-for-Measuring-Quality-Care-NHS-Improvement-brief.pdf" TargetMode="External" /><Relationship Id="rId30" Type="http://schemas.openxmlformats.org/officeDocument/2006/relationships/hyperlink" Target="https://doi.org/10.1016/j.paed.2026.01.007" TargetMode="External" /><Relationship Id="rId35" Type="http://schemas.openxmlformats.org/officeDocument/2006/relationships/hyperlink" Target="https://www.ncbi.nlm.nih.gov/books/NBK557505/" TargetMode="External" /><Relationship Id="rId43" Type="http://schemas.openxmlformats.org/officeDocument/2006/relationships/footer" Target="footer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8E0BBF7-F628-482E-944D-DC880F269A18}">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17</Pages>
  <Words>4841</Words>
  <Characters>27594</Characters>
  <Application>Microsoft Office Word</Application>
  <DocSecurity>0</DocSecurity>
  <Lines>229</Lines>
  <Paragraphs>64</Paragraphs>
  <ScaleCrop>false</ScaleCrop>
  <Company/>
  <LinksUpToDate>false</LinksUpToDate>
  <CharactersWithSpaces>32371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2026-04-15T23:00:00Z</dcterms:created>
  <dcterms:modified xsi:type="dcterms:W3CDTF">2026-04-15T23:02:00Z</dcterms:modified>
</cp:coreProperties>
</file>