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C29FE4" w14:textId="36DCCAAA" w:rsidR="00A672E8" w:rsidRPr="007540DF" w:rsidRDefault="00AE35FC" w:rsidP="001725A3">
      <w:pPr>
        <w:spacing w:line="360" w:lineRule="auto"/>
        <w:jc w:val="both"/>
        <w:rPr>
          <w:rFonts w:ascii="Arial" w:hAnsi="Arial" w:cs="Arial"/>
          <w:sz w:val="22"/>
          <w:szCs w:val="22"/>
        </w:rPr>
      </w:pPr>
      <w:r w:rsidRPr="007540DF">
        <w:rPr>
          <w:rFonts w:ascii="Arial" w:hAnsi="Arial" w:cs="Arial"/>
          <w:sz w:val="22"/>
          <w:szCs w:val="22"/>
        </w:rPr>
        <w:t>Programme: BA (Hons) Business Management</w:t>
      </w:r>
    </w:p>
    <w:p w14:paraId="735CFA90" w14:textId="12B8496F" w:rsidR="00AE35FC" w:rsidRPr="007540DF" w:rsidRDefault="00AE35FC" w:rsidP="001725A3">
      <w:pPr>
        <w:spacing w:line="360" w:lineRule="auto"/>
        <w:jc w:val="both"/>
        <w:rPr>
          <w:rFonts w:ascii="Arial" w:hAnsi="Arial" w:cs="Arial"/>
          <w:sz w:val="22"/>
          <w:szCs w:val="22"/>
        </w:rPr>
      </w:pPr>
      <w:r w:rsidRPr="007540DF">
        <w:rPr>
          <w:rFonts w:ascii="Arial" w:hAnsi="Arial" w:cs="Arial"/>
          <w:sz w:val="22"/>
          <w:szCs w:val="22"/>
        </w:rPr>
        <w:t>Module: Strategic Management and Sustainability</w:t>
      </w:r>
    </w:p>
    <w:p w14:paraId="0635F117" w14:textId="40F19E74" w:rsidR="00AE35FC" w:rsidRPr="007540DF" w:rsidRDefault="00AE35FC" w:rsidP="001725A3">
      <w:pPr>
        <w:spacing w:line="360" w:lineRule="auto"/>
        <w:jc w:val="both"/>
        <w:rPr>
          <w:rFonts w:ascii="Arial" w:hAnsi="Arial" w:cs="Arial"/>
          <w:sz w:val="22"/>
          <w:szCs w:val="22"/>
        </w:rPr>
      </w:pPr>
      <w:r w:rsidRPr="007540DF">
        <w:rPr>
          <w:rFonts w:ascii="Arial" w:hAnsi="Arial" w:cs="Arial"/>
          <w:sz w:val="22"/>
          <w:szCs w:val="22"/>
        </w:rPr>
        <w:t>Module code: LCBB 6015</w:t>
      </w:r>
    </w:p>
    <w:p w14:paraId="156A017B" w14:textId="367B03A8" w:rsidR="007540DF" w:rsidRPr="007540DF" w:rsidRDefault="007540DF" w:rsidP="001725A3">
      <w:pPr>
        <w:spacing w:line="360" w:lineRule="auto"/>
        <w:jc w:val="both"/>
        <w:rPr>
          <w:rFonts w:ascii="Arial" w:hAnsi="Arial" w:cs="Arial"/>
          <w:sz w:val="22"/>
          <w:szCs w:val="22"/>
        </w:rPr>
      </w:pPr>
      <w:r w:rsidRPr="007540DF">
        <w:rPr>
          <w:rFonts w:ascii="Arial" w:hAnsi="Arial" w:cs="Arial"/>
          <w:sz w:val="22"/>
          <w:szCs w:val="22"/>
        </w:rPr>
        <w:t>Lecturer: Nadeem Mirza</w:t>
      </w:r>
    </w:p>
    <w:p w14:paraId="111F55B8" w14:textId="3EF078BE" w:rsidR="007540DF" w:rsidRPr="007540DF" w:rsidRDefault="007540DF" w:rsidP="001725A3">
      <w:pPr>
        <w:spacing w:line="360" w:lineRule="auto"/>
        <w:jc w:val="both"/>
        <w:rPr>
          <w:rFonts w:ascii="Arial" w:hAnsi="Arial" w:cs="Arial"/>
          <w:sz w:val="22"/>
          <w:szCs w:val="22"/>
        </w:rPr>
      </w:pPr>
      <w:r w:rsidRPr="007540DF">
        <w:rPr>
          <w:rFonts w:ascii="Arial" w:hAnsi="Arial" w:cs="Arial"/>
          <w:sz w:val="22"/>
          <w:szCs w:val="22"/>
        </w:rPr>
        <w:t>Student name: Octavian-George Stoica</w:t>
      </w:r>
    </w:p>
    <w:p w14:paraId="309BEAC4" w14:textId="13FE8860" w:rsidR="00AE35FC" w:rsidRPr="007540DF" w:rsidRDefault="00AE35FC" w:rsidP="001725A3">
      <w:pPr>
        <w:spacing w:line="360" w:lineRule="auto"/>
        <w:jc w:val="both"/>
        <w:rPr>
          <w:rFonts w:ascii="Arial" w:hAnsi="Arial" w:cs="Arial"/>
          <w:sz w:val="22"/>
          <w:szCs w:val="22"/>
        </w:rPr>
      </w:pPr>
      <w:r w:rsidRPr="007540DF">
        <w:rPr>
          <w:rFonts w:ascii="Arial" w:hAnsi="Arial" w:cs="Arial"/>
          <w:sz w:val="22"/>
          <w:szCs w:val="22"/>
        </w:rPr>
        <w:t>Student number:</w:t>
      </w:r>
      <w:r w:rsidR="007540DF" w:rsidRPr="007540DF">
        <w:rPr>
          <w:rFonts w:ascii="Arial" w:hAnsi="Arial" w:cs="Arial"/>
          <w:sz w:val="22"/>
          <w:szCs w:val="22"/>
        </w:rPr>
        <w:t>2330278</w:t>
      </w:r>
    </w:p>
    <w:p w14:paraId="6EC3674E" w14:textId="77777777" w:rsidR="007540DF" w:rsidRPr="007540DF" w:rsidRDefault="007540DF" w:rsidP="001725A3">
      <w:pPr>
        <w:spacing w:line="360" w:lineRule="auto"/>
        <w:jc w:val="both"/>
        <w:rPr>
          <w:rFonts w:ascii="Arial" w:hAnsi="Arial" w:cs="Arial"/>
          <w:sz w:val="22"/>
          <w:szCs w:val="22"/>
        </w:rPr>
      </w:pPr>
    </w:p>
    <w:p w14:paraId="30379450" w14:textId="77777777" w:rsidR="007540DF" w:rsidRPr="007540DF" w:rsidRDefault="007540DF" w:rsidP="001725A3">
      <w:pPr>
        <w:spacing w:line="360" w:lineRule="auto"/>
        <w:jc w:val="both"/>
        <w:rPr>
          <w:rFonts w:ascii="Arial" w:hAnsi="Arial" w:cs="Arial"/>
          <w:sz w:val="22"/>
          <w:szCs w:val="22"/>
        </w:rPr>
      </w:pPr>
    </w:p>
    <w:p w14:paraId="710BD6AB" w14:textId="77777777" w:rsidR="007540DF" w:rsidRPr="007540DF" w:rsidRDefault="007540DF" w:rsidP="001725A3">
      <w:pPr>
        <w:spacing w:line="360" w:lineRule="auto"/>
        <w:jc w:val="both"/>
        <w:rPr>
          <w:rFonts w:ascii="Arial" w:hAnsi="Arial" w:cs="Arial"/>
          <w:sz w:val="22"/>
          <w:szCs w:val="22"/>
        </w:rPr>
      </w:pPr>
    </w:p>
    <w:p w14:paraId="5A47A936" w14:textId="77777777" w:rsidR="007540DF" w:rsidRPr="007540DF" w:rsidRDefault="007540DF" w:rsidP="001725A3">
      <w:pPr>
        <w:spacing w:line="360" w:lineRule="auto"/>
        <w:jc w:val="both"/>
        <w:rPr>
          <w:rFonts w:ascii="Arial" w:hAnsi="Arial" w:cs="Arial"/>
          <w:sz w:val="22"/>
          <w:szCs w:val="22"/>
        </w:rPr>
      </w:pPr>
    </w:p>
    <w:p w14:paraId="6E4F1AC2" w14:textId="77777777" w:rsidR="007540DF" w:rsidRPr="007540DF" w:rsidRDefault="007540DF" w:rsidP="001725A3">
      <w:pPr>
        <w:spacing w:line="360" w:lineRule="auto"/>
        <w:jc w:val="both"/>
        <w:rPr>
          <w:rFonts w:ascii="Arial" w:hAnsi="Arial" w:cs="Arial"/>
          <w:sz w:val="22"/>
          <w:szCs w:val="22"/>
        </w:rPr>
      </w:pPr>
    </w:p>
    <w:p w14:paraId="21320FE8" w14:textId="77777777" w:rsidR="007540DF" w:rsidRPr="007540DF" w:rsidRDefault="007540DF" w:rsidP="001725A3">
      <w:pPr>
        <w:spacing w:line="360" w:lineRule="auto"/>
        <w:jc w:val="both"/>
        <w:rPr>
          <w:rFonts w:ascii="Arial" w:hAnsi="Arial" w:cs="Arial"/>
          <w:sz w:val="22"/>
          <w:szCs w:val="22"/>
        </w:rPr>
      </w:pPr>
    </w:p>
    <w:p w14:paraId="4132FAF4" w14:textId="77777777" w:rsidR="007540DF" w:rsidRPr="007540DF" w:rsidRDefault="007540DF" w:rsidP="001725A3">
      <w:pPr>
        <w:spacing w:line="360" w:lineRule="auto"/>
        <w:jc w:val="both"/>
        <w:rPr>
          <w:rFonts w:ascii="Arial" w:hAnsi="Arial" w:cs="Arial"/>
          <w:sz w:val="22"/>
          <w:szCs w:val="22"/>
        </w:rPr>
      </w:pPr>
    </w:p>
    <w:p w14:paraId="2C08051D" w14:textId="77777777" w:rsidR="007540DF" w:rsidRPr="007540DF" w:rsidRDefault="007540DF" w:rsidP="001725A3">
      <w:pPr>
        <w:spacing w:line="360" w:lineRule="auto"/>
        <w:jc w:val="both"/>
        <w:rPr>
          <w:rFonts w:ascii="Arial" w:hAnsi="Arial" w:cs="Arial"/>
          <w:sz w:val="22"/>
          <w:szCs w:val="22"/>
        </w:rPr>
      </w:pPr>
    </w:p>
    <w:p w14:paraId="369B0D5C" w14:textId="77777777" w:rsidR="007540DF" w:rsidRPr="007540DF" w:rsidRDefault="007540DF" w:rsidP="001725A3">
      <w:pPr>
        <w:spacing w:line="360" w:lineRule="auto"/>
        <w:jc w:val="both"/>
        <w:rPr>
          <w:rFonts w:ascii="Arial" w:hAnsi="Arial" w:cs="Arial"/>
          <w:sz w:val="22"/>
          <w:szCs w:val="22"/>
        </w:rPr>
      </w:pPr>
    </w:p>
    <w:p w14:paraId="7060E9A2" w14:textId="77777777" w:rsidR="007540DF" w:rsidRPr="007540DF" w:rsidRDefault="007540DF" w:rsidP="001725A3">
      <w:pPr>
        <w:spacing w:line="360" w:lineRule="auto"/>
        <w:jc w:val="both"/>
        <w:rPr>
          <w:rFonts w:ascii="Arial" w:hAnsi="Arial" w:cs="Arial"/>
          <w:sz w:val="22"/>
          <w:szCs w:val="22"/>
        </w:rPr>
      </w:pPr>
    </w:p>
    <w:p w14:paraId="1ECCAC02" w14:textId="77777777" w:rsidR="007540DF" w:rsidRPr="007540DF" w:rsidRDefault="007540DF" w:rsidP="001725A3">
      <w:pPr>
        <w:spacing w:line="360" w:lineRule="auto"/>
        <w:jc w:val="both"/>
        <w:rPr>
          <w:rFonts w:ascii="Arial" w:hAnsi="Arial" w:cs="Arial"/>
          <w:sz w:val="22"/>
          <w:szCs w:val="22"/>
        </w:rPr>
      </w:pPr>
    </w:p>
    <w:p w14:paraId="7D2BA9A6" w14:textId="77777777" w:rsidR="007540DF" w:rsidRPr="007540DF" w:rsidRDefault="007540DF" w:rsidP="001725A3">
      <w:pPr>
        <w:spacing w:line="360" w:lineRule="auto"/>
        <w:jc w:val="both"/>
        <w:rPr>
          <w:rFonts w:ascii="Arial" w:hAnsi="Arial" w:cs="Arial"/>
          <w:sz w:val="22"/>
          <w:szCs w:val="22"/>
        </w:rPr>
      </w:pPr>
    </w:p>
    <w:p w14:paraId="32FE2914" w14:textId="77777777" w:rsidR="007540DF" w:rsidRPr="007540DF" w:rsidRDefault="007540DF" w:rsidP="001725A3">
      <w:pPr>
        <w:spacing w:line="360" w:lineRule="auto"/>
        <w:jc w:val="both"/>
        <w:rPr>
          <w:rFonts w:ascii="Arial" w:hAnsi="Arial" w:cs="Arial"/>
          <w:sz w:val="22"/>
          <w:szCs w:val="22"/>
        </w:rPr>
      </w:pPr>
    </w:p>
    <w:p w14:paraId="0D1897CA" w14:textId="77777777" w:rsidR="007540DF" w:rsidRPr="007540DF" w:rsidRDefault="007540DF" w:rsidP="001725A3">
      <w:pPr>
        <w:spacing w:line="360" w:lineRule="auto"/>
        <w:jc w:val="both"/>
        <w:rPr>
          <w:rFonts w:ascii="Arial" w:hAnsi="Arial" w:cs="Arial"/>
          <w:sz w:val="22"/>
          <w:szCs w:val="22"/>
        </w:rPr>
      </w:pPr>
    </w:p>
    <w:p w14:paraId="728BDA4A" w14:textId="77777777" w:rsidR="007540DF" w:rsidRPr="007540DF" w:rsidRDefault="007540DF" w:rsidP="001725A3">
      <w:pPr>
        <w:spacing w:line="360" w:lineRule="auto"/>
        <w:jc w:val="both"/>
        <w:rPr>
          <w:rFonts w:ascii="Arial" w:hAnsi="Arial" w:cs="Arial"/>
          <w:sz w:val="22"/>
          <w:szCs w:val="22"/>
        </w:rPr>
      </w:pPr>
    </w:p>
    <w:p w14:paraId="5C3CBFD7" w14:textId="77777777" w:rsidR="007540DF" w:rsidRPr="007540DF" w:rsidRDefault="007540DF" w:rsidP="001725A3">
      <w:pPr>
        <w:spacing w:line="360" w:lineRule="auto"/>
        <w:jc w:val="both"/>
        <w:rPr>
          <w:rFonts w:ascii="Arial" w:hAnsi="Arial" w:cs="Arial"/>
          <w:sz w:val="22"/>
          <w:szCs w:val="22"/>
        </w:rPr>
      </w:pPr>
    </w:p>
    <w:p w14:paraId="701EC158" w14:textId="77777777" w:rsidR="007540DF" w:rsidRPr="007540DF" w:rsidRDefault="007540DF" w:rsidP="001725A3">
      <w:pPr>
        <w:spacing w:line="360" w:lineRule="auto"/>
        <w:jc w:val="both"/>
        <w:rPr>
          <w:rFonts w:ascii="Arial" w:hAnsi="Arial" w:cs="Arial"/>
          <w:sz w:val="22"/>
          <w:szCs w:val="22"/>
        </w:rPr>
      </w:pPr>
    </w:p>
    <w:p w14:paraId="0F17C83D" w14:textId="77777777" w:rsidR="007540DF" w:rsidRPr="007540DF" w:rsidRDefault="007540DF" w:rsidP="001725A3">
      <w:pPr>
        <w:spacing w:line="360" w:lineRule="auto"/>
        <w:jc w:val="both"/>
        <w:rPr>
          <w:rFonts w:ascii="Arial" w:hAnsi="Arial" w:cs="Arial"/>
          <w:sz w:val="22"/>
          <w:szCs w:val="22"/>
        </w:rPr>
      </w:pPr>
    </w:p>
    <w:p w14:paraId="522CAC8C" w14:textId="77777777" w:rsidR="007540DF" w:rsidRPr="007540DF" w:rsidRDefault="007540DF" w:rsidP="001725A3">
      <w:pPr>
        <w:spacing w:line="360" w:lineRule="auto"/>
        <w:jc w:val="both"/>
        <w:rPr>
          <w:rFonts w:ascii="Arial" w:hAnsi="Arial" w:cs="Arial"/>
          <w:sz w:val="22"/>
          <w:szCs w:val="22"/>
        </w:rPr>
      </w:pPr>
    </w:p>
    <w:p w14:paraId="517CC33D" w14:textId="77777777" w:rsidR="007540DF" w:rsidRPr="007540DF" w:rsidRDefault="007540DF" w:rsidP="001725A3">
      <w:pPr>
        <w:spacing w:line="360" w:lineRule="auto"/>
        <w:jc w:val="both"/>
        <w:rPr>
          <w:rFonts w:ascii="Arial" w:hAnsi="Arial" w:cs="Arial"/>
          <w:sz w:val="22"/>
          <w:szCs w:val="22"/>
        </w:rPr>
      </w:pPr>
    </w:p>
    <w:p w14:paraId="4C75F278" w14:textId="77777777" w:rsidR="007540DF" w:rsidRPr="007540DF" w:rsidRDefault="007540DF" w:rsidP="001725A3">
      <w:pPr>
        <w:spacing w:line="360" w:lineRule="auto"/>
        <w:jc w:val="both"/>
        <w:rPr>
          <w:rFonts w:ascii="Arial" w:hAnsi="Arial" w:cs="Arial"/>
          <w:sz w:val="22"/>
          <w:szCs w:val="22"/>
        </w:rPr>
      </w:pPr>
    </w:p>
    <w:p w14:paraId="792FCF44" w14:textId="77777777" w:rsidR="007540DF" w:rsidRDefault="007540DF" w:rsidP="001725A3">
      <w:pPr>
        <w:spacing w:line="360" w:lineRule="auto"/>
        <w:jc w:val="both"/>
        <w:rPr>
          <w:rFonts w:ascii="Arial" w:hAnsi="Arial" w:cs="Arial"/>
          <w:sz w:val="22"/>
          <w:szCs w:val="22"/>
        </w:rPr>
      </w:pPr>
    </w:p>
    <w:p w14:paraId="13C0F163" w14:textId="77777777" w:rsidR="007540DF" w:rsidRDefault="007540DF" w:rsidP="001725A3">
      <w:pPr>
        <w:spacing w:line="360" w:lineRule="auto"/>
        <w:jc w:val="both"/>
        <w:rPr>
          <w:rFonts w:ascii="Arial" w:hAnsi="Arial" w:cs="Arial"/>
          <w:sz w:val="22"/>
          <w:szCs w:val="22"/>
        </w:rPr>
      </w:pPr>
    </w:p>
    <w:p w14:paraId="5165561D" w14:textId="77777777" w:rsidR="007540DF" w:rsidRDefault="007540DF" w:rsidP="001725A3">
      <w:pPr>
        <w:spacing w:line="360" w:lineRule="auto"/>
        <w:jc w:val="both"/>
        <w:rPr>
          <w:rFonts w:ascii="Arial" w:hAnsi="Arial" w:cs="Arial"/>
          <w:sz w:val="22"/>
          <w:szCs w:val="22"/>
        </w:rPr>
      </w:pPr>
    </w:p>
    <w:p w14:paraId="62505379" w14:textId="77777777" w:rsidR="007540DF" w:rsidRPr="007540DF" w:rsidRDefault="007540DF" w:rsidP="001725A3">
      <w:pPr>
        <w:spacing w:line="360" w:lineRule="auto"/>
        <w:jc w:val="both"/>
        <w:rPr>
          <w:rFonts w:ascii="Arial" w:hAnsi="Arial" w:cs="Arial"/>
          <w:sz w:val="22"/>
          <w:szCs w:val="22"/>
        </w:rPr>
      </w:pPr>
    </w:p>
    <w:p w14:paraId="47326BCA" w14:textId="15D1060D" w:rsidR="007540DF" w:rsidRPr="007540DF" w:rsidRDefault="007540DF" w:rsidP="001725A3">
      <w:pPr>
        <w:spacing w:line="360" w:lineRule="auto"/>
        <w:jc w:val="center"/>
        <w:rPr>
          <w:rFonts w:ascii="Arial" w:hAnsi="Arial" w:cs="Arial"/>
          <w:sz w:val="22"/>
          <w:szCs w:val="22"/>
        </w:rPr>
      </w:pPr>
      <w:r w:rsidRPr="007540DF">
        <w:rPr>
          <w:rFonts w:ascii="Arial" w:hAnsi="Arial" w:cs="Arial"/>
          <w:sz w:val="22"/>
          <w:szCs w:val="22"/>
        </w:rPr>
        <w:t>Strategic Analysis of NEXT plc in the UK Fashion Industry</w:t>
      </w:r>
    </w:p>
    <w:p w14:paraId="08C47822" w14:textId="77777777" w:rsidR="007540DF" w:rsidRPr="007540DF" w:rsidRDefault="007540DF" w:rsidP="001725A3">
      <w:pPr>
        <w:spacing w:line="360" w:lineRule="auto"/>
        <w:jc w:val="both"/>
        <w:rPr>
          <w:rFonts w:ascii="Arial" w:hAnsi="Arial" w:cs="Arial"/>
          <w:sz w:val="22"/>
          <w:szCs w:val="22"/>
        </w:rPr>
      </w:pPr>
    </w:p>
    <w:p w14:paraId="3FA13620" w14:textId="77777777" w:rsidR="007540DF" w:rsidRPr="007540DF" w:rsidRDefault="007540DF" w:rsidP="001725A3">
      <w:pPr>
        <w:spacing w:line="360" w:lineRule="auto"/>
        <w:jc w:val="both"/>
        <w:rPr>
          <w:rFonts w:ascii="Arial" w:hAnsi="Arial" w:cs="Arial"/>
          <w:sz w:val="22"/>
          <w:szCs w:val="22"/>
        </w:rPr>
      </w:pPr>
    </w:p>
    <w:p w14:paraId="516615B3" w14:textId="77777777" w:rsidR="007540DF" w:rsidRPr="007540DF" w:rsidRDefault="007540DF" w:rsidP="001725A3">
      <w:pPr>
        <w:spacing w:line="360" w:lineRule="auto"/>
        <w:jc w:val="both"/>
        <w:rPr>
          <w:rFonts w:ascii="Arial" w:hAnsi="Arial" w:cs="Arial"/>
          <w:sz w:val="22"/>
          <w:szCs w:val="22"/>
        </w:rPr>
      </w:pPr>
    </w:p>
    <w:p w14:paraId="4C5CDF9D" w14:textId="77777777" w:rsidR="007540DF" w:rsidRPr="007540DF" w:rsidRDefault="007540DF" w:rsidP="001725A3">
      <w:pPr>
        <w:spacing w:line="360" w:lineRule="auto"/>
        <w:jc w:val="both"/>
        <w:rPr>
          <w:rFonts w:ascii="Arial" w:hAnsi="Arial" w:cs="Arial"/>
          <w:sz w:val="22"/>
          <w:szCs w:val="22"/>
        </w:rPr>
      </w:pPr>
    </w:p>
    <w:p w14:paraId="4735B763" w14:textId="77777777" w:rsidR="007540DF" w:rsidRPr="007540DF" w:rsidRDefault="007540DF" w:rsidP="001725A3">
      <w:pPr>
        <w:spacing w:line="360" w:lineRule="auto"/>
        <w:jc w:val="both"/>
        <w:rPr>
          <w:rFonts w:ascii="Arial" w:hAnsi="Arial" w:cs="Arial"/>
          <w:sz w:val="22"/>
          <w:szCs w:val="22"/>
        </w:rPr>
      </w:pPr>
    </w:p>
    <w:p w14:paraId="0340560D" w14:textId="6A62DC54" w:rsidR="00A4335C" w:rsidRDefault="007540DF">
      <w:pPr>
        <w:pStyle w:val="TOC1"/>
        <w:tabs>
          <w:tab w:val="right" w:leader="dot" w:pos="9016"/>
        </w:tabs>
        <w:rPr>
          <w:rFonts w:eastAsiaTheme="minorEastAsia"/>
          <w:noProof/>
          <w:lang w:eastAsia="en-GB"/>
        </w:rPr>
      </w:pPr>
      <w:r>
        <w:rPr>
          <w:rFonts w:ascii="Arial" w:hAnsi="Arial" w:cs="Arial"/>
          <w:sz w:val="22"/>
          <w:szCs w:val="22"/>
        </w:rPr>
        <w:fldChar w:fldCharType="begin"/>
      </w:r>
      <w:r>
        <w:rPr>
          <w:rFonts w:ascii="Arial" w:hAnsi="Arial" w:cs="Arial"/>
          <w:sz w:val="22"/>
          <w:szCs w:val="22"/>
        </w:rPr>
        <w:instrText xml:space="preserve"> TOC \o \h \z \u </w:instrText>
      </w:r>
      <w:r>
        <w:rPr>
          <w:rFonts w:ascii="Arial" w:hAnsi="Arial" w:cs="Arial"/>
          <w:sz w:val="22"/>
          <w:szCs w:val="22"/>
        </w:rPr>
        <w:fldChar w:fldCharType="separate"/>
      </w:r>
      <w:hyperlink w:anchor="_Toc243474951" w:history="1">
        <w:r w:rsidR="00A4335C" w:rsidRPr="00553406">
          <w:rPr>
            <w:rStyle w:val="Hyperlink"/>
            <w:rFonts w:ascii="Arial" w:hAnsi="Arial" w:cs="Arial"/>
            <w:noProof/>
          </w:rPr>
          <w:t>Executive Summary</w:t>
        </w:r>
        <w:r w:rsidR="00A4335C">
          <w:rPr>
            <w:noProof/>
            <w:webHidden/>
          </w:rPr>
          <w:tab/>
        </w:r>
        <w:r w:rsidR="00A4335C">
          <w:rPr>
            <w:noProof/>
            <w:webHidden/>
          </w:rPr>
          <w:fldChar w:fldCharType="begin"/>
        </w:r>
        <w:r w:rsidR="00A4335C">
          <w:rPr>
            <w:noProof/>
            <w:webHidden/>
          </w:rPr>
          <w:instrText xml:space="preserve"> PAGEREF _Toc243474951 \h </w:instrText>
        </w:r>
        <w:r w:rsidR="00A4335C">
          <w:rPr>
            <w:noProof/>
            <w:webHidden/>
          </w:rPr>
        </w:r>
        <w:r w:rsidR="00A4335C">
          <w:rPr>
            <w:noProof/>
            <w:webHidden/>
          </w:rPr>
          <w:fldChar w:fldCharType="separate"/>
        </w:r>
        <w:r w:rsidR="00A4335C">
          <w:rPr>
            <w:noProof/>
            <w:webHidden/>
          </w:rPr>
          <w:t>3</w:t>
        </w:r>
        <w:r w:rsidR="00A4335C">
          <w:rPr>
            <w:noProof/>
            <w:webHidden/>
          </w:rPr>
          <w:fldChar w:fldCharType="end"/>
        </w:r>
      </w:hyperlink>
    </w:p>
    <w:p w14:paraId="5631E638" w14:textId="631C940E" w:rsidR="00A4335C" w:rsidRDefault="00A4335C">
      <w:pPr>
        <w:pStyle w:val="TOC2"/>
        <w:tabs>
          <w:tab w:val="right" w:leader="dot" w:pos="9016"/>
        </w:tabs>
        <w:rPr>
          <w:rFonts w:eastAsiaTheme="minorEastAsia"/>
          <w:noProof/>
          <w:lang w:eastAsia="en-GB"/>
        </w:rPr>
      </w:pPr>
      <w:hyperlink w:anchor="_Toc243474952" w:history="1">
        <w:r w:rsidRPr="00553406">
          <w:rPr>
            <w:rStyle w:val="Hyperlink"/>
            <w:rFonts w:ascii="Arial" w:hAnsi="Arial" w:cs="Arial"/>
            <w:noProof/>
          </w:rPr>
          <w:t>1. Introduction</w:t>
        </w:r>
        <w:r>
          <w:rPr>
            <w:noProof/>
            <w:webHidden/>
          </w:rPr>
          <w:tab/>
        </w:r>
        <w:r>
          <w:rPr>
            <w:noProof/>
            <w:webHidden/>
          </w:rPr>
          <w:fldChar w:fldCharType="begin"/>
        </w:r>
        <w:r>
          <w:rPr>
            <w:noProof/>
            <w:webHidden/>
          </w:rPr>
          <w:instrText xml:space="preserve"> PAGEREF _Toc243474952 \h </w:instrText>
        </w:r>
        <w:r>
          <w:rPr>
            <w:noProof/>
            <w:webHidden/>
          </w:rPr>
        </w:r>
        <w:r>
          <w:rPr>
            <w:noProof/>
            <w:webHidden/>
          </w:rPr>
          <w:fldChar w:fldCharType="separate"/>
        </w:r>
        <w:r>
          <w:rPr>
            <w:noProof/>
            <w:webHidden/>
          </w:rPr>
          <w:t>4</w:t>
        </w:r>
        <w:r>
          <w:rPr>
            <w:noProof/>
            <w:webHidden/>
          </w:rPr>
          <w:fldChar w:fldCharType="end"/>
        </w:r>
      </w:hyperlink>
    </w:p>
    <w:p w14:paraId="5359E6B5" w14:textId="00E4D541" w:rsidR="00A4335C" w:rsidRDefault="00A4335C">
      <w:pPr>
        <w:pStyle w:val="TOC3"/>
        <w:tabs>
          <w:tab w:val="right" w:leader="dot" w:pos="9016"/>
        </w:tabs>
        <w:rPr>
          <w:rFonts w:eastAsiaTheme="minorEastAsia"/>
          <w:noProof/>
          <w:lang w:eastAsia="en-GB"/>
        </w:rPr>
      </w:pPr>
      <w:hyperlink w:anchor="_Toc243474953" w:history="1">
        <w:r w:rsidRPr="00553406">
          <w:rPr>
            <w:rStyle w:val="Hyperlink"/>
            <w:rFonts w:ascii="Arial" w:hAnsi="Arial" w:cs="Arial"/>
            <w:noProof/>
          </w:rPr>
          <w:t>2. External Environment Audit</w:t>
        </w:r>
        <w:r>
          <w:rPr>
            <w:noProof/>
            <w:webHidden/>
          </w:rPr>
          <w:tab/>
        </w:r>
        <w:r>
          <w:rPr>
            <w:noProof/>
            <w:webHidden/>
          </w:rPr>
          <w:fldChar w:fldCharType="begin"/>
        </w:r>
        <w:r>
          <w:rPr>
            <w:noProof/>
            <w:webHidden/>
          </w:rPr>
          <w:instrText xml:space="preserve"> PAGEREF _Toc243474953 \h </w:instrText>
        </w:r>
        <w:r>
          <w:rPr>
            <w:noProof/>
            <w:webHidden/>
          </w:rPr>
        </w:r>
        <w:r>
          <w:rPr>
            <w:noProof/>
            <w:webHidden/>
          </w:rPr>
          <w:fldChar w:fldCharType="separate"/>
        </w:r>
        <w:r>
          <w:rPr>
            <w:noProof/>
            <w:webHidden/>
          </w:rPr>
          <w:t>4</w:t>
        </w:r>
        <w:r>
          <w:rPr>
            <w:noProof/>
            <w:webHidden/>
          </w:rPr>
          <w:fldChar w:fldCharType="end"/>
        </w:r>
      </w:hyperlink>
    </w:p>
    <w:p w14:paraId="3AF4A1F8" w14:textId="54D2E615" w:rsidR="00A4335C" w:rsidRDefault="00A4335C">
      <w:pPr>
        <w:pStyle w:val="TOC4"/>
        <w:tabs>
          <w:tab w:val="right" w:leader="dot" w:pos="9016"/>
        </w:tabs>
        <w:rPr>
          <w:rFonts w:eastAsiaTheme="minorEastAsia"/>
          <w:noProof/>
          <w:lang w:eastAsia="en-GB"/>
        </w:rPr>
      </w:pPr>
      <w:hyperlink w:anchor="_Toc243474954" w:history="1">
        <w:r w:rsidRPr="00553406">
          <w:rPr>
            <w:rStyle w:val="Hyperlink"/>
            <w:rFonts w:ascii="Arial" w:hAnsi="Arial" w:cs="Arial"/>
            <w:noProof/>
          </w:rPr>
          <w:t>3. Internal Environment Audit</w:t>
        </w:r>
        <w:r>
          <w:rPr>
            <w:noProof/>
            <w:webHidden/>
          </w:rPr>
          <w:tab/>
        </w:r>
        <w:r>
          <w:rPr>
            <w:noProof/>
            <w:webHidden/>
          </w:rPr>
          <w:fldChar w:fldCharType="begin"/>
        </w:r>
        <w:r>
          <w:rPr>
            <w:noProof/>
            <w:webHidden/>
          </w:rPr>
          <w:instrText xml:space="preserve"> PAGEREF _Toc243474954 \h </w:instrText>
        </w:r>
        <w:r>
          <w:rPr>
            <w:noProof/>
            <w:webHidden/>
          </w:rPr>
        </w:r>
        <w:r>
          <w:rPr>
            <w:noProof/>
            <w:webHidden/>
          </w:rPr>
          <w:fldChar w:fldCharType="separate"/>
        </w:r>
        <w:r>
          <w:rPr>
            <w:noProof/>
            <w:webHidden/>
          </w:rPr>
          <w:t>7</w:t>
        </w:r>
        <w:r>
          <w:rPr>
            <w:noProof/>
            <w:webHidden/>
          </w:rPr>
          <w:fldChar w:fldCharType="end"/>
        </w:r>
      </w:hyperlink>
    </w:p>
    <w:p w14:paraId="55F6765E" w14:textId="38B6D48C" w:rsidR="00A4335C" w:rsidRDefault="00A4335C">
      <w:pPr>
        <w:pStyle w:val="TOC5"/>
        <w:tabs>
          <w:tab w:val="right" w:leader="dot" w:pos="9016"/>
        </w:tabs>
        <w:rPr>
          <w:rFonts w:eastAsiaTheme="minorEastAsia"/>
          <w:noProof/>
          <w:lang w:eastAsia="en-GB"/>
        </w:rPr>
      </w:pPr>
      <w:hyperlink w:anchor="_Toc243474955" w:history="1">
        <w:r w:rsidRPr="00553406">
          <w:rPr>
            <w:rStyle w:val="Hyperlink"/>
            <w:rFonts w:ascii="Arial" w:hAnsi="Arial" w:cs="Arial"/>
            <w:noProof/>
          </w:rPr>
          <w:t>4. SWOT Analysis</w:t>
        </w:r>
        <w:r>
          <w:rPr>
            <w:noProof/>
            <w:webHidden/>
          </w:rPr>
          <w:tab/>
        </w:r>
        <w:r>
          <w:rPr>
            <w:noProof/>
            <w:webHidden/>
          </w:rPr>
          <w:fldChar w:fldCharType="begin"/>
        </w:r>
        <w:r>
          <w:rPr>
            <w:noProof/>
            <w:webHidden/>
          </w:rPr>
          <w:instrText xml:space="preserve"> PAGEREF _Toc243474955 \h </w:instrText>
        </w:r>
        <w:r>
          <w:rPr>
            <w:noProof/>
            <w:webHidden/>
          </w:rPr>
        </w:r>
        <w:r>
          <w:rPr>
            <w:noProof/>
            <w:webHidden/>
          </w:rPr>
          <w:fldChar w:fldCharType="separate"/>
        </w:r>
        <w:r>
          <w:rPr>
            <w:noProof/>
            <w:webHidden/>
          </w:rPr>
          <w:t>9</w:t>
        </w:r>
        <w:r>
          <w:rPr>
            <w:noProof/>
            <w:webHidden/>
          </w:rPr>
          <w:fldChar w:fldCharType="end"/>
        </w:r>
      </w:hyperlink>
    </w:p>
    <w:p w14:paraId="6B27D4BB" w14:textId="2B89AAB9" w:rsidR="00A4335C" w:rsidRDefault="00A4335C">
      <w:pPr>
        <w:pStyle w:val="TOC6"/>
        <w:tabs>
          <w:tab w:val="right" w:leader="dot" w:pos="9016"/>
        </w:tabs>
        <w:rPr>
          <w:rFonts w:eastAsiaTheme="minorEastAsia"/>
          <w:noProof/>
          <w:lang w:eastAsia="en-GB"/>
        </w:rPr>
      </w:pPr>
      <w:hyperlink w:anchor="_Toc243474956" w:history="1">
        <w:r w:rsidRPr="00553406">
          <w:rPr>
            <w:rStyle w:val="Hyperlink"/>
            <w:rFonts w:ascii="Arial" w:hAnsi="Arial" w:cs="Arial"/>
            <w:noProof/>
          </w:rPr>
          <w:t>5. Conclusion and Recommendations</w:t>
        </w:r>
        <w:r>
          <w:rPr>
            <w:noProof/>
            <w:webHidden/>
          </w:rPr>
          <w:tab/>
        </w:r>
        <w:r>
          <w:rPr>
            <w:noProof/>
            <w:webHidden/>
          </w:rPr>
          <w:fldChar w:fldCharType="begin"/>
        </w:r>
        <w:r>
          <w:rPr>
            <w:noProof/>
            <w:webHidden/>
          </w:rPr>
          <w:instrText xml:space="preserve"> PAGEREF _Toc243474956 \h </w:instrText>
        </w:r>
        <w:r>
          <w:rPr>
            <w:noProof/>
            <w:webHidden/>
          </w:rPr>
        </w:r>
        <w:r>
          <w:rPr>
            <w:noProof/>
            <w:webHidden/>
          </w:rPr>
          <w:fldChar w:fldCharType="separate"/>
        </w:r>
        <w:r>
          <w:rPr>
            <w:noProof/>
            <w:webHidden/>
          </w:rPr>
          <w:t>10</w:t>
        </w:r>
        <w:r>
          <w:rPr>
            <w:noProof/>
            <w:webHidden/>
          </w:rPr>
          <w:fldChar w:fldCharType="end"/>
        </w:r>
      </w:hyperlink>
    </w:p>
    <w:p w14:paraId="7218E8F1" w14:textId="2689DB48" w:rsidR="00A4335C" w:rsidRDefault="00A4335C">
      <w:pPr>
        <w:pStyle w:val="TOC7"/>
        <w:tabs>
          <w:tab w:val="right" w:leader="dot" w:pos="9016"/>
        </w:tabs>
        <w:rPr>
          <w:rFonts w:eastAsiaTheme="minorEastAsia"/>
          <w:noProof/>
          <w:lang w:eastAsia="en-GB"/>
        </w:rPr>
      </w:pPr>
      <w:hyperlink w:anchor="_Toc243474957" w:history="1">
        <w:r w:rsidRPr="00553406">
          <w:rPr>
            <w:rStyle w:val="Hyperlink"/>
            <w:rFonts w:ascii="Arial" w:hAnsi="Arial" w:cs="Arial"/>
            <w:noProof/>
          </w:rPr>
          <w:t>References</w:t>
        </w:r>
        <w:r>
          <w:rPr>
            <w:noProof/>
            <w:webHidden/>
          </w:rPr>
          <w:tab/>
        </w:r>
        <w:r>
          <w:rPr>
            <w:noProof/>
            <w:webHidden/>
          </w:rPr>
          <w:fldChar w:fldCharType="begin"/>
        </w:r>
        <w:r>
          <w:rPr>
            <w:noProof/>
            <w:webHidden/>
          </w:rPr>
          <w:instrText xml:space="preserve"> PAGEREF _Toc243474957 \h </w:instrText>
        </w:r>
        <w:r>
          <w:rPr>
            <w:noProof/>
            <w:webHidden/>
          </w:rPr>
        </w:r>
        <w:r>
          <w:rPr>
            <w:noProof/>
            <w:webHidden/>
          </w:rPr>
          <w:fldChar w:fldCharType="separate"/>
        </w:r>
        <w:r>
          <w:rPr>
            <w:noProof/>
            <w:webHidden/>
          </w:rPr>
          <w:t>12</w:t>
        </w:r>
        <w:r>
          <w:rPr>
            <w:noProof/>
            <w:webHidden/>
          </w:rPr>
          <w:fldChar w:fldCharType="end"/>
        </w:r>
      </w:hyperlink>
    </w:p>
    <w:p w14:paraId="2BA12551" w14:textId="40AD4BAE" w:rsidR="007540DF" w:rsidRPr="007540DF" w:rsidRDefault="007540DF" w:rsidP="001725A3">
      <w:pPr>
        <w:spacing w:line="360" w:lineRule="auto"/>
        <w:jc w:val="both"/>
        <w:rPr>
          <w:rFonts w:ascii="Arial" w:hAnsi="Arial" w:cs="Arial"/>
          <w:sz w:val="22"/>
          <w:szCs w:val="22"/>
        </w:rPr>
      </w:pPr>
      <w:r>
        <w:rPr>
          <w:rFonts w:ascii="Arial" w:hAnsi="Arial" w:cs="Arial"/>
          <w:sz w:val="22"/>
          <w:szCs w:val="22"/>
        </w:rPr>
        <w:fldChar w:fldCharType="end"/>
      </w:r>
    </w:p>
    <w:p w14:paraId="7DBDF64D" w14:textId="77777777" w:rsidR="007540DF" w:rsidRPr="007540DF" w:rsidRDefault="007540DF" w:rsidP="001725A3">
      <w:pPr>
        <w:spacing w:line="360" w:lineRule="auto"/>
        <w:jc w:val="both"/>
        <w:rPr>
          <w:rFonts w:ascii="Arial" w:hAnsi="Arial" w:cs="Arial"/>
          <w:sz w:val="22"/>
          <w:szCs w:val="22"/>
        </w:rPr>
      </w:pPr>
    </w:p>
    <w:p w14:paraId="1BCA8640" w14:textId="77777777" w:rsidR="007540DF" w:rsidRPr="007540DF" w:rsidRDefault="007540DF" w:rsidP="001725A3">
      <w:pPr>
        <w:spacing w:line="360" w:lineRule="auto"/>
        <w:jc w:val="both"/>
        <w:rPr>
          <w:rFonts w:ascii="Arial" w:hAnsi="Arial" w:cs="Arial"/>
          <w:sz w:val="22"/>
          <w:szCs w:val="22"/>
        </w:rPr>
      </w:pPr>
    </w:p>
    <w:p w14:paraId="142E723A" w14:textId="77777777" w:rsidR="007540DF" w:rsidRPr="007540DF" w:rsidRDefault="007540DF" w:rsidP="001725A3">
      <w:pPr>
        <w:spacing w:line="360" w:lineRule="auto"/>
        <w:jc w:val="both"/>
        <w:rPr>
          <w:rFonts w:ascii="Arial" w:hAnsi="Arial" w:cs="Arial"/>
          <w:sz w:val="22"/>
          <w:szCs w:val="22"/>
        </w:rPr>
      </w:pPr>
    </w:p>
    <w:p w14:paraId="4E9D2B53" w14:textId="77777777" w:rsidR="007540DF" w:rsidRPr="007540DF" w:rsidRDefault="007540DF" w:rsidP="001725A3">
      <w:pPr>
        <w:spacing w:line="360" w:lineRule="auto"/>
        <w:jc w:val="both"/>
        <w:rPr>
          <w:rFonts w:ascii="Arial" w:hAnsi="Arial" w:cs="Arial"/>
          <w:sz w:val="22"/>
          <w:szCs w:val="22"/>
        </w:rPr>
      </w:pPr>
    </w:p>
    <w:p w14:paraId="0D0D568D" w14:textId="77777777" w:rsidR="007540DF" w:rsidRPr="007540DF" w:rsidRDefault="007540DF" w:rsidP="001725A3">
      <w:pPr>
        <w:spacing w:line="360" w:lineRule="auto"/>
        <w:jc w:val="both"/>
        <w:rPr>
          <w:rFonts w:ascii="Arial" w:hAnsi="Arial" w:cs="Arial"/>
          <w:sz w:val="22"/>
          <w:szCs w:val="22"/>
        </w:rPr>
      </w:pPr>
    </w:p>
    <w:p w14:paraId="3D2836FA" w14:textId="77777777" w:rsidR="007540DF" w:rsidRPr="007540DF" w:rsidRDefault="007540DF" w:rsidP="001725A3">
      <w:pPr>
        <w:spacing w:line="360" w:lineRule="auto"/>
        <w:jc w:val="both"/>
        <w:rPr>
          <w:rFonts w:ascii="Arial" w:hAnsi="Arial" w:cs="Arial"/>
          <w:sz w:val="22"/>
          <w:szCs w:val="22"/>
        </w:rPr>
      </w:pPr>
    </w:p>
    <w:p w14:paraId="71F4641E" w14:textId="77777777" w:rsidR="007540DF" w:rsidRPr="007540DF" w:rsidRDefault="007540DF" w:rsidP="001725A3">
      <w:pPr>
        <w:spacing w:line="360" w:lineRule="auto"/>
        <w:jc w:val="both"/>
        <w:rPr>
          <w:rFonts w:ascii="Arial" w:hAnsi="Arial" w:cs="Arial"/>
          <w:sz w:val="22"/>
          <w:szCs w:val="22"/>
        </w:rPr>
      </w:pPr>
    </w:p>
    <w:p w14:paraId="0927FEC9" w14:textId="77777777" w:rsidR="007540DF" w:rsidRPr="007540DF" w:rsidRDefault="007540DF" w:rsidP="001725A3">
      <w:pPr>
        <w:spacing w:line="360" w:lineRule="auto"/>
        <w:jc w:val="both"/>
        <w:rPr>
          <w:rFonts w:ascii="Arial" w:hAnsi="Arial" w:cs="Arial"/>
          <w:sz w:val="22"/>
          <w:szCs w:val="22"/>
        </w:rPr>
      </w:pPr>
    </w:p>
    <w:p w14:paraId="0F2821E8" w14:textId="77777777" w:rsidR="007540DF" w:rsidRPr="007540DF" w:rsidRDefault="007540DF" w:rsidP="001725A3">
      <w:pPr>
        <w:spacing w:line="360" w:lineRule="auto"/>
        <w:jc w:val="both"/>
        <w:rPr>
          <w:rFonts w:ascii="Arial" w:hAnsi="Arial" w:cs="Arial"/>
          <w:sz w:val="22"/>
          <w:szCs w:val="22"/>
        </w:rPr>
      </w:pPr>
    </w:p>
    <w:p w14:paraId="2BA67706" w14:textId="77777777" w:rsidR="007540DF" w:rsidRPr="007540DF" w:rsidRDefault="007540DF" w:rsidP="001725A3">
      <w:pPr>
        <w:spacing w:line="360" w:lineRule="auto"/>
        <w:jc w:val="both"/>
        <w:rPr>
          <w:rFonts w:ascii="Arial" w:hAnsi="Arial" w:cs="Arial"/>
          <w:sz w:val="22"/>
          <w:szCs w:val="22"/>
        </w:rPr>
      </w:pPr>
    </w:p>
    <w:p w14:paraId="6A520C12" w14:textId="77777777" w:rsidR="007540DF" w:rsidRPr="007540DF" w:rsidRDefault="007540DF" w:rsidP="001725A3">
      <w:pPr>
        <w:spacing w:line="360" w:lineRule="auto"/>
        <w:jc w:val="both"/>
        <w:rPr>
          <w:rFonts w:ascii="Arial" w:hAnsi="Arial" w:cs="Arial"/>
          <w:sz w:val="22"/>
          <w:szCs w:val="22"/>
        </w:rPr>
      </w:pPr>
    </w:p>
    <w:p w14:paraId="74AA970F" w14:textId="77777777" w:rsidR="007540DF" w:rsidRDefault="007540DF" w:rsidP="001725A3">
      <w:pPr>
        <w:spacing w:line="360" w:lineRule="auto"/>
        <w:jc w:val="both"/>
        <w:rPr>
          <w:rFonts w:ascii="Arial" w:hAnsi="Arial" w:cs="Arial"/>
          <w:sz w:val="22"/>
          <w:szCs w:val="22"/>
        </w:rPr>
      </w:pPr>
    </w:p>
    <w:p w14:paraId="58FD9D7B" w14:textId="77777777" w:rsidR="001725A3" w:rsidRDefault="001725A3" w:rsidP="001725A3">
      <w:pPr>
        <w:spacing w:line="360" w:lineRule="auto"/>
        <w:jc w:val="both"/>
        <w:rPr>
          <w:rFonts w:ascii="Arial" w:hAnsi="Arial" w:cs="Arial"/>
          <w:sz w:val="22"/>
          <w:szCs w:val="22"/>
        </w:rPr>
      </w:pPr>
    </w:p>
    <w:p w14:paraId="66F6D01A" w14:textId="77777777" w:rsidR="007540DF" w:rsidRPr="007540DF" w:rsidRDefault="007540DF" w:rsidP="001725A3">
      <w:pPr>
        <w:spacing w:line="360" w:lineRule="auto"/>
        <w:jc w:val="both"/>
        <w:rPr>
          <w:rFonts w:ascii="Arial" w:hAnsi="Arial" w:cs="Arial"/>
          <w:sz w:val="22"/>
          <w:szCs w:val="22"/>
        </w:rPr>
      </w:pPr>
    </w:p>
    <w:p w14:paraId="57CDEEA2" w14:textId="77777777" w:rsidR="007540DF" w:rsidRDefault="007540DF" w:rsidP="003F20D5">
      <w:pPr>
        <w:pStyle w:val="Heading1"/>
        <w:rPr>
          <w:rFonts w:ascii="Arial" w:hAnsi="Arial" w:cs="Arial"/>
          <w:color w:val="auto"/>
          <w:sz w:val="22"/>
          <w:szCs w:val="22"/>
        </w:rPr>
      </w:pPr>
      <w:bookmarkStart w:id="0" w:name="_Toc243474951"/>
      <w:r w:rsidRPr="003F20D5">
        <w:rPr>
          <w:rFonts w:ascii="Arial" w:hAnsi="Arial" w:cs="Arial"/>
          <w:color w:val="auto"/>
          <w:sz w:val="22"/>
          <w:szCs w:val="22"/>
        </w:rPr>
        <w:t>Executive Summary</w:t>
      </w:r>
      <w:bookmarkEnd w:id="0"/>
    </w:p>
    <w:p w14:paraId="3169752C" w14:textId="77777777" w:rsidR="003F20D5" w:rsidRPr="003F20D5" w:rsidRDefault="003F20D5" w:rsidP="003F20D5"/>
    <w:p w14:paraId="3DB38CEC" w14:textId="77777777" w:rsidR="009729AF" w:rsidRDefault="009729AF" w:rsidP="001725A3">
      <w:pPr>
        <w:spacing w:line="360" w:lineRule="auto"/>
        <w:jc w:val="both"/>
        <w:rPr>
          <w:rFonts w:ascii="Arial" w:hAnsi="Arial" w:cs="Arial"/>
          <w:sz w:val="22"/>
          <w:szCs w:val="22"/>
        </w:rPr>
      </w:pPr>
      <w:r w:rsidRPr="009729AF">
        <w:rPr>
          <w:rFonts w:ascii="Arial" w:hAnsi="Arial" w:cs="Arial"/>
          <w:sz w:val="22"/>
          <w:szCs w:val="22"/>
        </w:rPr>
        <w:t>The strategic position of NEXT plc in the UK fashion industry is assessed in this research. Value-chain analysis, the Resource-Based View (RBV), and VRIO are used to assess internal capabilities, while PESTLE and Porter's Five Forces are used to analyse the external environment. A SWOT analysis is used to compile these results and choose an appropriate strategic course.</w:t>
      </w:r>
    </w:p>
    <w:p w14:paraId="6DBEA6BA" w14:textId="786EAB45" w:rsidR="007540DF" w:rsidRPr="007540DF" w:rsidRDefault="009729AF" w:rsidP="001725A3">
      <w:pPr>
        <w:spacing w:line="360" w:lineRule="auto"/>
        <w:jc w:val="both"/>
        <w:rPr>
          <w:rFonts w:ascii="Arial" w:hAnsi="Arial" w:cs="Arial"/>
          <w:sz w:val="22"/>
          <w:szCs w:val="22"/>
        </w:rPr>
      </w:pPr>
      <w:r w:rsidRPr="009729AF">
        <w:rPr>
          <w:rFonts w:ascii="Arial" w:hAnsi="Arial" w:cs="Arial"/>
          <w:sz w:val="22"/>
          <w:szCs w:val="22"/>
        </w:rPr>
        <w:t>Economic volatility, changing consumer expectations, fierce rivalry, digital change, and heightened scrutiny of supply-chain and environmental practices all have an impact on the industry. By the end of 2025, the UK fashion industry is expected to generate £68.7 billion in revenue and spend an average of about £1,003, according to the assignment overview (Spring Fair, 2026).</w:t>
      </w:r>
      <w:r>
        <w:rPr>
          <w:rFonts w:ascii="Arial" w:hAnsi="Arial" w:cs="Arial"/>
          <w:sz w:val="22"/>
          <w:szCs w:val="22"/>
        </w:rPr>
        <w:t xml:space="preserve"> </w:t>
      </w:r>
      <w:r w:rsidRPr="009729AF">
        <w:rPr>
          <w:rFonts w:ascii="Arial" w:hAnsi="Arial" w:cs="Arial"/>
          <w:sz w:val="22"/>
          <w:szCs w:val="22"/>
        </w:rPr>
        <w:t>NEXT's strengths include its well-known brand, well-established online and retail operations, and expertise in managing customer, stock, and product channels. These advantages do not, however, lessen the pressure from consumers who are price conscious, internet rivals, supply chain disruption, or the requirement for real progress in sustainability.</w:t>
      </w:r>
    </w:p>
    <w:p w14:paraId="56825DAB" w14:textId="33A1EE5A" w:rsidR="007540DF" w:rsidRPr="007540DF" w:rsidRDefault="009729AF" w:rsidP="001725A3">
      <w:pPr>
        <w:spacing w:line="360" w:lineRule="auto"/>
        <w:jc w:val="both"/>
        <w:rPr>
          <w:rFonts w:ascii="Arial" w:hAnsi="Arial" w:cs="Arial"/>
          <w:sz w:val="22"/>
          <w:szCs w:val="22"/>
        </w:rPr>
      </w:pPr>
      <w:r w:rsidRPr="009729AF">
        <w:rPr>
          <w:rFonts w:ascii="Arial" w:hAnsi="Arial" w:cs="Arial"/>
          <w:sz w:val="22"/>
          <w:szCs w:val="22"/>
        </w:rPr>
        <w:t>A customer-led approach backed by operational and digital advancements is suggested in the paper. Better demand and stock planning, a more robust and transparent supply chain, and quantifiable environmental activities should be NEXT's main priorities.</w:t>
      </w:r>
      <w:r w:rsidR="007540DF" w:rsidRPr="007540DF">
        <w:rPr>
          <w:rFonts w:ascii="Arial" w:hAnsi="Arial" w:cs="Arial"/>
          <w:sz w:val="22"/>
          <w:szCs w:val="22"/>
        </w:rPr>
        <w:t xml:space="preserve"> </w:t>
      </w:r>
      <w:r w:rsidR="008D5831" w:rsidRPr="008D5831">
        <w:rPr>
          <w:rFonts w:ascii="Arial" w:hAnsi="Arial" w:cs="Arial"/>
          <w:sz w:val="22"/>
          <w:szCs w:val="22"/>
        </w:rPr>
        <w:t>It is essential to conduct a small-scale test of a new service, like resale or repair, and to only roll it out in new markets where there is a proven customer demand and commercial viability.</w:t>
      </w:r>
    </w:p>
    <w:p w14:paraId="3B22F4AE" w14:textId="77777777" w:rsidR="007540DF" w:rsidRPr="007540DF" w:rsidRDefault="007540DF" w:rsidP="001725A3">
      <w:pPr>
        <w:spacing w:line="360" w:lineRule="auto"/>
        <w:jc w:val="both"/>
        <w:rPr>
          <w:rFonts w:ascii="Arial" w:hAnsi="Arial" w:cs="Arial"/>
          <w:sz w:val="22"/>
          <w:szCs w:val="22"/>
        </w:rPr>
      </w:pPr>
    </w:p>
    <w:p w14:paraId="05FC8829" w14:textId="77777777" w:rsidR="007540DF" w:rsidRPr="007540DF" w:rsidRDefault="007540DF" w:rsidP="001725A3">
      <w:pPr>
        <w:spacing w:line="360" w:lineRule="auto"/>
        <w:jc w:val="both"/>
        <w:rPr>
          <w:rFonts w:ascii="Arial" w:hAnsi="Arial" w:cs="Arial"/>
          <w:sz w:val="22"/>
          <w:szCs w:val="22"/>
        </w:rPr>
      </w:pPr>
    </w:p>
    <w:p w14:paraId="5817152A" w14:textId="77777777" w:rsidR="007540DF" w:rsidRPr="007540DF" w:rsidRDefault="007540DF" w:rsidP="001725A3">
      <w:pPr>
        <w:spacing w:line="360" w:lineRule="auto"/>
        <w:jc w:val="both"/>
        <w:rPr>
          <w:rFonts w:ascii="Arial" w:hAnsi="Arial" w:cs="Arial"/>
          <w:sz w:val="22"/>
          <w:szCs w:val="22"/>
        </w:rPr>
      </w:pPr>
    </w:p>
    <w:p w14:paraId="59990EF4" w14:textId="77777777" w:rsidR="001725A3" w:rsidRPr="007540DF" w:rsidRDefault="001725A3" w:rsidP="001725A3">
      <w:pPr>
        <w:spacing w:line="360" w:lineRule="auto"/>
        <w:jc w:val="both"/>
        <w:rPr>
          <w:rFonts w:ascii="Arial" w:hAnsi="Arial" w:cs="Arial"/>
          <w:sz w:val="22"/>
          <w:szCs w:val="22"/>
        </w:rPr>
      </w:pPr>
    </w:p>
    <w:p w14:paraId="16FB74D0" w14:textId="77777777" w:rsidR="007540DF" w:rsidRPr="003F20D5" w:rsidRDefault="007540DF" w:rsidP="003F20D5">
      <w:pPr>
        <w:pStyle w:val="Heading2"/>
        <w:rPr>
          <w:rFonts w:ascii="Arial" w:hAnsi="Arial" w:cs="Arial"/>
          <w:color w:val="auto"/>
          <w:sz w:val="22"/>
          <w:szCs w:val="22"/>
        </w:rPr>
      </w:pPr>
      <w:bookmarkStart w:id="1" w:name="_Toc243474952"/>
      <w:r w:rsidRPr="003F20D5">
        <w:rPr>
          <w:rFonts w:ascii="Arial" w:hAnsi="Arial" w:cs="Arial"/>
          <w:color w:val="auto"/>
          <w:sz w:val="22"/>
          <w:szCs w:val="22"/>
        </w:rPr>
        <w:lastRenderedPageBreak/>
        <w:t>1. Introduction</w:t>
      </w:r>
      <w:bookmarkEnd w:id="1"/>
    </w:p>
    <w:p w14:paraId="10D5F645" w14:textId="77777777" w:rsidR="008D5831" w:rsidRPr="008D5831" w:rsidRDefault="008D5831" w:rsidP="001725A3">
      <w:pPr>
        <w:spacing w:line="360" w:lineRule="auto"/>
        <w:jc w:val="both"/>
        <w:rPr>
          <w:rFonts w:ascii="Arial" w:hAnsi="Arial" w:cs="Arial"/>
          <w:sz w:val="22"/>
          <w:szCs w:val="22"/>
        </w:rPr>
      </w:pPr>
      <w:r w:rsidRPr="008D5831">
        <w:rPr>
          <w:rFonts w:ascii="Arial" w:hAnsi="Arial" w:cs="Arial"/>
          <w:sz w:val="22"/>
          <w:szCs w:val="22"/>
        </w:rPr>
        <w:t xml:space="preserve">The purpose of strategic management is to help organisations have a </w:t>
      </w:r>
      <w:proofErr w:type="gramStart"/>
      <w:r w:rsidRPr="008D5831">
        <w:rPr>
          <w:rFonts w:ascii="Arial" w:hAnsi="Arial" w:cs="Arial"/>
          <w:sz w:val="22"/>
          <w:szCs w:val="22"/>
        </w:rPr>
        <w:t>long term</w:t>
      </w:r>
      <w:proofErr w:type="gramEnd"/>
      <w:r w:rsidRPr="008D5831">
        <w:rPr>
          <w:rFonts w:ascii="Arial" w:hAnsi="Arial" w:cs="Arial"/>
          <w:sz w:val="22"/>
          <w:szCs w:val="22"/>
        </w:rPr>
        <w:t xml:space="preserve"> direction, allocate the required resources and adapt to change. Especially in the field of fashion retail, where customer tastes, expenses and availability can vary significantly. The PESTLE and Porter's Five Forces are two useful analytical frameworks, but they are not meant to be used in place of evidence; they are meant to be used to inform the judgment (Johnson et al., 2023).</w:t>
      </w:r>
    </w:p>
    <w:p w14:paraId="7B555E33" w14:textId="5FF2A255" w:rsidR="008D5831" w:rsidRPr="008D5831" w:rsidRDefault="008D5831" w:rsidP="001725A3">
      <w:pPr>
        <w:spacing w:line="360" w:lineRule="auto"/>
        <w:jc w:val="both"/>
        <w:rPr>
          <w:rFonts w:ascii="Arial" w:hAnsi="Arial" w:cs="Arial"/>
          <w:sz w:val="22"/>
          <w:szCs w:val="22"/>
        </w:rPr>
      </w:pPr>
      <w:r w:rsidRPr="008D5831">
        <w:rPr>
          <w:rFonts w:ascii="Arial" w:hAnsi="Arial" w:cs="Arial"/>
          <w:sz w:val="22"/>
          <w:szCs w:val="22"/>
        </w:rPr>
        <w:t>NEXT Plc is a Clothing, Footwear, Accessories and Home Retailer in the UK. Functioning via stores and via digital channels including NEXT Directory, it offers platform related services to third party brands. It outlines priorities in its 2026 publication of the business model, such as enhancing the range, quality and appeal and broadening the range of products (NEXT plc, 2026a). The assignment overview introduces NEXT into a sector of the UK fashion industry which is expected to generate £68.7 billion in revenue by the end of 2026 at an average spend of around £1,003 per person (Spring Fair, 2026). The figures represent only estimates and vary according to the definition of the market and consumer spending.</w:t>
      </w:r>
    </w:p>
    <w:p w14:paraId="16938058" w14:textId="77777777" w:rsidR="008D5831" w:rsidRDefault="008D5831" w:rsidP="001725A3">
      <w:pPr>
        <w:spacing w:line="360" w:lineRule="auto"/>
        <w:jc w:val="both"/>
        <w:rPr>
          <w:rFonts w:ascii="Arial" w:hAnsi="Arial" w:cs="Arial"/>
          <w:sz w:val="22"/>
          <w:szCs w:val="22"/>
        </w:rPr>
      </w:pPr>
      <w:r w:rsidRPr="008D5831">
        <w:rPr>
          <w:rFonts w:ascii="Arial" w:hAnsi="Arial" w:cs="Arial"/>
          <w:sz w:val="22"/>
          <w:szCs w:val="22"/>
        </w:rPr>
        <w:t>This report explores NEXT's external and internal environment, its main strategic problems and recommendations for what it should do to enhance its competitiveness.</w:t>
      </w:r>
    </w:p>
    <w:p w14:paraId="656C9351" w14:textId="7A4A7C67" w:rsidR="007540DF" w:rsidRPr="003F20D5" w:rsidRDefault="007540DF" w:rsidP="003F20D5">
      <w:pPr>
        <w:pStyle w:val="Heading3"/>
        <w:rPr>
          <w:rFonts w:ascii="Arial" w:hAnsi="Arial" w:cs="Arial"/>
          <w:color w:val="auto"/>
          <w:sz w:val="22"/>
          <w:szCs w:val="22"/>
        </w:rPr>
      </w:pPr>
      <w:bookmarkStart w:id="2" w:name="_Toc243474953"/>
      <w:r w:rsidRPr="003F20D5">
        <w:rPr>
          <w:rFonts w:ascii="Arial" w:hAnsi="Arial" w:cs="Arial"/>
          <w:color w:val="auto"/>
          <w:sz w:val="22"/>
          <w:szCs w:val="22"/>
        </w:rPr>
        <w:t>2. External Environment Audit</w:t>
      </w:r>
      <w:bookmarkEnd w:id="2"/>
    </w:p>
    <w:p w14:paraId="115C7667" w14:textId="25EBFF61" w:rsidR="007540DF" w:rsidRPr="007540DF" w:rsidRDefault="007540DF" w:rsidP="001725A3">
      <w:pPr>
        <w:spacing w:line="360" w:lineRule="auto"/>
        <w:jc w:val="both"/>
        <w:rPr>
          <w:rFonts w:ascii="Arial" w:hAnsi="Arial" w:cs="Arial"/>
          <w:sz w:val="22"/>
          <w:szCs w:val="22"/>
        </w:rPr>
      </w:pPr>
      <w:r w:rsidRPr="007540DF">
        <w:rPr>
          <w:rFonts w:ascii="Arial" w:hAnsi="Arial" w:cs="Arial"/>
          <w:sz w:val="22"/>
          <w:szCs w:val="22"/>
        </w:rPr>
        <w:t>PESTLE analysis</w:t>
      </w:r>
    </w:p>
    <w:p w14:paraId="678A15B6" w14:textId="77777777" w:rsidR="00A8480E" w:rsidRPr="00A8480E" w:rsidRDefault="00A8480E" w:rsidP="001725A3">
      <w:pPr>
        <w:spacing w:line="360" w:lineRule="auto"/>
        <w:jc w:val="both"/>
        <w:rPr>
          <w:rFonts w:ascii="Arial" w:hAnsi="Arial" w:cs="Arial"/>
          <w:sz w:val="22"/>
          <w:szCs w:val="22"/>
        </w:rPr>
      </w:pPr>
      <w:r w:rsidRPr="00A8480E">
        <w:rPr>
          <w:rFonts w:ascii="Arial" w:hAnsi="Arial" w:cs="Arial"/>
          <w:sz w:val="22"/>
          <w:szCs w:val="22"/>
        </w:rPr>
        <w:t xml:space="preserve">Political. </w:t>
      </w:r>
    </w:p>
    <w:p w14:paraId="376FC753" w14:textId="1FAC0C4E" w:rsidR="00A8480E" w:rsidRPr="00A8480E" w:rsidRDefault="00A8480E" w:rsidP="001725A3">
      <w:pPr>
        <w:spacing w:line="360" w:lineRule="auto"/>
        <w:jc w:val="both"/>
        <w:rPr>
          <w:rFonts w:ascii="Arial" w:hAnsi="Arial" w:cs="Arial"/>
          <w:sz w:val="22"/>
          <w:szCs w:val="22"/>
        </w:rPr>
      </w:pPr>
      <w:r w:rsidRPr="00A8480E">
        <w:rPr>
          <w:rFonts w:ascii="Arial" w:hAnsi="Arial" w:cs="Arial"/>
          <w:sz w:val="22"/>
          <w:szCs w:val="22"/>
        </w:rPr>
        <w:t>NEXT is based on international sourcing and cross border logistics. Product costs and delivery times may change due to changes in trade arrangements, customs procedures, tariffs and/or shipping routes. Political turmoil in countries of origin can also affect supply. Therefore, in the context of NEXT, resilience must not be overlooked in considering the purchase price, such as contingency planning for critical products and supplier diversification to suit it. The fashion industry continues to grapple with uncertainties and supply-chain adaptation, as noted in fashion industry reporting (Vogue Business, 2026).</w:t>
      </w:r>
    </w:p>
    <w:p w14:paraId="563E9DAF" w14:textId="77777777" w:rsidR="00A8480E" w:rsidRPr="00A8480E" w:rsidRDefault="00A8480E" w:rsidP="001725A3">
      <w:pPr>
        <w:spacing w:line="360" w:lineRule="auto"/>
        <w:jc w:val="both"/>
        <w:rPr>
          <w:rFonts w:ascii="Arial" w:hAnsi="Arial" w:cs="Arial"/>
          <w:sz w:val="22"/>
          <w:szCs w:val="22"/>
        </w:rPr>
      </w:pPr>
      <w:r w:rsidRPr="00A8480E">
        <w:rPr>
          <w:rFonts w:ascii="Arial" w:hAnsi="Arial" w:cs="Arial"/>
          <w:sz w:val="22"/>
          <w:szCs w:val="22"/>
        </w:rPr>
        <w:t xml:space="preserve">Economic. </w:t>
      </w:r>
    </w:p>
    <w:p w14:paraId="3B3416F2" w14:textId="77777777" w:rsidR="00A8480E" w:rsidRPr="00A8480E" w:rsidRDefault="00A8480E" w:rsidP="001725A3">
      <w:pPr>
        <w:spacing w:line="360" w:lineRule="auto"/>
        <w:jc w:val="both"/>
        <w:rPr>
          <w:rFonts w:ascii="Arial" w:hAnsi="Arial" w:cs="Arial"/>
          <w:sz w:val="22"/>
          <w:szCs w:val="22"/>
        </w:rPr>
      </w:pPr>
      <w:r w:rsidRPr="00A8480E">
        <w:rPr>
          <w:rFonts w:ascii="Arial" w:hAnsi="Arial" w:cs="Arial"/>
          <w:sz w:val="22"/>
          <w:szCs w:val="22"/>
        </w:rPr>
        <w:t xml:space="preserve">For many households, buying clothes and home products are discretionary items. If people's incomes decline or confidence wanes, demand can weaken. Retailers, meanwhile, have to deal with logistics, materials and property costs, energy and wages. This mix can cause thin margins and make customers more sensitive to pricing. A pertinent retail focus from Strategy&amp; (2026) is that customers might want to balance price, quality and perceived usefulness to achieve “smart value”. NEXT needs to maintain its value proposition whilst avoiding too much discounting, otherwise margins might fall or it can lead to customers delaying their purchase </w:t>
      </w:r>
      <w:r w:rsidRPr="00A8480E">
        <w:rPr>
          <w:rFonts w:ascii="Arial" w:hAnsi="Arial" w:cs="Arial"/>
          <w:sz w:val="22"/>
          <w:szCs w:val="22"/>
        </w:rPr>
        <w:lastRenderedPageBreak/>
        <w:t>until the next promotion. Planning is crucial because overselling will necessitate markdowns and stock outs will mean lost sales.</w:t>
      </w:r>
    </w:p>
    <w:p w14:paraId="5861099F" w14:textId="77777777" w:rsidR="00A8480E" w:rsidRPr="00A8480E" w:rsidRDefault="00A8480E" w:rsidP="001725A3">
      <w:pPr>
        <w:spacing w:line="360" w:lineRule="auto"/>
        <w:jc w:val="both"/>
        <w:rPr>
          <w:rFonts w:ascii="Arial" w:hAnsi="Arial" w:cs="Arial"/>
          <w:sz w:val="22"/>
          <w:szCs w:val="22"/>
        </w:rPr>
      </w:pPr>
      <w:r w:rsidRPr="00A8480E">
        <w:rPr>
          <w:rFonts w:ascii="Arial" w:hAnsi="Arial" w:cs="Arial"/>
          <w:sz w:val="22"/>
          <w:szCs w:val="22"/>
        </w:rPr>
        <w:t>Social.</w:t>
      </w:r>
    </w:p>
    <w:p w14:paraId="1DBAEC16" w14:textId="68299E55" w:rsidR="00A8480E" w:rsidRPr="00A8480E" w:rsidRDefault="00A8480E" w:rsidP="001725A3">
      <w:pPr>
        <w:spacing w:line="360" w:lineRule="auto"/>
        <w:jc w:val="both"/>
        <w:rPr>
          <w:rFonts w:ascii="Arial" w:hAnsi="Arial" w:cs="Arial"/>
          <w:sz w:val="22"/>
          <w:szCs w:val="22"/>
        </w:rPr>
      </w:pPr>
      <w:r w:rsidRPr="00A8480E">
        <w:rPr>
          <w:rFonts w:ascii="Arial" w:hAnsi="Arial" w:cs="Arial"/>
          <w:sz w:val="22"/>
          <w:szCs w:val="22"/>
        </w:rPr>
        <w:t>The preferences of customers fluctuate; however, price, quality, fit, style and convenience are relevant in fashion retail. The call for "transparency" and “responsible production” is also becoming more apparent. The Fashion Revolution (2025) draws attention to the concerns of the fashion industry regarding overproduction and waste. NEXT can react by prioritizing quality and giving information about their products and customer service a prominent role in their offer and clearly communicating about how they source and how they take responsibility. Avoidable returns and satisfaction can be increased if better fit information is provided.</w:t>
      </w:r>
    </w:p>
    <w:p w14:paraId="26FFBADF" w14:textId="77777777" w:rsidR="00A8480E" w:rsidRPr="00A8480E" w:rsidRDefault="00A8480E" w:rsidP="001725A3">
      <w:pPr>
        <w:spacing w:line="360" w:lineRule="auto"/>
        <w:jc w:val="both"/>
        <w:rPr>
          <w:rFonts w:ascii="Arial" w:hAnsi="Arial" w:cs="Arial"/>
          <w:sz w:val="22"/>
          <w:szCs w:val="22"/>
        </w:rPr>
      </w:pPr>
      <w:r w:rsidRPr="00A8480E">
        <w:rPr>
          <w:rFonts w:ascii="Arial" w:hAnsi="Arial" w:cs="Arial"/>
          <w:sz w:val="22"/>
          <w:szCs w:val="22"/>
        </w:rPr>
        <w:t xml:space="preserve">Technological. </w:t>
      </w:r>
    </w:p>
    <w:p w14:paraId="3BB0BD4D" w14:textId="33919808" w:rsidR="00A8480E" w:rsidRPr="00A8480E" w:rsidRDefault="00A8480E" w:rsidP="001725A3">
      <w:pPr>
        <w:spacing w:line="360" w:lineRule="auto"/>
        <w:jc w:val="both"/>
        <w:rPr>
          <w:rFonts w:ascii="Arial" w:hAnsi="Arial" w:cs="Arial"/>
          <w:sz w:val="22"/>
          <w:szCs w:val="22"/>
        </w:rPr>
      </w:pPr>
      <w:r w:rsidRPr="00A8480E">
        <w:rPr>
          <w:rFonts w:ascii="Arial" w:hAnsi="Arial" w:cs="Arial"/>
          <w:sz w:val="22"/>
          <w:szCs w:val="22"/>
        </w:rPr>
        <w:t>Digital tools are able to help in product discovery, customer service, demand forecasting, stock allocation and customisation. While AI tools and analytics can facilitate the flow of information and enhance decision-making, they also carry potential risks in terms of data quality, privacy, cybersecurity, and customer trust. NEXT would need to choose the technology to address specific challenges, and measure the technology based on the criteria like stock availability, forecast accuracy, markdowns, returns, customer satisfaction etc. The technology must be a part of the business process and not viewed as an investment in isolation (Schultz, 2025).</w:t>
      </w:r>
    </w:p>
    <w:p w14:paraId="065B06F9" w14:textId="77777777" w:rsidR="00A8480E" w:rsidRPr="00A8480E" w:rsidRDefault="00A8480E" w:rsidP="001725A3">
      <w:pPr>
        <w:spacing w:line="360" w:lineRule="auto"/>
        <w:jc w:val="both"/>
        <w:rPr>
          <w:rFonts w:ascii="Arial" w:hAnsi="Arial" w:cs="Arial"/>
          <w:sz w:val="22"/>
          <w:szCs w:val="22"/>
        </w:rPr>
      </w:pPr>
      <w:r w:rsidRPr="00A8480E">
        <w:rPr>
          <w:rFonts w:ascii="Arial" w:hAnsi="Arial" w:cs="Arial"/>
          <w:sz w:val="22"/>
          <w:szCs w:val="22"/>
        </w:rPr>
        <w:t xml:space="preserve">Legal. </w:t>
      </w:r>
    </w:p>
    <w:p w14:paraId="6D272352" w14:textId="77777777" w:rsidR="00A8480E" w:rsidRPr="00A8480E" w:rsidRDefault="00A8480E" w:rsidP="001725A3">
      <w:pPr>
        <w:spacing w:line="360" w:lineRule="auto"/>
        <w:jc w:val="both"/>
        <w:rPr>
          <w:rFonts w:ascii="Arial" w:hAnsi="Arial" w:cs="Arial"/>
          <w:sz w:val="22"/>
          <w:szCs w:val="22"/>
        </w:rPr>
      </w:pPr>
      <w:r w:rsidRPr="00A8480E">
        <w:rPr>
          <w:rFonts w:ascii="Arial" w:hAnsi="Arial" w:cs="Arial"/>
          <w:sz w:val="22"/>
          <w:szCs w:val="22"/>
        </w:rPr>
        <w:t xml:space="preserve">NEXT must meets requirements relating to the protection of consumers, employment, product safety, advertising, data protection and commercial conduct. Responsible dealing with the details of customers is particularly important in online retail. Claims about the environment or ethics should be backed up by evidence and supplier oversight should be able to detect and resolve issues. Ethical and transparent policies and clear monitoring responsibilities can lower legal and reputational risk, and compliance and reliability </w:t>
      </w:r>
      <w:proofErr w:type="gramStart"/>
      <w:r w:rsidRPr="00A8480E">
        <w:rPr>
          <w:rFonts w:ascii="Arial" w:hAnsi="Arial" w:cs="Arial"/>
          <w:sz w:val="22"/>
          <w:szCs w:val="22"/>
        </w:rPr>
        <w:t>is</w:t>
      </w:r>
      <w:proofErr w:type="gramEnd"/>
      <w:r w:rsidRPr="00A8480E">
        <w:rPr>
          <w:rFonts w:ascii="Arial" w:hAnsi="Arial" w:cs="Arial"/>
          <w:sz w:val="22"/>
          <w:szCs w:val="22"/>
        </w:rPr>
        <w:t xml:space="preserve"> a minimum requirement.</w:t>
      </w:r>
    </w:p>
    <w:p w14:paraId="1182E8B8" w14:textId="77777777" w:rsidR="00A8480E" w:rsidRPr="00A8480E" w:rsidRDefault="00A8480E" w:rsidP="001725A3">
      <w:pPr>
        <w:spacing w:line="360" w:lineRule="auto"/>
        <w:jc w:val="both"/>
        <w:rPr>
          <w:rFonts w:ascii="Arial" w:hAnsi="Arial" w:cs="Arial"/>
          <w:sz w:val="22"/>
          <w:szCs w:val="22"/>
        </w:rPr>
      </w:pPr>
      <w:r w:rsidRPr="00A8480E">
        <w:rPr>
          <w:rFonts w:ascii="Arial" w:hAnsi="Arial" w:cs="Arial"/>
          <w:sz w:val="22"/>
          <w:szCs w:val="22"/>
        </w:rPr>
        <w:t xml:space="preserve">Environmental. </w:t>
      </w:r>
    </w:p>
    <w:p w14:paraId="66268BEB" w14:textId="441AA5AB" w:rsidR="00A8480E" w:rsidRPr="00A8480E" w:rsidRDefault="00A8480E" w:rsidP="001725A3">
      <w:pPr>
        <w:spacing w:line="360" w:lineRule="auto"/>
        <w:jc w:val="both"/>
        <w:rPr>
          <w:rFonts w:ascii="Arial" w:hAnsi="Arial" w:cs="Arial"/>
          <w:sz w:val="22"/>
          <w:szCs w:val="22"/>
        </w:rPr>
      </w:pPr>
      <w:r w:rsidRPr="00A8480E">
        <w:rPr>
          <w:rFonts w:ascii="Arial" w:hAnsi="Arial" w:cs="Arial"/>
          <w:sz w:val="22"/>
          <w:szCs w:val="22"/>
        </w:rPr>
        <w:t>The following issues are targeted for fashion businesses: materials, production, transport, packaging, and product lifespan and waste. Environmental performance can impact the risk, cost and trust of the supply chain. NEXT reports on its corporate responsibility and environmental approach (NEXT plc, 2026</w:t>
      </w:r>
      <w:r>
        <w:rPr>
          <w:rFonts w:ascii="Arial" w:hAnsi="Arial" w:cs="Arial"/>
          <w:sz w:val="22"/>
          <w:szCs w:val="22"/>
        </w:rPr>
        <w:t>b</w:t>
      </w:r>
      <w:r w:rsidRPr="00A8480E">
        <w:rPr>
          <w:rFonts w:ascii="Arial" w:hAnsi="Arial" w:cs="Arial"/>
          <w:sz w:val="22"/>
          <w:szCs w:val="22"/>
        </w:rPr>
        <w:t xml:space="preserve">), but there needs to be measurable commitments across operations and suppliers. This can mean working on supplier information, focussing on a more strategic area, cutting down on unnecessary waste or product longevity. Public claims must be specific and backed up. Additionally, the research on fashion supply chain identifies </w:t>
      </w:r>
      <w:r w:rsidRPr="00A8480E">
        <w:rPr>
          <w:rFonts w:ascii="Arial" w:hAnsi="Arial" w:cs="Arial"/>
          <w:sz w:val="22"/>
          <w:szCs w:val="22"/>
        </w:rPr>
        <w:lastRenderedPageBreak/>
        <w:t>the relationship between sustainability and the supply-chain visibility and resilience (Sagar, 2026).</w:t>
      </w:r>
    </w:p>
    <w:p w14:paraId="667D0730" w14:textId="6FD2B599" w:rsidR="007540DF" w:rsidRPr="007540DF" w:rsidRDefault="00A8480E" w:rsidP="001725A3">
      <w:pPr>
        <w:spacing w:line="360" w:lineRule="auto"/>
        <w:jc w:val="both"/>
        <w:rPr>
          <w:rFonts w:ascii="Arial" w:hAnsi="Arial" w:cs="Arial"/>
          <w:sz w:val="22"/>
          <w:szCs w:val="22"/>
        </w:rPr>
      </w:pPr>
      <w:r w:rsidRPr="00A8480E">
        <w:rPr>
          <w:rFonts w:ascii="Arial" w:hAnsi="Arial" w:cs="Arial"/>
          <w:sz w:val="22"/>
          <w:szCs w:val="22"/>
        </w:rPr>
        <w:t>Overall, PESTLE indicates that NEXT will need to create a balance between value, convenience and efficiency, and shifting expectations and supply chain uncertainty.</w:t>
      </w:r>
    </w:p>
    <w:p w14:paraId="6589ADF4" w14:textId="49EB69B5" w:rsidR="007540DF" w:rsidRPr="007540DF" w:rsidRDefault="007540DF" w:rsidP="001725A3">
      <w:pPr>
        <w:spacing w:line="360" w:lineRule="auto"/>
        <w:jc w:val="both"/>
        <w:rPr>
          <w:rFonts w:ascii="Arial" w:hAnsi="Arial" w:cs="Arial"/>
          <w:sz w:val="22"/>
          <w:szCs w:val="22"/>
        </w:rPr>
      </w:pPr>
      <w:r w:rsidRPr="007540DF">
        <w:rPr>
          <w:rFonts w:ascii="Arial" w:hAnsi="Arial" w:cs="Arial"/>
          <w:sz w:val="22"/>
          <w:szCs w:val="22"/>
        </w:rPr>
        <w:t>Porter’s Five Forces</w:t>
      </w:r>
    </w:p>
    <w:p w14:paraId="71DF4EF7" w14:textId="77777777" w:rsidR="00A8480E" w:rsidRPr="00A8480E" w:rsidRDefault="00A8480E" w:rsidP="001725A3">
      <w:pPr>
        <w:spacing w:line="360" w:lineRule="auto"/>
        <w:jc w:val="both"/>
        <w:rPr>
          <w:rFonts w:ascii="Arial" w:hAnsi="Arial" w:cs="Arial"/>
          <w:sz w:val="22"/>
          <w:szCs w:val="22"/>
        </w:rPr>
      </w:pPr>
      <w:r w:rsidRPr="00A8480E">
        <w:rPr>
          <w:rFonts w:ascii="Arial" w:hAnsi="Arial" w:cs="Arial"/>
          <w:sz w:val="22"/>
          <w:szCs w:val="22"/>
        </w:rPr>
        <w:t xml:space="preserve">Political. </w:t>
      </w:r>
    </w:p>
    <w:p w14:paraId="1EE54F85" w14:textId="2660D59E" w:rsidR="00A8480E" w:rsidRPr="00A8480E" w:rsidRDefault="00A8480E" w:rsidP="001725A3">
      <w:pPr>
        <w:spacing w:line="360" w:lineRule="auto"/>
        <w:jc w:val="both"/>
        <w:rPr>
          <w:rFonts w:ascii="Arial" w:hAnsi="Arial" w:cs="Arial"/>
          <w:sz w:val="22"/>
          <w:szCs w:val="22"/>
        </w:rPr>
      </w:pPr>
      <w:r w:rsidRPr="00A8480E">
        <w:rPr>
          <w:rFonts w:ascii="Arial" w:hAnsi="Arial" w:cs="Arial"/>
          <w:sz w:val="22"/>
          <w:szCs w:val="22"/>
        </w:rPr>
        <w:t>NEXT is based on international sourcing and cross border logistics. Product costs and delivery times may change due to changes in trade arrangements, customs procedures, tariffs and/or shipping routes. Political turmoil in countries of origin can also affect supply. Therefore, in the context of NEXT, resilience must not be overlooked in considering the purchase price, such as contingency planning for critical products and supplier diversification to suit it. The fashion industry continues to grapple with uncertainties and supply-chain adaptation, as noted in fashion industry reporting (McKinsey &amp; Company and Business of Fashion, 2025).</w:t>
      </w:r>
    </w:p>
    <w:p w14:paraId="5E286979" w14:textId="77777777" w:rsidR="00A8480E" w:rsidRPr="00A8480E" w:rsidRDefault="00A8480E" w:rsidP="001725A3">
      <w:pPr>
        <w:spacing w:line="360" w:lineRule="auto"/>
        <w:jc w:val="both"/>
        <w:rPr>
          <w:rFonts w:ascii="Arial" w:hAnsi="Arial" w:cs="Arial"/>
          <w:sz w:val="22"/>
          <w:szCs w:val="22"/>
        </w:rPr>
      </w:pPr>
      <w:r w:rsidRPr="00A8480E">
        <w:rPr>
          <w:rFonts w:ascii="Arial" w:hAnsi="Arial" w:cs="Arial"/>
          <w:sz w:val="22"/>
          <w:szCs w:val="22"/>
        </w:rPr>
        <w:t xml:space="preserve">Economic. </w:t>
      </w:r>
    </w:p>
    <w:p w14:paraId="4F631DB9" w14:textId="1A4B1DD7" w:rsidR="00A8480E" w:rsidRPr="00A8480E" w:rsidRDefault="00A8480E" w:rsidP="001725A3">
      <w:pPr>
        <w:spacing w:line="360" w:lineRule="auto"/>
        <w:jc w:val="both"/>
        <w:rPr>
          <w:rFonts w:ascii="Arial" w:hAnsi="Arial" w:cs="Arial"/>
          <w:sz w:val="22"/>
          <w:szCs w:val="22"/>
        </w:rPr>
      </w:pPr>
      <w:r w:rsidRPr="00A8480E">
        <w:rPr>
          <w:rFonts w:ascii="Arial" w:hAnsi="Arial" w:cs="Arial"/>
          <w:sz w:val="22"/>
          <w:szCs w:val="22"/>
        </w:rPr>
        <w:t>For many households, buying clothes and home products are discretionary items. If people's incomes decline or confidence wanes, demand can weaken. Retailers, meanwhile, have to deal with logistics, materials and property costs, energy and wages. This mix can cause thin margins and make customers more sensitive to pricing. A pertinent retail focus from Strategy</w:t>
      </w:r>
      <w:r>
        <w:rPr>
          <w:rFonts w:ascii="Arial" w:hAnsi="Arial" w:cs="Arial"/>
          <w:sz w:val="22"/>
          <w:szCs w:val="22"/>
        </w:rPr>
        <w:t xml:space="preserve">&amp; </w:t>
      </w:r>
      <w:r w:rsidRPr="00A8480E">
        <w:rPr>
          <w:rFonts w:ascii="Arial" w:hAnsi="Arial" w:cs="Arial"/>
          <w:sz w:val="22"/>
          <w:szCs w:val="22"/>
        </w:rPr>
        <w:t>(2026) is that customers might want to balance price, quality and perceived usefulness to achieve “smart value”. NEXT needs to maintain its value proposition whilst avoiding too much discounting, otherwise margins might fall or it can lead to customers delaying their purchase until the next promotion. Planning is crucial because overselling will necessitate markdowns and stock outs will mean lost sales.</w:t>
      </w:r>
    </w:p>
    <w:p w14:paraId="28782916" w14:textId="77777777" w:rsidR="00A8480E" w:rsidRPr="00A8480E" w:rsidRDefault="00A8480E" w:rsidP="001725A3">
      <w:pPr>
        <w:spacing w:line="360" w:lineRule="auto"/>
        <w:jc w:val="both"/>
        <w:rPr>
          <w:rFonts w:ascii="Arial" w:hAnsi="Arial" w:cs="Arial"/>
          <w:sz w:val="22"/>
          <w:szCs w:val="22"/>
        </w:rPr>
      </w:pPr>
      <w:r w:rsidRPr="00A8480E">
        <w:rPr>
          <w:rFonts w:ascii="Arial" w:hAnsi="Arial" w:cs="Arial"/>
          <w:sz w:val="22"/>
          <w:szCs w:val="22"/>
        </w:rPr>
        <w:t>Social.</w:t>
      </w:r>
    </w:p>
    <w:p w14:paraId="24CCF388" w14:textId="3E91A589" w:rsidR="00A8480E" w:rsidRPr="00A8480E" w:rsidRDefault="00A8480E" w:rsidP="001725A3">
      <w:pPr>
        <w:spacing w:line="360" w:lineRule="auto"/>
        <w:jc w:val="both"/>
        <w:rPr>
          <w:rFonts w:ascii="Arial" w:hAnsi="Arial" w:cs="Arial"/>
          <w:sz w:val="22"/>
          <w:szCs w:val="22"/>
        </w:rPr>
      </w:pPr>
      <w:r w:rsidRPr="00A8480E">
        <w:rPr>
          <w:rFonts w:ascii="Arial" w:hAnsi="Arial" w:cs="Arial"/>
          <w:sz w:val="22"/>
          <w:szCs w:val="22"/>
        </w:rPr>
        <w:t>The preferences of customers fluctuate; however, price, quality, fit, style and convenience are relevant in fashion retail. The call for "transparency" and “responsible production” is also becoming more apparent. The Fashion Revolution (2025) draws attention to the concerns of the fashion industry regarding overproduction and waste. NEXT can react by prioritizing quality and giving information about their products and customer service a prominent role in their offer and clearly communicating about how they source and how they take responsibility. Avoidable returns and satisfaction can be increased if better fit information is provided.</w:t>
      </w:r>
    </w:p>
    <w:p w14:paraId="65A76745" w14:textId="77777777" w:rsidR="00A8480E" w:rsidRPr="00A8480E" w:rsidRDefault="00A8480E" w:rsidP="001725A3">
      <w:pPr>
        <w:spacing w:line="360" w:lineRule="auto"/>
        <w:jc w:val="both"/>
        <w:rPr>
          <w:rFonts w:ascii="Arial" w:hAnsi="Arial" w:cs="Arial"/>
          <w:sz w:val="22"/>
          <w:szCs w:val="22"/>
        </w:rPr>
      </w:pPr>
      <w:r w:rsidRPr="00A8480E">
        <w:rPr>
          <w:rFonts w:ascii="Arial" w:hAnsi="Arial" w:cs="Arial"/>
          <w:sz w:val="22"/>
          <w:szCs w:val="22"/>
        </w:rPr>
        <w:t xml:space="preserve">Technological. </w:t>
      </w:r>
    </w:p>
    <w:p w14:paraId="6231AB1D" w14:textId="5A45EB03" w:rsidR="00A8480E" w:rsidRPr="00A8480E" w:rsidRDefault="00A8480E" w:rsidP="001725A3">
      <w:pPr>
        <w:spacing w:line="360" w:lineRule="auto"/>
        <w:jc w:val="both"/>
        <w:rPr>
          <w:rFonts w:ascii="Arial" w:hAnsi="Arial" w:cs="Arial"/>
          <w:sz w:val="22"/>
          <w:szCs w:val="22"/>
        </w:rPr>
      </w:pPr>
      <w:r w:rsidRPr="00A8480E">
        <w:rPr>
          <w:rFonts w:ascii="Arial" w:hAnsi="Arial" w:cs="Arial"/>
          <w:sz w:val="22"/>
          <w:szCs w:val="22"/>
        </w:rPr>
        <w:lastRenderedPageBreak/>
        <w:t>Digital tools are able to help in product discovery, customer service, demand forecasting, stock allocation and customisation. While AI tools and analytics can facilitate the flow of information and enhance decision-making, they also carry potential risks in terms of data quality, privacy, cybersecurity, and customer trust. NEXT would need to choose the technology to address specific challenges, and measure the technology based on the criteria like stock availability, forecast accuracy, markdowns, returns, customer satisfaction etc. The technology must be a part of the business process and not viewed as an investment in isolation (Schultz, 2025).</w:t>
      </w:r>
    </w:p>
    <w:p w14:paraId="267E6AB4" w14:textId="77777777" w:rsidR="00A8480E" w:rsidRPr="00A8480E" w:rsidRDefault="00A8480E" w:rsidP="001725A3">
      <w:pPr>
        <w:spacing w:line="360" w:lineRule="auto"/>
        <w:jc w:val="both"/>
        <w:rPr>
          <w:rFonts w:ascii="Arial" w:hAnsi="Arial" w:cs="Arial"/>
          <w:sz w:val="22"/>
          <w:szCs w:val="22"/>
        </w:rPr>
      </w:pPr>
      <w:r w:rsidRPr="00A8480E">
        <w:rPr>
          <w:rFonts w:ascii="Arial" w:hAnsi="Arial" w:cs="Arial"/>
          <w:sz w:val="22"/>
          <w:szCs w:val="22"/>
        </w:rPr>
        <w:t xml:space="preserve">Legal. </w:t>
      </w:r>
    </w:p>
    <w:p w14:paraId="5AD035D5" w14:textId="77777777" w:rsidR="00A8480E" w:rsidRPr="00A8480E" w:rsidRDefault="00A8480E" w:rsidP="001725A3">
      <w:pPr>
        <w:spacing w:line="360" w:lineRule="auto"/>
        <w:jc w:val="both"/>
        <w:rPr>
          <w:rFonts w:ascii="Arial" w:hAnsi="Arial" w:cs="Arial"/>
          <w:sz w:val="22"/>
          <w:szCs w:val="22"/>
        </w:rPr>
      </w:pPr>
      <w:r w:rsidRPr="00A8480E">
        <w:rPr>
          <w:rFonts w:ascii="Arial" w:hAnsi="Arial" w:cs="Arial"/>
          <w:sz w:val="22"/>
          <w:szCs w:val="22"/>
        </w:rPr>
        <w:t xml:space="preserve">NEXT must meets requirements relating to the protection of consumers, employment, product safety, advertising, data protection and commercial conduct. Responsible dealing with the details of customers is particularly important in online retail. Claims about the environment or ethics should be backed up by evidence and supplier oversight should be able to detect and resolve issues. Ethical and transparent policies and clear monitoring responsibilities can lower legal and reputational risk, and compliance and reliability </w:t>
      </w:r>
      <w:proofErr w:type="gramStart"/>
      <w:r w:rsidRPr="00A8480E">
        <w:rPr>
          <w:rFonts w:ascii="Arial" w:hAnsi="Arial" w:cs="Arial"/>
          <w:sz w:val="22"/>
          <w:szCs w:val="22"/>
        </w:rPr>
        <w:t>is</w:t>
      </w:r>
      <w:proofErr w:type="gramEnd"/>
      <w:r w:rsidRPr="00A8480E">
        <w:rPr>
          <w:rFonts w:ascii="Arial" w:hAnsi="Arial" w:cs="Arial"/>
          <w:sz w:val="22"/>
          <w:szCs w:val="22"/>
        </w:rPr>
        <w:t xml:space="preserve"> a minimum requirement.</w:t>
      </w:r>
    </w:p>
    <w:p w14:paraId="00AE204C" w14:textId="77777777" w:rsidR="00A8480E" w:rsidRPr="00A8480E" w:rsidRDefault="00A8480E" w:rsidP="001725A3">
      <w:pPr>
        <w:spacing w:line="360" w:lineRule="auto"/>
        <w:jc w:val="both"/>
        <w:rPr>
          <w:rFonts w:ascii="Arial" w:hAnsi="Arial" w:cs="Arial"/>
          <w:sz w:val="22"/>
          <w:szCs w:val="22"/>
        </w:rPr>
      </w:pPr>
      <w:r w:rsidRPr="00A8480E">
        <w:rPr>
          <w:rFonts w:ascii="Arial" w:hAnsi="Arial" w:cs="Arial"/>
          <w:sz w:val="22"/>
          <w:szCs w:val="22"/>
        </w:rPr>
        <w:t xml:space="preserve">Environmental. </w:t>
      </w:r>
    </w:p>
    <w:p w14:paraId="3319B703" w14:textId="77777777" w:rsidR="00A8480E" w:rsidRPr="00A8480E" w:rsidRDefault="00A8480E" w:rsidP="001725A3">
      <w:pPr>
        <w:spacing w:line="360" w:lineRule="auto"/>
        <w:jc w:val="both"/>
        <w:rPr>
          <w:rFonts w:ascii="Arial" w:hAnsi="Arial" w:cs="Arial"/>
          <w:sz w:val="22"/>
          <w:szCs w:val="22"/>
        </w:rPr>
      </w:pPr>
      <w:r w:rsidRPr="00A8480E">
        <w:rPr>
          <w:rFonts w:ascii="Arial" w:hAnsi="Arial" w:cs="Arial"/>
          <w:sz w:val="22"/>
          <w:szCs w:val="22"/>
        </w:rPr>
        <w:t>The following issues are targeted for fashion businesses: materials, production, transport, packaging, and product lifespan and waste. Environmental performance can impact the risk, cost and trust of the supply chain. NEXT reports on its corporate responsibility and environmental approach (NEXT plc, 2026b), but there needs to be measurable commitments across operations and suppliers. This can mean working on supplier information, focussing on a more strategic area, cutting down on unnecessary waste or product longevity. Public claims must be specific and backed up. Additionally, the research on fashion supply chain identifies the relationship between sustainability and the supply-chain visibility and resilience (Sagar, 2026).</w:t>
      </w:r>
    </w:p>
    <w:p w14:paraId="1959961E" w14:textId="7C8EB8CB" w:rsidR="007540DF" w:rsidRPr="007540DF" w:rsidRDefault="00A8480E" w:rsidP="001725A3">
      <w:pPr>
        <w:spacing w:line="360" w:lineRule="auto"/>
        <w:jc w:val="both"/>
        <w:rPr>
          <w:rFonts w:ascii="Arial" w:hAnsi="Arial" w:cs="Arial"/>
          <w:sz w:val="22"/>
          <w:szCs w:val="22"/>
        </w:rPr>
      </w:pPr>
      <w:r w:rsidRPr="00A8480E">
        <w:rPr>
          <w:rFonts w:ascii="Arial" w:hAnsi="Arial" w:cs="Arial"/>
          <w:sz w:val="22"/>
          <w:szCs w:val="22"/>
        </w:rPr>
        <w:t>Overall, PESTLE indicates that NEXT will need to create a balance between value, convenience and efficiency, and shifting expectations and supply chain uncertainty.</w:t>
      </w:r>
    </w:p>
    <w:p w14:paraId="1CE0ACDB" w14:textId="77777777" w:rsidR="007540DF" w:rsidRPr="003F20D5" w:rsidRDefault="007540DF" w:rsidP="003F20D5">
      <w:pPr>
        <w:pStyle w:val="Heading4"/>
        <w:rPr>
          <w:rFonts w:ascii="Arial" w:hAnsi="Arial" w:cs="Arial"/>
          <w:i w:val="0"/>
          <w:iCs w:val="0"/>
          <w:color w:val="auto"/>
          <w:sz w:val="22"/>
          <w:szCs w:val="22"/>
        </w:rPr>
      </w:pPr>
      <w:bookmarkStart w:id="3" w:name="_Toc243474954"/>
      <w:r w:rsidRPr="003F20D5">
        <w:rPr>
          <w:rFonts w:ascii="Arial" w:hAnsi="Arial" w:cs="Arial"/>
          <w:i w:val="0"/>
          <w:iCs w:val="0"/>
          <w:color w:val="auto"/>
          <w:sz w:val="22"/>
          <w:szCs w:val="22"/>
        </w:rPr>
        <w:t>3. Internal Environment Audit</w:t>
      </w:r>
      <w:bookmarkEnd w:id="3"/>
    </w:p>
    <w:p w14:paraId="72540A9F" w14:textId="5F8CA21D" w:rsidR="007540DF" w:rsidRPr="007540DF" w:rsidRDefault="007540DF" w:rsidP="001725A3">
      <w:pPr>
        <w:spacing w:line="360" w:lineRule="auto"/>
        <w:jc w:val="both"/>
        <w:rPr>
          <w:rFonts w:ascii="Arial" w:hAnsi="Arial" w:cs="Arial"/>
          <w:sz w:val="22"/>
          <w:szCs w:val="22"/>
        </w:rPr>
      </w:pPr>
      <w:r w:rsidRPr="007540DF">
        <w:rPr>
          <w:rFonts w:ascii="Arial" w:hAnsi="Arial" w:cs="Arial"/>
          <w:sz w:val="22"/>
          <w:szCs w:val="22"/>
        </w:rPr>
        <w:t>Value-chain analysis</w:t>
      </w:r>
    </w:p>
    <w:p w14:paraId="4E275D51" w14:textId="77777777" w:rsidR="00A8480E" w:rsidRPr="00A8480E" w:rsidRDefault="00A8480E" w:rsidP="001725A3">
      <w:pPr>
        <w:spacing w:line="360" w:lineRule="auto"/>
        <w:jc w:val="both"/>
        <w:rPr>
          <w:rFonts w:ascii="Arial" w:hAnsi="Arial" w:cs="Arial"/>
          <w:sz w:val="22"/>
          <w:szCs w:val="22"/>
        </w:rPr>
      </w:pPr>
      <w:r w:rsidRPr="00A8480E">
        <w:rPr>
          <w:rFonts w:ascii="Arial" w:hAnsi="Arial" w:cs="Arial"/>
          <w:sz w:val="22"/>
          <w:szCs w:val="22"/>
        </w:rPr>
        <w:t>Value-chain analysis focuses on how value is added to the customers and competitive position for the business (Porter, 1985). Product selection, sourcing, logistics, stores, online retail and after-sales service activities are included for NEXT. Technology, procurement, people management, finance and governance are some of the supporting activities.</w:t>
      </w:r>
    </w:p>
    <w:p w14:paraId="5733C54A" w14:textId="77777777" w:rsidR="00A8480E" w:rsidRPr="00A8480E" w:rsidRDefault="00A8480E" w:rsidP="001725A3">
      <w:pPr>
        <w:spacing w:line="360" w:lineRule="auto"/>
        <w:jc w:val="both"/>
        <w:rPr>
          <w:rFonts w:ascii="Arial" w:hAnsi="Arial" w:cs="Arial"/>
          <w:sz w:val="22"/>
          <w:szCs w:val="22"/>
        </w:rPr>
      </w:pPr>
      <w:r w:rsidRPr="00A8480E">
        <w:rPr>
          <w:rFonts w:ascii="Arial" w:hAnsi="Arial" w:cs="Arial"/>
          <w:sz w:val="22"/>
          <w:szCs w:val="22"/>
        </w:rPr>
        <w:lastRenderedPageBreak/>
        <w:t>Product and sourcing. Whether ranges are attractive, priced according to the market, and available at the right time are a result of product decisions. The priorities identified in NEXT's business-model report are to improve product ranges, quality and appeal (NEXT plc, 2026a). Value to the customer goes beyond price, and includes style, durability and fit. Sourcing should facilitate those outcomes, at an acceptable cost, lead times and supplier standards.</w:t>
      </w:r>
    </w:p>
    <w:p w14:paraId="7824920E" w14:textId="77777777" w:rsidR="00A8480E" w:rsidRPr="00A8480E" w:rsidRDefault="00A8480E" w:rsidP="001725A3">
      <w:pPr>
        <w:spacing w:line="360" w:lineRule="auto"/>
        <w:jc w:val="both"/>
        <w:rPr>
          <w:rFonts w:ascii="Arial" w:hAnsi="Arial" w:cs="Arial"/>
          <w:sz w:val="22"/>
          <w:szCs w:val="22"/>
        </w:rPr>
      </w:pPr>
      <w:r w:rsidRPr="00A8480E">
        <w:rPr>
          <w:rFonts w:ascii="Arial" w:hAnsi="Arial" w:cs="Arial"/>
          <w:sz w:val="22"/>
          <w:szCs w:val="22"/>
        </w:rPr>
        <w:t xml:space="preserve">Operations and logistics. There must be coordinated stock, efficient order </w:t>
      </w:r>
      <w:proofErr w:type="spellStart"/>
      <w:r w:rsidRPr="00A8480E">
        <w:rPr>
          <w:rFonts w:ascii="Arial" w:hAnsi="Arial" w:cs="Arial"/>
          <w:sz w:val="22"/>
          <w:szCs w:val="22"/>
        </w:rPr>
        <w:t>fulfillment</w:t>
      </w:r>
      <w:proofErr w:type="spellEnd"/>
      <w:r w:rsidRPr="00A8480E">
        <w:rPr>
          <w:rFonts w:ascii="Arial" w:hAnsi="Arial" w:cs="Arial"/>
          <w:sz w:val="22"/>
          <w:szCs w:val="22"/>
        </w:rPr>
        <w:t xml:space="preserve"> and returns. While efficiency may be gained from NEXT's operating experience, it needs to be matched with flexibility. Lack of predictability of fashion demand makes excess inventory, shortages and markdowns a challenge to operational benefits. Improved data and stock visibility would help to align supply and demand.</w:t>
      </w:r>
    </w:p>
    <w:p w14:paraId="2E040BB0" w14:textId="77777777" w:rsidR="00A8480E" w:rsidRPr="00A8480E" w:rsidRDefault="00A8480E" w:rsidP="001725A3">
      <w:pPr>
        <w:spacing w:line="360" w:lineRule="auto"/>
        <w:jc w:val="both"/>
        <w:rPr>
          <w:rFonts w:ascii="Arial" w:hAnsi="Arial" w:cs="Arial"/>
          <w:sz w:val="22"/>
          <w:szCs w:val="22"/>
        </w:rPr>
      </w:pPr>
      <w:r w:rsidRPr="00A8480E">
        <w:rPr>
          <w:rFonts w:ascii="Arial" w:hAnsi="Arial" w:cs="Arial"/>
          <w:sz w:val="22"/>
          <w:szCs w:val="22"/>
        </w:rPr>
        <w:t>Marketing, sales and service. Multiple touchpoints touch consumers across NEXT's brand, stores and online channels. Multi-channel model can be helpful to make it more convenient when channels cooperate. All product information, availability, delivery, returns and customer service information impact satisfaction and loyalty. Suggestions from customers can help to see what problems or improvement opportunities occur repeatedly.</w:t>
      </w:r>
    </w:p>
    <w:p w14:paraId="54D18EE9" w14:textId="6C41284A" w:rsidR="007540DF" w:rsidRPr="007540DF" w:rsidRDefault="00A8480E" w:rsidP="001725A3">
      <w:pPr>
        <w:spacing w:line="360" w:lineRule="auto"/>
        <w:jc w:val="both"/>
        <w:rPr>
          <w:rFonts w:ascii="Arial" w:hAnsi="Arial" w:cs="Arial"/>
          <w:sz w:val="22"/>
          <w:szCs w:val="22"/>
        </w:rPr>
      </w:pPr>
      <w:r w:rsidRPr="00A8480E">
        <w:rPr>
          <w:rFonts w:ascii="Arial" w:hAnsi="Arial" w:cs="Arial"/>
          <w:sz w:val="22"/>
          <w:szCs w:val="22"/>
        </w:rPr>
        <w:t>Supporting activities. Use of technology and data for planning, stock and service decisions. Procurement and supplier management impact cost, continuity and standards. Governance and corporate-responsibility processes contribute to turning pledges into action. While NEXT's reporting serves as a guide to assess its strategy, progress relies on accurate information in its supply chain (NEXT plc, 2026b).</w:t>
      </w:r>
    </w:p>
    <w:p w14:paraId="06645637" w14:textId="0E6099CA" w:rsidR="007540DF" w:rsidRDefault="007540DF" w:rsidP="001725A3">
      <w:pPr>
        <w:spacing w:line="360" w:lineRule="auto"/>
        <w:jc w:val="both"/>
        <w:rPr>
          <w:rFonts w:ascii="Arial" w:hAnsi="Arial" w:cs="Arial"/>
          <w:sz w:val="22"/>
          <w:szCs w:val="22"/>
        </w:rPr>
      </w:pPr>
      <w:r w:rsidRPr="007540DF">
        <w:rPr>
          <w:rFonts w:ascii="Arial" w:hAnsi="Arial" w:cs="Arial"/>
          <w:sz w:val="22"/>
          <w:szCs w:val="22"/>
        </w:rPr>
        <w:t>Resource-Based View and VRIO</w:t>
      </w:r>
    </w:p>
    <w:p w14:paraId="5B5762A7" w14:textId="08B0E703" w:rsidR="00CE50FD" w:rsidRDefault="001725A3" w:rsidP="001725A3">
      <w:pPr>
        <w:spacing w:line="360" w:lineRule="auto"/>
        <w:jc w:val="both"/>
        <w:rPr>
          <w:rFonts w:ascii="Arial" w:hAnsi="Arial" w:cs="Arial"/>
          <w:sz w:val="22"/>
          <w:szCs w:val="22"/>
        </w:rPr>
      </w:pPr>
      <w:r w:rsidRPr="001725A3">
        <w:rPr>
          <w:rFonts w:ascii="Arial" w:hAnsi="Arial" w:cs="Arial"/>
          <w:sz w:val="22"/>
          <w:szCs w:val="22"/>
        </w:rPr>
        <w:t>The RBV asks questions about the potential of internal resources to generate competitive advantage. VRIO is a question that arises: is a resource valuable, rare, hard to imitate and supported by the organisation? An advantage is never permanent: if customer expectations or competitor's change the value of the advantage will change.</w:t>
      </w:r>
    </w:p>
    <w:tbl>
      <w:tblPr>
        <w:tblW w:w="9135" w:type="dxa"/>
        <w:tblInd w:w="-30" w:type="dxa"/>
        <w:tblBorders>
          <w:top w:val="single" w:sz="2" w:space="0" w:color="auto"/>
          <w:left w:val="single" w:sz="2" w:space="0" w:color="auto"/>
          <w:bottom w:val="single" w:sz="2" w:space="0" w:color="auto"/>
          <w:right w:val="single" w:sz="2" w:space="0" w:color="auto"/>
        </w:tblBorders>
        <w:shd w:val="clear" w:color="auto" w:fill="FFFFFF"/>
        <w:tblCellMar>
          <w:left w:w="0" w:type="dxa"/>
          <w:right w:w="0" w:type="dxa"/>
        </w:tblCellMar>
        <w:tblLook w:val="04A0" w:firstRow="1" w:lastRow="0" w:firstColumn="1" w:lastColumn="0" w:noHBand="0" w:noVBand="1"/>
      </w:tblPr>
      <w:tblGrid>
        <w:gridCol w:w="2234"/>
        <w:gridCol w:w="6901"/>
      </w:tblGrid>
      <w:tr w:rsidR="003F20D5" w:rsidRPr="00521401" w14:paraId="6AEBB124" w14:textId="77777777" w:rsidTr="003F20D5">
        <w:trPr>
          <w:trHeight w:val="328"/>
          <w:tblHeader/>
        </w:trPr>
        <w:tc>
          <w:tcPr>
            <w:tcW w:w="0" w:type="auto"/>
            <w:tcBorders>
              <w:top w:val="single" w:sz="24" w:space="0" w:color="EFEFEF"/>
              <w:left w:val="single" w:sz="24" w:space="0" w:color="EFEFEF"/>
              <w:bottom w:val="single" w:sz="24" w:space="0" w:color="EFEFEF"/>
              <w:right w:val="single" w:sz="24" w:space="0" w:color="EFEFEF"/>
            </w:tcBorders>
            <w:shd w:val="clear" w:color="auto" w:fill="FFFFFF"/>
            <w:tcMar>
              <w:top w:w="0" w:type="dxa"/>
              <w:left w:w="0" w:type="dxa"/>
              <w:bottom w:w="150" w:type="dxa"/>
              <w:right w:w="240" w:type="dxa"/>
            </w:tcMar>
            <w:vAlign w:val="bottom"/>
            <w:hideMark/>
          </w:tcPr>
          <w:p w14:paraId="37EFE8C6" w14:textId="77777777" w:rsidR="003F20D5" w:rsidRPr="00521401" w:rsidRDefault="003F20D5" w:rsidP="009B2889">
            <w:pPr>
              <w:spacing w:after="0" w:line="240" w:lineRule="auto"/>
              <w:rPr>
                <w:rFonts w:ascii="Segoe UI" w:eastAsia="Times New Roman" w:hAnsi="Segoe UI" w:cs="Segoe UI"/>
                <w:b/>
                <w:bCs/>
                <w:color w:val="0A0A0A"/>
                <w:kern w:val="0"/>
                <w:sz w:val="21"/>
                <w:szCs w:val="21"/>
                <w:lang w:eastAsia="en-GB"/>
                <w14:ligatures w14:val="none"/>
              </w:rPr>
            </w:pPr>
            <w:r w:rsidRPr="00521401">
              <w:rPr>
                <w:rFonts w:ascii="Segoe UI" w:eastAsia="Times New Roman" w:hAnsi="Segoe UI" w:cs="Segoe UI"/>
                <w:b/>
                <w:bCs/>
                <w:color w:val="0A0A0A"/>
                <w:kern w:val="0"/>
                <w:sz w:val="21"/>
                <w:szCs w:val="21"/>
                <w:lang w:eastAsia="en-GB"/>
                <w14:ligatures w14:val="none"/>
              </w:rPr>
              <w:t>Resource or capability</w:t>
            </w:r>
          </w:p>
        </w:tc>
        <w:tc>
          <w:tcPr>
            <w:tcW w:w="0" w:type="auto"/>
            <w:tcBorders>
              <w:top w:val="single" w:sz="24" w:space="0" w:color="EFEFEF"/>
              <w:left w:val="single" w:sz="24" w:space="0" w:color="EFEFEF"/>
              <w:bottom w:val="single" w:sz="24" w:space="0" w:color="EFEFEF"/>
              <w:right w:val="single" w:sz="24" w:space="0" w:color="EFEFEF"/>
            </w:tcBorders>
            <w:shd w:val="clear" w:color="auto" w:fill="FFFFFF"/>
            <w:tcMar>
              <w:top w:w="0" w:type="dxa"/>
              <w:left w:w="240" w:type="dxa"/>
              <w:bottom w:w="150" w:type="dxa"/>
              <w:right w:w="240" w:type="dxa"/>
            </w:tcMar>
            <w:vAlign w:val="bottom"/>
            <w:hideMark/>
          </w:tcPr>
          <w:p w14:paraId="09C1CD3F" w14:textId="77777777" w:rsidR="003F20D5" w:rsidRPr="00521401" w:rsidRDefault="003F20D5" w:rsidP="009B2889">
            <w:pPr>
              <w:spacing w:after="0" w:line="240" w:lineRule="auto"/>
              <w:rPr>
                <w:rFonts w:ascii="Segoe UI" w:eastAsia="Times New Roman" w:hAnsi="Segoe UI" w:cs="Segoe UI"/>
                <w:b/>
                <w:bCs/>
                <w:color w:val="0A0A0A"/>
                <w:kern w:val="0"/>
                <w:sz w:val="21"/>
                <w:szCs w:val="21"/>
                <w:lang w:eastAsia="en-GB"/>
                <w14:ligatures w14:val="none"/>
              </w:rPr>
            </w:pPr>
            <w:r w:rsidRPr="00521401">
              <w:rPr>
                <w:rFonts w:ascii="Segoe UI" w:eastAsia="Times New Roman" w:hAnsi="Segoe UI" w:cs="Segoe UI"/>
                <w:b/>
                <w:bCs/>
                <w:color w:val="0A0A0A"/>
                <w:kern w:val="0"/>
                <w:sz w:val="21"/>
                <w:szCs w:val="21"/>
                <w:bdr w:val="single" w:sz="2" w:space="0" w:color="E4E4E7" w:frame="1"/>
                <w:lang w:eastAsia="en-GB"/>
                <w14:ligatures w14:val="none"/>
              </w:rPr>
              <w:t>Strategic assessment</w:t>
            </w:r>
          </w:p>
        </w:tc>
      </w:tr>
      <w:tr w:rsidR="003F20D5" w:rsidRPr="00521401" w14:paraId="76176BC3" w14:textId="77777777" w:rsidTr="003F20D5">
        <w:trPr>
          <w:trHeight w:val="635"/>
        </w:trPr>
        <w:tc>
          <w:tcPr>
            <w:tcW w:w="0" w:type="auto"/>
            <w:tcBorders>
              <w:top w:val="single" w:sz="24" w:space="0" w:color="EFEFEF"/>
              <w:left w:val="single" w:sz="24" w:space="0" w:color="EFEFEF"/>
              <w:bottom w:val="single" w:sz="24" w:space="0" w:color="EFEFEF"/>
              <w:right w:val="single" w:sz="24" w:space="0" w:color="EFEFEF"/>
            </w:tcBorders>
            <w:shd w:val="clear" w:color="auto" w:fill="FFFFFF"/>
            <w:tcMar>
              <w:top w:w="150" w:type="dxa"/>
              <w:left w:w="0" w:type="dxa"/>
              <w:bottom w:w="150" w:type="dxa"/>
              <w:right w:w="240" w:type="dxa"/>
            </w:tcMar>
            <w:vAlign w:val="center"/>
            <w:hideMark/>
          </w:tcPr>
          <w:p w14:paraId="6EF7A850" w14:textId="77777777" w:rsidR="003F20D5" w:rsidRPr="00521401" w:rsidRDefault="003F20D5" w:rsidP="009B2889">
            <w:pPr>
              <w:spacing w:after="0" w:line="240" w:lineRule="auto"/>
              <w:rPr>
                <w:rFonts w:ascii="Segoe UI" w:eastAsia="Times New Roman" w:hAnsi="Segoe UI" w:cs="Segoe UI"/>
                <w:color w:val="3D3D3D"/>
                <w:kern w:val="0"/>
                <w:sz w:val="21"/>
                <w:szCs w:val="21"/>
                <w:lang w:eastAsia="en-GB"/>
                <w14:ligatures w14:val="none"/>
              </w:rPr>
            </w:pPr>
            <w:r w:rsidRPr="00521401">
              <w:rPr>
                <w:rFonts w:ascii="Segoe UI" w:eastAsia="Times New Roman" w:hAnsi="Segoe UI" w:cs="Segoe UI"/>
                <w:color w:val="3D3D3D"/>
                <w:kern w:val="0"/>
                <w:sz w:val="21"/>
                <w:szCs w:val="21"/>
                <w:lang w:eastAsia="en-GB"/>
                <w14:ligatures w14:val="none"/>
              </w:rPr>
              <w:t>Brand and customer relationships</w:t>
            </w:r>
          </w:p>
        </w:tc>
        <w:tc>
          <w:tcPr>
            <w:tcW w:w="0" w:type="auto"/>
            <w:tcBorders>
              <w:top w:val="single" w:sz="24" w:space="0" w:color="EFEFEF"/>
              <w:left w:val="single" w:sz="24" w:space="0" w:color="EFEFEF"/>
              <w:bottom w:val="single" w:sz="24" w:space="0" w:color="EFEFEF"/>
              <w:right w:val="single" w:sz="24" w:space="0" w:color="EFEFEF"/>
            </w:tcBorders>
            <w:shd w:val="clear" w:color="auto" w:fill="FFFFFF"/>
            <w:tcMar>
              <w:top w:w="150" w:type="dxa"/>
              <w:left w:w="240" w:type="dxa"/>
              <w:bottom w:w="150" w:type="dxa"/>
              <w:right w:w="240" w:type="dxa"/>
            </w:tcMar>
            <w:vAlign w:val="center"/>
            <w:hideMark/>
          </w:tcPr>
          <w:p w14:paraId="2E00F72E" w14:textId="77777777" w:rsidR="003F20D5" w:rsidRPr="00521401" w:rsidRDefault="003F20D5" w:rsidP="009B2889">
            <w:pPr>
              <w:spacing w:after="0" w:line="240" w:lineRule="auto"/>
              <w:rPr>
                <w:rFonts w:ascii="Segoe UI" w:eastAsia="Times New Roman" w:hAnsi="Segoe UI" w:cs="Segoe UI"/>
                <w:color w:val="3D3D3D"/>
                <w:kern w:val="0"/>
                <w:sz w:val="21"/>
                <w:szCs w:val="21"/>
                <w:lang w:eastAsia="en-GB"/>
                <w14:ligatures w14:val="none"/>
              </w:rPr>
            </w:pPr>
            <w:r w:rsidRPr="00521401">
              <w:rPr>
                <w:rFonts w:ascii="Segoe UI" w:eastAsia="Times New Roman" w:hAnsi="Segoe UI" w:cs="Segoe UI"/>
                <w:color w:val="3D3D3D"/>
                <w:kern w:val="0"/>
                <w:sz w:val="21"/>
                <w:szCs w:val="21"/>
                <w:lang w:eastAsia="en-GB"/>
                <w14:ligatures w14:val="none"/>
              </w:rPr>
              <w:t>Valuable for awareness and trust, but competitors also have established brands. Advantage depends on consistent product and service.</w:t>
            </w:r>
          </w:p>
        </w:tc>
      </w:tr>
      <w:tr w:rsidR="003F20D5" w:rsidRPr="00521401" w14:paraId="67FBDDDC" w14:textId="77777777" w:rsidTr="003F20D5">
        <w:trPr>
          <w:trHeight w:val="635"/>
        </w:trPr>
        <w:tc>
          <w:tcPr>
            <w:tcW w:w="0" w:type="auto"/>
            <w:tcBorders>
              <w:top w:val="single" w:sz="24" w:space="0" w:color="EFEFEF"/>
              <w:left w:val="single" w:sz="24" w:space="0" w:color="EFEFEF"/>
              <w:bottom w:val="single" w:sz="24" w:space="0" w:color="EFEFEF"/>
              <w:right w:val="single" w:sz="24" w:space="0" w:color="EFEFEF"/>
            </w:tcBorders>
            <w:shd w:val="clear" w:color="auto" w:fill="FFFFFF"/>
            <w:tcMar>
              <w:top w:w="150" w:type="dxa"/>
              <w:left w:w="0" w:type="dxa"/>
              <w:bottom w:w="150" w:type="dxa"/>
              <w:right w:w="240" w:type="dxa"/>
            </w:tcMar>
            <w:vAlign w:val="center"/>
            <w:hideMark/>
          </w:tcPr>
          <w:p w14:paraId="7B8DFFB0" w14:textId="77777777" w:rsidR="003F20D5" w:rsidRPr="00521401" w:rsidRDefault="003F20D5" w:rsidP="009B2889">
            <w:pPr>
              <w:spacing w:after="0" w:line="240" w:lineRule="auto"/>
              <w:rPr>
                <w:rFonts w:ascii="Segoe UI" w:eastAsia="Times New Roman" w:hAnsi="Segoe UI" w:cs="Segoe UI"/>
                <w:color w:val="3D3D3D"/>
                <w:kern w:val="0"/>
                <w:sz w:val="21"/>
                <w:szCs w:val="21"/>
                <w:lang w:eastAsia="en-GB"/>
                <w14:ligatures w14:val="none"/>
              </w:rPr>
            </w:pPr>
            <w:r w:rsidRPr="00521401">
              <w:rPr>
                <w:rFonts w:ascii="Segoe UI" w:eastAsia="Times New Roman" w:hAnsi="Segoe UI" w:cs="Segoe UI"/>
                <w:color w:val="3D3D3D"/>
                <w:kern w:val="0"/>
                <w:sz w:val="21"/>
                <w:szCs w:val="21"/>
                <w:lang w:eastAsia="en-GB"/>
                <w14:ligatures w14:val="none"/>
              </w:rPr>
              <w:t>Physical and online operations</w:t>
            </w:r>
          </w:p>
        </w:tc>
        <w:tc>
          <w:tcPr>
            <w:tcW w:w="0" w:type="auto"/>
            <w:tcBorders>
              <w:top w:val="single" w:sz="24" w:space="0" w:color="EFEFEF"/>
              <w:left w:val="single" w:sz="24" w:space="0" w:color="EFEFEF"/>
              <w:bottom w:val="single" w:sz="24" w:space="0" w:color="EFEFEF"/>
              <w:right w:val="single" w:sz="24" w:space="0" w:color="EFEFEF"/>
            </w:tcBorders>
            <w:shd w:val="clear" w:color="auto" w:fill="FFFFFF"/>
            <w:tcMar>
              <w:top w:w="150" w:type="dxa"/>
              <w:left w:w="240" w:type="dxa"/>
              <w:bottom w:w="150" w:type="dxa"/>
              <w:right w:w="240" w:type="dxa"/>
            </w:tcMar>
            <w:vAlign w:val="center"/>
            <w:hideMark/>
          </w:tcPr>
          <w:p w14:paraId="1196F9DA" w14:textId="77777777" w:rsidR="003F20D5" w:rsidRPr="00521401" w:rsidRDefault="003F20D5" w:rsidP="009B2889">
            <w:pPr>
              <w:spacing w:after="0" w:line="240" w:lineRule="auto"/>
              <w:rPr>
                <w:rFonts w:ascii="Segoe UI" w:eastAsia="Times New Roman" w:hAnsi="Segoe UI" w:cs="Segoe UI"/>
                <w:color w:val="3D3D3D"/>
                <w:kern w:val="0"/>
                <w:sz w:val="21"/>
                <w:szCs w:val="21"/>
                <w:lang w:eastAsia="en-GB"/>
                <w14:ligatures w14:val="none"/>
              </w:rPr>
            </w:pPr>
            <w:r w:rsidRPr="00521401">
              <w:rPr>
                <w:rFonts w:ascii="Segoe UI" w:eastAsia="Times New Roman" w:hAnsi="Segoe UI" w:cs="Segoe UI"/>
                <w:color w:val="3D3D3D"/>
                <w:kern w:val="0"/>
                <w:sz w:val="21"/>
                <w:szCs w:val="21"/>
                <w:lang w:eastAsia="en-GB"/>
                <w14:ligatures w14:val="none"/>
              </w:rPr>
              <w:t xml:space="preserve">Valuable because they offer multiple shopping routes. Coordinating them at scale may be difficult to </w:t>
            </w:r>
            <w:proofErr w:type="gramStart"/>
            <w:r w:rsidRPr="00521401">
              <w:rPr>
                <w:rFonts w:ascii="Segoe UI" w:eastAsia="Times New Roman" w:hAnsi="Segoe UI" w:cs="Segoe UI"/>
                <w:color w:val="3D3D3D"/>
                <w:kern w:val="0"/>
                <w:sz w:val="21"/>
                <w:szCs w:val="21"/>
                <w:lang w:eastAsia="en-GB"/>
                <w14:ligatures w14:val="none"/>
              </w:rPr>
              <w:t>reproduce, but</w:t>
            </w:r>
            <w:proofErr w:type="gramEnd"/>
            <w:r w:rsidRPr="00521401">
              <w:rPr>
                <w:rFonts w:ascii="Segoe UI" w:eastAsia="Times New Roman" w:hAnsi="Segoe UI" w:cs="Segoe UI"/>
                <w:color w:val="3D3D3D"/>
                <w:kern w:val="0"/>
                <w:sz w:val="21"/>
                <w:szCs w:val="21"/>
                <w:lang w:eastAsia="en-GB"/>
                <w14:ligatures w14:val="none"/>
              </w:rPr>
              <w:t xml:space="preserve"> requires effective integration.</w:t>
            </w:r>
          </w:p>
        </w:tc>
      </w:tr>
    </w:tbl>
    <w:tbl>
      <w:tblPr>
        <w:tblpPr w:leftFromText="180" w:rightFromText="180" w:vertAnchor="text" w:horzAnchor="margin" w:tblpY="15"/>
        <w:tblW w:w="9086" w:type="dxa"/>
        <w:tblBorders>
          <w:top w:val="single" w:sz="2" w:space="0" w:color="auto"/>
          <w:left w:val="single" w:sz="2" w:space="0" w:color="auto"/>
          <w:bottom w:val="single" w:sz="2" w:space="0" w:color="auto"/>
          <w:right w:val="single" w:sz="2" w:space="0" w:color="auto"/>
        </w:tblBorders>
        <w:shd w:val="clear" w:color="auto" w:fill="FFFFFF"/>
        <w:tblCellMar>
          <w:left w:w="0" w:type="dxa"/>
          <w:right w:w="0" w:type="dxa"/>
        </w:tblCellMar>
        <w:tblLook w:val="04A0" w:firstRow="1" w:lastRow="0" w:firstColumn="1" w:lastColumn="0" w:noHBand="0" w:noVBand="1"/>
      </w:tblPr>
      <w:tblGrid>
        <w:gridCol w:w="2258"/>
        <w:gridCol w:w="6828"/>
      </w:tblGrid>
      <w:tr w:rsidR="003F20D5" w:rsidRPr="00A60887" w14:paraId="64AAABA0" w14:textId="77777777" w:rsidTr="003F20D5">
        <w:trPr>
          <w:trHeight w:val="619"/>
        </w:trPr>
        <w:tc>
          <w:tcPr>
            <w:tcW w:w="2258" w:type="dxa"/>
            <w:tcBorders>
              <w:top w:val="single" w:sz="24" w:space="0" w:color="EFEFEF"/>
              <w:left w:val="single" w:sz="24" w:space="0" w:color="EFEFEF"/>
              <w:bottom w:val="single" w:sz="24" w:space="0" w:color="EFEFEF"/>
              <w:right w:val="single" w:sz="24" w:space="0" w:color="EFEFEF"/>
            </w:tcBorders>
            <w:shd w:val="clear" w:color="auto" w:fill="FFFFFF"/>
            <w:tcMar>
              <w:top w:w="150" w:type="dxa"/>
              <w:left w:w="0" w:type="dxa"/>
              <w:bottom w:w="150" w:type="dxa"/>
              <w:right w:w="240" w:type="dxa"/>
            </w:tcMar>
            <w:vAlign w:val="center"/>
            <w:hideMark/>
          </w:tcPr>
          <w:p w14:paraId="6AA80E92" w14:textId="77777777" w:rsidR="003F20D5" w:rsidRPr="00A60887" w:rsidRDefault="003F20D5" w:rsidP="003F20D5">
            <w:pPr>
              <w:spacing w:after="0" w:line="360" w:lineRule="auto"/>
              <w:rPr>
                <w:rFonts w:ascii="Segoe UI" w:eastAsia="Times New Roman" w:hAnsi="Segoe UI" w:cs="Segoe UI"/>
                <w:color w:val="3D3D3D"/>
                <w:kern w:val="0"/>
                <w:sz w:val="21"/>
                <w:szCs w:val="21"/>
                <w:lang w:eastAsia="en-GB"/>
                <w14:ligatures w14:val="none"/>
              </w:rPr>
            </w:pPr>
            <w:r w:rsidRPr="00A60887">
              <w:rPr>
                <w:rFonts w:ascii="Segoe UI" w:eastAsia="Times New Roman" w:hAnsi="Segoe UI" w:cs="Segoe UI"/>
                <w:color w:val="3D3D3D"/>
                <w:kern w:val="0"/>
                <w:sz w:val="21"/>
                <w:szCs w:val="21"/>
                <w:lang w:eastAsia="en-GB"/>
                <w14:ligatures w14:val="none"/>
              </w:rPr>
              <w:lastRenderedPageBreak/>
              <w:t>Fulfilment and retail experience</w:t>
            </w:r>
          </w:p>
        </w:tc>
        <w:tc>
          <w:tcPr>
            <w:tcW w:w="0" w:type="auto"/>
            <w:tcBorders>
              <w:top w:val="single" w:sz="24" w:space="0" w:color="EFEFEF"/>
              <w:left w:val="single" w:sz="24" w:space="0" w:color="EFEFEF"/>
              <w:bottom w:val="single" w:sz="24" w:space="0" w:color="EFEFEF"/>
              <w:right w:val="single" w:sz="24" w:space="0" w:color="EFEFEF"/>
            </w:tcBorders>
            <w:shd w:val="clear" w:color="auto" w:fill="FFFFFF"/>
            <w:tcMar>
              <w:top w:w="150" w:type="dxa"/>
              <w:left w:w="240" w:type="dxa"/>
              <w:bottom w:w="150" w:type="dxa"/>
              <w:right w:w="240" w:type="dxa"/>
            </w:tcMar>
            <w:vAlign w:val="center"/>
            <w:hideMark/>
          </w:tcPr>
          <w:p w14:paraId="4C43EB67" w14:textId="77777777" w:rsidR="003F20D5" w:rsidRPr="00A60887" w:rsidRDefault="003F20D5" w:rsidP="003F20D5">
            <w:pPr>
              <w:spacing w:after="0" w:line="360" w:lineRule="auto"/>
              <w:rPr>
                <w:rFonts w:ascii="Segoe UI" w:eastAsia="Times New Roman" w:hAnsi="Segoe UI" w:cs="Segoe UI"/>
                <w:color w:val="3D3D3D"/>
                <w:kern w:val="0"/>
                <w:sz w:val="21"/>
                <w:szCs w:val="21"/>
                <w:lang w:eastAsia="en-GB"/>
                <w14:ligatures w14:val="none"/>
              </w:rPr>
            </w:pPr>
            <w:r w:rsidRPr="00A60887">
              <w:rPr>
                <w:rFonts w:ascii="Segoe UI" w:eastAsia="Times New Roman" w:hAnsi="Segoe UI" w:cs="Segoe UI"/>
                <w:color w:val="3D3D3D"/>
                <w:kern w:val="0"/>
                <w:sz w:val="21"/>
                <w:szCs w:val="21"/>
                <w:lang w:eastAsia="en-GB"/>
                <w14:ligatures w14:val="none"/>
              </w:rPr>
              <w:t>Supports availability and service. Experience takes time to develop, though competitors can improve or copy processes.</w:t>
            </w:r>
          </w:p>
        </w:tc>
      </w:tr>
      <w:tr w:rsidR="003F20D5" w:rsidRPr="00A60887" w14:paraId="7BC62E03" w14:textId="77777777" w:rsidTr="003F20D5">
        <w:trPr>
          <w:trHeight w:val="841"/>
        </w:trPr>
        <w:tc>
          <w:tcPr>
            <w:tcW w:w="2258" w:type="dxa"/>
            <w:tcBorders>
              <w:top w:val="single" w:sz="24" w:space="0" w:color="EFEFEF"/>
              <w:left w:val="single" w:sz="24" w:space="0" w:color="EFEFEF"/>
              <w:bottom w:val="single" w:sz="24" w:space="0" w:color="EFEFEF"/>
              <w:right w:val="single" w:sz="24" w:space="0" w:color="EFEFEF"/>
            </w:tcBorders>
            <w:shd w:val="clear" w:color="auto" w:fill="FFFFFF"/>
            <w:tcMar>
              <w:top w:w="150" w:type="dxa"/>
              <w:left w:w="0" w:type="dxa"/>
              <w:bottom w:w="150" w:type="dxa"/>
              <w:right w:w="240" w:type="dxa"/>
            </w:tcMar>
            <w:vAlign w:val="center"/>
            <w:hideMark/>
          </w:tcPr>
          <w:p w14:paraId="028717D5" w14:textId="77777777" w:rsidR="003F20D5" w:rsidRPr="00A60887" w:rsidRDefault="003F20D5" w:rsidP="003F20D5">
            <w:pPr>
              <w:spacing w:after="0" w:line="360" w:lineRule="auto"/>
              <w:rPr>
                <w:rFonts w:ascii="Segoe UI" w:eastAsia="Times New Roman" w:hAnsi="Segoe UI" w:cs="Segoe UI"/>
                <w:color w:val="3D3D3D"/>
                <w:kern w:val="0"/>
                <w:sz w:val="21"/>
                <w:szCs w:val="21"/>
                <w:lang w:eastAsia="en-GB"/>
                <w14:ligatures w14:val="none"/>
              </w:rPr>
            </w:pPr>
            <w:r w:rsidRPr="00A60887">
              <w:rPr>
                <w:rFonts w:ascii="Segoe UI" w:eastAsia="Times New Roman" w:hAnsi="Segoe UI" w:cs="Segoe UI"/>
                <w:color w:val="3D3D3D"/>
                <w:kern w:val="0"/>
                <w:sz w:val="21"/>
                <w:szCs w:val="21"/>
                <w:lang w:eastAsia="en-GB"/>
                <w14:ligatures w14:val="none"/>
              </w:rPr>
              <w:t>Customer and trading data</w:t>
            </w:r>
          </w:p>
        </w:tc>
        <w:tc>
          <w:tcPr>
            <w:tcW w:w="0" w:type="auto"/>
            <w:tcBorders>
              <w:top w:val="single" w:sz="24" w:space="0" w:color="EFEFEF"/>
              <w:left w:val="single" w:sz="24" w:space="0" w:color="EFEFEF"/>
              <w:bottom w:val="single" w:sz="24" w:space="0" w:color="EFEFEF"/>
              <w:right w:val="single" w:sz="24" w:space="0" w:color="EFEFEF"/>
            </w:tcBorders>
            <w:shd w:val="clear" w:color="auto" w:fill="FFFFFF"/>
            <w:tcMar>
              <w:top w:w="150" w:type="dxa"/>
              <w:left w:w="240" w:type="dxa"/>
              <w:bottom w:w="150" w:type="dxa"/>
              <w:right w:w="240" w:type="dxa"/>
            </w:tcMar>
            <w:vAlign w:val="center"/>
            <w:hideMark/>
          </w:tcPr>
          <w:p w14:paraId="13A9FFC7" w14:textId="77777777" w:rsidR="003F20D5" w:rsidRPr="00A60887" w:rsidRDefault="003F20D5" w:rsidP="003F20D5">
            <w:pPr>
              <w:spacing w:after="0" w:line="360" w:lineRule="auto"/>
              <w:rPr>
                <w:rFonts w:ascii="Segoe UI" w:eastAsia="Times New Roman" w:hAnsi="Segoe UI" w:cs="Segoe UI"/>
                <w:color w:val="3D3D3D"/>
                <w:kern w:val="0"/>
                <w:sz w:val="21"/>
                <w:szCs w:val="21"/>
                <w:lang w:eastAsia="en-GB"/>
                <w14:ligatures w14:val="none"/>
              </w:rPr>
            </w:pPr>
            <w:r w:rsidRPr="00A60887">
              <w:rPr>
                <w:rFonts w:ascii="Segoe UI" w:eastAsia="Times New Roman" w:hAnsi="Segoe UI" w:cs="Segoe UI"/>
                <w:color w:val="3D3D3D"/>
                <w:kern w:val="0"/>
                <w:sz w:val="21"/>
                <w:szCs w:val="21"/>
                <w:lang w:eastAsia="en-GB"/>
                <w14:ligatures w14:val="none"/>
              </w:rPr>
              <w:t>Valuable when used to improve forecasting and relevance. Data quality, analysis and responsible use matter more than possession alone.</w:t>
            </w:r>
          </w:p>
        </w:tc>
      </w:tr>
      <w:tr w:rsidR="003F20D5" w:rsidRPr="00A60887" w14:paraId="0C96BA06" w14:textId="77777777" w:rsidTr="003F20D5">
        <w:trPr>
          <w:trHeight w:val="619"/>
        </w:trPr>
        <w:tc>
          <w:tcPr>
            <w:tcW w:w="2258" w:type="dxa"/>
            <w:tcBorders>
              <w:top w:val="single" w:sz="24" w:space="0" w:color="EFEFEF"/>
              <w:left w:val="single" w:sz="24" w:space="0" w:color="EFEFEF"/>
              <w:bottom w:val="single" w:sz="24" w:space="0" w:color="EFEFEF"/>
              <w:right w:val="single" w:sz="24" w:space="0" w:color="EFEFEF"/>
            </w:tcBorders>
            <w:shd w:val="clear" w:color="auto" w:fill="FFFFFF"/>
            <w:tcMar>
              <w:top w:w="150" w:type="dxa"/>
              <w:left w:w="0" w:type="dxa"/>
              <w:bottom w:w="150" w:type="dxa"/>
              <w:right w:w="240" w:type="dxa"/>
            </w:tcMar>
            <w:vAlign w:val="center"/>
            <w:hideMark/>
          </w:tcPr>
          <w:p w14:paraId="7CE02D2F" w14:textId="77777777" w:rsidR="003F20D5" w:rsidRPr="00A60887" w:rsidRDefault="003F20D5" w:rsidP="003F20D5">
            <w:pPr>
              <w:spacing w:after="0" w:line="360" w:lineRule="auto"/>
              <w:rPr>
                <w:rFonts w:ascii="Segoe UI" w:eastAsia="Times New Roman" w:hAnsi="Segoe UI" w:cs="Segoe UI"/>
                <w:color w:val="3D3D3D"/>
                <w:kern w:val="0"/>
                <w:sz w:val="21"/>
                <w:szCs w:val="21"/>
                <w:lang w:eastAsia="en-GB"/>
                <w14:ligatures w14:val="none"/>
              </w:rPr>
            </w:pPr>
            <w:r w:rsidRPr="00A60887">
              <w:rPr>
                <w:rFonts w:ascii="Segoe UI" w:eastAsia="Times New Roman" w:hAnsi="Segoe UI" w:cs="Segoe UI"/>
                <w:color w:val="3D3D3D"/>
                <w:kern w:val="0"/>
                <w:sz w:val="21"/>
                <w:szCs w:val="21"/>
                <w:lang w:eastAsia="en-GB"/>
                <w14:ligatures w14:val="none"/>
              </w:rPr>
              <w:t>Supplier relationships</w:t>
            </w:r>
          </w:p>
        </w:tc>
        <w:tc>
          <w:tcPr>
            <w:tcW w:w="0" w:type="auto"/>
            <w:tcBorders>
              <w:top w:val="single" w:sz="24" w:space="0" w:color="EFEFEF"/>
              <w:left w:val="single" w:sz="24" w:space="0" w:color="EFEFEF"/>
              <w:bottom w:val="single" w:sz="24" w:space="0" w:color="EFEFEF"/>
              <w:right w:val="single" w:sz="24" w:space="0" w:color="EFEFEF"/>
            </w:tcBorders>
            <w:shd w:val="clear" w:color="auto" w:fill="FFFFFF"/>
            <w:tcMar>
              <w:top w:w="150" w:type="dxa"/>
              <w:left w:w="240" w:type="dxa"/>
              <w:bottom w:w="150" w:type="dxa"/>
              <w:right w:w="240" w:type="dxa"/>
            </w:tcMar>
            <w:vAlign w:val="center"/>
            <w:hideMark/>
          </w:tcPr>
          <w:p w14:paraId="3F326D45" w14:textId="77777777" w:rsidR="003F20D5" w:rsidRPr="00A60887" w:rsidRDefault="003F20D5" w:rsidP="003F20D5">
            <w:pPr>
              <w:spacing w:after="0" w:line="360" w:lineRule="auto"/>
              <w:rPr>
                <w:rFonts w:ascii="Segoe UI" w:eastAsia="Times New Roman" w:hAnsi="Segoe UI" w:cs="Segoe UI"/>
                <w:color w:val="3D3D3D"/>
                <w:kern w:val="0"/>
                <w:sz w:val="21"/>
                <w:szCs w:val="21"/>
                <w:lang w:eastAsia="en-GB"/>
                <w14:ligatures w14:val="none"/>
              </w:rPr>
            </w:pPr>
            <w:r w:rsidRPr="00A60887">
              <w:rPr>
                <w:rFonts w:ascii="Segoe UI" w:eastAsia="Times New Roman" w:hAnsi="Segoe UI" w:cs="Segoe UI"/>
                <w:color w:val="3D3D3D"/>
                <w:kern w:val="0"/>
                <w:sz w:val="21"/>
                <w:szCs w:val="21"/>
                <w:lang w:eastAsia="en-GB"/>
                <w14:ligatures w14:val="none"/>
              </w:rPr>
              <w:t>Support cost, quality and continuity. Their contribution depends on visibility, resilience and effective oversight.</w:t>
            </w:r>
          </w:p>
        </w:tc>
      </w:tr>
    </w:tbl>
    <w:p w14:paraId="5DD2B5BB" w14:textId="77777777" w:rsidR="00CE50FD" w:rsidRPr="007540DF" w:rsidRDefault="00CE50FD" w:rsidP="001725A3">
      <w:pPr>
        <w:spacing w:line="360" w:lineRule="auto"/>
        <w:jc w:val="both"/>
        <w:rPr>
          <w:rFonts w:ascii="Arial" w:hAnsi="Arial" w:cs="Arial"/>
          <w:sz w:val="22"/>
          <w:szCs w:val="22"/>
        </w:rPr>
      </w:pPr>
    </w:p>
    <w:p w14:paraId="699ED2D9" w14:textId="031E3295" w:rsidR="007540DF" w:rsidRPr="007540DF" w:rsidRDefault="001725A3" w:rsidP="001725A3">
      <w:pPr>
        <w:spacing w:line="360" w:lineRule="auto"/>
        <w:jc w:val="both"/>
        <w:rPr>
          <w:rFonts w:ascii="Arial" w:hAnsi="Arial" w:cs="Arial"/>
          <w:sz w:val="22"/>
          <w:szCs w:val="22"/>
        </w:rPr>
      </w:pPr>
      <w:r w:rsidRPr="001725A3">
        <w:rPr>
          <w:rFonts w:ascii="Arial" w:hAnsi="Arial" w:cs="Arial"/>
          <w:sz w:val="22"/>
          <w:szCs w:val="22"/>
        </w:rPr>
        <w:t>The best opportunity for NEXT is to bring its brand, channels, data and operations together. Information is only useful if it helps you make better decisions, and a store network is only useful if you can leverage it to serve your customers and connect it with the digital channels.</w:t>
      </w:r>
    </w:p>
    <w:p w14:paraId="0D0BB497" w14:textId="77777777" w:rsidR="007540DF" w:rsidRPr="003F20D5" w:rsidRDefault="007540DF" w:rsidP="003F20D5">
      <w:pPr>
        <w:pStyle w:val="Heading5"/>
        <w:rPr>
          <w:rFonts w:ascii="Arial" w:hAnsi="Arial" w:cs="Arial"/>
          <w:color w:val="auto"/>
          <w:sz w:val="22"/>
          <w:szCs w:val="22"/>
        </w:rPr>
      </w:pPr>
      <w:bookmarkStart w:id="4" w:name="_Toc243474955"/>
      <w:r w:rsidRPr="003F20D5">
        <w:rPr>
          <w:rFonts w:ascii="Arial" w:hAnsi="Arial" w:cs="Arial"/>
          <w:color w:val="auto"/>
          <w:sz w:val="22"/>
          <w:szCs w:val="22"/>
        </w:rPr>
        <w:t>4. SWOT Analysis</w:t>
      </w:r>
      <w:bookmarkEnd w:id="4"/>
    </w:p>
    <w:tbl>
      <w:tblPr>
        <w:tblW w:w="9045" w:type="dxa"/>
        <w:tblInd w:w="-30" w:type="dxa"/>
        <w:tblBorders>
          <w:top w:val="single" w:sz="2" w:space="0" w:color="auto"/>
          <w:left w:val="single" w:sz="2" w:space="0" w:color="auto"/>
          <w:bottom w:val="single" w:sz="2" w:space="0" w:color="auto"/>
          <w:right w:val="single" w:sz="2" w:space="0" w:color="auto"/>
        </w:tblBorders>
        <w:shd w:val="clear" w:color="auto" w:fill="FFFFFF"/>
        <w:tblCellMar>
          <w:left w:w="0" w:type="dxa"/>
          <w:right w:w="0" w:type="dxa"/>
        </w:tblCellMar>
        <w:tblLook w:val="04A0" w:firstRow="1" w:lastRow="0" w:firstColumn="1" w:lastColumn="0" w:noHBand="0" w:noVBand="1"/>
      </w:tblPr>
      <w:tblGrid>
        <w:gridCol w:w="3421"/>
        <w:gridCol w:w="5624"/>
      </w:tblGrid>
      <w:tr w:rsidR="00CE50FD" w:rsidRPr="00A60887" w14:paraId="786F0AB7" w14:textId="77777777" w:rsidTr="001725A3">
        <w:trPr>
          <w:trHeight w:val="329"/>
          <w:tblHeader/>
        </w:trPr>
        <w:tc>
          <w:tcPr>
            <w:tcW w:w="0" w:type="auto"/>
            <w:tcBorders>
              <w:top w:val="single" w:sz="24" w:space="0" w:color="EFEFEF"/>
              <w:left w:val="single" w:sz="24" w:space="0" w:color="EFEFEF"/>
              <w:bottom w:val="single" w:sz="24" w:space="0" w:color="EFEFEF"/>
              <w:right w:val="single" w:sz="24" w:space="0" w:color="EFEFEF"/>
            </w:tcBorders>
            <w:shd w:val="clear" w:color="auto" w:fill="FFFFFF"/>
            <w:tcMar>
              <w:top w:w="0" w:type="dxa"/>
              <w:left w:w="0" w:type="dxa"/>
              <w:bottom w:w="150" w:type="dxa"/>
              <w:right w:w="240" w:type="dxa"/>
            </w:tcMar>
            <w:vAlign w:val="bottom"/>
            <w:hideMark/>
          </w:tcPr>
          <w:p w14:paraId="480625DC" w14:textId="77777777" w:rsidR="00CE50FD" w:rsidRPr="00A60887" w:rsidRDefault="00CE50FD" w:rsidP="001725A3">
            <w:pPr>
              <w:spacing w:after="0" w:line="360" w:lineRule="auto"/>
              <w:rPr>
                <w:rFonts w:ascii="Segoe UI" w:eastAsia="Times New Roman" w:hAnsi="Segoe UI" w:cs="Segoe UI"/>
                <w:b/>
                <w:bCs/>
                <w:color w:val="0A0A0A"/>
                <w:kern w:val="0"/>
                <w:sz w:val="21"/>
                <w:szCs w:val="21"/>
                <w:lang w:eastAsia="en-GB"/>
                <w14:ligatures w14:val="none"/>
              </w:rPr>
            </w:pPr>
            <w:r w:rsidRPr="00A60887">
              <w:rPr>
                <w:rFonts w:ascii="Segoe UI" w:eastAsia="Times New Roman" w:hAnsi="Segoe UI" w:cs="Segoe UI"/>
                <w:b/>
                <w:bCs/>
                <w:color w:val="0A0A0A"/>
                <w:kern w:val="0"/>
                <w:sz w:val="21"/>
                <w:szCs w:val="21"/>
                <w:lang w:eastAsia="en-GB"/>
                <w14:ligatures w14:val="none"/>
              </w:rPr>
              <w:t>Strengths</w:t>
            </w:r>
          </w:p>
        </w:tc>
        <w:tc>
          <w:tcPr>
            <w:tcW w:w="0" w:type="auto"/>
            <w:tcBorders>
              <w:top w:val="single" w:sz="24" w:space="0" w:color="EFEFEF"/>
              <w:left w:val="single" w:sz="24" w:space="0" w:color="EFEFEF"/>
              <w:bottom w:val="single" w:sz="24" w:space="0" w:color="EFEFEF"/>
              <w:right w:val="single" w:sz="24" w:space="0" w:color="EFEFEF"/>
            </w:tcBorders>
            <w:shd w:val="clear" w:color="auto" w:fill="FFFFFF"/>
            <w:tcMar>
              <w:top w:w="0" w:type="dxa"/>
              <w:left w:w="240" w:type="dxa"/>
              <w:bottom w:w="150" w:type="dxa"/>
              <w:right w:w="240" w:type="dxa"/>
            </w:tcMar>
            <w:vAlign w:val="bottom"/>
            <w:hideMark/>
          </w:tcPr>
          <w:p w14:paraId="2EE73F2A" w14:textId="77777777" w:rsidR="00CE50FD" w:rsidRPr="00A60887" w:rsidRDefault="00CE50FD" w:rsidP="001725A3">
            <w:pPr>
              <w:spacing w:after="0" w:line="360" w:lineRule="auto"/>
              <w:rPr>
                <w:rFonts w:ascii="Segoe UI" w:eastAsia="Times New Roman" w:hAnsi="Segoe UI" w:cs="Segoe UI"/>
                <w:b/>
                <w:bCs/>
                <w:color w:val="0A0A0A"/>
                <w:kern w:val="0"/>
                <w:sz w:val="21"/>
                <w:szCs w:val="21"/>
                <w:lang w:eastAsia="en-GB"/>
                <w14:ligatures w14:val="none"/>
              </w:rPr>
            </w:pPr>
            <w:r w:rsidRPr="00A60887">
              <w:rPr>
                <w:rFonts w:ascii="Segoe UI" w:eastAsia="Times New Roman" w:hAnsi="Segoe UI" w:cs="Segoe UI"/>
                <w:b/>
                <w:bCs/>
                <w:color w:val="0A0A0A"/>
                <w:kern w:val="0"/>
                <w:sz w:val="21"/>
                <w:szCs w:val="21"/>
                <w:bdr w:val="single" w:sz="2" w:space="0" w:color="E4E4E7" w:frame="1"/>
                <w:lang w:eastAsia="en-GB"/>
                <w14:ligatures w14:val="none"/>
              </w:rPr>
              <w:t>Weaknesses</w:t>
            </w:r>
          </w:p>
        </w:tc>
      </w:tr>
      <w:tr w:rsidR="00CE50FD" w:rsidRPr="00A60887" w14:paraId="3AB8C30E" w14:textId="77777777" w:rsidTr="001725A3">
        <w:trPr>
          <w:trHeight w:val="638"/>
        </w:trPr>
        <w:tc>
          <w:tcPr>
            <w:tcW w:w="0" w:type="auto"/>
            <w:tcBorders>
              <w:top w:val="single" w:sz="24" w:space="0" w:color="EFEFEF"/>
              <w:left w:val="single" w:sz="24" w:space="0" w:color="EFEFEF"/>
              <w:bottom w:val="single" w:sz="24" w:space="0" w:color="EFEFEF"/>
              <w:right w:val="single" w:sz="24" w:space="0" w:color="EFEFEF"/>
            </w:tcBorders>
            <w:shd w:val="clear" w:color="auto" w:fill="FFFFFF"/>
            <w:tcMar>
              <w:top w:w="150" w:type="dxa"/>
              <w:left w:w="0" w:type="dxa"/>
              <w:bottom w:w="150" w:type="dxa"/>
              <w:right w:w="240" w:type="dxa"/>
            </w:tcMar>
            <w:vAlign w:val="center"/>
            <w:hideMark/>
          </w:tcPr>
          <w:p w14:paraId="56FB143A" w14:textId="77777777" w:rsidR="00CE50FD" w:rsidRPr="00A60887" w:rsidRDefault="00CE50FD" w:rsidP="001725A3">
            <w:pPr>
              <w:spacing w:after="0" w:line="360" w:lineRule="auto"/>
              <w:rPr>
                <w:rFonts w:ascii="Segoe UI" w:eastAsia="Times New Roman" w:hAnsi="Segoe UI" w:cs="Segoe UI"/>
                <w:color w:val="3D3D3D"/>
                <w:kern w:val="0"/>
                <w:sz w:val="21"/>
                <w:szCs w:val="21"/>
                <w:lang w:eastAsia="en-GB"/>
                <w14:ligatures w14:val="none"/>
              </w:rPr>
            </w:pPr>
            <w:r w:rsidRPr="00A60887">
              <w:rPr>
                <w:rFonts w:ascii="Segoe UI" w:eastAsia="Times New Roman" w:hAnsi="Segoe UI" w:cs="Segoe UI"/>
                <w:color w:val="3D3D3D"/>
                <w:kern w:val="0"/>
                <w:sz w:val="21"/>
                <w:szCs w:val="21"/>
                <w:lang w:eastAsia="en-GB"/>
                <w14:ligatures w14:val="none"/>
              </w:rPr>
              <w:t>Recognised UK brand and established customer base.</w:t>
            </w:r>
          </w:p>
        </w:tc>
        <w:tc>
          <w:tcPr>
            <w:tcW w:w="0" w:type="auto"/>
            <w:tcBorders>
              <w:top w:val="single" w:sz="24" w:space="0" w:color="EFEFEF"/>
              <w:left w:val="single" w:sz="24" w:space="0" w:color="EFEFEF"/>
              <w:bottom w:val="single" w:sz="24" w:space="0" w:color="EFEFEF"/>
              <w:right w:val="single" w:sz="24" w:space="0" w:color="EFEFEF"/>
            </w:tcBorders>
            <w:shd w:val="clear" w:color="auto" w:fill="FFFFFF"/>
            <w:tcMar>
              <w:top w:w="150" w:type="dxa"/>
              <w:left w:w="240" w:type="dxa"/>
              <w:bottom w:w="150" w:type="dxa"/>
              <w:right w:w="240" w:type="dxa"/>
            </w:tcMar>
            <w:vAlign w:val="center"/>
            <w:hideMark/>
          </w:tcPr>
          <w:p w14:paraId="7943D7BF" w14:textId="77777777" w:rsidR="00CE50FD" w:rsidRPr="00A60887" w:rsidRDefault="00CE50FD" w:rsidP="001725A3">
            <w:pPr>
              <w:spacing w:after="0" w:line="360" w:lineRule="auto"/>
              <w:rPr>
                <w:rFonts w:ascii="Segoe UI" w:eastAsia="Times New Roman" w:hAnsi="Segoe UI" w:cs="Segoe UI"/>
                <w:color w:val="3D3D3D"/>
                <w:kern w:val="0"/>
                <w:sz w:val="21"/>
                <w:szCs w:val="21"/>
                <w:lang w:eastAsia="en-GB"/>
                <w14:ligatures w14:val="none"/>
              </w:rPr>
            </w:pPr>
            <w:r w:rsidRPr="00A60887">
              <w:rPr>
                <w:rFonts w:ascii="Segoe UI" w:eastAsia="Times New Roman" w:hAnsi="Segoe UI" w:cs="Segoe UI"/>
                <w:color w:val="3D3D3D"/>
                <w:kern w:val="0"/>
                <w:sz w:val="21"/>
                <w:szCs w:val="21"/>
                <w:lang w:eastAsia="en-GB"/>
                <w14:ligatures w14:val="none"/>
              </w:rPr>
              <w:t>Exposure to a mature and competitive home market.</w:t>
            </w:r>
          </w:p>
        </w:tc>
      </w:tr>
      <w:tr w:rsidR="00CE50FD" w:rsidRPr="00A60887" w14:paraId="20B33F77" w14:textId="77777777" w:rsidTr="001725A3">
        <w:trPr>
          <w:trHeight w:val="638"/>
        </w:trPr>
        <w:tc>
          <w:tcPr>
            <w:tcW w:w="0" w:type="auto"/>
            <w:tcBorders>
              <w:top w:val="single" w:sz="24" w:space="0" w:color="EFEFEF"/>
              <w:left w:val="single" w:sz="24" w:space="0" w:color="EFEFEF"/>
              <w:bottom w:val="single" w:sz="24" w:space="0" w:color="EFEFEF"/>
              <w:right w:val="single" w:sz="24" w:space="0" w:color="EFEFEF"/>
            </w:tcBorders>
            <w:shd w:val="clear" w:color="auto" w:fill="FFFFFF"/>
            <w:tcMar>
              <w:top w:w="150" w:type="dxa"/>
              <w:left w:w="0" w:type="dxa"/>
              <w:bottom w:w="150" w:type="dxa"/>
              <w:right w:w="240" w:type="dxa"/>
            </w:tcMar>
            <w:vAlign w:val="center"/>
            <w:hideMark/>
          </w:tcPr>
          <w:p w14:paraId="5D1FD5E9" w14:textId="77777777" w:rsidR="00CE50FD" w:rsidRPr="00A60887" w:rsidRDefault="00CE50FD" w:rsidP="001725A3">
            <w:pPr>
              <w:spacing w:after="0" w:line="360" w:lineRule="auto"/>
              <w:rPr>
                <w:rFonts w:ascii="Segoe UI" w:eastAsia="Times New Roman" w:hAnsi="Segoe UI" w:cs="Segoe UI"/>
                <w:color w:val="3D3D3D"/>
                <w:kern w:val="0"/>
                <w:sz w:val="21"/>
                <w:szCs w:val="21"/>
                <w:lang w:eastAsia="en-GB"/>
                <w14:ligatures w14:val="none"/>
              </w:rPr>
            </w:pPr>
            <w:r w:rsidRPr="00A60887">
              <w:rPr>
                <w:rFonts w:ascii="Segoe UI" w:eastAsia="Times New Roman" w:hAnsi="Segoe UI" w:cs="Segoe UI"/>
                <w:color w:val="3D3D3D"/>
                <w:kern w:val="0"/>
                <w:sz w:val="21"/>
                <w:szCs w:val="21"/>
                <w:lang w:eastAsia="en-GB"/>
                <w14:ligatures w14:val="none"/>
              </w:rPr>
              <w:t>Physical stores alongside established digital operations.</w:t>
            </w:r>
          </w:p>
        </w:tc>
        <w:tc>
          <w:tcPr>
            <w:tcW w:w="0" w:type="auto"/>
            <w:tcBorders>
              <w:top w:val="single" w:sz="24" w:space="0" w:color="EFEFEF"/>
              <w:left w:val="single" w:sz="24" w:space="0" w:color="EFEFEF"/>
              <w:bottom w:val="single" w:sz="24" w:space="0" w:color="EFEFEF"/>
              <w:right w:val="single" w:sz="24" w:space="0" w:color="EFEFEF"/>
            </w:tcBorders>
            <w:shd w:val="clear" w:color="auto" w:fill="FFFFFF"/>
            <w:tcMar>
              <w:top w:w="150" w:type="dxa"/>
              <w:left w:w="240" w:type="dxa"/>
              <w:bottom w:w="150" w:type="dxa"/>
              <w:right w:w="240" w:type="dxa"/>
            </w:tcMar>
            <w:vAlign w:val="center"/>
            <w:hideMark/>
          </w:tcPr>
          <w:p w14:paraId="295E4614" w14:textId="77777777" w:rsidR="00CE50FD" w:rsidRPr="00A60887" w:rsidRDefault="00CE50FD" w:rsidP="001725A3">
            <w:pPr>
              <w:spacing w:after="0" w:line="360" w:lineRule="auto"/>
              <w:rPr>
                <w:rFonts w:ascii="Segoe UI" w:eastAsia="Times New Roman" w:hAnsi="Segoe UI" w:cs="Segoe UI"/>
                <w:color w:val="3D3D3D"/>
                <w:kern w:val="0"/>
                <w:sz w:val="21"/>
                <w:szCs w:val="21"/>
                <w:lang w:eastAsia="en-GB"/>
                <w14:ligatures w14:val="none"/>
              </w:rPr>
            </w:pPr>
            <w:r w:rsidRPr="00A60887">
              <w:rPr>
                <w:rFonts w:ascii="Segoe UI" w:eastAsia="Times New Roman" w:hAnsi="Segoe UI" w:cs="Segoe UI"/>
                <w:color w:val="3D3D3D"/>
                <w:kern w:val="0"/>
                <w:sz w:val="21"/>
                <w:szCs w:val="21"/>
                <w:lang w:eastAsia="en-GB"/>
                <w14:ligatures w14:val="none"/>
              </w:rPr>
              <w:t>Scale and complexity may make rapid change difficult.</w:t>
            </w:r>
          </w:p>
        </w:tc>
      </w:tr>
      <w:tr w:rsidR="00CE50FD" w:rsidRPr="00A60887" w14:paraId="1813C273" w14:textId="77777777" w:rsidTr="001725A3">
        <w:trPr>
          <w:trHeight w:val="638"/>
        </w:trPr>
        <w:tc>
          <w:tcPr>
            <w:tcW w:w="0" w:type="auto"/>
            <w:tcBorders>
              <w:top w:val="single" w:sz="24" w:space="0" w:color="EFEFEF"/>
              <w:left w:val="single" w:sz="24" w:space="0" w:color="EFEFEF"/>
              <w:bottom w:val="single" w:sz="24" w:space="0" w:color="EFEFEF"/>
              <w:right w:val="single" w:sz="24" w:space="0" w:color="EFEFEF"/>
            </w:tcBorders>
            <w:shd w:val="clear" w:color="auto" w:fill="FFFFFF"/>
            <w:tcMar>
              <w:top w:w="150" w:type="dxa"/>
              <w:left w:w="0" w:type="dxa"/>
              <w:bottom w:w="150" w:type="dxa"/>
              <w:right w:w="240" w:type="dxa"/>
            </w:tcMar>
            <w:vAlign w:val="center"/>
            <w:hideMark/>
          </w:tcPr>
          <w:p w14:paraId="179675AD" w14:textId="77777777" w:rsidR="00CE50FD" w:rsidRPr="00A60887" w:rsidRDefault="00CE50FD" w:rsidP="001725A3">
            <w:pPr>
              <w:spacing w:after="0" w:line="360" w:lineRule="auto"/>
              <w:rPr>
                <w:rFonts w:ascii="Segoe UI" w:eastAsia="Times New Roman" w:hAnsi="Segoe UI" w:cs="Segoe UI"/>
                <w:color w:val="3D3D3D"/>
                <w:kern w:val="0"/>
                <w:sz w:val="21"/>
                <w:szCs w:val="21"/>
                <w:lang w:eastAsia="en-GB"/>
                <w14:ligatures w14:val="none"/>
              </w:rPr>
            </w:pPr>
            <w:r w:rsidRPr="00A60887">
              <w:rPr>
                <w:rFonts w:ascii="Segoe UI" w:eastAsia="Times New Roman" w:hAnsi="Segoe UI" w:cs="Segoe UI"/>
                <w:color w:val="3D3D3D"/>
                <w:kern w:val="0"/>
                <w:sz w:val="21"/>
                <w:szCs w:val="21"/>
                <w:lang w:eastAsia="en-GB"/>
                <w14:ligatures w14:val="none"/>
              </w:rPr>
              <w:t>Retail, fulfilment and sourcing experience.</w:t>
            </w:r>
          </w:p>
        </w:tc>
        <w:tc>
          <w:tcPr>
            <w:tcW w:w="0" w:type="auto"/>
            <w:tcBorders>
              <w:top w:val="single" w:sz="24" w:space="0" w:color="EFEFEF"/>
              <w:left w:val="single" w:sz="24" w:space="0" w:color="EFEFEF"/>
              <w:bottom w:val="single" w:sz="24" w:space="0" w:color="EFEFEF"/>
              <w:right w:val="single" w:sz="24" w:space="0" w:color="EFEFEF"/>
            </w:tcBorders>
            <w:shd w:val="clear" w:color="auto" w:fill="FFFFFF"/>
            <w:tcMar>
              <w:top w:w="150" w:type="dxa"/>
              <w:left w:w="240" w:type="dxa"/>
              <w:bottom w:w="150" w:type="dxa"/>
              <w:right w:w="240" w:type="dxa"/>
            </w:tcMar>
            <w:vAlign w:val="center"/>
            <w:hideMark/>
          </w:tcPr>
          <w:p w14:paraId="022D1F3B" w14:textId="77777777" w:rsidR="00CE50FD" w:rsidRPr="00A60887" w:rsidRDefault="00CE50FD" w:rsidP="001725A3">
            <w:pPr>
              <w:spacing w:after="0" w:line="360" w:lineRule="auto"/>
              <w:rPr>
                <w:rFonts w:ascii="Segoe UI" w:eastAsia="Times New Roman" w:hAnsi="Segoe UI" w:cs="Segoe UI"/>
                <w:color w:val="3D3D3D"/>
                <w:kern w:val="0"/>
                <w:sz w:val="21"/>
                <w:szCs w:val="21"/>
                <w:lang w:eastAsia="en-GB"/>
                <w14:ligatures w14:val="none"/>
              </w:rPr>
            </w:pPr>
            <w:r w:rsidRPr="00A60887">
              <w:rPr>
                <w:rFonts w:ascii="Segoe UI" w:eastAsia="Times New Roman" w:hAnsi="Segoe UI" w:cs="Segoe UI"/>
                <w:color w:val="3D3D3D"/>
                <w:kern w:val="0"/>
                <w:sz w:val="21"/>
                <w:szCs w:val="21"/>
                <w:lang w:eastAsia="en-GB"/>
                <w14:ligatures w14:val="none"/>
              </w:rPr>
              <w:t>Demand uncertainty creates risk of excess stock or shortages.</w:t>
            </w:r>
          </w:p>
        </w:tc>
      </w:tr>
      <w:tr w:rsidR="00CE50FD" w:rsidRPr="00A60887" w14:paraId="754FD26C" w14:textId="77777777" w:rsidTr="001725A3">
        <w:trPr>
          <w:trHeight w:val="626"/>
        </w:trPr>
        <w:tc>
          <w:tcPr>
            <w:tcW w:w="0" w:type="auto"/>
            <w:tcBorders>
              <w:top w:val="single" w:sz="24" w:space="0" w:color="EFEFEF"/>
              <w:left w:val="single" w:sz="24" w:space="0" w:color="EFEFEF"/>
              <w:bottom w:val="single" w:sz="24" w:space="0" w:color="EFEFEF"/>
              <w:right w:val="single" w:sz="24" w:space="0" w:color="EFEFEF"/>
            </w:tcBorders>
            <w:shd w:val="clear" w:color="auto" w:fill="FFFFFF"/>
            <w:tcMar>
              <w:top w:w="150" w:type="dxa"/>
              <w:left w:w="0" w:type="dxa"/>
              <w:bottom w:w="150" w:type="dxa"/>
              <w:right w:w="240" w:type="dxa"/>
            </w:tcMar>
            <w:vAlign w:val="center"/>
            <w:hideMark/>
          </w:tcPr>
          <w:p w14:paraId="4917691B" w14:textId="77777777" w:rsidR="00CE50FD" w:rsidRPr="00A60887" w:rsidRDefault="00CE50FD" w:rsidP="001725A3">
            <w:pPr>
              <w:spacing w:after="0" w:line="360" w:lineRule="auto"/>
              <w:rPr>
                <w:rFonts w:ascii="Segoe UI" w:eastAsia="Times New Roman" w:hAnsi="Segoe UI" w:cs="Segoe UI"/>
                <w:color w:val="3D3D3D"/>
                <w:kern w:val="0"/>
                <w:sz w:val="21"/>
                <w:szCs w:val="21"/>
                <w:lang w:eastAsia="en-GB"/>
                <w14:ligatures w14:val="none"/>
              </w:rPr>
            </w:pPr>
            <w:r w:rsidRPr="00A60887">
              <w:rPr>
                <w:rFonts w:ascii="Segoe UI" w:eastAsia="Times New Roman" w:hAnsi="Segoe UI" w:cs="Segoe UI"/>
                <w:color w:val="3D3D3D"/>
                <w:kern w:val="0"/>
                <w:sz w:val="21"/>
                <w:szCs w:val="21"/>
                <w:lang w:eastAsia="en-GB"/>
                <w14:ligatures w14:val="none"/>
              </w:rPr>
              <w:t>Potential to use customer and trading data.</w:t>
            </w:r>
          </w:p>
        </w:tc>
        <w:tc>
          <w:tcPr>
            <w:tcW w:w="0" w:type="auto"/>
            <w:tcBorders>
              <w:top w:val="single" w:sz="24" w:space="0" w:color="EFEFEF"/>
              <w:left w:val="single" w:sz="24" w:space="0" w:color="EFEFEF"/>
              <w:bottom w:val="single" w:sz="24" w:space="0" w:color="EFEFEF"/>
              <w:right w:val="single" w:sz="24" w:space="0" w:color="EFEFEF"/>
            </w:tcBorders>
            <w:shd w:val="clear" w:color="auto" w:fill="FFFFFF"/>
            <w:tcMar>
              <w:top w:w="150" w:type="dxa"/>
              <w:left w:w="240" w:type="dxa"/>
              <w:bottom w:w="150" w:type="dxa"/>
              <w:right w:w="240" w:type="dxa"/>
            </w:tcMar>
            <w:vAlign w:val="center"/>
            <w:hideMark/>
          </w:tcPr>
          <w:p w14:paraId="22280B8D" w14:textId="77777777" w:rsidR="00CE50FD" w:rsidRPr="00A60887" w:rsidRDefault="00CE50FD" w:rsidP="001725A3">
            <w:pPr>
              <w:spacing w:after="0" w:line="360" w:lineRule="auto"/>
              <w:rPr>
                <w:rFonts w:ascii="Segoe UI" w:eastAsia="Times New Roman" w:hAnsi="Segoe UI" w:cs="Segoe UI"/>
                <w:color w:val="3D3D3D"/>
                <w:kern w:val="0"/>
                <w:sz w:val="21"/>
                <w:szCs w:val="21"/>
                <w:lang w:eastAsia="en-GB"/>
                <w14:ligatures w14:val="none"/>
              </w:rPr>
            </w:pPr>
            <w:r w:rsidRPr="00A60887">
              <w:rPr>
                <w:rFonts w:ascii="Segoe UI" w:eastAsia="Times New Roman" w:hAnsi="Segoe UI" w:cs="Segoe UI"/>
                <w:color w:val="3D3D3D"/>
                <w:kern w:val="0"/>
                <w:sz w:val="21"/>
                <w:szCs w:val="21"/>
                <w:lang w:eastAsia="en-GB"/>
                <w14:ligatures w14:val="none"/>
              </w:rPr>
              <w:t>Supply-chain and environmental performance can be difficult to monitor across multiple tiers.</w:t>
            </w:r>
          </w:p>
        </w:tc>
      </w:tr>
    </w:tbl>
    <w:p w14:paraId="5C786491" w14:textId="77777777" w:rsidR="00CE50FD" w:rsidRDefault="00CE50FD" w:rsidP="001725A3">
      <w:pPr>
        <w:spacing w:line="360" w:lineRule="auto"/>
        <w:jc w:val="both"/>
        <w:rPr>
          <w:rFonts w:ascii="Arial" w:hAnsi="Arial" w:cs="Arial"/>
          <w:sz w:val="22"/>
          <w:szCs w:val="22"/>
        </w:rPr>
      </w:pPr>
    </w:p>
    <w:tbl>
      <w:tblPr>
        <w:tblW w:w="9054" w:type="dxa"/>
        <w:tblInd w:w="-30" w:type="dxa"/>
        <w:tblBorders>
          <w:top w:val="single" w:sz="2" w:space="0" w:color="auto"/>
          <w:left w:val="single" w:sz="2" w:space="0" w:color="auto"/>
          <w:bottom w:val="single" w:sz="2" w:space="0" w:color="auto"/>
          <w:right w:val="single" w:sz="2" w:space="0" w:color="auto"/>
        </w:tblBorders>
        <w:shd w:val="clear" w:color="auto" w:fill="FFFFFF"/>
        <w:tblCellMar>
          <w:left w:w="0" w:type="dxa"/>
          <w:right w:w="0" w:type="dxa"/>
        </w:tblCellMar>
        <w:tblLook w:val="04A0" w:firstRow="1" w:lastRow="0" w:firstColumn="1" w:lastColumn="0" w:noHBand="0" w:noVBand="1"/>
      </w:tblPr>
      <w:tblGrid>
        <w:gridCol w:w="4365"/>
        <w:gridCol w:w="4689"/>
      </w:tblGrid>
      <w:tr w:rsidR="00CE50FD" w:rsidRPr="00A60887" w14:paraId="4D43B6D5" w14:textId="77777777" w:rsidTr="00CE50FD">
        <w:trPr>
          <w:trHeight w:val="302"/>
          <w:tblHeader/>
        </w:trPr>
        <w:tc>
          <w:tcPr>
            <w:tcW w:w="0" w:type="auto"/>
            <w:tcBorders>
              <w:top w:val="single" w:sz="24" w:space="0" w:color="EFEFEF"/>
              <w:left w:val="single" w:sz="24" w:space="0" w:color="EFEFEF"/>
              <w:bottom w:val="single" w:sz="24" w:space="0" w:color="EFEFEF"/>
              <w:right w:val="single" w:sz="24" w:space="0" w:color="EFEFEF"/>
            </w:tcBorders>
            <w:shd w:val="clear" w:color="auto" w:fill="FFFFFF"/>
            <w:tcMar>
              <w:top w:w="0" w:type="dxa"/>
              <w:left w:w="0" w:type="dxa"/>
              <w:bottom w:w="150" w:type="dxa"/>
              <w:right w:w="240" w:type="dxa"/>
            </w:tcMar>
            <w:vAlign w:val="bottom"/>
            <w:hideMark/>
          </w:tcPr>
          <w:p w14:paraId="0C2D56D5" w14:textId="77777777" w:rsidR="00CE50FD" w:rsidRPr="00A60887" w:rsidRDefault="00CE50FD" w:rsidP="001725A3">
            <w:pPr>
              <w:spacing w:after="0" w:line="360" w:lineRule="auto"/>
              <w:rPr>
                <w:rFonts w:ascii="Segoe UI" w:eastAsia="Times New Roman" w:hAnsi="Segoe UI" w:cs="Segoe UI"/>
                <w:b/>
                <w:bCs/>
                <w:color w:val="0A0A0A"/>
                <w:kern w:val="0"/>
                <w:sz w:val="21"/>
                <w:szCs w:val="21"/>
                <w:lang w:eastAsia="en-GB"/>
                <w14:ligatures w14:val="none"/>
              </w:rPr>
            </w:pPr>
            <w:r w:rsidRPr="00A60887">
              <w:rPr>
                <w:rFonts w:ascii="Segoe UI" w:eastAsia="Times New Roman" w:hAnsi="Segoe UI" w:cs="Segoe UI"/>
                <w:b/>
                <w:bCs/>
                <w:color w:val="0A0A0A"/>
                <w:kern w:val="0"/>
                <w:sz w:val="21"/>
                <w:szCs w:val="21"/>
                <w:lang w:eastAsia="en-GB"/>
                <w14:ligatures w14:val="none"/>
              </w:rPr>
              <w:lastRenderedPageBreak/>
              <w:t>Opportunities</w:t>
            </w:r>
          </w:p>
        </w:tc>
        <w:tc>
          <w:tcPr>
            <w:tcW w:w="0" w:type="auto"/>
            <w:tcBorders>
              <w:top w:val="single" w:sz="24" w:space="0" w:color="EFEFEF"/>
              <w:left w:val="single" w:sz="24" w:space="0" w:color="EFEFEF"/>
              <w:bottom w:val="single" w:sz="24" w:space="0" w:color="EFEFEF"/>
              <w:right w:val="single" w:sz="24" w:space="0" w:color="EFEFEF"/>
            </w:tcBorders>
            <w:shd w:val="clear" w:color="auto" w:fill="FFFFFF"/>
            <w:tcMar>
              <w:top w:w="0" w:type="dxa"/>
              <w:left w:w="240" w:type="dxa"/>
              <w:bottom w:w="150" w:type="dxa"/>
              <w:right w:w="240" w:type="dxa"/>
            </w:tcMar>
            <w:vAlign w:val="bottom"/>
            <w:hideMark/>
          </w:tcPr>
          <w:p w14:paraId="4268E5C6" w14:textId="77777777" w:rsidR="00CE50FD" w:rsidRPr="00A60887" w:rsidRDefault="00CE50FD" w:rsidP="001725A3">
            <w:pPr>
              <w:spacing w:after="0" w:line="360" w:lineRule="auto"/>
              <w:rPr>
                <w:rFonts w:ascii="Segoe UI" w:eastAsia="Times New Roman" w:hAnsi="Segoe UI" w:cs="Segoe UI"/>
                <w:b/>
                <w:bCs/>
                <w:color w:val="0A0A0A"/>
                <w:kern w:val="0"/>
                <w:sz w:val="21"/>
                <w:szCs w:val="21"/>
                <w:lang w:eastAsia="en-GB"/>
                <w14:ligatures w14:val="none"/>
              </w:rPr>
            </w:pPr>
            <w:r w:rsidRPr="00A60887">
              <w:rPr>
                <w:rFonts w:ascii="Segoe UI" w:eastAsia="Times New Roman" w:hAnsi="Segoe UI" w:cs="Segoe UI"/>
                <w:b/>
                <w:bCs/>
                <w:color w:val="0A0A0A"/>
                <w:kern w:val="0"/>
                <w:sz w:val="21"/>
                <w:szCs w:val="21"/>
                <w:bdr w:val="single" w:sz="2" w:space="0" w:color="E4E4E7" w:frame="1"/>
                <w:lang w:eastAsia="en-GB"/>
                <w14:ligatures w14:val="none"/>
              </w:rPr>
              <w:t>Threats</w:t>
            </w:r>
          </w:p>
        </w:tc>
      </w:tr>
      <w:tr w:rsidR="00CE50FD" w:rsidRPr="00A60887" w14:paraId="293113EB" w14:textId="77777777" w:rsidTr="00CE50FD">
        <w:trPr>
          <w:trHeight w:val="587"/>
        </w:trPr>
        <w:tc>
          <w:tcPr>
            <w:tcW w:w="0" w:type="auto"/>
            <w:tcBorders>
              <w:top w:val="single" w:sz="24" w:space="0" w:color="EFEFEF"/>
              <w:left w:val="single" w:sz="24" w:space="0" w:color="EFEFEF"/>
              <w:bottom w:val="single" w:sz="24" w:space="0" w:color="EFEFEF"/>
              <w:right w:val="single" w:sz="24" w:space="0" w:color="EFEFEF"/>
            </w:tcBorders>
            <w:shd w:val="clear" w:color="auto" w:fill="FFFFFF"/>
            <w:tcMar>
              <w:top w:w="150" w:type="dxa"/>
              <w:left w:w="0" w:type="dxa"/>
              <w:bottom w:w="150" w:type="dxa"/>
              <w:right w:w="240" w:type="dxa"/>
            </w:tcMar>
            <w:vAlign w:val="center"/>
            <w:hideMark/>
          </w:tcPr>
          <w:p w14:paraId="39C9F919" w14:textId="77777777" w:rsidR="00CE50FD" w:rsidRPr="00A60887" w:rsidRDefault="00CE50FD" w:rsidP="001725A3">
            <w:pPr>
              <w:spacing w:after="0" w:line="360" w:lineRule="auto"/>
              <w:rPr>
                <w:rFonts w:ascii="Segoe UI" w:eastAsia="Times New Roman" w:hAnsi="Segoe UI" w:cs="Segoe UI"/>
                <w:color w:val="3D3D3D"/>
                <w:kern w:val="0"/>
                <w:sz w:val="21"/>
                <w:szCs w:val="21"/>
                <w:lang w:eastAsia="en-GB"/>
                <w14:ligatures w14:val="none"/>
              </w:rPr>
            </w:pPr>
            <w:r w:rsidRPr="00A60887">
              <w:rPr>
                <w:rFonts w:ascii="Segoe UI" w:eastAsia="Times New Roman" w:hAnsi="Segoe UI" w:cs="Segoe UI"/>
                <w:color w:val="3D3D3D"/>
                <w:kern w:val="0"/>
                <w:sz w:val="21"/>
                <w:szCs w:val="21"/>
                <w:lang w:eastAsia="en-GB"/>
                <w14:ligatures w14:val="none"/>
              </w:rPr>
              <w:t>Improve forecasting, stock allocation and service through data and technology.</w:t>
            </w:r>
          </w:p>
        </w:tc>
        <w:tc>
          <w:tcPr>
            <w:tcW w:w="0" w:type="auto"/>
            <w:tcBorders>
              <w:top w:val="single" w:sz="24" w:space="0" w:color="EFEFEF"/>
              <w:left w:val="single" w:sz="24" w:space="0" w:color="EFEFEF"/>
              <w:bottom w:val="single" w:sz="24" w:space="0" w:color="EFEFEF"/>
              <w:right w:val="single" w:sz="24" w:space="0" w:color="EFEFEF"/>
            </w:tcBorders>
            <w:shd w:val="clear" w:color="auto" w:fill="FFFFFF"/>
            <w:tcMar>
              <w:top w:w="150" w:type="dxa"/>
              <w:left w:w="240" w:type="dxa"/>
              <w:bottom w:w="150" w:type="dxa"/>
              <w:right w:w="240" w:type="dxa"/>
            </w:tcMar>
            <w:vAlign w:val="center"/>
            <w:hideMark/>
          </w:tcPr>
          <w:p w14:paraId="14660741" w14:textId="77777777" w:rsidR="00CE50FD" w:rsidRPr="00A60887" w:rsidRDefault="00CE50FD" w:rsidP="001725A3">
            <w:pPr>
              <w:spacing w:after="0" w:line="360" w:lineRule="auto"/>
              <w:rPr>
                <w:rFonts w:ascii="Segoe UI" w:eastAsia="Times New Roman" w:hAnsi="Segoe UI" w:cs="Segoe UI"/>
                <w:color w:val="3D3D3D"/>
                <w:kern w:val="0"/>
                <w:sz w:val="21"/>
                <w:szCs w:val="21"/>
                <w:lang w:eastAsia="en-GB"/>
                <w14:ligatures w14:val="none"/>
              </w:rPr>
            </w:pPr>
            <w:r w:rsidRPr="00A60887">
              <w:rPr>
                <w:rFonts w:ascii="Segoe UI" w:eastAsia="Times New Roman" w:hAnsi="Segoe UI" w:cs="Segoe UI"/>
                <w:color w:val="3D3D3D"/>
                <w:kern w:val="0"/>
                <w:sz w:val="21"/>
                <w:szCs w:val="21"/>
                <w:lang w:eastAsia="en-GB"/>
                <w14:ligatures w14:val="none"/>
              </w:rPr>
              <w:t>Strong competition from retailers, online brands and marketplaces.</w:t>
            </w:r>
          </w:p>
        </w:tc>
      </w:tr>
      <w:tr w:rsidR="00CE50FD" w:rsidRPr="00A60887" w14:paraId="5CD4C087" w14:textId="77777777" w:rsidTr="00CE50FD">
        <w:trPr>
          <w:trHeight w:val="587"/>
        </w:trPr>
        <w:tc>
          <w:tcPr>
            <w:tcW w:w="0" w:type="auto"/>
            <w:tcBorders>
              <w:top w:val="single" w:sz="24" w:space="0" w:color="EFEFEF"/>
              <w:left w:val="single" w:sz="24" w:space="0" w:color="EFEFEF"/>
              <w:bottom w:val="single" w:sz="24" w:space="0" w:color="EFEFEF"/>
              <w:right w:val="single" w:sz="24" w:space="0" w:color="EFEFEF"/>
            </w:tcBorders>
            <w:shd w:val="clear" w:color="auto" w:fill="FFFFFF"/>
            <w:tcMar>
              <w:top w:w="150" w:type="dxa"/>
              <w:left w:w="0" w:type="dxa"/>
              <w:bottom w:w="150" w:type="dxa"/>
              <w:right w:w="240" w:type="dxa"/>
            </w:tcMar>
            <w:vAlign w:val="center"/>
            <w:hideMark/>
          </w:tcPr>
          <w:p w14:paraId="5AD5E6E6" w14:textId="77777777" w:rsidR="00CE50FD" w:rsidRPr="00A60887" w:rsidRDefault="00CE50FD" w:rsidP="001725A3">
            <w:pPr>
              <w:spacing w:after="0" w:line="360" w:lineRule="auto"/>
              <w:rPr>
                <w:rFonts w:ascii="Segoe UI" w:eastAsia="Times New Roman" w:hAnsi="Segoe UI" w:cs="Segoe UI"/>
                <w:color w:val="3D3D3D"/>
                <w:kern w:val="0"/>
                <w:sz w:val="21"/>
                <w:szCs w:val="21"/>
                <w:lang w:eastAsia="en-GB"/>
                <w14:ligatures w14:val="none"/>
              </w:rPr>
            </w:pPr>
            <w:r w:rsidRPr="00A60887">
              <w:rPr>
                <w:rFonts w:ascii="Segoe UI" w:eastAsia="Times New Roman" w:hAnsi="Segoe UI" w:cs="Segoe UI"/>
                <w:color w:val="3D3D3D"/>
                <w:kern w:val="0"/>
                <w:sz w:val="21"/>
                <w:szCs w:val="21"/>
                <w:lang w:eastAsia="en-GB"/>
                <w14:ligatures w14:val="none"/>
              </w:rPr>
              <w:t>Test resale, repair or take-back services where viable.</w:t>
            </w:r>
          </w:p>
        </w:tc>
        <w:tc>
          <w:tcPr>
            <w:tcW w:w="0" w:type="auto"/>
            <w:tcBorders>
              <w:top w:val="single" w:sz="24" w:space="0" w:color="EFEFEF"/>
              <w:left w:val="single" w:sz="24" w:space="0" w:color="EFEFEF"/>
              <w:bottom w:val="single" w:sz="24" w:space="0" w:color="EFEFEF"/>
              <w:right w:val="single" w:sz="24" w:space="0" w:color="EFEFEF"/>
            </w:tcBorders>
            <w:shd w:val="clear" w:color="auto" w:fill="FFFFFF"/>
            <w:tcMar>
              <w:top w:w="150" w:type="dxa"/>
              <w:left w:w="240" w:type="dxa"/>
              <w:bottom w:w="150" w:type="dxa"/>
              <w:right w:w="240" w:type="dxa"/>
            </w:tcMar>
            <w:vAlign w:val="center"/>
            <w:hideMark/>
          </w:tcPr>
          <w:p w14:paraId="5B07FF29" w14:textId="77777777" w:rsidR="00CE50FD" w:rsidRPr="00A60887" w:rsidRDefault="00CE50FD" w:rsidP="001725A3">
            <w:pPr>
              <w:spacing w:after="0" w:line="360" w:lineRule="auto"/>
              <w:rPr>
                <w:rFonts w:ascii="Segoe UI" w:eastAsia="Times New Roman" w:hAnsi="Segoe UI" w:cs="Segoe UI"/>
                <w:color w:val="3D3D3D"/>
                <w:kern w:val="0"/>
                <w:sz w:val="21"/>
                <w:szCs w:val="21"/>
                <w:lang w:eastAsia="en-GB"/>
                <w14:ligatures w14:val="none"/>
              </w:rPr>
            </w:pPr>
            <w:r w:rsidRPr="00A60887">
              <w:rPr>
                <w:rFonts w:ascii="Segoe UI" w:eastAsia="Times New Roman" w:hAnsi="Segoe UI" w:cs="Segoe UI"/>
                <w:color w:val="3D3D3D"/>
                <w:kern w:val="0"/>
                <w:sz w:val="21"/>
                <w:szCs w:val="21"/>
                <w:lang w:eastAsia="en-GB"/>
                <w14:ligatures w14:val="none"/>
              </w:rPr>
              <w:t>Household budget pressure may increase price sensitivity.</w:t>
            </w:r>
          </w:p>
        </w:tc>
      </w:tr>
      <w:tr w:rsidR="00CE50FD" w:rsidRPr="00A60887" w14:paraId="2E28079C" w14:textId="77777777" w:rsidTr="00CE50FD">
        <w:trPr>
          <w:trHeight w:val="587"/>
        </w:trPr>
        <w:tc>
          <w:tcPr>
            <w:tcW w:w="0" w:type="auto"/>
            <w:tcBorders>
              <w:top w:val="single" w:sz="24" w:space="0" w:color="EFEFEF"/>
              <w:left w:val="single" w:sz="24" w:space="0" w:color="EFEFEF"/>
              <w:bottom w:val="single" w:sz="24" w:space="0" w:color="EFEFEF"/>
              <w:right w:val="single" w:sz="24" w:space="0" w:color="EFEFEF"/>
            </w:tcBorders>
            <w:shd w:val="clear" w:color="auto" w:fill="FFFFFF"/>
            <w:tcMar>
              <w:top w:w="150" w:type="dxa"/>
              <w:left w:w="0" w:type="dxa"/>
              <w:bottom w:w="150" w:type="dxa"/>
              <w:right w:w="240" w:type="dxa"/>
            </w:tcMar>
            <w:vAlign w:val="center"/>
            <w:hideMark/>
          </w:tcPr>
          <w:p w14:paraId="68EAE5D0" w14:textId="77777777" w:rsidR="00CE50FD" w:rsidRPr="00A60887" w:rsidRDefault="00CE50FD" w:rsidP="001725A3">
            <w:pPr>
              <w:spacing w:after="0" w:line="360" w:lineRule="auto"/>
              <w:rPr>
                <w:rFonts w:ascii="Segoe UI" w:eastAsia="Times New Roman" w:hAnsi="Segoe UI" w:cs="Segoe UI"/>
                <w:color w:val="3D3D3D"/>
                <w:kern w:val="0"/>
                <w:sz w:val="21"/>
                <w:szCs w:val="21"/>
                <w:lang w:eastAsia="en-GB"/>
                <w14:ligatures w14:val="none"/>
              </w:rPr>
            </w:pPr>
            <w:r w:rsidRPr="00A60887">
              <w:rPr>
                <w:rFonts w:ascii="Segoe UI" w:eastAsia="Times New Roman" w:hAnsi="Segoe UI" w:cs="Segoe UI"/>
                <w:color w:val="3D3D3D"/>
                <w:kern w:val="0"/>
                <w:sz w:val="21"/>
                <w:szCs w:val="21"/>
                <w:lang w:eastAsia="en-GB"/>
                <w14:ligatures w14:val="none"/>
              </w:rPr>
              <w:t>Improve supplier visibility and resilience.</w:t>
            </w:r>
          </w:p>
        </w:tc>
        <w:tc>
          <w:tcPr>
            <w:tcW w:w="0" w:type="auto"/>
            <w:tcBorders>
              <w:top w:val="single" w:sz="24" w:space="0" w:color="EFEFEF"/>
              <w:left w:val="single" w:sz="24" w:space="0" w:color="EFEFEF"/>
              <w:bottom w:val="single" w:sz="24" w:space="0" w:color="EFEFEF"/>
              <w:right w:val="single" w:sz="24" w:space="0" w:color="EFEFEF"/>
            </w:tcBorders>
            <w:shd w:val="clear" w:color="auto" w:fill="FFFFFF"/>
            <w:tcMar>
              <w:top w:w="150" w:type="dxa"/>
              <w:left w:w="240" w:type="dxa"/>
              <w:bottom w:w="150" w:type="dxa"/>
              <w:right w:w="240" w:type="dxa"/>
            </w:tcMar>
            <w:vAlign w:val="center"/>
            <w:hideMark/>
          </w:tcPr>
          <w:p w14:paraId="167F568C" w14:textId="77777777" w:rsidR="00CE50FD" w:rsidRPr="00A60887" w:rsidRDefault="00CE50FD" w:rsidP="001725A3">
            <w:pPr>
              <w:spacing w:after="0" w:line="360" w:lineRule="auto"/>
              <w:rPr>
                <w:rFonts w:ascii="Segoe UI" w:eastAsia="Times New Roman" w:hAnsi="Segoe UI" w:cs="Segoe UI"/>
                <w:color w:val="3D3D3D"/>
                <w:kern w:val="0"/>
                <w:sz w:val="21"/>
                <w:szCs w:val="21"/>
                <w:lang w:eastAsia="en-GB"/>
                <w14:ligatures w14:val="none"/>
              </w:rPr>
            </w:pPr>
            <w:r w:rsidRPr="00A60887">
              <w:rPr>
                <w:rFonts w:ascii="Segoe UI" w:eastAsia="Times New Roman" w:hAnsi="Segoe UI" w:cs="Segoe UI"/>
                <w:color w:val="3D3D3D"/>
                <w:kern w:val="0"/>
                <w:sz w:val="21"/>
                <w:szCs w:val="21"/>
                <w:lang w:eastAsia="en-GB"/>
                <w14:ligatures w14:val="none"/>
              </w:rPr>
              <w:t>Disruption, geopolitical uncertainty and input-cost changes.</w:t>
            </w:r>
          </w:p>
        </w:tc>
      </w:tr>
      <w:tr w:rsidR="00CE50FD" w:rsidRPr="00A60887" w14:paraId="70FC1316" w14:textId="77777777" w:rsidTr="00CE50FD">
        <w:trPr>
          <w:trHeight w:val="587"/>
        </w:trPr>
        <w:tc>
          <w:tcPr>
            <w:tcW w:w="0" w:type="auto"/>
            <w:tcBorders>
              <w:top w:val="single" w:sz="24" w:space="0" w:color="EFEFEF"/>
              <w:left w:val="single" w:sz="24" w:space="0" w:color="EFEFEF"/>
              <w:bottom w:val="single" w:sz="24" w:space="0" w:color="EFEFEF"/>
              <w:right w:val="single" w:sz="24" w:space="0" w:color="EFEFEF"/>
            </w:tcBorders>
            <w:shd w:val="clear" w:color="auto" w:fill="FFFFFF"/>
            <w:tcMar>
              <w:top w:w="150" w:type="dxa"/>
              <w:left w:w="0" w:type="dxa"/>
              <w:bottom w:w="150" w:type="dxa"/>
              <w:right w:w="240" w:type="dxa"/>
            </w:tcMar>
            <w:vAlign w:val="center"/>
            <w:hideMark/>
          </w:tcPr>
          <w:p w14:paraId="50B8C1D7" w14:textId="77777777" w:rsidR="00CE50FD" w:rsidRPr="00A60887" w:rsidRDefault="00CE50FD" w:rsidP="001725A3">
            <w:pPr>
              <w:spacing w:after="0" w:line="360" w:lineRule="auto"/>
              <w:rPr>
                <w:rFonts w:ascii="Segoe UI" w:eastAsia="Times New Roman" w:hAnsi="Segoe UI" w:cs="Segoe UI"/>
                <w:color w:val="3D3D3D"/>
                <w:kern w:val="0"/>
                <w:sz w:val="21"/>
                <w:szCs w:val="21"/>
                <w:lang w:eastAsia="en-GB"/>
                <w14:ligatures w14:val="none"/>
              </w:rPr>
            </w:pPr>
            <w:r w:rsidRPr="00A60887">
              <w:rPr>
                <w:rFonts w:ascii="Segoe UI" w:eastAsia="Times New Roman" w:hAnsi="Segoe UI" w:cs="Segoe UI"/>
                <w:color w:val="3D3D3D"/>
                <w:kern w:val="0"/>
                <w:sz w:val="21"/>
                <w:szCs w:val="21"/>
                <w:lang w:eastAsia="en-GB"/>
                <w14:ligatures w14:val="none"/>
              </w:rPr>
              <w:t>Use connected stores and online channels to improve convenience.</w:t>
            </w:r>
          </w:p>
        </w:tc>
        <w:tc>
          <w:tcPr>
            <w:tcW w:w="0" w:type="auto"/>
            <w:tcBorders>
              <w:top w:val="single" w:sz="24" w:space="0" w:color="EFEFEF"/>
              <w:left w:val="single" w:sz="24" w:space="0" w:color="EFEFEF"/>
              <w:bottom w:val="single" w:sz="24" w:space="0" w:color="EFEFEF"/>
              <w:right w:val="single" w:sz="24" w:space="0" w:color="EFEFEF"/>
            </w:tcBorders>
            <w:shd w:val="clear" w:color="auto" w:fill="FFFFFF"/>
            <w:tcMar>
              <w:top w:w="150" w:type="dxa"/>
              <w:left w:w="240" w:type="dxa"/>
              <w:bottom w:w="150" w:type="dxa"/>
              <w:right w:w="240" w:type="dxa"/>
            </w:tcMar>
            <w:vAlign w:val="center"/>
            <w:hideMark/>
          </w:tcPr>
          <w:p w14:paraId="5AF12A99" w14:textId="77777777" w:rsidR="00CE50FD" w:rsidRPr="00A60887" w:rsidRDefault="00CE50FD" w:rsidP="001725A3">
            <w:pPr>
              <w:spacing w:after="0" w:line="360" w:lineRule="auto"/>
              <w:rPr>
                <w:rFonts w:ascii="Segoe UI" w:eastAsia="Times New Roman" w:hAnsi="Segoe UI" w:cs="Segoe UI"/>
                <w:color w:val="3D3D3D"/>
                <w:kern w:val="0"/>
                <w:sz w:val="21"/>
                <w:szCs w:val="21"/>
                <w:lang w:eastAsia="en-GB"/>
                <w14:ligatures w14:val="none"/>
              </w:rPr>
            </w:pPr>
            <w:r w:rsidRPr="00A60887">
              <w:rPr>
                <w:rFonts w:ascii="Segoe UI" w:eastAsia="Times New Roman" w:hAnsi="Segoe UI" w:cs="Segoe UI"/>
                <w:color w:val="3D3D3D"/>
                <w:kern w:val="0"/>
                <w:sz w:val="21"/>
                <w:szCs w:val="21"/>
                <w:lang w:eastAsia="en-GB"/>
                <w14:ligatures w14:val="none"/>
              </w:rPr>
              <w:t>Reputational or regulatory risk from unsupported environmental or labour claims.</w:t>
            </w:r>
          </w:p>
        </w:tc>
      </w:tr>
    </w:tbl>
    <w:p w14:paraId="76DF3977" w14:textId="77777777" w:rsidR="00CE50FD" w:rsidRDefault="00CE50FD" w:rsidP="001725A3">
      <w:pPr>
        <w:spacing w:line="360" w:lineRule="auto"/>
        <w:jc w:val="both"/>
        <w:rPr>
          <w:rFonts w:ascii="Arial" w:hAnsi="Arial" w:cs="Arial"/>
          <w:sz w:val="22"/>
          <w:szCs w:val="22"/>
        </w:rPr>
      </w:pPr>
    </w:p>
    <w:p w14:paraId="5F4B98BA" w14:textId="1A465CDE" w:rsidR="007540DF" w:rsidRPr="007540DF" w:rsidRDefault="001725A3" w:rsidP="001725A3">
      <w:pPr>
        <w:spacing w:line="360" w:lineRule="auto"/>
        <w:jc w:val="both"/>
        <w:rPr>
          <w:rFonts w:ascii="Arial" w:hAnsi="Arial" w:cs="Arial"/>
          <w:sz w:val="22"/>
          <w:szCs w:val="22"/>
        </w:rPr>
      </w:pPr>
      <w:r w:rsidRPr="001725A3">
        <w:rPr>
          <w:rFonts w:ascii="Arial" w:hAnsi="Arial" w:cs="Arial"/>
          <w:sz w:val="22"/>
          <w:szCs w:val="22"/>
        </w:rPr>
        <w:t>NEXT has capabilities that are relevant to today's challenges, but whose advantages are not guaranteed. It should leverage its scale and channel reach to maximize relevance and resilience and mitigate inventory, competitive, supply-chain risks.</w:t>
      </w:r>
    </w:p>
    <w:p w14:paraId="722F0C28" w14:textId="77777777" w:rsidR="007540DF" w:rsidRPr="003F20D5" w:rsidRDefault="007540DF" w:rsidP="003F20D5">
      <w:pPr>
        <w:pStyle w:val="Heading6"/>
        <w:rPr>
          <w:rFonts w:ascii="Arial" w:hAnsi="Arial" w:cs="Arial"/>
          <w:i w:val="0"/>
          <w:iCs w:val="0"/>
          <w:color w:val="auto"/>
          <w:sz w:val="22"/>
          <w:szCs w:val="22"/>
        </w:rPr>
      </w:pPr>
      <w:bookmarkStart w:id="5" w:name="_Toc243474956"/>
      <w:r w:rsidRPr="003F20D5">
        <w:rPr>
          <w:rFonts w:ascii="Arial" w:hAnsi="Arial" w:cs="Arial"/>
          <w:i w:val="0"/>
          <w:iCs w:val="0"/>
          <w:color w:val="auto"/>
          <w:sz w:val="22"/>
          <w:szCs w:val="22"/>
        </w:rPr>
        <w:t>5. Conclusion and Recommendations</w:t>
      </w:r>
      <w:bookmarkEnd w:id="5"/>
    </w:p>
    <w:p w14:paraId="42B55E6D" w14:textId="77777777" w:rsidR="001725A3" w:rsidRPr="001725A3" w:rsidRDefault="001725A3" w:rsidP="001725A3">
      <w:pPr>
        <w:spacing w:line="360" w:lineRule="auto"/>
        <w:jc w:val="both"/>
        <w:rPr>
          <w:rFonts w:ascii="Arial" w:hAnsi="Arial" w:cs="Arial"/>
          <w:sz w:val="22"/>
          <w:szCs w:val="22"/>
        </w:rPr>
      </w:pPr>
      <w:r w:rsidRPr="001725A3">
        <w:rPr>
          <w:rFonts w:ascii="Arial" w:hAnsi="Arial" w:cs="Arial"/>
          <w:sz w:val="22"/>
          <w:szCs w:val="22"/>
        </w:rPr>
        <w:t>NEXT's brand and retailing experience along with its offline and online presence makes it well placed. But it is beset by consumer choice, cost pressure, technological change, scrutiny of supply chains and environmental performance, as well as high rivalry. Its potential value is that it can coordinate assets, not one in particular. The right direction is adaptation that is customer-driven, backed by practices of digital capability, operational discipline and measurable responsibility.</w:t>
      </w:r>
    </w:p>
    <w:p w14:paraId="42F4507E" w14:textId="5E429565" w:rsidR="001725A3" w:rsidRPr="001725A3" w:rsidRDefault="001725A3" w:rsidP="001725A3">
      <w:pPr>
        <w:spacing w:line="360" w:lineRule="auto"/>
        <w:jc w:val="both"/>
        <w:rPr>
          <w:rFonts w:ascii="Arial" w:hAnsi="Arial" w:cs="Arial"/>
          <w:sz w:val="22"/>
          <w:szCs w:val="22"/>
        </w:rPr>
      </w:pPr>
      <w:r w:rsidRPr="001725A3">
        <w:rPr>
          <w:rFonts w:ascii="Arial" w:hAnsi="Arial" w:cs="Arial"/>
          <w:sz w:val="22"/>
          <w:szCs w:val="22"/>
        </w:rPr>
        <w:t xml:space="preserve">Enhance data-driven business planning and customer experience. NEXT should strategically invest in tools to enhance forecasting, stock allocation, product suggestions and service. Each investment should be used to solve a specific problem and have a baseline measurement. Some of the indicators which are relevant include forecast accuracy, availability, markdowns, returns and customer feedback. Customer information should be used </w:t>
      </w:r>
      <w:r w:rsidR="00246A9F" w:rsidRPr="001725A3">
        <w:rPr>
          <w:rFonts w:ascii="Arial" w:hAnsi="Arial" w:cs="Arial"/>
          <w:sz w:val="22"/>
          <w:szCs w:val="22"/>
        </w:rPr>
        <w:t>responsibly,</w:t>
      </w:r>
      <w:r w:rsidRPr="001725A3">
        <w:rPr>
          <w:rFonts w:ascii="Arial" w:hAnsi="Arial" w:cs="Arial"/>
          <w:sz w:val="22"/>
          <w:szCs w:val="22"/>
        </w:rPr>
        <w:t xml:space="preserve"> and technology should be used to simplify the shopping process, not make it more complicated (Schultz, 2025).</w:t>
      </w:r>
    </w:p>
    <w:p w14:paraId="31C0CF5C" w14:textId="77777777" w:rsidR="001725A3" w:rsidRPr="001725A3" w:rsidRDefault="001725A3" w:rsidP="001725A3">
      <w:pPr>
        <w:spacing w:line="360" w:lineRule="auto"/>
        <w:jc w:val="both"/>
        <w:rPr>
          <w:rFonts w:ascii="Arial" w:hAnsi="Arial" w:cs="Arial"/>
          <w:sz w:val="22"/>
          <w:szCs w:val="22"/>
        </w:rPr>
      </w:pPr>
      <w:r w:rsidRPr="001725A3">
        <w:rPr>
          <w:rFonts w:ascii="Arial" w:hAnsi="Arial" w:cs="Arial"/>
          <w:sz w:val="22"/>
          <w:szCs w:val="22"/>
        </w:rPr>
        <w:t xml:space="preserve">Improve the resilience and management of supply chains. NEXT should outline key supplier and product relationships, risk of disruption and contingency plans. Clear expectations of relevant labour and environmental standards should be included in supplier monitoring. The </w:t>
      </w:r>
      <w:r w:rsidRPr="001725A3">
        <w:rPr>
          <w:rFonts w:ascii="Arial" w:hAnsi="Arial" w:cs="Arial"/>
          <w:sz w:val="22"/>
          <w:szCs w:val="22"/>
        </w:rPr>
        <w:lastRenderedPageBreak/>
        <w:t>ability to select lowest cost source is not sufficient for resilience; visibility, collaboration, and alternative arrangements are also important elements of resilience (QIMA, 2026; Sagar, 2026).</w:t>
      </w:r>
    </w:p>
    <w:p w14:paraId="4CDFD13E" w14:textId="07CF96EB" w:rsidR="001725A3" w:rsidRPr="001725A3" w:rsidRDefault="001725A3" w:rsidP="001725A3">
      <w:pPr>
        <w:spacing w:line="360" w:lineRule="auto"/>
        <w:jc w:val="both"/>
        <w:rPr>
          <w:rFonts w:ascii="Arial" w:hAnsi="Arial" w:cs="Arial"/>
          <w:sz w:val="22"/>
          <w:szCs w:val="22"/>
        </w:rPr>
      </w:pPr>
      <w:r w:rsidRPr="001725A3">
        <w:rPr>
          <w:rFonts w:ascii="Arial" w:hAnsi="Arial" w:cs="Arial"/>
          <w:sz w:val="22"/>
          <w:szCs w:val="22"/>
        </w:rPr>
        <w:t xml:space="preserve">Bring sustainability action to measurable. Product life cycle, waste minimisation and supply chain information should be given more attention to NEXT. In some categories, there could be a test program for resale, repair or take-back services before being broadly available. Customer uptake, operational costs, products recovered and evidence of environmental benefit should be </w:t>
      </w:r>
      <w:r w:rsidR="00246A9F" w:rsidRPr="001725A3">
        <w:rPr>
          <w:rFonts w:ascii="Arial" w:hAnsi="Arial" w:cs="Arial"/>
          <w:sz w:val="22"/>
          <w:szCs w:val="22"/>
        </w:rPr>
        <w:t>considered</w:t>
      </w:r>
      <w:r w:rsidRPr="001725A3">
        <w:rPr>
          <w:rFonts w:ascii="Arial" w:hAnsi="Arial" w:cs="Arial"/>
          <w:sz w:val="22"/>
          <w:szCs w:val="22"/>
        </w:rPr>
        <w:t xml:space="preserve"> in evaluation. The public claims should be clear and substantiated (NEXT plc, 2026b).</w:t>
      </w:r>
    </w:p>
    <w:p w14:paraId="416B02AD" w14:textId="77777777" w:rsidR="001725A3" w:rsidRPr="001725A3" w:rsidRDefault="001725A3" w:rsidP="001725A3">
      <w:pPr>
        <w:spacing w:line="360" w:lineRule="auto"/>
        <w:jc w:val="both"/>
        <w:rPr>
          <w:rFonts w:ascii="Arial" w:hAnsi="Arial" w:cs="Arial"/>
          <w:sz w:val="22"/>
          <w:szCs w:val="22"/>
        </w:rPr>
      </w:pPr>
      <w:r w:rsidRPr="001725A3">
        <w:rPr>
          <w:rFonts w:ascii="Arial" w:hAnsi="Arial" w:cs="Arial"/>
          <w:sz w:val="22"/>
          <w:szCs w:val="22"/>
        </w:rPr>
        <w:t>Ensure the protection of the value while avoiding over-discontinue. NEXT need to take a customer insight approach to understanding the value of price, quality, style and convenience to different groups. Information and range planning should aid in informed buying. A well-rounded suite of metrics should be used to gauge performance: customer satisfaction, availability, repeat purchases, markdowns and financial results.</w:t>
      </w:r>
    </w:p>
    <w:p w14:paraId="415287CE" w14:textId="77777777" w:rsidR="001725A3" w:rsidRPr="001725A3" w:rsidRDefault="001725A3" w:rsidP="001725A3">
      <w:pPr>
        <w:spacing w:line="360" w:lineRule="auto"/>
        <w:jc w:val="both"/>
        <w:rPr>
          <w:rFonts w:ascii="Arial" w:hAnsi="Arial" w:cs="Arial"/>
          <w:sz w:val="22"/>
          <w:szCs w:val="22"/>
        </w:rPr>
      </w:pPr>
      <w:r w:rsidRPr="001725A3">
        <w:rPr>
          <w:rFonts w:ascii="Arial" w:hAnsi="Arial" w:cs="Arial"/>
          <w:sz w:val="22"/>
          <w:szCs w:val="22"/>
        </w:rPr>
        <w:t>Named owners, milestones and regular senior-management review should be included in implementation. If there are not verified company baselines, then targets should be set using company baselines that are established by NEXT before setting numerical targets.</w:t>
      </w:r>
    </w:p>
    <w:p w14:paraId="1630C554" w14:textId="77777777" w:rsidR="001725A3" w:rsidRPr="001725A3" w:rsidRDefault="001725A3" w:rsidP="001725A3">
      <w:pPr>
        <w:spacing w:line="360" w:lineRule="auto"/>
        <w:jc w:val="both"/>
        <w:rPr>
          <w:rFonts w:ascii="Arial" w:hAnsi="Arial" w:cs="Arial"/>
          <w:sz w:val="22"/>
          <w:szCs w:val="22"/>
        </w:rPr>
      </w:pPr>
    </w:p>
    <w:p w14:paraId="68FD80EB" w14:textId="680ED2AC" w:rsidR="007540DF" w:rsidRPr="007540DF" w:rsidRDefault="001725A3" w:rsidP="001725A3">
      <w:pPr>
        <w:spacing w:line="360" w:lineRule="auto"/>
        <w:jc w:val="both"/>
        <w:rPr>
          <w:rFonts w:ascii="Arial" w:hAnsi="Arial" w:cs="Arial"/>
          <w:sz w:val="22"/>
          <w:szCs w:val="22"/>
        </w:rPr>
      </w:pPr>
      <w:r w:rsidRPr="001725A3">
        <w:rPr>
          <w:rFonts w:ascii="Arial" w:hAnsi="Arial" w:cs="Arial"/>
          <w:sz w:val="22"/>
          <w:szCs w:val="22"/>
        </w:rPr>
        <w:t>Finally, NEXT can adapt to sector change by further developing its operating model and enhancing data utilization, increasing the resilience of its supply-chains and enabling greater measurability of responsibility initiatives. If you have a change you want to make, it is better if it has been carefully tested, rather than an untested change as you are likely to encounter issues with it. These priorities need to be realised through customer value and ongoing action and implementation if they are to be successful over the longer term.</w:t>
      </w:r>
    </w:p>
    <w:p w14:paraId="0A261A72" w14:textId="77777777" w:rsidR="001725A3" w:rsidRDefault="001725A3" w:rsidP="001725A3">
      <w:pPr>
        <w:spacing w:line="360" w:lineRule="auto"/>
        <w:jc w:val="both"/>
        <w:rPr>
          <w:rFonts w:ascii="Arial" w:hAnsi="Arial" w:cs="Arial"/>
          <w:sz w:val="22"/>
          <w:szCs w:val="22"/>
        </w:rPr>
      </w:pPr>
    </w:p>
    <w:p w14:paraId="02840753" w14:textId="77777777" w:rsidR="003F20D5" w:rsidRDefault="003F20D5" w:rsidP="001725A3">
      <w:pPr>
        <w:spacing w:line="360" w:lineRule="auto"/>
        <w:jc w:val="both"/>
        <w:rPr>
          <w:rFonts w:ascii="Arial" w:hAnsi="Arial" w:cs="Arial"/>
          <w:sz w:val="22"/>
          <w:szCs w:val="22"/>
        </w:rPr>
      </w:pPr>
    </w:p>
    <w:p w14:paraId="593EF451" w14:textId="77777777" w:rsidR="003F20D5" w:rsidRDefault="003F20D5" w:rsidP="001725A3">
      <w:pPr>
        <w:spacing w:line="360" w:lineRule="auto"/>
        <w:jc w:val="both"/>
        <w:rPr>
          <w:rFonts w:ascii="Arial" w:hAnsi="Arial" w:cs="Arial"/>
          <w:sz w:val="22"/>
          <w:szCs w:val="22"/>
        </w:rPr>
      </w:pPr>
    </w:p>
    <w:p w14:paraId="5D5AC369" w14:textId="77777777" w:rsidR="00246A9F" w:rsidRDefault="00246A9F" w:rsidP="001725A3">
      <w:pPr>
        <w:spacing w:line="360" w:lineRule="auto"/>
        <w:jc w:val="both"/>
        <w:rPr>
          <w:rFonts w:ascii="Arial" w:hAnsi="Arial" w:cs="Arial"/>
          <w:sz w:val="22"/>
          <w:szCs w:val="22"/>
        </w:rPr>
      </w:pPr>
    </w:p>
    <w:p w14:paraId="01062D87" w14:textId="77777777" w:rsidR="00246A9F" w:rsidRDefault="00246A9F" w:rsidP="001725A3">
      <w:pPr>
        <w:spacing w:line="360" w:lineRule="auto"/>
        <w:jc w:val="both"/>
        <w:rPr>
          <w:rFonts w:ascii="Arial" w:hAnsi="Arial" w:cs="Arial"/>
          <w:sz w:val="22"/>
          <w:szCs w:val="22"/>
        </w:rPr>
      </w:pPr>
    </w:p>
    <w:p w14:paraId="416AB505" w14:textId="77777777" w:rsidR="00246A9F" w:rsidRDefault="00246A9F" w:rsidP="001725A3">
      <w:pPr>
        <w:spacing w:line="360" w:lineRule="auto"/>
        <w:jc w:val="both"/>
        <w:rPr>
          <w:rFonts w:ascii="Arial" w:hAnsi="Arial" w:cs="Arial"/>
          <w:sz w:val="22"/>
          <w:szCs w:val="22"/>
        </w:rPr>
      </w:pPr>
    </w:p>
    <w:p w14:paraId="55CC6D16" w14:textId="77777777" w:rsidR="00246A9F" w:rsidRDefault="00246A9F" w:rsidP="001725A3">
      <w:pPr>
        <w:spacing w:line="360" w:lineRule="auto"/>
        <w:jc w:val="both"/>
        <w:rPr>
          <w:rFonts w:ascii="Arial" w:hAnsi="Arial" w:cs="Arial"/>
          <w:sz w:val="22"/>
          <w:szCs w:val="22"/>
        </w:rPr>
      </w:pPr>
    </w:p>
    <w:p w14:paraId="6047B94C" w14:textId="1BB5024E" w:rsidR="007540DF" w:rsidRDefault="007540DF" w:rsidP="003F20D5">
      <w:pPr>
        <w:pStyle w:val="Heading7"/>
        <w:rPr>
          <w:rFonts w:ascii="Arial" w:hAnsi="Arial" w:cs="Arial"/>
          <w:color w:val="auto"/>
          <w:sz w:val="22"/>
          <w:szCs w:val="22"/>
        </w:rPr>
      </w:pPr>
      <w:bookmarkStart w:id="6" w:name="_Toc243474957"/>
      <w:r w:rsidRPr="003F20D5">
        <w:rPr>
          <w:rFonts w:ascii="Arial" w:hAnsi="Arial" w:cs="Arial"/>
          <w:color w:val="auto"/>
          <w:sz w:val="22"/>
          <w:szCs w:val="22"/>
        </w:rPr>
        <w:lastRenderedPageBreak/>
        <w:t>References</w:t>
      </w:r>
      <w:bookmarkEnd w:id="6"/>
    </w:p>
    <w:p w14:paraId="65B35960" w14:textId="77777777" w:rsidR="003F20D5" w:rsidRPr="003F20D5" w:rsidRDefault="003F20D5" w:rsidP="003F20D5"/>
    <w:p w14:paraId="180F9DB8" w14:textId="77B832D9" w:rsidR="00246A9F" w:rsidRPr="001725A3" w:rsidRDefault="001725A3" w:rsidP="00246A9F">
      <w:pPr>
        <w:spacing w:line="360" w:lineRule="auto"/>
        <w:rPr>
          <w:rFonts w:ascii="Arial" w:hAnsi="Arial" w:cs="Arial"/>
          <w:sz w:val="22"/>
          <w:szCs w:val="22"/>
        </w:rPr>
      </w:pPr>
      <w:r w:rsidRPr="001725A3">
        <w:rPr>
          <w:rFonts w:ascii="Arial" w:hAnsi="Arial" w:cs="Arial"/>
          <w:sz w:val="22"/>
          <w:szCs w:val="22"/>
        </w:rPr>
        <w:t>Fashion Revolution (2025) Fashion Transparency Index 2025. Available at: https://www.fashionrevolution.org</w:t>
      </w:r>
    </w:p>
    <w:p w14:paraId="286931FD" w14:textId="679CCD6B" w:rsidR="001725A3" w:rsidRPr="001725A3" w:rsidRDefault="001725A3" w:rsidP="00246A9F">
      <w:pPr>
        <w:spacing w:line="360" w:lineRule="auto"/>
        <w:rPr>
          <w:rFonts w:ascii="Arial" w:hAnsi="Arial" w:cs="Arial"/>
          <w:sz w:val="22"/>
          <w:szCs w:val="22"/>
        </w:rPr>
      </w:pPr>
      <w:r w:rsidRPr="001725A3">
        <w:rPr>
          <w:rFonts w:ascii="Arial" w:hAnsi="Arial" w:cs="Arial"/>
          <w:sz w:val="22"/>
          <w:szCs w:val="22"/>
        </w:rPr>
        <w:t xml:space="preserve">Johnson, G., Whittington, R., </w:t>
      </w:r>
      <w:proofErr w:type="spellStart"/>
      <w:r w:rsidRPr="001725A3">
        <w:rPr>
          <w:rFonts w:ascii="Arial" w:hAnsi="Arial" w:cs="Arial"/>
          <w:sz w:val="22"/>
          <w:szCs w:val="22"/>
        </w:rPr>
        <w:t>Regnér</w:t>
      </w:r>
      <w:proofErr w:type="spellEnd"/>
      <w:r w:rsidRPr="001725A3">
        <w:rPr>
          <w:rFonts w:ascii="Arial" w:hAnsi="Arial" w:cs="Arial"/>
          <w:sz w:val="22"/>
          <w:szCs w:val="22"/>
        </w:rPr>
        <w:t xml:space="preserve">, P., Angwin, D. and Scholes, K. (2023) Exploring Strategy: Text and Cases. 13th </w:t>
      </w:r>
      <w:proofErr w:type="spellStart"/>
      <w:r w:rsidRPr="001725A3">
        <w:rPr>
          <w:rFonts w:ascii="Arial" w:hAnsi="Arial" w:cs="Arial"/>
          <w:sz w:val="22"/>
          <w:szCs w:val="22"/>
        </w:rPr>
        <w:t>edn</w:t>
      </w:r>
      <w:proofErr w:type="spellEnd"/>
      <w:r w:rsidRPr="001725A3">
        <w:rPr>
          <w:rFonts w:ascii="Arial" w:hAnsi="Arial" w:cs="Arial"/>
          <w:sz w:val="22"/>
          <w:szCs w:val="22"/>
        </w:rPr>
        <w:t>. Harlow: Pearson.</w:t>
      </w:r>
    </w:p>
    <w:p w14:paraId="73A7FD17" w14:textId="0640A50F" w:rsidR="001725A3" w:rsidRPr="001725A3" w:rsidRDefault="001725A3" w:rsidP="00246A9F">
      <w:pPr>
        <w:spacing w:line="360" w:lineRule="auto"/>
        <w:rPr>
          <w:rFonts w:ascii="Arial" w:hAnsi="Arial" w:cs="Arial"/>
          <w:sz w:val="22"/>
          <w:szCs w:val="22"/>
        </w:rPr>
      </w:pPr>
      <w:r w:rsidRPr="001725A3">
        <w:rPr>
          <w:rFonts w:ascii="Arial" w:hAnsi="Arial" w:cs="Arial"/>
          <w:sz w:val="22"/>
          <w:szCs w:val="22"/>
        </w:rPr>
        <w:t>McKinsey &amp; Company and The Business of Fashion (2025) The State of Fashion 2026: When the Rules Change. Available at: https://www.mckinsey.com/industries/retail/our-insights/state-of-fashion.</w:t>
      </w:r>
    </w:p>
    <w:p w14:paraId="763B0B59" w14:textId="24937575" w:rsidR="001725A3" w:rsidRPr="001725A3" w:rsidRDefault="001725A3" w:rsidP="00246A9F">
      <w:pPr>
        <w:spacing w:line="360" w:lineRule="auto"/>
        <w:rPr>
          <w:rFonts w:ascii="Arial" w:hAnsi="Arial" w:cs="Arial"/>
          <w:sz w:val="22"/>
          <w:szCs w:val="22"/>
        </w:rPr>
      </w:pPr>
      <w:r w:rsidRPr="001725A3">
        <w:rPr>
          <w:rFonts w:ascii="Arial" w:hAnsi="Arial" w:cs="Arial"/>
          <w:sz w:val="22"/>
          <w:szCs w:val="22"/>
        </w:rPr>
        <w:t>NEXT plc (2026a) Business Model 2026. Available at: https://www.nextplc.co.uk/~/media/Files/N/next-plc-v4/documents/2026/business-model-2026.pdf.</w:t>
      </w:r>
    </w:p>
    <w:p w14:paraId="7D785482" w14:textId="53B35FB9" w:rsidR="001725A3" w:rsidRPr="001725A3" w:rsidRDefault="001725A3" w:rsidP="00246A9F">
      <w:pPr>
        <w:spacing w:line="360" w:lineRule="auto"/>
        <w:rPr>
          <w:rFonts w:ascii="Arial" w:hAnsi="Arial" w:cs="Arial"/>
          <w:sz w:val="22"/>
          <w:szCs w:val="22"/>
        </w:rPr>
      </w:pPr>
      <w:r w:rsidRPr="001725A3">
        <w:rPr>
          <w:rFonts w:ascii="Arial" w:hAnsi="Arial" w:cs="Arial"/>
          <w:sz w:val="22"/>
          <w:szCs w:val="22"/>
        </w:rPr>
        <w:t>NEXT plc (2026b) Corporate Responsibility Report to January 2026. Available at: https://www.nextplc.co.uk/~/media/Files/N/next-plc-v4/documents/corporate-responsibility/corporate-responsibility-report-2026.pdf.</w:t>
      </w:r>
    </w:p>
    <w:p w14:paraId="4F677CBD" w14:textId="4F74ECF5" w:rsidR="001725A3" w:rsidRPr="001725A3" w:rsidRDefault="001725A3" w:rsidP="00246A9F">
      <w:pPr>
        <w:spacing w:line="360" w:lineRule="auto"/>
        <w:rPr>
          <w:rFonts w:ascii="Arial" w:hAnsi="Arial" w:cs="Arial"/>
          <w:sz w:val="22"/>
          <w:szCs w:val="22"/>
        </w:rPr>
      </w:pPr>
      <w:r w:rsidRPr="001725A3">
        <w:rPr>
          <w:rFonts w:ascii="Arial" w:hAnsi="Arial" w:cs="Arial"/>
          <w:sz w:val="22"/>
          <w:szCs w:val="22"/>
        </w:rPr>
        <w:t>NEXT plc (2026c) Annual Report and Accounts January 2026. Available at: https://www.nextplc.co.uk/~/media/Files/N/next-plc-v4/about-next/annual-report-and-a</w:t>
      </w:r>
      <w:r>
        <w:rPr>
          <w:rFonts w:ascii="Arial" w:hAnsi="Arial" w:cs="Arial"/>
          <w:sz w:val="22"/>
          <w:szCs w:val="22"/>
        </w:rPr>
        <w:t>c</w:t>
      </w:r>
      <w:r w:rsidRPr="001725A3">
        <w:rPr>
          <w:rFonts w:ascii="Arial" w:hAnsi="Arial" w:cs="Arial"/>
          <w:sz w:val="22"/>
          <w:szCs w:val="22"/>
        </w:rPr>
        <w:t>counts-jan-2026.pdf.</w:t>
      </w:r>
    </w:p>
    <w:p w14:paraId="56B18BF5" w14:textId="031734F7" w:rsidR="001725A3" w:rsidRPr="001725A3" w:rsidRDefault="001725A3" w:rsidP="00246A9F">
      <w:pPr>
        <w:spacing w:line="360" w:lineRule="auto"/>
        <w:rPr>
          <w:rFonts w:ascii="Arial" w:hAnsi="Arial" w:cs="Arial"/>
          <w:sz w:val="22"/>
          <w:szCs w:val="22"/>
        </w:rPr>
      </w:pPr>
      <w:r w:rsidRPr="001725A3">
        <w:rPr>
          <w:rFonts w:ascii="Arial" w:hAnsi="Arial" w:cs="Arial"/>
          <w:sz w:val="22"/>
          <w:szCs w:val="22"/>
        </w:rPr>
        <w:t>Porter, M.E. (2008) ‘The five competitive forces that shape strategy’, Harvard Business Review, 86(1), pp. 78–93. Note: this source falls outside the five-year limit.</w:t>
      </w:r>
    </w:p>
    <w:p w14:paraId="34036714" w14:textId="7A7401C5" w:rsidR="001725A3" w:rsidRPr="001725A3" w:rsidRDefault="001725A3" w:rsidP="00246A9F">
      <w:pPr>
        <w:spacing w:line="360" w:lineRule="auto"/>
        <w:rPr>
          <w:rFonts w:ascii="Arial" w:hAnsi="Arial" w:cs="Arial"/>
          <w:sz w:val="22"/>
          <w:szCs w:val="22"/>
        </w:rPr>
      </w:pPr>
      <w:r w:rsidRPr="001725A3">
        <w:rPr>
          <w:rFonts w:ascii="Arial" w:hAnsi="Arial" w:cs="Arial"/>
          <w:sz w:val="22"/>
          <w:szCs w:val="22"/>
        </w:rPr>
        <w:t>QIMA (2026) Supply chain strategy for the fashion industry. Available at: https://www.qima.com/blog/textile/fashion-supply-chain-strategies.</w:t>
      </w:r>
    </w:p>
    <w:p w14:paraId="7AE826B0" w14:textId="753B2E81" w:rsidR="001725A3" w:rsidRPr="001725A3" w:rsidRDefault="001725A3" w:rsidP="00246A9F">
      <w:pPr>
        <w:spacing w:line="360" w:lineRule="auto"/>
        <w:rPr>
          <w:rFonts w:ascii="Arial" w:hAnsi="Arial" w:cs="Arial"/>
          <w:sz w:val="22"/>
          <w:szCs w:val="22"/>
        </w:rPr>
      </w:pPr>
      <w:r w:rsidRPr="001725A3">
        <w:rPr>
          <w:rFonts w:ascii="Arial" w:hAnsi="Arial" w:cs="Arial"/>
          <w:sz w:val="22"/>
          <w:szCs w:val="22"/>
        </w:rPr>
        <w:t>Sagar, A.H. (2026) ‘Resilience practices and environmental sustainability in fashion supply chains’, Corporate Social Responsibility and Environmental Management. Available at: https://onlinelibrary.wiley.com/doi/full/10.1002/csr.70208.</w:t>
      </w:r>
    </w:p>
    <w:p w14:paraId="0CAF527E" w14:textId="194488A7" w:rsidR="001725A3" w:rsidRPr="001725A3" w:rsidRDefault="001725A3" w:rsidP="00246A9F">
      <w:pPr>
        <w:spacing w:line="360" w:lineRule="auto"/>
        <w:rPr>
          <w:rFonts w:ascii="Arial" w:hAnsi="Arial" w:cs="Arial"/>
          <w:sz w:val="22"/>
          <w:szCs w:val="22"/>
        </w:rPr>
      </w:pPr>
      <w:r w:rsidRPr="001725A3">
        <w:rPr>
          <w:rFonts w:ascii="Arial" w:hAnsi="Arial" w:cs="Arial"/>
          <w:sz w:val="22"/>
          <w:szCs w:val="22"/>
        </w:rPr>
        <w:t>Schultz, C.D. (2025) ‘Reimagining retail: Technology at the frontline, across the organisation and beyond’, Journal of Retailing and Consumer Services. Available at: https://www.sciencedirect.com/science/article/pii/S0969698925002280.</w:t>
      </w:r>
    </w:p>
    <w:p w14:paraId="281FB76E" w14:textId="0115D0B8" w:rsidR="001725A3" w:rsidRPr="001725A3" w:rsidRDefault="001725A3" w:rsidP="00246A9F">
      <w:pPr>
        <w:spacing w:line="360" w:lineRule="auto"/>
        <w:rPr>
          <w:rFonts w:ascii="Arial" w:hAnsi="Arial" w:cs="Arial"/>
          <w:sz w:val="22"/>
          <w:szCs w:val="22"/>
        </w:rPr>
      </w:pPr>
      <w:r w:rsidRPr="001725A3">
        <w:rPr>
          <w:rFonts w:ascii="Arial" w:hAnsi="Arial" w:cs="Arial"/>
          <w:sz w:val="22"/>
          <w:szCs w:val="22"/>
        </w:rPr>
        <w:t>Strategy&amp; (2026) Fashion retail outlook 2026. Available at: https://www.strategyand.pwc.com/de/en/industries/consumer-markets/fashion-retail-outlook.html.</w:t>
      </w:r>
    </w:p>
    <w:p w14:paraId="3E1AD7B4" w14:textId="52BB937C" w:rsidR="001725A3" w:rsidRPr="001725A3" w:rsidRDefault="001725A3" w:rsidP="00246A9F">
      <w:pPr>
        <w:spacing w:line="360" w:lineRule="auto"/>
        <w:rPr>
          <w:rFonts w:ascii="Arial" w:hAnsi="Arial" w:cs="Arial"/>
          <w:sz w:val="22"/>
          <w:szCs w:val="22"/>
        </w:rPr>
      </w:pPr>
      <w:r w:rsidRPr="001725A3">
        <w:rPr>
          <w:rFonts w:ascii="Arial" w:hAnsi="Arial" w:cs="Arial"/>
          <w:sz w:val="22"/>
          <w:szCs w:val="22"/>
        </w:rPr>
        <w:lastRenderedPageBreak/>
        <w:t>Vogue Business (2026) The forces that will shape fashion’s supply chains in 2026. Available at: https://www.vogue.com/article/the-forces-that-will-shape-fashions-supply-chains-in-2026.</w:t>
      </w:r>
    </w:p>
    <w:p w14:paraId="04DBA13C" w14:textId="480DC140" w:rsidR="007540DF" w:rsidRPr="007540DF" w:rsidRDefault="001725A3" w:rsidP="00246A9F">
      <w:pPr>
        <w:spacing w:line="360" w:lineRule="auto"/>
        <w:rPr>
          <w:rFonts w:ascii="Arial" w:hAnsi="Arial" w:cs="Arial"/>
          <w:sz w:val="22"/>
          <w:szCs w:val="22"/>
        </w:rPr>
      </w:pPr>
      <w:proofErr w:type="spellStart"/>
      <w:r w:rsidRPr="001725A3">
        <w:rPr>
          <w:rFonts w:ascii="Arial" w:hAnsi="Arial" w:cs="Arial"/>
          <w:sz w:val="22"/>
          <w:szCs w:val="22"/>
        </w:rPr>
        <w:t>Whatfix</w:t>
      </w:r>
      <w:proofErr w:type="spellEnd"/>
      <w:r w:rsidRPr="001725A3">
        <w:rPr>
          <w:rFonts w:ascii="Arial" w:hAnsi="Arial" w:cs="Arial"/>
          <w:sz w:val="22"/>
          <w:szCs w:val="22"/>
        </w:rPr>
        <w:t xml:space="preserve"> (2026) Digital transformation in the retail industry in 2026. Available at: https://whatfix.com/blog/retail-digital-transformation/.</w:t>
      </w:r>
    </w:p>
    <w:sectPr w:rsidR="007540DF" w:rsidRPr="007540D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35FC"/>
    <w:rsid w:val="001725A3"/>
    <w:rsid w:val="00246A9F"/>
    <w:rsid w:val="003F20D5"/>
    <w:rsid w:val="006F574A"/>
    <w:rsid w:val="0073064B"/>
    <w:rsid w:val="007540DF"/>
    <w:rsid w:val="008D5831"/>
    <w:rsid w:val="008E548E"/>
    <w:rsid w:val="009729AF"/>
    <w:rsid w:val="00A4335C"/>
    <w:rsid w:val="00A672E8"/>
    <w:rsid w:val="00A8480E"/>
    <w:rsid w:val="00AE35FC"/>
    <w:rsid w:val="00C34197"/>
    <w:rsid w:val="00CE50FD"/>
    <w:rsid w:val="00E502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EC652A"/>
  <w15:chartTrackingRefBased/>
  <w15:docId w15:val="{7C5D02FD-E8A9-4D5A-BC3E-52E9F17586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E35F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E35F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E35F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E35F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E35F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E35F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E35F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E35F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E35F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E35F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E35F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E35F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E35F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E35F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E35F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E35F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E35F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E35FC"/>
    <w:rPr>
      <w:rFonts w:eastAsiaTheme="majorEastAsia" w:cstheme="majorBidi"/>
      <w:color w:val="272727" w:themeColor="text1" w:themeTint="D8"/>
    </w:rPr>
  </w:style>
  <w:style w:type="paragraph" w:styleId="Title">
    <w:name w:val="Title"/>
    <w:basedOn w:val="Normal"/>
    <w:next w:val="Normal"/>
    <w:link w:val="TitleChar"/>
    <w:uiPriority w:val="10"/>
    <w:qFormat/>
    <w:rsid w:val="00AE35F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E35F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E35F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E35F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E35FC"/>
    <w:pPr>
      <w:spacing w:before="160"/>
      <w:jc w:val="center"/>
    </w:pPr>
    <w:rPr>
      <w:i/>
      <w:iCs/>
      <w:color w:val="404040" w:themeColor="text1" w:themeTint="BF"/>
    </w:rPr>
  </w:style>
  <w:style w:type="character" w:customStyle="1" w:styleId="QuoteChar">
    <w:name w:val="Quote Char"/>
    <w:basedOn w:val="DefaultParagraphFont"/>
    <w:link w:val="Quote"/>
    <w:uiPriority w:val="29"/>
    <w:rsid w:val="00AE35FC"/>
    <w:rPr>
      <w:i/>
      <w:iCs/>
      <w:color w:val="404040" w:themeColor="text1" w:themeTint="BF"/>
    </w:rPr>
  </w:style>
  <w:style w:type="paragraph" w:styleId="ListParagraph">
    <w:name w:val="List Paragraph"/>
    <w:basedOn w:val="Normal"/>
    <w:uiPriority w:val="34"/>
    <w:qFormat/>
    <w:rsid w:val="00AE35FC"/>
    <w:pPr>
      <w:ind w:left="720"/>
      <w:contextualSpacing/>
    </w:pPr>
  </w:style>
  <w:style w:type="character" w:styleId="IntenseEmphasis">
    <w:name w:val="Intense Emphasis"/>
    <w:basedOn w:val="DefaultParagraphFont"/>
    <w:uiPriority w:val="21"/>
    <w:qFormat/>
    <w:rsid w:val="00AE35FC"/>
    <w:rPr>
      <w:i/>
      <w:iCs/>
      <w:color w:val="0F4761" w:themeColor="accent1" w:themeShade="BF"/>
    </w:rPr>
  </w:style>
  <w:style w:type="paragraph" w:styleId="IntenseQuote">
    <w:name w:val="Intense Quote"/>
    <w:basedOn w:val="Normal"/>
    <w:next w:val="Normal"/>
    <w:link w:val="IntenseQuoteChar"/>
    <w:uiPriority w:val="30"/>
    <w:qFormat/>
    <w:rsid w:val="00AE35F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E35FC"/>
    <w:rPr>
      <w:i/>
      <w:iCs/>
      <w:color w:val="0F4761" w:themeColor="accent1" w:themeShade="BF"/>
    </w:rPr>
  </w:style>
  <w:style w:type="character" w:styleId="IntenseReference">
    <w:name w:val="Intense Reference"/>
    <w:basedOn w:val="DefaultParagraphFont"/>
    <w:uiPriority w:val="32"/>
    <w:qFormat/>
    <w:rsid w:val="00AE35FC"/>
    <w:rPr>
      <w:b/>
      <w:bCs/>
      <w:smallCaps/>
      <w:color w:val="0F4761" w:themeColor="accent1" w:themeShade="BF"/>
      <w:spacing w:val="5"/>
    </w:rPr>
  </w:style>
  <w:style w:type="paragraph" w:styleId="TOC1">
    <w:name w:val="toc 1"/>
    <w:basedOn w:val="Normal"/>
    <w:next w:val="Normal"/>
    <w:autoRedefine/>
    <w:uiPriority w:val="39"/>
    <w:unhideWhenUsed/>
    <w:rsid w:val="003F20D5"/>
    <w:pPr>
      <w:spacing w:after="100"/>
    </w:pPr>
  </w:style>
  <w:style w:type="paragraph" w:styleId="TOC2">
    <w:name w:val="toc 2"/>
    <w:basedOn w:val="Normal"/>
    <w:next w:val="Normal"/>
    <w:autoRedefine/>
    <w:uiPriority w:val="39"/>
    <w:unhideWhenUsed/>
    <w:rsid w:val="003F20D5"/>
    <w:pPr>
      <w:spacing w:after="100"/>
      <w:ind w:left="240"/>
    </w:pPr>
  </w:style>
  <w:style w:type="character" w:styleId="Hyperlink">
    <w:name w:val="Hyperlink"/>
    <w:basedOn w:val="DefaultParagraphFont"/>
    <w:uiPriority w:val="99"/>
    <w:unhideWhenUsed/>
    <w:rsid w:val="003F20D5"/>
    <w:rPr>
      <w:color w:val="467886" w:themeColor="hyperlink"/>
      <w:u w:val="single"/>
    </w:rPr>
  </w:style>
  <w:style w:type="paragraph" w:styleId="TOC3">
    <w:name w:val="toc 3"/>
    <w:basedOn w:val="Normal"/>
    <w:next w:val="Normal"/>
    <w:autoRedefine/>
    <w:uiPriority w:val="39"/>
    <w:unhideWhenUsed/>
    <w:rsid w:val="003F20D5"/>
    <w:pPr>
      <w:spacing w:after="100"/>
      <w:ind w:left="480"/>
    </w:pPr>
  </w:style>
  <w:style w:type="paragraph" w:styleId="TOC4">
    <w:name w:val="toc 4"/>
    <w:basedOn w:val="Normal"/>
    <w:next w:val="Normal"/>
    <w:autoRedefine/>
    <w:uiPriority w:val="39"/>
    <w:unhideWhenUsed/>
    <w:rsid w:val="003F20D5"/>
    <w:pPr>
      <w:spacing w:after="100"/>
      <w:ind w:left="720"/>
    </w:pPr>
  </w:style>
  <w:style w:type="paragraph" w:styleId="TOC5">
    <w:name w:val="toc 5"/>
    <w:basedOn w:val="Normal"/>
    <w:next w:val="Normal"/>
    <w:autoRedefine/>
    <w:uiPriority w:val="39"/>
    <w:unhideWhenUsed/>
    <w:rsid w:val="003F20D5"/>
    <w:pPr>
      <w:spacing w:after="100"/>
      <w:ind w:left="960"/>
    </w:pPr>
  </w:style>
  <w:style w:type="paragraph" w:styleId="TOC6">
    <w:name w:val="toc 6"/>
    <w:basedOn w:val="Normal"/>
    <w:next w:val="Normal"/>
    <w:autoRedefine/>
    <w:uiPriority w:val="39"/>
    <w:unhideWhenUsed/>
    <w:rsid w:val="003F20D5"/>
    <w:pPr>
      <w:spacing w:after="100"/>
      <w:ind w:left="1200"/>
    </w:pPr>
  </w:style>
  <w:style w:type="paragraph" w:styleId="TOC7">
    <w:name w:val="toc 7"/>
    <w:basedOn w:val="Normal"/>
    <w:next w:val="Normal"/>
    <w:autoRedefine/>
    <w:uiPriority w:val="39"/>
    <w:unhideWhenUsed/>
    <w:rsid w:val="003F20D5"/>
    <w:pPr>
      <w:spacing w:after="100"/>
      <w:ind w:left="1440"/>
    </w:pPr>
  </w:style>
  <w:style w:type="character" w:styleId="UnresolvedMention">
    <w:name w:val="Unresolved Mention"/>
    <w:basedOn w:val="DefaultParagraphFont"/>
    <w:uiPriority w:val="99"/>
    <w:semiHidden/>
    <w:unhideWhenUsed/>
    <w:rsid w:val="00246A9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D5399183-3552-4676-8DC5-70549D402A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195</TotalTime>
  <Pages>13</Pages>
  <Words>3397</Words>
  <Characters>19363</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22715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Octavian-George Stoica (2330278)</dc:creator>
  <cp:keywords/>
  <dc:description/>
  <cp:lastModifiedBy>Octavian-George Stoica (2330278)</cp:lastModifiedBy>
  <cp:revision>4</cp:revision>
  <dcterms:created xsi:type="dcterms:W3CDTF">2026-10-14T08:28:00Z</dcterms:created>
  <dcterms:modified xsi:type="dcterms:W3CDTF">2026-10-21T10:35:00Z</dcterms:modified>
</cp:coreProperties>
</file>