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AFEAB5" w14:textId="465E494A" w:rsidR="00A06744" w:rsidRPr="00945C5F" w:rsidRDefault="00945C5F">
      <w:pPr>
        <w:rPr>
          <w:u w:val="single"/>
          <w:lang w:val="en-US"/>
        </w:rPr>
      </w:pPr>
      <w:r w:rsidRPr="00945C5F">
        <w:rPr>
          <w:u w:val="single"/>
          <w:lang w:val="en-US"/>
        </w:rPr>
        <w:t>Chart how Hitler</w:t>
      </w:r>
      <w:r w:rsidR="00D128F1">
        <w:rPr>
          <w:u w:val="single"/>
          <w:lang w:val="en-US"/>
        </w:rPr>
        <w:t xml:space="preserve"> overcame</w:t>
      </w:r>
      <w:r w:rsidRPr="00945C5F">
        <w:rPr>
          <w:u w:val="single"/>
          <w:lang w:val="en-US"/>
        </w:rPr>
        <w:t xml:space="preserve"> political boundaries in his rise to power </w:t>
      </w:r>
    </w:p>
    <w:p w14:paraId="06A6CB59" w14:textId="77777777" w:rsidR="00945C5F" w:rsidRDefault="00945C5F">
      <w:pPr>
        <w:rPr>
          <w:lang w:val="en-US"/>
        </w:rPr>
      </w:pPr>
    </w:p>
    <w:p w14:paraId="229D80F1" w14:textId="7237EDF1" w:rsidR="00945C5F" w:rsidRDefault="00945C5F">
      <w:pPr>
        <w:rPr>
          <w:lang w:val="en-US"/>
        </w:rPr>
      </w:pPr>
      <w:r>
        <w:rPr>
          <w:lang w:val="en-US"/>
        </w:rPr>
        <w:t xml:space="preserve">This essay will be discussing how Hitler removed political boundaries in his rise to power. This essay will argue weather Hitler removed political boundaries peacefully and democratically. The time period for this essay will be from the end of 1932 to President Hindenburg’s death in 1934. </w:t>
      </w:r>
    </w:p>
    <w:p w14:paraId="0F14F42D" w14:textId="17897EC1" w:rsidR="00945C5F" w:rsidRDefault="006902F3">
      <w:pPr>
        <w:rPr>
          <w:lang w:val="en-US"/>
        </w:rPr>
      </w:pPr>
      <w:r>
        <w:rPr>
          <w:lang w:val="en-US"/>
        </w:rPr>
        <w:t xml:space="preserve">The first major political boundary that Hitler needed to overcome was chancellorship. </w:t>
      </w:r>
      <w:r w:rsidR="00DB04A9">
        <w:rPr>
          <w:lang w:val="en-US"/>
        </w:rPr>
        <w:t xml:space="preserve">Due to the </w:t>
      </w:r>
      <w:r w:rsidR="00EB2F31">
        <w:rPr>
          <w:lang w:val="en-US"/>
        </w:rPr>
        <w:t xml:space="preserve">Wall Street Crash in </w:t>
      </w:r>
      <w:r w:rsidR="00A2235A">
        <w:rPr>
          <w:lang w:val="en-US"/>
        </w:rPr>
        <w:t xml:space="preserve">America in </w:t>
      </w:r>
      <w:r w:rsidR="00EB2F31">
        <w:rPr>
          <w:lang w:val="en-US"/>
        </w:rPr>
        <w:t>1929, Germany went into a great depression causing mass unemployment</w:t>
      </w:r>
      <w:r w:rsidR="00627036">
        <w:rPr>
          <w:rStyle w:val="FootnoteReference"/>
          <w:lang w:val="en-US"/>
        </w:rPr>
        <w:footnoteReference w:id="1"/>
      </w:r>
      <w:r w:rsidR="00EB2F31">
        <w:rPr>
          <w:lang w:val="en-US"/>
        </w:rPr>
        <w:t>. This mass unemployment and dissatisfaction of the German people was used to the advantage of the Nazi party in elections</w:t>
      </w:r>
      <w:r w:rsidR="00442AAA">
        <w:rPr>
          <w:rStyle w:val="FootnoteReference"/>
          <w:lang w:val="en-US"/>
        </w:rPr>
        <w:footnoteReference w:id="2"/>
      </w:r>
      <w:r w:rsidR="00EB2F31">
        <w:rPr>
          <w:lang w:val="en-US"/>
        </w:rPr>
        <w:t xml:space="preserve">. This exploitation allowed the Nazi Party to grow exponentially, </w:t>
      </w:r>
      <w:r w:rsidR="00477ED9">
        <w:rPr>
          <w:lang w:val="en-US"/>
        </w:rPr>
        <w:t>whereby</w:t>
      </w:r>
      <w:r w:rsidR="00EB2F31">
        <w:rPr>
          <w:lang w:val="en-US"/>
        </w:rPr>
        <w:t xml:space="preserve"> in 1932 the Nazis became the largest party in the Reichstag with thirty eight percent of the vote</w:t>
      </w:r>
      <w:r w:rsidR="003E1AF5">
        <w:rPr>
          <w:rStyle w:val="FootnoteReference"/>
          <w:lang w:val="en-US"/>
        </w:rPr>
        <w:footnoteReference w:id="3"/>
      </w:r>
      <w:r w:rsidR="00EB2F31">
        <w:rPr>
          <w:lang w:val="en-US"/>
        </w:rPr>
        <w:t>.</w:t>
      </w:r>
      <w:r w:rsidR="002C1BC9">
        <w:rPr>
          <w:lang w:val="en-US"/>
        </w:rPr>
        <w:t xml:space="preserve"> With the support of the people Hitler only needed the support of President Hindenburg. This was given when Franz von Papen, the leader of the Catholic Center Party, persuaded Hindenburg to put Hitler in the coalition government</w:t>
      </w:r>
      <w:r w:rsidR="00602FED">
        <w:rPr>
          <w:lang w:val="en-US"/>
        </w:rPr>
        <w:t>, with the assurance that Hitler could be controlled when in government</w:t>
      </w:r>
      <w:r w:rsidR="00C111D8">
        <w:rPr>
          <w:rStyle w:val="FootnoteReference"/>
          <w:lang w:val="en-US"/>
        </w:rPr>
        <w:footnoteReference w:id="4"/>
      </w:r>
      <w:r w:rsidR="00602FED">
        <w:rPr>
          <w:lang w:val="en-US"/>
        </w:rPr>
        <w:t>. On January 30</w:t>
      </w:r>
      <w:r w:rsidR="00602FED" w:rsidRPr="00602FED">
        <w:rPr>
          <w:vertAlign w:val="superscript"/>
          <w:lang w:val="en-US"/>
        </w:rPr>
        <w:t>th</w:t>
      </w:r>
      <w:r w:rsidR="00602FED">
        <w:rPr>
          <w:lang w:val="en-US"/>
        </w:rPr>
        <w:t xml:space="preserve"> 1933 Hitler was given chancellorship, thus removing the first </w:t>
      </w:r>
      <w:r w:rsidR="0014781D">
        <w:rPr>
          <w:lang w:val="en-US"/>
        </w:rPr>
        <w:t xml:space="preserve">major </w:t>
      </w:r>
      <w:r w:rsidR="00602FED">
        <w:rPr>
          <w:lang w:val="en-US"/>
        </w:rPr>
        <w:t>political boundary in Hitlers rise to power</w:t>
      </w:r>
      <w:r w:rsidR="000D6D5B">
        <w:rPr>
          <w:rStyle w:val="FootnoteReference"/>
          <w:lang w:val="en-US"/>
        </w:rPr>
        <w:footnoteReference w:id="5"/>
      </w:r>
      <w:r w:rsidR="00602FED">
        <w:rPr>
          <w:lang w:val="en-US"/>
        </w:rPr>
        <w:t>.</w:t>
      </w:r>
      <w:r w:rsidR="002C1BC9">
        <w:rPr>
          <w:lang w:val="en-US"/>
        </w:rPr>
        <w:t xml:space="preserve"> </w:t>
      </w:r>
    </w:p>
    <w:p w14:paraId="47A97990" w14:textId="19558FED" w:rsidR="00616EFC" w:rsidRDefault="005B250F">
      <w:pPr>
        <w:rPr>
          <w:lang w:val="en-US"/>
        </w:rPr>
      </w:pPr>
      <w:r>
        <w:rPr>
          <w:lang w:val="en-US"/>
        </w:rPr>
        <w:t xml:space="preserve">The </w:t>
      </w:r>
      <w:r w:rsidR="003B53EF">
        <w:rPr>
          <w:lang w:val="en-US"/>
        </w:rPr>
        <w:t>E</w:t>
      </w:r>
      <w:r>
        <w:rPr>
          <w:lang w:val="en-US"/>
        </w:rPr>
        <w:t xml:space="preserve">nabling Act is another political boundary that Hitler needs to overcome to rise to power. </w:t>
      </w:r>
      <w:r w:rsidR="00E71FF8">
        <w:rPr>
          <w:lang w:val="en-US"/>
        </w:rPr>
        <w:t>The Enabling Act is a piece of legislation that allows Hitler to create and pass his own legislation without the use of the Reichstag or President Hindenburg</w:t>
      </w:r>
      <w:r w:rsidR="006A33F4">
        <w:rPr>
          <w:rStyle w:val="FootnoteReference"/>
          <w:lang w:val="en-US"/>
        </w:rPr>
        <w:footnoteReference w:id="6"/>
      </w:r>
      <w:r w:rsidR="00E71FF8">
        <w:rPr>
          <w:lang w:val="en-US"/>
        </w:rPr>
        <w:t xml:space="preserve">. </w:t>
      </w:r>
      <w:r w:rsidR="004430FD">
        <w:rPr>
          <w:lang w:val="en-US"/>
        </w:rPr>
        <w:t>Temporary Emergency Powers were given to Hitler after a fire in the Reichstag. Hitler persuaded Hindenburg to grant him these Emergency Powers on the pretext of a communist plot</w:t>
      </w:r>
      <w:r w:rsidR="00E41BD0">
        <w:rPr>
          <w:rStyle w:val="FootnoteReference"/>
          <w:lang w:val="en-US"/>
        </w:rPr>
        <w:footnoteReference w:id="7"/>
      </w:r>
      <w:r w:rsidR="004430FD">
        <w:rPr>
          <w:lang w:val="en-US"/>
        </w:rPr>
        <w:t xml:space="preserve">. </w:t>
      </w:r>
      <w:r w:rsidR="00A9301D">
        <w:rPr>
          <w:lang w:val="en-US"/>
        </w:rPr>
        <w:t>H</w:t>
      </w:r>
      <w:r w:rsidR="00E41BD0">
        <w:rPr>
          <w:lang w:val="en-US"/>
        </w:rPr>
        <w:t>i</w:t>
      </w:r>
      <w:r w:rsidR="00A9301D">
        <w:rPr>
          <w:lang w:val="en-US"/>
        </w:rPr>
        <w:t>tler now needed to pass the Enabling Act, to do this he needed a two thirds majority in the Reichstag</w:t>
      </w:r>
      <w:r w:rsidR="00E41BD0">
        <w:rPr>
          <w:rStyle w:val="FootnoteReference"/>
          <w:lang w:val="en-US"/>
        </w:rPr>
        <w:footnoteReference w:id="8"/>
      </w:r>
      <w:r w:rsidR="00A9301D">
        <w:rPr>
          <w:lang w:val="en-US"/>
        </w:rPr>
        <w:t xml:space="preserve">. </w:t>
      </w:r>
      <w:r w:rsidR="002A202B">
        <w:rPr>
          <w:lang w:val="en-US"/>
        </w:rPr>
        <w:t>On the day of the vote for the Enabling Act the communists were excluded from attending, the Catholic Center Party voted for the Enabling Act due to assurances made by the Nazi Party, and the Social Democrats were the only party that opposed the passing of the Enabling Act</w:t>
      </w:r>
      <w:r w:rsidR="00E41BD0">
        <w:rPr>
          <w:rStyle w:val="FootnoteReference"/>
          <w:lang w:val="en-US"/>
        </w:rPr>
        <w:footnoteReference w:id="9"/>
      </w:r>
      <w:r w:rsidR="002A202B">
        <w:rPr>
          <w:lang w:val="en-US"/>
        </w:rPr>
        <w:t>. This allowed the Act to pass 441-94</w:t>
      </w:r>
      <w:r w:rsidR="00E41BD0">
        <w:rPr>
          <w:rStyle w:val="FootnoteReference"/>
          <w:lang w:val="en-US"/>
        </w:rPr>
        <w:footnoteReference w:id="10"/>
      </w:r>
      <w:r w:rsidR="002A202B">
        <w:rPr>
          <w:lang w:val="en-US"/>
        </w:rPr>
        <w:t>.</w:t>
      </w:r>
      <w:r w:rsidR="001463CD">
        <w:rPr>
          <w:lang w:val="en-US"/>
        </w:rPr>
        <w:t xml:space="preserve"> The removal of this political boundary shows how Hitler abused the democratic system and allowed him to rise to power further as a dictator</w:t>
      </w:r>
      <w:r w:rsidR="002222FF">
        <w:rPr>
          <w:lang w:val="en-US"/>
        </w:rPr>
        <w:t>.</w:t>
      </w:r>
    </w:p>
    <w:p w14:paraId="323E4CCD" w14:textId="77777777" w:rsidR="00E41BD0" w:rsidRDefault="00E41BD0">
      <w:pPr>
        <w:rPr>
          <w:lang w:val="en-US"/>
        </w:rPr>
      </w:pPr>
    </w:p>
    <w:p w14:paraId="1B38A500" w14:textId="585B188A" w:rsidR="00520DA4" w:rsidRPr="00F93E95" w:rsidRDefault="00F93E95">
      <w:pPr>
        <w:rPr>
          <w:lang w:val="en-US"/>
        </w:rPr>
      </w:pPr>
      <w:r>
        <w:rPr>
          <w:lang w:val="en-US"/>
        </w:rPr>
        <w:t>Hitlers’ removal of political boundaries can also be seen to be violent, this is shown in the Night of the Long Knives. The Night of the Long Knives was an event lasting form June 30</w:t>
      </w:r>
      <w:r w:rsidRPr="00F93E95">
        <w:rPr>
          <w:vertAlign w:val="superscript"/>
          <w:lang w:val="en-US"/>
        </w:rPr>
        <w:t>th</w:t>
      </w:r>
      <w:r>
        <w:rPr>
          <w:lang w:val="en-US"/>
        </w:rPr>
        <w:t xml:space="preserve"> to July 2</w:t>
      </w:r>
      <w:r w:rsidRPr="00F93E95">
        <w:rPr>
          <w:vertAlign w:val="superscript"/>
          <w:lang w:val="en-US"/>
        </w:rPr>
        <w:t>nd</w:t>
      </w:r>
      <w:r>
        <w:rPr>
          <w:lang w:val="en-US"/>
        </w:rPr>
        <w:t xml:space="preserve"> 1934 where Hitler removed political opposition in his own political party</w:t>
      </w:r>
      <w:r w:rsidR="0097449E">
        <w:rPr>
          <w:rStyle w:val="FootnoteReference"/>
          <w:lang w:val="en-US"/>
        </w:rPr>
        <w:footnoteReference w:id="11"/>
      </w:r>
      <w:r>
        <w:rPr>
          <w:lang w:val="en-US"/>
        </w:rPr>
        <w:t xml:space="preserve">. </w:t>
      </w:r>
      <w:r w:rsidR="00185329">
        <w:rPr>
          <w:lang w:val="en-US"/>
        </w:rPr>
        <w:t xml:space="preserve">In </w:t>
      </w:r>
      <w:r>
        <w:rPr>
          <w:lang w:val="en-US"/>
        </w:rPr>
        <w:t>June 1934 Hitler had been the de facto dictator of Germany</w:t>
      </w:r>
      <w:r w:rsidR="00185329">
        <w:rPr>
          <w:lang w:val="en-US"/>
        </w:rPr>
        <w:t xml:space="preserve"> since the passing of the Enabling Act in March 1933</w:t>
      </w:r>
      <w:r w:rsidR="004306A1">
        <w:rPr>
          <w:rStyle w:val="FootnoteReference"/>
          <w:lang w:val="en-US"/>
        </w:rPr>
        <w:footnoteReference w:id="12"/>
      </w:r>
      <w:r w:rsidR="00185329">
        <w:rPr>
          <w:lang w:val="en-US"/>
        </w:rPr>
        <w:t xml:space="preserve">. Hitler believed that the SA and its leaders had become too powerful and were a threat to </w:t>
      </w:r>
      <w:r w:rsidR="00185329">
        <w:rPr>
          <w:lang w:val="en-US"/>
        </w:rPr>
        <w:lastRenderedPageBreak/>
        <w:t xml:space="preserve">his position as a dictator. </w:t>
      </w:r>
      <w:r w:rsidR="00D4486D">
        <w:rPr>
          <w:lang w:val="en-US"/>
        </w:rPr>
        <w:t>On June 30</w:t>
      </w:r>
      <w:r w:rsidR="00D4486D" w:rsidRPr="00D4486D">
        <w:rPr>
          <w:vertAlign w:val="superscript"/>
          <w:lang w:val="en-US"/>
        </w:rPr>
        <w:t>th</w:t>
      </w:r>
      <w:r w:rsidR="00D4486D">
        <w:rPr>
          <w:lang w:val="en-US"/>
        </w:rPr>
        <w:t xml:space="preserve"> 1934, on the pretext that Ernst Rohm, the leader of the SA, was planning a putsch, Hitler ordered the extermination of Ernst Rohm and the other leaders of the SA</w:t>
      </w:r>
      <w:r w:rsidR="00C966C0">
        <w:rPr>
          <w:rStyle w:val="FootnoteReference"/>
          <w:lang w:val="en-US"/>
        </w:rPr>
        <w:footnoteReference w:id="13"/>
      </w:r>
      <w:r w:rsidR="00D4486D">
        <w:rPr>
          <w:lang w:val="en-US"/>
        </w:rPr>
        <w:t>. Along with this, in a revenge act, Hitler also ordered the murder of people who had wronged him in the past. These people included Gustav Von Kahr, who got Hitler arrested and sent to prison for the failed Munich Putsch in November 1923</w:t>
      </w:r>
      <w:r w:rsidR="00650DBB">
        <w:rPr>
          <w:rStyle w:val="FootnoteReference"/>
          <w:lang w:val="en-US"/>
        </w:rPr>
        <w:footnoteReference w:id="14"/>
      </w:r>
      <w:r w:rsidR="00D4486D">
        <w:rPr>
          <w:lang w:val="en-US"/>
        </w:rPr>
        <w:t>.</w:t>
      </w:r>
      <w:r w:rsidR="00D076F3">
        <w:rPr>
          <w:lang w:val="en-US"/>
        </w:rPr>
        <w:t xml:space="preserve"> </w:t>
      </w:r>
      <w:r w:rsidR="00F54010">
        <w:rPr>
          <w:lang w:val="en-US"/>
        </w:rPr>
        <w:t>After the Night of the Long Knives, on July 13</w:t>
      </w:r>
      <w:r w:rsidR="00F54010" w:rsidRPr="00F54010">
        <w:rPr>
          <w:vertAlign w:val="superscript"/>
          <w:lang w:val="en-US"/>
        </w:rPr>
        <w:t>th</w:t>
      </w:r>
      <w:r w:rsidR="00F54010">
        <w:rPr>
          <w:lang w:val="en-US"/>
        </w:rPr>
        <w:t>, the Reichstag passed legislation legalizing the murder of the leaders of the SA</w:t>
      </w:r>
      <w:r w:rsidR="00F54010">
        <w:rPr>
          <w:rStyle w:val="FootnoteReference"/>
          <w:lang w:val="en-US"/>
        </w:rPr>
        <w:footnoteReference w:id="15"/>
      </w:r>
      <w:r w:rsidR="00F54010">
        <w:rPr>
          <w:lang w:val="en-US"/>
        </w:rPr>
        <w:t>.</w:t>
      </w:r>
    </w:p>
    <w:p w14:paraId="061652D9" w14:textId="6CE83610" w:rsidR="00E90CFD" w:rsidRDefault="009E127D">
      <w:pPr>
        <w:rPr>
          <w:lang w:val="en-US"/>
        </w:rPr>
      </w:pPr>
      <w:r>
        <w:rPr>
          <w:lang w:val="en-US"/>
        </w:rPr>
        <w:t>President Hindenburg is the final political boundary that Hitler needs to overcome to rise to power. At this time</w:t>
      </w:r>
      <w:r w:rsidR="00CA0900">
        <w:rPr>
          <w:lang w:val="en-US"/>
        </w:rPr>
        <w:t>,</w:t>
      </w:r>
      <w:r>
        <w:rPr>
          <w:lang w:val="en-US"/>
        </w:rPr>
        <w:t xml:space="preserve"> Hitler is still chancellor, even though he is effectively a de facto dictator. Due to this President Hindenburg can, at any time, remove Hitler from power. This means that Hitler had to wait for Hindenburg to die to remove the final boundary </w:t>
      </w:r>
      <w:r w:rsidR="0058328F">
        <w:rPr>
          <w:lang w:val="en-US"/>
        </w:rPr>
        <w:t>and rise to power as a de jure dictator.</w:t>
      </w:r>
      <w:r w:rsidR="00D540FE">
        <w:rPr>
          <w:lang w:val="en-US"/>
        </w:rPr>
        <w:t xml:space="preserve"> On August 2</w:t>
      </w:r>
      <w:r w:rsidR="00D540FE" w:rsidRPr="00D540FE">
        <w:rPr>
          <w:vertAlign w:val="superscript"/>
          <w:lang w:val="en-US"/>
        </w:rPr>
        <w:t>nd</w:t>
      </w:r>
      <w:r w:rsidR="00D540FE">
        <w:rPr>
          <w:lang w:val="en-US"/>
        </w:rPr>
        <w:t xml:space="preserve"> 1934 Hindenburg died, within 24 hours</w:t>
      </w:r>
      <w:r w:rsidR="00CA0900">
        <w:rPr>
          <w:lang w:val="en-US"/>
        </w:rPr>
        <w:t xml:space="preserve"> Hitler merged the roles of President and Chancellor and</w:t>
      </w:r>
      <w:r w:rsidR="00D540FE">
        <w:rPr>
          <w:lang w:val="en-US"/>
        </w:rPr>
        <w:t xml:space="preserve"> the military had to swear an oath to Hitler</w:t>
      </w:r>
      <w:r w:rsidR="00566967">
        <w:rPr>
          <w:rStyle w:val="FootnoteReference"/>
          <w:lang w:val="en-US"/>
        </w:rPr>
        <w:footnoteReference w:id="16"/>
      </w:r>
      <w:r w:rsidR="00CA0900">
        <w:rPr>
          <w:lang w:val="en-US"/>
        </w:rPr>
        <w:t xml:space="preserve">. </w:t>
      </w:r>
      <w:r w:rsidR="0027455A">
        <w:rPr>
          <w:lang w:val="en-US"/>
        </w:rPr>
        <w:t>On the 19</w:t>
      </w:r>
      <w:r w:rsidR="0027455A" w:rsidRPr="0027455A">
        <w:rPr>
          <w:vertAlign w:val="superscript"/>
          <w:lang w:val="en-US"/>
        </w:rPr>
        <w:t>th</w:t>
      </w:r>
      <w:r w:rsidR="0027455A">
        <w:rPr>
          <w:lang w:val="en-US"/>
        </w:rPr>
        <w:t xml:space="preserve"> August an election was called to vote on </w:t>
      </w:r>
      <w:r w:rsidR="00962FA1">
        <w:rPr>
          <w:lang w:val="en-US"/>
        </w:rPr>
        <w:t>whether</w:t>
      </w:r>
      <w:r w:rsidR="0027455A">
        <w:rPr>
          <w:lang w:val="en-US"/>
        </w:rPr>
        <w:t xml:space="preserve"> the German people approved of Hitler being the Fuhrer and the merging of the Presidency and Chancellorship</w:t>
      </w:r>
      <w:r w:rsidR="00566967">
        <w:rPr>
          <w:rStyle w:val="FootnoteReference"/>
          <w:lang w:val="en-US"/>
        </w:rPr>
        <w:footnoteReference w:id="17"/>
      </w:r>
      <w:r w:rsidR="0027455A">
        <w:rPr>
          <w:lang w:val="en-US"/>
        </w:rPr>
        <w:t xml:space="preserve">. </w:t>
      </w:r>
      <w:r w:rsidR="00A4087C">
        <w:rPr>
          <w:lang w:val="en-US"/>
        </w:rPr>
        <w:t>Ninety</w:t>
      </w:r>
      <w:r w:rsidR="0027455A">
        <w:rPr>
          <w:lang w:val="en-US"/>
        </w:rPr>
        <w:t xml:space="preserve"> percent of people voted in approval of the merging of the two roles and of Hitler as the Fuhrer</w:t>
      </w:r>
      <w:r w:rsidR="00566967">
        <w:rPr>
          <w:rStyle w:val="FootnoteReference"/>
          <w:lang w:val="en-US"/>
        </w:rPr>
        <w:footnoteReference w:id="18"/>
      </w:r>
      <w:r w:rsidR="0027455A">
        <w:rPr>
          <w:lang w:val="en-US"/>
        </w:rPr>
        <w:t>. This peacefully removed the final political boundary that Hitler needed to rise to power as a dictator.</w:t>
      </w:r>
      <w:r w:rsidR="00E90CFD">
        <w:rPr>
          <w:lang w:val="en-US"/>
        </w:rPr>
        <w:t xml:space="preserve"> </w:t>
      </w:r>
    </w:p>
    <w:p w14:paraId="1F47DA98" w14:textId="48C4CEFB" w:rsidR="00520DA4" w:rsidRPr="009E127D" w:rsidRDefault="00E90CFD">
      <w:pPr>
        <w:rPr>
          <w:lang w:val="en-US"/>
        </w:rPr>
      </w:pPr>
      <w:r>
        <w:rPr>
          <w:lang w:val="en-US"/>
        </w:rPr>
        <w:t xml:space="preserve">Overall, Hitler mainly removed political boundaries peacefully by abusing the political system to become a dictator. However, there </w:t>
      </w:r>
      <w:r w:rsidR="009C3361">
        <w:rPr>
          <w:lang w:val="en-US"/>
        </w:rPr>
        <w:t xml:space="preserve">was some violence in removing political boundaries, such as the Night of the Long Knives. </w:t>
      </w:r>
      <w:r w:rsidR="00D540FE">
        <w:rPr>
          <w:lang w:val="en-US"/>
        </w:rPr>
        <w:t xml:space="preserve"> </w:t>
      </w:r>
    </w:p>
    <w:p w14:paraId="018AC067" w14:textId="77777777" w:rsidR="00520DA4" w:rsidRDefault="00520DA4">
      <w:pPr>
        <w:rPr>
          <w:u w:val="single"/>
          <w:lang w:val="en-US"/>
        </w:rPr>
      </w:pPr>
    </w:p>
    <w:p w14:paraId="10EEE0DC" w14:textId="77777777" w:rsidR="000C07BD" w:rsidRDefault="000C07BD">
      <w:pPr>
        <w:rPr>
          <w:u w:val="single"/>
          <w:lang w:val="en-US"/>
        </w:rPr>
      </w:pPr>
    </w:p>
    <w:p w14:paraId="0C89C820" w14:textId="77777777" w:rsidR="000C07BD" w:rsidRDefault="000C07BD">
      <w:pPr>
        <w:rPr>
          <w:u w:val="single"/>
          <w:lang w:val="en-US"/>
        </w:rPr>
      </w:pPr>
    </w:p>
    <w:p w14:paraId="523B80B2" w14:textId="77777777" w:rsidR="000C07BD" w:rsidRDefault="000C07BD">
      <w:pPr>
        <w:rPr>
          <w:u w:val="single"/>
          <w:lang w:val="en-US"/>
        </w:rPr>
      </w:pPr>
    </w:p>
    <w:p w14:paraId="537AC156" w14:textId="77777777" w:rsidR="000C07BD" w:rsidRDefault="000C07BD">
      <w:pPr>
        <w:rPr>
          <w:u w:val="single"/>
          <w:lang w:val="en-US"/>
        </w:rPr>
      </w:pPr>
    </w:p>
    <w:p w14:paraId="73EB200B" w14:textId="77777777" w:rsidR="000C07BD" w:rsidRDefault="000C07BD">
      <w:pPr>
        <w:rPr>
          <w:u w:val="single"/>
          <w:lang w:val="en-US"/>
        </w:rPr>
      </w:pPr>
    </w:p>
    <w:p w14:paraId="14ABD6B2" w14:textId="77777777" w:rsidR="000C07BD" w:rsidRDefault="000C07BD">
      <w:pPr>
        <w:rPr>
          <w:u w:val="single"/>
          <w:lang w:val="en-US"/>
        </w:rPr>
      </w:pPr>
    </w:p>
    <w:p w14:paraId="148BA59B" w14:textId="77777777" w:rsidR="000C07BD" w:rsidRDefault="000C07BD">
      <w:pPr>
        <w:rPr>
          <w:u w:val="single"/>
          <w:lang w:val="en-US"/>
        </w:rPr>
      </w:pPr>
    </w:p>
    <w:p w14:paraId="207A069A" w14:textId="77777777" w:rsidR="000C07BD" w:rsidRDefault="000C07BD">
      <w:pPr>
        <w:rPr>
          <w:u w:val="single"/>
          <w:lang w:val="en-US"/>
        </w:rPr>
      </w:pPr>
    </w:p>
    <w:p w14:paraId="580B1496" w14:textId="77777777" w:rsidR="000C07BD" w:rsidRDefault="000C07BD">
      <w:pPr>
        <w:rPr>
          <w:u w:val="single"/>
          <w:lang w:val="en-US"/>
        </w:rPr>
      </w:pPr>
    </w:p>
    <w:p w14:paraId="6F6DAB98" w14:textId="77777777" w:rsidR="000C07BD" w:rsidRDefault="000C07BD">
      <w:pPr>
        <w:rPr>
          <w:u w:val="single"/>
          <w:lang w:val="en-US"/>
        </w:rPr>
      </w:pPr>
    </w:p>
    <w:p w14:paraId="4B466580" w14:textId="77777777" w:rsidR="000C07BD" w:rsidRDefault="000C07BD">
      <w:pPr>
        <w:rPr>
          <w:u w:val="single"/>
          <w:lang w:val="en-US"/>
        </w:rPr>
      </w:pPr>
    </w:p>
    <w:p w14:paraId="28130A21" w14:textId="77777777" w:rsidR="000C07BD" w:rsidRDefault="000C07BD">
      <w:pPr>
        <w:rPr>
          <w:u w:val="single"/>
          <w:lang w:val="en-US"/>
        </w:rPr>
      </w:pPr>
    </w:p>
    <w:p w14:paraId="164288E0" w14:textId="66B0CF71" w:rsidR="00E41BD0" w:rsidRDefault="00E41BD0">
      <w:pPr>
        <w:rPr>
          <w:u w:val="single"/>
          <w:lang w:val="en-US"/>
        </w:rPr>
      </w:pPr>
      <w:r w:rsidRPr="00E41BD0">
        <w:rPr>
          <w:u w:val="single"/>
          <w:lang w:val="en-US"/>
        </w:rPr>
        <w:lastRenderedPageBreak/>
        <w:t>Bibliography</w:t>
      </w:r>
      <w:r>
        <w:rPr>
          <w:u w:val="single"/>
          <w:lang w:val="en-US"/>
        </w:rPr>
        <w:t xml:space="preserve"> </w:t>
      </w:r>
    </w:p>
    <w:p w14:paraId="14E9F70F" w14:textId="22AD99D0" w:rsidR="00520DA4" w:rsidRDefault="00520DA4" w:rsidP="00B913D4">
      <w:pPr>
        <w:pStyle w:val="ListParagraph"/>
        <w:numPr>
          <w:ilvl w:val="0"/>
          <w:numId w:val="2"/>
        </w:numPr>
        <w:rPr>
          <w:rFonts w:cs="Calibri"/>
        </w:rPr>
      </w:pPr>
      <w:proofErr w:type="spellStart"/>
      <w:r w:rsidRPr="00520DA4">
        <w:rPr>
          <w:rFonts w:cs="Calibri"/>
          <w:i/>
          <w:iCs/>
        </w:rPr>
        <w:t>Encyclopedia</w:t>
      </w:r>
      <w:proofErr w:type="spellEnd"/>
      <w:r w:rsidRPr="00520DA4">
        <w:rPr>
          <w:rFonts w:cs="Calibri"/>
          <w:i/>
          <w:iCs/>
        </w:rPr>
        <w:t xml:space="preserve"> Britannica</w:t>
      </w:r>
      <w:r w:rsidRPr="00520DA4">
        <w:rPr>
          <w:rFonts w:cs="Calibri"/>
        </w:rPr>
        <w:t>, April 26, 2024, ‘Enabling Act’. Available: </w:t>
      </w:r>
      <w:hyperlink r:id="rId8" w:tgtFrame="_blank" w:history="1">
        <w:r w:rsidRPr="00520DA4">
          <w:rPr>
            <w:rStyle w:val="Hyperlink"/>
            <w:rFonts w:cs="Calibri"/>
          </w:rPr>
          <w:t>https://www.britannica.com/topic/Enabling-Act</w:t>
        </w:r>
      </w:hyperlink>
      <w:r w:rsidRPr="00520DA4">
        <w:rPr>
          <w:rFonts w:cs="Calibri"/>
        </w:rPr>
        <w:t xml:space="preserve">. Accessed: </w:t>
      </w:r>
      <w:r w:rsidR="00B913D4">
        <w:rPr>
          <w:rFonts w:cs="Calibri"/>
        </w:rPr>
        <w:t>1</w:t>
      </w:r>
      <w:r w:rsidR="00D37263">
        <w:rPr>
          <w:rFonts w:cs="Calibri"/>
        </w:rPr>
        <w:t>7</w:t>
      </w:r>
      <w:r w:rsidR="00B913D4">
        <w:rPr>
          <w:rFonts w:cs="Calibri"/>
        </w:rPr>
        <w:t xml:space="preserve"> </w:t>
      </w:r>
      <w:r w:rsidRPr="00520DA4">
        <w:rPr>
          <w:rFonts w:cs="Calibri"/>
        </w:rPr>
        <w:t>November 2024.</w:t>
      </w:r>
      <w:r w:rsidR="00D53B64">
        <w:rPr>
          <w:rFonts w:cs="Calibri"/>
        </w:rPr>
        <w:t xml:space="preserve"> </w:t>
      </w:r>
    </w:p>
    <w:p w14:paraId="0DA17886" w14:textId="441552D7" w:rsidR="00D53B64" w:rsidRPr="00B913D4" w:rsidRDefault="00D53B64" w:rsidP="00B913D4">
      <w:pPr>
        <w:pStyle w:val="ListParagraph"/>
        <w:numPr>
          <w:ilvl w:val="0"/>
          <w:numId w:val="2"/>
        </w:numPr>
        <w:rPr>
          <w:rFonts w:cs="Calibri"/>
        </w:rPr>
      </w:pPr>
      <w:proofErr w:type="spellStart"/>
      <w:r>
        <w:rPr>
          <w:rFonts w:cs="Calibri"/>
          <w:i/>
          <w:iCs/>
        </w:rPr>
        <w:t>Encycloedia</w:t>
      </w:r>
      <w:proofErr w:type="spellEnd"/>
      <w:r>
        <w:rPr>
          <w:rFonts w:cs="Calibri"/>
          <w:i/>
          <w:iCs/>
        </w:rPr>
        <w:t xml:space="preserve"> Britannica, </w:t>
      </w:r>
      <w:r>
        <w:rPr>
          <w:rFonts w:cs="Calibri"/>
        </w:rPr>
        <w:t xml:space="preserve">June 26, 2024, ‘Gustav Ritter Von Kahr’, Available: </w:t>
      </w:r>
      <w:hyperlink r:id="rId9" w:history="1">
        <w:r w:rsidRPr="00EC6FE6">
          <w:rPr>
            <w:rStyle w:val="Hyperlink"/>
            <w:rFonts w:cs="Calibri"/>
          </w:rPr>
          <w:t>https://www.britannica.com/biography/Gustav-Ritter-von-Kahr</w:t>
        </w:r>
      </w:hyperlink>
      <w:r>
        <w:rPr>
          <w:rFonts w:cs="Calibri"/>
        </w:rPr>
        <w:t>. Accessed: 17 November 2024.</w:t>
      </w:r>
    </w:p>
    <w:p w14:paraId="66F3E2DB" w14:textId="77A39C8C" w:rsidR="00B913D4" w:rsidRDefault="00B913D4" w:rsidP="00B913D4">
      <w:pPr>
        <w:pStyle w:val="ListParagraph"/>
        <w:numPr>
          <w:ilvl w:val="0"/>
          <w:numId w:val="2"/>
        </w:numPr>
        <w:rPr>
          <w:rFonts w:cs="Calibri"/>
        </w:rPr>
      </w:pPr>
      <w:proofErr w:type="spellStart"/>
      <w:r w:rsidRPr="00B913D4">
        <w:rPr>
          <w:rFonts w:cs="Calibri"/>
          <w:i/>
          <w:iCs/>
        </w:rPr>
        <w:t>Encyclopedia</w:t>
      </w:r>
      <w:proofErr w:type="spellEnd"/>
      <w:r w:rsidRPr="00B913D4">
        <w:rPr>
          <w:rFonts w:cs="Calibri"/>
          <w:i/>
          <w:iCs/>
        </w:rPr>
        <w:t xml:space="preserve"> Britannica</w:t>
      </w:r>
      <w:r w:rsidRPr="00B913D4">
        <w:rPr>
          <w:rFonts w:cs="Calibri"/>
        </w:rPr>
        <w:t>, October 23, 2024, ‘The Nazi Party and Hitlers Rise to Power’. Available: </w:t>
      </w:r>
      <w:hyperlink r:id="rId10" w:tgtFrame="_blank" w:history="1">
        <w:r w:rsidRPr="00B913D4">
          <w:rPr>
            <w:rStyle w:val="Hyperlink"/>
            <w:rFonts w:cs="Calibri"/>
          </w:rPr>
          <w:t>https://www.britannica.com/topic/Nazi-Party/The-Nazi-Party-and-Hitlers-rise-to-power</w:t>
        </w:r>
      </w:hyperlink>
      <w:r w:rsidRPr="00B913D4">
        <w:rPr>
          <w:rFonts w:cs="Calibri"/>
        </w:rPr>
        <w:t xml:space="preserve">. Accessed: </w:t>
      </w:r>
      <w:r>
        <w:rPr>
          <w:rFonts w:cs="Calibri"/>
        </w:rPr>
        <w:t>15</w:t>
      </w:r>
      <w:r w:rsidRPr="00B913D4">
        <w:rPr>
          <w:rFonts w:cs="Calibri"/>
        </w:rPr>
        <w:t xml:space="preserve"> November 2024.</w:t>
      </w:r>
      <w:r w:rsidR="007160E8">
        <w:rPr>
          <w:rFonts w:cs="Calibri"/>
        </w:rPr>
        <w:t xml:space="preserve"> </w:t>
      </w:r>
    </w:p>
    <w:p w14:paraId="6CC0C33A" w14:textId="5AB108C3" w:rsidR="007160E8" w:rsidRPr="007160E8" w:rsidRDefault="007160E8" w:rsidP="007160E8">
      <w:pPr>
        <w:pStyle w:val="ListParagraph"/>
        <w:numPr>
          <w:ilvl w:val="0"/>
          <w:numId w:val="2"/>
        </w:numPr>
        <w:rPr>
          <w:rFonts w:cs="Calibri"/>
        </w:rPr>
      </w:pPr>
      <w:proofErr w:type="spellStart"/>
      <w:r w:rsidRPr="007160E8">
        <w:rPr>
          <w:rFonts w:cs="Calibri"/>
          <w:i/>
          <w:iCs/>
        </w:rPr>
        <w:t>Gellately</w:t>
      </w:r>
      <w:proofErr w:type="spellEnd"/>
      <w:r w:rsidRPr="007160E8">
        <w:rPr>
          <w:rFonts w:cs="Calibri"/>
          <w:i/>
          <w:iCs/>
        </w:rPr>
        <w:t>, R</w:t>
      </w:r>
      <w:r w:rsidRPr="007160E8">
        <w:rPr>
          <w:rFonts w:cs="Calibri"/>
        </w:rPr>
        <w:t>., 2023. ‘The Oxford history of the third Reich’</w:t>
      </w:r>
      <w:r w:rsidRPr="007160E8">
        <w:rPr>
          <w:rFonts w:cs="Calibri"/>
          <w:i/>
          <w:iCs/>
        </w:rPr>
        <w:t>. </w:t>
      </w:r>
      <w:r w:rsidRPr="007160E8">
        <w:rPr>
          <w:rFonts w:cs="Calibri"/>
        </w:rPr>
        <w:t xml:space="preserve">Oxford, UK: Oxford University Press. pp. </w:t>
      </w:r>
      <w:r>
        <w:rPr>
          <w:rFonts w:cs="Calibri"/>
        </w:rPr>
        <w:t>1-</w:t>
      </w:r>
      <w:r w:rsidRPr="007160E8">
        <w:rPr>
          <w:rFonts w:cs="Calibri"/>
        </w:rPr>
        <w:t xml:space="preserve">51. Accessed: </w:t>
      </w:r>
      <w:r>
        <w:rPr>
          <w:rFonts w:cs="Calibri"/>
        </w:rPr>
        <w:t>15</w:t>
      </w:r>
      <w:r w:rsidRPr="007160E8">
        <w:rPr>
          <w:rFonts w:cs="Calibri"/>
        </w:rPr>
        <w:t xml:space="preserve"> November 2024.</w:t>
      </w:r>
    </w:p>
    <w:p w14:paraId="1BC72B1E" w14:textId="06DAC4CC" w:rsidR="007160E8" w:rsidRDefault="007160E8" w:rsidP="007160E8">
      <w:pPr>
        <w:pStyle w:val="ListParagraph"/>
        <w:numPr>
          <w:ilvl w:val="0"/>
          <w:numId w:val="2"/>
        </w:numPr>
        <w:rPr>
          <w:rFonts w:cs="Calibri"/>
        </w:rPr>
      </w:pPr>
      <w:proofErr w:type="spellStart"/>
      <w:r w:rsidRPr="007160E8">
        <w:rPr>
          <w:rFonts w:cs="Calibri"/>
          <w:i/>
          <w:iCs/>
        </w:rPr>
        <w:t>Gellately</w:t>
      </w:r>
      <w:proofErr w:type="spellEnd"/>
      <w:r w:rsidRPr="007160E8">
        <w:rPr>
          <w:rFonts w:cs="Calibri"/>
          <w:i/>
          <w:iCs/>
        </w:rPr>
        <w:t>, R</w:t>
      </w:r>
      <w:r w:rsidRPr="007160E8">
        <w:rPr>
          <w:rFonts w:cs="Calibri"/>
        </w:rPr>
        <w:t>., 2023. ‘The Oxford history of the third Reich’</w:t>
      </w:r>
      <w:r w:rsidRPr="007160E8">
        <w:rPr>
          <w:rFonts w:cs="Calibri"/>
          <w:i/>
          <w:iCs/>
        </w:rPr>
        <w:t>. </w:t>
      </w:r>
      <w:r w:rsidRPr="007160E8">
        <w:rPr>
          <w:rFonts w:cs="Calibri"/>
        </w:rPr>
        <w:t xml:space="preserve">Oxford, UK: Oxford University Press. pp. 51-81. Accessed: </w:t>
      </w:r>
      <w:r>
        <w:rPr>
          <w:rFonts w:cs="Calibri"/>
        </w:rPr>
        <w:t>15</w:t>
      </w:r>
      <w:r w:rsidRPr="007160E8">
        <w:rPr>
          <w:rFonts w:cs="Calibri"/>
        </w:rPr>
        <w:t xml:space="preserve"> November 2024.</w:t>
      </w:r>
    </w:p>
    <w:p w14:paraId="5A0EFE96" w14:textId="26F2525B" w:rsidR="00D37263" w:rsidRPr="008C69DA" w:rsidRDefault="00D37263" w:rsidP="008C69DA">
      <w:pPr>
        <w:pStyle w:val="ListParagraph"/>
        <w:numPr>
          <w:ilvl w:val="0"/>
          <w:numId w:val="2"/>
        </w:numPr>
        <w:rPr>
          <w:rFonts w:cs="Calibri"/>
        </w:rPr>
      </w:pPr>
      <w:proofErr w:type="spellStart"/>
      <w:r w:rsidRPr="00D37263">
        <w:rPr>
          <w:rFonts w:cs="Calibri"/>
          <w:i/>
          <w:iCs/>
        </w:rPr>
        <w:t>Ronchini</w:t>
      </w:r>
      <w:proofErr w:type="spellEnd"/>
      <w:r w:rsidRPr="00D37263">
        <w:rPr>
          <w:rFonts w:cs="Calibri"/>
          <w:i/>
          <w:iCs/>
        </w:rPr>
        <w:t>, M</w:t>
      </w:r>
      <w:r w:rsidRPr="00D37263">
        <w:rPr>
          <w:rFonts w:cs="Calibri"/>
        </w:rPr>
        <w:t xml:space="preserve"> and </w:t>
      </w:r>
      <w:r w:rsidRPr="00D37263">
        <w:rPr>
          <w:rFonts w:cs="Calibri"/>
          <w:i/>
          <w:iCs/>
        </w:rPr>
        <w:t xml:space="preserve">The Collector, </w:t>
      </w:r>
      <w:r w:rsidRPr="00D37263">
        <w:rPr>
          <w:rFonts w:cs="Calibri"/>
        </w:rPr>
        <w:t>May 25, 2024, ‘The Night of the Long Knives: How the Nazis Purged the SA’. Available: </w:t>
      </w:r>
      <w:hyperlink r:id="rId11" w:tgtFrame="_blank" w:history="1">
        <w:r w:rsidRPr="00D37263">
          <w:rPr>
            <w:rStyle w:val="Hyperlink"/>
            <w:rFonts w:cs="Calibri"/>
          </w:rPr>
          <w:t>https://www.thecollector.com/night-long-knives-nazi-sa/</w:t>
        </w:r>
      </w:hyperlink>
      <w:r w:rsidRPr="00D37263">
        <w:rPr>
          <w:rFonts w:cs="Calibri"/>
        </w:rPr>
        <w:t xml:space="preserve">. Accessed: </w:t>
      </w:r>
      <w:r>
        <w:rPr>
          <w:rFonts w:cs="Calibri"/>
        </w:rPr>
        <w:t>17</w:t>
      </w:r>
      <w:r w:rsidRPr="00D37263">
        <w:rPr>
          <w:rFonts w:cs="Calibri"/>
        </w:rPr>
        <w:t xml:space="preserve"> November 2024.</w:t>
      </w:r>
    </w:p>
    <w:p w14:paraId="33828ECE" w14:textId="152CAF95" w:rsidR="00D37263" w:rsidRPr="00D37263" w:rsidRDefault="00D37263" w:rsidP="00D37263">
      <w:pPr>
        <w:pStyle w:val="ListParagraph"/>
        <w:numPr>
          <w:ilvl w:val="0"/>
          <w:numId w:val="2"/>
        </w:numPr>
        <w:rPr>
          <w:rFonts w:cs="Calibri"/>
        </w:rPr>
      </w:pPr>
      <w:r w:rsidRPr="00D37263">
        <w:rPr>
          <w:rFonts w:cs="Calibri"/>
          <w:i/>
          <w:iCs/>
        </w:rPr>
        <w:t>The Holocaust Explained</w:t>
      </w:r>
      <w:r w:rsidRPr="00D37263">
        <w:rPr>
          <w:rFonts w:cs="Calibri"/>
        </w:rPr>
        <w:t>, ‘How did the Nazi consolidate power?’. Available: </w:t>
      </w:r>
      <w:hyperlink r:id="rId12" w:tgtFrame="_blank" w:history="1">
        <w:r w:rsidRPr="00D37263">
          <w:rPr>
            <w:rStyle w:val="Hyperlink"/>
            <w:rFonts w:cs="Calibri"/>
          </w:rPr>
          <w:t>https://www.theholocaustexplained.org/the-nazi-rise-to-power/how-did-the-nazi-gain-power/</w:t>
        </w:r>
      </w:hyperlink>
      <w:r w:rsidRPr="00D37263">
        <w:rPr>
          <w:rFonts w:cs="Calibri"/>
        </w:rPr>
        <w:t xml:space="preserve">. Accessed: </w:t>
      </w:r>
      <w:r>
        <w:rPr>
          <w:rFonts w:cs="Calibri"/>
        </w:rPr>
        <w:t xml:space="preserve">17 </w:t>
      </w:r>
      <w:r w:rsidRPr="00D37263">
        <w:rPr>
          <w:rFonts w:cs="Calibri"/>
        </w:rPr>
        <w:t xml:space="preserve">November 2024. </w:t>
      </w:r>
    </w:p>
    <w:p w14:paraId="1E930742" w14:textId="0FAEC66F" w:rsidR="00E41BD0" w:rsidRPr="00520DA4" w:rsidRDefault="00E41BD0" w:rsidP="00520DA4">
      <w:pPr>
        <w:rPr>
          <w:lang w:val="en-US"/>
        </w:rPr>
      </w:pPr>
    </w:p>
    <w:sectPr w:rsidR="00E41BD0" w:rsidRPr="00520D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DA0FD7" w14:textId="77777777" w:rsidR="00AD7CFB" w:rsidRDefault="00AD7CFB" w:rsidP="00627036">
      <w:pPr>
        <w:spacing w:after="0" w:line="240" w:lineRule="auto"/>
      </w:pPr>
      <w:r>
        <w:separator/>
      </w:r>
    </w:p>
  </w:endnote>
  <w:endnote w:type="continuationSeparator" w:id="0">
    <w:p w14:paraId="5516D5CC" w14:textId="77777777" w:rsidR="00AD7CFB" w:rsidRDefault="00AD7CFB" w:rsidP="00627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A39B8D" w14:textId="77777777" w:rsidR="00AD7CFB" w:rsidRDefault="00AD7CFB" w:rsidP="00627036">
      <w:pPr>
        <w:spacing w:after="0" w:line="240" w:lineRule="auto"/>
      </w:pPr>
      <w:r>
        <w:separator/>
      </w:r>
    </w:p>
  </w:footnote>
  <w:footnote w:type="continuationSeparator" w:id="0">
    <w:p w14:paraId="2F32CD00" w14:textId="77777777" w:rsidR="00AD7CFB" w:rsidRDefault="00AD7CFB" w:rsidP="00627036">
      <w:pPr>
        <w:spacing w:after="0" w:line="240" w:lineRule="auto"/>
      </w:pPr>
      <w:r>
        <w:continuationSeparator/>
      </w:r>
    </w:p>
  </w:footnote>
  <w:footnote w:id="1">
    <w:p w14:paraId="13C1A74F" w14:textId="16929911" w:rsidR="00627036" w:rsidRPr="00627036" w:rsidRDefault="00627036">
      <w:pPr>
        <w:pStyle w:val="FootnoteText"/>
        <w:rPr>
          <w:lang w:val="en-US"/>
        </w:rPr>
      </w:pPr>
      <w:r>
        <w:rPr>
          <w:rStyle w:val="FootnoteReference"/>
        </w:rPr>
        <w:footnoteRef/>
      </w:r>
      <w:r>
        <w:t xml:space="preserve"> </w:t>
      </w:r>
      <w:r>
        <w:rPr>
          <w:i/>
          <w:iCs/>
          <w:lang w:val="en-US"/>
        </w:rPr>
        <w:t xml:space="preserve">Encyclopedia Britannica, </w:t>
      </w:r>
      <w:r>
        <w:rPr>
          <w:lang w:val="en-US"/>
        </w:rPr>
        <w:t>‘The Nazi Party and Hitler’s Rise to Power’, (Accessed: 15</w:t>
      </w:r>
      <w:r w:rsidRPr="00627036">
        <w:rPr>
          <w:vertAlign w:val="superscript"/>
          <w:lang w:val="en-US"/>
        </w:rPr>
        <w:t>th</w:t>
      </w:r>
      <w:r>
        <w:rPr>
          <w:lang w:val="en-US"/>
        </w:rPr>
        <w:t xml:space="preserve"> November 2024</w:t>
      </w:r>
      <w:r w:rsidR="00442AAA">
        <w:rPr>
          <w:lang w:val="en-US"/>
        </w:rPr>
        <w:t>)</w:t>
      </w:r>
    </w:p>
  </w:footnote>
  <w:footnote w:id="2">
    <w:p w14:paraId="63CC2855" w14:textId="73EE4323" w:rsidR="00442AAA" w:rsidRPr="00442AAA" w:rsidRDefault="00442AAA">
      <w:pPr>
        <w:pStyle w:val="FootnoteText"/>
        <w:rPr>
          <w:lang w:val="en-US"/>
        </w:rPr>
      </w:pPr>
      <w:r>
        <w:rPr>
          <w:rStyle w:val="FootnoteReference"/>
        </w:rPr>
        <w:footnoteRef/>
      </w:r>
      <w:r>
        <w:t xml:space="preserve"> </w:t>
      </w:r>
      <w:r>
        <w:rPr>
          <w:lang w:val="en-US"/>
        </w:rPr>
        <w:t xml:space="preserve">Ibid: </w:t>
      </w:r>
      <w:r>
        <w:rPr>
          <w:i/>
          <w:iCs/>
          <w:lang w:val="en-US"/>
        </w:rPr>
        <w:t xml:space="preserve">Encyclopedia Britannica, </w:t>
      </w:r>
      <w:r>
        <w:rPr>
          <w:lang w:val="en-US"/>
        </w:rPr>
        <w:t>‘The Nazi Party and Hitler’s Rise to Power’, (Accessed: 15</w:t>
      </w:r>
      <w:r w:rsidRPr="00627036">
        <w:rPr>
          <w:vertAlign w:val="superscript"/>
          <w:lang w:val="en-US"/>
        </w:rPr>
        <w:t>th</w:t>
      </w:r>
      <w:r>
        <w:rPr>
          <w:lang w:val="en-US"/>
        </w:rPr>
        <w:t xml:space="preserve"> November 2024)</w:t>
      </w:r>
    </w:p>
  </w:footnote>
  <w:footnote w:id="3">
    <w:p w14:paraId="2DE2EACB" w14:textId="4E96BE60" w:rsidR="003E1AF5" w:rsidRPr="003E1AF5" w:rsidRDefault="003E1AF5">
      <w:pPr>
        <w:pStyle w:val="FootnoteText"/>
        <w:rPr>
          <w:lang w:val="en-US"/>
        </w:rPr>
      </w:pPr>
      <w:r>
        <w:rPr>
          <w:rStyle w:val="FootnoteReference"/>
        </w:rPr>
        <w:footnoteRef/>
      </w:r>
      <w:r>
        <w:t xml:space="preserve"> </w:t>
      </w:r>
      <w:r>
        <w:rPr>
          <w:lang w:val="en-US"/>
        </w:rPr>
        <w:t xml:space="preserve">Ibid: </w:t>
      </w:r>
      <w:r>
        <w:rPr>
          <w:i/>
          <w:iCs/>
          <w:lang w:val="en-US"/>
        </w:rPr>
        <w:t xml:space="preserve">Encyclopedia Britannica, </w:t>
      </w:r>
      <w:r>
        <w:rPr>
          <w:lang w:val="en-US"/>
        </w:rPr>
        <w:t>‘The Nazi Party and Hitler’s Rise to Power’, (Accessed: 15</w:t>
      </w:r>
      <w:r w:rsidRPr="00627036">
        <w:rPr>
          <w:vertAlign w:val="superscript"/>
          <w:lang w:val="en-US"/>
        </w:rPr>
        <w:t>th</w:t>
      </w:r>
      <w:r>
        <w:rPr>
          <w:lang w:val="en-US"/>
        </w:rPr>
        <w:t xml:space="preserve"> November 2024)</w:t>
      </w:r>
    </w:p>
  </w:footnote>
  <w:footnote w:id="4">
    <w:p w14:paraId="424B9427" w14:textId="44C70273" w:rsidR="00C111D8" w:rsidRPr="00C111D8" w:rsidRDefault="00C111D8">
      <w:pPr>
        <w:pStyle w:val="FootnoteText"/>
        <w:rPr>
          <w:lang w:val="en-US"/>
        </w:rPr>
      </w:pPr>
      <w:r>
        <w:rPr>
          <w:rStyle w:val="FootnoteReference"/>
        </w:rPr>
        <w:footnoteRef/>
      </w:r>
      <w:r>
        <w:t xml:space="preserve"> </w:t>
      </w:r>
      <w:proofErr w:type="spellStart"/>
      <w:r w:rsidRPr="00135FC3">
        <w:rPr>
          <w:rFonts w:cs="Calibri"/>
          <w:i/>
          <w:iCs/>
        </w:rPr>
        <w:t>Gellately</w:t>
      </w:r>
      <w:proofErr w:type="spellEnd"/>
      <w:r w:rsidRPr="00135FC3">
        <w:rPr>
          <w:rFonts w:cs="Calibri"/>
          <w:i/>
          <w:iCs/>
        </w:rPr>
        <w:t>, R</w:t>
      </w:r>
      <w:r w:rsidRPr="00135FC3">
        <w:rPr>
          <w:rFonts w:cs="Calibri"/>
        </w:rPr>
        <w:t>.</w:t>
      </w:r>
      <w:r>
        <w:rPr>
          <w:rFonts w:cs="Calibri"/>
        </w:rPr>
        <w:t>, ‘The Oxford History of the Third Reich’, (Accessed: 15</w:t>
      </w:r>
      <w:r w:rsidRPr="00C111D8">
        <w:rPr>
          <w:rFonts w:cs="Calibri"/>
          <w:vertAlign w:val="superscript"/>
        </w:rPr>
        <w:t>th</w:t>
      </w:r>
      <w:r>
        <w:rPr>
          <w:rFonts w:cs="Calibri"/>
        </w:rPr>
        <w:t xml:space="preserve"> November 2024)</w:t>
      </w:r>
    </w:p>
  </w:footnote>
  <w:footnote w:id="5">
    <w:p w14:paraId="1F19C1FB" w14:textId="7A8F2B12" w:rsidR="000D6D5B" w:rsidRPr="000D6D5B" w:rsidRDefault="000D6D5B">
      <w:pPr>
        <w:pStyle w:val="FootnoteText"/>
        <w:rPr>
          <w:lang w:val="en-US"/>
        </w:rPr>
      </w:pPr>
      <w:r>
        <w:rPr>
          <w:rStyle w:val="FootnoteReference"/>
        </w:rPr>
        <w:footnoteRef/>
      </w:r>
      <w:r>
        <w:t xml:space="preserve"> </w:t>
      </w:r>
      <w:r>
        <w:rPr>
          <w:lang w:val="en-US"/>
        </w:rPr>
        <w:t xml:space="preserve">Ibid: </w:t>
      </w:r>
      <w:proofErr w:type="spellStart"/>
      <w:r w:rsidRPr="00135FC3">
        <w:rPr>
          <w:rFonts w:cs="Calibri"/>
          <w:i/>
          <w:iCs/>
        </w:rPr>
        <w:t>Gellately</w:t>
      </w:r>
      <w:proofErr w:type="spellEnd"/>
      <w:r w:rsidRPr="00135FC3">
        <w:rPr>
          <w:rFonts w:cs="Calibri"/>
          <w:i/>
          <w:iCs/>
        </w:rPr>
        <w:t>, R</w:t>
      </w:r>
      <w:r w:rsidRPr="00135FC3">
        <w:rPr>
          <w:rFonts w:cs="Calibri"/>
        </w:rPr>
        <w:t>.</w:t>
      </w:r>
      <w:r>
        <w:rPr>
          <w:rFonts w:cs="Calibri"/>
        </w:rPr>
        <w:t>, ‘The Oxford History of the Third Reich’, (Accessed: 15</w:t>
      </w:r>
      <w:r w:rsidRPr="00C111D8">
        <w:rPr>
          <w:rFonts w:cs="Calibri"/>
          <w:vertAlign w:val="superscript"/>
        </w:rPr>
        <w:t>th</w:t>
      </w:r>
      <w:r>
        <w:rPr>
          <w:rFonts w:cs="Calibri"/>
        </w:rPr>
        <w:t xml:space="preserve"> November 2024)</w:t>
      </w:r>
    </w:p>
  </w:footnote>
  <w:footnote w:id="6">
    <w:p w14:paraId="21352F35" w14:textId="5ACF746D" w:rsidR="006A33F4" w:rsidRPr="006A33F4" w:rsidRDefault="006A33F4">
      <w:pPr>
        <w:pStyle w:val="FootnoteText"/>
        <w:rPr>
          <w:lang w:val="en-US"/>
        </w:rPr>
      </w:pPr>
      <w:r>
        <w:rPr>
          <w:rStyle w:val="FootnoteReference"/>
        </w:rPr>
        <w:footnoteRef/>
      </w:r>
      <w:r>
        <w:t xml:space="preserve"> </w:t>
      </w:r>
      <w:r>
        <w:rPr>
          <w:i/>
          <w:iCs/>
          <w:lang w:val="en-US"/>
        </w:rPr>
        <w:t xml:space="preserve">Encyclopedia Britannica, </w:t>
      </w:r>
      <w:r>
        <w:rPr>
          <w:lang w:val="en-US"/>
        </w:rPr>
        <w:t>‘Enabling Act’, (Accessed: 15</w:t>
      </w:r>
      <w:r w:rsidRPr="006A33F4">
        <w:rPr>
          <w:vertAlign w:val="superscript"/>
          <w:lang w:val="en-US"/>
        </w:rPr>
        <w:t>th</w:t>
      </w:r>
      <w:r>
        <w:rPr>
          <w:lang w:val="en-US"/>
        </w:rPr>
        <w:t xml:space="preserve"> November 2024)</w:t>
      </w:r>
    </w:p>
  </w:footnote>
  <w:footnote w:id="7">
    <w:p w14:paraId="345215B6" w14:textId="481AFA63" w:rsidR="00E41BD0" w:rsidRPr="00E41BD0" w:rsidRDefault="00E41BD0">
      <w:pPr>
        <w:pStyle w:val="FootnoteText"/>
        <w:rPr>
          <w:lang w:val="en-US"/>
        </w:rPr>
      </w:pPr>
      <w:r>
        <w:rPr>
          <w:rStyle w:val="FootnoteReference"/>
        </w:rPr>
        <w:footnoteRef/>
      </w:r>
      <w:r>
        <w:t xml:space="preserve"> </w:t>
      </w:r>
      <w:r>
        <w:rPr>
          <w:lang w:val="en-US"/>
        </w:rPr>
        <w:t xml:space="preserve">Ibid: </w:t>
      </w:r>
      <w:r>
        <w:rPr>
          <w:i/>
          <w:iCs/>
          <w:lang w:val="en-US"/>
        </w:rPr>
        <w:t xml:space="preserve">Encyclopedia Britannica, </w:t>
      </w:r>
      <w:r>
        <w:rPr>
          <w:lang w:val="en-US"/>
        </w:rPr>
        <w:t>‘Enabling Act’, (Accessed: 15</w:t>
      </w:r>
      <w:r w:rsidRPr="006A33F4">
        <w:rPr>
          <w:vertAlign w:val="superscript"/>
          <w:lang w:val="en-US"/>
        </w:rPr>
        <w:t>th</w:t>
      </w:r>
      <w:r>
        <w:rPr>
          <w:lang w:val="en-US"/>
        </w:rPr>
        <w:t xml:space="preserve"> November 2024)</w:t>
      </w:r>
    </w:p>
  </w:footnote>
  <w:footnote w:id="8">
    <w:p w14:paraId="7739936C" w14:textId="4A6E864B" w:rsidR="00E41BD0" w:rsidRPr="00E41BD0" w:rsidRDefault="00E41BD0">
      <w:pPr>
        <w:pStyle w:val="FootnoteText"/>
        <w:rPr>
          <w:lang w:val="en-US"/>
        </w:rPr>
      </w:pPr>
      <w:r>
        <w:rPr>
          <w:rStyle w:val="FootnoteReference"/>
        </w:rPr>
        <w:footnoteRef/>
      </w:r>
      <w:r>
        <w:t xml:space="preserve"> </w:t>
      </w:r>
      <w:r>
        <w:rPr>
          <w:lang w:val="en-US"/>
        </w:rPr>
        <w:t xml:space="preserve">Ibid: </w:t>
      </w:r>
      <w:r>
        <w:rPr>
          <w:i/>
          <w:iCs/>
          <w:lang w:val="en-US"/>
        </w:rPr>
        <w:t xml:space="preserve">Encyclopedia Britannica, </w:t>
      </w:r>
      <w:r>
        <w:rPr>
          <w:lang w:val="en-US"/>
        </w:rPr>
        <w:t>‘Enabling Act’, (Accessed: 15</w:t>
      </w:r>
      <w:r w:rsidRPr="006A33F4">
        <w:rPr>
          <w:vertAlign w:val="superscript"/>
          <w:lang w:val="en-US"/>
        </w:rPr>
        <w:t>th</w:t>
      </w:r>
      <w:r>
        <w:rPr>
          <w:lang w:val="en-US"/>
        </w:rPr>
        <w:t xml:space="preserve"> November 2024)</w:t>
      </w:r>
    </w:p>
  </w:footnote>
  <w:footnote w:id="9">
    <w:p w14:paraId="0CEC4C44" w14:textId="3B647E7F" w:rsidR="00E41BD0" w:rsidRPr="00E41BD0" w:rsidRDefault="00E41BD0">
      <w:pPr>
        <w:pStyle w:val="FootnoteText"/>
        <w:rPr>
          <w:lang w:val="en-US"/>
        </w:rPr>
      </w:pPr>
      <w:r>
        <w:rPr>
          <w:rStyle w:val="FootnoteReference"/>
        </w:rPr>
        <w:footnoteRef/>
      </w:r>
      <w:r>
        <w:t xml:space="preserve"> </w:t>
      </w:r>
      <w:r>
        <w:rPr>
          <w:lang w:val="en-US"/>
        </w:rPr>
        <w:t xml:space="preserve">Ibid: </w:t>
      </w:r>
      <w:r>
        <w:rPr>
          <w:i/>
          <w:iCs/>
          <w:lang w:val="en-US"/>
        </w:rPr>
        <w:t xml:space="preserve">Encyclopedia Britannica, </w:t>
      </w:r>
      <w:r>
        <w:rPr>
          <w:lang w:val="en-US"/>
        </w:rPr>
        <w:t>‘Enabling Act’, (Accessed: 15</w:t>
      </w:r>
      <w:r w:rsidRPr="006A33F4">
        <w:rPr>
          <w:vertAlign w:val="superscript"/>
          <w:lang w:val="en-US"/>
        </w:rPr>
        <w:t>th</w:t>
      </w:r>
      <w:r>
        <w:rPr>
          <w:lang w:val="en-US"/>
        </w:rPr>
        <w:t xml:space="preserve"> November 2024)</w:t>
      </w:r>
    </w:p>
  </w:footnote>
  <w:footnote w:id="10">
    <w:p w14:paraId="027F3D03" w14:textId="742752D2" w:rsidR="00E41BD0" w:rsidRPr="00E41BD0" w:rsidRDefault="00E41BD0">
      <w:pPr>
        <w:pStyle w:val="FootnoteText"/>
        <w:rPr>
          <w:lang w:val="en-US"/>
        </w:rPr>
      </w:pPr>
      <w:r>
        <w:rPr>
          <w:rStyle w:val="FootnoteReference"/>
        </w:rPr>
        <w:footnoteRef/>
      </w:r>
      <w:r>
        <w:t xml:space="preserve"> </w:t>
      </w:r>
      <w:r>
        <w:rPr>
          <w:lang w:val="en-US"/>
        </w:rPr>
        <w:t xml:space="preserve">Ibid: </w:t>
      </w:r>
      <w:r>
        <w:rPr>
          <w:i/>
          <w:iCs/>
          <w:lang w:val="en-US"/>
        </w:rPr>
        <w:t xml:space="preserve">Encyclopedia Britannica, </w:t>
      </w:r>
      <w:r>
        <w:rPr>
          <w:lang w:val="en-US"/>
        </w:rPr>
        <w:t>‘Enabling Act’, (Accessed: 15</w:t>
      </w:r>
      <w:r w:rsidRPr="006A33F4">
        <w:rPr>
          <w:vertAlign w:val="superscript"/>
          <w:lang w:val="en-US"/>
        </w:rPr>
        <w:t>th</w:t>
      </w:r>
      <w:r>
        <w:rPr>
          <w:lang w:val="en-US"/>
        </w:rPr>
        <w:t xml:space="preserve"> November 2024)</w:t>
      </w:r>
    </w:p>
  </w:footnote>
  <w:footnote w:id="11">
    <w:p w14:paraId="6AB83A38" w14:textId="54762D40" w:rsidR="0097449E" w:rsidRPr="0097449E" w:rsidRDefault="0097449E">
      <w:pPr>
        <w:pStyle w:val="FootnoteText"/>
        <w:rPr>
          <w:lang w:val="en-US"/>
        </w:rPr>
      </w:pPr>
      <w:r>
        <w:rPr>
          <w:rStyle w:val="FootnoteReference"/>
        </w:rPr>
        <w:footnoteRef/>
      </w:r>
      <w:r>
        <w:t xml:space="preserve"> </w:t>
      </w:r>
      <w:r w:rsidRPr="0097449E">
        <w:rPr>
          <w:i/>
          <w:iCs/>
          <w:lang w:val="en-US"/>
        </w:rPr>
        <w:t>The Holocaust Explained</w:t>
      </w:r>
      <w:r>
        <w:rPr>
          <w:lang w:val="en-US"/>
        </w:rPr>
        <w:t>, ‘How did the Nazi Consolidate Power’, (Accessed: 17</w:t>
      </w:r>
      <w:r w:rsidRPr="0097449E">
        <w:rPr>
          <w:vertAlign w:val="superscript"/>
          <w:lang w:val="en-US"/>
        </w:rPr>
        <w:t>th</w:t>
      </w:r>
      <w:r>
        <w:rPr>
          <w:lang w:val="en-US"/>
        </w:rPr>
        <w:t xml:space="preserve"> November 2024)</w:t>
      </w:r>
    </w:p>
  </w:footnote>
  <w:footnote w:id="12">
    <w:p w14:paraId="5DF479FB" w14:textId="37ECB51E" w:rsidR="004306A1" w:rsidRPr="004306A1" w:rsidRDefault="004306A1">
      <w:pPr>
        <w:pStyle w:val="FootnoteText"/>
        <w:rPr>
          <w:lang w:val="en-US"/>
        </w:rPr>
      </w:pPr>
      <w:r>
        <w:rPr>
          <w:rStyle w:val="FootnoteReference"/>
        </w:rPr>
        <w:footnoteRef/>
      </w:r>
      <w:r>
        <w:t xml:space="preserve"> </w:t>
      </w:r>
      <w:r>
        <w:rPr>
          <w:lang w:val="en-US"/>
        </w:rPr>
        <w:t xml:space="preserve">Ibid: </w:t>
      </w:r>
      <w:r w:rsidRPr="00750E89">
        <w:rPr>
          <w:i/>
          <w:iCs/>
          <w:lang w:val="en-US"/>
        </w:rPr>
        <w:t>Encyclopedia Britannica</w:t>
      </w:r>
      <w:r>
        <w:rPr>
          <w:lang w:val="en-US"/>
        </w:rPr>
        <w:t>, ‘Enabling Act’, (Accessed: 17</w:t>
      </w:r>
      <w:r w:rsidRPr="004306A1">
        <w:rPr>
          <w:vertAlign w:val="superscript"/>
          <w:lang w:val="en-US"/>
        </w:rPr>
        <w:t>th</w:t>
      </w:r>
      <w:r>
        <w:rPr>
          <w:lang w:val="en-US"/>
        </w:rPr>
        <w:t xml:space="preserve"> November 2024)</w:t>
      </w:r>
    </w:p>
  </w:footnote>
  <w:footnote w:id="13">
    <w:p w14:paraId="7E45827E" w14:textId="564FDD8A" w:rsidR="00750E89" w:rsidRPr="00750E89" w:rsidRDefault="00C966C0">
      <w:pPr>
        <w:pStyle w:val="FootnoteText"/>
      </w:pPr>
      <w:r>
        <w:rPr>
          <w:rStyle w:val="FootnoteReference"/>
        </w:rPr>
        <w:footnoteRef/>
      </w:r>
      <w:r>
        <w:t xml:space="preserve"> </w:t>
      </w:r>
      <w:proofErr w:type="spellStart"/>
      <w:r w:rsidR="008C69DA">
        <w:t>Ronchini</w:t>
      </w:r>
      <w:proofErr w:type="spellEnd"/>
      <w:r w:rsidR="008C69DA">
        <w:t xml:space="preserve">, M and </w:t>
      </w:r>
      <w:r w:rsidR="00750E89" w:rsidRPr="00650DBB">
        <w:rPr>
          <w:i/>
          <w:iCs/>
        </w:rPr>
        <w:t>The Collector</w:t>
      </w:r>
      <w:r w:rsidR="00750E89">
        <w:t>, ‘The Night of the Long Knives’, (Accessed: 17</w:t>
      </w:r>
      <w:r w:rsidR="00750E89" w:rsidRPr="00750E89">
        <w:rPr>
          <w:vertAlign w:val="superscript"/>
        </w:rPr>
        <w:t>th</w:t>
      </w:r>
      <w:r w:rsidR="00750E89">
        <w:t xml:space="preserve"> November 2024)</w:t>
      </w:r>
    </w:p>
  </w:footnote>
  <w:footnote w:id="14">
    <w:p w14:paraId="22554810" w14:textId="0A6B5164" w:rsidR="00650DBB" w:rsidRPr="00650DBB" w:rsidRDefault="00650DBB">
      <w:pPr>
        <w:pStyle w:val="FootnoteText"/>
        <w:rPr>
          <w:lang w:val="en-US"/>
        </w:rPr>
      </w:pPr>
      <w:r>
        <w:rPr>
          <w:rStyle w:val="FootnoteReference"/>
        </w:rPr>
        <w:footnoteRef/>
      </w:r>
      <w:r>
        <w:t xml:space="preserve"> </w:t>
      </w:r>
      <w:proofErr w:type="spellStart"/>
      <w:r w:rsidR="00DC1904" w:rsidRPr="00DC1904">
        <w:rPr>
          <w:i/>
          <w:iCs/>
        </w:rPr>
        <w:t>Encyclopedia</w:t>
      </w:r>
      <w:proofErr w:type="spellEnd"/>
      <w:r w:rsidR="00DC1904" w:rsidRPr="00DC1904">
        <w:rPr>
          <w:i/>
          <w:iCs/>
        </w:rPr>
        <w:t xml:space="preserve"> Britannica</w:t>
      </w:r>
      <w:r w:rsidR="00DC1904">
        <w:t>, ‘Gustav, Ritter Von Kahr’, (Accessed: 17</w:t>
      </w:r>
      <w:r w:rsidR="00DC1904" w:rsidRPr="00DC1904">
        <w:rPr>
          <w:vertAlign w:val="superscript"/>
        </w:rPr>
        <w:t>th</w:t>
      </w:r>
      <w:r w:rsidR="00DC1904">
        <w:t xml:space="preserve"> November 2024)</w:t>
      </w:r>
    </w:p>
  </w:footnote>
  <w:footnote w:id="15">
    <w:p w14:paraId="39C939FA" w14:textId="234073E2" w:rsidR="00F54010" w:rsidRPr="00F54010" w:rsidRDefault="00F54010">
      <w:pPr>
        <w:pStyle w:val="FootnoteText"/>
        <w:rPr>
          <w:lang w:val="en-US"/>
        </w:rPr>
      </w:pPr>
      <w:r>
        <w:rPr>
          <w:rStyle w:val="FootnoteReference"/>
        </w:rPr>
        <w:footnoteRef/>
      </w:r>
      <w:r>
        <w:t xml:space="preserve"> </w:t>
      </w:r>
      <w:r>
        <w:rPr>
          <w:lang w:val="en-US"/>
        </w:rPr>
        <w:t xml:space="preserve">Ibid: </w:t>
      </w:r>
      <w:r>
        <w:rPr>
          <w:i/>
          <w:iCs/>
          <w:lang w:val="en-US"/>
        </w:rPr>
        <w:t>The Holocaust Explained</w:t>
      </w:r>
      <w:r>
        <w:rPr>
          <w:lang w:val="en-US"/>
        </w:rPr>
        <w:t>, ‘How did the Nazi Consolidate Power’, (Accessed: 17</w:t>
      </w:r>
      <w:r w:rsidRPr="00F54010">
        <w:rPr>
          <w:vertAlign w:val="superscript"/>
          <w:lang w:val="en-US"/>
        </w:rPr>
        <w:t>th</w:t>
      </w:r>
      <w:r>
        <w:rPr>
          <w:lang w:val="en-US"/>
        </w:rPr>
        <w:t xml:space="preserve"> November 2024)</w:t>
      </w:r>
    </w:p>
  </w:footnote>
  <w:footnote w:id="16">
    <w:p w14:paraId="0E8AEAF3" w14:textId="6FE185AD" w:rsidR="00566967" w:rsidRPr="00566967" w:rsidRDefault="00566967">
      <w:pPr>
        <w:pStyle w:val="FootnoteText"/>
        <w:rPr>
          <w:lang w:val="en-US"/>
        </w:rPr>
      </w:pPr>
      <w:r>
        <w:rPr>
          <w:rStyle w:val="FootnoteReference"/>
        </w:rPr>
        <w:footnoteRef/>
      </w:r>
      <w:r>
        <w:t xml:space="preserve"> </w:t>
      </w:r>
      <w:r>
        <w:rPr>
          <w:lang w:val="en-US"/>
        </w:rPr>
        <w:t xml:space="preserve">Ibid: </w:t>
      </w:r>
      <w:r>
        <w:rPr>
          <w:i/>
          <w:iCs/>
          <w:lang w:val="en-US"/>
        </w:rPr>
        <w:t>The Holocaust Explained</w:t>
      </w:r>
      <w:r>
        <w:rPr>
          <w:lang w:val="en-US"/>
        </w:rPr>
        <w:t>, ‘How did the Nazi Consolidate Power’, (Accessed: 17</w:t>
      </w:r>
      <w:r w:rsidRPr="00566967">
        <w:rPr>
          <w:vertAlign w:val="superscript"/>
          <w:lang w:val="en-US"/>
        </w:rPr>
        <w:t>th</w:t>
      </w:r>
      <w:r>
        <w:rPr>
          <w:lang w:val="en-US"/>
        </w:rPr>
        <w:t xml:space="preserve"> November 2024)</w:t>
      </w:r>
    </w:p>
  </w:footnote>
  <w:footnote w:id="17">
    <w:p w14:paraId="51332F70" w14:textId="7C5D617D" w:rsidR="00566967" w:rsidRPr="00566967" w:rsidRDefault="00566967">
      <w:pPr>
        <w:pStyle w:val="FootnoteText"/>
        <w:rPr>
          <w:lang w:val="en-US"/>
        </w:rPr>
      </w:pPr>
      <w:r>
        <w:rPr>
          <w:rStyle w:val="FootnoteReference"/>
        </w:rPr>
        <w:footnoteRef/>
      </w:r>
      <w:r>
        <w:t xml:space="preserve"> </w:t>
      </w:r>
      <w:r>
        <w:rPr>
          <w:lang w:val="en-US"/>
        </w:rPr>
        <w:t xml:space="preserve">Ibid: </w:t>
      </w:r>
      <w:r>
        <w:rPr>
          <w:i/>
          <w:iCs/>
          <w:lang w:val="en-US"/>
        </w:rPr>
        <w:t>The Holocaust Explained</w:t>
      </w:r>
      <w:r>
        <w:rPr>
          <w:lang w:val="en-US"/>
        </w:rPr>
        <w:t>, ‘How did the Nazi Consolidate Power’, (Accessed: 17</w:t>
      </w:r>
      <w:r w:rsidRPr="00566967">
        <w:rPr>
          <w:vertAlign w:val="superscript"/>
          <w:lang w:val="en-US"/>
        </w:rPr>
        <w:t>th</w:t>
      </w:r>
      <w:r>
        <w:rPr>
          <w:lang w:val="en-US"/>
        </w:rPr>
        <w:t xml:space="preserve"> November 2024)</w:t>
      </w:r>
    </w:p>
  </w:footnote>
  <w:footnote w:id="18">
    <w:p w14:paraId="1EFCC090" w14:textId="022D1F10" w:rsidR="00566967" w:rsidRPr="00566967" w:rsidRDefault="00566967">
      <w:pPr>
        <w:pStyle w:val="FootnoteText"/>
        <w:rPr>
          <w:lang w:val="en-US"/>
        </w:rPr>
      </w:pPr>
      <w:r>
        <w:rPr>
          <w:rStyle w:val="FootnoteReference"/>
        </w:rPr>
        <w:footnoteRef/>
      </w:r>
      <w:r>
        <w:t xml:space="preserve"> </w:t>
      </w:r>
      <w:r>
        <w:rPr>
          <w:lang w:val="en-US"/>
        </w:rPr>
        <w:t xml:space="preserve">Ibid: </w:t>
      </w:r>
      <w:r>
        <w:rPr>
          <w:i/>
          <w:iCs/>
          <w:lang w:val="en-US"/>
        </w:rPr>
        <w:t>The Holocaust Explained</w:t>
      </w:r>
      <w:r>
        <w:rPr>
          <w:lang w:val="en-US"/>
        </w:rPr>
        <w:t>, ‘How did the Nazi Consolidate Power’, (Accessed: 17</w:t>
      </w:r>
      <w:r w:rsidRPr="00566967">
        <w:rPr>
          <w:vertAlign w:val="superscript"/>
          <w:lang w:val="en-US"/>
        </w:rPr>
        <w:t>th</w:t>
      </w:r>
      <w:r>
        <w:rPr>
          <w:lang w:val="en-US"/>
        </w:rPr>
        <w:t xml:space="preserve"> November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E3BC5"/>
    <w:multiLevelType w:val="hybridMultilevel"/>
    <w:tmpl w:val="5686BF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A0286"/>
    <w:multiLevelType w:val="hybridMultilevel"/>
    <w:tmpl w:val="4DCAA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416450">
    <w:abstractNumId w:val="1"/>
  </w:num>
  <w:num w:numId="2" w16cid:durableId="1370687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C5F"/>
    <w:rsid w:val="00081615"/>
    <w:rsid w:val="000C07BD"/>
    <w:rsid w:val="000D6D5B"/>
    <w:rsid w:val="00115F01"/>
    <w:rsid w:val="001463CD"/>
    <w:rsid w:val="0014781D"/>
    <w:rsid w:val="00185329"/>
    <w:rsid w:val="001D7B14"/>
    <w:rsid w:val="002222FF"/>
    <w:rsid w:val="0027455A"/>
    <w:rsid w:val="002A202B"/>
    <w:rsid w:val="002C1BC9"/>
    <w:rsid w:val="003B53EF"/>
    <w:rsid w:val="003B6EEF"/>
    <w:rsid w:val="003E1AF5"/>
    <w:rsid w:val="003F59A0"/>
    <w:rsid w:val="004306A1"/>
    <w:rsid w:val="00442AAA"/>
    <w:rsid w:val="004430FD"/>
    <w:rsid w:val="00444AE3"/>
    <w:rsid w:val="00477ED9"/>
    <w:rsid w:val="00520DA4"/>
    <w:rsid w:val="00566967"/>
    <w:rsid w:val="0058328F"/>
    <w:rsid w:val="005B250F"/>
    <w:rsid w:val="005C537D"/>
    <w:rsid w:val="00602FED"/>
    <w:rsid w:val="00616EFC"/>
    <w:rsid w:val="00627036"/>
    <w:rsid w:val="00650DBB"/>
    <w:rsid w:val="006902F3"/>
    <w:rsid w:val="006A33F4"/>
    <w:rsid w:val="007160E8"/>
    <w:rsid w:val="00750E89"/>
    <w:rsid w:val="0078649C"/>
    <w:rsid w:val="007B6A97"/>
    <w:rsid w:val="00820D07"/>
    <w:rsid w:val="008C69DA"/>
    <w:rsid w:val="008D65CC"/>
    <w:rsid w:val="008F7C41"/>
    <w:rsid w:val="00945C5F"/>
    <w:rsid w:val="00954026"/>
    <w:rsid w:val="00962FA1"/>
    <w:rsid w:val="0097449E"/>
    <w:rsid w:val="009C3361"/>
    <w:rsid w:val="009E127D"/>
    <w:rsid w:val="00A06744"/>
    <w:rsid w:val="00A2235A"/>
    <w:rsid w:val="00A4087C"/>
    <w:rsid w:val="00A9301D"/>
    <w:rsid w:val="00AD2395"/>
    <w:rsid w:val="00AD7CFB"/>
    <w:rsid w:val="00B212ED"/>
    <w:rsid w:val="00B411BA"/>
    <w:rsid w:val="00B913D4"/>
    <w:rsid w:val="00C111D8"/>
    <w:rsid w:val="00C966C0"/>
    <w:rsid w:val="00CA0900"/>
    <w:rsid w:val="00D076F3"/>
    <w:rsid w:val="00D128F1"/>
    <w:rsid w:val="00D37263"/>
    <w:rsid w:val="00D4486D"/>
    <w:rsid w:val="00D53B64"/>
    <w:rsid w:val="00D540FE"/>
    <w:rsid w:val="00DB04A9"/>
    <w:rsid w:val="00DC1904"/>
    <w:rsid w:val="00E41BD0"/>
    <w:rsid w:val="00E71FF8"/>
    <w:rsid w:val="00E90CFD"/>
    <w:rsid w:val="00EB2F31"/>
    <w:rsid w:val="00F54010"/>
    <w:rsid w:val="00F93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E21C6"/>
  <w15:chartTrackingRefBased/>
  <w15:docId w15:val="{618BB58F-83D6-4E7E-BED7-19664062A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C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5C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5C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5C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5C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5C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5C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5C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5C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C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5C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5C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5C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5C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5C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5C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5C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5C5F"/>
    <w:rPr>
      <w:rFonts w:eastAsiaTheme="majorEastAsia" w:cstheme="majorBidi"/>
      <w:color w:val="272727" w:themeColor="text1" w:themeTint="D8"/>
    </w:rPr>
  </w:style>
  <w:style w:type="paragraph" w:styleId="Title">
    <w:name w:val="Title"/>
    <w:basedOn w:val="Normal"/>
    <w:next w:val="Normal"/>
    <w:link w:val="TitleChar"/>
    <w:uiPriority w:val="10"/>
    <w:qFormat/>
    <w:rsid w:val="00945C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C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5C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5C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C5F"/>
    <w:pPr>
      <w:spacing w:before="160"/>
      <w:jc w:val="center"/>
    </w:pPr>
    <w:rPr>
      <w:i/>
      <w:iCs/>
      <w:color w:val="404040" w:themeColor="text1" w:themeTint="BF"/>
    </w:rPr>
  </w:style>
  <w:style w:type="character" w:customStyle="1" w:styleId="QuoteChar">
    <w:name w:val="Quote Char"/>
    <w:basedOn w:val="DefaultParagraphFont"/>
    <w:link w:val="Quote"/>
    <w:uiPriority w:val="29"/>
    <w:rsid w:val="00945C5F"/>
    <w:rPr>
      <w:i/>
      <w:iCs/>
      <w:color w:val="404040" w:themeColor="text1" w:themeTint="BF"/>
    </w:rPr>
  </w:style>
  <w:style w:type="paragraph" w:styleId="ListParagraph">
    <w:name w:val="List Paragraph"/>
    <w:basedOn w:val="Normal"/>
    <w:uiPriority w:val="34"/>
    <w:qFormat/>
    <w:rsid w:val="00945C5F"/>
    <w:pPr>
      <w:ind w:left="720"/>
      <w:contextualSpacing/>
    </w:pPr>
  </w:style>
  <w:style w:type="character" w:styleId="IntenseEmphasis">
    <w:name w:val="Intense Emphasis"/>
    <w:basedOn w:val="DefaultParagraphFont"/>
    <w:uiPriority w:val="21"/>
    <w:qFormat/>
    <w:rsid w:val="00945C5F"/>
    <w:rPr>
      <w:i/>
      <w:iCs/>
      <w:color w:val="0F4761" w:themeColor="accent1" w:themeShade="BF"/>
    </w:rPr>
  </w:style>
  <w:style w:type="paragraph" w:styleId="IntenseQuote">
    <w:name w:val="Intense Quote"/>
    <w:basedOn w:val="Normal"/>
    <w:next w:val="Normal"/>
    <w:link w:val="IntenseQuoteChar"/>
    <w:uiPriority w:val="30"/>
    <w:qFormat/>
    <w:rsid w:val="00945C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5C5F"/>
    <w:rPr>
      <w:i/>
      <w:iCs/>
      <w:color w:val="0F4761" w:themeColor="accent1" w:themeShade="BF"/>
    </w:rPr>
  </w:style>
  <w:style w:type="character" w:styleId="IntenseReference">
    <w:name w:val="Intense Reference"/>
    <w:basedOn w:val="DefaultParagraphFont"/>
    <w:uiPriority w:val="32"/>
    <w:qFormat/>
    <w:rsid w:val="00945C5F"/>
    <w:rPr>
      <w:b/>
      <w:bCs/>
      <w:smallCaps/>
      <w:color w:val="0F4761" w:themeColor="accent1" w:themeShade="BF"/>
      <w:spacing w:val="5"/>
    </w:rPr>
  </w:style>
  <w:style w:type="paragraph" w:styleId="FootnoteText">
    <w:name w:val="footnote text"/>
    <w:basedOn w:val="Normal"/>
    <w:link w:val="FootnoteTextChar"/>
    <w:uiPriority w:val="99"/>
    <w:semiHidden/>
    <w:unhideWhenUsed/>
    <w:rsid w:val="006270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7036"/>
    <w:rPr>
      <w:sz w:val="20"/>
      <w:szCs w:val="20"/>
    </w:rPr>
  </w:style>
  <w:style w:type="character" w:styleId="FootnoteReference">
    <w:name w:val="footnote reference"/>
    <w:basedOn w:val="DefaultParagraphFont"/>
    <w:uiPriority w:val="99"/>
    <w:semiHidden/>
    <w:unhideWhenUsed/>
    <w:rsid w:val="00627036"/>
    <w:rPr>
      <w:vertAlign w:val="superscript"/>
    </w:rPr>
  </w:style>
  <w:style w:type="character" w:styleId="Hyperlink">
    <w:name w:val="Hyperlink"/>
    <w:basedOn w:val="DefaultParagraphFont"/>
    <w:uiPriority w:val="99"/>
    <w:unhideWhenUsed/>
    <w:rsid w:val="00520DA4"/>
    <w:rPr>
      <w:color w:val="467886" w:themeColor="hyperlink"/>
      <w:u w:val="single"/>
    </w:rPr>
  </w:style>
  <w:style w:type="character" w:styleId="UnresolvedMention">
    <w:name w:val="Unresolved Mention"/>
    <w:basedOn w:val="DefaultParagraphFont"/>
    <w:uiPriority w:val="99"/>
    <w:semiHidden/>
    <w:unhideWhenUsed/>
    <w:rsid w:val="00D53B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Enabling-Ac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holocaustexplained.org/the-nazi-rise-to-power/how-did-the-nazi-gain-pow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collector.com/night-long-knives-nazi-sa/" TargetMode="External"/><Relationship Id="rId5" Type="http://schemas.openxmlformats.org/officeDocument/2006/relationships/webSettings" Target="webSettings.xml"/><Relationship Id="rId10" Type="http://schemas.openxmlformats.org/officeDocument/2006/relationships/hyperlink" Target="https://www.britannica.com/topic/Nazi-Party/The-Nazi-Party-and-Hitlers-rise-to-power" TargetMode="External"/><Relationship Id="rId4" Type="http://schemas.openxmlformats.org/officeDocument/2006/relationships/settings" Target="settings.xml"/><Relationship Id="rId9" Type="http://schemas.openxmlformats.org/officeDocument/2006/relationships/hyperlink" Target="https://www.britannica.com/biography/Gustav-Ritter-von-Kah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36878-F6F7-441D-A011-62D888E18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3</Pages>
  <Words>921</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54</cp:revision>
  <dcterms:created xsi:type="dcterms:W3CDTF">2024-11-15T10:07:00Z</dcterms:created>
  <dcterms:modified xsi:type="dcterms:W3CDTF">2024-11-17T19:37:00Z</dcterms:modified>
</cp:coreProperties>
</file>