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xmlns:a="http://schemas.openxmlformats.org/drawingml/2006/main" xmlns:pic="http://schemas.openxmlformats.org/drawingml/2006/picture" xmlns:a14="http://schemas.microsoft.com/office/drawing/2010/main" mc:Ignorable="w14 w15 w16se w16cid w16 w16cex w16sdtdh w16sdtfl w16du wp14">
  <w:body>
    <w:p w:rsidRPr="00C03A91" w:rsidR="007E7745" w:rsidP="00C03A91" w:rsidRDefault="007E7745" w14:paraId="244B5896" w14:textId="5A35F6BC">
      <w:pPr>
        <w:spacing w:line="360" w:lineRule="auto"/>
        <w:rPr>
          <w:rFonts w:ascii="Arial" w:hAnsi="Arial" w:cs="Arial"/>
        </w:rPr>
      </w:pPr>
    </w:p>
    <w:p w:rsidRPr="00C03A91" w:rsidR="00EB12BC" w:rsidP="00C03A91" w:rsidRDefault="00EB12BC" w14:paraId="365DE405" w14:textId="77777777">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8240" behindDoc="0" locked="0" layoutInCell="1" allowOverlap="1" wp14:anchorId="2F049D74" wp14:editId="5F1928BB">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rsidRPr="00C03A91" w:rsidR="00EB12BC" w:rsidP="00C03A91" w:rsidRDefault="00EB12BC" w14:paraId="4B015D8C" w14:textId="77777777">
      <w:pPr>
        <w:spacing w:line="360" w:lineRule="auto"/>
        <w:rPr>
          <w:rFonts w:ascii="Arial" w:hAnsi="Arial" w:cs="Arial"/>
          <w:szCs w:val="24"/>
        </w:rPr>
      </w:pPr>
    </w:p>
    <w:p w:rsidR="00EB12BC" w:rsidP="00C03A91" w:rsidRDefault="00EB12BC" w14:paraId="0E6E9383" w14:textId="77777777">
      <w:pPr>
        <w:spacing w:line="360" w:lineRule="auto"/>
        <w:rPr>
          <w:rFonts w:ascii="Arial" w:hAnsi="Arial" w:cs="Arial"/>
          <w:szCs w:val="24"/>
        </w:rPr>
      </w:pPr>
    </w:p>
    <w:p w:rsidRPr="00C03A91" w:rsidR="00894E16" w:rsidP="00C03A91" w:rsidRDefault="00894E16" w14:paraId="7F26E1E3" w14:textId="77777777">
      <w:pPr>
        <w:spacing w:line="360" w:lineRule="auto"/>
        <w:rPr>
          <w:rFonts w:ascii="Arial" w:hAnsi="Arial" w:cs="Arial"/>
          <w:szCs w:val="24"/>
        </w:rPr>
      </w:pPr>
    </w:p>
    <w:p w:rsidRPr="00076AC0" w:rsidR="00EB12BC" w:rsidP="00C77FCD" w:rsidRDefault="7C5B3B6D" w14:paraId="27888C86" w14:textId="05E72534">
      <w:pPr>
        <w:pStyle w:val="Heading1"/>
      </w:pPr>
      <w:r w:rsidRPr="71ED4E68">
        <w:rPr>
          <w:lang w:val="nl-NL"/>
        </w:rPr>
        <w:t>Student name:</w:t>
      </w:r>
      <w:r w:rsidRPr="71ED4E68" w:rsidR="4730EF87">
        <w:rPr>
          <w:lang w:val="nl-NL"/>
        </w:rPr>
        <w:t xml:space="preserve"> Sabrina Lord</w:t>
      </w:r>
    </w:p>
    <w:p w:rsidR="71ED4E68" w:rsidP="71ED4E68" w:rsidRDefault="71ED4E68" w14:paraId="52C47999" w14:textId="7506EF84">
      <w:pPr>
        <w:tabs>
          <w:tab w:val="left" w:pos="6540"/>
        </w:tabs>
        <w:rPr>
          <w:lang w:val="nl-NL"/>
        </w:rPr>
      </w:pPr>
    </w:p>
    <w:p w:rsidRPr="00076AC0" w:rsidR="00EB12BC" w:rsidP="00C77FCD" w:rsidRDefault="7C5B3B6D" w14:paraId="3C83A8A7" w14:textId="0352E07F">
      <w:pPr>
        <w:pStyle w:val="Heading1"/>
      </w:pPr>
      <w:r w:rsidRPr="71ED4E68">
        <w:rPr>
          <w:lang w:val="nl-NL"/>
        </w:rPr>
        <w:t>Student ID:</w:t>
      </w:r>
      <w:r w:rsidRPr="71ED4E68" w:rsidR="6FB801D8">
        <w:rPr>
          <w:lang w:val="nl-NL"/>
        </w:rPr>
        <w:t xml:space="preserve"> 2114956</w:t>
      </w:r>
    </w:p>
    <w:p w:rsidR="71ED4E68" w:rsidP="71ED4E68" w:rsidRDefault="71ED4E68" w14:paraId="6DA75794" w14:textId="741ECD1F">
      <w:pPr>
        <w:tabs>
          <w:tab w:val="left" w:pos="6540"/>
        </w:tabs>
        <w:rPr>
          <w:lang w:val="nl-NL"/>
        </w:rPr>
      </w:pPr>
    </w:p>
    <w:p w:rsidRPr="00C03A91" w:rsidR="00EB12BC" w:rsidP="00C77FCD" w:rsidRDefault="7C5B3B6D" w14:paraId="5DE63E3D" w14:textId="3D990342">
      <w:pPr>
        <w:pStyle w:val="Heading1"/>
      </w:pPr>
      <w:r w:rsidRPr="71ED4E68">
        <w:rPr>
          <w:lang w:val="nl-NL"/>
        </w:rPr>
        <w:t xml:space="preserve">Module name: </w:t>
      </w:r>
      <w:proofErr w:type="spellStart"/>
      <w:r w:rsidRPr="71ED4E68" w:rsidR="35C23712">
        <w:rPr>
          <w:lang w:val="nl-NL"/>
        </w:rPr>
        <w:t>Principles</w:t>
      </w:r>
      <w:proofErr w:type="spellEnd"/>
      <w:r w:rsidRPr="71ED4E68" w:rsidR="35C23712">
        <w:rPr>
          <w:lang w:val="nl-NL"/>
        </w:rPr>
        <w:t xml:space="preserve"> of Health </w:t>
      </w:r>
      <w:proofErr w:type="spellStart"/>
      <w:r w:rsidRPr="71ED4E68" w:rsidR="35C23712">
        <w:rPr>
          <w:lang w:val="nl-NL"/>
        </w:rPr>
        <w:t>and</w:t>
      </w:r>
      <w:proofErr w:type="spellEnd"/>
      <w:r w:rsidRPr="71ED4E68" w:rsidR="35C23712">
        <w:rPr>
          <w:lang w:val="nl-NL"/>
        </w:rPr>
        <w:t xml:space="preserve"> </w:t>
      </w:r>
      <w:proofErr w:type="spellStart"/>
      <w:r w:rsidRPr="71ED4E68" w:rsidR="35C23712">
        <w:rPr>
          <w:lang w:val="nl-NL"/>
        </w:rPr>
        <w:t>Social</w:t>
      </w:r>
      <w:proofErr w:type="spellEnd"/>
      <w:r w:rsidRPr="71ED4E68" w:rsidR="35C23712">
        <w:rPr>
          <w:lang w:val="nl-NL"/>
        </w:rPr>
        <w:t xml:space="preserve"> Care </w:t>
      </w:r>
      <w:proofErr w:type="spellStart"/>
      <w:r w:rsidRPr="71ED4E68" w:rsidR="35C23712">
        <w:rPr>
          <w:lang w:val="nl-NL"/>
        </w:rPr>
        <w:t>Practice</w:t>
      </w:r>
      <w:proofErr w:type="spellEnd"/>
    </w:p>
    <w:p w:rsidR="71ED4E68" w:rsidP="71ED4E68" w:rsidRDefault="71ED4E68" w14:paraId="52219B52" w14:textId="665D8DBD">
      <w:pPr>
        <w:tabs>
          <w:tab w:val="left" w:pos="6540"/>
        </w:tabs>
        <w:rPr>
          <w:lang w:val="nl-NL"/>
        </w:rPr>
      </w:pPr>
    </w:p>
    <w:p w:rsidRPr="00C03A91" w:rsidR="00EB12BC" w:rsidP="00C77FCD" w:rsidRDefault="7C5B3B6D" w14:paraId="4FD97C8C" w14:textId="378AC0A9">
      <w:pPr>
        <w:pStyle w:val="Heading1"/>
      </w:pPr>
      <w:r>
        <w:t>Module code:</w:t>
      </w:r>
      <w:r w:rsidRPr="71ED4E68" w:rsidR="03109F02">
        <w:t xml:space="preserve"> BMHP5016</w:t>
      </w:r>
    </w:p>
    <w:p w:rsidR="71ED4E68" w:rsidP="71ED4E68" w:rsidRDefault="71ED4E68" w14:paraId="31C09FCA" w14:textId="099D2578">
      <w:pPr>
        <w:tabs>
          <w:tab w:val="left" w:pos="6540"/>
        </w:tabs>
      </w:pPr>
    </w:p>
    <w:p w:rsidRPr="00C03A91" w:rsidR="00EB12BC" w:rsidP="00C77FCD" w:rsidRDefault="7C5B3B6D" w14:paraId="658BE57E" w14:textId="575CDDD6">
      <w:pPr>
        <w:pStyle w:val="Heading1"/>
      </w:pPr>
      <w:r>
        <w:t>Lecturer name:</w:t>
      </w:r>
      <w:r w:rsidR="14E9E229">
        <w:t xml:space="preserve"> </w:t>
      </w:r>
      <w:r w:rsidR="5870B293">
        <w:t>Sam Parker</w:t>
      </w:r>
    </w:p>
    <w:p w:rsidR="71ED4E68" w:rsidP="71ED4E68" w:rsidRDefault="71ED4E68" w14:paraId="1BE3DE32" w14:textId="056309B7">
      <w:pPr>
        <w:tabs>
          <w:tab w:val="left" w:pos="6540"/>
        </w:tabs>
      </w:pPr>
    </w:p>
    <w:p w:rsidR="1AB4E038" w:rsidP="00C77FCD" w:rsidRDefault="1AB4E038" w14:paraId="7CDD1A62" w14:textId="4F95E4DC">
      <w:pPr>
        <w:pStyle w:val="Heading1"/>
      </w:pPr>
      <w:r>
        <w:t xml:space="preserve">Assessment: </w:t>
      </w:r>
      <w:bookmarkStart w:name="_Int_eZkq2BX2" w:id="0"/>
      <w:r w:rsidRPr="71ED4E68" w:rsidR="27973986">
        <w:t>Component</w:t>
      </w:r>
      <w:bookmarkEnd w:id="0"/>
      <w:r w:rsidRPr="71ED4E68" w:rsidR="27973986">
        <w:t xml:space="preserve"> 1 – Reflective Report</w:t>
      </w:r>
    </w:p>
    <w:p w:rsidR="71ED4E68" w:rsidP="71ED4E68" w:rsidRDefault="71ED4E68" w14:paraId="011784CE" w14:textId="7D66093E">
      <w:pPr>
        <w:tabs>
          <w:tab w:val="left" w:pos="6540"/>
        </w:tabs>
      </w:pPr>
    </w:p>
    <w:p w:rsidRPr="00C03A91" w:rsidR="001B7A40" w:rsidP="00C77FCD" w:rsidRDefault="710C684A" w14:paraId="3E4AB457" w14:textId="2C87A0DC">
      <w:pPr>
        <w:pStyle w:val="Heading1"/>
        <w:rPr>
          <w:rFonts w:eastAsia="Arial"/>
          <w:bCs/>
          <w:color w:val="000000" w:themeColor="text1"/>
        </w:rPr>
      </w:pPr>
      <w:r w:rsidRPr="6BFD448A">
        <w:t>Word count: 2,000 words</w:t>
      </w:r>
    </w:p>
    <w:p w:rsidRPr="00C03A91" w:rsidR="001B7A40" w:rsidP="00C77FCD" w:rsidRDefault="001B7A40" w14:paraId="53B923F4" w14:textId="67931D9F">
      <w:pPr>
        <w:pStyle w:val="Heading1"/>
      </w:pPr>
    </w:p>
    <w:p w:rsidR="00995C46" w:rsidP="00C03A91" w:rsidRDefault="00995C46" w14:paraId="21E663C3" w14:textId="77777777">
      <w:pPr>
        <w:tabs>
          <w:tab w:val="left" w:pos="6540"/>
        </w:tabs>
        <w:spacing w:line="360" w:lineRule="auto"/>
        <w:rPr>
          <w:rFonts w:ascii="Arial" w:hAnsi="Arial" w:cs="Arial"/>
          <w:sz w:val="28"/>
          <w:szCs w:val="28"/>
        </w:rPr>
      </w:pPr>
    </w:p>
    <w:p w:rsidR="001B7A40" w:rsidP="00F05272" w:rsidRDefault="000C4EDA" w14:paraId="1C1B5B6E" w14:textId="494072EC">
      <w:pPr>
        <w:spacing w:line="360" w:lineRule="auto"/>
        <w:rPr>
          <w:rFonts w:ascii="Arial" w:hAnsi="Arial" w:cs="Arial" w:eastAsiaTheme="majorEastAsia"/>
          <w:b/>
          <w:bCs/>
          <w:szCs w:val="24"/>
        </w:rPr>
      </w:pPr>
      <w:r w:rsidRPr="71ED4E68">
        <w:rPr>
          <w:rFonts w:ascii="Arial" w:hAnsi="Arial" w:cs="Arial"/>
          <w:sz w:val="28"/>
          <w:szCs w:val="28"/>
        </w:rPr>
        <w:br w:type="page"/>
      </w:r>
    </w:p>
    <w:p w:rsidR="00C04E4E" w:rsidP="1CDFF857" w:rsidRDefault="00C04E4E" w14:paraId="6426C8E3" w14:textId="2C70C23E">
      <w:pPr>
        <w:pStyle w:val="Heading1"/>
        <w:rPr>
          <w:rStyle w:val="s1"/>
          <w:rFonts w:ascii="Arial" w:hAnsi="Arial" w:eastAsia="Arial" w:cs="Arial"/>
          <w:sz w:val="22"/>
          <w:szCs w:val="22"/>
        </w:rPr>
      </w:pPr>
      <w:r w:rsidRPr="1CDFF857" w:rsidR="68E150B3">
        <w:rPr>
          <w:rStyle w:val="s1"/>
          <w:rFonts w:ascii="Arial" w:hAnsi="Arial" w:eastAsia="Arial" w:cs="Arial"/>
          <w:sz w:val="22"/>
          <w:szCs w:val="22"/>
        </w:rPr>
        <w:t>Introduction</w:t>
      </w:r>
    </w:p>
    <w:p w:rsidRPr="00E74850" w:rsidR="00E74850" w:rsidP="1CDFF857" w:rsidRDefault="00E74850" w14:paraId="1E5477A9" w14:textId="77777777">
      <w:pPr>
        <w:rPr>
          <w:rFonts w:ascii="Arial" w:hAnsi="Arial" w:eastAsia="Arial" w:cs="Arial"/>
          <w:sz w:val="22"/>
          <w:szCs w:val="22"/>
        </w:rPr>
      </w:pPr>
    </w:p>
    <w:p w:rsidRPr="00894E16" w:rsidR="00431B67" w:rsidP="1CDFF857" w:rsidRDefault="00431B67" w14:paraId="22AB7EC8" w14:textId="0A2C565F">
      <w:pPr>
        <w:spacing w:before="240" w:beforeAutospacing="off" w:after="240" w:afterAutospacing="off"/>
        <w:rPr>
          <w:rFonts w:ascii="Arial" w:hAnsi="Arial" w:eastAsia="Arial" w:cs="Arial"/>
          <w:noProof w:val="0"/>
          <w:color w:val="000000" w:themeColor="text1" w:themeTint="FF" w:themeShade="FF"/>
          <w:sz w:val="22"/>
          <w:szCs w:val="22"/>
          <w:lang w:val="en-GB"/>
        </w:rPr>
      </w:pPr>
      <w:r w:rsidRPr="1CDFF857" w:rsidR="044105F4">
        <w:rPr>
          <w:rFonts w:ascii="Arial" w:hAnsi="Arial" w:eastAsia="Arial" w:cs="Arial"/>
          <w:noProof w:val="0"/>
          <w:color w:val="000000" w:themeColor="text1" w:themeTint="FF" w:themeShade="FF"/>
          <w:sz w:val="22"/>
          <w:szCs w:val="22"/>
          <w:lang w:val="en-GB"/>
        </w:rPr>
        <w:t>Health and social care practice in the United Kingdom is guided by legal, ethical and professional principles that aim to provide safe, effective and compassionate care. Among the most important principles are person-centred care, partnership working and ethical practice, which help ensure that individuals receive support that respects their needs, preferences, rights and dignity. These principles are closely connected because high-quality care depends on effective communication, collaboration between professionals and organisations, and ethical decision-making that promotes the wellbeing and autonomy of individuals.</w:t>
      </w:r>
    </w:p>
    <w:p w:rsidRPr="00894E16" w:rsidR="00431B67" w:rsidP="1CDFF857" w:rsidRDefault="00431B67" w14:paraId="68929C8B" w14:textId="6F4E5DC2">
      <w:pPr>
        <w:spacing w:before="240" w:beforeAutospacing="off" w:after="240" w:afterAutospacing="off"/>
        <w:rPr>
          <w:rFonts w:ascii="Arial" w:hAnsi="Arial" w:eastAsia="Arial" w:cs="Arial"/>
          <w:noProof w:val="0"/>
          <w:color w:val="000000" w:themeColor="text1" w:themeTint="FF" w:themeShade="FF"/>
          <w:sz w:val="22"/>
          <w:szCs w:val="22"/>
          <w:lang w:val="en-GB"/>
        </w:rPr>
      </w:pPr>
      <w:r w:rsidRPr="1CDFF857" w:rsidR="044105F4">
        <w:rPr>
          <w:rFonts w:ascii="Arial" w:hAnsi="Arial" w:eastAsia="Arial" w:cs="Arial"/>
          <w:noProof w:val="0"/>
          <w:color w:val="000000" w:themeColor="text1" w:themeTint="FF" w:themeShade="FF"/>
          <w:sz w:val="22"/>
          <w:szCs w:val="22"/>
          <w:lang w:val="en-GB"/>
        </w:rPr>
        <w:t xml:space="preserve">This report explores the importance of these three principles within UK health and social care practice. It first reflects on their contribution to the quality of care, supported by relevant theories, legislation and professional guidance. The report then applies these principles to the anonymised case of </w:t>
      </w:r>
      <w:r w:rsidRPr="1CDFF857" w:rsidR="044105F4">
        <w:rPr>
          <w:rFonts w:ascii="Arial" w:hAnsi="Arial" w:eastAsia="Arial" w:cs="Arial"/>
          <w:b w:val="1"/>
          <w:bCs w:val="1"/>
          <w:noProof w:val="0"/>
          <w:color w:val="000000" w:themeColor="text1" w:themeTint="FF" w:themeShade="FF"/>
          <w:sz w:val="22"/>
          <w:szCs w:val="22"/>
          <w:lang w:val="en-GB"/>
        </w:rPr>
        <w:t>Ms A</w:t>
      </w:r>
      <w:r w:rsidRPr="1CDFF857" w:rsidR="044105F4">
        <w:rPr>
          <w:rFonts w:ascii="Arial" w:hAnsi="Arial" w:eastAsia="Arial" w:cs="Arial"/>
          <w:noProof w:val="0"/>
          <w:color w:val="000000" w:themeColor="text1" w:themeTint="FF" w:themeShade="FF"/>
          <w:sz w:val="22"/>
          <w:szCs w:val="22"/>
          <w:lang w:val="en-GB"/>
        </w:rPr>
        <w:t>, demonstrating how person-centred care, partnership working and ethical practice can improve outcomes while addressing challenges in practice. Finally, the report reflects on how these principles will influence my future professional practice, identifies my current strengths and areas for development, and outlines a plan for continuing professional learning.</w:t>
      </w:r>
    </w:p>
    <w:p w:rsidRPr="00894E16" w:rsidR="00431B67" w:rsidP="1CDFF857" w:rsidRDefault="00431B67" w14:paraId="1D6B4585" w14:textId="73AF8929">
      <w:pPr>
        <w:pStyle w:val="p2"/>
        <w:rPr>
          <w:rFonts w:ascii="Arial" w:hAnsi="Arial" w:eastAsia="Arial" w:cs="Arial"/>
          <w:sz w:val="22"/>
          <w:szCs w:val="22"/>
        </w:rPr>
      </w:pPr>
    </w:p>
    <w:p w:rsidRPr="00894E16" w:rsidR="00C04E4E" w:rsidP="1CDFF857" w:rsidRDefault="00C04E4E" w14:paraId="71BD0FFD" w14:textId="77777777">
      <w:pPr>
        <w:pStyle w:val="Heading1"/>
        <w:rPr>
          <w:rFonts w:ascii="Arial" w:hAnsi="Arial" w:eastAsia="Arial" w:cs="Arial"/>
          <w:sz w:val="22"/>
          <w:szCs w:val="22"/>
        </w:rPr>
      </w:pPr>
      <w:r w:rsidRPr="1CDFF857" w:rsidR="68E150B3">
        <w:rPr>
          <w:rStyle w:val="s1"/>
          <w:rFonts w:ascii="Arial" w:hAnsi="Arial" w:eastAsia="Arial" w:cs="Arial"/>
          <w:sz w:val="22"/>
          <w:szCs w:val="22"/>
        </w:rPr>
        <w:t>Task 1: Reflection on the Importance of Principles of Health and Social Care</w:t>
      </w:r>
    </w:p>
    <w:p w:rsidRPr="00894E16" w:rsidR="00C04E4E" w:rsidP="1CDFF857" w:rsidRDefault="00C04E4E" w14:paraId="7D1B55FE"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Situation</w:t>
      </w:r>
    </w:p>
    <w:p w:rsidRPr="00894E16" w:rsidR="00C04E4E" w:rsidP="1CDFF857" w:rsidRDefault="00C04E4E" w14:paraId="1CBEDF7F" w14:textId="01183362">
      <w:pPr>
        <w:pStyle w:val="p3"/>
        <w:rPr>
          <w:rFonts w:ascii="Arial" w:hAnsi="Arial" w:eastAsia="Arial" w:cs="Arial"/>
          <w:sz w:val="22"/>
          <w:szCs w:val="22"/>
        </w:rPr>
      </w:pPr>
      <w:r w:rsidRPr="1CDFF857" w:rsidR="68E150B3">
        <w:rPr>
          <w:rFonts w:ascii="Arial" w:hAnsi="Arial" w:eastAsia="Arial" w:cs="Arial"/>
          <w:sz w:val="22"/>
          <w:szCs w:val="22"/>
        </w:rPr>
        <w:t xml:space="preserve">High-quality health and social care </w:t>
      </w:r>
      <w:r w:rsidRPr="1CDFF857" w:rsidR="042FD458">
        <w:rPr>
          <w:rFonts w:ascii="Arial" w:hAnsi="Arial" w:eastAsia="Arial" w:cs="Arial"/>
          <w:sz w:val="22"/>
          <w:szCs w:val="22"/>
        </w:rPr>
        <w:t>depend</w:t>
      </w:r>
      <w:r w:rsidRPr="1CDFF857" w:rsidR="68E150B3">
        <w:rPr>
          <w:rFonts w:ascii="Arial" w:hAnsi="Arial" w:eastAsia="Arial" w:cs="Arial"/>
          <w:sz w:val="22"/>
          <w:szCs w:val="22"/>
        </w:rPr>
        <w:t xml:space="preserve"> on principles that promote safety, respect, participation and accountability. Person-centred care, partnership working and ethical practice are particularly important because they help professionals respond to complex needs in a coordinated and lawful way.</w:t>
      </w:r>
    </w:p>
    <w:p w:rsidRPr="00894E16" w:rsidR="00C04E4E" w:rsidP="1CDFF857" w:rsidRDefault="00C04E4E" w14:paraId="6190C61B"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Person-centred care</w:t>
      </w:r>
    </w:p>
    <w:p w:rsidRPr="00894E16" w:rsidR="00C04E4E" w:rsidP="1CDFF857" w:rsidRDefault="00C04E4E" w14:paraId="3EBDE545" w14:textId="61F28895">
      <w:pPr>
        <w:pStyle w:val="p3"/>
        <w:spacing w:before="240" w:beforeAutospacing="off" w:after="240" w:afterAutospacing="off"/>
        <w:rPr>
          <w:rFonts w:ascii="Arial" w:hAnsi="Arial" w:eastAsia="Arial" w:cs="Arial"/>
          <w:sz w:val="22"/>
          <w:szCs w:val="22"/>
        </w:rPr>
      </w:pPr>
      <w:r w:rsidRPr="1CDFF857" w:rsidR="68E150B3">
        <w:rPr>
          <w:rFonts w:ascii="Arial" w:hAnsi="Arial" w:eastAsia="Arial" w:cs="Arial"/>
          <w:sz w:val="22"/>
          <w:szCs w:val="22"/>
        </w:rPr>
        <w:t xml:space="preserve">Person-centred care places the individual at the centre of assessment, </w:t>
      </w:r>
      <w:r w:rsidRPr="1CDFF857" w:rsidR="68E150B3">
        <w:rPr>
          <w:rFonts w:ascii="Arial" w:hAnsi="Arial" w:eastAsia="Arial" w:cs="Arial"/>
          <w:sz w:val="22"/>
          <w:szCs w:val="22"/>
        </w:rPr>
        <w:t>planning</w:t>
      </w:r>
      <w:r w:rsidRPr="1CDFF857" w:rsidR="68E150B3">
        <w:rPr>
          <w:rFonts w:ascii="Arial" w:hAnsi="Arial" w:eastAsia="Arial" w:cs="Arial"/>
          <w:sz w:val="22"/>
          <w:szCs w:val="22"/>
        </w:rPr>
        <w:t xml:space="preserve"> and decision-making by considering their values, preferences, culture, communication </w:t>
      </w:r>
      <w:r w:rsidRPr="1CDFF857" w:rsidR="68E150B3">
        <w:rPr>
          <w:rFonts w:ascii="Arial" w:hAnsi="Arial" w:eastAsia="Arial" w:cs="Arial"/>
          <w:sz w:val="22"/>
          <w:szCs w:val="22"/>
        </w:rPr>
        <w:t>needs</w:t>
      </w:r>
      <w:r w:rsidRPr="1CDFF857" w:rsidR="68E150B3">
        <w:rPr>
          <w:rFonts w:ascii="Arial" w:hAnsi="Arial" w:eastAsia="Arial" w:cs="Arial"/>
          <w:sz w:val="22"/>
          <w:szCs w:val="22"/>
        </w:rPr>
        <w:t xml:space="preserve"> and personal goals. </w:t>
      </w:r>
      <w:r w:rsidRPr="1CDFF857" w:rsidR="202B6381">
        <w:rPr>
          <w:rFonts w:ascii="Arial" w:hAnsi="Arial" w:eastAsia="Arial" w:cs="Arial"/>
          <w:b w:val="0"/>
          <w:bCs w:val="0"/>
          <w:noProof w:val="0"/>
          <w:color w:val="000000" w:themeColor="text1" w:themeTint="FF" w:themeShade="FF"/>
          <w:sz w:val="22"/>
          <w:szCs w:val="22"/>
          <w:lang w:val="en-GB"/>
        </w:rPr>
        <w:t>Rogers’ (1961) Person-Centred Theory emphasises empathy, genuineness and unconditional positive regard, suggesting that people achieve better outcomes when professionals build trusting relationships and respect their experiences. Although Rogers developed his theory within counselling, its principles have influenced modern health and social care by encouraging professionals to work collaboratively with individuals rather than making decisions on their behalf. However, applying this approach can be challenging in busy services where limited time and resources may reduce opportunities for meaningful involvement.</w:t>
      </w:r>
      <w:r w:rsidRPr="1CDFF857" w:rsidR="202B6381">
        <w:rPr>
          <w:rFonts w:ascii="Arial" w:hAnsi="Arial" w:eastAsia="Arial" w:cs="Arial"/>
          <w:b w:val="0"/>
          <w:bCs w:val="0"/>
          <w:sz w:val="22"/>
          <w:szCs w:val="22"/>
        </w:rPr>
        <w:t xml:space="preserve"> </w:t>
      </w:r>
    </w:p>
    <w:p w:rsidRPr="00894E16" w:rsidR="00C04E4E" w:rsidP="1CDFF857" w:rsidRDefault="00C04E4E" w14:paraId="0A0CD1C7" w14:textId="12877508">
      <w:pPr>
        <w:pStyle w:val="p3"/>
        <w:rPr>
          <w:rFonts w:ascii="Arial" w:hAnsi="Arial" w:eastAsia="Arial" w:cs="Arial"/>
          <w:sz w:val="22"/>
          <w:szCs w:val="22"/>
        </w:rPr>
      </w:pPr>
      <w:r w:rsidRPr="1CDFF857" w:rsidR="68E150B3">
        <w:rPr>
          <w:rFonts w:ascii="Arial" w:hAnsi="Arial" w:eastAsia="Arial" w:cs="Arial"/>
          <w:sz w:val="22"/>
          <w:szCs w:val="22"/>
        </w:rPr>
        <w:t>Its main strength is that it treats individuals as active partners rather than passive recipients of care, which can improve autonomy, trust and engagement with services (NICE, 2021; NHS England, 2023). It may also lead to more appropriate support because decisions are based on what matters to the individual rather than only on diagnosis or professional judgement.</w:t>
      </w:r>
    </w:p>
    <w:p w:rsidRPr="00894E16" w:rsidR="00C04E4E" w:rsidP="00C04E4E" w:rsidRDefault="00C04E4E" w14:paraId="552D998A" w14:textId="46D6A98A">
      <w:pPr>
        <w:pStyle w:val="p3"/>
      </w:pPr>
      <w:r w:rsidRPr="1CDFF857" w:rsidR="68E150B3">
        <w:rPr>
          <w:rFonts w:ascii="Arial" w:hAnsi="Arial" w:eastAsia="Arial" w:cs="Arial"/>
          <w:sz w:val="22"/>
          <w:szCs w:val="22"/>
        </w:rPr>
        <w:t xml:space="preserve">However, person-centred care is not always achieved effectively in practice. Meaningful participation requires accessible information, sufficient time and appropriate communication support. Staff shortages, limited resources, language barriers and organisational pressures may restrict genuine choice and make involvement tokenistic. </w:t>
      </w:r>
    </w:p>
    <w:p w:rsidRPr="00894E16" w:rsidR="00C04E4E" w:rsidP="1CDFF857" w:rsidRDefault="00C04E4E" w14:paraId="28D87C36" w14:textId="7D40B7DB">
      <w:pPr>
        <w:pStyle w:val="p3"/>
        <w:rPr>
          <w:rFonts w:ascii="Arial" w:hAnsi="Arial" w:eastAsia="Arial" w:cs="Arial"/>
          <w:sz w:val="22"/>
          <w:szCs w:val="22"/>
        </w:rPr>
      </w:pPr>
      <w:r w:rsidRPr="1CDFF857" w:rsidR="68E150B3">
        <w:rPr>
          <w:rFonts w:ascii="Arial" w:hAnsi="Arial" w:eastAsia="Arial" w:cs="Arial"/>
          <w:sz w:val="22"/>
          <w:szCs w:val="22"/>
        </w:rPr>
        <w:t>Therefore, person-centred care should be assessed not only by whether an individual was consulted, but by whether their views meaningfully influenced the final care plan.</w:t>
      </w:r>
    </w:p>
    <w:p w:rsidRPr="00894E16" w:rsidR="00C04E4E" w:rsidP="1CDFF857" w:rsidRDefault="00C04E4E" w14:paraId="1421F0F2"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Partnership working</w:t>
      </w:r>
    </w:p>
    <w:p w:rsidRPr="00894E16" w:rsidR="00C04E4E" w:rsidP="1CDFF857" w:rsidRDefault="00C04E4E" w14:paraId="4B5AC1EB" w14:textId="39583F06">
      <w:pPr>
        <w:pStyle w:val="Normal"/>
        <w:rPr>
          <w:rFonts w:ascii="Arial" w:hAnsi="Arial" w:eastAsia="Arial" w:cs="Arial"/>
          <w:sz w:val="22"/>
          <w:szCs w:val="22"/>
        </w:rPr>
      </w:pPr>
    </w:p>
    <w:p w:rsidRPr="00894E16" w:rsidR="00C04E4E" w:rsidP="1CDFF857" w:rsidRDefault="00C04E4E" w14:paraId="50C447F5" w14:textId="20A0F0BC">
      <w:pPr>
        <w:spacing w:before="240" w:beforeAutospacing="off" w:after="240" w:afterAutospacing="off"/>
        <w:rPr>
          <w:rFonts w:ascii="Arial" w:hAnsi="Arial" w:eastAsia="Arial" w:cs="Arial"/>
          <w:b w:val="0"/>
          <w:bCs w:val="0"/>
          <w:noProof w:val="0"/>
          <w:color w:val="000000" w:themeColor="text1" w:themeTint="FF" w:themeShade="FF"/>
          <w:sz w:val="22"/>
          <w:szCs w:val="22"/>
          <w:lang w:val="en-GB"/>
        </w:rPr>
      </w:pPr>
      <w:r w:rsidRPr="1CDFF857" w:rsidR="2BE82A81">
        <w:rPr>
          <w:rFonts w:ascii="Arial" w:hAnsi="Arial" w:eastAsia="Arial" w:cs="Arial"/>
          <w:b w:val="0"/>
          <w:bCs w:val="0"/>
          <w:noProof w:val="0"/>
          <w:color w:val="000000" w:themeColor="text1" w:themeTint="FF" w:themeShade="FF"/>
          <w:sz w:val="22"/>
          <w:szCs w:val="22"/>
          <w:lang w:val="en-GB"/>
        </w:rPr>
        <w:t>The biopsychosocial model (Engel, 1977) recognises that health is influenced by biological, psychological and social factors. This supports partnership working because no single professional can address all aspects of an individual’s needs. For example, a person experiencing chronic illness may require medical treatment, psychological support and assistance with housing or financial difficulties.</w:t>
      </w:r>
    </w:p>
    <w:p w:rsidRPr="00894E16" w:rsidR="00C04E4E" w:rsidP="1CDFF857" w:rsidRDefault="00C04E4E" w14:paraId="752538C5" w14:textId="00733B3A">
      <w:pPr>
        <w:pStyle w:val="p3"/>
        <w:rPr>
          <w:rFonts w:ascii="Arial" w:hAnsi="Arial" w:eastAsia="Arial" w:cs="Arial"/>
          <w:sz w:val="22"/>
          <w:szCs w:val="22"/>
        </w:rPr>
      </w:pPr>
      <w:r w:rsidRPr="1CDFF857" w:rsidR="68E150B3">
        <w:rPr>
          <w:rFonts w:ascii="Arial" w:hAnsi="Arial" w:eastAsia="Arial" w:cs="Arial"/>
          <w:sz w:val="22"/>
          <w:szCs w:val="22"/>
        </w:rPr>
        <w:t xml:space="preserve">Partnership working is important because individuals with complex needs may require support from a multidisciplinary team, including healthcare professionals, social workers, mental health practitioners, housing </w:t>
      </w:r>
      <w:r w:rsidRPr="1CDFF857" w:rsidR="68E150B3">
        <w:rPr>
          <w:rFonts w:ascii="Arial" w:hAnsi="Arial" w:eastAsia="Arial" w:cs="Arial"/>
          <w:sz w:val="22"/>
          <w:szCs w:val="22"/>
        </w:rPr>
        <w:t>officers</w:t>
      </w:r>
      <w:r w:rsidRPr="1CDFF857" w:rsidR="68E150B3">
        <w:rPr>
          <w:rFonts w:ascii="Arial" w:hAnsi="Arial" w:eastAsia="Arial" w:cs="Arial"/>
          <w:sz w:val="22"/>
          <w:szCs w:val="22"/>
        </w:rPr>
        <w:t xml:space="preserve"> and voluntary organisations. Multi-team collaboration combines different areas of expertise, improves </w:t>
      </w:r>
      <w:r w:rsidRPr="1CDFF857" w:rsidR="68E150B3">
        <w:rPr>
          <w:rFonts w:ascii="Arial" w:hAnsi="Arial" w:eastAsia="Arial" w:cs="Arial"/>
          <w:sz w:val="22"/>
          <w:szCs w:val="22"/>
        </w:rPr>
        <w:t>continuity</w:t>
      </w:r>
      <w:r w:rsidRPr="1CDFF857" w:rsidR="68E150B3">
        <w:rPr>
          <w:rFonts w:ascii="Arial" w:hAnsi="Arial" w:eastAsia="Arial" w:cs="Arial"/>
          <w:sz w:val="22"/>
          <w:szCs w:val="22"/>
        </w:rPr>
        <w:t xml:space="preserve"> and reduces gaps or duplication in care (Glasby and Dickinson, 2014).</w:t>
      </w:r>
    </w:p>
    <w:p w:rsidRPr="00894E16" w:rsidR="00C04E4E" w:rsidP="1CDFF857" w:rsidRDefault="00C04E4E" w14:paraId="2FFFDAFF" w14:textId="445F7E2C">
      <w:pPr>
        <w:pStyle w:val="p3"/>
        <w:rPr>
          <w:rFonts w:ascii="Arial" w:hAnsi="Arial" w:eastAsia="Arial" w:cs="Arial"/>
          <w:sz w:val="22"/>
          <w:szCs w:val="22"/>
        </w:rPr>
      </w:pPr>
      <w:r w:rsidRPr="1CDFF857" w:rsidR="68E150B3">
        <w:rPr>
          <w:rFonts w:ascii="Arial" w:hAnsi="Arial" w:eastAsia="Arial" w:cs="Arial"/>
          <w:sz w:val="22"/>
          <w:szCs w:val="22"/>
        </w:rPr>
        <w:t xml:space="preserve">However, unclear roles, poor communication and delayed referrals can create fragmented support. Effective partnership working therefore depends on clear accountability, timely information sharing and the individual’s involvement in decisions, as encouraged by the Health and Care Act </w:t>
      </w:r>
      <w:r w:rsidRPr="1CDFF857" w:rsidR="440B1AA7">
        <w:rPr>
          <w:rFonts w:ascii="Arial" w:hAnsi="Arial" w:eastAsia="Arial" w:cs="Arial"/>
          <w:sz w:val="22"/>
          <w:szCs w:val="22"/>
        </w:rPr>
        <w:t>(</w:t>
      </w:r>
      <w:r w:rsidRPr="1CDFF857" w:rsidR="68E150B3">
        <w:rPr>
          <w:rFonts w:ascii="Arial" w:hAnsi="Arial" w:eastAsia="Arial" w:cs="Arial"/>
          <w:sz w:val="22"/>
          <w:szCs w:val="22"/>
        </w:rPr>
        <w:t>2022</w:t>
      </w:r>
      <w:r w:rsidRPr="1CDFF857" w:rsidR="0352E59D">
        <w:rPr>
          <w:rFonts w:ascii="Arial" w:hAnsi="Arial" w:eastAsia="Arial" w:cs="Arial"/>
          <w:sz w:val="22"/>
          <w:szCs w:val="22"/>
        </w:rPr>
        <w:t>)</w:t>
      </w:r>
      <w:r w:rsidRPr="1CDFF857" w:rsidR="68E150B3">
        <w:rPr>
          <w:rFonts w:ascii="Arial" w:hAnsi="Arial" w:eastAsia="Arial" w:cs="Arial"/>
          <w:sz w:val="22"/>
          <w:szCs w:val="22"/>
        </w:rPr>
        <w:t>.</w:t>
      </w:r>
    </w:p>
    <w:p w:rsidRPr="00894E16" w:rsidR="00C04E4E" w:rsidP="1CDFF857" w:rsidRDefault="00C04E4E" w14:paraId="05814507"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Ethical practice</w:t>
      </w:r>
    </w:p>
    <w:p w:rsidRPr="00894E16" w:rsidR="00C04E4E" w:rsidP="1CDFF857" w:rsidRDefault="00C04E4E" w14:paraId="4B41CF98" w14:textId="3E5C8857">
      <w:pPr>
        <w:pStyle w:val="p3"/>
        <w:rPr>
          <w:rFonts w:ascii="Arial" w:hAnsi="Arial" w:eastAsia="Arial" w:cs="Arial"/>
          <w:sz w:val="22"/>
          <w:szCs w:val="22"/>
        </w:rPr>
      </w:pPr>
      <w:r w:rsidRPr="1CDFF857" w:rsidR="68E150B3">
        <w:rPr>
          <w:rFonts w:ascii="Arial" w:hAnsi="Arial" w:eastAsia="Arial" w:cs="Arial"/>
          <w:sz w:val="22"/>
          <w:szCs w:val="22"/>
        </w:rPr>
        <w:t xml:space="preserve">Ethical practice guides professionals when balancing individual choice with responsibilities such as safeguarding and preventing harm. It includes dignity, confidentiality, informed consent, equality, autonomy and fairness. The Mental Capacity Act 2005 supports autonomy by requiring adults to be presumed to have capacity unless evidence shows otherwise, while the Equality Act </w:t>
      </w:r>
      <w:r w:rsidRPr="1CDFF857" w:rsidR="0352E59D">
        <w:rPr>
          <w:rFonts w:ascii="Arial" w:hAnsi="Arial" w:eastAsia="Arial" w:cs="Arial"/>
          <w:sz w:val="22"/>
          <w:szCs w:val="22"/>
        </w:rPr>
        <w:t>(</w:t>
      </w:r>
      <w:r w:rsidRPr="1CDFF857" w:rsidR="5C20F80B">
        <w:rPr>
          <w:rFonts w:ascii="Arial" w:hAnsi="Arial" w:eastAsia="Arial" w:cs="Arial"/>
          <w:sz w:val="22"/>
          <w:szCs w:val="22"/>
        </w:rPr>
        <w:t>2010</w:t>
      </w:r>
      <w:r w:rsidRPr="1CDFF857" w:rsidR="5C20F80B">
        <w:rPr>
          <w:rFonts w:ascii="Arial" w:hAnsi="Arial" w:eastAsia="Arial" w:cs="Arial"/>
          <w:sz w:val="22"/>
          <w:szCs w:val="22"/>
        </w:rPr>
        <w:t>)</w:t>
      </w:r>
      <w:r w:rsidRPr="1CDFF857" w:rsidR="5C20F80B">
        <w:rPr>
          <w:rFonts w:ascii="Arial" w:hAnsi="Arial" w:eastAsia="Arial" w:cs="Arial"/>
          <w:sz w:val="22"/>
          <w:szCs w:val="22"/>
        </w:rPr>
        <w:t xml:space="preserve"> promotes</w:t>
      </w:r>
      <w:r w:rsidRPr="1CDFF857" w:rsidR="68E150B3">
        <w:rPr>
          <w:rFonts w:ascii="Arial" w:hAnsi="Arial" w:eastAsia="Arial" w:cs="Arial"/>
          <w:sz w:val="22"/>
          <w:szCs w:val="22"/>
        </w:rPr>
        <w:t xml:space="preserve"> non-discriminatory access to services.</w:t>
      </w:r>
    </w:p>
    <w:p w:rsidRPr="00894E16" w:rsidR="00C04E4E" w:rsidP="1CDFF857" w:rsidRDefault="00C04E4E" w14:paraId="36C5E0F2" w14:textId="5AD10FB1">
      <w:pPr>
        <w:pStyle w:val="p3"/>
        <w:rPr>
          <w:rFonts w:ascii="Arial" w:hAnsi="Arial" w:eastAsia="Arial" w:cs="Arial"/>
          <w:sz w:val="22"/>
          <w:szCs w:val="22"/>
        </w:rPr>
      </w:pPr>
      <w:r w:rsidRPr="1CDFF857" w:rsidR="68E150B3">
        <w:rPr>
          <w:rFonts w:ascii="Arial" w:hAnsi="Arial" w:eastAsia="Arial" w:cs="Arial"/>
          <w:sz w:val="22"/>
          <w:szCs w:val="22"/>
        </w:rPr>
        <w:t xml:space="preserve">However, legislation does not always provide a simple answer when an individual’s wishes conflict with professional concerns about risk. Professionals must use evidence, proportionate judgement and relevant guidance rather than relying only on </w:t>
      </w:r>
      <w:r w:rsidRPr="1CDFF857" w:rsidR="2E215159">
        <w:rPr>
          <w:rFonts w:ascii="Arial" w:hAnsi="Arial" w:eastAsia="Arial" w:cs="Arial"/>
          <w:sz w:val="22"/>
          <w:szCs w:val="22"/>
        </w:rPr>
        <w:t xml:space="preserve">personal </w:t>
      </w:r>
      <w:r w:rsidRPr="1CDFF857" w:rsidR="7035978A">
        <w:rPr>
          <w:rFonts w:ascii="Arial" w:hAnsi="Arial" w:eastAsia="Arial" w:cs="Arial"/>
          <w:sz w:val="22"/>
          <w:szCs w:val="22"/>
        </w:rPr>
        <w:t>opinion</w:t>
      </w:r>
      <w:r w:rsidRPr="1CDFF857" w:rsidR="68E150B3">
        <w:rPr>
          <w:rFonts w:ascii="Arial" w:hAnsi="Arial" w:eastAsia="Arial" w:cs="Arial"/>
          <w:sz w:val="22"/>
          <w:szCs w:val="22"/>
        </w:rPr>
        <w:t>. Ethical practice is therefore essential because it protects rights while also supporting safe and accountable decision-making.</w:t>
      </w:r>
    </w:p>
    <w:p w:rsidRPr="00894E16" w:rsidR="00C04E4E" w:rsidP="1CDFF857" w:rsidRDefault="00C04E4E" w14:paraId="60537EE0"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Reflection</w:t>
      </w:r>
    </w:p>
    <w:p w:rsidR="00C04E4E" w:rsidP="1CDFF857" w:rsidRDefault="00C04E4E" w14:paraId="7E3744D7" w14:textId="77777777">
      <w:pPr>
        <w:pStyle w:val="p2"/>
        <w:rPr>
          <w:rFonts w:ascii="Arial" w:hAnsi="Arial" w:eastAsia="Arial" w:cs="Arial"/>
          <w:sz w:val="22"/>
          <w:szCs w:val="22"/>
        </w:rPr>
      </w:pPr>
      <w:r w:rsidRPr="1CDFF857" w:rsidR="68E150B3">
        <w:rPr>
          <w:rFonts w:ascii="Arial" w:hAnsi="Arial" w:eastAsia="Arial" w:cs="Arial"/>
          <w:sz w:val="22"/>
          <w:szCs w:val="22"/>
        </w:rPr>
        <w:t>These principles are closely interconnected. Person-centred care identifies what matters to the individual, partnership working brings together the services required to meet their needs, and ethical practice ensures that support is delivered fairly, respectfully and safely. Together, they contribute to compassionate, coordinated and high-quality care.</w:t>
      </w:r>
    </w:p>
    <w:p w:rsidRPr="00894E16" w:rsidR="00431B67" w:rsidP="1CDFF857" w:rsidRDefault="00431B67" w14:paraId="16438E55" w14:textId="77777777">
      <w:pPr>
        <w:pStyle w:val="p2"/>
        <w:rPr>
          <w:rFonts w:ascii="Arial" w:hAnsi="Arial" w:eastAsia="Arial" w:cs="Arial"/>
          <w:sz w:val="22"/>
          <w:szCs w:val="22"/>
        </w:rPr>
      </w:pPr>
    </w:p>
    <w:p w:rsidRPr="00894E16" w:rsidR="00C04E4E" w:rsidP="1CDFF857" w:rsidRDefault="00C04E4E" w14:paraId="2958FAC5" w14:textId="77777777">
      <w:pPr>
        <w:pStyle w:val="Heading1"/>
        <w:rPr>
          <w:rFonts w:ascii="Arial" w:hAnsi="Arial" w:eastAsia="Arial" w:cs="Arial"/>
          <w:sz w:val="22"/>
          <w:szCs w:val="22"/>
        </w:rPr>
      </w:pPr>
      <w:r w:rsidRPr="1CDFF857" w:rsidR="68E150B3">
        <w:rPr>
          <w:rStyle w:val="s1"/>
          <w:rFonts w:ascii="Arial" w:hAnsi="Arial" w:eastAsia="Arial" w:cs="Arial"/>
          <w:sz w:val="22"/>
          <w:szCs w:val="22"/>
        </w:rPr>
        <w:t>Task 2: Practical Example of Concepts in Practice</w:t>
      </w:r>
    </w:p>
    <w:p w:rsidRPr="00894E16" w:rsidR="00C04E4E" w:rsidP="1CDFF857" w:rsidRDefault="00C04E4E" w14:paraId="55992B69" w14:textId="77777777">
      <w:pPr>
        <w:pStyle w:val="p3"/>
        <w:rPr>
          <w:rFonts w:ascii="Arial" w:hAnsi="Arial" w:eastAsia="Arial" w:cs="Arial"/>
          <w:sz w:val="22"/>
          <w:szCs w:val="22"/>
        </w:rPr>
      </w:pPr>
      <w:r w:rsidRPr="1CDFF857" w:rsidR="68E150B3">
        <w:rPr>
          <w:rFonts w:ascii="Arial" w:hAnsi="Arial" w:eastAsia="Arial" w:cs="Arial"/>
          <w:sz w:val="22"/>
          <w:szCs w:val="22"/>
        </w:rPr>
        <w:t>This case study focuses on Ms A, a refugee from Iran living in the United Kingdom. She experiences chronic pain, anxiety and depression, which affect her daily functioning and quality of life. She has also experienced housing insecurity and financial hardship, which have further affected her physical and emotional wellbeing. Following a comprehensive needs and risk assessment, a social worker identified that Ms A required coordinated support from several health and social care services.</w:t>
      </w:r>
    </w:p>
    <w:p w:rsidRPr="00894E16" w:rsidR="00C04E4E" w:rsidP="1CDFF857" w:rsidRDefault="00C04E4E" w14:paraId="70233ECC" w14:textId="77777777">
      <w:pPr>
        <w:pStyle w:val="p3"/>
        <w:rPr>
          <w:rFonts w:ascii="Arial" w:hAnsi="Arial" w:eastAsia="Arial" w:cs="Arial"/>
          <w:sz w:val="22"/>
          <w:szCs w:val="22"/>
        </w:rPr>
      </w:pPr>
      <w:r w:rsidRPr="1CDFF857" w:rsidR="68E150B3">
        <w:rPr>
          <w:rFonts w:ascii="Arial" w:hAnsi="Arial" w:eastAsia="Arial" w:cs="Arial"/>
          <w:sz w:val="22"/>
          <w:szCs w:val="22"/>
        </w:rPr>
        <w:t>A person-centred approach was central to the support provided. The social worker listened to Ms A’s concerns and involved her in decisions about her care. Her cultural background, preferences, communication needs and personal goals were considered when developing the care plan. Recognising that unstable housing and financial difficulties were worsening her health, the social worker referred her to specialist housing organisations and welfare advice services. She was also supported to apply for Universal Credit. This approach promoted her dignity, independence and control, reflecting the principles of shared decision-making (NICE, 2021).</w:t>
      </w:r>
    </w:p>
    <w:p w:rsidRPr="00894E16" w:rsidR="00C04E4E" w:rsidP="1CDFF857" w:rsidRDefault="00C04E4E" w14:paraId="132D0848" w14:textId="77777777">
      <w:pPr>
        <w:pStyle w:val="p3"/>
        <w:rPr>
          <w:rFonts w:ascii="Arial" w:hAnsi="Arial" w:eastAsia="Arial" w:cs="Arial"/>
          <w:sz w:val="22"/>
          <w:szCs w:val="22"/>
        </w:rPr>
      </w:pPr>
      <w:r w:rsidRPr="1CDFF857" w:rsidR="68E150B3">
        <w:rPr>
          <w:rFonts w:ascii="Arial" w:hAnsi="Arial" w:eastAsia="Arial" w:cs="Arial"/>
          <w:sz w:val="22"/>
          <w:szCs w:val="22"/>
        </w:rPr>
        <w:t>Partnership working was equally important. The social worker worked with Ms A’s GP, community mental health team, talking therapist, housing support services, welfare advisers and support workers. This multidisciplinary and multi-agency collaboration enabled professionals to consider her physical, psychological, social and financial needs together rather than treating each problem separately. It also supported continuity of care and reduced the risk of gaps or duplicated work (Glasby and Dickinson, 2014; NHS England, 2023).</w:t>
      </w:r>
    </w:p>
    <w:p w:rsidRPr="00894E16" w:rsidR="00C04E4E" w:rsidP="1CDFF857" w:rsidRDefault="00C04E4E" w14:paraId="41A3627C" w14:textId="77777777">
      <w:pPr>
        <w:pStyle w:val="p3"/>
        <w:rPr>
          <w:rFonts w:ascii="Arial" w:hAnsi="Arial" w:eastAsia="Arial" w:cs="Arial"/>
          <w:sz w:val="22"/>
          <w:szCs w:val="22"/>
        </w:rPr>
      </w:pPr>
      <w:r w:rsidRPr="1CDFF857" w:rsidR="68E150B3">
        <w:rPr>
          <w:rFonts w:ascii="Arial" w:hAnsi="Arial" w:eastAsia="Arial" w:cs="Arial"/>
          <w:sz w:val="22"/>
          <w:szCs w:val="22"/>
        </w:rPr>
        <w:t>Nevertheless, collaboration can be ineffective when roles are unclear or information is delayed. Ms A could have been required to repeat distressing information to several services, which might have reduced trust and engagement. Effective partnership working therefore required clear responsibilities, timely communication and appropriate information sharing in line with the Health and Care Act 2022.</w:t>
      </w:r>
    </w:p>
    <w:p w:rsidRPr="00894E16" w:rsidR="00C04E4E" w:rsidP="1CDFF857" w:rsidRDefault="00C04E4E" w14:paraId="34060EF5" w14:textId="77777777">
      <w:pPr>
        <w:pStyle w:val="p3"/>
        <w:rPr>
          <w:rFonts w:ascii="Arial" w:hAnsi="Arial" w:eastAsia="Arial" w:cs="Arial"/>
          <w:sz w:val="22"/>
          <w:szCs w:val="22"/>
        </w:rPr>
      </w:pPr>
      <w:r w:rsidRPr="1CDFF857" w:rsidR="68E150B3">
        <w:rPr>
          <w:rFonts w:ascii="Arial" w:hAnsi="Arial" w:eastAsia="Arial" w:cs="Arial"/>
          <w:sz w:val="22"/>
          <w:szCs w:val="22"/>
        </w:rPr>
        <w:t>Ethical principles guided every stage of Ms A’s care. Professionals respected her dignity, confidentiality, autonomy and right to participate in decisions. Her informed consent was obtained before information was shared, except where a lawful safeguarding reason might justify disclosure. The Care Act 2014 supported a focus on wellbeing and participation, while the Mental Capacity Act 2005 required professionals to presume capacity and support her decision-making.</w:t>
      </w:r>
    </w:p>
    <w:p w:rsidRPr="00894E16" w:rsidR="00C04E4E" w:rsidP="1CDFF857" w:rsidRDefault="00C04E4E" w14:paraId="677893A9" w14:textId="77777777">
      <w:pPr>
        <w:pStyle w:val="p2"/>
        <w:rPr>
          <w:rFonts w:ascii="Arial" w:hAnsi="Arial" w:eastAsia="Arial" w:cs="Arial"/>
          <w:sz w:val="22"/>
          <w:szCs w:val="22"/>
        </w:rPr>
      </w:pPr>
      <w:r w:rsidRPr="1CDFF857" w:rsidR="68E150B3">
        <w:rPr>
          <w:rFonts w:ascii="Arial" w:hAnsi="Arial" w:eastAsia="Arial" w:cs="Arial"/>
          <w:sz w:val="22"/>
          <w:szCs w:val="22"/>
        </w:rPr>
        <w:t>Overall, the case demonstrates that person-centred care, partnership working and ethical practice are interdependent. Coordinated support improved Ms A’s access to healthcare, welfare benefits and housing advice. Although it could not remove every difficulty immediately, it provided a more holistic response and promoted greater independence and wellbeing.</w:t>
      </w:r>
    </w:p>
    <w:p w:rsidRPr="00894E16" w:rsidR="00C04E4E" w:rsidP="1CDFF857" w:rsidRDefault="00C04E4E" w14:paraId="17C59F40" w14:textId="77777777">
      <w:pPr>
        <w:pStyle w:val="Heading1"/>
        <w:rPr>
          <w:rFonts w:ascii="Arial" w:hAnsi="Arial" w:eastAsia="Arial" w:cs="Arial"/>
          <w:sz w:val="22"/>
          <w:szCs w:val="22"/>
        </w:rPr>
      </w:pPr>
      <w:r w:rsidRPr="1CDFF857" w:rsidR="68E150B3">
        <w:rPr>
          <w:rStyle w:val="s1"/>
          <w:rFonts w:ascii="Arial" w:hAnsi="Arial" w:eastAsia="Arial" w:cs="Arial"/>
          <w:sz w:val="22"/>
          <w:szCs w:val="22"/>
        </w:rPr>
        <w:t>Task 3: Self-Reflection as a Future Health and Social Care Professional</w:t>
      </w:r>
    </w:p>
    <w:p w:rsidRPr="00894E16" w:rsidR="00C04E4E" w:rsidP="1CDFF857" w:rsidRDefault="00C04E4E" w14:paraId="137B2076" w14:textId="77777777">
      <w:pPr>
        <w:pStyle w:val="p3"/>
        <w:rPr>
          <w:rFonts w:ascii="Arial" w:hAnsi="Arial" w:eastAsia="Arial" w:cs="Arial"/>
          <w:sz w:val="22"/>
          <w:szCs w:val="22"/>
        </w:rPr>
      </w:pPr>
      <w:r w:rsidRPr="1CDFF857" w:rsidR="68E150B3">
        <w:rPr>
          <w:rFonts w:ascii="Arial" w:hAnsi="Arial" w:eastAsia="Arial" w:cs="Arial"/>
          <w:sz w:val="22"/>
          <w:szCs w:val="22"/>
        </w:rPr>
        <w:t>This section reflects on how person-centred care, partnership working and ethical practice will influence my future role. My studies and experience supporting vulnerable individuals with housing, welfare benefits and community services have shown me that effective practice requires empathy, communication, professional judgement and continuous reflection.</w:t>
      </w:r>
    </w:p>
    <w:p w:rsidRPr="00894E16" w:rsidR="00C04E4E" w:rsidP="1CDFF857" w:rsidRDefault="00C04E4E" w14:paraId="759909E8"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3.1 Person-centred care in my practice</w:t>
      </w:r>
    </w:p>
    <w:p w:rsidRPr="00894E16" w:rsidR="00C04E4E" w:rsidP="1CDFF857" w:rsidRDefault="00C04E4E" w14:paraId="0B1E0E95" w14:textId="77777777">
      <w:pPr>
        <w:pStyle w:val="p3"/>
        <w:rPr>
          <w:rFonts w:ascii="Arial" w:hAnsi="Arial" w:eastAsia="Arial" w:cs="Arial"/>
          <w:sz w:val="22"/>
          <w:szCs w:val="22"/>
        </w:rPr>
      </w:pPr>
      <w:r w:rsidRPr="1CDFF857" w:rsidR="68E150B3">
        <w:rPr>
          <w:rFonts w:ascii="Arial" w:hAnsi="Arial" w:eastAsia="Arial" w:cs="Arial"/>
          <w:sz w:val="22"/>
          <w:szCs w:val="22"/>
        </w:rPr>
        <w:t>My experience has taught me to listen carefully before offering advice. People may appear to have similar difficulties, but their priorities, family responsibilities, health conditions and cultural backgrounds can differ greatly. For example, a person experiencing homelessness may also be managing disability, mental health difficulties or language barriers. Support should therefore respond to the whole person rather than only the presenting problem.</w:t>
      </w:r>
    </w:p>
    <w:p w:rsidRPr="00894E16" w:rsidR="00C04E4E" w:rsidP="1CDFF857" w:rsidRDefault="00C04E4E" w14:paraId="1B222301" w14:textId="77777777">
      <w:pPr>
        <w:pStyle w:val="p3"/>
        <w:rPr>
          <w:rFonts w:ascii="Arial" w:hAnsi="Arial" w:eastAsia="Arial" w:cs="Arial"/>
          <w:sz w:val="22"/>
          <w:szCs w:val="22"/>
        </w:rPr>
      </w:pPr>
      <w:r w:rsidRPr="1CDFF857" w:rsidR="68E150B3">
        <w:rPr>
          <w:rFonts w:ascii="Arial" w:hAnsi="Arial" w:eastAsia="Arial" w:cs="Arial"/>
          <w:sz w:val="22"/>
          <w:szCs w:val="22"/>
        </w:rPr>
        <w:t>In future practice, I will involve individuals in assessments and decisions, explain options clearly and respect their wishes wherever possible. The Care Act 2014 emphasises wellbeing and participation, but meaningful involvement requires more than asking someone to agree with a plan created by professionals. I will check understanding, avoid assumptions and give individuals sufficient time and information to express their views.</w:t>
      </w:r>
    </w:p>
    <w:p w:rsidRPr="00894E16" w:rsidR="00C04E4E" w:rsidP="1CDFF857" w:rsidRDefault="00C04E4E" w14:paraId="07A58BAC"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3.2 Partnership working in my practice</w:t>
      </w:r>
    </w:p>
    <w:p w:rsidRPr="00894E16" w:rsidR="00C04E4E" w:rsidP="1CDFF857" w:rsidRDefault="00C04E4E" w14:paraId="74EC02B3" w14:textId="77777777">
      <w:pPr>
        <w:pStyle w:val="p3"/>
        <w:rPr>
          <w:rFonts w:ascii="Arial" w:hAnsi="Arial" w:eastAsia="Arial" w:cs="Arial"/>
          <w:sz w:val="22"/>
          <w:szCs w:val="22"/>
        </w:rPr>
      </w:pPr>
      <w:r w:rsidRPr="1CDFF857" w:rsidR="68E150B3">
        <w:rPr>
          <w:rFonts w:ascii="Arial" w:hAnsi="Arial" w:eastAsia="Arial" w:cs="Arial"/>
          <w:sz w:val="22"/>
          <w:szCs w:val="22"/>
        </w:rPr>
        <w:t>My experience has also shown me that individuals often need coordinated support from several organisations. Housing teams, GPs, social workers, mental health services, welfare advisers and voluntary organisations may each hold different responsibilities. When a multidisciplinary team communicates effectively, the individual is more likely to receive timely and consistent support.</w:t>
      </w:r>
    </w:p>
    <w:p w:rsidRPr="00894E16" w:rsidR="00C04E4E" w:rsidP="1CDFF857" w:rsidRDefault="00C04E4E" w14:paraId="1D30763B" w14:textId="77777777">
      <w:pPr>
        <w:pStyle w:val="p3"/>
        <w:rPr>
          <w:rFonts w:ascii="Arial" w:hAnsi="Arial" w:eastAsia="Arial" w:cs="Arial"/>
          <w:sz w:val="22"/>
          <w:szCs w:val="22"/>
        </w:rPr>
      </w:pPr>
      <w:r w:rsidRPr="1CDFF857" w:rsidR="68E150B3">
        <w:rPr>
          <w:rFonts w:ascii="Arial" w:hAnsi="Arial" w:eastAsia="Arial" w:cs="Arial"/>
          <w:sz w:val="22"/>
          <w:szCs w:val="22"/>
        </w:rPr>
        <w:t>I have also observed that poor communication can lead to delays, repeated assessments and confusion about responsibility. Glasby and Dickinson (2014) argue that integrated working requires shared responsibility and effective communication rather than simply referring people between services. In my future role, I will keep accurate records, follow up referrals and ensure that the individual remains informed throughout the process.</w:t>
      </w:r>
    </w:p>
    <w:p w:rsidRPr="00894E16" w:rsidR="00C04E4E" w:rsidP="1CDFF857" w:rsidRDefault="00C04E4E" w14:paraId="673469CE"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3.3 Ethics in my practice</w:t>
      </w:r>
    </w:p>
    <w:p w:rsidRPr="00894E16" w:rsidR="00C04E4E" w:rsidP="1CDFF857" w:rsidRDefault="00C04E4E" w14:paraId="60CC02C3" w14:textId="77777777">
      <w:pPr>
        <w:pStyle w:val="p3"/>
        <w:rPr>
          <w:rFonts w:ascii="Arial" w:hAnsi="Arial" w:eastAsia="Arial" w:cs="Arial"/>
          <w:sz w:val="22"/>
          <w:szCs w:val="22"/>
        </w:rPr>
      </w:pPr>
      <w:r w:rsidRPr="1CDFF857" w:rsidR="68E150B3">
        <w:rPr>
          <w:rFonts w:ascii="Arial" w:hAnsi="Arial" w:eastAsia="Arial" w:cs="Arial"/>
          <w:sz w:val="22"/>
          <w:szCs w:val="22"/>
        </w:rPr>
        <w:t>Ethical practice will influence every decision I make. Confidentiality, informed consent, dignity, equality and safeguarding are essential for building trust. Personal information should not normally be shared without permission unless there is a lawful reason, such as a serious risk of harm.</w:t>
      </w:r>
    </w:p>
    <w:p w:rsidRPr="00894E16" w:rsidR="00C04E4E" w:rsidP="1CDFF857" w:rsidRDefault="00C04E4E" w14:paraId="0D92E782" w14:textId="77777777">
      <w:pPr>
        <w:pStyle w:val="p3"/>
        <w:rPr>
          <w:rFonts w:ascii="Arial" w:hAnsi="Arial" w:eastAsia="Arial" w:cs="Arial"/>
          <w:sz w:val="22"/>
          <w:szCs w:val="22"/>
        </w:rPr>
      </w:pPr>
      <w:r w:rsidRPr="1CDFF857" w:rsidR="68E150B3">
        <w:rPr>
          <w:rFonts w:ascii="Arial" w:hAnsi="Arial" w:eastAsia="Arial" w:cs="Arial"/>
          <w:sz w:val="22"/>
          <w:szCs w:val="22"/>
        </w:rPr>
        <w:t>I must also respect an adult’s right to make decisions that I may personally disagree with, provided that the person has capacity. The Mental Capacity Act 2005 requires capacity to be presumed unless evidence indicates otherwise. This prevents professionals from removing autonomy simply because they believe another choice would be better.</w:t>
      </w:r>
    </w:p>
    <w:p w:rsidRPr="00894E16" w:rsidR="00C04E4E" w:rsidP="1CDFF857" w:rsidRDefault="00C04E4E" w14:paraId="57C81295" w14:textId="77777777">
      <w:pPr>
        <w:pStyle w:val="p3"/>
        <w:rPr>
          <w:rFonts w:ascii="Arial" w:hAnsi="Arial" w:eastAsia="Arial" w:cs="Arial"/>
          <w:sz w:val="22"/>
          <w:szCs w:val="22"/>
        </w:rPr>
      </w:pPr>
      <w:r w:rsidRPr="1CDFF857" w:rsidR="68E150B3">
        <w:rPr>
          <w:rFonts w:ascii="Arial" w:hAnsi="Arial" w:eastAsia="Arial" w:cs="Arial"/>
          <w:sz w:val="22"/>
          <w:szCs w:val="22"/>
        </w:rPr>
        <w:t xml:space="preserve">At the same time, safeguarding duties may require action where a person faces significant harm. I will therefore use legislation, professional guidance, supervision and evidence to support decisions rather than relying only on </w:t>
      </w:r>
      <w:r w:rsidRPr="1CDFF857" w:rsidR="68E150B3">
        <w:rPr>
          <w:rFonts w:ascii="Arial" w:hAnsi="Arial" w:eastAsia="Arial" w:cs="Arial"/>
          <w:sz w:val="22"/>
          <w:szCs w:val="22"/>
        </w:rPr>
        <w:t>personal opinion</w:t>
      </w:r>
      <w:r w:rsidRPr="1CDFF857" w:rsidR="68E150B3">
        <w:rPr>
          <w:rFonts w:ascii="Arial" w:hAnsi="Arial" w:eastAsia="Arial" w:cs="Arial"/>
          <w:sz w:val="22"/>
          <w:szCs w:val="22"/>
        </w:rPr>
        <w:t>.</w:t>
      </w:r>
    </w:p>
    <w:p w:rsidRPr="00894E16" w:rsidR="00C04E4E" w:rsidP="1CDFF857" w:rsidRDefault="00C04E4E" w14:paraId="317DCC5A"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3.4 My current strengths</w:t>
      </w:r>
    </w:p>
    <w:p w:rsidRPr="00894E16" w:rsidR="00C04E4E" w:rsidP="1CDFF857" w:rsidRDefault="00C04E4E" w14:paraId="42155397" w14:textId="77777777">
      <w:pPr>
        <w:pStyle w:val="p3"/>
        <w:rPr>
          <w:rFonts w:ascii="Arial" w:hAnsi="Arial" w:eastAsia="Arial" w:cs="Arial"/>
          <w:sz w:val="22"/>
          <w:szCs w:val="22"/>
        </w:rPr>
      </w:pPr>
      <w:r w:rsidRPr="1CDFF857" w:rsidR="68E150B3">
        <w:rPr>
          <w:rFonts w:ascii="Arial" w:hAnsi="Arial" w:eastAsia="Arial" w:cs="Arial"/>
          <w:sz w:val="22"/>
          <w:szCs w:val="22"/>
        </w:rPr>
        <w:t>One of my main strengths is empathy. I can listen patiently and recognise that people may feel frightened, frustrated or powerless when dealing with complex systems. I also have experience communicating with individuals from different cultural and linguistic backgrounds. My multilingual skills can help me build trust and explain information more accessibly.</w:t>
      </w:r>
    </w:p>
    <w:p w:rsidRPr="00894E16" w:rsidR="00C04E4E" w:rsidP="1CDFF857" w:rsidRDefault="00C04E4E" w14:paraId="473498DA" w14:textId="77777777">
      <w:pPr>
        <w:pStyle w:val="p3"/>
        <w:rPr>
          <w:rFonts w:ascii="Arial" w:hAnsi="Arial" w:eastAsia="Arial" w:cs="Arial"/>
          <w:sz w:val="22"/>
          <w:szCs w:val="22"/>
        </w:rPr>
      </w:pPr>
      <w:r w:rsidRPr="1CDFF857" w:rsidR="68E150B3">
        <w:rPr>
          <w:rFonts w:ascii="Arial" w:hAnsi="Arial" w:eastAsia="Arial" w:cs="Arial"/>
          <w:sz w:val="22"/>
          <w:szCs w:val="22"/>
        </w:rPr>
        <w:t>Another strength is persistence. When supporting vulnerable individuals, I follow up enquiries and try to ensure that their concerns are not ignored. I am also developing a strong understanding of how housing, poverty, disability and mental health can interact. These strengths will support a holistic and person-centred approach in my future career.</w:t>
      </w:r>
    </w:p>
    <w:p w:rsidRPr="00894E16" w:rsidR="00C04E4E" w:rsidP="1CDFF857" w:rsidRDefault="00C04E4E" w14:paraId="47D8CA99"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3.5 Areas for improvement</w:t>
      </w:r>
    </w:p>
    <w:p w:rsidRPr="00894E16" w:rsidR="00C04E4E" w:rsidP="1CDFF857" w:rsidRDefault="00C04E4E" w14:paraId="62E11C88" w14:textId="77777777">
      <w:pPr>
        <w:pStyle w:val="p3"/>
        <w:rPr>
          <w:rFonts w:ascii="Arial" w:hAnsi="Arial" w:eastAsia="Arial" w:cs="Arial"/>
          <w:sz w:val="22"/>
          <w:szCs w:val="22"/>
        </w:rPr>
      </w:pPr>
      <w:r w:rsidRPr="1CDFF857" w:rsidR="68E150B3">
        <w:rPr>
          <w:rFonts w:ascii="Arial" w:hAnsi="Arial" w:eastAsia="Arial" w:cs="Arial"/>
          <w:sz w:val="22"/>
          <w:szCs w:val="22"/>
        </w:rPr>
        <w:t xml:space="preserve">I need to improve my confidence in applying legislation critically rather than only describing it. I also need to strengthen my academic writing, Harvard referencing and </w:t>
      </w:r>
      <w:r w:rsidRPr="1CDFF857" w:rsidR="68E150B3">
        <w:rPr>
          <w:rFonts w:ascii="Arial" w:hAnsi="Arial" w:eastAsia="Arial" w:cs="Arial"/>
          <w:sz w:val="22"/>
          <w:szCs w:val="22"/>
        </w:rPr>
        <w:t>professional report writing. These skills are important because unclear communication or inaccurate records may affect continuity and quality of care.</w:t>
      </w:r>
    </w:p>
    <w:p w:rsidRPr="00894E16" w:rsidR="00C04E4E" w:rsidP="1CDFF857" w:rsidRDefault="00C04E4E" w14:paraId="71107C26" w14:textId="77777777">
      <w:pPr>
        <w:pStyle w:val="p3"/>
        <w:rPr>
          <w:rFonts w:ascii="Arial" w:hAnsi="Arial" w:eastAsia="Arial" w:cs="Arial"/>
          <w:sz w:val="22"/>
          <w:szCs w:val="22"/>
        </w:rPr>
      </w:pPr>
      <w:r w:rsidRPr="1CDFF857" w:rsidR="68E150B3">
        <w:rPr>
          <w:rFonts w:ascii="Arial" w:hAnsi="Arial" w:eastAsia="Arial" w:cs="Arial"/>
          <w:sz w:val="22"/>
          <w:szCs w:val="22"/>
        </w:rPr>
        <w:t>I must also continue developing professional boundaries. Empathy is essential, but professionals should avoid becoming over-involved or taking responsibility for matters outside their role. Clear boundaries protect both the individual and the practitioner.</w:t>
      </w:r>
    </w:p>
    <w:p w:rsidRPr="00894E16" w:rsidR="00C04E4E" w:rsidP="1CDFF857" w:rsidRDefault="00C04E4E" w14:paraId="2077A97B" w14:textId="77777777">
      <w:pPr>
        <w:pStyle w:val="Heading2"/>
        <w:rPr>
          <w:rStyle w:val="s1"/>
          <w:rFonts w:ascii="Arial" w:hAnsi="Arial" w:eastAsia="Arial" w:cs="Arial"/>
          <w:sz w:val="22"/>
          <w:szCs w:val="22"/>
        </w:rPr>
      </w:pPr>
      <w:r w:rsidRPr="1CDFF857" w:rsidR="68E150B3">
        <w:rPr>
          <w:rStyle w:val="s1"/>
          <w:rFonts w:ascii="Arial" w:hAnsi="Arial" w:eastAsia="Arial" w:cs="Arial"/>
          <w:sz w:val="22"/>
          <w:szCs w:val="22"/>
        </w:rPr>
        <w:t>3.6 Personal and professional development plan</w:t>
      </w:r>
    </w:p>
    <w:p w:rsidRPr="00894E16" w:rsidR="00C04E4E" w:rsidP="1CDFF857" w:rsidRDefault="00C04E4E" w14:paraId="29AD87E9" w14:textId="77777777">
      <w:pPr>
        <w:pStyle w:val="p3"/>
        <w:rPr>
          <w:rFonts w:ascii="Arial" w:hAnsi="Arial" w:eastAsia="Arial" w:cs="Arial"/>
          <w:sz w:val="22"/>
          <w:szCs w:val="22"/>
        </w:rPr>
      </w:pPr>
      <w:r w:rsidRPr="1CDFF857" w:rsidR="68E150B3">
        <w:rPr>
          <w:rFonts w:ascii="Arial" w:hAnsi="Arial" w:eastAsia="Arial" w:cs="Arial"/>
          <w:sz w:val="22"/>
          <w:szCs w:val="22"/>
        </w:rPr>
        <w:t>To support my development, I will regularly read current legislation, NICE guidance and professional codes. I will attend training in safeguarding, mental capacity, equality and information sharing. I will also seek feedback from lecturers, supervisors and placement staff and use it to improve my practice.</w:t>
      </w:r>
    </w:p>
    <w:p w:rsidR="00C04E4E" w:rsidP="1CDFF857" w:rsidRDefault="00C04E4E" w14:paraId="0143C047" w14:textId="77777777">
      <w:pPr>
        <w:pStyle w:val="p2"/>
        <w:rPr>
          <w:rFonts w:ascii="Arial" w:hAnsi="Arial" w:eastAsia="Arial" w:cs="Arial"/>
          <w:sz w:val="22"/>
          <w:szCs w:val="22"/>
        </w:rPr>
      </w:pPr>
      <w:r w:rsidRPr="1CDFF857" w:rsidR="68E150B3">
        <w:rPr>
          <w:rFonts w:ascii="Arial" w:hAnsi="Arial" w:eastAsia="Arial" w:cs="Arial"/>
          <w:sz w:val="22"/>
          <w:szCs w:val="22"/>
        </w:rPr>
        <w:t>I will keep a reflective journal to examine situations, identify lessons and plan future improvements. Moon (2013) explains that reflection supports professional learning by connecting experience with future action. Through continued study, training and practical experience, I aim to become a competent, ethical and compassionate health and social care professional.</w:t>
      </w:r>
    </w:p>
    <w:p w:rsidRPr="00894E16" w:rsidR="00DC0F9B" w:rsidP="1CDFF857" w:rsidRDefault="00DC0F9B" w14:paraId="71960FD8" w14:textId="77777777">
      <w:pPr>
        <w:pStyle w:val="p2"/>
        <w:rPr>
          <w:rFonts w:ascii="Arial" w:hAnsi="Arial" w:eastAsia="Arial" w:cs="Arial"/>
          <w:sz w:val="22"/>
          <w:szCs w:val="22"/>
        </w:rPr>
      </w:pPr>
    </w:p>
    <w:p w:rsidRPr="00894E16" w:rsidR="00C04E4E" w:rsidP="1CDFF857" w:rsidRDefault="00C04E4E" w14:paraId="1F3413F9" w14:textId="77777777">
      <w:pPr>
        <w:pStyle w:val="Heading1"/>
        <w:rPr>
          <w:rFonts w:ascii="Arial" w:hAnsi="Arial" w:eastAsia="Arial" w:cs="Arial"/>
          <w:sz w:val="22"/>
          <w:szCs w:val="22"/>
        </w:rPr>
      </w:pPr>
      <w:r w:rsidRPr="1CDFF857" w:rsidR="68E150B3">
        <w:rPr>
          <w:rStyle w:val="s1"/>
          <w:rFonts w:ascii="Arial" w:hAnsi="Arial" w:eastAsia="Arial" w:cs="Arial"/>
          <w:sz w:val="22"/>
          <w:szCs w:val="22"/>
        </w:rPr>
        <w:t>Conclusion</w:t>
      </w:r>
    </w:p>
    <w:p w:rsidR="004C682B" w:rsidP="1CDFF857" w:rsidRDefault="004C682B" w14:paraId="6E6413E2" w14:textId="057B9FF3">
      <w:pPr>
        <w:spacing w:before="219" w:beforeAutospacing="off" w:after="219" w:afterAutospacing="off"/>
        <w:ind w:left="285" w:right="0"/>
        <w:rPr>
          <w:rFonts w:ascii="Arial" w:hAnsi="Arial" w:eastAsia="Arial" w:cs="Arial"/>
          <w:i w:val="0"/>
          <w:iCs w:val="0"/>
          <w:noProof w:val="0"/>
          <w:sz w:val="22"/>
          <w:szCs w:val="22"/>
          <w:lang w:val="en-GB"/>
        </w:rPr>
      </w:pPr>
      <w:r w:rsidRPr="1CDFF857" w:rsidR="4F0BD228">
        <w:rPr>
          <w:rFonts w:ascii="Arial" w:hAnsi="Arial" w:eastAsia="Arial" w:cs="Arial"/>
          <w:i w:val="0"/>
          <w:iCs w:val="0"/>
          <w:noProof w:val="0"/>
          <w:sz w:val="22"/>
          <w:szCs w:val="22"/>
          <w:lang w:val="en-GB"/>
        </w:rPr>
        <w:t>In conclusion, this report has demonstrated that person-centred care, partnership working and ethical practice are essential principles of effective health and social care. Person-centred practice ensures that individuals are listened to, respected and involved in decisions affecting their lives. Partnership working enables professionals and organisations to coordinate their knowledge and resources, while ethical practice protects individuals’ dignity, rights, confidentiality and autonomy. The case of Ms A demonstrates that people with interconnected physical, psychological, financial and housing needs require holistic and coordinated support rather than separate responses to each difficulty. However, barriers such as limited resources, communication difficulties, service delays and professional disagreements may affect the quality of support provided. Reflecting on these principles has helped me recognise the importance of empathy, effective communication, professional boundaries and evidence-based decision-making. I will apply this learning in my future practice to provide respectful, collaborative and ethically responsible care.</w:t>
      </w:r>
    </w:p>
    <w:p w:rsidR="004C682B" w:rsidP="00C04E4E" w:rsidRDefault="004C682B" w14:paraId="533AB1A4" w14:textId="0E895EE7">
      <w:pPr>
        <w:pStyle w:val="p2"/>
        <w:rPr>
          <w:rFonts w:ascii="Arial" w:hAnsi="Arial" w:cs="Arial"/>
        </w:rPr>
      </w:pPr>
    </w:p>
    <w:p w:rsidR="004C682B" w:rsidP="00C04E4E" w:rsidRDefault="004C682B" w14:paraId="421B72C0" w14:textId="77777777">
      <w:pPr>
        <w:pStyle w:val="p2"/>
        <w:rPr>
          <w:rFonts w:ascii="Arial" w:hAnsi="Arial" w:cs="Arial"/>
        </w:rPr>
      </w:pPr>
    </w:p>
    <w:p w:rsidR="004C682B" w:rsidP="00C04E4E" w:rsidRDefault="004C682B" w14:paraId="60676DF5" w14:textId="77777777">
      <w:pPr>
        <w:pStyle w:val="p2"/>
        <w:rPr>
          <w:rFonts w:ascii="Arial" w:hAnsi="Arial" w:cs="Arial"/>
        </w:rPr>
      </w:pPr>
    </w:p>
    <w:p w:rsidR="004C682B" w:rsidP="00C04E4E" w:rsidRDefault="004C682B" w14:paraId="3775928E" w14:textId="77777777">
      <w:pPr>
        <w:pStyle w:val="p2"/>
        <w:rPr>
          <w:rFonts w:ascii="Arial" w:hAnsi="Arial" w:cs="Arial"/>
        </w:rPr>
      </w:pPr>
    </w:p>
    <w:p w:rsidR="004C682B" w:rsidP="00C04E4E" w:rsidRDefault="004C682B" w14:paraId="4C9710E0" w14:textId="77777777">
      <w:pPr>
        <w:pStyle w:val="p2"/>
        <w:rPr>
          <w:rFonts w:ascii="Arial" w:hAnsi="Arial" w:cs="Arial"/>
        </w:rPr>
      </w:pPr>
    </w:p>
    <w:p w:rsidRPr="00EB561A" w:rsidR="00C04E4E" w:rsidP="00C77FCD" w:rsidRDefault="00C04E4E" w14:paraId="0C499B5E" w14:textId="0D0B2199">
      <w:pPr>
        <w:pStyle w:val="Heading1"/>
      </w:pPr>
      <w:r w:rsidRPr="1CDFF857" w:rsidR="68E150B3">
        <w:rPr>
          <w:rStyle w:val="s1"/>
          <w:sz w:val="24"/>
          <w:szCs w:val="24"/>
        </w:rPr>
        <w:t>References</w:t>
      </w:r>
    </w:p>
    <w:p w:rsidRPr="00EB561A" w:rsidR="00C04E4E" w:rsidP="00C04E4E" w:rsidRDefault="00C04E4E" w14:paraId="7EDA0B2C" w14:textId="77777777">
      <w:pPr>
        <w:pStyle w:val="p3"/>
        <w:rPr>
          <w:rStyle w:val="s2"/>
          <w:rFonts w:ascii="Arial" w:hAnsi="Arial" w:cs="Arial"/>
        </w:rPr>
      </w:pPr>
      <w:r w:rsidRPr="00EB561A">
        <w:rPr>
          <w:rFonts w:ascii="Arial" w:hAnsi="Arial" w:cs="Arial"/>
        </w:rPr>
        <w:t xml:space="preserve">Care Act 2014 (2014) </w:t>
      </w:r>
      <w:r w:rsidRPr="00EB561A">
        <w:rPr>
          <w:rStyle w:val="s1"/>
          <w:rFonts w:ascii="Arial" w:hAnsi="Arial" w:cs="Arial"/>
          <w:i/>
          <w:iCs/>
        </w:rPr>
        <w:t>Care Act 2014</w:t>
      </w:r>
      <w:r w:rsidRPr="00EB561A">
        <w:rPr>
          <w:rStyle w:val="s2"/>
          <w:rFonts w:ascii="Arial" w:hAnsi="Arial" w:cs="Arial"/>
        </w:rPr>
        <w:t>. London: The Stationery Office.</w:t>
      </w:r>
    </w:p>
    <w:p w:rsidRPr="00EB561A" w:rsidR="00C04E4E" w:rsidP="00C04E4E" w:rsidRDefault="00C04E4E" w14:paraId="0DEB8B04" w14:textId="77777777">
      <w:pPr>
        <w:pStyle w:val="p3"/>
        <w:rPr>
          <w:rStyle w:val="s2"/>
          <w:rFonts w:ascii="Arial" w:hAnsi="Arial" w:cs="Arial"/>
        </w:rPr>
      </w:pPr>
      <w:r w:rsidRPr="00EB561A">
        <w:rPr>
          <w:rFonts w:ascii="Arial" w:hAnsi="Arial" w:cs="Arial"/>
        </w:rPr>
        <w:t xml:space="preserve">Equality Act 2010 (2010) </w:t>
      </w:r>
      <w:r w:rsidRPr="00EB561A">
        <w:rPr>
          <w:rStyle w:val="s1"/>
          <w:rFonts w:ascii="Arial" w:hAnsi="Arial" w:cs="Arial"/>
          <w:i/>
          <w:iCs/>
        </w:rPr>
        <w:t>Equality Act 2010</w:t>
      </w:r>
      <w:r w:rsidRPr="00EB561A">
        <w:rPr>
          <w:rStyle w:val="s2"/>
          <w:rFonts w:ascii="Arial" w:hAnsi="Arial" w:cs="Arial"/>
        </w:rPr>
        <w:t>. London: The Stationery Office.</w:t>
      </w:r>
    </w:p>
    <w:p w:rsidRPr="00EB561A" w:rsidR="00C04E4E" w:rsidP="00C04E4E" w:rsidRDefault="00C04E4E" w14:paraId="2040C317" w14:textId="77777777">
      <w:pPr>
        <w:pStyle w:val="p3"/>
        <w:rPr>
          <w:rStyle w:val="s2"/>
          <w:rFonts w:ascii="Arial" w:hAnsi="Arial" w:cs="Arial"/>
        </w:rPr>
      </w:pPr>
      <w:r w:rsidRPr="00EB561A">
        <w:rPr>
          <w:rFonts w:ascii="Arial" w:hAnsi="Arial" w:cs="Arial"/>
        </w:rPr>
        <w:t xml:space="preserve">Glasby, J. and Dickinson, H. (2014) </w:t>
      </w:r>
      <w:r w:rsidRPr="00EB561A">
        <w:rPr>
          <w:rStyle w:val="s1"/>
          <w:rFonts w:ascii="Arial" w:hAnsi="Arial" w:cs="Arial"/>
          <w:i/>
          <w:iCs/>
        </w:rPr>
        <w:t>Partnership Working in Health and Social Care: What Is Integrated Care and How Can We Deliver It?</w:t>
      </w:r>
      <w:r w:rsidRPr="00EB561A">
        <w:rPr>
          <w:rStyle w:val="s2"/>
          <w:rFonts w:ascii="Arial" w:hAnsi="Arial" w:cs="Arial"/>
        </w:rPr>
        <w:t xml:space="preserve"> 2nd </w:t>
      </w:r>
      <w:proofErr w:type="spellStart"/>
      <w:r w:rsidRPr="00EB561A">
        <w:rPr>
          <w:rStyle w:val="s2"/>
          <w:rFonts w:ascii="Arial" w:hAnsi="Arial" w:cs="Arial"/>
        </w:rPr>
        <w:t>edn</w:t>
      </w:r>
      <w:proofErr w:type="spellEnd"/>
      <w:r w:rsidRPr="00EB561A">
        <w:rPr>
          <w:rStyle w:val="s2"/>
          <w:rFonts w:ascii="Arial" w:hAnsi="Arial" w:cs="Arial"/>
        </w:rPr>
        <w:t>. Bristol: Policy Press.</w:t>
      </w:r>
    </w:p>
    <w:p w:rsidRPr="00EB561A" w:rsidR="00C04E4E" w:rsidP="00C04E4E" w:rsidRDefault="00C04E4E" w14:paraId="6F890A64" w14:textId="77777777">
      <w:pPr>
        <w:pStyle w:val="p3"/>
        <w:rPr>
          <w:rStyle w:val="s2"/>
          <w:rFonts w:ascii="Arial" w:hAnsi="Arial" w:cs="Arial"/>
        </w:rPr>
      </w:pPr>
      <w:r w:rsidRPr="00EB561A">
        <w:rPr>
          <w:rFonts w:ascii="Arial" w:hAnsi="Arial" w:cs="Arial"/>
        </w:rPr>
        <w:t xml:space="preserve">Health and Care Act 2022 (2022) </w:t>
      </w:r>
      <w:r w:rsidRPr="00EB561A">
        <w:rPr>
          <w:rStyle w:val="s1"/>
          <w:rFonts w:ascii="Arial" w:hAnsi="Arial" w:cs="Arial"/>
          <w:i/>
          <w:iCs/>
        </w:rPr>
        <w:t>Health and Care Act 2022</w:t>
      </w:r>
      <w:r w:rsidRPr="00EB561A">
        <w:rPr>
          <w:rStyle w:val="s2"/>
          <w:rFonts w:ascii="Arial" w:hAnsi="Arial" w:cs="Arial"/>
        </w:rPr>
        <w:t>. London: The Stationery Office.</w:t>
      </w:r>
    </w:p>
    <w:p w:rsidRPr="00EB561A" w:rsidR="00C04E4E" w:rsidP="00C04E4E" w:rsidRDefault="00C04E4E" w14:paraId="776091A4" w14:textId="77777777">
      <w:pPr>
        <w:pStyle w:val="p3"/>
        <w:rPr>
          <w:rStyle w:val="s2"/>
          <w:rFonts w:ascii="Arial" w:hAnsi="Arial" w:cs="Arial"/>
        </w:rPr>
      </w:pPr>
      <w:r w:rsidRPr="00EB561A">
        <w:rPr>
          <w:rFonts w:ascii="Arial" w:hAnsi="Arial" w:cs="Arial"/>
        </w:rPr>
        <w:t xml:space="preserve">Maslow, A.H. (1943) ‘A theory of human motivation’, </w:t>
      </w:r>
      <w:r w:rsidRPr="00EB561A">
        <w:rPr>
          <w:rStyle w:val="s1"/>
          <w:rFonts w:ascii="Arial" w:hAnsi="Arial" w:cs="Arial"/>
          <w:i/>
          <w:iCs/>
        </w:rPr>
        <w:t>Psychological Review</w:t>
      </w:r>
      <w:r w:rsidRPr="00EB561A">
        <w:rPr>
          <w:rStyle w:val="s2"/>
          <w:rFonts w:ascii="Arial" w:hAnsi="Arial" w:cs="Arial"/>
        </w:rPr>
        <w:t>, 50(4), pp. 370–396.</w:t>
      </w:r>
    </w:p>
    <w:p w:rsidRPr="00EB561A" w:rsidR="00C04E4E" w:rsidP="00C04E4E" w:rsidRDefault="00C04E4E" w14:paraId="4EC02F66" w14:textId="77777777">
      <w:pPr>
        <w:pStyle w:val="p3"/>
        <w:rPr>
          <w:rStyle w:val="s2"/>
          <w:rFonts w:ascii="Arial" w:hAnsi="Arial" w:cs="Arial"/>
        </w:rPr>
      </w:pPr>
      <w:r w:rsidRPr="00EB561A">
        <w:rPr>
          <w:rFonts w:ascii="Arial" w:hAnsi="Arial" w:cs="Arial"/>
        </w:rPr>
        <w:t xml:space="preserve">Mental Capacity Act 2005 (2005) </w:t>
      </w:r>
      <w:r w:rsidRPr="00EB561A">
        <w:rPr>
          <w:rStyle w:val="s1"/>
          <w:rFonts w:ascii="Arial" w:hAnsi="Arial" w:cs="Arial"/>
          <w:i/>
          <w:iCs/>
        </w:rPr>
        <w:t>Mental Capacity Act 2005</w:t>
      </w:r>
      <w:r w:rsidRPr="00EB561A">
        <w:rPr>
          <w:rStyle w:val="s2"/>
          <w:rFonts w:ascii="Arial" w:hAnsi="Arial" w:cs="Arial"/>
        </w:rPr>
        <w:t>. London: The Stationery Office.</w:t>
      </w:r>
    </w:p>
    <w:p w:rsidRPr="00EB561A" w:rsidR="00C04E4E" w:rsidP="00C04E4E" w:rsidRDefault="00C04E4E" w14:paraId="3DE72868" w14:textId="77777777">
      <w:pPr>
        <w:pStyle w:val="p3"/>
        <w:rPr>
          <w:rStyle w:val="s2"/>
          <w:rFonts w:ascii="Arial" w:hAnsi="Arial" w:cs="Arial"/>
        </w:rPr>
      </w:pPr>
      <w:r w:rsidRPr="00EB561A">
        <w:rPr>
          <w:rFonts w:ascii="Arial" w:hAnsi="Arial" w:cs="Arial"/>
        </w:rPr>
        <w:t xml:space="preserve">Moon, J.A. (2013) </w:t>
      </w:r>
      <w:r w:rsidRPr="00EB561A">
        <w:rPr>
          <w:rStyle w:val="s1"/>
          <w:rFonts w:ascii="Arial" w:hAnsi="Arial" w:cs="Arial"/>
          <w:i/>
          <w:iCs/>
        </w:rPr>
        <w:t>Reflection in Learning and Professional Development: Theory and Practice</w:t>
      </w:r>
      <w:r w:rsidRPr="00EB561A">
        <w:rPr>
          <w:rStyle w:val="s2"/>
          <w:rFonts w:ascii="Arial" w:hAnsi="Arial" w:cs="Arial"/>
        </w:rPr>
        <w:t>. London: Routledge.</w:t>
      </w:r>
    </w:p>
    <w:p w:rsidRPr="00EB561A" w:rsidR="00C04E4E" w:rsidP="00C04E4E" w:rsidRDefault="00C04E4E" w14:paraId="6805FB24" w14:textId="77777777">
      <w:pPr>
        <w:pStyle w:val="p3"/>
        <w:rPr>
          <w:rStyle w:val="s2"/>
          <w:rFonts w:ascii="Arial" w:hAnsi="Arial" w:cs="Arial"/>
        </w:rPr>
      </w:pPr>
      <w:r w:rsidRPr="00EB561A">
        <w:rPr>
          <w:rFonts w:ascii="Arial" w:hAnsi="Arial" w:cs="Arial"/>
        </w:rPr>
        <w:t xml:space="preserve">National Institute for Health and Care Excellence (NICE) (2021) </w:t>
      </w:r>
      <w:r w:rsidRPr="00EB561A">
        <w:rPr>
          <w:rStyle w:val="s1"/>
          <w:rFonts w:ascii="Arial" w:hAnsi="Arial" w:cs="Arial"/>
          <w:i/>
          <w:iCs/>
        </w:rPr>
        <w:t>Shared decision making (NG197)</w:t>
      </w:r>
      <w:r w:rsidRPr="00EB561A">
        <w:rPr>
          <w:rStyle w:val="s2"/>
          <w:rFonts w:ascii="Arial" w:hAnsi="Arial" w:cs="Arial"/>
        </w:rPr>
        <w:t>. London: NICE.</w:t>
      </w:r>
    </w:p>
    <w:p w:rsidRPr="00EB561A" w:rsidR="00C04E4E" w:rsidP="00C04E4E" w:rsidRDefault="00C04E4E" w14:paraId="48807A5B" w14:textId="77777777">
      <w:pPr>
        <w:pStyle w:val="p3"/>
        <w:rPr>
          <w:rStyle w:val="s2"/>
          <w:rFonts w:ascii="Arial" w:hAnsi="Arial" w:cs="Arial"/>
        </w:rPr>
      </w:pPr>
      <w:r w:rsidRPr="00EB561A">
        <w:rPr>
          <w:rFonts w:ascii="Arial" w:hAnsi="Arial" w:cs="Arial"/>
        </w:rPr>
        <w:t xml:space="preserve">NHS England (2023) </w:t>
      </w:r>
      <w:r w:rsidRPr="00EB561A">
        <w:rPr>
          <w:rStyle w:val="s1"/>
          <w:rFonts w:ascii="Arial" w:hAnsi="Arial" w:cs="Arial"/>
          <w:i/>
          <w:iCs/>
        </w:rPr>
        <w:t>Universal Personalised Care: Implementing the Comprehensive Model</w:t>
      </w:r>
      <w:r w:rsidRPr="00EB561A">
        <w:rPr>
          <w:rStyle w:val="s2"/>
          <w:rFonts w:ascii="Arial" w:hAnsi="Arial" w:cs="Arial"/>
        </w:rPr>
        <w:t>. London: NHS England.</w:t>
      </w:r>
    </w:p>
    <w:p w:rsidRPr="00EB561A" w:rsidR="00C04E4E" w:rsidP="00C04E4E" w:rsidRDefault="00C04E4E" w14:paraId="03E2CC94" w14:textId="77777777">
      <w:pPr>
        <w:pStyle w:val="p3"/>
        <w:rPr>
          <w:rStyle w:val="s2"/>
          <w:rFonts w:ascii="Arial" w:hAnsi="Arial" w:cs="Arial"/>
        </w:rPr>
      </w:pPr>
      <w:r w:rsidRPr="00EB561A">
        <w:rPr>
          <w:rFonts w:ascii="Arial" w:hAnsi="Arial" w:cs="Arial"/>
        </w:rPr>
        <w:t xml:space="preserve">Skills for Care (2024) </w:t>
      </w:r>
      <w:r w:rsidRPr="00EB561A">
        <w:rPr>
          <w:rStyle w:val="s1"/>
          <w:rFonts w:ascii="Arial" w:hAnsi="Arial" w:cs="Arial"/>
          <w:i/>
          <w:iCs/>
        </w:rPr>
        <w:t>Code of Conduct for Healthcare Support Workers and Adult Social Care Workers in England</w:t>
      </w:r>
      <w:r w:rsidRPr="00EB561A">
        <w:rPr>
          <w:rStyle w:val="s2"/>
          <w:rFonts w:ascii="Arial" w:hAnsi="Arial" w:cs="Arial"/>
        </w:rPr>
        <w:t>. Leeds: Skills for Care.</w:t>
      </w:r>
    </w:p>
    <w:p w:rsidRPr="00EB561A" w:rsidR="00C04E4E" w:rsidP="00C04E4E" w:rsidRDefault="00C04E4E" w14:paraId="2ECF033D" w14:textId="77777777">
      <w:pPr>
        <w:pStyle w:val="p3"/>
        <w:rPr>
          <w:rStyle w:val="s2"/>
          <w:rFonts w:ascii="Arial" w:hAnsi="Arial" w:cs="Arial"/>
        </w:rPr>
      </w:pPr>
      <w:r w:rsidRPr="00EB561A">
        <w:rPr>
          <w:rFonts w:ascii="Arial" w:hAnsi="Arial" w:cs="Arial"/>
        </w:rPr>
        <w:t xml:space="preserve">Social Care Institute for Excellence (SCIE) (2024) </w:t>
      </w:r>
      <w:r w:rsidRPr="00EB561A">
        <w:rPr>
          <w:rStyle w:val="s1"/>
          <w:rFonts w:ascii="Arial" w:hAnsi="Arial" w:cs="Arial"/>
          <w:i/>
          <w:iCs/>
        </w:rPr>
        <w:t>Person-centred care</w:t>
      </w:r>
      <w:r w:rsidRPr="00EB561A">
        <w:rPr>
          <w:rStyle w:val="s2"/>
          <w:rFonts w:ascii="Arial" w:hAnsi="Arial" w:cs="Arial"/>
        </w:rPr>
        <w:t>. London: SCIE.</w:t>
      </w:r>
    </w:p>
    <w:p w:rsidRPr="00EB561A" w:rsidR="00F05272" w:rsidP="00F05272" w:rsidRDefault="00F05272" w14:paraId="4C885410" w14:textId="77777777">
      <w:pPr>
        <w:spacing w:line="360" w:lineRule="auto"/>
        <w:rPr>
          <w:rFonts w:ascii="Arial" w:hAnsi="Arial" w:eastAsia="Arial" w:cs="Arial"/>
          <w:b/>
          <w:bCs/>
          <w:color w:val="444444"/>
          <w:szCs w:val="24"/>
        </w:rPr>
      </w:pPr>
    </w:p>
    <w:sectPr w:rsidRPr="00EB561A" w:rsidR="00F05272" w:rsidSect="00370282">
      <w:headerReference w:type="default"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E74F64" w:rsidP="00C03A91" w:rsidRDefault="00E74F64" w14:paraId="5669CADF" w14:textId="77777777">
      <w:pPr>
        <w:spacing w:after="0" w:line="240" w:lineRule="auto"/>
      </w:pPr>
      <w:r>
        <w:separator/>
      </w:r>
    </w:p>
  </w:endnote>
  <w:endnote w:type="continuationSeparator" w:id="0">
    <w:p w:rsidR="00E74F64" w:rsidP="00C03A91" w:rsidRDefault="00E74F64" w14:paraId="04FD6B9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0013923"/>
      <w:docPartObj>
        <w:docPartGallery w:val="Page Numbers (Bottom of Page)"/>
        <w:docPartUnique/>
      </w:docPartObj>
    </w:sdtPr>
    <w:sdtEndPr>
      <w:rPr>
        <w:rFonts w:ascii="Arial" w:hAnsi="Arial" w:cs="Arial"/>
        <w:noProof/>
        <w:sz w:val="22"/>
        <w:szCs w:val="22"/>
      </w:rPr>
    </w:sdtEndPr>
    <w:sdtContent>
      <w:p w:rsidRPr="00C03A91" w:rsidR="00C03A91" w:rsidRDefault="00C03A91" w14:paraId="77A430F9" w14:textId="682EAD2D">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rsidR="00C03A91" w:rsidRDefault="00C03A91" w14:paraId="545B1A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E74F64" w:rsidP="00C03A91" w:rsidRDefault="00E74F64" w14:paraId="01E04FD9" w14:textId="77777777">
      <w:pPr>
        <w:spacing w:after="0" w:line="240" w:lineRule="auto"/>
      </w:pPr>
      <w:r>
        <w:separator/>
      </w:r>
    </w:p>
  </w:footnote>
  <w:footnote w:type="continuationSeparator" w:id="0">
    <w:p w:rsidR="00E74F64" w:rsidP="00C03A91" w:rsidRDefault="00E74F64" w14:paraId="32F9C1E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6BFD448A" w:rsidTr="6BFD448A" w14:paraId="201A27B7" w14:textId="77777777">
      <w:trPr>
        <w:trHeight w:val="300"/>
      </w:trPr>
      <w:tc>
        <w:tcPr>
          <w:tcW w:w="3005" w:type="dxa"/>
        </w:tcPr>
        <w:p w:rsidR="6BFD448A" w:rsidP="6BFD448A" w:rsidRDefault="6BFD448A" w14:paraId="472C2DF2" w14:textId="0B32FCD6">
          <w:pPr>
            <w:pStyle w:val="Header"/>
            <w:ind w:left="-115"/>
          </w:pPr>
        </w:p>
      </w:tc>
      <w:tc>
        <w:tcPr>
          <w:tcW w:w="3005" w:type="dxa"/>
        </w:tcPr>
        <w:p w:rsidR="6BFD448A" w:rsidP="6BFD448A" w:rsidRDefault="6BFD448A" w14:paraId="382098B7" w14:textId="0D98954E">
          <w:pPr>
            <w:pStyle w:val="Header"/>
            <w:jc w:val="center"/>
          </w:pPr>
        </w:p>
      </w:tc>
      <w:tc>
        <w:tcPr>
          <w:tcW w:w="3005" w:type="dxa"/>
        </w:tcPr>
        <w:p w:rsidR="6BFD448A" w:rsidP="6BFD448A" w:rsidRDefault="6BFD448A" w14:paraId="32B7A057" w14:textId="795B021D">
          <w:pPr>
            <w:pStyle w:val="Header"/>
            <w:ind w:right="-115"/>
            <w:jc w:val="right"/>
          </w:pPr>
        </w:p>
      </w:tc>
    </w:tr>
  </w:tbl>
  <w:p w:rsidR="6BFD448A" w:rsidP="6BFD448A" w:rsidRDefault="6BFD448A" w14:paraId="0D327E06" w14:textId="4A86EFA9">
    <w:pPr>
      <w:pStyle w:val="Header"/>
    </w:pPr>
  </w:p>
</w:hdr>
</file>

<file path=word/intelligence2.xml><?xml version="1.0" encoding="utf-8"?>
<int2:intelligence xmlns:int2="http://schemas.microsoft.com/office/intelligence/2020/intelligence" xmlns:oel="http://schemas.microsoft.com/office/2019/extlst">
  <int2:observations>
    <int2:textHash int2:hashCode="Db5SnE362ZZmeB" int2:id="2l7RLMVJ">
      <int2:state int2:value="Rejected" int2:type="spell"/>
    </int2:textHash>
    <int2:textHash int2:hashCode="4XZ092LEEJWLjh" int2:id="f4hKzdA7">
      <int2:state int2:value="Rejected" int2:type="spell"/>
    </int2:textHash>
    <int2:textHash int2:hashCode="z/pQoyyxOiQNcF" int2:id="gxd9IY6q">
      <int2:state int2:value="Rejected" int2:type="spell"/>
    </int2:textHash>
    <int2:textHash int2:hashCode="k98rX0Gs2KXTNT" int2:id="yT4MIK0X">
      <int2:state int2:value="Rejected" int2:type="spell"/>
    </int2:textHash>
    <int2:bookmark int2:bookmarkName="_Int_eZkq2BX2" int2:invalidationBookmarkName="" int2:hashCode="ySxSngcxxX79dV" int2:id="ZHaOxCMX">
      <int2:state int2:value="Rejected" int2:type="styl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148BAC"/>
    <w:multiLevelType w:val="hybridMultilevel"/>
    <w:tmpl w:val="FFFFFFFF"/>
    <w:lvl w:ilvl="0" w:tplc="202CA902">
      <w:start w:val="1"/>
      <w:numFmt w:val="decimal"/>
      <w:lvlText w:val="%1."/>
      <w:lvlJc w:val="left"/>
      <w:pPr>
        <w:ind w:left="720" w:hanging="360"/>
      </w:pPr>
    </w:lvl>
    <w:lvl w:ilvl="1" w:tplc="5906B33C">
      <w:start w:val="1"/>
      <w:numFmt w:val="lowerLetter"/>
      <w:lvlText w:val="%2."/>
      <w:lvlJc w:val="left"/>
      <w:pPr>
        <w:ind w:left="1440" w:hanging="360"/>
      </w:pPr>
    </w:lvl>
    <w:lvl w:ilvl="2" w:tplc="8C10BF9A">
      <w:start w:val="1"/>
      <w:numFmt w:val="lowerRoman"/>
      <w:lvlText w:val="%3."/>
      <w:lvlJc w:val="right"/>
      <w:pPr>
        <w:ind w:left="2160" w:hanging="180"/>
      </w:pPr>
    </w:lvl>
    <w:lvl w:ilvl="3" w:tplc="0DB2BEB8">
      <w:start w:val="1"/>
      <w:numFmt w:val="decimal"/>
      <w:lvlText w:val="%4."/>
      <w:lvlJc w:val="left"/>
      <w:pPr>
        <w:ind w:left="2880" w:hanging="360"/>
      </w:pPr>
    </w:lvl>
    <w:lvl w:ilvl="4" w:tplc="1506DE84">
      <w:start w:val="1"/>
      <w:numFmt w:val="lowerLetter"/>
      <w:lvlText w:val="%5."/>
      <w:lvlJc w:val="left"/>
      <w:pPr>
        <w:ind w:left="3600" w:hanging="360"/>
      </w:pPr>
    </w:lvl>
    <w:lvl w:ilvl="5" w:tplc="2F146352">
      <w:start w:val="1"/>
      <w:numFmt w:val="lowerRoman"/>
      <w:lvlText w:val="%6."/>
      <w:lvlJc w:val="right"/>
      <w:pPr>
        <w:ind w:left="4320" w:hanging="180"/>
      </w:pPr>
    </w:lvl>
    <w:lvl w:ilvl="6" w:tplc="B3DCAC80">
      <w:start w:val="1"/>
      <w:numFmt w:val="decimal"/>
      <w:lvlText w:val="%7."/>
      <w:lvlJc w:val="left"/>
      <w:pPr>
        <w:ind w:left="5040" w:hanging="360"/>
      </w:pPr>
    </w:lvl>
    <w:lvl w:ilvl="7" w:tplc="2452A2B4">
      <w:start w:val="1"/>
      <w:numFmt w:val="lowerLetter"/>
      <w:lvlText w:val="%8."/>
      <w:lvlJc w:val="left"/>
      <w:pPr>
        <w:ind w:left="5760" w:hanging="360"/>
      </w:pPr>
    </w:lvl>
    <w:lvl w:ilvl="8" w:tplc="4148B9B2">
      <w:start w:val="1"/>
      <w:numFmt w:val="lowerRoman"/>
      <w:lvlText w:val="%9."/>
      <w:lvlJc w:val="right"/>
      <w:pPr>
        <w:ind w:left="6480" w:hanging="180"/>
      </w:pPr>
    </w:lvl>
  </w:abstractNum>
  <w:abstractNum w:abstractNumId="1" w15:restartNumberingAfterBreak="0">
    <w:nsid w:val="3A120360"/>
    <w:multiLevelType w:val="hybridMultilevel"/>
    <w:tmpl w:val="FFFFFFFF"/>
    <w:lvl w:ilvl="0" w:tplc="871CC6B6">
      <w:start w:val="1"/>
      <w:numFmt w:val="bullet"/>
      <w:lvlText w:val=""/>
      <w:lvlJc w:val="left"/>
      <w:pPr>
        <w:ind w:left="720" w:hanging="360"/>
      </w:pPr>
      <w:rPr>
        <w:rFonts w:hint="default" w:ascii="Symbol" w:hAnsi="Symbol"/>
      </w:rPr>
    </w:lvl>
    <w:lvl w:ilvl="1" w:tplc="BE8EF3BC">
      <w:start w:val="1"/>
      <w:numFmt w:val="bullet"/>
      <w:lvlText w:val="o"/>
      <w:lvlJc w:val="left"/>
      <w:pPr>
        <w:ind w:left="1440" w:hanging="360"/>
      </w:pPr>
      <w:rPr>
        <w:rFonts w:hint="default" w:ascii="Courier New" w:hAnsi="Courier New"/>
      </w:rPr>
    </w:lvl>
    <w:lvl w:ilvl="2" w:tplc="1A62A238">
      <w:start w:val="1"/>
      <w:numFmt w:val="bullet"/>
      <w:lvlText w:val=""/>
      <w:lvlJc w:val="left"/>
      <w:pPr>
        <w:ind w:left="2160" w:hanging="360"/>
      </w:pPr>
      <w:rPr>
        <w:rFonts w:hint="default" w:ascii="Wingdings" w:hAnsi="Wingdings"/>
      </w:rPr>
    </w:lvl>
    <w:lvl w:ilvl="3" w:tplc="B5145F20">
      <w:start w:val="1"/>
      <w:numFmt w:val="bullet"/>
      <w:lvlText w:val=""/>
      <w:lvlJc w:val="left"/>
      <w:pPr>
        <w:ind w:left="2880" w:hanging="360"/>
      </w:pPr>
      <w:rPr>
        <w:rFonts w:hint="default" w:ascii="Symbol" w:hAnsi="Symbol"/>
      </w:rPr>
    </w:lvl>
    <w:lvl w:ilvl="4" w:tplc="A8EE560C">
      <w:start w:val="1"/>
      <w:numFmt w:val="bullet"/>
      <w:lvlText w:val="o"/>
      <w:lvlJc w:val="left"/>
      <w:pPr>
        <w:ind w:left="3600" w:hanging="360"/>
      </w:pPr>
      <w:rPr>
        <w:rFonts w:hint="default" w:ascii="Courier New" w:hAnsi="Courier New"/>
      </w:rPr>
    </w:lvl>
    <w:lvl w:ilvl="5" w:tplc="8E247F32">
      <w:start w:val="1"/>
      <w:numFmt w:val="bullet"/>
      <w:lvlText w:val=""/>
      <w:lvlJc w:val="left"/>
      <w:pPr>
        <w:ind w:left="4320" w:hanging="360"/>
      </w:pPr>
      <w:rPr>
        <w:rFonts w:hint="default" w:ascii="Wingdings" w:hAnsi="Wingdings"/>
      </w:rPr>
    </w:lvl>
    <w:lvl w:ilvl="6" w:tplc="305CAE60">
      <w:start w:val="1"/>
      <w:numFmt w:val="bullet"/>
      <w:lvlText w:val=""/>
      <w:lvlJc w:val="left"/>
      <w:pPr>
        <w:ind w:left="5040" w:hanging="360"/>
      </w:pPr>
      <w:rPr>
        <w:rFonts w:hint="default" w:ascii="Symbol" w:hAnsi="Symbol"/>
      </w:rPr>
    </w:lvl>
    <w:lvl w:ilvl="7" w:tplc="47AC157C">
      <w:start w:val="1"/>
      <w:numFmt w:val="bullet"/>
      <w:lvlText w:val="o"/>
      <w:lvlJc w:val="left"/>
      <w:pPr>
        <w:ind w:left="5760" w:hanging="360"/>
      </w:pPr>
      <w:rPr>
        <w:rFonts w:hint="default" w:ascii="Courier New" w:hAnsi="Courier New"/>
      </w:rPr>
    </w:lvl>
    <w:lvl w:ilvl="8" w:tplc="85C2CA7A">
      <w:start w:val="1"/>
      <w:numFmt w:val="bullet"/>
      <w:lvlText w:val=""/>
      <w:lvlJc w:val="left"/>
      <w:pPr>
        <w:ind w:left="6480" w:hanging="360"/>
      </w:pPr>
      <w:rPr>
        <w:rFonts w:hint="default" w:ascii="Wingdings" w:hAnsi="Wingdings"/>
      </w:rPr>
    </w:lvl>
  </w:abstractNum>
  <w:abstractNum w:abstractNumId="2" w15:restartNumberingAfterBreak="0">
    <w:nsid w:val="40CD85D0"/>
    <w:multiLevelType w:val="hybridMultilevel"/>
    <w:tmpl w:val="FFFFFFFF"/>
    <w:lvl w:ilvl="0" w:tplc="87509F7A">
      <w:start w:val="1"/>
      <w:numFmt w:val="bullet"/>
      <w:lvlText w:val=""/>
      <w:lvlJc w:val="left"/>
      <w:pPr>
        <w:ind w:left="720" w:hanging="360"/>
      </w:pPr>
      <w:rPr>
        <w:rFonts w:hint="default" w:ascii="Symbol" w:hAnsi="Symbol"/>
      </w:rPr>
    </w:lvl>
    <w:lvl w:ilvl="1" w:tplc="A8CC3CBC">
      <w:start w:val="1"/>
      <w:numFmt w:val="bullet"/>
      <w:lvlText w:val="o"/>
      <w:lvlJc w:val="left"/>
      <w:pPr>
        <w:ind w:left="1440" w:hanging="360"/>
      </w:pPr>
      <w:rPr>
        <w:rFonts w:hint="default" w:ascii="Courier New" w:hAnsi="Courier New"/>
      </w:rPr>
    </w:lvl>
    <w:lvl w:ilvl="2" w:tplc="7F1001D6">
      <w:start w:val="1"/>
      <w:numFmt w:val="bullet"/>
      <w:lvlText w:val=""/>
      <w:lvlJc w:val="left"/>
      <w:pPr>
        <w:ind w:left="2160" w:hanging="360"/>
      </w:pPr>
      <w:rPr>
        <w:rFonts w:hint="default" w:ascii="Wingdings" w:hAnsi="Wingdings"/>
      </w:rPr>
    </w:lvl>
    <w:lvl w:ilvl="3" w:tplc="B4A0E178">
      <w:start w:val="1"/>
      <w:numFmt w:val="bullet"/>
      <w:lvlText w:val=""/>
      <w:lvlJc w:val="left"/>
      <w:pPr>
        <w:ind w:left="2880" w:hanging="360"/>
      </w:pPr>
      <w:rPr>
        <w:rFonts w:hint="default" w:ascii="Symbol" w:hAnsi="Symbol"/>
      </w:rPr>
    </w:lvl>
    <w:lvl w:ilvl="4" w:tplc="4434108A">
      <w:start w:val="1"/>
      <w:numFmt w:val="bullet"/>
      <w:lvlText w:val="o"/>
      <w:lvlJc w:val="left"/>
      <w:pPr>
        <w:ind w:left="3600" w:hanging="360"/>
      </w:pPr>
      <w:rPr>
        <w:rFonts w:hint="default" w:ascii="Courier New" w:hAnsi="Courier New"/>
      </w:rPr>
    </w:lvl>
    <w:lvl w:ilvl="5" w:tplc="FA040794">
      <w:start w:val="1"/>
      <w:numFmt w:val="bullet"/>
      <w:lvlText w:val=""/>
      <w:lvlJc w:val="left"/>
      <w:pPr>
        <w:ind w:left="4320" w:hanging="360"/>
      </w:pPr>
      <w:rPr>
        <w:rFonts w:hint="default" w:ascii="Wingdings" w:hAnsi="Wingdings"/>
      </w:rPr>
    </w:lvl>
    <w:lvl w:ilvl="6" w:tplc="30465302">
      <w:start w:val="1"/>
      <w:numFmt w:val="bullet"/>
      <w:lvlText w:val=""/>
      <w:lvlJc w:val="left"/>
      <w:pPr>
        <w:ind w:left="5040" w:hanging="360"/>
      </w:pPr>
      <w:rPr>
        <w:rFonts w:hint="default" w:ascii="Symbol" w:hAnsi="Symbol"/>
      </w:rPr>
    </w:lvl>
    <w:lvl w:ilvl="7" w:tplc="0AA4B384">
      <w:start w:val="1"/>
      <w:numFmt w:val="bullet"/>
      <w:lvlText w:val="o"/>
      <w:lvlJc w:val="left"/>
      <w:pPr>
        <w:ind w:left="5760" w:hanging="360"/>
      </w:pPr>
      <w:rPr>
        <w:rFonts w:hint="default" w:ascii="Courier New" w:hAnsi="Courier New"/>
      </w:rPr>
    </w:lvl>
    <w:lvl w:ilvl="8" w:tplc="4EEC13F8">
      <w:start w:val="1"/>
      <w:numFmt w:val="bullet"/>
      <w:lvlText w:val=""/>
      <w:lvlJc w:val="left"/>
      <w:pPr>
        <w:ind w:left="6480" w:hanging="360"/>
      </w:pPr>
      <w:rPr>
        <w:rFonts w:hint="default" w:ascii="Wingdings" w:hAnsi="Wingdings"/>
      </w:rPr>
    </w:lvl>
  </w:abstractNum>
  <w:abstractNum w:abstractNumId="3" w15:restartNumberingAfterBreak="0">
    <w:nsid w:val="410823CB"/>
    <w:multiLevelType w:val="hybridMultilevel"/>
    <w:tmpl w:val="04D002F2"/>
    <w:lvl w:ilvl="0" w:tplc="4FCA66CC">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2DF1B7D"/>
    <w:multiLevelType w:val="hybridMultilevel"/>
    <w:tmpl w:val="FFFFFFFF"/>
    <w:lvl w:ilvl="0" w:tplc="B532F446">
      <w:start w:val="1"/>
      <w:numFmt w:val="bullet"/>
      <w:lvlText w:val=""/>
      <w:lvlJc w:val="left"/>
      <w:pPr>
        <w:ind w:left="720" w:hanging="360"/>
      </w:pPr>
      <w:rPr>
        <w:rFonts w:hint="default" w:ascii="Symbol" w:hAnsi="Symbol"/>
      </w:rPr>
    </w:lvl>
    <w:lvl w:ilvl="1" w:tplc="B4849CC2">
      <w:start w:val="1"/>
      <w:numFmt w:val="bullet"/>
      <w:lvlText w:val="o"/>
      <w:lvlJc w:val="left"/>
      <w:pPr>
        <w:ind w:left="1440" w:hanging="360"/>
      </w:pPr>
      <w:rPr>
        <w:rFonts w:hint="default" w:ascii="Courier New" w:hAnsi="Courier New"/>
      </w:rPr>
    </w:lvl>
    <w:lvl w:ilvl="2" w:tplc="37669F0A">
      <w:start w:val="1"/>
      <w:numFmt w:val="bullet"/>
      <w:lvlText w:val=""/>
      <w:lvlJc w:val="left"/>
      <w:pPr>
        <w:ind w:left="2160" w:hanging="360"/>
      </w:pPr>
      <w:rPr>
        <w:rFonts w:hint="default" w:ascii="Wingdings" w:hAnsi="Wingdings"/>
      </w:rPr>
    </w:lvl>
    <w:lvl w:ilvl="3" w:tplc="E982E83C">
      <w:start w:val="1"/>
      <w:numFmt w:val="bullet"/>
      <w:lvlText w:val=""/>
      <w:lvlJc w:val="left"/>
      <w:pPr>
        <w:ind w:left="2880" w:hanging="360"/>
      </w:pPr>
      <w:rPr>
        <w:rFonts w:hint="default" w:ascii="Symbol" w:hAnsi="Symbol"/>
      </w:rPr>
    </w:lvl>
    <w:lvl w:ilvl="4" w:tplc="EC24C28C">
      <w:start w:val="1"/>
      <w:numFmt w:val="bullet"/>
      <w:lvlText w:val="o"/>
      <w:lvlJc w:val="left"/>
      <w:pPr>
        <w:ind w:left="3600" w:hanging="360"/>
      </w:pPr>
      <w:rPr>
        <w:rFonts w:hint="default" w:ascii="Courier New" w:hAnsi="Courier New"/>
      </w:rPr>
    </w:lvl>
    <w:lvl w:ilvl="5" w:tplc="1076FFDA">
      <w:start w:val="1"/>
      <w:numFmt w:val="bullet"/>
      <w:lvlText w:val=""/>
      <w:lvlJc w:val="left"/>
      <w:pPr>
        <w:ind w:left="4320" w:hanging="360"/>
      </w:pPr>
      <w:rPr>
        <w:rFonts w:hint="default" w:ascii="Wingdings" w:hAnsi="Wingdings"/>
      </w:rPr>
    </w:lvl>
    <w:lvl w:ilvl="6" w:tplc="E7CC3FF0">
      <w:start w:val="1"/>
      <w:numFmt w:val="bullet"/>
      <w:lvlText w:val=""/>
      <w:lvlJc w:val="left"/>
      <w:pPr>
        <w:ind w:left="5040" w:hanging="360"/>
      </w:pPr>
      <w:rPr>
        <w:rFonts w:hint="default" w:ascii="Symbol" w:hAnsi="Symbol"/>
      </w:rPr>
    </w:lvl>
    <w:lvl w:ilvl="7" w:tplc="30988302">
      <w:start w:val="1"/>
      <w:numFmt w:val="bullet"/>
      <w:lvlText w:val="o"/>
      <w:lvlJc w:val="left"/>
      <w:pPr>
        <w:ind w:left="5760" w:hanging="360"/>
      </w:pPr>
      <w:rPr>
        <w:rFonts w:hint="default" w:ascii="Courier New" w:hAnsi="Courier New"/>
      </w:rPr>
    </w:lvl>
    <w:lvl w:ilvl="8" w:tplc="840648BC">
      <w:start w:val="1"/>
      <w:numFmt w:val="bullet"/>
      <w:lvlText w:val=""/>
      <w:lvlJc w:val="left"/>
      <w:pPr>
        <w:ind w:left="6480" w:hanging="360"/>
      </w:pPr>
      <w:rPr>
        <w:rFonts w:hint="default" w:ascii="Wingdings" w:hAnsi="Wingdings"/>
      </w:rPr>
    </w:lvl>
  </w:abstractNum>
  <w:abstractNum w:abstractNumId="5" w15:restartNumberingAfterBreak="0">
    <w:nsid w:val="47AA0C25"/>
    <w:multiLevelType w:val="hybridMultilevel"/>
    <w:tmpl w:val="E9923FE8"/>
    <w:lvl w:ilvl="0" w:tplc="995CE72A">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E9C065D"/>
    <w:multiLevelType w:val="hybridMultilevel"/>
    <w:tmpl w:val="8BB041B2"/>
    <w:lvl w:ilvl="0" w:tplc="53D0B872">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0277C19"/>
    <w:multiLevelType w:val="hybridMultilevel"/>
    <w:tmpl w:val="544087BA"/>
    <w:lvl w:ilvl="0" w:tplc="CD605076">
      <w:start w:val="2"/>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DB0103E"/>
    <w:multiLevelType w:val="hybridMultilevel"/>
    <w:tmpl w:val="39D4ED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35296255">
    <w:abstractNumId w:val="0"/>
  </w:num>
  <w:num w:numId="2" w16cid:durableId="1071387679">
    <w:abstractNumId w:val="4"/>
  </w:num>
  <w:num w:numId="3" w16cid:durableId="392974610">
    <w:abstractNumId w:val="2"/>
  </w:num>
  <w:num w:numId="4" w16cid:durableId="1119644374">
    <w:abstractNumId w:val="1"/>
  </w:num>
  <w:num w:numId="5" w16cid:durableId="1452944685">
    <w:abstractNumId w:val="5"/>
  </w:num>
  <w:num w:numId="6" w16cid:durableId="1940680655">
    <w:abstractNumId w:val="3"/>
  </w:num>
  <w:num w:numId="7" w16cid:durableId="342167121">
    <w:abstractNumId w:val="7"/>
  </w:num>
  <w:num w:numId="8" w16cid:durableId="848447299">
    <w:abstractNumId w:val="6"/>
  </w:num>
  <w:num w:numId="9" w16cid:durableId="629898015">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23758"/>
    <w:rsid w:val="00076AC0"/>
    <w:rsid w:val="000975C0"/>
    <w:rsid w:val="000B17F2"/>
    <w:rsid w:val="000C4EDA"/>
    <w:rsid w:val="000E6D0C"/>
    <w:rsid w:val="000E7038"/>
    <w:rsid w:val="00147E15"/>
    <w:rsid w:val="001B7A40"/>
    <w:rsid w:val="001F6C66"/>
    <w:rsid w:val="001F6DDB"/>
    <w:rsid w:val="00216C85"/>
    <w:rsid w:val="002679DA"/>
    <w:rsid w:val="00273EDD"/>
    <w:rsid w:val="002C3965"/>
    <w:rsid w:val="002C396B"/>
    <w:rsid w:val="002D5EDB"/>
    <w:rsid w:val="003115B6"/>
    <w:rsid w:val="00321C4C"/>
    <w:rsid w:val="003626AB"/>
    <w:rsid w:val="00370282"/>
    <w:rsid w:val="003763A8"/>
    <w:rsid w:val="003843A0"/>
    <w:rsid w:val="00420D4C"/>
    <w:rsid w:val="00431B67"/>
    <w:rsid w:val="004577F7"/>
    <w:rsid w:val="0046783C"/>
    <w:rsid w:val="0049507A"/>
    <w:rsid w:val="004C682B"/>
    <w:rsid w:val="00517D42"/>
    <w:rsid w:val="005247B0"/>
    <w:rsid w:val="0055060A"/>
    <w:rsid w:val="00563AF8"/>
    <w:rsid w:val="005665DF"/>
    <w:rsid w:val="005731BA"/>
    <w:rsid w:val="0057616D"/>
    <w:rsid w:val="005851AD"/>
    <w:rsid w:val="00586B78"/>
    <w:rsid w:val="005C5F3B"/>
    <w:rsid w:val="005D7E92"/>
    <w:rsid w:val="005F4CED"/>
    <w:rsid w:val="006071E7"/>
    <w:rsid w:val="00617B2B"/>
    <w:rsid w:val="006D3F68"/>
    <w:rsid w:val="006E2299"/>
    <w:rsid w:val="00734958"/>
    <w:rsid w:val="007A7297"/>
    <w:rsid w:val="007E7745"/>
    <w:rsid w:val="00832151"/>
    <w:rsid w:val="00833012"/>
    <w:rsid w:val="008353D4"/>
    <w:rsid w:val="00856598"/>
    <w:rsid w:val="008942A0"/>
    <w:rsid w:val="00894E16"/>
    <w:rsid w:val="008C7D68"/>
    <w:rsid w:val="008F35B2"/>
    <w:rsid w:val="00940407"/>
    <w:rsid w:val="00980FD0"/>
    <w:rsid w:val="00986F78"/>
    <w:rsid w:val="0099244F"/>
    <w:rsid w:val="00995C46"/>
    <w:rsid w:val="009D1D1E"/>
    <w:rsid w:val="009D5E35"/>
    <w:rsid w:val="00A035FD"/>
    <w:rsid w:val="00A42375"/>
    <w:rsid w:val="00A44A34"/>
    <w:rsid w:val="00A46DAE"/>
    <w:rsid w:val="00AA4DD8"/>
    <w:rsid w:val="00AC7673"/>
    <w:rsid w:val="00B25E55"/>
    <w:rsid w:val="00B33C54"/>
    <w:rsid w:val="00B4489A"/>
    <w:rsid w:val="00B90529"/>
    <w:rsid w:val="00BA4C65"/>
    <w:rsid w:val="00BE6943"/>
    <w:rsid w:val="00BE7F3D"/>
    <w:rsid w:val="00BF7262"/>
    <w:rsid w:val="00C0272D"/>
    <w:rsid w:val="00C03A91"/>
    <w:rsid w:val="00C04E4E"/>
    <w:rsid w:val="00C736A3"/>
    <w:rsid w:val="00C77FCD"/>
    <w:rsid w:val="00CA200D"/>
    <w:rsid w:val="00CA4457"/>
    <w:rsid w:val="00CA564E"/>
    <w:rsid w:val="00CD2863"/>
    <w:rsid w:val="00CD73C3"/>
    <w:rsid w:val="00CE7A90"/>
    <w:rsid w:val="00D01C85"/>
    <w:rsid w:val="00D73FB0"/>
    <w:rsid w:val="00D870AB"/>
    <w:rsid w:val="00DA07CA"/>
    <w:rsid w:val="00DA2A1E"/>
    <w:rsid w:val="00DB6D4B"/>
    <w:rsid w:val="00DC0F9B"/>
    <w:rsid w:val="00DE477A"/>
    <w:rsid w:val="00E2038D"/>
    <w:rsid w:val="00E74850"/>
    <w:rsid w:val="00E74F64"/>
    <w:rsid w:val="00E84AA2"/>
    <w:rsid w:val="00E92200"/>
    <w:rsid w:val="00EA7CF0"/>
    <w:rsid w:val="00EB12BC"/>
    <w:rsid w:val="00EB561A"/>
    <w:rsid w:val="00EB76EA"/>
    <w:rsid w:val="00EC0A1A"/>
    <w:rsid w:val="00EF6AD2"/>
    <w:rsid w:val="00F05272"/>
    <w:rsid w:val="00F137E3"/>
    <w:rsid w:val="00F16498"/>
    <w:rsid w:val="00F23281"/>
    <w:rsid w:val="00F44C8F"/>
    <w:rsid w:val="00F732CB"/>
    <w:rsid w:val="00F95868"/>
    <w:rsid w:val="00FD7392"/>
    <w:rsid w:val="015841CF"/>
    <w:rsid w:val="01B93041"/>
    <w:rsid w:val="021C9544"/>
    <w:rsid w:val="02408120"/>
    <w:rsid w:val="03109F02"/>
    <w:rsid w:val="0352E59D"/>
    <w:rsid w:val="042FD458"/>
    <w:rsid w:val="044105F4"/>
    <w:rsid w:val="0698CF60"/>
    <w:rsid w:val="06B78F73"/>
    <w:rsid w:val="06BB4B15"/>
    <w:rsid w:val="0711FCF4"/>
    <w:rsid w:val="07C44DB6"/>
    <w:rsid w:val="08171ECA"/>
    <w:rsid w:val="0839A2CE"/>
    <w:rsid w:val="08A90A3E"/>
    <w:rsid w:val="08DADA1B"/>
    <w:rsid w:val="0936345B"/>
    <w:rsid w:val="0992C5B0"/>
    <w:rsid w:val="0A6FC775"/>
    <w:rsid w:val="0A838C51"/>
    <w:rsid w:val="0AE6258A"/>
    <w:rsid w:val="0B3C6517"/>
    <w:rsid w:val="0C5492C2"/>
    <w:rsid w:val="0C80A33A"/>
    <w:rsid w:val="0CBA0A30"/>
    <w:rsid w:val="0D270A55"/>
    <w:rsid w:val="0D662A55"/>
    <w:rsid w:val="0DFB4619"/>
    <w:rsid w:val="0E1020CC"/>
    <w:rsid w:val="0E2A99A5"/>
    <w:rsid w:val="0EF8A65B"/>
    <w:rsid w:val="0FA3CFB3"/>
    <w:rsid w:val="1008F0C5"/>
    <w:rsid w:val="102CC766"/>
    <w:rsid w:val="10D06B49"/>
    <w:rsid w:val="111BF69D"/>
    <w:rsid w:val="11CDCF71"/>
    <w:rsid w:val="128863E5"/>
    <w:rsid w:val="12A0AAE6"/>
    <w:rsid w:val="12F462A4"/>
    <w:rsid w:val="1369F4EE"/>
    <w:rsid w:val="147E43F7"/>
    <w:rsid w:val="14E9E229"/>
    <w:rsid w:val="15A959DC"/>
    <w:rsid w:val="166D3448"/>
    <w:rsid w:val="16A9C47E"/>
    <w:rsid w:val="16EBA4D7"/>
    <w:rsid w:val="171C5CCA"/>
    <w:rsid w:val="17442D6E"/>
    <w:rsid w:val="17C67D19"/>
    <w:rsid w:val="1842C369"/>
    <w:rsid w:val="18554C55"/>
    <w:rsid w:val="18707673"/>
    <w:rsid w:val="18C1D005"/>
    <w:rsid w:val="18E66EA2"/>
    <w:rsid w:val="18F5F41D"/>
    <w:rsid w:val="19DF35A7"/>
    <w:rsid w:val="1A050E1A"/>
    <w:rsid w:val="1AB4E038"/>
    <w:rsid w:val="1B411CDD"/>
    <w:rsid w:val="1C435E33"/>
    <w:rsid w:val="1C541B1D"/>
    <w:rsid w:val="1CDFF857"/>
    <w:rsid w:val="1CFC5D4B"/>
    <w:rsid w:val="1D450105"/>
    <w:rsid w:val="1E759DB1"/>
    <w:rsid w:val="1EA8097A"/>
    <w:rsid w:val="1FBE9C67"/>
    <w:rsid w:val="1FEF9D47"/>
    <w:rsid w:val="202B6381"/>
    <w:rsid w:val="209E83FE"/>
    <w:rsid w:val="20DD3A78"/>
    <w:rsid w:val="2180FAA9"/>
    <w:rsid w:val="2274487E"/>
    <w:rsid w:val="229E7ED6"/>
    <w:rsid w:val="22F61B10"/>
    <w:rsid w:val="24366ACA"/>
    <w:rsid w:val="25A44047"/>
    <w:rsid w:val="25F7E541"/>
    <w:rsid w:val="26C90CA1"/>
    <w:rsid w:val="26EE18EA"/>
    <w:rsid w:val="26F30F07"/>
    <w:rsid w:val="2716BA33"/>
    <w:rsid w:val="2738CD85"/>
    <w:rsid w:val="27973986"/>
    <w:rsid w:val="28395A56"/>
    <w:rsid w:val="28912AFA"/>
    <w:rsid w:val="296DDE41"/>
    <w:rsid w:val="29DDE600"/>
    <w:rsid w:val="2B7BA018"/>
    <w:rsid w:val="2BE82A81"/>
    <w:rsid w:val="2C50A46C"/>
    <w:rsid w:val="2C9530A5"/>
    <w:rsid w:val="2D3DF7B7"/>
    <w:rsid w:val="2DB1DF17"/>
    <w:rsid w:val="2E215159"/>
    <w:rsid w:val="2E48CFDC"/>
    <w:rsid w:val="2E4AB662"/>
    <w:rsid w:val="2E73DC05"/>
    <w:rsid w:val="2EB131E4"/>
    <w:rsid w:val="2EBA012F"/>
    <w:rsid w:val="2EBBCF4C"/>
    <w:rsid w:val="2FE8EC59"/>
    <w:rsid w:val="305AC61A"/>
    <w:rsid w:val="30FFEABB"/>
    <w:rsid w:val="32AEFBB1"/>
    <w:rsid w:val="32D0C22A"/>
    <w:rsid w:val="32FB1817"/>
    <w:rsid w:val="33C22865"/>
    <w:rsid w:val="33C9DCD3"/>
    <w:rsid w:val="33FF024C"/>
    <w:rsid w:val="34665FC2"/>
    <w:rsid w:val="34CD2A90"/>
    <w:rsid w:val="35C23712"/>
    <w:rsid w:val="3643628C"/>
    <w:rsid w:val="36749F0B"/>
    <w:rsid w:val="36F752AF"/>
    <w:rsid w:val="37434AD4"/>
    <w:rsid w:val="37638F42"/>
    <w:rsid w:val="38F58E59"/>
    <w:rsid w:val="398B5AE4"/>
    <w:rsid w:val="3AAA2674"/>
    <w:rsid w:val="3B3A9325"/>
    <w:rsid w:val="3B90BAAA"/>
    <w:rsid w:val="3BC0FBF3"/>
    <w:rsid w:val="3C0F0132"/>
    <w:rsid w:val="3D26899D"/>
    <w:rsid w:val="3DB4DEE2"/>
    <w:rsid w:val="3E1D915E"/>
    <w:rsid w:val="3EB28A9B"/>
    <w:rsid w:val="3F657A2B"/>
    <w:rsid w:val="3FB0157D"/>
    <w:rsid w:val="3FCBE1C2"/>
    <w:rsid w:val="4012CF7D"/>
    <w:rsid w:val="424DA064"/>
    <w:rsid w:val="428217A8"/>
    <w:rsid w:val="42D3A10C"/>
    <w:rsid w:val="43239F5C"/>
    <w:rsid w:val="440B1AA7"/>
    <w:rsid w:val="45AD62F6"/>
    <w:rsid w:val="45B31857"/>
    <w:rsid w:val="45C43937"/>
    <w:rsid w:val="4605C075"/>
    <w:rsid w:val="471FBE88"/>
    <w:rsid w:val="4730EF87"/>
    <w:rsid w:val="4834AE25"/>
    <w:rsid w:val="486EC68A"/>
    <w:rsid w:val="48913177"/>
    <w:rsid w:val="48ED29D4"/>
    <w:rsid w:val="491745D1"/>
    <w:rsid w:val="4933FE7E"/>
    <w:rsid w:val="4948F532"/>
    <w:rsid w:val="4971928B"/>
    <w:rsid w:val="4A5F26C6"/>
    <w:rsid w:val="4ABEDE13"/>
    <w:rsid w:val="4ADE2F8A"/>
    <w:rsid w:val="4C95A54C"/>
    <w:rsid w:val="4CD2EEC8"/>
    <w:rsid w:val="4CEAD6F2"/>
    <w:rsid w:val="4E77C7EA"/>
    <w:rsid w:val="4E86FEF6"/>
    <w:rsid w:val="4EEB46F0"/>
    <w:rsid w:val="4F0BD228"/>
    <w:rsid w:val="4F57787C"/>
    <w:rsid w:val="502172FF"/>
    <w:rsid w:val="517DCF7B"/>
    <w:rsid w:val="518E4579"/>
    <w:rsid w:val="51E402CE"/>
    <w:rsid w:val="52CCAC28"/>
    <w:rsid w:val="53955DC5"/>
    <w:rsid w:val="53DBF069"/>
    <w:rsid w:val="53F80759"/>
    <w:rsid w:val="54609AD5"/>
    <w:rsid w:val="556E7546"/>
    <w:rsid w:val="55B507BC"/>
    <w:rsid w:val="564D8A64"/>
    <w:rsid w:val="5654F2F3"/>
    <w:rsid w:val="567C0B96"/>
    <w:rsid w:val="5807715B"/>
    <w:rsid w:val="5870B293"/>
    <w:rsid w:val="5A40704D"/>
    <w:rsid w:val="5A4114EF"/>
    <w:rsid w:val="5A50EFD8"/>
    <w:rsid w:val="5A8C8EFA"/>
    <w:rsid w:val="5AB65859"/>
    <w:rsid w:val="5BB0F5B7"/>
    <w:rsid w:val="5BF5133A"/>
    <w:rsid w:val="5C20F80B"/>
    <w:rsid w:val="5CB3D78D"/>
    <w:rsid w:val="5CB9606A"/>
    <w:rsid w:val="5D8E192C"/>
    <w:rsid w:val="5DFF2B73"/>
    <w:rsid w:val="5E29F44B"/>
    <w:rsid w:val="5E403EA7"/>
    <w:rsid w:val="5E88A280"/>
    <w:rsid w:val="5E909B1B"/>
    <w:rsid w:val="5FFB064F"/>
    <w:rsid w:val="60D84F1C"/>
    <w:rsid w:val="6154F1F6"/>
    <w:rsid w:val="623557C6"/>
    <w:rsid w:val="63BC9870"/>
    <w:rsid w:val="651CFE07"/>
    <w:rsid w:val="652DE156"/>
    <w:rsid w:val="654B4ABF"/>
    <w:rsid w:val="657580A1"/>
    <w:rsid w:val="65A4FF0F"/>
    <w:rsid w:val="65CC86D3"/>
    <w:rsid w:val="65F998E6"/>
    <w:rsid w:val="6617E316"/>
    <w:rsid w:val="66274D1A"/>
    <w:rsid w:val="662EFDB3"/>
    <w:rsid w:val="6666E2FF"/>
    <w:rsid w:val="67708FD3"/>
    <w:rsid w:val="68C79276"/>
    <w:rsid w:val="68DD32E7"/>
    <w:rsid w:val="68E150B3"/>
    <w:rsid w:val="691E22ED"/>
    <w:rsid w:val="6954A698"/>
    <w:rsid w:val="69B2B520"/>
    <w:rsid w:val="6B77A40A"/>
    <w:rsid w:val="6BFD448A"/>
    <w:rsid w:val="6C01FA45"/>
    <w:rsid w:val="6C598E51"/>
    <w:rsid w:val="6CA17A31"/>
    <w:rsid w:val="6CB67537"/>
    <w:rsid w:val="6D56B65A"/>
    <w:rsid w:val="6D69FC2D"/>
    <w:rsid w:val="6DA7BDD7"/>
    <w:rsid w:val="6EB133D5"/>
    <w:rsid w:val="6EC4C3E2"/>
    <w:rsid w:val="6FB801D8"/>
    <w:rsid w:val="6FC04DE7"/>
    <w:rsid w:val="7035978A"/>
    <w:rsid w:val="710C684A"/>
    <w:rsid w:val="710E6103"/>
    <w:rsid w:val="71AC0E36"/>
    <w:rsid w:val="71ED4E68"/>
    <w:rsid w:val="7248193E"/>
    <w:rsid w:val="726E9704"/>
    <w:rsid w:val="72EA59ED"/>
    <w:rsid w:val="735EDAA7"/>
    <w:rsid w:val="7385D051"/>
    <w:rsid w:val="739EEA29"/>
    <w:rsid w:val="78C0FDE1"/>
    <w:rsid w:val="79D2CE15"/>
    <w:rsid w:val="7A2BCA39"/>
    <w:rsid w:val="7A9BDF12"/>
    <w:rsid w:val="7B4FF3CE"/>
    <w:rsid w:val="7B64B750"/>
    <w:rsid w:val="7C317D47"/>
    <w:rsid w:val="7C5B3B6D"/>
    <w:rsid w:val="7D14F243"/>
    <w:rsid w:val="7D17BD74"/>
    <w:rsid w:val="7E112CE1"/>
    <w:rsid w:val="7EFB4C79"/>
    <w:rsid w:val="7FD48DB8"/>
    <w:rsid w:val="7FDC52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F9BC9"/>
  <w15:chartTrackingRefBased/>
  <w15:docId w15:val="{800E9D59-E9A9-4166-961B-91729D0F8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autoRedefine/>
    <w:uiPriority w:val="9"/>
    <w:qFormat/>
    <w:rsid w:val="00C77FCD"/>
    <w:pPr>
      <w:keepNext/>
      <w:keepLines/>
      <w:spacing w:before="240" w:after="0"/>
      <w:outlineLvl w:val="0"/>
    </w:pPr>
    <w:rPr>
      <w:rFonts w:ascii="Arial" w:hAnsi="Arial" w:cs="Arial" w:eastAsiaTheme="majorEastAsia"/>
      <w:b/>
      <w:sz w:val="28"/>
      <w:szCs w:val="28"/>
    </w:rPr>
  </w:style>
  <w:style w:type="paragraph" w:styleId="Heading2">
    <w:name w:val="heading 2"/>
    <w:basedOn w:val="Normal"/>
    <w:next w:val="Normal"/>
    <w:link w:val="Heading2Char"/>
    <w:autoRedefine/>
    <w:uiPriority w:val="9"/>
    <w:unhideWhenUsed/>
    <w:qFormat/>
    <w:rsid w:val="001F6C66"/>
    <w:pPr>
      <w:keepNext/>
      <w:keepLines/>
      <w:spacing w:before="40" w:after="0"/>
      <w:outlineLvl w:val="1"/>
    </w:pPr>
    <w:rPr>
      <w:rFonts w:ascii="Arial" w:hAnsi="Arial" w:cs="Arial" w:eastAsiaTheme="majorEastAsia"/>
      <w:b/>
      <w:i/>
      <w:color w:val="000000" w:themeColor="text1"/>
      <w:szCs w:val="24"/>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hAnsi="Arial" w:eastAsia="Times New Roman" w:cs="Times New Roman"/>
      <w:b/>
      <w:bCs/>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77FCD"/>
    <w:rPr>
      <w:rFonts w:ascii="Arial" w:hAnsi="Arial" w:cs="Arial" w:eastAsiaTheme="majorEastAsia"/>
      <w:b/>
      <w:sz w:val="28"/>
      <w:szCs w:val="28"/>
    </w:rPr>
  </w:style>
  <w:style w:type="character" w:styleId="Heading2Char" w:customStyle="1">
    <w:name w:val="Heading 2 Char"/>
    <w:basedOn w:val="DefaultParagraphFont"/>
    <w:link w:val="Heading2"/>
    <w:uiPriority w:val="9"/>
    <w:rsid w:val="001F6C66"/>
    <w:rPr>
      <w:rFonts w:ascii="Arial" w:hAnsi="Arial" w:cs="Arial" w:eastAsiaTheme="majorEastAsia"/>
      <w:b/>
      <w:i/>
      <w:color w:val="000000" w:themeColor="text1"/>
      <w:szCs w:val="24"/>
    </w:rPr>
  </w:style>
  <w:style w:type="character" w:styleId="Heading3Char" w:customStyle="1">
    <w:name w:val="Heading 3 Char"/>
    <w:basedOn w:val="DefaultParagraphFont"/>
    <w:link w:val="Heading3"/>
    <w:uiPriority w:val="9"/>
    <w:rsid w:val="002C3965"/>
    <w:rPr>
      <w:rFonts w:ascii="Arial" w:hAnsi="Arial" w:eastAsia="Times New Roman" w:cs="Times New Roman"/>
      <w:b/>
      <w:bCs/>
      <w:szCs w:val="27"/>
      <w:lang w:eastAsia="en-GB"/>
    </w:rPr>
  </w:style>
  <w:style w:type="table" w:styleId="TableGrid">
    <w:name w:val="Table Grid"/>
    <w:basedOn w:val="TableNormal"/>
    <w:uiPriority w:val="39"/>
    <w:rsid w:val="007E77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character" w:styleId="SubtleReference">
    <w:name w:val="Subtle Reference"/>
    <w:basedOn w:val="DefaultParagraphFont"/>
    <w:uiPriority w:val="31"/>
    <w:qFormat/>
    <w:rsid w:val="6BFD448A"/>
    <w:rPr>
      <w:smallCaps/>
      <w:color w:val="5A5A5A"/>
    </w:rPr>
  </w:style>
  <w:style w:type="character" w:styleId="Emphasis">
    <w:name w:val="Emphasis"/>
    <w:basedOn w:val="DefaultParagraphFont"/>
    <w:uiPriority w:val="20"/>
    <w:qFormat/>
    <w:rsid w:val="6BFD448A"/>
    <w:rPr>
      <w:i/>
      <w:iCs/>
    </w:rPr>
  </w:style>
  <w:style w:type="character" w:styleId="SubtleEmphasis">
    <w:name w:val="Subtle Emphasis"/>
    <w:basedOn w:val="DefaultParagraphFont"/>
    <w:uiPriority w:val="19"/>
    <w:qFormat/>
    <w:rsid w:val="6BFD448A"/>
    <w:rPr>
      <w:i/>
      <w:iCs/>
      <w:color w:val="404040" w:themeColor="text1" w:themeTint="BF"/>
    </w:rPr>
  </w:style>
  <w:style w:type="character" w:styleId="s1" w:customStyle="1">
    <w:name w:val="s1"/>
    <w:basedOn w:val="DefaultParagraphFont"/>
    <w:rsid w:val="00C04E4E"/>
  </w:style>
  <w:style w:type="paragraph" w:styleId="p2" w:customStyle="1">
    <w:name w:val="p2"/>
    <w:basedOn w:val="Normal"/>
    <w:rsid w:val="00C04E4E"/>
    <w:pPr>
      <w:spacing w:before="100" w:beforeAutospacing="1" w:after="100" w:afterAutospacing="1" w:line="240" w:lineRule="auto"/>
    </w:pPr>
    <w:rPr>
      <w:rFonts w:eastAsia="Times New Roman" w:cs="Times New Roman"/>
      <w:szCs w:val="24"/>
      <w:lang w:eastAsia="en-GB"/>
    </w:rPr>
  </w:style>
  <w:style w:type="paragraph" w:styleId="p3" w:customStyle="1">
    <w:name w:val="p3"/>
    <w:basedOn w:val="Normal"/>
    <w:rsid w:val="00C04E4E"/>
    <w:pPr>
      <w:spacing w:before="100" w:beforeAutospacing="1" w:after="100" w:afterAutospacing="1" w:line="240" w:lineRule="auto"/>
    </w:pPr>
    <w:rPr>
      <w:rFonts w:eastAsia="Times New Roman" w:cs="Times New Roman"/>
      <w:szCs w:val="24"/>
      <w:lang w:eastAsia="en-GB"/>
    </w:rPr>
  </w:style>
  <w:style w:type="character" w:styleId="s2" w:customStyle="1">
    <w:name w:val="s2"/>
    <w:basedOn w:val="DefaultParagraphFont"/>
    <w:rsid w:val="00C04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cid:image001.png@01D0EA4A.2BD679A0" TargetMode="External" Id="rId9" /><Relationship Type="http://schemas.microsoft.com/office/2020/10/relationships/intelligence" Target="intelligence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74124-BCEA-DD4F-9E1B-07DABA5C1F7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Eleni Koutsogeorgou</dc:creator>
  <keywords/>
  <dc:description/>
  <lastModifiedBy>Sabrina Lord (2114956)</lastModifiedBy>
  <revision>42</revision>
  <dcterms:created xsi:type="dcterms:W3CDTF">2026-06-21T08:37:00.0000000Z</dcterms:created>
  <dcterms:modified xsi:type="dcterms:W3CDTF">2026-07-21T09:17:52.6435129Z</dcterms:modified>
</coreProperties>
</file>