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2F0CD4" w14:textId="77777777" w:rsidR="00285444" w:rsidRDefault="00285444">
      <w:pPr>
        <w:rPr>
          <w:b/>
          <w:bCs/>
          <w:sz w:val="32"/>
          <w:szCs w:val="32"/>
        </w:rPr>
      </w:pPr>
      <w:r>
        <w:rPr>
          <w:noProof/>
          <w:sz w:val="32"/>
          <w:szCs w:val="32"/>
        </w:rPr>
        <w:drawing>
          <wp:inline distT="0" distB="0" distL="0" distR="0" wp14:anchorId="7C8D72B0" wp14:editId="5975D2C1">
            <wp:extent cx="5659075" cy="2668409"/>
            <wp:effectExtent l="0" t="0" r="0" b="0"/>
            <wp:docPr id="372462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664425" cy="2670931"/>
                    </a:xfrm>
                    <a:prstGeom prst="rect">
                      <a:avLst/>
                    </a:prstGeom>
                    <a:noFill/>
                    <a:ln>
                      <a:noFill/>
                    </a:ln>
                  </pic:spPr>
                </pic:pic>
              </a:graphicData>
            </a:graphic>
          </wp:inline>
        </w:drawing>
      </w:r>
    </w:p>
    <w:p w14:paraId="1446CD8C" w14:textId="2C63DD57" w:rsidR="00E64F08" w:rsidRDefault="00967B1F">
      <w:pPr>
        <w:rPr>
          <w:b/>
          <w:bCs/>
          <w:sz w:val="32"/>
          <w:szCs w:val="32"/>
        </w:rPr>
      </w:pPr>
      <w:r>
        <w:rPr>
          <w:b/>
          <w:bCs/>
          <w:sz w:val="32"/>
          <w:szCs w:val="32"/>
        </w:rPr>
        <w:t>Student Name: Neboh Celsius</w:t>
      </w:r>
    </w:p>
    <w:p w14:paraId="3CFA1D70" w14:textId="415A7D49" w:rsidR="00967B1F" w:rsidRDefault="00967B1F">
      <w:pPr>
        <w:rPr>
          <w:b/>
          <w:bCs/>
          <w:sz w:val="32"/>
          <w:szCs w:val="32"/>
        </w:rPr>
      </w:pPr>
      <w:r>
        <w:rPr>
          <w:b/>
          <w:bCs/>
          <w:sz w:val="32"/>
          <w:szCs w:val="32"/>
        </w:rPr>
        <w:t>Student Number: 2434221</w:t>
      </w:r>
    </w:p>
    <w:p w14:paraId="295FDC52" w14:textId="77777777" w:rsidR="00750210" w:rsidRDefault="00967B1F">
      <w:pPr>
        <w:rPr>
          <w:b/>
          <w:bCs/>
          <w:sz w:val="32"/>
          <w:szCs w:val="32"/>
        </w:rPr>
      </w:pPr>
      <w:r>
        <w:rPr>
          <w:b/>
          <w:bCs/>
          <w:sz w:val="32"/>
          <w:szCs w:val="32"/>
        </w:rPr>
        <w:t>Module: Principles of Health and Social Care Practice</w:t>
      </w:r>
    </w:p>
    <w:p w14:paraId="3FE06BBC" w14:textId="34047095" w:rsidR="00967B1F" w:rsidRDefault="00967B1F">
      <w:pPr>
        <w:rPr>
          <w:b/>
          <w:bCs/>
          <w:sz w:val="32"/>
          <w:szCs w:val="32"/>
        </w:rPr>
      </w:pPr>
      <w:r>
        <w:rPr>
          <w:b/>
          <w:bCs/>
          <w:sz w:val="32"/>
          <w:szCs w:val="32"/>
        </w:rPr>
        <w:t>Code: BMHP5016</w:t>
      </w:r>
    </w:p>
    <w:p w14:paraId="55DD56CC" w14:textId="003809E7" w:rsidR="00967B1F" w:rsidRDefault="00E56317">
      <w:pPr>
        <w:rPr>
          <w:b/>
          <w:bCs/>
          <w:sz w:val="32"/>
          <w:szCs w:val="32"/>
        </w:rPr>
      </w:pPr>
      <w:r>
        <w:rPr>
          <w:b/>
          <w:bCs/>
          <w:sz w:val="32"/>
          <w:szCs w:val="32"/>
        </w:rPr>
        <w:t>Task</w:t>
      </w:r>
      <w:r w:rsidR="00967B1F">
        <w:rPr>
          <w:b/>
          <w:bCs/>
          <w:sz w:val="32"/>
          <w:szCs w:val="32"/>
        </w:rPr>
        <w:t>: Witten (Report)</w:t>
      </w:r>
    </w:p>
    <w:p w14:paraId="00979350" w14:textId="7450D356" w:rsidR="00285444" w:rsidRDefault="00285444">
      <w:pPr>
        <w:rPr>
          <w:b/>
          <w:bCs/>
          <w:sz w:val="32"/>
          <w:szCs w:val="32"/>
        </w:rPr>
      </w:pPr>
      <w:r>
        <w:rPr>
          <w:b/>
          <w:bCs/>
          <w:sz w:val="32"/>
          <w:szCs w:val="32"/>
        </w:rPr>
        <w:t>Lecturer: Azida Zainol</w:t>
      </w:r>
    </w:p>
    <w:p w14:paraId="37124D8F" w14:textId="3813D58C" w:rsidR="00285444" w:rsidRDefault="00285444">
      <w:pPr>
        <w:rPr>
          <w:b/>
          <w:bCs/>
          <w:sz w:val="32"/>
          <w:szCs w:val="32"/>
        </w:rPr>
      </w:pPr>
      <w:r>
        <w:rPr>
          <w:b/>
          <w:bCs/>
          <w:sz w:val="32"/>
          <w:szCs w:val="32"/>
        </w:rPr>
        <w:t>Date: 26</w:t>
      </w:r>
      <w:r w:rsidRPr="00285444">
        <w:rPr>
          <w:b/>
          <w:bCs/>
          <w:sz w:val="32"/>
          <w:szCs w:val="32"/>
          <w:vertAlign w:val="superscript"/>
        </w:rPr>
        <w:t>th</w:t>
      </w:r>
      <w:r>
        <w:rPr>
          <w:b/>
          <w:bCs/>
          <w:sz w:val="32"/>
          <w:szCs w:val="32"/>
        </w:rPr>
        <w:t xml:space="preserve"> July 2026</w:t>
      </w:r>
    </w:p>
    <w:p w14:paraId="12248C8E" w14:textId="603DF829" w:rsidR="00285444" w:rsidRDefault="00285444">
      <w:pPr>
        <w:rPr>
          <w:b/>
          <w:bCs/>
          <w:sz w:val="32"/>
          <w:szCs w:val="32"/>
        </w:rPr>
      </w:pPr>
      <w:r>
        <w:rPr>
          <w:b/>
          <w:bCs/>
          <w:sz w:val="32"/>
          <w:szCs w:val="32"/>
        </w:rPr>
        <w:t>Word count:</w:t>
      </w:r>
      <w:r w:rsidR="004A6952">
        <w:rPr>
          <w:b/>
          <w:bCs/>
          <w:sz w:val="32"/>
          <w:szCs w:val="32"/>
        </w:rPr>
        <w:t xml:space="preserve"> 2</w:t>
      </w:r>
      <w:r w:rsidR="001E61F7">
        <w:rPr>
          <w:b/>
          <w:bCs/>
          <w:sz w:val="32"/>
          <w:szCs w:val="32"/>
        </w:rPr>
        <w:t>1</w:t>
      </w:r>
      <w:r w:rsidR="0064654D">
        <w:rPr>
          <w:b/>
          <w:bCs/>
          <w:sz w:val="32"/>
          <w:szCs w:val="32"/>
        </w:rPr>
        <w:t>7</w:t>
      </w:r>
      <w:r w:rsidR="0023092B">
        <w:rPr>
          <w:b/>
          <w:bCs/>
          <w:sz w:val="32"/>
          <w:szCs w:val="32"/>
        </w:rPr>
        <w:t>5</w:t>
      </w:r>
    </w:p>
    <w:p w14:paraId="60974C06" w14:textId="77777777" w:rsidR="00EB4782" w:rsidRDefault="00EB4782">
      <w:pPr>
        <w:rPr>
          <w:b/>
          <w:bCs/>
          <w:sz w:val="32"/>
          <w:szCs w:val="32"/>
        </w:rPr>
      </w:pPr>
    </w:p>
    <w:p w14:paraId="1033E4BE" w14:textId="77777777" w:rsidR="00EB4782" w:rsidRDefault="00EB4782">
      <w:pPr>
        <w:rPr>
          <w:b/>
          <w:bCs/>
          <w:sz w:val="32"/>
          <w:szCs w:val="32"/>
        </w:rPr>
      </w:pPr>
    </w:p>
    <w:p w14:paraId="394A64B3" w14:textId="77777777" w:rsidR="00EB4782" w:rsidRDefault="00EB4782">
      <w:pPr>
        <w:rPr>
          <w:b/>
          <w:bCs/>
          <w:sz w:val="32"/>
          <w:szCs w:val="32"/>
        </w:rPr>
      </w:pPr>
    </w:p>
    <w:p w14:paraId="5DE94700" w14:textId="77777777" w:rsidR="00EB4782" w:rsidRDefault="00EB4782">
      <w:pPr>
        <w:rPr>
          <w:b/>
          <w:bCs/>
          <w:sz w:val="32"/>
          <w:szCs w:val="32"/>
        </w:rPr>
      </w:pPr>
    </w:p>
    <w:p w14:paraId="4A8125A6" w14:textId="77777777" w:rsidR="00EB4782" w:rsidRDefault="00EB4782">
      <w:pPr>
        <w:rPr>
          <w:b/>
          <w:bCs/>
          <w:sz w:val="32"/>
          <w:szCs w:val="32"/>
        </w:rPr>
      </w:pPr>
    </w:p>
    <w:p w14:paraId="063663CE" w14:textId="77777777" w:rsidR="00EB4782" w:rsidRDefault="00EB4782">
      <w:pPr>
        <w:rPr>
          <w:b/>
          <w:bCs/>
          <w:sz w:val="32"/>
          <w:szCs w:val="32"/>
        </w:rPr>
      </w:pPr>
    </w:p>
    <w:p w14:paraId="5532E171" w14:textId="77777777" w:rsidR="00EB4782" w:rsidRDefault="00EB4782">
      <w:pPr>
        <w:rPr>
          <w:b/>
          <w:bCs/>
          <w:sz w:val="32"/>
          <w:szCs w:val="32"/>
        </w:rPr>
      </w:pPr>
    </w:p>
    <w:sdt>
      <w:sdtPr>
        <w:rPr>
          <w:rFonts w:asciiTheme="minorHAnsi" w:eastAsiaTheme="minorHAnsi" w:hAnsiTheme="minorHAnsi" w:cstheme="minorBidi"/>
          <w:color w:val="auto"/>
          <w:kern w:val="2"/>
          <w:sz w:val="24"/>
          <w:szCs w:val="24"/>
          <w:lang w:eastAsia="en-US"/>
          <w14:ligatures w14:val="standardContextual"/>
        </w:rPr>
        <w:id w:val="175246810"/>
        <w:docPartObj>
          <w:docPartGallery w:val="Table of Contents"/>
          <w:docPartUnique/>
        </w:docPartObj>
      </w:sdtPr>
      <w:sdtEndPr>
        <w:rPr>
          <w:b/>
          <w:bCs/>
        </w:rPr>
      </w:sdtEndPr>
      <w:sdtContent>
        <w:sdt>
          <w:sdtPr>
            <w:rPr>
              <w:rFonts w:asciiTheme="minorHAnsi" w:eastAsiaTheme="minorHAnsi" w:hAnsiTheme="minorHAnsi" w:cstheme="minorBidi"/>
              <w:color w:val="auto"/>
              <w:kern w:val="2"/>
              <w:sz w:val="24"/>
              <w:szCs w:val="24"/>
              <w:lang w:eastAsia="en-US"/>
              <w14:ligatures w14:val="standardContextual"/>
            </w:rPr>
            <w:id w:val="-1545518640"/>
            <w:docPartObj>
              <w:docPartGallery w:val="Table of Contents"/>
              <w:docPartUnique/>
            </w:docPartObj>
          </w:sdtPr>
          <w:sdtEndPr>
            <w:rPr>
              <w:b/>
              <w:bCs/>
            </w:rPr>
          </w:sdtEndPr>
          <w:sdtContent>
            <w:p w14:paraId="1394792C" w14:textId="77777777" w:rsidR="00EB4782" w:rsidRDefault="00EB4782" w:rsidP="00EB4782">
              <w:pPr>
                <w:pStyle w:val="TOCHeading"/>
              </w:pPr>
              <w:r>
                <w:t>Table of Contents</w:t>
              </w:r>
            </w:p>
            <w:p w14:paraId="45151DC9" w14:textId="53628343" w:rsidR="0023092B" w:rsidRDefault="00EB478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5703710" w:history="1">
                <w:r w:rsidR="0023092B" w:rsidRPr="00DC1685">
                  <w:rPr>
                    <w:rStyle w:val="Hyperlink"/>
                    <w:rFonts w:ascii="Arial" w:hAnsi="Arial" w:cs="Arial"/>
                    <w:noProof/>
                  </w:rPr>
                  <w:t>Part 1: Abstract</w:t>
                </w:r>
                <w:r w:rsidR="0023092B">
                  <w:rPr>
                    <w:noProof/>
                    <w:webHidden/>
                  </w:rPr>
                  <w:tab/>
                </w:r>
                <w:r w:rsidR="0023092B">
                  <w:rPr>
                    <w:noProof/>
                    <w:webHidden/>
                  </w:rPr>
                  <w:fldChar w:fldCharType="begin"/>
                </w:r>
                <w:r w:rsidR="0023092B">
                  <w:rPr>
                    <w:noProof/>
                    <w:webHidden/>
                  </w:rPr>
                  <w:instrText xml:space="preserve"> PAGEREF _Toc235703710 \h </w:instrText>
                </w:r>
                <w:r w:rsidR="0023092B">
                  <w:rPr>
                    <w:noProof/>
                    <w:webHidden/>
                  </w:rPr>
                </w:r>
                <w:r w:rsidR="0023092B">
                  <w:rPr>
                    <w:noProof/>
                    <w:webHidden/>
                  </w:rPr>
                  <w:fldChar w:fldCharType="separate"/>
                </w:r>
                <w:r w:rsidR="0023092B">
                  <w:rPr>
                    <w:noProof/>
                    <w:webHidden/>
                  </w:rPr>
                  <w:t>3</w:t>
                </w:r>
                <w:r w:rsidR="0023092B">
                  <w:rPr>
                    <w:noProof/>
                    <w:webHidden/>
                  </w:rPr>
                  <w:fldChar w:fldCharType="end"/>
                </w:r>
              </w:hyperlink>
            </w:p>
            <w:p w14:paraId="56248F58" w14:textId="4AE74761" w:rsidR="0023092B" w:rsidRDefault="0023092B">
              <w:pPr>
                <w:pStyle w:val="TOC2"/>
                <w:tabs>
                  <w:tab w:val="right" w:leader="dot" w:pos="9016"/>
                </w:tabs>
                <w:rPr>
                  <w:rFonts w:eastAsiaTheme="minorEastAsia"/>
                  <w:noProof/>
                  <w:lang w:eastAsia="en-GB"/>
                </w:rPr>
              </w:pPr>
              <w:hyperlink w:anchor="_Toc235703711" w:history="1">
                <w:r w:rsidRPr="00DC1685">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_Toc235703711 \h </w:instrText>
                </w:r>
                <w:r>
                  <w:rPr>
                    <w:noProof/>
                    <w:webHidden/>
                  </w:rPr>
                </w:r>
                <w:r>
                  <w:rPr>
                    <w:noProof/>
                    <w:webHidden/>
                  </w:rPr>
                  <w:fldChar w:fldCharType="separate"/>
                </w:r>
                <w:r>
                  <w:rPr>
                    <w:noProof/>
                    <w:webHidden/>
                  </w:rPr>
                  <w:t>4</w:t>
                </w:r>
                <w:r>
                  <w:rPr>
                    <w:noProof/>
                    <w:webHidden/>
                  </w:rPr>
                  <w:fldChar w:fldCharType="end"/>
                </w:r>
              </w:hyperlink>
            </w:p>
            <w:p w14:paraId="539C0F50" w14:textId="0D18428B" w:rsidR="0023092B" w:rsidRDefault="0023092B">
              <w:pPr>
                <w:pStyle w:val="TOC2"/>
                <w:tabs>
                  <w:tab w:val="right" w:leader="dot" w:pos="9016"/>
                </w:tabs>
                <w:rPr>
                  <w:rFonts w:eastAsiaTheme="minorEastAsia"/>
                  <w:noProof/>
                  <w:lang w:eastAsia="en-GB"/>
                </w:rPr>
              </w:pPr>
              <w:hyperlink w:anchor="_Toc235703712" w:history="1">
                <w:r w:rsidRPr="00DC1685">
                  <w:rPr>
                    <w:rStyle w:val="Hyperlink"/>
                    <w:rFonts w:ascii="Arial" w:hAnsi="Arial" w:cs="Arial"/>
                    <w:noProof/>
                  </w:rPr>
                  <w:t>Part 2: Theory Underpinning Person-Centred Care</w:t>
                </w:r>
                <w:r>
                  <w:rPr>
                    <w:noProof/>
                    <w:webHidden/>
                  </w:rPr>
                  <w:tab/>
                </w:r>
                <w:r>
                  <w:rPr>
                    <w:noProof/>
                    <w:webHidden/>
                  </w:rPr>
                  <w:fldChar w:fldCharType="begin"/>
                </w:r>
                <w:r>
                  <w:rPr>
                    <w:noProof/>
                    <w:webHidden/>
                  </w:rPr>
                  <w:instrText xml:space="preserve"> PAGEREF _Toc235703712 \h </w:instrText>
                </w:r>
                <w:r>
                  <w:rPr>
                    <w:noProof/>
                    <w:webHidden/>
                  </w:rPr>
                </w:r>
                <w:r>
                  <w:rPr>
                    <w:noProof/>
                    <w:webHidden/>
                  </w:rPr>
                  <w:fldChar w:fldCharType="separate"/>
                </w:r>
                <w:r>
                  <w:rPr>
                    <w:noProof/>
                    <w:webHidden/>
                  </w:rPr>
                  <w:t>5</w:t>
                </w:r>
                <w:r>
                  <w:rPr>
                    <w:noProof/>
                    <w:webHidden/>
                  </w:rPr>
                  <w:fldChar w:fldCharType="end"/>
                </w:r>
              </w:hyperlink>
            </w:p>
            <w:p w14:paraId="250462EE" w14:textId="611E68E2" w:rsidR="0023092B" w:rsidRDefault="0023092B">
              <w:pPr>
                <w:pStyle w:val="TOC2"/>
                <w:tabs>
                  <w:tab w:val="right" w:leader="dot" w:pos="9016"/>
                </w:tabs>
                <w:rPr>
                  <w:rFonts w:eastAsiaTheme="minorEastAsia"/>
                  <w:noProof/>
                  <w:lang w:eastAsia="en-GB"/>
                </w:rPr>
              </w:pPr>
              <w:hyperlink w:anchor="_Toc235703713" w:history="1">
                <w:r w:rsidRPr="00DC1685">
                  <w:rPr>
                    <w:rStyle w:val="Hyperlink"/>
                    <w:rFonts w:ascii="Arial" w:hAnsi="Arial" w:cs="Arial"/>
                    <w:noProof/>
                  </w:rPr>
                  <w:t>Part 3: Partnership Working in Health and Social Care</w:t>
                </w:r>
                <w:r>
                  <w:rPr>
                    <w:noProof/>
                    <w:webHidden/>
                  </w:rPr>
                  <w:tab/>
                </w:r>
                <w:r>
                  <w:rPr>
                    <w:noProof/>
                    <w:webHidden/>
                  </w:rPr>
                  <w:fldChar w:fldCharType="begin"/>
                </w:r>
                <w:r>
                  <w:rPr>
                    <w:noProof/>
                    <w:webHidden/>
                  </w:rPr>
                  <w:instrText xml:space="preserve"> PAGEREF _Toc235703713 \h </w:instrText>
                </w:r>
                <w:r>
                  <w:rPr>
                    <w:noProof/>
                    <w:webHidden/>
                  </w:rPr>
                </w:r>
                <w:r>
                  <w:rPr>
                    <w:noProof/>
                    <w:webHidden/>
                  </w:rPr>
                  <w:fldChar w:fldCharType="separate"/>
                </w:r>
                <w:r>
                  <w:rPr>
                    <w:noProof/>
                    <w:webHidden/>
                  </w:rPr>
                  <w:t>7</w:t>
                </w:r>
                <w:r>
                  <w:rPr>
                    <w:noProof/>
                    <w:webHidden/>
                  </w:rPr>
                  <w:fldChar w:fldCharType="end"/>
                </w:r>
              </w:hyperlink>
            </w:p>
            <w:p w14:paraId="34540965" w14:textId="38F1F015" w:rsidR="0023092B" w:rsidRDefault="0023092B">
              <w:pPr>
                <w:pStyle w:val="TOC2"/>
                <w:tabs>
                  <w:tab w:val="right" w:leader="dot" w:pos="9016"/>
                </w:tabs>
                <w:rPr>
                  <w:rFonts w:eastAsiaTheme="minorEastAsia"/>
                  <w:noProof/>
                  <w:lang w:eastAsia="en-GB"/>
                </w:rPr>
              </w:pPr>
              <w:hyperlink w:anchor="_Toc235703714" w:history="1">
                <w:r w:rsidRPr="00DC1685">
                  <w:rPr>
                    <w:rStyle w:val="Hyperlink"/>
                    <w:rFonts w:ascii="Arial" w:hAnsi="Arial" w:cs="Arial"/>
                    <w:noProof/>
                  </w:rPr>
                  <w:t>Part 4: Recommendations</w:t>
                </w:r>
                <w:r>
                  <w:rPr>
                    <w:noProof/>
                    <w:webHidden/>
                  </w:rPr>
                  <w:tab/>
                </w:r>
                <w:r>
                  <w:rPr>
                    <w:noProof/>
                    <w:webHidden/>
                  </w:rPr>
                  <w:fldChar w:fldCharType="begin"/>
                </w:r>
                <w:r>
                  <w:rPr>
                    <w:noProof/>
                    <w:webHidden/>
                  </w:rPr>
                  <w:instrText xml:space="preserve"> PAGEREF _Toc235703714 \h </w:instrText>
                </w:r>
                <w:r>
                  <w:rPr>
                    <w:noProof/>
                    <w:webHidden/>
                  </w:rPr>
                </w:r>
                <w:r>
                  <w:rPr>
                    <w:noProof/>
                    <w:webHidden/>
                  </w:rPr>
                  <w:fldChar w:fldCharType="separate"/>
                </w:r>
                <w:r>
                  <w:rPr>
                    <w:noProof/>
                    <w:webHidden/>
                  </w:rPr>
                  <w:t>9</w:t>
                </w:r>
                <w:r>
                  <w:rPr>
                    <w:noProof/>
                    <w:webHidden/>
                  </w:rPr>
                  <w:fldChar w:fldCharType="end"/>
                </w:r>
              </w:hyperlink>
            </w:p>
            <w:p w14:paraId="16F945BB" w14:textId="31CBB8D7" w:rsidR="0023092B" w:rsidRDefault="0023092B">
              <w:pPr>
                <w:pStyle w:val="TOC2"/>
                <w:tabs>
                  <w:tab w:val="right" w:leader="dot" w:pos="9016"/>
                </w:tabs>
                <w:rPr>
                  <w:rFonts w:eastAsiaTheme="minorEastAsia"/>
                  <w:noProof/>
                  <w:lang w:eastAsia="en-GB"/>
                </w:rPr>
              </w:pPr>
              <w:hyperlink w:anchor="_Toc235703715" w:history="1">
                <w:r w:rsidRPr="00DC1685">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_Toc235703715 \h </w:instrText>
                </w:r>
                <w:r>
                  <w:rPr>
                    <w:noProof/>
                    <w:webHidden/>
                  </w:rPr>
                </w:r>
                <w:r>
                  <w:rPr>
                    <w:noProof/>
                    <w:webHidden/>
                  </w:rPr>
                  <w:fldChar w:fldCharType="separate"/>
                </w:r>
                <w:r>
                  <w:rPr>
                    <w:noProof/>
                    <w:webHidden/>
                  </w:rPr>
                  <w:t>9</w:t>
                </w:r>
                <w:r>
                  <w:rPr>
                    <w:noProof/>
                    <w:webHidden/>
                  </w:rPr>
                  <w:fldChar w:fldCharType="end"/>
                </w:r>
              </w:hyperlink>
            </w:p>
            <w:p w14:paraId="73F4C8D5" w14:textId="6F6C626A" w:rsidR="0023092B" w:rsidRDefault="0023092B">
              <w:pPr>
                <w:pStyle w:val="TOC2"/>
                <w:tabs>
                  <w:tab w:val="right" w:leader="dot" w:pos="9016"/>
                </w:tabs>
                <w:rPr>
                  <w:rFonts w:eastAsiaTheme="minorEastAsia"/>
                  <w:noProof/>
                  <w:lang w:eastAsia="en-GB"/>
                </w:rPr>
              </w:pPr>
              <w:hyperlink w:anchor="_Toc235703716" w:history="1">
                <w:r w:rsidRPr="00DC1685">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_Toc235703716 \h </w:instrText>
                </w:r>
                <w:r>
                  <w:rPr>
                    <w:noProof/>
                    <w:webHidden/>
                  </w:rPr>
                </w:r>
                <w:r>
                  <w:rPr>
                    <w:noProof/>
                    <w:webHidden/>
                  </w:rPr>
                  <w:fldChar w:fldCharType="separate"/>
                </w:r>
                <w:r>
                  <w:rPr>
                    <w:noProof/>
                    <w:webHidden/>
                  </w:rPr>
                  <w:t>10</w:t>
                </w:r>
                <w:r>
                  <w:rPr>
                    <w:noProof/>
                    <w:webHidden/>
                  </w:rPr>
                  <w:fldChar w:fldCharType="end"/>
                </w:r>
              </w:hyperlink>
            </w:p>
            <w:p w14:paraId="3EE6DEEB" w14:textId="10C99289" w:rsidR="00EB4782" w:rsidRDefault="00EB4782" w:rsidP="00EB4782">
              <w:pPr>
                <w:rPr>
                  <w:b/>
                  <w:bCs/>
                </w:rPr>
              </w:pPr>
              <w:r>
                <w:rPr>
                  <w:b/>
                  <w:bCs/>
                </w:rPr>
                <w:fldChar w:fldCharType="end"/>
              </w:r>
            </w:p>
          </w:sdtContent>
        </w:sdt>
        <w:p w14:paraId="3A02B078" w14:textId="77777777" w:rsidR="00EB4782" w:rsidRDefault="00F471CE" w:rsidP="00EB4782">
          <w:pPr>
            <w:rPr>
              <w:b/>
              <w:bCs/>
            </w:rPr>
          </w:pPr>
        </w:p>
      </w:sdtContent>
    </w:sdt>
    <w:p w14:paraId="36E834AC" w14:textId="77777777" w:rsidR="00EB4782" w:rsidRDefault="00EB4782">
      <w:pPr>
        <w:rPr>
          <w:b/>
          <w:bCs/>
          <w:sz w:val="32"/>
          <w:szCs w:val="32"/>
        </w:rPr>
      </w:pPr>
    </w:p>
    <w:p w14:paraId="5C609E79" w14:textId="39B4358A" w:rsidR="00967B1F" w:rsidRPr="00967B1F" w:rsidRDefault="00967B1F">
      <w:pPr>
        <w:rPr>
          <w:b/>
          <w:bCs/>
          <w:sz w:val="32"/>
          <w:szCs w:val="32"/>
        </w:rPr>
      </w:pPr>
      <w:r>
        <w:rPr>
          <w:b/>
          <w:bCs/>
          <w:sz w:val="32"/>
          <w:szCs w:val="32"/>
        </w:rPr>
        <w:t xml:space="preserve"> </w:t>
      </w:r>
    </w:p>
    <w:p w14:paraId="3FDEC0FC" w14:textId="77777777" w:rsidR="00967B1F" w:rsidRDefault="00967B1F"/>
    <w:p w14:paraId="573E09FC" w14:textId="77777777" w:rsidR="00967B1F" w:rsidRDefault="00967B1F"/>
    <w:p w14:paraId="0365FECC" w14:textId="77777777" w:rsidR="00967B1F" w:rsidRDefault="00967B1F"/>
    <w:p w14:paraId="065C8AC0" w14:textId="77777777" w:rsidR="00C85ABB" w:rsidRDefault="00C85ABB"/>
    <w:p w14:paraId="6A615250" w14:textId="77777777" w:rsidR="00C85ABB" w:rsidRDefault="00C85ABB"/>
    <w:p w14:paraId="3602B502" w14:textId="77777777" w:rsidR="00C85ABB" w:rsidRDefault="00C85ABB"/>
    <w:p w14:paraId="516EC3F7" w14:textId="77777777" w:rsidR="00C85ABB" w:rsidRDefault="00C85ABB"/>
    <w:p w14:paraId="08ECA786" w14:textId="48525F15" w:rsidR="00C85ABB" w:rsidRDefault="00C85ABB"/>
    <w:p w14:paraId="3AE11650" w14:textId="77777777" w:rsidR="000B6A71" w:rsidRDefault="00C85ABB" w:rsidP="00C23BB3">
      <w:r>
        <w:br w:type="page"/>
      </w:r>
    </w:p>
    <w:p w14:paraId="6AA8F309" w14:textId="25FECBE7" w:rsidR="00C23BB3" w:rsidRPr="003D7CAC" w:rsidRDefault="009144C1" w:rsidP="008F7666">
      <w:pPr>
        <w:pStyle w:val="Heading1"/>
        <w:rPr>
          <w:rFonts w:ascii="Arial" w:hAnsi="Arial" w:cs="Arial"/>
        </w:rPr>
      </w:pPr>
      <w:bookmarkStart w:id="0" w:name="_Toc235703710"/>
      <w:r w:rsidRPr="003D7CAC">
        <w:rPr>
          <w:rFonts w:ascii="Arial" w:hAnsi="Arial" w:cs="Arial"/>
        </w:rPr>
        <w:lastRenderedPageBreak/>
        <w:t>Part 1</w:t>
      </w:r>
      <w:r w:rsidR="00E6581A" w:rsidRPr="003D7CAC">
        <w:rPr>
          <w:rFonts w:ascii="Arial" w:hAnsi="Arial" w:cs="Arial"/>
        </w:rPr>
        <w:t>:</w:t>
      </w:r>
      <w:r w:rsidR="001C23AA" w:rsidRPr="003D7CAC">
        <w:rPr>
          <w:rFonts w:ascii="Arial" w:hAnsi="Arial" w:cs="Arial"/>
        </w:rPr>
        <w:t xml:space="preserve"> </w:t>
      </w:r>
      <w:r w:rsidR="00C23BB3" w:rsidRPr="003D7CAC">
        <w:rPr>
          <w:rFonts w:ascii="Arial" w:hAnsi="Arial" w:cs="Arial"/>
        </w:rPr>
        <w:t>Abstract</w:t>
      </w:r>
      <w:bookmarkEnd w:id="0"/>
    </w:p>
    <w:p w14:paraId="764A6E2A" w14:textId="77777777" w:rsidR="00875889" w:rsidRPr="003D7CAC" w:rsidRDefault="00875889" w:rsidP="008F7666">
      <w:pPr>
        <w:spacing w:line="360" w:lineRule="auto"/>
        <w:rPr>
          <w:rFonts w:ascii="Arial" w:hAnsi="Arial" w:cs="Arial"/>
          <w:b/>
          <w:bCs/>
          <w:sz w:val="22"/>
          <w:szCs w:val="22"/>
        </w:rPr>
      </w:pPr>
    </w:p>
    <w:p w14:paraId="0AF2F7B8" w14:textId="43D8065B" w:rsidR="00D11951" w:rsidRPr="003D7CAC" w:rsidRDefault="00D11951" w:rsidP="00D11951">
      <w:pPr>
        <w:spacing w:line="360" w:lineRule="auto"/>
        <w:rPr>
          <w:rFonts w:ascii="Arial" w:hAnsi="Arial" w:cs="Arial"/>
          <w:b/>
          <w:bCs/>
          <w:sz w:val="22"/>
          <w:szCs w:val="22"/>
        </w:rPr>
      </w:pPr>
      <w:r w:rsidRPr="003D7CAC">
        <w:rPr>
          <w:rFonts w:ascii="Arial" w:hAnsi="Arial" w:cs="Arial"/>
          <w:sz w:val="22"/>
          <w:szCs w:val="22"/>
        </w:rPr>
        <w:t xml:space="preserve">This report dives into the significance of person-centred care, as well as partnership collaborations in aiding older adults with long-term conditions who are receiving community-based care in </w:t>
      </w:r>
      <w:r w:rsidR="009B03BB">
        <w:rPr>
          <w:rFonts w:ascii="Arial" w:hAnsi="Arial" w:cs="Arial"/>
          <w:sz w:val="22"/>
          <w:szCs w:val="22"/>
        </w:rPr>
        <w:t>UK</w:t>
      </w:r>
      <w:r w:rsidRPr="003D7CAC">
        <w:rPr>
          <w:rFonts w:ascii="Arial" w:hAnsi="Arial" w:cs="Arial"/>
          <w:sz w:val="22"/>
          <w:szCs w:val="22"/>
        </w:rPr>
        <w:t xml:space="preserve"> (NICE, 2021; Department of Health and Social Care, 2022). It looks at the core principles, advantages, as well as challenges of person-centred care, along with the ethical guidelines that shape professional decision-making (Beauchamp and Childress, 2019). Additionally, the report assesses how effective partnership working can enhance care outcomes and examines the impact of UK legislation and policies</w:t>
      </w:r>
      <w:r w:rsidR="0023437E">
        <w:rPr>
          <w:rFonts w:ascii="Arial" w:hAnsi="Arial" w:cs="Arial"/>
          <w:sz w:val="22"/>
          <w:szCs w:val="22"/>
        </w:rPr>
        <w:t>.</w:t>
      </w:r>
      <w:r w:rsidRPr="003D7CAC">
        <w:rPr>
          <w:rFonts w:ascii="Arial" w:hAnsi="Arial" w:cs="Arial"/>
          <w:sz w:val="22"/>
          <w:szCs w:val="22"/>
        </w:rPr>
        <w:t xml:space="preserve"> </w:t>
      </w:r>
      <w:r w:rsidR="0023437E">
        <w:rPr>
          <w:rFonts w:ascii="Arial" w:hAnsi="Arial" w:cs="Arial"/>
          <w:sz w:val="22"/>
          <w:szCs w:val="22"/>
        </w:rPr>
        <w:t>U</w:t>
      </w:r>
      <w:r w:rsidRPr="003D7CAC">
        <w:rPr>
          <w:rFonts w:ascii="Arial" w:hAnsi="Arial" w:cs="Arial"/>
          <w:sz w:val="22"/>
          <w:szCs w:val="22"/>
        </w:rPr>
        <w:t>ltimately offering evidence-based recommendations to bolster collaborative, high-quality community care.</w:t>
      </w:r>
    </w:p>
    <w:p w14:paraId="2615FF39" w14:textId="77777777" w:rsidR="00D11951" w:rsidRPr="003D7CAC" w:rsidRDefault="00D11951" w:rsidP="00D11951">
      <w:pPr>
        <w:spacing w:line="360" w:lineRule="auto"/>
        <w:rPr>
          <w:rFonts w:ascii="Arial" w:hAnsi="Arial" w:cs="Arial"/>
          <w:b/>
          <w:bCs/>
          <w:sz w:val="22"/>
          <w:szCs w:val="22"/>
        </w:rPr>
      </w:pPr>
    </w:p>
    <w:p w14:paraId="34ECFC15" w14:textId="77777777" w:rsidR="00D11951" w:rsidRPr="003D7CAC" w:rsidRDefault="00D11951" w:rsidP="00D11951">
      <w:pPr>
        <w:spacing w:line="360" w:lineRule="auto"/>
        <w:rPr>
          <w:rFonts w:ascii="Arial" w:hAnsi="Arial" w:cs="Arial"/>
          <w:b/>
          <w:bCs/>
          <w:sz w:val="22"/>
          <w:szCs w:val="22"/>
        </w:rPr>
      </w:pPr>
    </w:p>
    <w:p w14:paraId="028F8B52" w14:textId="77777777" w:rsidR="00D11951" w:rsidRPr="003D7CAC" w:rsidRDefault="00D11951" w:rsidP="00D11951">
      <w:pPr>
        <w:spacing w:line="360" w:lineRule="auto"/>
        <w:rPr>
          <w:rFonts w:ascii="Arial" w:hAnsi="Arial" w:cs="Arial"/>
          <w:b/>
          <w:bCs/>
          <w:sz w:val="22"/>
          <w:szCs w:val="22"/>
        </w:rPr>
      </w:pPr>
    </w:p>
    <w:p w14:paraId="57E08C86" w14:textId="77777777" w:rsidR="00D11951" w:rsidRPr="003D7CAC" w:rsidRDefault="00D11951" w:rsidP="00D11951">
      <w:pPr>
        <w:spacing w:line="360" w:lineRule="auto"/>
        <w:rPr>
          <w:rFonts w:ascii="Arial" w:hAnsi="Arial" w:cs="Arial"/>
          <w:b/>
          <w:bCs/>
          <w:sz w:val="22"/>
          <w:szCs w:val="22"/>
        </w:rPr>
      </w:pPr>
    </w:p>
    <w:p w14:paraId="5C7BD250" w14:textId="77777777" w:rsidR="00D11951" w:rsidRPr="003D7CAC" w:rsidRDefault="00D11951" w:rsidP="00D11951">
      <w:pPr>
        <w:spacing w:line="360" w:lineRule="auto"/>
        <w:rPr>
          <w:rFonts w:ascii="Arial" w:hAnsi="Arial" w:cs="Arial"/>
          <w:b/>
          <w:bCs/>
          <w:sz w:val="22"/>
          <w:szCs w:val="22"/>
        </w:rPr>
      </w:pPr>
    </w:p>
    <w:p w14:paraId="15402B8B" w14:textId="77777777" w:rsidR="00D11951" w:rsidRPr="003D7CAC" w:rsidRDefault="00D11951" w:rsidP="00D11951">
      <w:pPr>
        <w:spacing w:line="360" w:lineRule="auto"/>
        <w:rPr>
          <w:rFonts w:ascii="Arial" w:hAnsi="Arial" w:cs="Arial"/>
          <w:b/>
          <w:bCs/>
          <w:sz w:val="22"/>
          <w:szCs w:val="22"/>
        </w:rPr>
      </w:pPr>
    </w:p>
    <w:p w14:paraId="59D33D39" w14:textId="77777777" w:rsidR="00D11951" w:rsidRPr="003D7CAC" w:rsidRDefault="00D11951" w:rsidP="00D11951">
      <w:pPr>
        <w:spacing w:line="360" w:lineRule="auto"/>
        <w:rPr>
          <w:rFonts w:ascii="Arial" w:hAnsi="Arial" w:cs="Arial"/>
          <w:b/>
          <w:bCs/>
          <w:sz w:val="22"/>
          <w:szCs w:val="22"/>
        </w:rPr>
      </w:pPr>
    </w:p>
    <w:p w14:paraId="17E0A9B9" w14:textId="77777777" w:rsidR="00D11951" w:rsidRPr="003D7CAC" w:rsidRDefault="00D11951" w:rsidP="00D11951">
      <w:pPr>
        <w:spacing w:line="360" w:lineRule="auto"/>
        <w:rPr>
          <w:rFonts w:ascii="Arial" w:hAnsi="Arial" w:cs="Arial"/>
          <w:b/>
          <w:bCs/>
          <w:sz w:val="22"/>
          <w:szCs w:val="22"/>
        </w:rPr>
      </w:pPr>
    </w:p>
    <w:p w14:paraId="20DBD4E8" w14:textId="77777777" w:rsidR="00D11951" w:rsidRPr="003D7CAC" w:rsidRDefault="00D11951" w:rsidP="00D11951">
      <w:pPr>
        <w:spacing w:line="360" w:lineRule="auto"/>
        <w:rPr>
          <w:rFonts w:ascii="Arial" w:hAnsi="Arial" w:cs="Arial"/>
          <w:b/>
          <w:bCs/>
          <w:sz w:val="22"/>
          <w:szCs w:val="22"/>
        </w:rPr>
      </w:pPr>
    </w:p>
    <w:p w14:paraId="2C8392B0" w14:textId="77777777" w:rsidR="00D11951" w:rsidRPr="003D7CAC" w:rsidRDefault="00D11951" w:rsidP="00D11951">
      <w:pPr>
        <w:spacing w:line="360" w:lineRule="auto"/>
        <w:rPr>
          <w:rFonts w:ascii="Arial" w:hAnsi="Arial" w:cs="Arial"/>
          <w:b/>
          <w:bCs/>
          <w:sz w:val="22"/>
          <w:szCs w:val="22"/>
        </w:rPr>
      </w:pPr>
    </w:p>
    <w:p w14:paraId="4E9F2B93" w14:textId="77777777" w:rsidR="00D11951" w:rsidRPr="003D7CAC" w:rsidRDefault="00D11951" w:rsidP="00D11951">
      <w:pPr>
        <w:spacing w:line="360" w:lineRule="auto"/>
        <w:rPr>
          <w:rFonts w:ascii="Arial" w:hAnsi="Arial" w:cs="Arial"/>
          <w:b/>
          <w:bCs/>
          <w:sz w:val="22"/>
          <w:szCs w:val="22"/>
        </w:rPr>
      </w:pPr>
    </w:p>
    <w:p w14:paraId="4B5784BD" w14:textId="77777777" w:rsidR="00D11951" w:rsidRPr="003D7CAC" w:rsidRDefault="00D11951" w:rsidP="00D11951">
      <w:pPr>
        <w:spacing w:line="360" w:lineRule="auto"/>
        <w:rPr>
          <w:rFonts w:ascii="Arial" w:hAnsi="Arial" w:cs="Arial"/>
          <w:b/>
          <w:bCs/>
          <w:sz w:val="22"/>
          <w:szCs w:val="22"/>
        </w:rPr>
      </w:pPr>
    </w:p>
    <w:p w14:paraId="778C146F" w14:textId="77777777" w:rsidR="00D11951" w:rsidRPr="003D7CAC" w:rsidRDefault="00D11951" w:rsidP="00D11951">
      <w:pPr>
        <w:spacing w:line="360" w:lineRule="auto"/>
        <w:rPr>
          <w:rFonts w:ascii="Arial" w:hAnsi="Arial" w:cs="Arial"/>
          <w:b/>
          <w:bCs/>
          <w:sz w:val="22"/>
          <w:szCs w:val="22"/>
        </w:rPr>
      </w:pPr>
    </w:p>
    <w:p w14:paraId="53F8D4FE" w14:textId="77777777" w:rsidR="00D11951" w:rsidRPr="003D7CAC" w:rsidRDefault="00D11951" w:rsidP="00D11951">
      <w:pPr>
        <w:spacing w:line="360" w:lineRule="auto"/>
        <w:rPr>
          <w:rFonts w:ascii="Arial" w:hAnsi="Arial" w:cs="Arial"/>
          <w:b/>
          <w:bCs/>
          <w:sz w:val="22"/>
          <w:szCs w:val="22"/>
        </w:rPr>
      </w:pPr>
    </w:p>
    <w:p w14:paraId="0C0FF90E" w14:textId="77777777" w:rsidR="00D11951" w:rsidRPr="003D7CAC" w:rsidRDefault="00D11951" w:rsidP="00D11951">
      <w:pPr>
        <w:spacing w:line="360" w:lineRule="auto"/>
        <w:rPr>
          <w:rFonts w:ascii="Arial" w:hAnsi="Arial" w:cs="Arial"/>
          <w:b/>
          <w:bCs/>
          <w:sz w:val="22"/>
          <w:szCs w:val="22"/>
        </w:rPr>
      </w:pPr>
    </w:p>
    <w:p w14:paraId="5BD24D53" w14:textId="77777777" w:rsidR="00D11951" w:rsidRPr="003D7CAC" w:rsidRDefault="00D11951" w:rsidP="00D11951">
      <w:pPr>
        <w:spacing w:line="360" w:lineRule="auto"/>
        <w:rPr>
          <w:rFonts w:ascii="Arial" w:hAnsi="Arial" w:cs="Arial"/>
          <w:b/>
          <w:bCs/>
          <w:sz w:val="22"/>
          <w:szCs w:val="22"/>
        </w:rPr>
      </w:pPr>
    </w:p>
    <w:p w14:paraId="2DED4EAE" w14:textId="77777777" w:rsidR="00D11951" w:rsidRPr="003D7CAC" w:rsidRDefault="00D11951" w:rsidP="00D11951">
      <w:pPr>
        <w:spacing w:line="360" w:lineRule="auto"/>
        <w:rPr>
          <w:rFonts w:ascii="Arial" w:hAnsi="Arial" w:cs="Arial"/>
          <w:b/>
          <w:bCs/>
          <w:sz w:val="22"/>
          <w:szCs w:val="22"/>
        </w:rPr>
      </w:pPr>
    </w:p>
    <w:p w14:paraId="03F047C6" w14:textId="77777777" w:rsidR="00D11951" w:rsidRPr="003D7CAC" w:rsidRDefault="00D11951" w:rsidP="00D11951">
      <w:pPr>
        <w:spacing w:line="360" w:lineRule="auto"/>
        <w:rPr>
          <w:rFonts w:ascii="Arial" w:hAnsi="Arial" w:cs="Arial"/>
          <w:b/>
          <w:bCs/>
          <w:sz w:val="22"/>
          <w:szCs w:val="22"/>
        </w:rPr>
      </w:pPr>
    </w:p>
    <w:p w14:paraId="33FE333F" w14:textId="77777777" w:rsidR="00D11951" w:rsidRPr="003D7CAC" w:rsidRDefault="00D11951" w:rsidP="00D11951">
      <w:pPr>
        <w:pStyle w:val="Heading2"/>
        <w:rPr>
          <w:rFonts w:ascii="Arial" w:hAnsi="Arial" w:cs="Arial"/>
        </w:rPr>
      </w:pPr>
      <w:bookmarkStart w:id="1" w:name="_Toc235703711"/>
      <w:r w:rsidRPr="003D7CAC">
        <w:rPr>
          <w:rFonts w:ascii="Arial" w:hAnsi="Arial" w:cs="Arial"/>
        </w:rPr>
        <w:lastRenderedPageBreak/>
        <w:t>Introduction</w:t>
      </w:r>
      <w:bookmarkEnd w:id="1"/>
    </w:p>
    <w:p w14:paraId="1CF17697" w14:textId="6293A7C6" w:rsidR="00FD6EF3" w:rsidRDefault="00D11951" w:rsidP="00D11951">
      <w:pPr>
        <w:spacing w:line="360" w:lineRule="auto"/>
        <w:rPr>
          <w:rFonts w:ascii="Arial" w:hAnsi="Arial" w:cs="Arial"/>
          <w:sz w:val="22"/>
          <w:szCs w:val="22"/>
        </w:rPr>
      </w:pPr>
      <w:r w:rsidRPr="003D7CAC">
        <w:rPr>
          <w:rFonts w:ascii="Arial" w:hAnsi="Arial" w:cs="Arial"/>
          <w:sz w:val="22"/>
          <w:szCs w:val="22"/>
        </w:rPr>
        <w:t>Delivering effective health and social care means recognizing that each person is unique while also ensuring that services come together to address their needs</w:t>
      </w:r>
      <w:r w:rsidR="005D2C8C">
        <w:rPr>
          <w:rFonts w:ascii="Arial" w:hAnsi="Arial" w:cs="Arial"/>
          <w:sz w:val="22"/>
          <w:szCs w:val="22"/>
        </w:rPr>
        <w:t xml:space="preserve"> (Department</w:t>
      </w:r>
      <w:r w:rsidR="00AE126E">
        <w:rPr>
          <w:rFonts w:ascii="Arial" w:hAnsi="Arial" w:cs="Arial"/>
          <w:sz w:val="22"/>
          <w:szCs w:val="22"/>
        </w:rPr>
        <w:t xml:space="preserve"> of Health and </w:t>
      </w:r>
      <w:r w:rsidR="004C29C8">
        <w:rPr>
          <w:rFonts w:ascii="Arial" w:hAnsi="Arial" w:cs="Arial"/>
          <w:sz w:val="22"/>
          <w:szCs w:val="22"/>
        </w:rPr>
        <w:t xml:space="preserve">Social Care, </w:t>
      </w:r>
      <w:r w:rsidR="0026690E">
        <w:rPr>
          <w:rFonts w:ascii="Arial" w:hAnsi="Arial" w:cs="Arial"/>
          <w:sz w:val="22"/>
          <w:szCs w:val="22"/>
        </w:rPr>
        <w:t>2022).</w:t>
      </w:r>
      <w:r w:rsidRPr="003D7CAC">
        <w:rPr>
          <w:rFonts w:ascii="Arial" w:hAnsi="Arial" w:cs="Arial"/>
          <w:sz w:val="22"/>
          <w:szCs w:val="22"/>
        </w:rPr>
        <w:t xml:space="preserve"> Person-centred care (PCC) encourages practitioners to involve individuals</w:t>
      </w:r>
      <w:r w:rsidR="009F1D0B">
        <w:rPr>
          <w:rFonts w:ascii="Arial" w:hAnsi="Arial" w:cs="Arial"/>
          <w:sz w:val="22"/>
          <w:szCs w:val="22"/>
        </w:rPr>
        <w:t xml:space="preserve"> </w:t>
      </w:r>
      <w:r w:rsidR="002A6013" w:rsidRPr="002A6013">
        <w:rPr>
          <w:rFonts w:ascii="Arial" w:hAnsi="Arial" w:cs="Arial"/>
          <w:sz w:val="22"/>
          <w:szCs w:val="22"/>
        </w:rPr>
        <w:t>when choosing the care and support they receive</w:t>
      </w:r>
      <w:r w:rsidR="002A6013">
        <w:rPr>
          <w:rFonts w:ascii="Arial" w:hAnsi="Arial" w:cs="Arial"/>
          <w:sz w:val="22"/>
          <w:szCs w:val="22"/>
        </w:rPr>
        <w:t>,</w:t>
      </w:r>
      <w:r w:rsidRPr="003D7CAC">
        <w:rPr>
          <w:rFonts w:ascii="Arial" w:hAnsi="Arial" w:cs="Arial"/>
          <w:sz w:val="22"/>
          <w:szCs w:val="22"/>
        </w:rPr>
        <w:t xml:space="preserve"> making sure care reflects what is important to them instead of just focusing on their medical issues (NICE, 2021). Collaborative efforts among health professionals, social care workers, family members, caregivers, and voluntary organizations are essential for providing coordinated and responsive care (Department of Health and Social Care, 2022). </w:t>
      </w:r>
    </w:p>
    <w:p w14:paraId="3A00DA31" w14:textId="721F7960" w:rsidR="00D11951" w:rsidRPr="003D7CAC" w:rsidRDefault="00D11951" w:rsidP="00D11951">
      <w:pPr>
        <w:spacing w:line="360" w:lineRule="auto"/>
        <w:rPr>
          <w:rFonts w:ascii="Arial" w:hAnsi="Arial" w:cs="Arial"/>
          <w:sz w:val="22"/>
          <w:szCs w:val="22"/>
        </w:rPr>
      </w:pPr>
      <w:r w:rsidRPr="003D7CAC">
        <w:rPr>
          <w:rFonts w:ascii="Arial" w:hAnsi="Arial" w:cs="Arial"/>
          <w:sz w:val="22"/>
          <w:szCs w:val="22"/>
        </w:rPr>
        <w:t>This report delves into how person-centred care and teamwork enhance life standards and social wellbeing for older adults who are receiving ongoing community-based support</w:t>
      </w:r>
      <w:r w:rsidR="00B122C6">
        <w:rPr>
          <w:rFonts w:ascii="Arial" w:hAnsi="Arial" w:cs="Arial"/>
          <w:sz w:val="22"/>
          <w:szCs w:val="22"/>
        </w:rPr>
        <w:t xml:space="preserve"> (Department of Health</w:t>
      </w:r>
      <w:r w:rsidR="0093021F">
        <w:rPr>
          <w:rFonts w:ascii="Arial" w:hAnsi="Arial" w:cs="Arial"/>
          <w:sz w:val="22"/>
          <w:szCs w:val="22"/>
        </w:rPr>
        <w:t xml:space="preserve"> and Social Care</w:t>
      </w:r>
      <w:r w:rsidR="00A04F27">
        <w:rPr>
          <w:rFonts w:ascii="Arial" w:hAnsi="Arial" w:cs="Arial"/>
          <w:sz w:val="22"/>
          <w:szCs w:val="22"/>
        </w:rPr>
        <w:t>, 2022).</w:t>
      </w:r>
      <w:r w:rsidRPr="003D7CAC">
        <w:rPr>
          <w:rFonts w:ascii="Arial" w:hAnsi="Arial" w:cs="Arial"/>
          <w:sz w:val="22"/>
          <w:szCs w:val="22"/>
        </w:rPr>
        <w:t xml:space="preserve"> It looks at the core principles, strengths, and challenges</w:t>
      </w:r>
      <w:r w:rsidRPr="003D7CAC">
        <w:rPr>
          <w:rFonts w:ascii="Arial" w:hAnsi="Arial" w:cs="Arial"/>
        </w:rPr>
        <w:t xml:space="preserve"> </w:t>
      </w:r>
      <w:r w:rsidRPr="003D7CAC">
        <w:rPr>
          <w:rFonts w:ascii="Arial" w:hAnsi="Arial" w:cs="Arial"/>
          <w:sz w:val="22"/>
          <w:szCs w:val="22"/>
        </w:rPr>
        <w:t>of individualised care</w:t>
      </w:r>
      <w:r w:rsidR="00424CA6">
        <w:rPr>
          <w:rFonts w:ascii="Arial" w:hAnsi="Arial" w:cs="Arial"/>
          <w:sz w:val="22"/>
          <w:szCs w:val="22"/>
        </w:rPr>
        <w:t xml:space="preserve"> </w:t>
      </w:r>
      <w:r w:rsidR="008B0542">
        <w:rPr>
          <w:rFonts w:ascii="Arial" w:hAnsi="Arial" w:cs="Arial"/>
          <w:sz w:val="22"/>
          <w:szCs w:val="22"/>
        </w:rPr>
        <w:t>(NICE,</w:t>
      </w:r>
      <w:r w:rsidR="00B10815">
        <w:rPr>
          <w:rFonts w:ascii="Arial" w:hAnsi="Arial" w:cs="Arial"/>
          <w:sz w:val="22"/>
          <w:szCs w:val="22"/>
        </w:rPr>
        <w:t xml:space="preserve"> 2021),</w:t>
      </w:r>
      <w:r w:rsidRPr="003D7CAC">
        <w:rPr>
          <w:rFonts w:ascii="Arial" w:hAnsi="Arial" w:cs="Arial"/>
          <w:sz w:val="22"/>
          <w:szCs w:val="22"/>
        </w:rPr>
        <w:t xml:space="preserve"> reviews the ethical guidelines and legislation that shape professional practice, assesses the significance of partnership working, and offers evidence-based recommendations to bolster collaborative, person-centred community care across the United Kingdom</w:t>
      </w:r>
      <w:r w:rsidR="00D27CC1">
        <w:rPr>
          <w:rFonts w:ascii="Arial" w:hAnsi="Arial" w:cs="Arial"/>
          <w:sz w:val="22"/>
          <w:szCs w:val="22"/>
        </w:rPr>
        <w:t xml:space="preserve"> (Department of H</w:t>
      </w:r>
      <w:r w:rsidR="0065338D">
        <w:rPr>
          <w:rFonts w:ascii="Arial" w:hAnsi="Arial" w:cs="Arial"/>
          <w:sz w:val="22"/>
          <w:szCs w:val="22"/>
        </w:rPr>
        <w:t>ealth and Social</w:t>
      </w:r>
      <w:r w:rsidR="005F409D">
        <w:rPr>
          <w:rFonts w:ascii="Arial" w:hAnsi="Arial" w:cs="Arial"/>
          <w:sz w:val="22"/>
          <w:szCs w:val="22"/>
        </w:rPr>
        <w:t xml:space="preserve"> Care, 2022).</w:t>
      </w:r>
    </w:p>
    <w:p w14:paraId="4DBF6FA1" w14:textId="77777777" w:rsidR="00D11951" w:rsidRPr="003D7CAC" w:rsidRDefault="00D11951" w:rsidP="00D11951">
      <w:pPr>
        <w:spacing w:line="360" w:lineRule="auto"/>
        <w:rPr>
          <w:rFonts w:ascii="Arial" w:hAnsi="Arial" w:cs="Arial"/>
          <w:b/>
          <w:bCs/>
          <w:sz w:val="22"/>
          <w:szCs w:val="22"/>
        </w:rPr>
      </w:pPr>
      <w:r w:rsidRPr="003D7CAC">
        <w:rPr>
          <w:rFonts w:ascii="Arial" w:hAnsi="Arial" w:cs="Arial"/>
          <w:b/>
          <w:bCs/>
          <w:sz w:val="22"/>
          <w:szCs w:val="22"/>
        </w:rPr>
        <w:t>Person-Centred Care: Definition, Benefits and Limitations</w:t>
      </w:r>
    </w:p>
    <w:p w14:paraId="2368CBC9" w14:textId="77777777" w:rsidR="00A414C8" w:rsidRDefault="00D11951" w:rsidP="00D11951">
      <w:pPr>
        <w:spacing w:line="360" w:lineRule="auto"/>
        <w:rPr>
          <w:rFonts w:ascii="Arial" w:hAnsi="Arial" w:cs="Arial"/>
          <w:sz w:val="22"/>
          <w:szCs w:val="22"/>
        </w:rPr>
      </w:pPr>
      <w:r w:rsidRPr="003D7CAC">
        <w:rPr>
          <w:rFonts w:ascii="Arial" w:hAnsi="Arial" w:cs="Arial"/>
          <w:sz w:val="22"/>
          <w:szCs w:val="22"/>
        </w:rPr>
        <w:t xml:space="preserve">Person-centred care (PCC) is an approach that views people as active partners in their own care rather than passive recipients of services. In community care for older adults with long-term conditions, it encourages practitioners to understand each person's preferences, values, beliefs and life experiences when planning and delivering care (NICE, 2021; McCormack and McCance, 2021). </w:t>
      </w:r>
    </w:p>
    <w:p w14:paraId="442A478F" w14:textId="732667CB" w:rsidR="00D11951" w:rsidRPr="003D7CAC" w:rsidRDefault="00D11951" w:rsidP="00D11951">
      <w:pPr>
        <w:spacing w:line="360" w:lineRule="auto"/>
        <w:rPr>
          <w:rFonts w:ascii="Arial" w:hAnsi="Arial" w:cs="Arial"/>
          <w:sz w:val="22"/>
          <w:szCs w:val="22"/>
        </w:rPr>
      </w:pPr>
      <w:r w:rsidRPr="003D7CAC">
        <w:rPr>
          <w:rFonts w:ascii="Arial" w:hAnsi="Arial" w:cs="Arial"/>
          <w:sz w:val="22"/>
          <w:szCs w:val="22"/>
        </w:rPr>
        <w:t>Care is tailored to meet individuals' physical, emotional, psychological, social and cultural needs, with service users, families and carers working together to develop care plans that promote independence and helps older adults stay independent while continuing to live at home (NICE, 2021; Department of Health and Social Care, 2022).</w:t>
      </w:r>
    </w:p>
    <w:p w14:paraId="006FFF78" w14:textId="77777777" w:rsidR="00E94754" w:rsidRDefault="00D11951" w:rsidP="00D11951">
      <w:pPr>
        <w:spacing w:line="360" w:lineRule="auto"/>
        <w:rPr>
          <w:rFonts w:ascii="Arial" w:hAnsi="Arial" w:cs="Arial"/>
          <w:sz w:val="22"/>
          <w:szCs w:val="22"/>
        </w:rPr>
      </w:pPr>
      <w:r w:rsidRPr="003D7CAC">
        <w:rPr>
          <w:rFonts w:ascii="Arial" w:hAnsi="Arial" w:cs="Arial"/>
          <w:sz w:val="22"/>
          <w:szCs w:val="22"/>
        </w:rPr>
        <w:t xml:space="preserve">Person-centred care provides many benefits within community settings. Older adults, actively involved in planning and reviewing their care are often more confident in managing long-term conditions, follow agreed care plans and achieve better health outcomes (NHS England, 2024; NICE, 2021). It also improves communication, strengthens relationships between practitioners, service users and carers, and promotes trust, respect and coordinated multidisciplinary working (McCormack and McCance, 2021). </w:t>
      </w:r>
    </w:p>
    <w:p w14:paraId="25080B26" w14:textId="202D2EFA" w:rsidR="00D11951" w:rsidRPr="003D7CAC" w:rsidRDefault="00D11951" w:rsidP="00D11951">
      <w:pPr>
        <w:spacing w:line="360" w:lineRule="auto"/>
        <w:rPr>
          <w:rFonts w:ascii="Arial" w:hAnsi="Arial" w:cs="Arial"/>
          <w:sz w:val="22"/>
          <w:szCs w:val="22"/>
        </w:rPr>
      </w:pPr>
      <w:r w:rsidRPr="003D7CAC">
        <w:rPr>
          <w:rFonts w:ascii="Arial" w:hAnsi="Arial" w:cs="Arial"/>
          <w:sz w:val="22"/>
          <w:szCs w:val="22"/>
        </w:rPr>
        <w:lastRenderedPageBreak/>
        <w:t>These benefits can improve quality of life, maintain independence and help reduce avoidable hospital admissions among older adults living in the community (NHS England, 2024; Care Quality Commission, 2024).</w:t>
      </w:r>
    </w:p>
    <w:p w14:paraId="79987638" w14:textId="77777777" w:rsidR="00C24D5C" w:rsidRDefault="00D11951" w:rsidP="00D11951">
      <w:pPr>
        <w:spacing w:line="360" w:lineRule="auto"/>
        <w:rPr>
          <w:rFonts w:ascii="Arial" w:hAnsi="Arial" w:cs="Arial"/>
          <w:sz w:val="22"/>
          <w:szCs w:val="22"/>
        </w:rPr>
      </w:pPr>
      <w:r w:rsidRPr="003D7CAC">
        <w:rPr>
          <w:rFonts w:ascii="Arial" w:hAnsi="Arial" w:cs="Arial"/>
          <w:sz w:val="22"/>
          <w:szCs w:val="22"/>
        </w:rPr>
        <w:t xml:space="preserve">Delivering person-centred care in community settings can be quite a challenge. With staff shortages, rising demand, and limited resources, there's often not enough time for personalized care and shared decision-making (The King's Fund, 2023; Care Quality Commission, 2024). On top of that, communication barriers like language differences, low health literacy, and cognitive impairments, along with organizational pressures and heavy workloads, can make it even tougher to address individual needs (Care Quality Commission, 2024). </w:t>
      </w:r>
    </w:p>
    <w:p w14:paraId="40A06E3F" w14:textId="13B09D8A" w:rsidR="00D11951" w:rsidRPr="003D7CAC" w:rsidRDefault="00D11951" w:rsidP="00D11951">
      <w:pPr>
        <w:spacing w:line="360" w:lineRule="auto"/>
        <w:rPr>
          <w:rFonts w:ascii="Arial" w:hAnsi="Arial" w:cs="Arial"/>
          <w:sz w:val="22"/>
          <w:szCs w:val="22"/>
        </w:rPr>
      </w:pPr>
      <w:r w:rsidRPr="003D7CAC">
        <w:rPr>
          <w:rFonts w:ascii="Arial" w:hAnsi="Arial" w:cs="Arial"/>
          <w:sz w:val="22"/>
          <w:szCs w:val="22"/>
        </w:rPr>
        <w:t>Yet, despite these hurdles, strong leadership, continuous professional development, and nice collaborative work between health and social care providers can empower practitioners to deliver respectful, responsive, and tailored care that truly enhances the lives of older adults in the community (Department of Health and Social Care, 2022; Care Quality Commission, 2024).</w:t>
      </w:r>
    </w:p>
    <w:p w14:paraId="65B23EA0" w14:textId="77777777" w:rsidR="00D11951" w:rsidRPr="003D7CAC" w:rsidRDefault="00D11951" w:rsidP="00D11951">
      <w:pPr>
        <w:pStyle w:val="Heading2"/>
        <w:rPr>
          <w:rFonts w:ascii="Arial" w:hAnsi="Arial" w:cs="Arial"/>
        </w:rPr>
      </w:pPr>
      <w:bookmarkStart w:id="2" w:name="_Toc235703712"/>
      <w:r w:rsidRPr="003D7CAC">
        <w:rPr>
          <w:rFonts w:ascii="Arial" w:hAnsi="Arial" w:cs="Arial"/>
        </w:rPr>
        <w:t>Part 2: Theory Underpinning Person-Centred Care</w:t>
      </w:r>
      <w:bookmarkEnd w:id="2"/>
    </w:p>
    <w:p w14:paraId="021974DE" w14:textId="77777777" w:rsidR="00D11951" w:rsidRPr="003D7CAC" w:rsidRDefault="00D11951" w:rsidP="00D11951">
      <w:pPr>
        <w:spacing w:line="360" w:lineRule="auto"/>
        <w:rPr>
          <w:rFonts w:ascii="Arial" w:hAnsi="Arial" w:cs="Arial"/>
          <w:sz w:val="22"/>
          <w:szCs w:val="22"/>
        </w:rPr>
      </w:pPr>
      <w:r w:rsidRPr="003D7CAC">
        <w:rPr>
          <w:rFonts w:ascii="Arial" w:hAnsi="Arial" w:cs="Arial"/>
          <w:sz w:val="22"/>
          <w:szCs w:val="22"/>
        </w:rPr>
        <w:t xml:space="preserve">One compelling theory that backs person-centred care for older adults with ongoing health needs in </w:t>
      </w:r>
      <w:r w:rsidRPr="003D7CAC">
        <w:rPr>
          <w:rFonts w:ascii="Arial" w:hAnsi="Arial" w:cs="Arial"/>
          <w:b/>
          <w:bCs/>
          <w:sz w:val="22"/>
          <w:szCs w:val="22"/>
        </w:rPr>
        <w:t>community settings is Bronfenbrenner's Ecological Model of Human</w:t>
      </w:r>
      <w:r w:rsidRPr="003D7CAC">
        <w:rPr>
          <w:rFonts w:ascii="Arial" w:hAnsi="Arial" w:cs="Arial"/>
          <w:sz w:val="22"/>
          <w:szCs w:val="22"/>
        </w:rPr>
        <w:t xml:space="preserve"> </w:t>
      </w:r>
      <w:r w:rsidRPr="003D7CAC">
        <w:rPr>
          <w:rFonts w:ascii="Arial" w:hAnsi="Arial" w:cs="Arial"/>
          <w:b/>
          <w:bCs/>
          <w:sz w:val="22"/>
          <w:szCs w:val="22"/>
        </w:rPr>
        <w:t>Development.</w:t>
      </w:r>
      <w:r w:rsidRPr="003D7CAC">
        <w:rPr>
          <w:rFonts w:ascii="Arial" w:hAnsi="Arial" w:cs="Arial"/>
          <w:sz w:val="22"/>
          <w:szCs w:val="22"/>
        </w:rPr>
        <w:t xml:space="preserve"> According to Bronfenbrenner (1979), personal development, health, and wellbeing are shaped by their interactions with various environments, such as family, healthcare services, the local community, and the broader society.</w:t>
      </w:r>
    </w:p>
    <w:p w14:paraId="25A51BFA" w14:textId="77777777" w:rsidR="00D11951" w:rsidRPr="003D7CAC" w:rsidRDefault="00D11951" w:rsidP="00D11951">
      <w:pPr>
        <w:spacing w:line="360" w:lineRule="auto"/>
        <w:rPr>
          <w:rFonts w:ascii="Arial" w:hAnsi="Arial" w:cs="Arial"/>
          <w:sz w:val="22"/>
          <w:szCs w:val="22"/>
        </w:rPr>
      </w:pPr>
      <w:r w:rsidRPr="003D7CAC">
        <w:rPr>
          <w:rFonts w:ascii="Arial" w:hAnsi="Arial" w:cs="Arial"/>
          <w:sz w:val="22"/>
          <w:szCs w:val="22"/>
        </w:rPr>
        <w:t xml:space="preserve"> This theory prompts practitioners to look beyond just the medical aspects of an individual's condition and to consider the social, emotional, and environmental factors that </w:t>
      </w:r>
      <w:proofErr w:type="spellStart"/>
      <w:r w:rsidRPr="003D7CAC">
        <w:rPr>
          <w:rFonts w:ascii="Arial" w:hAnsi="Arial" w:cs="Arial"/>
          <w:sz w:val="22"/>
          <w:szCs w:val="22"/>
        </w:rPr>
        <w:t>infulence</w:t>
      </w:r>
      <w:proofErr w:type="spellEnd"/>
      <w:r w:rsidRPr="003D7CAC">
        <w:rPr>
          <w:rFonts w:ascii="Arial" w:hAnsi="Arial" w:cs="Arial"/>
          <w:sz w:val="22"/>
          <w:szCs w:val="22"/>
        </w:rPr>
        <w:t xml:space="preserve"> their health and everyday life (Bronfenbrenner, 1979; National Institute for Health and Care Excellence, 2021). By acknowledging each person's unique situation and involving them in their care decisions, this model champions person-centred care and holistic care planning (National Institute for Health and Care Excellence, 2021; NHS England, 2024). </w:t>
      </w:r>
    </w:p>
    <w:p w14:paraId="4A2F098F" w14:textId="77777777" w:rsidR="00D11951" w:rsidRPr="003D7CAC" w:rsidRDefault="00D11951" w:rsidP="00D11951">
      <w:pPr>
        <w:spacing w:line="360" w:lineRule="auto"/>
        <w:rPr>
          <w:rFonts w:ascii="Arial" w:hAnsi="Arial" w:cs="Arial"/>
          <w:sz w:val="22"/>
          <w:szCs w:val="22"/>
        </w:rPr>
      </w:pPr>
      <w:r w:rsidRPr="003D7CAC">
        <w:rPr>
          <w:rFonts w:ascii="Arial" w:hAnsi="Arial" w:cs="Arial"/>
          <w:sz w:val="22"/>
          <w:szCs w:val="22"/>
        </w:rPr>
        <w:t xml:space="preserve">Bronfenbrenner's model is made up of five linked systems: the </w:t>
      </w:r>
      <w:r w:rsidRPr="003D7CAC">
        <w:rPr>
          <w:rFonts w:ascii="Arial" w:hAnsi="Arial" w:cs="Arial"/>
          <w:b/>
          <w:bCs/>
          <w:sz w:val="22"/>
          <w:szCs w:val="22"/>
        </w:rPr>
        <w:t>microsystem,</w:t>
      </w:r>
      <w:r w:rsidRPr="003D7CAC">
        <w:rPr>
          <w:rFonts w:ascii="Arial" w:hAnsi="Arial" w:cs="Arial"/>
          <w:sz w:val="22"/>
          <w:szCs w:val="22"/>
        </w:rPr>
        <w:t xml:space="preserve"> </w:t>
      </w:r>
      <w:r w:rsidRPr="003D7CAC">
        <w:rPr>
          <w:rFonts w:ascii="Arial" w:hAnsi="Arial" w:cs="Arial"/>
          <w:b/>
          <w:bCs/>
          <w:sz w:val="22"/>
          <w:szCs w:val="22"/>
        </w:rPr>
        <w:t>mesosystem, exosystem, macrosystem,</w:t>
      </w:r>
      <w:r w:rsidRPr="003D7CAC">
        <w:rPr>
          <w:rFonts w:ascii="Arial" w:hAnsi="Arial" w:cs="Arial"/>
          <w:sz w:val="22"/>
          <w:szCs w:val="22"/>
        </w:rPr>
        <w:t xml:space="preserve"> and </w:t>
      </w:r>
      <w:r w:rsidRPr="003D7CAC">
        <w:rPr>
          <w:rFonts w:ascii="Arial" w:hAnsi="Arial" w:cs="Arial"/>
          <w:b/>
          <w:bCs/>
          <w:sz w:val="22"/>
          <w:szCs w:val="22"/>
        </w:rPr>
        <w:t>chronosystem</w:t>
      </w:r>
      <w:r w:rsidRPr="003D7CAC">
        <w:rPr>
          <w:rFonts w:ascii="Arial" w:hAnsi="Arial" w:cs="Arial"/>
          <w:sz w:val="22"/>
          <w:szCs w:val="22"/>
        </w:rPr>
        <w:t xml:space="preserve"> (Bronfenbrenner, 1979). In community care, the microsystem encompasses family members, caregivers, and healthcare practitioners who provide direct support. The mesosystem emphasizes the importance of effective communication and collaboration among these groups. The exosystem includes organizations like local authorities and voluntary services, while the macrosystem reflects broader legislation, such as the </w:t>
      </w:r>
      <w:r w:rsidRPr="003D7CAC">
        <w:rPr>
          <w:rFonts w:ascii="Arial" w:hAnsi="Arial" w:cs="Arial"/>
          <w:b/>
          <w:bCs/>
          <w:sz w:val="22"/>
          <w:szCs w:val="22"/>
        </w:rPr>
        <w:t>Health and Care Act 2022,</w:t>
      </w:r>
      <w:r w:rsidRPr="003D7CAC">
        <w:rPr>
          <w:rFonts w:ascii="Arial" w:hAnsi="Arial" w:cs="Arial"/>
          <w:sz w:val="22"/>
          <w:szCs w:val="22"/>
        </w:rPr>
        <w:t xml:space="preserve"> which advocates for integrated </w:t>
      </w:r>
      <w:r w:rsidRPr="003D7CAC">
        <w:rPr>
          <w:rFonts w:ascii="Arial" w:hAnsi="Arial" w:cs="Arial"/>
          <w:sz w:val="22"/>
          <w:szCs w:val="22"/>
        </w:rPr>
        <w:lastRenderedPageBreak/>
        <w:t>care (Department of Health and Social Care, 2022). Lastly, the chronosystem acknowledges that care needs evolve over time, highlighting the necessity for regular reviews of care plans (Bronfenbrenner, 1979; National Institute for Health and Care Excellence, 2021).</w:t>
      </w:r>
    </w:p>
    <w:p w14:paraId="098E8539" w14:textId="77777777" w:rsidR="00D11951" w:rsidRPr="003D7CAC" w:rsidRDefault="00D11951" w:rsidP="00D11951">
      <w:pPr>
        <w:spacing w:line="360" w:lineRule="auto"/>
        <w:rPr>
          <w:rFonts w:ascii="Arial" w:hAnsi="Arial" w:cs="Arial"/>
          <w:sz w:val="22"/>
          <w:szCs w:val="22"/>
        </w:rPr>
      </w:pPr>
      <w:r w:rsidRPr="003D7CAC">
        <w:rPr>
          <w:rFonts w:ascii="Arial" w:hAnsi="Arial" w:cs="Arial"/>
          <w:sz w:val="22"/>
          <w:szCs w:val="22"/>
        </w:rPr>
        <w:t>A key strength of the model is that it promotes a holistic understanding of health by recognising the influence of family support, housing and community resources on wellbeing (NHS England, 2024; Care Quality Commission, 2024). This helps practitioners develop personalised care plans that promote independence and self-management. However, workforce shortages, increasing demand and limited resources can make collaborative, person-centred care difficult to deliver consistently (The King's Fund, 2023; Care Quality Commission, 2024). Despite these challenges, Bronfenbrenner's Ecological Model remains a valuable framework for supporting coordinated, person-centred care and improving outcomes for people residing in the community.</w:t>
      </w:r>
    </w:p>
    <w:p w14:paraId="3B99A01E" w14:textId="77777777" w:rsidR="00D11951" w:rsidRPr="003D7CAC" w:rsidRDefault="00D11951" w:rsidP="00D11951">
      <w:pPr>
        <w:spacing w:line="360" w:lineRule="auto"/>
        <w:rPr>
          <w:rFonts w:ascii="Arial" w:hAnsi="Arial" w:cs="Arial"/>
          <w:b/>
          <w:bCs/>
          <w:sz w:val="22"/>
          <w:szCs w:val="22"/>
        </w:rPr>
      </w:pPr>
      <w:r w:rsidRPr="003D7CAC">
        <w:rPr>
          <w:rFonts w:ascii="Arial" w:hAnsi="Arial" w:cs="Arial"/>
          <w:b/>
          <w:bCs/>
          <w:sz w:val="22"/>
          <w:szCs w:val="22"/>
        </w:rPr>
        <w:t>Ethical Fundamentals of Health and Social Care</w:t>
      </w:r>
    </w:p>
    <w:p w14:paraId="658C2061" w14:textId="77777777" w:rsidR="0040702C" w:rsidRDefault="00D11951" w:rsidP="00D11951">
      <w:pPr>
        <w:spacing w:line="360" w:lineRule="auto"/>
        <w:rPr>
          <w:rFonts w:ascii="Arial" w:hAnsi="Arial" w:cs="Arial"/>
          <w:sz w:val="22"/>
          <w:szCs w:val="22"/>
        </w:rPr>
      </w:pPr>
      <w:r w:rsidRPr="003D7CAC">
        <w:rPr>
          <w:rFonts w:ascii="Arial" w:hAnsi="Arial" w:cs="Arial"/>
          <w:sz w:val="22"/>
          <w:szCs w:val="22"/>
        </w:rPr>
        <w:t xml:space="preserve">Ethics play a crucial role in health and social care, serving as a compass for practitioners to make decisions that are respectful, fair, and centred on the wellbeing of those they support. When it comes to </w:t>
      </w:r>
      <w:r w:rsidRPr="003D7CAC">
        <w:rPr>
          <w:rFonts w:ascii="Arial" w:hAnsi="Arial" w:cs="Arial"/>
          <w:b/>
          <w:bCs/>
          <w:sz w:val="22"/>
          <w:szCs w:val="22"/>
        </w:rPr>
        <w:t>community care for older adults</w:t>
      </w:r>
      <w:r w:rsidRPr="003D7CAC">
        <w:rPr>
          <w:rFonts w:ascii="Arial" w:hAnsi="Arial" w:cs="Arial"/>
        </w:rPr>
        <w:t xml:space="preserve"> </w:t>
      </w:r>
      <w:r w:rsidRPr="003D7CAC">
        <w:rPr>
          <w:rFonts w:ascii="Arial" w:hAnsi="Arial" w:cs="Arial"/>
          <w:b/>
          <w:bCs/>
          <w:sz w:val="22"/>
          <w:szCs w:val="22"/>
        </w:rPr>
        <w:t>living with ongoing health condition</w:t>
      </w:r>
      <w:r w:rsidRPr="003D7CAC">
        <w:rPr>
          <w:rFonts w:ascii="Arial" w:hAnsi="Arial" w:cs="Arial"/>
          <w:sz w:val="22"/>
          <w:szCs w:val="22"/>
        </w:rPr>
        <w:t xml:space="preserve">, these ethical principles help professionals strike a balance between honouring individual rights and fulfilling their professional duties, all while ensuring that care is safe, high-quality, and tailored to each person (Beauchamp and Childress, 2019; Health and Care Professions Council, 2024). </w:t>
      </w:r>
    </w:p>
    <w:p w14:paraId="0FA07286" w14:textId="16E836D4" w:rsidR="00D11951" w:rsidRPr="003D7CAC" w:rsidRDefault="00D11951" w:rsidP="00D11951">
      <w:pPr>
        <w:spacing w:line="360" w:lineRule="auto"/>
        <w:rPr>
          <w:rFonts w:ascii="Arial" w:hAnsi="Arial" w:cs="Arial"/>
          <w:sz w:val="22"/>
          <w:szCs w:val="22"/>
        </w:rPr>
      </w:pPr>
      <w:r w:rsidRPr="003D7CAC">
        <w:rPr>
          <w:rFonts w:ascii="Arial" w:hAnsi="Arial" w:cs="Arial"/>
          <w:sz w:val="22"/>
          <w:szCs w:val="22"/>
        </w:rPr>
        <w:t xml:space="preserve">They also foster collaboration and shared decision-making among practitioners, service users, families, and care givers (Department of Health and Social Care, 2022). Four fundamental ethical principles are: </w:t>
      </w:r>
      <w:r w:rsidRPr="003D7CAC">
        <w:rPr>
          <w:rFonts w:ascii="Arial" w:hAnsi="Arial" w:cs="Arial"/>
          <w:b/>
          <w:bCs/>
          <w:sz w:val="22"/>
          <w:szCs w:val="22"/>
        </w:rPr>
        <w:t>autonomy, beneficence, non-maleficence, and justice</w:t>
      </w:r>
      <w:r w:rsidRPr="003D7CAC">
        <w:rPr>
          <w:rFonts w:ascii="Arial" w:hAnsi="Arial" w:cs="Arial"/>
          <w:sz w:val="22"/>
          <w:szCs w:val="22"/>
        </w:rPr>
        <w:t xml:space="preserve"> (Beauchamp and Childress, 2019).</w:t>
      </w:r>
    </w:p>
    <w:p w14:paraId="2E04744B" w14:textId="77777777" w:rsidR="001E1FBB" w:rsidRDefault="00D11951" w:rsidP="00D11951">
      <w:pPr>
        <w:spacing w:line="360" w:lineRule="auto"/>
        <w:rPr>
          <w:rFonts w:ascii="Arial" w:hAnsi="Arial" w:cs="Arial"/>
          <w:sz w:val="22"/>
          <w:szCs w:val="22"/>
        </w:rPr>
      </w:pPr>
      <w:r w:rsidRPr="003D7CAC">
        <w:rPr>
          <w:rFonts w:ascii="Arial" w:hAnsi="Arial" w:cs="Arial"/>
          <w:b/>
          <w:bCs/>
          <w:sz w:val="22"/>
          <w:szCs w:val="22"/>
        </w:rPr>
        <w:t xml:space="preserve"> Autonomy</w:t>
      </w:r>
      <w:r w:rsidRPr="003D7CAC">
        <w:rPr>
          <w:rFonts w:ascii="Arial" w:hAnsi="Arial" w:cs="Arial"/>
          <w:sz w:val="22"/>
          <w:szCs w:val="22"/>
        </w:rPr>
        <w:t xml:space="preserve"> emphasizes people should be given access to information and support they needed to make their own decisions about care they receive, provided they have the mental capacity to do so. In community settings, it's essential for practitioners to engage older adults in discussions about their treatment and care planning, ensuring that the information shared is clear and aligns with their values, preferences, and cultural beliefs (National Institute for Health and Care Excellence, 2021).</w:t>
      </w:r>
    </w:p>
    <w:p w14:paraId="19562712" w14:textId="0AD87B72" w:rsidR="00D11951" w:rsidRPr="003D7CAC" w:rsidRDefault="00D11951" w:rsidP="00D11951">
      <w:pPr>
        <w:spacing w:line="360" w:lineRule="auto"/>
        <w:rPr>
          <w:rFonts w:ascii="Arial" w:hAnsi="Arial" w:cs="Arial"/>
          <w:sz w:val="22"/>
          <w:szCs w:val="22"/>
        </w:rPr>
      </w:pPr>
      <w:r w:rsidRPr="003D7CAC">
        <w:rPr>
          <w:rFonts w:ascii="Arial" w:hAnsi="Arial" w:cs="Arial"/>
          <w:sz w:val="22"/>
          <w:szCs w:val="22"/>
        </w:rPr>
        <w:t xml:space="preserve"> However, practitioners also need to find a balance between respecting personal choices and their duty to protect individuals who might be at risk of harm (Health and Care Professions Council, 2024).</w:t>
      </w:r>
    </w:p>
    <w:p w14:paraId="7DC22822" w14:textId="77777777" w:rsidR="001E1FBB" w:rsidRDefault="00D11951" w:rsidP="00D11951">
      <w:pPr>
        <w:spacing w:line="360" w:lineRule="auto"/>
        <w:rPr>
          <w:rFonts w:ascii="Arial" w:hAnsi="Arial" w:cs="Arial"/>
          <w:sz w:val="22"/>
          <w:szCs w:val="22"/>
        </w:rPr>
      </w:pPr>
      <w:r w:rsidRPr="003D7CAC">
        <w:rPr>
          <w:rFonts w:ascii="Arial" w:hAnsi="Arial" w:cs="Arial"/>
          <w:b/>
          <w:bCs/>
          <w:sz w:val="22"/>
          <w:szCs w:val="22"/>
        </w:rPr>
        <w:lastRenderedPageBreak/>
        <w:t xml:space="preserve"> Beneficence</w:t>
      </w:r>
      <w:r w:rsidRPr="003D7CAC">
        <w:rPr>
          <w:rFonts w:ascii="Arial" w:hAnsi="Arial" w:cs="Arial"/>
          <w:sz w:val="22"/>
          <w:szCs w:val="22"/>
        </w:rPr>
        <w:t xml:space="preserve"> means doing what is best for the person while supporting their wellbeing, while </w:t>
      </w:r>
      <w:r w:rsidRPr="003D7CAC">
        <w:rPr>
          <w:rFonts w:ascii="Arial" w:hAnsi="Arial" w:cs="Arial"/>
          <w:b/>
          <w:bCs/>
          <w:sz w:val="22"/>
          <w:szCs w:val="22"/>
        </w:rPr>
        <w:t>non-maleficence</w:t>
      </w:r>
      <w:r w:rsidRPr="003D7CAC">
        <w:rPr>
          <w:rFonts w:ascii="Arial" w:hAnsi="Arial" w:cs="Arial"/>
          <w:sz w:val="22"/>
          <w:szCs w:val="22"/>
        </w:rPr>
        <w:t xml:space="preserve"> emphasizes the importance of steering clear of unnecessary harm (Beauchamp and Childress, 2019). </w:t>
      </w:r>
    </w:p>
    <w:p w14:paraId="19258D59" w14:textId="7BEE3DB4" w:rsidR="00D11951" w:rsidRPr="003D7CAC" w:rsidRDefault="00D11951" w:rsidP="00D11951">
      <w:pPr>
        <w:spacing w:line="360" w:lineRule="auto"/>
        <w:rPr>
          <w:rFonts w:ascii="Arial" w:hAnsi="Arial" w:cs="Arial"/>
          <w:sz w:val="22"/>
          <w:szCs w:val="22"/>
        </w:rPr>
      </w:pPr>
      <w:r w:rsidRPr="003D7CAC">
        <w:rPr>
          <w:rFonts w:ascii="Arial" w:hAnsi="Arial" w:cs="Arial"/>
          <w:sz w:val="22"/>
          <w:szCs w:val="22"/>
        </w:rPr>
        <w:t>In the realm of community care, we see these principles come to life through evidence-based practices, regular reviews of care, thorough risk assessments, and a well-coordinated approach from various professionals. This teamwork is essential to help older adults manage ongoing health conditions safely at home. (Department of Health and Social Care, 2022; Glasby and Dickinson, 2021; NHS England, 2024).</w:t>
      </w:r>
    </w:p>
    <w:p w14:paraId="4752390E" w14:textId="77777777" w:rsidR="001E4A68" w:rsidRDefault="00D11951" w:rsidP="00D11951">
      <w:pPr>
        <w:spacing w:line="360" w:lineRule="auto"/>
        <w:rPr>
          <w:rFonts w:ascii="Arial" w:hAnsi="Arial" w:cs="Arial"/>
          <w:sz w:val="22"/>
          <w:szCs w:val="22"/>
        </w:rPr>
      </w:pPr>
      <w:r w:rsidRPr="003D7CAC">
        <w:rPr>
          <w:rFonts w:ascii="Arial" w:hAnsi="Arial" w:cs="Arial"/>
          <w:b/>
          <w:bCs/>
          <w:sz w:val="22"/>
          <w:szCs w:val="22"/>
        </w:rPr>
        <w:t xml:space="preserve"> Justice,</w:t>
      </w:r>
      <w:r w:rsidRPr="003D7CAC">
        <w:rPr>
          <w:rFonts w:ascii="Arial" w:hAnsi="Arial" w:cs="Arial"/>
          <w:sz w:val="22"/>
          <w:szCs w:val="22"/>
        </w:rPr>
        <w:t xml:space="preserve"> conversely, is all about ensuring that everyone</w:t>
      </w:r>
      <w:r w:rsidRPr="003D7CAC">
        <w:rPr>
          <w:rFonts w:ascii="Arial" w:hAnsi="Arial" w:cs="Arial"/>
        </w:rPr>
        <w:t xml:space="preserve"> </w:t>
      </w:r>
      <w:r w:rsidRPr="003D7CAC">
        <w:rPr>
          <w:rFonts w:ascii="Arial" w:hAnsi="Arial" w:cs="Arial"/>
          <w:sz w:val="22"/>
          <w:szCs w:val="22"/>
        </w:rPr>
        <w:t xml:space="preserve">can receive health and social care services without being disadvantaged because of age or disability, ethnicity, gender, or socioeconomic status, as highlighted by the </w:t>
      </w:r>
      <w:r w:rsidRPr="003D7CAC">
        <w:rPr>
          <w:rFonts w:ascii="Arial" w:hAnsi="Arial" w:cs="Arial"/>
          <w:b/>
          <w:bCs/>
          <w:sz w:val="22"/>
          <w:szCs w:val="22"/>
        </w:rPr>
        <w:t>Equality Act 2010</w:t>
      </w:r>
      <w:r w:rsidRPr="003D7CAC">
        <w:rPr>
          <w:rFonts w:ascii="Arial" w:hAnsi="Arial" w:cs="Arial"/>
          <w:sz w:val="22"/>
          <w:szCs w:val="22"/>
        </w:rPr>
        <w:t xml:space="preserve"> (Equality Act 2010). </w:t>
      </w:r>
    </w:p>
    <w:p w14:paraId="50AC3E76" w14:textId="3C13312C" w:rsidR="00D11951" w:rsidRPr="003D7CAC" w:rsidRDefault="00D11951" w:rsidP="00D11951">
      <w:pPr>
        <w:spacing w:line="360" w:lineRule="auto"/>
        <w:rPr>
          <w:rFonts w:ascii="Arial" w:hAnsi="Arial" w:cs="Arial"/>
          <w:sz w:val="22"/>
          <w:szCs w:val="22"/>
        </w:rPr>
      </w:pPr>
      <w:r w:rsidRPr="003D7CAC">
        <w:rPr>
          <w:rFonts w:ascii="Arial" w:hAnsi="Arial" w:cs="Arial"/>
          <w:sz w:val="22"/>
          <w:szCs w:val="22"/>
        </w:rPr>
        <w:t>Yet, workforce shortages and limited resources can complicate the fair distribution of community services (Care Quality Commission, 2024; The King's Fund, 2023). By applying these ethical principles, we can foster person-centred care, encourage collaborative efforts, and ensure high-quality support, all of which help older adults maintain their dignity, independence, and overall wellbeing while living in the community (Health and Care Professions Council, 2024; NHS England, 2024).</w:t>
      </w:r>
    </w:p>
    <w:p w14:paraId="7AE5185E" w14:textId="77777777" w:rsidR="00D11951" w:rsidRPr="003D7CAC" w:rsidRDefault="00D11951" w:rsidP="00D11951">
      <w:pPr>
        <w:pStyle w:val="Heading2"/>
        <w:rPr>
          <w:rFonts w:ascii="Arial" w:hAnsi="Arial" w:cs="Arial"/>
        </w:rPr>
      </w:pPr>
      <w:bookmarkStart w:id="3" w:name="_Toc235703713"/>
      <w:r w:rsidRPr="003D7CAC">
        <w:rPr>
          <w:rFonts w:ascii="Arial" w:hAnsi="Arial" w:cs="Arial"/>
        </w:rPr>
        <w:t>Part 3: Partnership Working in Health and Social Care</w:t>
      </w:r>
      <w:bookmarkEnd w:id="3"/>
    </w:p>
    <w:p w14:paraId="41E4D6BE" w14:textId="77777777" w:rsidR="00D11951" w:rsidRPr="003D7CAC" w:rsidRDefault="00D11951" w:rsidP="00D11951">
      <w:pPr>
        <w:spacing w:line="360" w:lineRule="auto"/>
        <w:rPr>
          <w:rFonts w:ascii="Arial" w:hAnsi="Arial" w:cs="Arial"/>
          <w:sz w:val="22"/>
          <w:szCs w:val="22"/>
        </w:rPr>
      </w:pPr>
      <w:r w:rsidRPr="003D7CAC">
        <w:rPr>
          <w:rFonts w:ascii="Arial" w:hAnsi="Arial" w:cs="Arial"/>
          <w:sz w:val="22"/>
          <w:szCs w:val="22"/>
        </w:rPr>
        <w:t>Partnership working is all about health and social care practitioners teaming up to provide seamless and effective support for individuals. When it comes to community support for older adults living with ongoing health challenges, this approach unites health professionals, social care practitioners, service users, families, carers, and voluntary organizations. Together, they share insights, exchange information, and make collaborative decisions that lead to better care outcomes (Department of Health and Social Care, 2022; Glasby and Dickinson, 2021).</w:t>
      </w:r>
    </w:p>
    <w:p w14:paraId="030F15F6" w14:textId="77777777" w:rsidR="00D11951" w:rsidRPr="003D7CAC" w:rsidRDefault="00D11951" w:rsidP="00D11951">
      <w:pPr>
        <w:spacing w:line="360" w:lineRule="auto"/>
        <w:rPr>
          <w:rFonts w:ascii="Arial" w:hAnsi="Arial" w:cs="Arial"/>
          <w:sz w:val="22"/>
          <w:szCs w:val="22"/>
        </w:rPr>
      </w:pPr>
      <w:r w:rsidRPr="003D7CAC">
        <w:rPr>
          <w:rFonts w:ascii="Arial" w:hAnsi="Arial" w:cs="Arial"/>
          <w:sz w:val="22"/>
          <w:szCs w:val="22"/>
        </w:rPr>
        <w:t xml:space="preserve"> The strength of this approach is that it tailors care around the individual’s needs, rather than relying on disjointed or separate services. By joining forces, practitioners can offer more holistic and ongoing support that adapts to the evolving needs of older adults living in the community. One of the standout advantages of partnership working is that it allows professionals from various fields to pool their knowledge, skills, and experiences when planning and delivering care. With effective communication and the right information sharing, they can gain a well-rounded understanding of an individual’s physical, psychological, and social needs, leading to more coordinated and consistent care (Glasby and Dickinson, 2021; NHS England, 2024).</w:t>
      </w:r>
    </w:p>
    <w:p w14:paraId="74CA3729" w14:textId="77777777" w:rsidR="00D11951" w:rsidRPr="003D7CAC" w:rsidRDefault="00D11951" w:rsidP="00D11951">
      <w:pPr>
        <w:spacing w:line="360" w:lineRule="auto"/>
        <w:rPr>
          <w:rFonts w:ascii="Arial" w:hAnsi="Arial" w:cs="Arial"/>
          <w:sz w:val="22"/>
          <w:szCs w:val="22"/>
        </w:rPr>
      </w:pPr>
      <w:r w:rsidRPr="003D7CAC">
        <w:rPr>
          <w:rFonts w:ascii="Arial" w:hAnsi="Arial" w:cs="Arial"/>
          <w:sz w:val="22"/>
          <w:szCs w:val="22"/>
        </w:rPr>
        <w:lastRenderedPageBreak/>
        <w:t xml:space="preserve"> In community settings, GPs, community nurses, social workers, occupational therapists, pharmacists, and voluntary organizations can collaborate to help older adults manage long-term conditions, cut down on unnecessary hospital visits, and maintain their independence at home (NHS England, 2024). This coordinated approach not only minimizes service duplication but also enhances continuity of care.</w:t>
      </w:r>
    </w:p>
    <w:p w14:paraId="0CB313F7" w14:textId="66B87235" w:rsidR="00D11951" w:rsidRPr="003D7CAC" w:rsidRDefault="00D11951" w:rsidP="00D11951">
      <w:pPr>
        <w:spacing w:line="360" w:lineRule="auto"/>
        <w:rPr>
          <w:rFonts w:ascii="Arial" w:hAnsi="Arial" w:cs="Arial"/>
          <w:sz w:val="22"/>
          <w:szCs w:val="22"/>
        </w:rPr>
      </w:pPr>
      <w:r w:rsidRPr="003D7CAC">
        <w:rPr>
          <w:rFonts w:ascii="Arial" w:hAnsi="Arial" w:cs="Arial"/>
          <w:sz w:val="22"/>
          <w:szCs w:val="22"/>
        </w:rPr>
        <w:t xml:space="preserve">Partnership working supports, reinforces the principles of person-centred care by actively engaging older adults and their families in the decision-making process regarding assessments, care planning, and ongoing reviews. This approach ensures that care is tailored to reflect everyone’s preferences, values, and personal goals, while also encouraging them </w:t>
      </w:r>
      <w:r w:rsidR="0045075B">
        <w:rPr>
          <w:rFonts w:ascii="Arial" w:hAnsi="Arial" w:cs="Arial"/>
          <w:sz w:val="22"/>
          <w:szCs w:val="22"/>
        </w:rPr>
        <w:t xml:space="preserve">to be actively </w:t>
      </w:r>
      <w:r w:rsidR="00144D91">
        <w:rPr>
          <w:rFonts w:ascii="Arial" w:hAnsi="Arial" w:cs="Arial"/>
          <w:sz w:val="22"/>
          <w:szCs w:val="22"/>
        </w:rPr>
        <w:t xml:space="preserve">involved </w:t>
      </w:r>
      <w:r w:rsidRPr="003D7CAC">
        <w:rPr>
          <w:rFonts w:ascii="Arial" w:hAnsi="Arial" w:cs="Arial"/>
          <w:sz w:val="22"/>
          <w:szCs w:val="22"/>
        </w:rPr>
        <w:t>in</w:t>
      </w:r>
      <w:r w:rsidR="00144D91">
        <w:rPr>
          <w:rFonts w:ascii="Arial" w:hAnsi="Arial" w:cs="Arial"/>
          <w:sz w:val="22"/>
          <w:szCs w:val="22"/>
        </w:rPr>
        <w:t xml:space="preserve"> </w:t>
      </w:r>
      <w:r w:rsidR="005E2EED">
        <w:rPr>
          <w:rFonts w:ascii="Arial" w:hAnsi="Arial" w:cs="Arial"/>
          <w:sz w:val="22"/>
          <w:szCs w:val="22"/>
        </w:rPr>
        <w:t>handling</w:t>
      </w:r>
      <w:r w:rsidR="003811B6">
        <w:rPr>
          <w:rFonts w:ascii="Arial" w:hAnsi="Arial" w:cs="Arial"/>
          <w:sz w:val="22"/>
          <w:szCs w:val="22"/>
        </w:rPr>
        <w:t xml:space="preserve"> </w:t>
      </w:r>
      <w:r w:rsidRPr="003D7CAC">
        <w:rPr>
          <w:rFonts w:ascii="Arial" w:hAnsi="Arial" w:cs="Arial"/>
          <w:sz w:val="22"/>
          <w:szCs w:val="22"/>
        </w:rPr>
        <w:t>their health and wellbeing (National Institute for Health and Care Excellence, 2021).</w:t>
      </w:r>
    </w:p>
    <w:p w14:paraId="4D119CB5" w14:textId="77777777" w:rsidR="00D11951" w:rsidRPr="003D7CAC" w:rsidRDefault="00D11951" w:rsidP="00D11951">
      <w:pPr>
        <w:spacing w:line="360" w:lineRule="auto"/>
        <w:rPr>
          <w:rFonts w:ascii="Arial" w:hAnsi="Arial" w:cs="Arial"/>
          <w:sz w:val="22"/>
          <w:szCs w:val="22"/>
        </w:rPr>
      </w:pPr>
      <w:r w:rsidRPr="003D7CAC">
        <w:rPr>
          <w:rFonts w:ascii="Arial" w:hAnsi="Arial" w:cs="Arial"/>
          <w:sz w:val="22"/>
          <w:szCs w:val="22"/>
        </w:rPr>
        <w:t xml:space="preserve"> When supporting older adults dealing with ongoing health needs, involving family members and caregivers in these decisions can lead to better adherence to treatment plans, enhance emotional support, and allow for care that adapts to their evolving needs. The development of Integrated Care Systems (ICSs) through the Health and Care Act 2022 has further bolstered collaboration among NHS organizations, local councils and community-based services, fostering integrated care and working to reduce health inequalities (Department of Health and Social Care, 2022; NHS England, 2023).</w:t>
      </w:r>
    </w:p>
    <w:p w14:paraId="37B5AB83" w14:textId="77777777" w:rsidR="00D11951" w:rsidRPr="003D7CAC" w:rsidRDefault="00D11951" w:rsidP="00D11951">
      <w:pPr>
        <w:spacing w:line="360" w:lineRule="auto"/>
        <w:rPr>
          <w:rFonts w:ascii="Arial" w:hAnsi="Arial" w:cs="Arial"/>
          <w:sz w:val="22"/>
          <w:szCs w:val="22"/>
        </w:rPr>
      </w:pPr>
      <w:r w:rsidRPr="003D7CAC">
        <w:rPr>
          <w:rFonts w:ascii="Arial" w:hAnsi="Arial" w:cs="Arial"/>
          <w:sz w:val="22"/>
          <w:szCs w:val="22"/>
        </w:rPr>
        <w:t xml:space="preserve"> However, despite its numerous advantages, partnership working can face challenges in community care. Variations in organizational priorities, communication hurdles, workforce shortages, limited funding, and the rising demand for services can all impact collaboration and diminish opportunities for joint care planning (Care Quality Commission, 2024; The King's Fund, 2023). </w:t>
      </w:r>
    </w:p>
    <w:p w14:paraId="4F819FAC" w14:textId="77777777" w:rsidR="00D11951" w:rsidRPr="003D7CAC" w:rsidRDefault="00D11951" w:rsidP="00D11951">
      <w:pPr>
        <w:spacing w:line="360" w:lineRule="auto"/>
        <w:rPr>
          <w:rFonts w:ascii="Arial" w:hAnsi="Arial" w:cs="Arial"/>
          <w:sz w:val="22"/>
          <w:szCs w:val="22"/>
        </w:rPr>
      </w:pPr>
      <w:r w:rsidRPr="003D7CAC">
        <w:rPr>
          <w:rFonts w:ascii="Arial" w:hAnsi="Arial" w:cs="Arial"/>
          <w:sz w:val="22"/>
          <w:szCs w:val="22"/>
        </w:rPr>
        <w:t xml:space="preserve">Additionally, information governance requirements can complicate information sharing when multiple organizations are involved. Nevertheless, by enhancing interprofessional communication, investing in workforce development, and promoting collaborative practices, we can improve partnership working and support more integrated, personalised care (Health and Care Professions Council, 2024). </w:t>
      </w:r>
    </w:p>
    <w:p w14:paraId="3AD77695" w14:textId="77777777" w:rsidR="00D11951" w:rsidRPr="003D7CAC" w:rsidRDefault="00D11951" w:rsidP="00D11951">
      <w:pPr>
        <w:spacing w:line="360" w:lineRule="auto"/>
        <w:rPr>
          <w:rFonts w:ascii="Arial" w:hAnsi="Arial" w:cs="Arial"/>
          <w:sz w:val="22"/>
          <w:szCs w:val="22"/>
        </w:rPr>
      </w:pPr>
      <w:r w:rsidRPr="003D7CAC">
        <w:rPr>
          <w:rFonts w:ascii="Arial" w:hAnsi="Arial" w:cs="Arial"/>
          <w:sz w:val="22"/>
          <w:szCs w:val="22"/>
        </w:rPr>
        <w:t>When practitioners work effectively across organizational boundaries, they can significantly improve health outcomes, promote independence, and improve older adults’ life quality in the community while managing chronic health challenges (Department of Health and Social Care, 2022; NHS England, 2024).</w:t>
      </w:r>
    </w:p>
    <w:p w14:paraId="76ECF796" w14:textId="77777777" w:rsidR="00D11951" w:rsidRPr="003D7CAC" w:rsidRDefault="00D11951" w:rsidP="00D11951">
      <w:pPr>
        <w:pStyle w:val="Heading2"/>
        <w:rPr>
          <w:rFonts w:ascii="Arial" w:hAnsi="Arial" w:cs="Arial"/>
        </w:rPr>
      </w:pPr>
      <w:bookmarkStart w:id="4" w:name="_Toc235703714"/>
      <w:r w:rsidRPr="003D7CAC">
        <w:rPr>
          <w:rFonts w:ascii="Arial" w:hAnsi="Arial" w:cs="Arial"/>
        </w:rPr>
        <w:lastRenderedPageBreak/>
        <w:t>Part 4: Recommendations</w:t>
      </w:r>
      <w:bookmarkEnd w:id="4"/>
    </w:p>
    <w:p w14:paraId="7BE31DF0" w14:textId="76C0B0ED" w:rsidR="00D11951" w:rsidRPr="003D7CAC" w:rsidRDefault="00D11951" w:rsidP="00D11951">
      <w:pPr>
        <w:spacing w:line="360" w:lineRule="auto"/>
        <w:rPr>
          <w:rFonts w:ascii="Arial" w:hAnsi="Arial" w:cs="Arial"/>
          <w:sz w:val="22"/>
          <w:szCs w:val="22"/>
        </w:rPr>
      </w:pPr>
      <w:r w:rsidRPr="003D7CAC">
        <w:rPr>
          <w:rFonts w:ascii="Arial" w:hAnsi="Arial" w:cs="Arial"/>
          <w:sz w:val="22"/>
          <w:szCs w:val="22"/>
        </w:rPr>
        <w:t>To enhance person-centred care and foster collaboration in community care for older adults living with ongoing health challenges, health and social care organizations need to keep pouring resources into workforce development</w:t>
      </w:r>
      <w:r w:rsidR="00A25E02">
        <w:rPr>
          <w:rFonts w:ascii="Arial" w:hAnsi="Arial" w:cs="Arial"/>
          <w:sz w:val="22"/>
          <w:szCs w:val="22"/>
        </w:rPr>
        <w:t xml:space="preserve"> (Department</w:t>
      </w:r>
      <w:r w:rsidR="00847128">
        <w:rPr>
          <w:rFonts w:ascii="Arial" w:hAnsi="Arial" w:cs="Arial"/>
          <w:sz w:val="22"/>
          <w:szCs w:val="22"/>
        </w:rPr>
        <w:t xml:space="preserve"> of Health and </w:t>
      </w:r>
      <w:r w:rsidR="00763664">
        <w:rPr>
          <w:rFonts w:ascii="Arial" w:hAnsi="Arial" w:cs="Arial"/>
          <w:sz w:val="22"/>
          <w:szCs w:val="22"/>
        </w:rPr>
        <w:t>Social Care, 2022</w:t>
      </w:r>
      <w:r w:rsidR="000F171A">
        <w:rPr>
          <w:rFonts w:ascii="Arial" w:hAnsi="Arial" w:cs="Arial"/>
          <w:sz w:val="22"/>
          <w:szCs w:val="22"/>
        </w:rPr>
        <w:t>).</w:t>
      </w:r>
      <w:r w:rsidRPr="003D7CAC">
        <w:rPr>
          <w:rFonts w:ascii="Arial" w:hAnsi="Arial" w:cs="Arial"/>
          <w:sz w:val="22"/>
          <w:szCs w:val="22"/>
        </w:rPr>
        <w:t xml:space="preserve"> Regular training and ongoing professional development can really boost practitioners' communication skills, cultural awareness, and their ability to provide personalized care, all while promoting effective teamwork across different disciplines (Health and Care Professions Council, 2024; McCormack and McCance, 2021). </w:t>
      </w:r>
    </w:p>
    <w:p w14:paraId="5300887B" w14:textId="77777777" w:rsidR="00D11951" w:rsidRPr="003D7CAC" w:rsidRDefault="00D11951" w:rsidP="00D11951">
      <w:pPr>
        <w:spacing w:line="360" w:lineRule="auto"/>
        <w:rPr>
          <w:rFonts w:ascii="Arial" w:hAnsi="Arial" w:cs="Arial"/>
          <w:sz w:val="22"/>
          <w:szCs w:val="22"/>
        </w:rPr>
      </w:pPr>
      <w:r w:rsidRPr="003D7CAC">
        <w:rPr>
          <w:rFonts w:ascii="Arial" w:hAnsi="Arial" w:cs="Arial"/>
          <w:sz w:val="22"/>
          <w:szCs w:val="22"/>
        </w:rPr>
        <w:t>Additionally, organizations should focus on strengthening secure digital systems to enhance communication and information sharing among community health, social care, and voluntary services, which is essential for achieving integrated care (Department of Health and Social Care, 2022; NHS England, 2023).</w:t>
      </w:r>
    </w:p>
    <w:p w14:paraId="5680C01B" w14:textId="77777777" w:rsidR="00D11951" w:rsidRPr="003D7CAC" w:rsidRDefault="00D11951" w:rsidP="00D11951">
      <w:pPr>
        <w:spacing w:line="360" w:lineRule="auto"/>
        <w:rPr>
          <w:rFonts w:ascii="Arial" w:hAnsi="Arial" w:cs="Arial"/>
          <w:sz w:val="22"/>
          <w:szCs w:val="22"/>
        </w:rPr>
      </w:pPr>
      <w:r w:rsidRPr="003D7CAC">
        <w:rPr>
          <w:rFonts w:ascii="Arial" w:hAnsi="Arial" w:cs="Arial"/>
          <w:sz w:val="22"/>
          <w:szCs w:val="22"/>
        </w:rPr>
        <w:t xml:space="preserve"> Moreover, encouraging closer working between the NHS organizations, local authorities, and voluntary groups can lead to better access to coordinated support, minimize service duplication, and help older adults maintain their independence at home,</w:t>
      </w:r>
      <w:r w:rsidRPr="003D7CAC">
        <w:rPr>
          <w:rFonts w:ascii="Arial" w:hAnsi="Arial" w:cs="Arial"/>
        </w:rPr>
        <w:t xml:space="preserve"> </w:t>
      </w:r>
      <w:r w:rsidRPr="003D7CAC">
        <w:rPr>
          <w:rFonts w:ascii="Arial" w:hAnsi="Arial" w:cs="Arial"/>
          <w:sz w:val="22"/>
          <w:szCs w:val="22"/>
        </w:rPr>
        <w:t>contributing to better health and enjoyable life qualities (Glasby and Dickinson, 2021; NHS England, 2024; Care Quality Commission, 2024).</w:t>
      </w:r>
    </w:p>
    <w:p w14:paraId="2456BB74" w14:textId="77777777" w:rsidR="00D11951" w:rsidRPr="003D7CAC" w:rsidRDefault="00D11951" w:rsidP="00D11951">
      <w:pPr>
        <w:pStyle w:val="Heading2"/>
        <w:rPr>
          <w:rFonts w:ascii="Arial" w:hAnsi="Arial" w:cs="Arial"/>
        </w:rPr>
      </w:pPr>
      <w:bookmarkStart w:id="5" w:name="_Toc235703715"/>
      <w:r w:rsidRPr="003D7CAC">
        <w:rPr>
          <w:rFonts w:ascii="Arial" w:hAnsi="Arial" w:cs="Arial"/>
        </w:rPr>
        <w:t>Conclusion</w:t>
      </w:r>
      <w:bookmarkEnd w:id="5"/>
    </w:p>
    <w:p w14:paraId="2E621D58" w14:textId="77777777" w:rsidR="00D11951" w:rsidRPr="003D7CAC" w:rsidRDefault="00D11951" w:rsidP="00D11951">
      <w:pPr>
        <w:spacing w:line="360" w:lineRule="auto"/>
        <w:rPr>
          <w:rFonts w:ascii="Arial" w:hAnsi="Arial" w:cs="Arial"/>
          <w:sz w:val="22"/>
          <w:szCs w:val="22"/>
        </w:rPr>
      </w:pPr>
      <w:r w:rsidRPr="003D7CAC">
        <w:rPr>
          <w:rFonts w:ascii="Arial" w:hAnsi="Arial" w:cs="Arial"/>
          <w:sz w:val="22"/>
          <w:szCs w:val="22"/>
        </w:rPr>
        <w:t>This report has shown that individualised care and collaborative working are essential for delivering effective community health and social care for older</w:t>
      </w:r>
      <w:r w:rsidRPr="003D7CAC">
        <w:rPr>
          <w:rFonts w:ascii="Arial" w:hAnsi="Arial" w:cs="Arial"/>
        </w:rPr>
        <w:t xml:space="preserve"> </w:t>
      </w:r>
      <w:r w:rsidRPr="003D7CAC">
        <w:rPr>
          <w:rFonts w:ascii="Arial" w:hAnsi="Arial" w:cs="Arial"/>
          <w:sz w:val="22"/>
          <w:szCs w:val="22"/>
        </w:rPr>
        <w:t>adults requiring ongoing healthcare support. Person-centred care promotes dignity, independence and involvement in decision-making, while partnership working enables coordinated support through collaboration among healthcare and social care providers (NICE, 2021; Department of Health and Social Care, 2022).</w:t>
      </w:r>
    </w:p>
    <w:p w14:paraId="4CD952D9" w14:textId="29B40FAB" w:rsidR="00D11951" w:rsidRPr="003D7CAC" w:rsidRDefault="00D11951" w:rsidP="00D11951">
      <w:pPr>
        <w:spacing w:line="360" w:lineRule="auto"/>
        <w:rPr>
          <w:rFonts w:ascii="Arial" w:hAnsi="Arial" w:cs="Arial"/>
          <w:b/>
          <w:bCs/>
          <w:sz w:val="22"/>
          <w:szCs w:val="22"/>
        </w:rPr>
      </w:pPr>
      <w:r w:rsidRPr="003D7CAC">
        <w:rPr>
          <w:rFonts w:ascii="Arial" w:hAnsi="Arial" w:cs="Arial"/>
          <w:sz w:val="22"/>
          <w:szCs w:val="22"/>
        </w:rPr>
        <w:t xml:space="preserve"> Despite ongoing challenges such as workforce shortages and limited resources, investing in practitioner development, stronger integrated working and effective digital technologies can enhance the quality of services and achieve better outcomes for people receiving community-based care (Department of Health and Social Care, 2022; Health and Care Professions Council, 2024)</w:t>
      </w:r>
    </w:p>
    <w:p w14:paraId="37ACC74D" w14:textId="77777777" w:rsidR="006A4B62" w:rsidRPr="008F7666" w:rsidRDefault="006A4B62" w:rsidP="008F7666">
      <w:pPr>
        <w:spacing w:line="360" w:lineRule="auto"/>
        <w:rPr>
          <w:rFonts w:ascii="Arial" w:hAnsi="Arial" w:cs="Arial"/>
          <w:b/>
          <w:bCs/>
          <w:sz w:val="22"/>
          <w:szCs w:val="22"/>
        </w:rPr>
      </w:pPr>
    </w:p>
    <w:p w14:paraId="50BA6E52" w14:textId="77777777" w:rsidR="006A4B62" w:rsidRPr="008F7666" w:rsidRDefault="006A4B62" w:rsidP="008F7666">
      <w:pPr>
        <w:spacing w:line="360" w:lineRule="auto"/>
        <w:rPr>
          <w:rFonts w:ascii="Arial" w:hAnsi="Arial" w:cs="Arial"/>
          <w:b/>
          <w:bCs/>
          <w:sz w:val="22"/>
          <w:szCs w:val="22"/>
        </w:rPr>
      </w:pPr>
    </w:p>
    <w:p w14:paraId="45850D5E" w14:textId="77777777" w:rsidR="006A4B62" w:rsidRPr="008F7666" w:rsidRDefault="006A4B62" w:rsidP="008F7666">
      <w:pPr>
        <w:spacing w:line="360" w:lineRule="auto"/>
        <w:rPr>
          <w:rFonts w:ascii="Arial" w:hAnsi="Arial" w:cs="Arial"/>
          <w:b/>
          <w:bCs/>
          <w:sz w:val="22"/>
          <w:szCs w:val="22"/>
        </w:rPr>
      </w:pPr>
    </w:p>
    <w:p w14:paraId="69A09EA6" w14:textId="77777777" w:rsidR="00F6782A" w:rsidRPr="008F7666" w:rsidRDefault="00F6782A" w:rsidP="008F7666">
      <w:pPr>
        <w:spacing w:line="360" w:lineRule="auto"/>
        <w:rPr>
          <w:rFonts w:ascii="Arial" w:hAnsi="Arial" w:cs="Arial"/>
          <w:b/>
          <w:bCs/>
          <w:sz w:val="22"/>
          <w:szCs w:val="22"/>
        </w:rPr>
      </w:pPr>
    </w:p>
    <w:p w14:paraId="1511997C" w14:textId="1A130A0C" w:rsidR="00105D7A" w:rsidRPr="004F13E9" w:rsidRDefault="00105D7A" w:rsidP="00174BF2">
      <w:pPr>
        <w:pStyle w:val="Heading2"/>
        <w:rPr>
          <w:rFonts w:ascii="Arial" w:hAnsi="Arial" w:cs="Arial"/>
        </w:rPr>
      </w:pPr>
      <w:bookmarkStart w:id="6" w:name="_Toc235703716"/>
      <w:r w:rsidRPr="004F13E9">
        <w:rPr>
          <w:rFonts w:ascii="Arial" w:hAnsi="Arial" w:cs="Arial"/>
        </w:rPr>
        <w:lastRenderedPageBreak/>
        <w:t>Reference</w:t>
      </w:r>
      <w:r w:rsidR="004A6952" w:rsidRPr="004F13E9">
        <w:rPr>
          <w:rFonts w:ascii="Arial" w:hAnsi="Arial" w:cs="Arial"/>
        </w:rPr>
        <w:t>s</w:t>
      </w:r>
      <w:bookmarkEnd w:id="6"/>
    </w:p>
    <w:p w14:paraId="2319B771" w14:textId="77777777" w:rsidR="00834FAC" w:rsidRPr="004F13E9" w:rsidRDefault="00834FAC" w:rsidP="008F7666">
      <w:pPr>
        <w:spacing w:line="360" w:lineRule="auto"/>
        <w:rPr>
          <w:rFonts w:ascii="Arial" w:hAnsi="Arial" w:cs="Arial"/>
          <w:sz w:val="22"/>
          <w:szCs w:val="22"/>
        </w:rPr>
      </w:pPr>
      <w:r w:rsidRPr="004F13E9">
        <w:rPr>
          <w:rFonts w:ascii="Arial" w:hAnsi="Arial" w:cs="Arial"/>
          <w:sz w:val="22"/>
          <w:szCs w:val="22"/>
        </w:rPr>
        <w:t xml:space="preserve">Beauchamp, T.L. and Childress, J.F. (2019) </w:t>
      </w:r>
      <w:r w:rsidRPr="004F13E9">
        <w:rPr>
          <w:rFonts w:ascii="Arial" w:hAnsi="Arial" w:cs="Arial"/>
          <w:i/>
          <w:iCs/>
          <w:sz w:val="22"/>
          <w:szCs w:val="22"/>
        </w:rPr>
        <w:t>Principles of Biomedical Ethics</w:t>
      </w:r>
      <w:r w:rsidRPr="004F13E9">
        <w:rPr>
          <w:rFonts w:ascii="Arial" w:hAnsi="Arial" w:cs="Arial"/>
          <w:sz w:val="22"/>
          <w:szCs w:val="22"/>
        </w:rPr>
        <w:t xml:space="preserve">. 8th </w:t>
      </w:r>
      <w:proofErr w:type="spellStart"/>
      <w:r w:rsidRPr="004F13E9">
        <w:rPr>
          <w:rFonts w:ascii="Arial" w:hAnsi="Arial" w:cs="Arial"/>
          <w:sz w:val="22"/>
          <w:szCs w:val="22"/>
        </w:rPr>
        <w:t>edn</w:t>
      </w:r>
      <w:proofErr w:type="spellEnd"/>
      <w:r w:rsidRPr="004F13E9">
        <w:rPr>
          <w:rFonts w:ascii="Arial" w:hAnsi="Arial" w:cs="Arial"/>
          <w:sz w:val="22"/>
          <w:szCs w:val="22"/>
        </w:rPr>
        <w:t>. New York: Oxford University Press.</w:t>
      </w:r>
    </w:p>
    <w:p w14:paraId="2C9F3162" w14:textId="77777777" w:rsidR="00834FAC" w:rsidRPr="004F13E9" w:rsidRDefault="00834FAC" w:rsidP="008F7666">
      <w:pPr>
        <w:spacing w:line="360" w:lineRule="auto"/>
        <w:rPr>
          <w:rFonts w:ascii="Arial" w:hAnsi="Arial" w:cs="Arial"/>
          <w:sz w:val="22"/>
          <w:szCs w:val="22"/>
        </w:rPr>
      </w:pPr>
      <w:r w:rsidRPr="004F13E9">
        <w:rPr>
          <w:rFonts w:ascii="Arial" w:hAnsi="Arial" w:cs="Arial"/>
          <w:sz w:val="22"/>
          <w:szCs w:val="22"/>
        </w:rPr>
        <w:t xml:space="preserve">Bronfenbrenner, U. (1979) </w:t>
      </w:r>
      <w:r w:rsidRPr="004F13E9">
        <w:rPr>
          <w:rFonts w:ascii="Arial" w:hAnsi="Arial" w:cs="Arial"/>
          <w:i/>
          <w:iCs/>
          <w:sz w:val="22"/>
          <w:szCs w:val="22"/>
        </w:rPr>
        <w:t>The Ecology of Human Development: Experiments by Nature and Design</w:t>
      </w:r>
      <w:r w:rsidRPr="004F13E9">
        <w:rPr>
          <w:rFonts w:ascii="Arial" w:hAnsi="Arial" w:cs="Arial"/>
          <w:sz w:val="22"/>
          <w:szCs w:val="22"/>
        </w:rPr>
        <w:t>. Cambridge, MA: Harvard University Press.</w:t>
      </w:r>
    </w:p>
    <w:p w14:paraId="72365371" w14:textId="77777777" w:rsidR="00834FAC" w:rsidRPr="004F13E9" w:rsidRDefault="00834FAC" w:rsidP="008F7666">
      <w:pPr>
        <w:spacing w:line="360" w:lineRule="auto"/>
        <w:rPr>
          <w:rFonts w:ascii="Arial" w:hAnsi="Arial" w:cs="Arial"/>
          <w:sz w:val="22"/>
          <w:szCs w:val="22"/>
        </w:rPr>
      </w:pPr>
      <w:r w:rsidRPr="004F13E9">
        <w:rPr>
          <w:rFonts w:ascii="Arial" w:hAnsi="Arial" w:cs="Arial"/>
          <w:sz w:val="22"/>
          <w:szCs w:val="22"/>
        </w:rPr>
        <w:t xml:space="preserve">Care Quality Commission (2024) </w:t>
      </w:r>
      <w:r w:rsidRPr="004F13E9">
        <w:rPr>
          <w:rFonts w:ascii="Arial" w:hAnsi="Arial" w:cs="Arial"/>
          <w:i/>
          <w:iCs/>
          <w:sz w:val="22"/>
          <w:szCs w:val="22"/>
        </w:rPr>
        <w:t>The State of Health Care and Adult Social Care in England 2023/24</w:t>
      </w:r>
      <w:r w:rsidRPr="004F13E9">
        <w:rPr>
          <w:rFonts w:ascii="Arial" w:hAnsi="Arial" w:cs="Arial"/>
          <w:sz w:val="22"/>
          <w:szCs w:val="22"/>
        </w:rPr>
        <w:t xml:space="preserve">. Newcastle upon Tyne: Care Quality Commission. Available at: </w:t>
      </w:r>
      <w:hyperlink r:id="rId6" w:history="1">
        <w:r w:rsidRPr="004F13E9">
          <w:rPr>
            <w:rStyle w:val="Hyperlink"/>
            <w:rFonts w:ascii="Arial" w:hAnsi="Arial" w:cs="Arial"/>
            <w:sz w:val="22"/>
            <w:szCs w:val="22"/>
          </w:rPr>
          <w:t>https://www.cqc.org.uk/publications/major-report/state-care</w:t>
        </w:r>
      </w:hyperlink>
      <w:r w:rsidRPr="004F13E9">
        <w:rPr>
          <w:rFonts w:ascii="Arial" w:hAnsi="Arial" w:cs="Arial"/>
          <w:sz w:val="22"/>
          <w:szCs w:val="22"/>
        </w:rPr>
        <w:t xml:space="preserve"> (Accessed: 20 July 2026).</w:t>
      </w:r>
    </w:p>
    <w:p w14:paraId="292C03E6" w14:textId="77777777" w:rsidR="00834FAC" w:rsidRPr="004F13E9" w:rsidRDefault="00834FAC" w:rsidP="008F7666">
      <w:pPr>
        <w:spacing w:line="360" w:lineRule="auto"/>
        <w:rPr>
          <w:rFonts w:ascii="Arial" w:hAnsi="Arial" w:cs="Arial"/>
          <w:sz w:val="22"/>
          <w:szCs w:val="22"/>
        </w:rPr>
      </w:pPr>
      <w:r w:rsidRPr="004F13E9">
        <w:rPr>
          <w:rFonts w:ascii="Arial" w:hAnsi="Arial" w:cs="Arial"/>
          <w:sz w:val="22"/>
          <w:szCs w:val="22"/>
        </w:rPr>
        <w:t xml:space="preserve">Department of Health and Social Care (2022) </w:t>
      </w:r>
      <w:r w:rsidRPr="004F13E9">
        <w:rPr>
          <w:rFonts w:ascii="Arial" w:hAnsi="Arial" w:cs="Arial"/>
          <w:i/>
          <w:iCs/>
          <w:sz w:val="22"/>
          <w:szCs w:val="22"/>
        </w:rPr>
        <w:t>Health and Care Act 2022</w:t>
      </w:r>
      <w:r w:rsidRPr="004F13E9">
        <w:rPr>
          <w:rFonts w:ascii="Arial" w:hAnsi="Arial" w:cs="Arial"/>
          <w:sz w:val="22"/>
          <w:szCs w:val="22"/>
        </w:rPr>
        <w:t xml:space="preserve">. London: The Stationery Office. Available at: </w:t>
      </w:r>
      <w:hyperlink r:id="rId7" w:history="1">
        <w:r w:rsidRPr="004F13E9">
          <w:rPr>
            <w:rStyle w:val="Hyperlink"/>
            <w:rFonts w:ascii="Arial" w:hAnsi="Arial" w:cs="Arial"/>
            <w:sz w:val="22"/>
            <w:szCs w:val="22"/>
          </w:rPr>
          <w:t>https://www.legislation.gov.uk/ukpga/2022/31</w:t>
        </w:r>
      </w:hyperlink>
      <w:r w:rsidRPr="004F13E9">
        <w:rPr>
          <w:rFonts w:ascii="Arial" w:hAnsi="Arial" w:cs="Arial"/>
          <w:sz w:val="22"/>
          <w:szCs w:val="22"/>
        </w:rPr>
        <w:t xml:space="preserve"> (Accessed: 20 July 2026).</w:t>
      </w:r>
    </w:p>
    <w:p w14:paraId="189E4D1F" w14:textId="77777777" w:rsidR="00834FAC" w:rsidRPr="004F13E9" w:rsidRDefault="00834FAC" w:rsidP="008F7666">
      <w:pPr>
        <w:spacing w:line="360" w:lineRule="auto"/>
        <w:rPr>
          <w:rFonts w:ascii="Arial" w:hAnsi="Arial" w:cs="Arial"/>
          <w:sz w:val="22"/>
          <w:szCs w:val="22"/>
        </w:rPr>
      </w:pPr>
      <w:r w:rsidRPr="004F13E9">
        <w:rPr>
          <w:rFonts w:ascii="Arial" w:hAnsi="Arial" w:cs="Arial"/>
          <w:sz w:val="22"/>
          <w:szCs w:val="22"/>
        </w:rPr>
        <w:t xml:space="preserve">Equality Act 2010 (c.15). London: The Stationery Office. Available at: </w:t>
      </w:r>
      <w:hyperlink r:id="rId8" w:history="1">
        <w:r w:rsidRPr="004F13E9">
          <w:rPr>
            <w:rStyle w:val="Hyperlink"/>
            <w:rFonts w:ascii="Arial" w:hAnsi="Arial" w:cs="Arial"/>
            <w:sz w:val="22"/>
            <w:szCs w:val="22"/>
          </w:rPr>
          <w:t>https://www.legislation.gov.uk/ukpga/2010/15</w:t>
        </w:r>
      </w:hyperlink>
      <w:r w:rsidRPr="004F13E9">
        <w:rPr>
          <w:rFonts w:ascii="Arial" w:hAnsi="Arial" w:cs="Arial"/>
          <w:sz w:val="22"/>
          <w:szCs w:val="22"/>
        </w:rPr>
        <w:t xml:space="preserve"> (Accessed: 20 July 2026).</w:t>
      </w:r>
    </w:p>
    <w:p w14:paraId="0C016B71" w14:textId="77777777" w:rsidR="00834FAC" w:rsidRPr="004F13E9" w:rsidRDefault="00834FAC" w:rsidP="008F7666">
      <w:pPr>
        <w:spacing w:line="360" w:lineRule="auto"/>
        <w:rPr>
          <w:rFonts w:ascii="Arial" w:hAnsi="Arial" w:cs="Arial"/>
          <w:sz w:val="22"/>
          <w:szCs w:val="22"/>
        </w:rPr>
      </w:pPr>
      <w:r w:rsidRPr="004F13E9">
        <w:rPr>
          <w:rFonts w:ascii="Arial" w:hAnsi="Arial" w:cs="Arial"/>
          <w:sz w:val="22"/>
          <w:szCs w:val="22"/>
        </w:rPr>
        <w:t xml:space="preserve">Glasby, J. and Dickinson, H. (2021) </w:t>
      </w:r>
      <w:r w:rsidRPr="004F13E9">
        <w:rPr>
          <w:rFonts w:ascii="Arial" w:hAnsi="Arial" w:cs="Arial"/>
          <w:i/>
          <w:iCs/>
          <w:sz w:val="22"/>
          <w:szCs w:val="22"/>
        </w:rPr>
        <w:t>Partnership Working in Health and Social Care</w:t>
      </w:r>
      <w:r w:rsidRPr="004F13E9">
        <w:rPr>
          <w:rFonts w:ascii="Arial" w:hAnsi="Arial" w:cs="Arial"/>
          <w:sz w:val="22"/>
          <w:szCs w:val="22"/>
        </w:rPr>
        <w:t xml:space="preserve">. 3rd </w:t>
      </w:r>
      <w:proofErr w:type="spellStart"/>
      <w:r w:rsidRPr="004F13E9">
        <w:rPr>
          <w:rFonts w:ascii="Arial" w:hAnsi="Arial" w:cs="Arial"/>
          <w:sz w:val="22"/>
          <w:szCs w:val="22"/>
        </w:rPr>
        <w:t>edn</w:t>
      </w:r>
      <w:proofErr w:type="spellEnd"/>
      <w:r w:rsidRPr="004F13E9">
        <w:rPr>
          <w:rFonts w:ascii="Arial" w:hAnsi="Arial" w:cs="Arial"/>
          <w:sz w:val="22"/>
          <w:szCs w:val="22"/>
        </w:rPr>
        <w:t>. Bristol: Policy Press.</w:t>
      </w:r>
    </w:p>
    <w:p w14:paraId="2D8384FA" w14:textId="77777777" w:rsidR="00834FAC" w:rsidRPr="004F13E9" w:rsidRDefault="00834FAC" w:rsidP="008F7666">
      <w:pPr>
        <w:spacing w:line="360" w:lineRule="auto"/>
        <w:rPr>
          <w:rFonts w:ascii="Arial" w:hAnsi="Arial" w:cs="Arial"/>
          <w:sz w:val="22"/>
          <w:szCs w:val="22"/>
        </w:rPr>
      </w:pPr>
      <w:r w:rsidRPr="004F13E9">
        <w:rPr>
          <w:rFonts w:ascii="Arial" w:hAnsi="Arial" w:cs="Arial"/>
          <w:sz w:val="22"/>
          <w:szCs w:val="22"/>
        </w:rPr>
        <w:t xml:space="preserve">Health and Care Professions Council (2024) </w:t>
      </w:r>
      <w:r w:rsidRPr="004F13E9">
        <w:rPr>
          <w:rFonts w:ascii="Arial" w:hAnsi="Arial" w:cs="Arial"/>
          <w:i/>
          <w:iCs/>
          <w:sz w:val="22"/>
          <w:szCs w:val="22"/>
        </w:rPr>
        <w:t>Standards of Conduct, Performance and Ethics</w:t>
      </w:r>
      <w:r w:rsidRPr="004F13E9">
        <w:rPr>
          <w:rFonts w:ascii="Arial" w:hAnsi="Arial" w:cs="Arial"/>
          <w:sz w:val="22"/>
          <w:szCs w:val="22"/>
        </w:rPr>
        <w:t xml:space="preserve">. London: HCPC. Available at: </w:t>
      </w:r>
      <w:hyperlink r:id="rId9" w:history="1">
        <w:r w:rsidRPr="004F13E9">
          <w:rPr>
            <w:rStyle w:val="Hyperlink"/>
            <w:rFonts w:ascii="Arial" w:hAnsi="Arial" w:cs="Arial"/>
            <w:sz w:val="22"/>
            <w:szCs w:val="22"/>
          </w:rPr>
          <w:t>https://www.hcpc-uk.org/standards/standards-of-conduct-performance-and-ethics/</w:t>
        </w:r>
      </w:hyperlink>
      <w:r w:rsidRPr="004F13E9">
        <w:rPr>
          <w:rFonts w:ascii="Arial" w:hAnsi="Arial" w:cs="Arial"/>
          <w:sz w:val="22"/>
          <w:szCs w:val="22"/>
        </w:rPr>
        <w:t xml:space="preserve"> (Accessed: 20 July 2026).</w:t>
      </w:r>
    </w:p>
    <w:p w14:paraId="299123C4" w14:textId="77777777" w:rsidR="00834FAC" w:rsidRPr="004F13E9" w:rsidRDefault="00834FAC" w:rsidP="008F7666">
      <w:pPr>
        <w:spacing w:line="360" w:lineRule="auto"/>
        <w:rPr>
          <w:rFonts w:ascii="Arial" w:hAnsi="Arial" w:cs="Arial"/>
          <w:sz w:val="22"/>
          <w:szCs w:val="22"/>
        </w:rPr>
      </w:pPr>
      <w:r w:rsidRPr="004F13E9">
        <w:rPr>
          <w:rFonts w:ascii="Arial" w:hAnsi="Arial" w:cs="Arial"/>
          <w:sz w:val="22"/>
          <w:szCs w:val="22"/>
        </w:rPr>
        <w:t xml:space="preserve">Human Rights Act 1998 (c.42). London: The Stationery Office. Available at: </w:t>
      </w:r>
      <w:hyperlink r:id="rId10" w:history="1">
        <w:r w:rsidRPr="004F13E9">
          <w:rPr>
            <w:rStyle w:val="Hyperlink"/>
            <w:rFonts w:ascii="Arial" w:hAnsi="Arial" w:cs="Arial"/>
            <w:sz w:val="22"/>
            <w:szCs w:val="22"/>
          </w:rPr>
          <w:t>https://www.legislation.gov.uk/ukpga/1998/42</w:t>
        </w:r>
      </w:hyperlink>
      <w:r w:rsidRPr="004F13E9">
        <w:rPr>
          <w:rFonts w:ascii="Arial" w:hAnsi="Arial" w:cs="Arial"/>
          <w:sz w:val="22"/>
          <w:szCs w:val="22"/>
        </w:rPr>
        <w:t xml:space="preserve"> (Accessed: 20 July 2026).</w:t>
      </w:r>
    </w:p>
    <w:p w14:paraId="4015F1D7" w14:textId="77777777" w:rsidR="00834FAC" w:rsidRPr="004F13E9" w:rsidRDefault="00834FAC" w:rsidP="008F7666">
      <w:pPr>
        <w:spacing w:line="360" w:lineRule="auto"/>
        <w:rPr>
          <w:rFonts w:ascii="Arial" w:hAnsi="Arial" w:cs="Arial"/>
          <w:sz w:val="22"/>
          <w:szCs w:val="22"/>
        </w:rPr>
      </w:pPr>
      <w:r w:rsidRPr="004F13E9">
        <w:rPr>
          <w:rFonts w:ascii="Arial" w:hAnsi="Arial" w:cs="Arial"/>
          <w:sz w:val="22"/>
          <w:szCs w:val="22"/>
        </w:rPr>
        <w:t xml:space="preserve">McCance, T. and McCormack, B. (2025) ‘The Person-centred Nursing Framework: A mid-range theory for nursing practice’, </w:t>
      </w:r>
      <w:r w:rsidRPr="004F13E9">
        <w:rPr>
          <w:rFonts w:ascii="Arial" w:hAnsi="Arial" w:cs="Arial"/>
          <w:i/>
          <w:iCs/>
          <w:sz w:val="22"/>
          <w:szCs w:val="22"/>
        </w:rPr>
        <w:t>Journal of Research in Nursing</w:t>
      </w:r>
      <w:r w:rsidRPr="004F13E9">
        <w:rPr>
          <w:rFonts w:ascii="Arial" w:hAnsi="Arial" w:cs="Arial"/>
          <w:sz w:val="22"/>
          <w:szCs w:val="22"/>
        </w:rPr>
        <w:t xml:space="preserve">, </w:t>
      </w:r>
      <w:r w:rsidRPr="004F13E9">
        <w:rPr>
          <w:rFonts w:ascii="Arial" w:hAnsi="Arial" w:cs="Arial"/>
          <w:b/>
          <w:bCs/>
          <w:sz w:val="22"/>
          <w:szCs w:val="22"/>
        </w:rPr>
        <w:t>30</w:t>
      </w:r>
      <w:r w:rsidRPr="004F13E9">
        <w:rPr>
          <w:rFonts w:ascii="Arial" w:hAnsi="Arial" w:cs="Arial"/>
          <w:sz w:val="22"/>
          <w:szCs w:val="22"/>
        </w:rPr>
        <w:t>(1), pp. 47–60. doi:10.1177/17449871241281428.</w:t>
      </w:r>
    </w:p>
    <w:p w14:paraId="24EBA491" w14:textId="77777777" w:rsidR="00834FAC" w:rsidRPr="004F13E9" w:rsidRDefault="00834FAC" w:rsidP="008F7666">
      <w:pPr>
        <w:spacing w:line="360" w:lineRule="auto"/>
        <w:rPr>
          <w:rFonts w:ascii="Arial" w:hAnsi="Arial" w:cs="Arial"/>
          <w:sz w:val="22"/>
          <w:szCs w:val="22"/>
        </w:rPr>
      </w:pPr>
      <w:r w:rsidRPr="004F13E9">
        <w:rPr>
          <w:rFonts w:ascii="Arial" w:hAnsi="Arial" w:cs="Arial"/>
          <w:sz w:val="22"/>
          <w:szCs w:val="22"/>
        </w:rPr>
        <w:t xml:space="preserve">McCormack, B. and McCance, T. (2021) </w:t>
      </w:r>
      <w:r w:rsidRPr="004F13E9">
        <w:rPr>
          <w:rFonts w:ascii="Arial" w:hAnsi="Arial" w:cs="Arial"/>
          <w:i/>
          <w:iCs/>
          <w:sz w:val="22"/>
          <w:szCs w:val="22"/>
        </w:rPr>
        <w:t>Person-Centred Practice in Nursing and Health Care: Theory and Practice</w:t>
      </w:r>
      <w:r w:rsidRPr="004F13E9">
        <w:rPr>
          <w:rFonts w:ascii="Arial" w:hAnsi="Arial" w:cs="Arial"/>
          <w:sz w:val="22"/>
          <w:szCs w:val="22"/>
        </w:rPr>
        <w:t xml:space="preserve">. 3rd </w:t>
      </w:r>
      <w:proofErr w:type="spellStart"/>
      <w:r w:rsidRPr="004F13E9">
        <w:rPr>
          <w:rFonts w:ascii="Arial" w:hAnsi="Arial" w:cs="Arial"/>
          <w:sz w:val="22"/>
          <w:szCs w:val="22"/>
        </w:rPr>
        <w:t>edn</w:t>
      </w:r>
      <w:proofErr w:type="spellEnd"/>
      <w:r w:rsidRPr="004F13E9">
        <w:rPr>
          <w:rFonts w:ascii="Arial" w:hAnsi="Arial" w:cs="Arial"/>
          <w:sz w:val="22"/>
          <w:szCs w:val="22"/>
        </w:rPr>
        <w:t>. Oxford: Wiley-Blackwell.</w:t>
      </w:r>
    </w:p>
    <w:p w14:paraId="7F1511E2" w14:textId="77777777" w:rsidR="00834FAC" w:rsidRPr="004F13E9" w:rsidRDefault="00834FAC" w:rsidP="008F7666">
      <w:pPr>
        <w:spacing w:line="360" w:lineRule="auto"/>
        <w:rPr>
          <w:rFonts w:ascii="Arial" w:hAnsi="Arial" w:cs="Arial"/>
          <w:sz w:val="22"/>
          <w:szCs w:val="22"/>
        </w:rPr>
      </w:pPr>
      <w:r w:rsidRPr="004F13E9">
        <w:rPr>
          <w:rFonts w:ascii="Arial" w:hAnsi="Arial" w:cs="Arial"/>
          <w:sz w:val="22"/>
          <w:szCs w:val="22"/>
        </w:rPr>
        <w:t xml:space="preserve">National Institute for Health and Care Excellence (2021) </w:t>
      </w:r>
      <w:r w:rsidRPr="004F13E9">
        <w:rPr>
          <w:rFonts w:ascii="Arial" w:hAnsi="Arial" w:cs="Arial"/>
          <w:i/>
          <w:iCs/>
          <w:sz w:val="22"/>
          <w:szCs w:val="22"/>
        </w:rPr>
        <w:t>Shared Decision Making</w:t>
      </w:r>
      <w:r w:rsidRPr="004F13E9">
        <w:rPr>
          <w:rFonts w:ascii="Arial" w:hAnsi="Arial" w:cs="Arial"/>
          <w:sz w:val="22"/>
          <w:szCs w:val="22"/>
        </w:rPr>
        <w:t xml:space="preserve">. NICE Guideline NG197. London: NICE. Available at: </w:t>
      </w:r>
      <w:hyperlink r:id="rId11" w:history="1">
        <w:r w:rsidRPr="004F13E9">
          <w:rPr>
            <w:rStyle w:val="Hyperlink"/>
            <w:rFonts w:ascii="Arial" w:hAnsi="Arial" w:cs="Arial"/>
            <w:sz w:val="22"/>
            <w:szCs w:val="22"/>
          </w:rPr>
          <w:t>https://www.nice.org.uk/guidance/ng197</w:t>
        </w:r>
      </w:hyperlink>
      <w:r w:rsidRPr="004F13E9">
        <w:rPr>
          <w:rFonts w:ascii="Arial" w:hAnsi="Arial" w:cs="Arial"/>
          <w:sz w:val="22"/>
          <w:szCs w:val="22"/>
        </w:rPr>
        <w:t xml:space="preserve"> (Accessed: 20 July 2026).</w:t>
      </w:r>
    </w:p>
    <w:p w14:paraId="665C08AE" w14:textId="77777777" w:rsidR="00834FAC" w:rsidRPr="004F13E9" w:rsidRDefault="00834FAC" w:rsidP="008F7666">
      <w:pPr>
        <w:spacing w:line="360" w:lineRule="auto"/>
        <w:rPr>
          <w:rFonts w:ascii="Arial" w:hAnsi="Arial" w:cs="Arial"/>
          <w:sz w:val="22"/>
          <w:szCs w:val="22"/>
        </w:rPr>
      </w:pPr>
      <w:r w:rsidRPr="004F13E9">
        <w:rPr>
          <w:rFonts w:ascii="Arial" w:hAnsi="Arial" w:cs="Arial"/>
          <w:sz w:val="22"/>
          <w:szCs w:val="22"/>
        </w:rPr>
        <w:t xml:space="preserve">NHS England (2023) </w:t>
      </w:r>
      <w:r w:rsidRPr="004F13E9">
        <w:rPr>
          <w:rFonts w:ascii="Arial" w:hAnsi="Arial" w:cs="Arial"/>
          <w:i/>
          <w:iCs/>
          <w:sz w:val="22"/>
          <w:szCs w:val="22"/>
        </w:rPr>
        <w:t>Integrated Care Systems: Design Framework</w:t>
      </w:r>
      <w:r w:rsidRPr="004F13E9">
        <w:rPr>
          <w:rFonts w:ascii="Arial" w:hAnsi="Arial" w:cs="Arial"/>
          <w:sz w:val="22"/>
          <w:szCs w:val="22"/>
        </w:rPr>
        <w:t xml:space="preserve">. London: NHS England. Available at: </w:t>
      </w:r>
      <w:hyperlink r:id="rId12" w:history="1">
        <w:r w:rsidRPr="004F13E9">
          <w:rPr>
            <w:rStyle w:val="Hyperlink"/>
            <w:rFonts w:ascii="Arial" w:hAnsi="Arial" w:cs="Arial"/>
            <w:sz w:val="22"/>
            <w:szCs w:val="22"/>
          </w:rPr>
          <w:t>https://www.england.nhs.uk/integratedcare/what-is-integrated-care/</w:t>
        </w:r>
      </w:hyperlink>
      <w:r w:rsidRPr="004F13E9">
        <w:rPr>
          <w:rFonts w:ascii="Arial" w:hAnsi="Arial" w:cs="Arial"/>
          <w:sz w:val="22"/>
          <w:szCs w:val="22"/>
        </w:rPr>
        <w:t xml:space="preserve"> (Accessed: 20 July 2026).</w:t>
      </w:r>
    </w:p>
    <w:p w14:paraId="73C5E588" w14:textId="77777777" w:rsidR="00834FAC" w:rsidRPr="004F13E9" w:rsidRDefault="00834FAC" w:rsidP="008F7666">
      <w:pPr>
        <w:spacing w:line="360" w:lineRule="auto"/>
        <w:rPr>
          <w:rFonts w:ascii="Arial" w:hAnsi="Arial" w:cs="Arial"/>
          <w:sz w:val="22"/>
          <w:szCs w:val="22"/>
        </w:rPr>
      </w:pPr>
      <w:r w:rsidRPr="004F13E9">
        <w:rPr>
          <w:rFonts w:ascii="Arial" w:hAnsi="Arial" w:cs="Arial"/>
          <w:sz w:val="22"/>
          <w:szCs w:val="22"/>
        </w:rPr>
        <w:lastRenderedPageBreak/>
        <w:t xml:space="preserve">NHS England (2024) </w:t>
      </w:r>
      <w:r w:rsidRPr="004F13E9">
        <w:rPr>
          <w:rFonts w:ascii="Arial" w:hAnsi="Arial" w:cs="Arial"/>
          <w:i/>
          <w:iCs/>
          <w:sz w:val="22"/>
          <w:szCs w:val="22"/>
        </w:rPr>
        <w:t>Universal Personalised Care</w:t>
      </w:r>
      <w:r w:rsidRPr="004F13E9">
        <w:rPr>
          <w:rFonts w:ascii="Arial" w:hAnsi="Arial" w:cs="Arial"/>
          <w:sz w:val="22"/>
          <w:szCs w:val="22"/>
        </w:rPr>
        <w:t xml:space="preserve">. London: NHS England. Available at: </w:t>
      </w:r>
      <w:hyperlink r:id="rId13" w:history="1">
        <w:r w:rsidRPr="004F13E9">
          <w:rPr>
            <w:rStyle w:val="Hyperlink"/>
            <w:rFonts w:ascii="Arial" w:hAnsi="Arial" w:cs="Arial"/>
            <w:sz w:val="22"/>
            <w:szCs w:val="22"/>
          </w:rPr>
          <w:t>https://www.england.nhs.uk/personalisedcare/</w:t>
        </w:r>
      </w:hyperlink>
      <w:r w:rsidRPr="004F13E9">
        <w:rPr>
          <w:rFonts w:ascii="Arial" w:hAnsi="Arial" w:cs="Arial"/>
          <w:sz w:val="22"/>
          <w:szCs w:val="22"/>
        </w:rPr>
        <w:t xml:space="preserve"> (Accessed: 20 July 2026).</w:t>
      </w:r>
    </w:p>
    <w:p w14:paraId="0A0388F2" w14:textId="77777777" w:rsidR="00834FAC" w:rsidRPr="004F13E9" w:rsidRDefault="00834FAC" w:rsidP="008F7666">
      <w:pPr>
        <w:spacing w:line="360" w:lineRule="auto"/>
        <w:rPr>
          <w:rFonts w:ascii="Arial" w:hAnsi="Arial" w:cs="Arial"/>
          <w:sz w:val="22"/>
          <w:szCs w:val="22"/>
        </w:rPr>
      </w:pPr>
      <w:r w:rsidRPr="004F13E9">
        <w:rPr>
          <w:rFonts w:ascii="Arial" w:hAnsi="Arial" w:cs="Arial"/>
          <w:sz w:val="22"/>
          <w:szCs w:val="22"/>
        </w:rPr>
        <w:t xml:space="preserve">Royal College of Nursing (2024) </w:t>
      </w:r>
      <w:r w:rsidRPr="004F13E9">
        <w:rPr>
          <w:rFonts w:ascii="Arial" w:hAnsi="Arial" w:cs="Arial"/>
          <w:i/>
          <w:iCs/>
          <w:sz w:val="22"/>
          <w:szCs w:val="22"/>
        </w:rPr>
        <w:t>Principles of Nursing Practice</w:t>
      </w:r>
      <w:r w:rsidRPr="004F13E9">
        <w:rPr>
          <w:rFonts w:ascii="Arial" w:hAnsi="Arial" w:cs="Arial"/>
          <w:sz w:val="22"/>
          <w:szCs w:val="22"/>
        </w:rPr>
        <w:t xml:space="preserve">. London: Royal College of Nursing. Available at: </w:t>
      </w:r>
      <w:hyperlink r:id="rId14" w:history="1">
        <w:r w:rsidRPr="004F13E9">
          <w:rPr>
            <w:rStyle w:val="Hyperlink"/>
            <w:rFonts w:ascii="Arial" w:hAnsi="Arial" w:cs="Arial"/>
            <w:sz w:val="22"/>
            <w:szCs w:val="22"/>
          </w:rPr>
          <w:t>https://www.rcn.org.uk/professional-development/principles-of-nursing-practice</w:t>
        </w:r>
      </w:hyperlink>
      <w:r w:rsidRPr="004F13E9">
        <w:rPr>
          <w:rFonts w:ascii="Arial" w:hAnsi="Arial" w:cs="Arial"/>
          <w:sz w:val="22"/>
          <w:szCs w:val="22"/>
        </w:rPr>
        <w:t xml:space="preserve"> (Accessed: 20 July 2026).</w:t>
      </w:r>
    </w:p>
    <w:p w14:paraId="44A96D2D" w14:textId="77777777" w:rsidR="00834FAC" w:rsidRPr="004F13E9" w:rsidRDefault="00834FAC" w:rsidP="008F7666">
      <w:pPr>
        <w:spacing w:line="360" w:lineRule="auto"/>
        <w:rPr>
          <w:rFonts w:ascii="Arial" w:hAnsi="Arial" w:cs="Arial"/>
          <w:sz w:val="22"/>
          <w:szCs w:val="22"/>
        </w:rPr>
      </w:pPr>
      <w:r w:rsidRPr="004F13E9">
        <w:rPr>
          <w:rFonts w:ascii="Arial" w:hAnsi="Arial" w:cs="Arial"/>
          <w:sz w:val="22"/>
          <w:szCs w:val="22"/>
        </w:rPr>
        <w:t xml:space="preserve">The King's Fund (2023) </w:t>
      </w:r>
      <w:r w:rsidRPr="004F13E9">
        <w:rPr>
          <w:rFonts w:ascii="Arial" w:hAnsi="Arial" w:cs="Arial"/>
          <w:i/>
          <w:iCs/>
          <w:sz w:val="22"/>
          <w:szCs w:val="22"/>
        </w:rPr>
        <w:t>The Health and Care Workforce in England</w:t>
      </w:r>
      <w:r w:rsidRPr="004F13E9">
        <w:rPr>
          <w:rFonts w:ascii="Arial" w:hAnsi="Arial" w:cs="Arial"/>
          <w:sz w:val="22"/>
          <w:szCs w:val="22"/>
        </w:rPr>
        <w:t xml:space="preserve">. London: The King's Fund. Available at: </w:t>
      </w:r>
      <w:hyperlink r:id="rId15" w:history="1">
        <w:r w:rsidRPr="004F13E9">
          <w:rPr>
            <w:rStyle w:val="Hyperlink"/>
            <w:rFonts w:ascii="Arial" w:hAnsi="Arial" w:cs="Arial"/>
            <w:sz w:val="22"/>
            <w:szCs w:val="22"/>
          </w:rPr>
          <w:t>https://www.kingsfund.org.uk/</w:t>
        </w:r>
      </w:hyperlink>
      <w:r w:rsidRPr="004F13E9">
        <w:rPr>
          <w:rFonts w:ascii="Arial" w:hAnsi="Arial" w:cs="Arial"/>
          <w:sz w:val="22"/>
          <w:szCs w:val="22"/>
        </w:rPr>
        <w:t xml:space="preserve"> (Accessed: 20 July 2026).</w:t>
      </w:r>
    </w:p>
    <w:p w14:paraId="32CE3935" w14:textId="77777777" w:rsidR="00834FAC" w:rsidRPr="004F13E9" w:rsidRDefault="00834FAC" w:rsidP="004F13E9">
      <w:pPr>
        <w:spacing w:line="360" w:lineRule="auto"/>
        <w:jc w:val="both"/>
        <w:rPr>
          <w:rFonts w:ascii="Arial" w:hAnsi="Arial" w:cs="Arial"/>
          <w:sz w:val="22"/>
          <w:szCs w:val="22"/>
        </w:rPr>
      </w:pPr>
      <w:r w:rsidRPr="004F13E9">
        <w:rPr>
          <w:rFonts w:ascii="Arial" w:hAnsi="Arial" w:cs="Arial"/>
          <w:sz w:val="22"/>
          <w:szCs w:val="22"/>
        </w:rPr>
        <w:t xml:space="preserve">The Stationery Office (2014) </w:t>
      </w:r>
      <w:r w:rsidRPr="004F13E9">
        <w:rPr>
          <w:rFonts w:ascii="Arial" w:hAnsi="Arial" w:cs="Arial"/>
          <w:i/>
          <w:iCs/>
          <w:sz w:val="22"/>
          <w:szCs w:val="22"/>
        </w:rPr>
        <w:t>Care Act 2014</w:t>
      </w:r>
      <w:r w:rsidRPr="004F13E9">
        <w:rPr>
          <w:rFonts w:ascii="Arial" w:hAnsi="Arial" w:cs="Arial"/>
          <w:sz w:val="22"/>
          <w:szCs w:val="22"/>
        </w:rPr>
        <w:t xml:space="preserve"> (c.23). London: The Stationery Office. Available at: </w:t>
      </w:r>
      <w:hyperlink r:id="rId16" w:history="1">
        <w:r w:rsidRPr="004F13E9">
          <w:rPr>
            <w:rStyle w:val="Hyperlink"/>
            <w:rFonts w:ascii="Arial" w:hAnsi="Arial" w:cs="Arial"/>
            <w:sz w:val="22"/>
            <w:szCs w:val="22"/>
          </w:rPr>
          <w:t>https://www.legislation.gov.uk/ukpga/2014/23</w:t>
        </w:r>
      </w:hyperlink>
      <w:r w:rsidRPr="004F13E9">
        <w:rPr>
          <w:rFonts w:ascii="Arial" w:hAnsi="Arial" w:cs="Arial"/>
          <w:sz w:val="22"/>
          <w:szCs w:val="22"/>
        </w:rPr>
        <w:t xml:space="preserve"> (Accessed: 20 July 2026).</w:t>
      </w:r>
    </w:p>
    <w:p w14:paraId="5991999F" w14:textId="77777777" w:rsidR="00967B1F" w:rsidRDefault="00967B1F"/>
    <w:p w14:paraId="61A8ACDF" w14:textId="77777777" w:rsidR="00967B1F" w:rsidRDefault="00967B1F"/>
    <w:sectPr w:rsidR="00967B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B1F"/>
    <w:rsid w:val="000147C9"/>
    <w:rsid w:val="000213BF"/>
    <w:rsid w:val="00025473"/>
    <w:rsid w:val="00025DF6"/>
    <w:rsid w:val="000300F5"/>
    <w:rsid w:val="00030C01"/>
    <w:rsid w:val="00053FAF"/>
    <w:rsid w:val="00062E25"/>
    <w:rsid w:val="00062F5D"/>
    <w:rsid w:val="00066220"/>
    <w:rsid w:val="0006678A"/>
    <w:rsid w:val="00081D31"/>
    <w:rsid w:val="00082AC1"/>
    <w:rsid w:val="00087EAE"/>
    <w:rsid w:val="000909D9"/>
    <w:rsid w:val="000956F0"/>
    <w:rsid w:val="000A0236"/>
    <w:rsid w:val="000A08F3"/>
    <w:rsid w:val="000A2102"/>
    <w:rsid w:val="000A40FC"/>
    <w:rsid w:val="000A6FCF"/>
    <w:rsid w:val="000B6A71"/>
    <w:rsid w:val="000C4652"/>
    <w:rsid w:val="000D335A"/>
    <w:rsid w:val="000D75F3"/>
    <w:rsid w:val="000E3887"/>
    <w:rsid w:val="000F171A"/>
    <w:rsid w:val="0010486E"/>
    <w:rsid w:val="00105D7A"/>
    <w:rsid w:val="00112B46"/>
    <w:rsid w:val="001130B2"/>
    <w:rsid w:val="0012630A"/>
    <w:rsid w:val="00130206"/>
    <w:rsid w:val="001357A4"/>
    <w:rsid w:val="00137C87"/>
    <w:rsid w:val="00140D78"/>
    <w:rsid w:val="001428F4"/>
    <w:rsid w:val="001436E1"/>
    <w:rsid w:val="00144D91"/>
    <w:rsid w:val="001474F7"/>
    <w:rsid w:val="00154834"/>
    <w:rsid w:val="00154962"/>
    <w:rsid w:val="00170A54"/>
    <w:rsid w:val="00174BF2"/>
    <w:rsid w:val="001772AC"/>
    <w:rsid w:val="00190559"/>
    <w:rsid w:val="00191AF4"/>
    <w:rsid w:val="0019641B"/>
    <w:rsid w:val="001A4F2B"/>
    <w:rsid w:val="001A6133"/>
    <w:rsid w:val="001B535B"/>
    <w:rsid w:val="001C23AA"/>
    <w:rsid w:val="001C69BE"/>
    <w:rsid w:val="001D48D5"/>
    <w:rsid w:val="001E1FBB"/>
    <w:rsid w:val="001E4A68"/>
    <w:rsid w:val="001E5007"/>
    <w:rsid w:val="001E61F7"/>
    <w:rsid w:val="001F050D"/>
    <w:rsid w:val="001F3971"/>
    <w:rsid w:val="001F6400"/>
    <w:rsid w:val="00202DFA"/>
    <w:rsid w:val="00207D0E"/>
    <w:rsid w:val="00214B2C"/>
    <w:rsid w:val="00216C60"/>
    <w:rsid w:val="0022163F"/>
    <w:rsid w:val="0023092B"/>
    <w:rsid w:val="0023437E"/>
    <w:rsid w:val="002440C6"/>
    <w:rsid w:val="00261C98"/>
    <w:rsid w:val="00262AE3"/>
    <w:rsid w:val="00265C83"/>
    <w:rsid w:val="0026690E"/>
    <w:rsid w:val="002724AD"/>
    <w:rsid w:val="00272A4F"/>
    <w:rsid w:val="002748B6"/>
    <w:rsid w:val="002756D2"/>
    <w:rsid w:val="0027595B"/>
    <w:rsid w:val="00277A90"/>
    <w:rsid w:val="00281F9B"/>
    <w:rsid w:val="002833B5"/>
    <w:rsid w:val="00285444"/>
    <w:rsid w:val="0029181E"/>
    <w:rsid w:val="0029663C"/>
    <w:rsid w:val="002A6013"/>
    <w:rsid w:val="002B53E9"/>
    <w:rsid w:val="002B7F2F"/>
    <w:rsid w:val="002C01A4"/>
    <w:rsid w:val="002C4A7D"/>
    <w:rsid w:val="002D1FA9"/>
    <w:rsid w:val="002E2F15"/>
    <w:rsid w:val="00303356"/>
    <w:rsid w:val="00304F39"/>
    <w:rsid w:val="003224F1"/>
    <w:rsid w:val="00322D9B"/>
    <w:rsid w:val="00330AE4"/>
    <w:rsid w:val="00345AB0"/>
    <w:rsid w:val="00352E7A"/>
    <w:rsid w:val="00361AD0"/>
    <w:rsid w:val="00364F16"/>
    <w:rsid w:val="0037547A"/>
    <w:rsid w:val="003811B6"/>
    <w:rsid w:val="00383C27"/>
    <w:rsid w:val="00390EAD"/>
    <w:rsid w:val="003921E0"/>
    <w:rsid w:val="00395B50"/>
    <w:rsid w:val="003965A0"/>
    <w:rsid w:val="003A19CD"/>
    <w:rsid w:val="003B5E8C"/>
    <w:rsid w:val="003C695A"/>
    <w:rsid w:val="003C6A2D"/>
    <w:rsid w:val="003D7CAC"/>
    <w:rsid w:val="003E1138"/>
    <w:rsid w:val="003E7729"/>
    <w:rsid w:val="003F075B"/>
    <w:rsid w:val="003F3542"/>
    <w:rsid w:val="00403FD0"/>
    <w:rsid w:val="00405E7B"/>
    <w:rsid w:val="0040702C"/>
    <w:rsid w:val="0041009E"/>
    <w:rsid w:val="00423DEF"/>
    <w:rsid w:val="00424CA6"/>
    <w:rsid w:val="004371DF"/>
    <w:rsid w:val="00446895"/>
    <w:rsid w:val="0045075B"/>
    <w:rsid w:val="004575BF"/>
    <w:rsid w:val="00464F81"/>
    <w:rsid w:val="00466ED6"/>
    <w:rsid w:val="00467F56"/>
    <w:rsid w:val="0047574C"/>
    <w:rsid w:val="004826B8"/>
    <w:rsid w:val="0048736F"/>
    <w:rsid w:val="004919FE"/>
    <w:rsid w:val="00494B0F"/>
    <w:rsid w:val="004A0D39"/>
    <w:rsid w:val="004A14BD"/>
    <w:rsid w:val="004A2942"/>
    <w:rsid w:val="004A6952"/>
    <w:rsid w:val="004C25B9"/>
    <w:rsid w:val="004C29C8"/>
    <w:rsid w:val="004D2D25"/>
    <w:rsid w:val="004D370F"/>
    <w:rsid w:val="004E2925"/>
    <w:rsid w:val="004F01DD"/>
    <w:rsid w:val="004F13E9"/>
    <w:rsid w:val="004F2A15"/>
    <w:rsid w:val="004F7095"/>
    <w:rsid w:val="005020DE"/>
    <w:rsid w:val="00503129"/>
    <w:rsid w:val="0051303E"/>
    <w:rsid w:val="00514167"/>
    <w:rsid w:val="00534A62"/>
    <w:rsid w:val="005374DD"/>
    <w:rsid w:val="005555DB"/>
    <w:rsid w:val="00555FF3"/>
    <w:rsid w:val="00561E82"/>
    <w:rsid w:val="00565280"/>
    <w:rsid w:val="005724E1"/>
    <w:rsid w:val="0057546F"/>
    <w:rsid w:val="00586C92"/>
    <w:rsid w:val="00593EE5"/>
    <w:rsid w:val="00593FF7"/>
    <w:rsid w:val="005A0E0B"/>
    <w:rsid w:val="005A258A"/>
    <w:rsid w:val="005C0E29"/>
    <w:rsid w:val="005C1E34"/>
    <w:rsid w:val="005C39B5"/>
    <w:rsid w:val="005C74F2"/>
    <w:rsid w:val="005D0C85"/>
    <w:rsid w:val="005D2C8C"/>
    <w:rsid w:val="005D3292"/>
    <w:rsid w:val="005D377E"/>
    <w:rsid w:val="005E2EED"/>
    <w:rsid w:val="005F0685"/>
    <w:rsid w:val="005F348A"/>
    <w:rsid w:val="005F409D"/>
    <w:rsid w:val="005F69A3"/>
    <w:rsid w:val="005F6D09"/>
    <w:rsid w:val="0061238B"/>
    <w:rsid w:val="006274E6"/>
    <w:rsid w:val="006318AF"/>
    <w:rsid w:val="00640A76"/>
    <w:rsid w:val="0064517A"/>
    <w:rsid w:val="00645499"/>
    <w:rsid w:val="00645FDA"/>
    <w:rsid w:val="0064654D"/>
    <w:rsid w:val="00646806"/>
    <w:rsid w:val="0065338D"/>
    <w:rsid w:val="00655D67"/>
    <w:rsid w:val="006736C7"/>
    <w:rsid w:val="00680C57"/>
    <w:rsid w:val="0068172D"/>
    <w:rsid w:val="00687D2B"/>
    <w:rsid w:val="006A4B62"/>
    <w:rsid w:val="006A5F2E"/>
    <w:rsid w:val="006B384F"/>
    <w:rsid w:val="006B6892"/>
    <w:rsid w:val="006C4284"/>
    <w:rsid w:val="006C5F9F"/>
    <w:rsid w:val="006C7040"/>
    <w:rsid w:val="006D0314"/>
    <w:rsid w:val="006D1FA5"/>
    <w:rsid w:val="006F4B27"/>
    <w:rsid w:val="007104D7"/>
    <w:rsid w:val="00720AB0"/>
    <w:rsid w:val="00726943"/>
    <w:rsid w:val="00727DED"/>
    <w:rsid w:val="007470A8"/>
    <w:rsid w:val="00750210"/>
    <w:rsid w:val="00752BA7"/>
    <w:rsid w:val="00754CBD"/>
    <w:rsid w:val="0076191E"/>
    <w:rsid w:val="00763664"/>
    <w:rsid w:val="007774EE"/>
    <w:rsid w:val="00781373"/>
    <w:rsid w:val="0078759D"/>
    <w:rsid w:val="00793C64"/>
    <w:rsid w:val="00794577"/>
    <w:rsid w:val="007976EF"/>
    <w:rsid w:val="007B7711"/>
    <w:rsid w:val="007C1ACA"/>
    <w:rsid w:val="007C3E83"/>
    <w:rsid w:val="007C6233"/>
    <w:rsid w:val="007D47C3"/>
    <w:rsid w:val="007E3F45"/>
    <w:rsid w:val="007E5C87"/>
    <w:rsid w:val="007F20A4"/>
    <w:rsid w:val="007F2127"/>
    <w:rsid w:val="007F5283"/>
    <w:rsid w:val="007F6C89"/>
    <w:rsid w:val="00801969"/>
    <w:rsid w:val="00803382"/>
    <w:rsid w:val="00811CEC"/>
    <w:rsid w:val="00812EB4"/>
    <w:rsid w:val="0081335F"/>
    <w:rsid w:val="008247B2"/>
    <w:rsid w:val="0082660A"/>
    <w:rsid w:val="0082681F"/>
    <w:rsid w:val="00834FAC"/>
    <w:rsid w:val="00835A9F"/>
    <w:rsid w:val="00847128"/>
    <w:rsid w:val="0085193E"/>
    <w:rsid w:val="00852F69"/>
    <w:rsid w:val="008579BD"/>
    <w:rsid w:val="008615AD"/>
    <w:rsid w:val="00874A52"/>
    <w:rsid w:val="00875889"/>
    <w:rsid w:val="00882F25"/>
    <w:rsid w:val="0088533F"/>
    <w:rsid w:val="008965CC"/>
    <w:rsid w:val="008A5608"/>
    <w:rsid w:val="008B0542"/>
    <w:rsid w:val="008B4BDA"/>
    <w:rsid w:val="008C793F"/>
    <w:rsid w:val="008E1283"/>
    <w:rsid w:val="008E20EB"/>
    <w:rsid w:val="008F24CC"/>
    <w:rsid w:val="008F51D1"/>
    <w:rsid w:val="008F7666"/>
    <w:rsid w:val="00905F2E"/>
    <w:rsid w:val="00912712"/>
    <w:rsid w:val="009144C1"/>
    <w:rsid w:val="0093021F"/>
    <w:rsid w:val="00944B01"/>
    <w:rsid w:val="009524C6"/>
    <w:rsid w:val="009668CF"/>
    <w:rsid w:val="00967B1F"/>
    <w:rsid w:val="00974803"/>
    <w:rsid w:val="009756B4"/>
    <w:rsid w:val="00981ADB"/>
    <w:rsid w:val="00984938"/>
    <w:rsid w:val="00985A4B"/>
    <w:rsid w:val="00991CDE"/>
    <w:rsid w:val="009A0B8D"/>
    <w:rsid w:val="009A5ADD"/>
    <w:rsid w:val="009B03BB"/>
    <w:rsid w:val="009B5D73"/>
    <w:rsid w:val="009C0461"/>
    <w:rsid w:val="009D1A27"/>
    <w:rsid w:val="009E053C"/>
    <w:rsid w:val="009E145B"/>
    <w:rsid w:val="009E5BE0"/>
    <w:rsid w:val="009F1D0B"/>
    <w:rsid w:val="00A012FA"/>
    <w:rsid w:val="00A038DA"/>
    <w:rsid w:val="00A04F27"/>
    <w:rsid w:val="00A25E02"/>
    <w:rsid w:val="00A31EB4"/>
    <w:rsid w:val="00A414C8"/>
    <w:rsid w:val="00A57393"/>
    <w:rsid w:val="00A60AFA"/>
    <w:rsid w:val="00A64C33"/>
    <w:rsid w:val="00A65959"/>
    <w:rsid w:val="00A75EE7"/>
    <w:rsid w:val="00A7650A"/>
    <w:rsid w:val="00A80FBA"/>
    <w:rsid w:val="00A9521E"/>
    <w:rsid w:val="00AA45F7"/>
    <w:rsid w:val="00AA6AA5"/>
    <w:rsid w:val="00AA70FA"/>
    <w:rsid w:val="00AA7965"/>
    <w:rsid w:val="00AB358A"/>
    <w:rsid w:val="00AB5EE6"/>
    <w:rsid w:val="00AC49F6"/>
    <w:rsid w:val="00AC7E60"/>
    <w:rsid w:val="00AD14BE"/>
    <w:rsid w:val="00AE126E"/>
    <w:rsid w:val="00AE58A6"/>
    <w:rsid w:val="00AE79A7"/>
    <w:rsid w:val="00AF12A2"/>
    <w:rsid w:val="00AF17BD"/>
    <w:rsid w:val="00AF6C8B"/>
    <w:rsid w:val="00AF788B"/>
    <w:rsid w:val="00B10815"/>
    <w:rsid w:val="00B122C6"/>
    <w:rsid w:val="00B1348D"/>
    <w:rsid w:val="00B23527"/>
    <w:rsid w:val="00B37D1C"/>
    <w:rsid w:val="00B446E7"/>
    <w:rsid w:val="00B47D57"/>
    <w:rsid w:val="00B50641"/>
    <w:rsid w:val="00B66F76"/>
    <w:rsid w:val="00B736E2"/>
    <w:rsid w:val="00B754C3"/>
    <w:rsid w:val="00B82ED6"/>
    <w:rsid w:val="00B92D48"/>
    <w:rsid w:val="00B93B38"/>
    <w:rsid w:val="00BA1726"/>
    <w:rsid w:val="00BA428F"/>
    <w:rsid w:val="00BB1FD8"/>
    <w:rsid w:val="00BC0BE9"/>
    <w:rsid w:val="00BD693D"/>
    <w:rsid w:val="00BD7D7F"/>
    <w:rsid w:val="00BE2A3C"/>
    <w:rsid w:val="00BE4257"/>
    <w:rsid w:val="00BE7B27"/>
    <w:rsid w:val="00BF0E6A"/>
    <w:rsid w:val="00BF3748"/>
    <w:rsid w:val="00BF615D"/>
    <w:rsid w:val="00BF64EE"/>
    <w:rsid w:val="00BF7713"/>
    <w:rsid w:val="00C0186F"/>
    <w:rsid w:val="00C02444"/>
    <w:rsid w:val="00C03AF9"/>
    <w:rsid w:val="00C07E9E"/>
    <w:rsid w:val="00C156BF"/>
    <w:rsid w:val="00C23BB3"/>
    <w:rsid w:val="00C24D5C"/>
    <w:rsid w:val="00C25FF0"/>
    <w:rsid w:val="00C31CF6"/>
    <w:rsid w:val="00C3333C"/>
    <w:rsid w:val="00C36E8B"/>
    <w:rsid w:val="00C42580"/>
    <w:rsid w:val="00C442A6"/>
    <w:rsid w:val="00C520B5"/>
    <w:rsid w:val="00C54970"/>
    <w:rsid w:val="00C66E70"/>
    <w:rsid w:val="00C73AC9"/>
    <w:rsid w:val="00C817EF"/>
    <w:rsid w:val="00C840B9"/>
    <w:rsid w:val="00C84175"/>
    <w:rsid w:val="00C85ABB"/>
    <w:rsid w:val="00C906AD"/>
    <w:rsid w:val="00C914BF"/>
    <w:rsid w:val="00CB1F12"/>
    <w:rsid w:val="00CB4FF3"/>
    <w:rsid w:val="00CC1861"/>
    <w:rsid w:val="00CC2BF4"/>
    <w:rsid w:val="00CC34F0"/>
    <w:rsid w:val="00CC68A7"/>
    <w:rsid w:val="00CC71B3"/>
    <w:rsid w:val="00CC7F8E"/>
    <w:rsid w:val="00CD0E31"/>
    <w:rsid w:val="00CF1A79"/>
    <w:rsid w:val="00CF657B"/>
    <w:rsid w:val="00D017F0"/>
    <w:rsid w:val="00D03937"/>
    <w:rsid w:val="00D04571"/>
    <w:rsid w:val="00D11951"/>
    <w:rsid w:val="00D16B90"/>
    <w:rsid w:val="00D27CC1"/>
    <w:rsid w:val="00D32F41"/>
    <w:rsid w:val="00D46CF3"/>
    <w:rsid w:val="00D53FB9"/>
    <w:rsid w:val="00D55AD1"/>
    <w:rsid w:val="00D750C2"/>
    <w:rsid w:val="00D81EE9"/>
    <w:rsid w:val="00D825DA"/>
    <w:rsid w:val="00D86CB8"/>
    <w:rsid w:val="00DC5697"/>
    <w:rsid w:val="00DC6FB0"/>
    <w:rsid w:val="00DD4FF6"/>
    <w:rsid w:val="00DE5D1D"/>
    <w:rsid w:val="00DF7B39"/>
    <w:rsid w:val="00E01015"/>
    <w:rsid w:val="00E023A4"/>
    <w:rsid w:val="00E03F00"/>
    <w:rsid w:val="00E05FC3"/>
    <w:rsid w:val="00E11A2E"/>
    <w:rsid w:val="00E1288D"/>
    <w:rsid w:val="00E21A74"/>
    <w:rsid w:val="00E302FA"/>
    <w:rsid w:val="00E35623"/>
    <w:rsid w:val="00E35A94"/>
    <w:rsid w:val="00E46D7C"/>
    <w:rsid w:val="00E56317"/>
    <w:rsid w:val="00E613C8"/>
    <w:rsid w:val="00E64F08"/>
    <w:rsid w:val="00E6581A"/>
    <w:rsid w:val="00E711A5"/>
    <w:rsid w:val="00E74D83"/>
    <w:rsid w:val="00E77907"/>
    <w:rsid w:val="00E829CF"/>
    <w:rsid w:val="00E86D76"/>
    <w:rsid w:val="00E94754"/>
    <w:rsid w:val="00E96218"/>
    <w:rsid w:val="00EA3D2B"/>
    <w:rsid w:val="00EA5248"/>
    <w:rsid w:val="00EB00A7"/>
    <w:rsid w:val="00EB4782"/>
    <w:rsid w:val="00EC050E"/>
    <w:rsid w:val="00ED0AE9"/>
    <w:rsid w:val="00EE074A"/>
    <w:rsid w:val="00EF2B29"/>
    <w:rsid w:val="00EF4C24"/>
    <w:rsid w:val="00F114B5"/>
    <w:rsid w:val="00F17639"/>
    <w:rsid w:val="00F17F0E"/>
    <w:rsid w:val="00F24D9E"/>
    <w:rsid w:val="00F34A97"/>
    <w:rsid w:val="00F52D4C"/>
    <w:rsid w:val="00F53A04"/>
    <w:rsid w:val="00F5795C"/>
    <w:rsid w:val="00F6782A"/>
    <w:rsid w:val="00F754FD"/>
    <w:rsid w:val="00F77563"/>
    <w:rsid w:val="00F96BE1"/>
    <w:rsid w:val="00FA1BEC"/>
    <w:rsid w:val="00FC16CB"/>
    <w:rsid w:val="00FC2A0A"/>
    <w:rsid w:val="00FD093E"/>
    <w:rsid w:val="00FD6A94"/>
    <w:rsid w:val="00FD6EF3"/>
    <w:rsid w:val="00FE39A6"/>
    <w:rsid w:val="00FE49A3"/>
    <w:rsid w:val="00FF1E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F67FD"/>
  <w15:chartTrackingRefBased/>
  <w15:docId w15:val="{F6C48603-3911-4978-9008-1687B178D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7B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67B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7B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7B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7B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7B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7B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7B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7B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7B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67B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7B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7B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7B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7B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7B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7B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7B1F"/>
    <w:rPr>
      <w:rFonts w:eastAsiaTheme="majorEastAsia" w:cstheme="majorBidi"/>
      <w:color w:val="272727" w:themeColor="text1" w:themeTint="D8"/>
    </w:rPr>
  </w:style>
  <w:style w:type="paragraph" w:styleId="Title">
    <w:name w:val="Title"/>
    <w:basedOn w:val="Normal"/>
    <w:next w:val="Normal"/>
    <w:link w:val="TitleChar"/>
    <w:uiPriority w:val="10"/>
    <w:qFormat/>
    <w:rsid w:val="00967B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7B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7B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7B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7B1F"/>
    <w:pPr>
      <w:spacing w:before="160"/>
      <w:jc w:val="center"/>
    </w:pPr>
    <w:rPr>
      <w:i/>
      <w:iCs/>
      <w:color w:val="404040" w:themeColor="text1" w:themeTint="BF"/>
    </w:rPr>
  </w:style>
  <w:style w:type="character" w:customStyle="1" w:styleId="QuoteChar">
    <w:name w:val="Quote Char"/>
    <w:basedOn w:val="DefaultParagraphFont"/>
    <w:link w:val="Quote"/>
    <w:uiPriority w:val="29"/>
    <w:rsid w:val="00967B1F"/>
    <w:rPr>
      <w:i/>
      <w:iCs/>
      <w:color w:val="404040" w:themeColor="text1" w:themeTint="BF"/>
    </w:rPr>
  </w:style>
  <w:style w:type="paragraph" w:styleId="ListParagraph">
    <w:name w:val="List Paragraph"/>
    <w:basedOn w:val="Normal"/>
    <w:uiPriority w:val="34"/>
    <w:qFormat/>
    <w:rsid w:val="00967B1F"/>
    <w:pPr>
      <w:ind w:left="720"/>
      <w:contextualSpacing/>
    </w:pPr>
  </w:style>
  <w:style w:type="character" w:styleId="IntenseEmphasis">
    <w:name w:val="Intense Emphasis"/>
    <w:basedOn w:val="DefaultParagraphFont"/>
    <w:uiPriority w:val="21"/>
    <w:qFormat/>
    <w:rsid w:val="00967B1F"/>
    <w:rPr>
      <w:i/>
      <w:iCs/>
      <w:color w:val="0F4761" w:themeColor="accent1" w:themeShade="BF"/>
    </w:rPr>
  </w:style>
  <w:style w:type="paragraph" w:styleId="IntenseQuote">
    <w:name w:val="Intense Quote"/>
    <w:basedOn w:val="Normal"/>
    <w:next w:val="Normal"/>
    <w:link w:val="IntenseQuoteChar"/>
    <w:uiPriority w:val="30"/>
    <w:qFormat/>
    <w:rsid w:val="00967B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7B1F"/>
    <w:rPr>
      <w:i/>
      <w:iCs/>
      <w:color w:val="0F4761" w:themeColor="accent1" w:themeShade="BF"/>
    </w:rPr>
  </w:style>
  <w:style w:type="character" w:styleId="IntenseReference">
    <w:name w:val="Intense Reference"/>
    <w:basedOn w:val="DefaultParagraphFont"/>
    <w:uiPriority w:val="32"/>
    <w:qFormat/>
    <w:rsid w:val="00967B1F"/>
    <w:rPr>
      <w:b/>
      <w:bCs/>
      <w:smallCaps/>
      <w:color w:val="0F4761" w:themeColor="accent1" w:themeShade="BF"/>
      <w:spacing w:val="5"/>
    </w:rPr>
  </w:style>
  <w:style w:type="character" w:styleId="Hyperlink">
    <w:name w:val="Hyperlink"/>
    <w:basedOn w:val="DefaultParagraphFont"/>
    <w:uiPriority w:val="99"/>
    <w:unhideWhenUsed/>
    <w:rsid w:val="00105D7A"/>
    <w:rPr>
      <w:color w:val="467886" w:themeColor="hyperlink"/>
      <w:u w:val="single"/>
    </w:rPr>
  </w:style>
  <w:style w:type="character" w:styleId="UnresolvedMention">
    <w:name w:val="Unresolved Mention"/>
    <w:basedOn w:val="DefaultParagraphFont"/>
    <w:uiPriority w:val="99"/>
    <w:semiHidden/>
    <w:unhideWhenUsed/>
    <w:rsid w:val="00105D7A"/>
    <w:rPr>
      <w:color w:val="605E5C"/>
      <w:shd w:val="clear" w:color="auto" w:fill="E1DFDD"/>
    </w:rPr>
  </w:style>
  <w:style w:type="paragraph" w:styleId="TOCHeading">
    <w:name w:val="TOC Heading"/>
    <w:basedOn w:val="Heading1"/>
    <w:next w:val="Normal"/>
    <w:uiPriority w:val="39"/>
    <w:unhideWhenUsed/>
    <w:qFormat/>
    <w:rsid w:val="0029181E"/>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29181E"/>
    <w:pPr>
      <w:spacing w:after="100"/>
    </w:pPr>
  </w:style>
  <w:style w:type="paragraph" w:styleId="TOC2">
    <w:name w:val="toc 2"/>
    <w:basedOn w:val="Normal"/>
    <w:next w:val="Normal"/>
    <w:autoRedefine/>
    <w:uiPriority w:val="39"/>
    <w:unhideWhenUsed/>
    <w:rsid w:val="0029181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0/15" TargetMode="External"/><Relationship Id="rId13" Type="http://schemas.openxmlformats.org/officeDocument/2006/relationships/hyperlink" Target="https://www.england.nhs.uk/personalisedcar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legislation.gov.uk/ukpga/2022/31" TargetMode="External"/><Relationship Id="rId12" Type="http://schemas.openxmlformats.org/officeDocument/2006/relationships/hyperlink" Target="https://www.england.nhs.uk/integratedcare/what-is-integrated-car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legislation.gov.uk/ukpga/2014/23" TargetMode="External"/><Relationship Id="rId1" Type="http://schemas.openxmlformats.org/officeDocument/2006/relationships/customXml" Target="../customXml/item1.xml"/><Relationship Id="rId6" Type="http://schemas.openxmlformats.org/officeDocument/2006/relationships/hyperlink" Target="https://www.cqc.org.uk/publications/major-report/state-care" TargetMode="External"/><Relationship Id="rId11" Type="http://schemas.openxmlformats.org/officeDocument/2006/relationships/hyperlink" Target="https://www.nice.org.uk/guidance/ng197" TargetMode="External"/><Relationship Id="rId5" Type="http://schemas.openxmlformats.org/officeDocument/2006/relationships/image" Target="media/image1.png"/><Relationship Id="rId15" Type="http://schemas.openxmlformats.org/officeDocument/2006/relationships/hyperlink" Target="https://www.kingsfund.org.uk/" TargetMode="External"/><Relationship Id="rId10" Type="http://schemas.openxmlformats.org/officeDocument/2006/relationships/hyperlink" Target="https://www.legislation.gov.uk/ukpga/1998/42" TargetMode="External"/><Relationship Id="rId4" Type="http://schemas.openxmlformats.org/officeDocument/2006/relationships/webSettings" Target="webSettings.xml"/><Relationship Id="rId9" Type="http://schemas.openxmlformats.org/officeDocument/2006/relationships/hyperlink" Target="https://www.hcpc-uk.org/standards/standards-of-conduct-performance-and-ethics/" TargetMode="External"/><Relationship Id="rId14" Type="http://schemas.openxmlformats.org/officeDocument/2006/relationships/hyperlink" Target="https://www.rcn.org.uk/professional-development/principles-of-nursing-pract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332D08-6570-4D58-9699-BF9EC5097A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1405</TotalTime>
  <Pages>11</Pages>
  <Words>3050</Words>
  <Characters>17388</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Celsius Neboh (2434221)</dc:creator>
  <cp:keywords/>
  <dc:description/>
  <cp:lastModifiedBy>Celsius Neboh (2434221)</cp:lastModifiedBy>
  <cp:revision>398</cp:revision>
  <dcterms:created xsi:type="dcterms:W3CDTF">2026-07-05T13:49:00Z</dcterms:created>
  <dcterms:modified xsi:type="dcterms:W3CDTF">2026-07-23T11:56:00Z</dcterms:modified>
</cp:coreProperties>
</file>