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409B545" w:rsidP="5EF9118D" w:rsidRDefault="7409B545" w14:paraId="06F5489E" w14:textId="62844A47">
      <w:pPr>
        <w:spacing w:line="480" w:lineRule="auto"/>
        <w:rPr>
          <w:rFonts w:ascii="Arial" w:hAnsi="Arial" w:eastAsia="Arial" w:cs="Arial"/>
          <w:sz w:val="24"/>
          <w:szCs w:val="24"/>
          <w:u w:val="single"/>
        </w:rPr>
      </w:pPr>
      <w:r w:rsidRPr="5EF9118D" w:rsidR="7409B545">
        <w:rPr>
          <w:rFonts w:ascii="Arial" w:hAnsi="Arial" w:eastAsia="Arial" w:cs="Arial"/>
          <w:sz w:val="24"/>
          <w:szCs w:val="24"/>
          <w:u w:val="single"/>
        </w:rPr>
        <w:t xml:space="preserve">Milly </w:t>
      </w:r>
      <w:r w:rsidRPr="5EF9118D" w:rsidR="7409B545">
        <w:rPr>
          <w:rFonts w:ascii="Arial" w:hAnsi="Arial" w:eastAsia="Arial" w:cs="Arial"/>
          <w:sz w:val="24"/>
          <w:szCs w:val="24"/>
          <w:u w:val="single"/>
        </w:rPr>
        <w:t>Golledge</w:t>
      </w:r>
      <w:r w:rsidRPr="5EF9118D" w:rsidR="7409B545">
        <w:rPr>
          <w:rFonts w:ascii="Arial" w:hAnsi="Arial" w:eastAsia="Arial" w:cs="Arial"/>
          <w:sz w:val="24"/>
          <w:szCs w:val="24"/>
          <w:u w:val="single"/>
        </w:rPr>
        <w:t>, Student number: 2304737</w:t>
      </w:r>
    </w:p>
    <w:p xmlns:wp14="http://schemas.microsoft.com/office/word/2010/wordml" w:rsidP="5EF9118D" wp14:paraId="2C078E63" wp14:textId="24B08567">
      <w:pPr>
        <w:spacing w:line="480" w:lineRule="auto"/>
      </w:pPr>
      <w:r w:rsidRPr="5EF9118D" w:rsidR="531BFB78">
        <w:rPr>
          <w:rFonts w:ascii="Arial" w:hAnsi="Arial" w:eastAsia="Arial" w:cs="Arial"/>
          <w:sz w:val="24"/>
          <w:szCs w:val="24"/>
          <w:u w:val="single"/>
        </w:rPr>
        <w:t xml:space="preserve"> “Evaluating the concept of consent in the UK and its role in cases involving battery.”</w:t>
      </w:r>
    </w:p>
    <w:p w:rsidR="07AF780D" w:rsidP="5EF9118D" w:rsidRDefault="07AF780D" w14:paraId="4D757B48" w14:textId="2F55A4F1">
      <w:pPr>
        <w:pStyle w:val="Normal"/>
        <w:spacing w:line="480" w:lineRule="auto"/>
        <w:rPr>
          <w:rFonts w:ascii="Arial" w:hAnsi="Arial" w:eastAsia="Arial" w:cs="Arial"/>
          <w:sz w:val="24"/>
          <w:szCs w:val="24"/>
          <w:u w:val="none"/>
        </w:rPr>
      </w:pPr>
      <w:r w:rsidRPr="5EF9118D" w:rsidR="07AF780D">
        <w:rPr>
          <w:rFonts w:ascii="Arial" w:hAnsi="Arial" w:eastAsia="Arial" w:cs="Arial"/>
          <w:sz w:val="24"/>
          <w:szCs w:val="24"/>
          <w:u w:val="none"/>
        </w:rPr>
        <w:t xml:space="preserve">The assignment question </w:t>
      </w:r>
      <w:r w:rsidRPr="5EF9118D" w:rsidR="671023BF">
        <w:rPr>
          <w:rFonts w:ascii="Arial" w:hAnsi="Arial" w:eastAsia="Arial" w:cs="Arial"/>
          <w:sz w:val="24"/>
          <w:szCs w:val="24"/>
          <w:u w:val="none"/>
        </w:rPr>
        <w:t xml:space="preserve">given </w:t>
      </w:r>
      <w:r w:rsidRPr="5EF9118D" w:rsidR="07AF780D">
        <w:rPr>
          <w:rFonts w:ascii="Arial" w:hAnsi="Arial" w:eastAsia="Arial" w:cs="Arial"/>
          <w:sz w:val="24"/>
          <w:szCs w:val="24"/>
          <w:u w:val="none"/>
        </w:rPr>
        <w:t xml:space="preserve">states clearly to, “Evaluate the concept of consent in the UK and its role in cases involving battery.” </w:t>
      </w:r>
      <w:r w:rsidRPr="5EF9118D" w:rsidR="2957309E">
        <w:rPr>
          <w:rFonts w:ascii="Arial" w:hAnsi="Arial" w:eastAsia="Arial" w:cs="Arial"/>
          <w:sz w:val="24"/>
          <w:szCs w:val="24"/>
          <w:u w:val="none"/>
        </w:rPr>
        <w:t>Th</w:t>
      </w:r>
      <w:r w:rsidRPr="5EF9118D" w:rsidR="1732DA72">
        <w:rPr>
          <w:rFonts w:ascii="Arial" w:hAnsi="Arial" w:eastAsia="Arial" w:cs="Arial"/>
          <w:sz w:val="24"/>
          <w:szCs w:val="24"/>
          <w:u w:val="none"/>
        </w:rPr>
        <w:t>erefore, the</w:t>
      </w:r>
      <w:r w:rsidRPr="5EF9118D" w:rsidR="2957309E">
        <w:rPr>
          <w:rFonts w:ascii="Arial" w:hAnsi="Arial" w:eastAsia="Arial" w:cs="Arial"/>
          <w:sz w:val="24"/>
          <w:szCs w:val="24"/>
          <w:u w:val="none"/>
        </w:rPr>
        <w:t xml:space="preserve"> purpose of this essay is to explore </w:t>
      </w:r>
      <w:bookmarkStart w:name="_Int_2CyqhXmw" w:id="105839237"/>
      <w:r w:rsidRPr="5EF9118D" w:rsidR="2957309E">
        <w:rPr>
          <w:rFonts w:ascii="Arial" w:hAnsi="Arial" w:eastAsia="Arial" w:cs="Arial"/>
          <w:sz w:val="24"/>
          <w:szCs w:val="24"/>
          <w:u w:val="none"/>
        </w:rPr>
        <w:t>battery</w:t>
      </w:r>
      <w:bookmarkEnd w:id="105839237"/>
      <w:r w:rsidRPr="5EF9118D" w:rsidR="2957309E">
        <w:rPr>
          <w:rFonts w:ascii="Arial" w:hAnsi="Arial" w:eastAsia="Arial" w:cs="Arial"/>
          <w:sz w:val="24"/>
          <w:szCs w:val="24"/>
          <w:u w:val="none"/>
        </w:rPr>
        <w:t xml:space="preserve"> and </w:t>
      </w:r>
      <w:r w:rsidRPr="5EF9118D" w:rsidR="439E27A1">
        <w:rPr>
          <w:rFonts w:ascii="Arial" w:hAnsi="Arial" w:eastAsia="Arial" w:cs="Arial"/>
          <w:sz w:val="24"/>
          <w:szCs w:val="24"/>
          <w:u w:val="none"/>
        </w:rPr>
        <w:t>how the concept of consent links into this within the UK</w:t>
      </w:r>
      <w:r w:rsidRPr="5EF9118D" w:rsidR="4BC0C878">
        <w:rPr>
          <w:rFonts w:ascii="Arial" w:hAnsi="Arial" w:eastAsia="Arial" w:cs="Arial"/>
          <w:sz w:val="24"/>
          <w:szCs w:val="24"/>
          <w:u w:val="none"/>
        </w:rPr>
        <w:t>, by exploring articles and other credible sources to back up points of importance, shown throughout.</w:t>
      </w:r>
      <w:r w:rsidRPr="5EF9118D" w:rsidR="6F41CCE7">
        <w:rPr>
          <w:rFonts w:ascii="Arial" w:hAnsi="Arial" w:eastAsia="Arial" w:cs="Arial"/>
          <w:sz w:val="24"/>
          <w:szCs w:val="24"/>
          <w:u w:val="none"/>
        </w:rPr>
        <w:t xml:space="preserve"> </w:t>
      </w:r>
      <w:r w:rsidRPr="5EF9118D" w:rsidR="0E1D303E">
        <w:rPr>
          <w:rFonts w:ascii="Arial" w:hAnsi="Arial" w:eastAsia="Arial" w:cs="Arial"/>
          <w:sz w:val="24"/>
          <w:szCs w:val="24"/>
          <w:u w:val="none"/>
        </w:rPr>
        <w:t xml:space="preserve">This essay and exploration </w:t>
      </w:r>
      <w:r w:rsidRPr="5EF9118D" w:rsidR="760267E5">
        <w:rPr>
          <w:rFonts w:ascii="Arial" w:hAnsi="Arial" w:eastAsia="Arial" w:cs="Arial"/>
          <w:sz w:val="24"/>
          <w:szCs w:val="24"/>
          <w:u w:val="none"/>
        </w:rPr>
        <w:t>have</w:t>
      </w:r>
      <w:r w:rsidRPr="5EF9118D" w:rsidR="0E1D303E">
        <w:rPr>
          <w:rFonts w:ascii="Arial" w:hAnsi="Arial" w:eastAsia="Arial" w:cs="Arial"/>
          <w:sz w:val="24"/>
          <w:szCs w:val="24"/>
          <w:u w:val="none"/>
        </w:rPr>
        <w:t xml:space="preserve"> gathered that in the UK, there is a concept of consent, and a mere understanding of battery, however, there is </w:t>
      </w:r>
      <w:r w:rsidRPr="5EF9118D" w:rsidR="13F9BFB0">
        <w:rPr>
          <w:rFonts w:ascii="Arial" w:hAnsi="Arial" w:eastAsia="Arial" w:cs="Arial"/>
          <w:sz w:val="24"/>
          <w:szCs w:val="24"/>
          <w:u w:val="none"/>
        </w:rPr>
        <w:t>little</w:t>
      </w:r>
      <w:r w:rsidRPr="5EF9118D" w:rsidR="0E1D303E">
        <w:rPr>
          <w:rFonts w:ascii="Arial" w:hAnsi="Arial" w:eastAsia="Arial" w:cs="Arial"/>
          <w:sz w:val="24"/>
          <w:szCs w:val="24"/>
          <w:u w:val="none"/>
        </w:rPr>
        <w:t xml:space="preserve"> education </w:t>
      </w:r>
      <w:r w:rsidRPr="5EF9118D" w:rsidR="55DEE170">
        <w:rPr>
          <w:rFonts w:ascii="Arial" w:hAnsi="Arial" w:eastAsia="Arial" w:cs="Arial"/>
          <w:sz w:val="24"/>
          <w:szCs w:val="24"/>
          <w:u w:val="none"/>
        </w:rPr>
        <w:t xml:space="preserve">on the link between the two elements. Furthermore, it </w:t>
      </w:r>
      <w:r w:rsidRPr="5EF9118D" w:rsidR="55DEE170">
        <w:rPr>
          <w:rFonts w:ascii="Arial" w:hAnsi="Arial" w:eastAsia="Arial" w:cs="Arial"/>
          <w:sz w:val="24"/>
          <w:szCs w:val="24"/>
          <w:u w:val="none"/>
        </w:rPr>
        <w:t>provides</w:t>
      </w:r>
      <w:r w:rsidRPr="5EF9118D" w:rsidR="55DEE170">
        <w:rPr>
          <w:rFonts w:ascii="Arial" w:hAnsi="Arial" w:eastAsia="Arial" w:cs="Arial"/>
          <w:sz w:val="24"/>
          <w:szCs w:val="24"/>
          <w:u w:val="none"/>
        </w:rPr>
        <w:t xml:space="preserve"> evidence for the importance of consent and its role in cases involving battery.</w:t>
      </w:r>
    </w:p>
    <w:p w:rsidR="5EF9118D" w:rsidP="5EF9118D" w:rsidRDefault="5EF9118D" w14:paraId="33C846F5" w14:textId="2CB6E259">
      <w:pPr>
        <w:pStyle w:val="Normal"/>
        <w:spacing w:line="480" w:lineRule="auto"/>
        <w:rPr>
          <w:rFonts w:ascii="Arial" w:hAnsi="Arial" w:eastAsia="Arial" w:cs="Arial"/>
          <w:color w:val="FF0000"/>
          <w:sz w:val="24"/>
          <w:szCs w:val="24"/>
          <w:u w:val="none"/>
        </w:rPr>
      </w:pPr>
    </w:p>
    <w:p w:rsidR="098D0638" w:rsidP="5EF9118D" w:rsidRDefault="098D0638" w14:paraId="2A9552BB" w14:textId="25B6A8B5">
      <w:pPr>
        <w:pStyle w:val="Normal"/>
        <w:spacing w:line="480" w:lineRule="auto"/>
        <w:rPr>
          <w:rFonts w:ascii="Arial" w:hAnsi="Arial" w:eastAsia="Arial" w:cs="Arial"/>
          <w:sz w:val="24"/>
          <w:szCs w:val="24"/>
          <w:u w:val="single"/>
        </w:rPr>
      </w:pPr>
      <w:r w:rsidRPr="5EF9118D" w:rsidR="098D0638">
        <w:rPr>
          <w:rFonts w:ascii="Arial" w:hAnsi="Arial" w:eastAsia="Arial" w:cs="Arial"/>
          <w:sz w:val="24"/>
          <w:szCs w:val="24"/>
          <w:u w:val="none"/>
        </w:rPr>
        <w:t xml:space="preserve">The legal concept of consent in the UK is for parties to all agree to something by presenting the word ’yes’ which can be </w:t>
      </w:r>
      <w:r w:rsidRPr="5EF9118D" w:rsidR="098D0638">
        <w:rPr>
          <w:rFonts w:ascii="Arial" w:hAnsi="Arial" w:eastAsia="Arial" w:cs="Arial"/>
          <w:sz w:val="24"/>
          <w:szCs w:val="24"/>
          <w:u w:val="none"/>
        </w:rPr>
        <w:t>stated</w:t>
      </w:r>
      <w:r w:rsidRPr="5EF9118D" w:rsidR="098D0638">
        <w:rPr>
          <w:rFonts w:ascii="Arial" w:hAnsi="Arial" w:eastAsia="Arial" w:cs="Arial"/>
          <w:sz w:val="24"/>
          <w:szCs w:val="24"/>
          <w:u w:val="none"/>
        </w:rPr>
        <w:t xml:space="preserve"> </w:t>
      </w:r>
      <w:r w:rsidRPr="5EF9118D" w:rsidR="514EB76A">
        <w:rPr>
          <w:rFonts w:ascii="Arial" w:hAnsi="Arial" w:eastAsia="Arial" w:cs="Arial"/>
          <w:sz w:val="24"/>
          <w:szCs w:val="24"/>
          <w:u w:val="none"/>
        </w:rPr>
        <w:t>verbally or</w:t>
      </w:r>
      <w:r w:rsidRPr="5EF9118D" w:rsidR="098D0638">
        <w:rPr>
          <w:rFonts w:ascii="Arial" w:hAnsi="Arial" w:eastAsia="Arial" w:cs="Arial"/>
          <w:sz w:val="24"/>
          <w:szCs w:val="24"/>
          <w:u w:val="none"/>
        </w:rPr>
        <w:t xml:space="preserve"> written down</w:t>
      </w:r>
      <w:r w:rsidRPr="5EF9118D" w:rsidR="63788733">
        <w:rPr>
          <w:rFonts w:ascii="Arial" w:hAnsi="Arial" w:eastAsia="Arial" w:cs="Arial"/>
          <w:sz w:val="24"/>
          <w:szCs w:val="24"/>
          <w:u w:val="none"/>
        </w:rPr>
        <w:t xml:space="preserve"> in a contract between parties.</w:t>
      </w:r>
      <w:r w:rsidRPr="5EF9118D" w:rsidR="1CA37D0B">
        <w:rPr>
          <w:rFonts w:ascii="Arial" w:hAnsi="Arial" w:eastAsia="Arial" w:cs="Arial"/>
          <w:sz w:val="24"/>
          <w:szCs w:val="24"/>
          <w:u w:val="none"/>
        </w:rPr>
        <w:t xml:space="preserve"> </w:t>
      </w:r>
      <w:r w:rsidRPr="5EF9118D" w:rsidR="1CA37D0B">
        <w:rPr>
          <w:rFonts w:ascii="Arial" w:hAnsi="Arial" w:eastAsia="Arial" w:cs="Arial"/>
          <w:sz w:val="24"/>
          <w:szCs w:val="24"/>
          <w:u w:val="none"/>
        </w:rPr>
        <w:t>The Handbook for Policing Students (2023) states clearly tha</w:t>
      </w:r>
      <w:r w:rsidRPr="5EF9118D" w:rsidR="5DFE97D9">
        <w:rPr>
          <w:rFonts w:ascii="Arial" w:hAnsi="Arial" w:eastAsia="Arial" w:cs="Arial"/>
          <w:sz w:val="24"/>
          <w:szCs w:val="24"/>
          <w:u w:val="none"/>
        </w:rPr>
        <w:t>t “a person consents if they agree by choice and have the freedom and capacity to make that choice.</w:t>
      </w:r>
      <w:r w:rsidRPr="5EF9118D" w:rsidR="52B6D119">
        <w:rPr>
          <w:rFonts w:ascii="Arial" w:hAnsi="Arial" w:eastAsia="Arial" w:cs="Arial"/>
          <w:sz w:val="24"/>
          <w:szCs w:val="24"/>
          <w:u w:val="none"/>
        </w:rPr>
        <w:t xml:space="preserve">” </w:t>
      </w:r>
      <w:r w:rsidRPr="5EF9118D" w:rsidR="030415FF">
        <w:rPr>
          <w:rFonts w:ascii="Arial" w:hAnsi="Arial" w:eastAsia="Arial" w:cs="Arial"/>
          <w:sz w:val="24"/>
          <w:szCs w:val="24"/>
          <w:u w:val="none"/>
        </w:rPr>
        <w:t xml:space="preserve">This is also agreed by Elliott and Quinn (2018) </w:t>
      </w:r>
      <w:r w:rsidRPr="5EF9118D" w:rsidR="4E1C1922">
        <w:rPr>
          <w:rFonts w:ascii="Arial" w:hAnsi="Arial" w:eastAsia="Arial" w:cs="Arial"/>
          <w:sz w:val="24"/>
          <w:szCs w:val="24"/>
          <w:u w:val="none"/>
        </w:rPr>
        <w:t>regarding</w:t>
      </w:r>
      <w:r w:rsidRPr="5EF9118D" w:rsidR="1D4B0D02">
        <w:rPr>
          <w:rFonts w:ascii="Arial" w:hAnsi="Arial" w:eastAsia="Arial" w:cs="Arial"/>
          <w:sz w:val="24"/>
          <w:szCs w:val="24"/>
          <w:u w:val="none"/>
        </w:rPr>
        <w:t xml:space="preserve"> battery when</w:t>
      </w:r>
      <w:r w:rsidRPr="5EF9118D" w:rsidR="0664A377">
        <w:rPr>
          <w:rFonts w:ascii="Arial" w:hAnsi="Arial" w:eastAsia="Arial" w:cs="Arial"/>
          <w:sz w:val="24"/>
          <w:szCs w:val="24"/>
          <w:u w:val="none"/>
        </w:rPr>
        <w:t xml:space="preserve"> they</w:t>
      </w:r>
      <w:r w:rsidRPr="5EF9118D" w:rsidR="1D4B0D02">
        <w:rPr>
          <w:rFonts w:ascii="Arial" w:hAnsi="Arial" w:eastAsia="Arial" w:cs="Arial"/>
          <w:sz w:val="24"/>
          <w:szCs w:val="24"/>
          <w:u w:val="none"/>
        </w:rPr>
        <w:t xml:space="preserve"> </w:t>
      </w:r>
      <w:r w:rsidRPr="5EF9118D" w:rsidR="1D4B0D02">
        <w:rPr>
          <w:rFonts w:ascii="Arial" w:hAnsi="Arial" w:eastAsia="Arial" w:cs="Arial"/>
          <w:sz w:val="24"/>
          <w:szCs w:val="24"/>
          <w:u w:val="none"/>
        </w:rPr>
        <w:t>disclosed</w:t>
      </w:r>
      <w:r w:rsidRPr="5EF9118D" w:rsidR="1D4B0D02">
        <w:rPr>
          <w:rFonts w:ascii="Arial" w:hAnsi="Arial" w:eastAsia="Arial" w:cs="Arial"/>
          <w:sz w:val="24"/>
          <w:szCs w:val="24"/>
          <w:u w:val="none"/>
        </w:rPr>
        <w:t xml:space="preserve"> that; “can have consent to common law assault and battery, but not usually to more serious offences.”</w:t>
      </w:r>
      <w:r w:rsidRPr="5EF9118D" w:rsidR="7155B8DA">
        <w:rPr>
          <w:rFonts w:ascii="Arial" w:hAnsi="Arial" w:eastAsia="Arial" w:cs="Arial"/>
          <w:sz w:val="24"/>
          <w:szCs w:val="24"/>
          <w:u w:val="none"/>
        </w:rPr>
        <w:t xml:space="preserve"> </w:t>
      </w:r>
      <w:r w:rsidRPr="5EF9118D" w:rsidR="52B6D119">
        <w:rPr>
          <w:rFonts w:ascii="Arial" w:hAnsi="Arial" w:eastAsia="Arial" w:cs="Arial"/>
          <w:sz w:val="24"/>
          <w:szCs w:val="24"/>
          <w:u w:val="none"/>
        </w:rPr>
        <w:t>T</w:t>
      </w:r>
      <w:r w:rsidRPr="5EF9118D" w:rsidR="22941A67">
        <w:rPr>
          <w:rFonts w:ascii="Arial" w:hAnsi="Arial" w:eastAsia="Arial" w:cs="Arial"/>
          <w:sz w:val="24"/>
          <w:szCs w:val="24"/>
          <w:u w:val="none"/>
        </w:rPr>
        <w:t xml:space="preserve">herefore, a person who is consenting must be over the age of sixteen, with mental capacity to </w:t>
      </w:r>
      <w:r w:rsidRPr="5EF9118D" w:rsidR="75196037">
        <w:rPr>
          <w:rFonts w:ascii="Arial" w:hAnsi="Arial" w:eastAsia="Arial" w:cs="Arial"/>
          <w:sz w:val="24"/>
          <w:szCs w:val="24"/>
          <w:u w:val="none"/>
        </w:rPr>
        <w:t>understand</w:t>
      </w:r>
      <w:r w:rsidRPr="5EF9118D" w:rsidR="22941A67">
        <w:rPr>
          <w:rFonts w:ascii="Arial" w:hAnsi="Arial" w:eastAsia="Arial" w:cs="Arial"/>
          <w:sz w:val="24"/>
          <w:szCs w:val="24"/>
          <w:u w:val="none"/>
        </w:rPr>
        <w:t xml:space="preserve"> what the situation is that they are agreeing to, and </w:t>
      </w:r>
      <w:r w:rsidRPr="5EF9118D" w:rsidR="1614468C">
        <w:rPr>
          <w:rFonts w:ascii="Arial" w:hAnsi="Arial" w:eastAsia="Arial" w:cs="Arial"/>
          <w:sz w:val="24"/>
          <w:szCs w:val="24"/>
          <w:u w:val="none"/>
        </w:rPr>
        <w:t>t</w:t>
      </w:r>
      <w:r w:rsidRPr="5EF9118D" w:rsidR="22941A67">
        <w:rPr>
          <w:rFonts w:ascii="Arial" w:hAnsi="Arial" w:eastAsia="Arial" w:cs="Arial"/>
          <w:sz w:val="24"/>
          <w:szCs w:val="24"/>
          <w:u w:val="none"/>
        </w:rPr>
        <w:t xml:space="preserve">hey must be able to </w:t>
      </w:r>
      <w:r w:rsidRPr="5EF9118D" w:rsidR="22941A67">
        <w:rPr>
          <w:rFonts w:ascii="Arial" w:hAnsi="Arial" w:eastAsia="Arial" w:cs="Arial"/>
          <w:sz w:val="24"/>
          <w:szCs w:val="24"/>
          <w:u w:val="none"/>
        </w:rPr>
        <w:t>comprehend</w:t>
      </w:r>
      <w:r w:rsidRPr="5EF9118D" w:rsidR="22941A67">
        <w:rPr>
          <w:rFonts w:ascii="Arial" w:hAnsi="Arial" w:eastAsia="Arial" w:cs="Arial"/>
          <w:sz w:val="24"/>
          <w:szCs w:val="24"/>
          <w:u w:val="none"/>
        </w:rPr>
        <w:t xml:space="preserve"> that they can withdraw from consent,</w:t>
      </w:r>
      <w:r w:rsidRPr="5EF9118D" w:rsidR="6873D8B5">
        <w:rPr>
          <w:rFonts w:ascii="Arial" w:hAnsi="Arial" w:eastAsia="Arial" w:cs="Arial"/>
          <w:sz w:val="24"/>
          <w:szCs w:val="24"/>
          <w:u w:val="none"/>
        </w:rPr>
        <w:t xml:space="preserve"> in all situations, at any given point, without reason.</w:t>
      </w:r>
      <w:r w:rsidRPr="5EF9118D" w:rsidR="220FE845">
        <w:rPr>
          <w:rFonts w:ascii="Arial" w:hAnsi="Arial" w:eastAsia="Arial" w:cs="Arial"/>
          <w:sz w:val="24"/>
          <w:szCs w:val="24"/>
          <w:u w:val="none"/>
        </w:rPr>
        <w:t xml:space="preserve"> It is important to consent, whether voluntary or</w:t>
      </w:r>
      <w:r w:rsidRPr="5EF9118D" w:rsidR="78D7B9E2">
        <w:rPr>
          <w:rFonts w:ascii="Arial" w:hAnsi="Arial" w:eastAsia="Arial" w:cs="Arial"/>
          <w:sz w:val="24"/>
          <w:szCs w:val="24"/>
          <w:u w:val="none"/>
        </w:rPr>
        <w:t xml:space="preserve"> </w:t>
      </w:r>
      <w:r w:rsidRPr="5EF9118D" w:rsidR="3FD066DA">
        <w:rPr>
          <w:rFonts w:ascii="Arial" w:hAnsi="Arial" w:eastAsia="Arial" w:cs="Arial"/>
          <w:sz w:val="24"/>
          <w:szCs w:val="24"/>
          <w:u w:val="none"/>
        </w:rPr>
        <w:t>informed,</w:t>
      </w:r>
      <w:r w:rsidRPr="5EF9118D" w:rsidR="220FE845">
        <w:rPr>
          <w:rFonts w:ascii="Arial" w:hAnsi="Arial" w:eastAsia="Arial" w:cs="Arial"/>
          <w:sz w:val="24"/>
          <w:szCs w:val="24"/>
          <w:u w:val="none"/>
        </w:rPr>
        <w:t xml:space="preserve"> </w:t>
      </w:r>
      <w:r w:rsidRPr="5EF9118D" w:rsidR="636B0313">
        <w:rPr>
          <w:rFonts w:ascii="Arial" w:hAnsi="Arial" w:eastAsia="Arial" w:cs="Arial"/>
          <w:sz w:val="24"/>
          <w:szCs w:val="24"/>
          <w:u w:val="none"/>
        </w:rPr>
        <w:t xml:space="preserve">to give effective and concise communication so that there </w:t>
      </w:r>
      <w:r w:rsidRPr="5EF9118D" w:rsidR="66C1F9D3">
        <w:rPr>
          <w:rFonts w:ascii="Arial" w:hAnsi="Arial" w:eastAsia="Arial" w:cs="Arial"/>
          <w:sz w:val="24"/>
          <w:szCs w:val="24"/>
          <w:u w:val="none"/>
        </w:rPr>
        <w:t>is no</w:t>
      </w:r>
      <w:r w:rsidRPr="5EF9118D" w:rsidR="75A8634B">
        <w:rPr>
          <w:rFonts w:ascii="Arial" w:hAnsi="Arial" w:eastAsia="Arial" w:cs="Arial"/>
          <w:sz w:val="24"/>
          <w:szCs w:val="24"/>
          <w:u w:val="none"/>
        </w:rPr>
        <w:t xml:space="preserve"> misunderstanding</w:t>
      </w:r>
      <w:r w:rsidRPr="5EF9118D" w:rsidR="24C61DE2">
        <w:rPr>
          <w:rFonts w:ascii="Arial" w:hAnsi="Arial" w:eastAsia="Arial" w:cs="Arial"/>
          <w:sz w:val="24"/>
          <w:szCs w:val="24"/>
          <w:u w:val="none"/>
        </w:rPr>
        <w:t xml:space="preserve">. For example, </w:t>
      </w:r>
      <w:r w:rsidRPr="5EF9118D" w:rsidR="1F22D973">
        <w:rPr>
          <w:rFonts w:ascii="Arial" w:hAnsi="Arial" w:eastAsia="Arial" w:cs="Arial"/>
          <w:sz w:val="24"/>
          <w:szCs w:val="24"/>
          <w:u w:val="none"/>
        </w:rPr>
        <w:t>The PEOPLE, Plaintiff and Respondent, v. WASH JONES WILLIAMS, Defendant and Appellant</w:t>
      </w:r>
      <w:r w:rsidRPr="5EF9118D" w:rsidR="65898219">
        <w:rPr>
          <w:rFonts w:ascii="Arial" w:hAnsi="Arial" w:eastAsia="Arial" w:cs="Arial"/>
          <w:sz w:val="24"/>
          <w:szCs w:val="24"/>
          <w:u w:val="none"/>
        </w:rPr>
        <w:t xml:space="preserve"> (1992). </w:t>
      </w:r>
      <w:r w:rsidRPr="5EF9118D" w:rsidR="0D747C4F">
        <w:rPr>
          <w:rFonts w:ascii="Arial" w:hAnsi="Arial" w:eastAsia="Arial" w:cs="Arial"/>
          <w:sz w:val="24"/>
          <w:szCs w:val="24"/>
          <w:u w:val="none"/>
        </w:rPr>
        <w:t xml:space="preserve">In this case, the </w:t>
      </w:r>
      <w:r w:rsidRPr="5EF9118D" w:rsidR="72CE1FA2">
        <w:rPr>
          <w:rFonts w:ascii="Arial" w:hAnsi="Arial" w:eastAsia="Arial" w:cs="Arial"/>
          <w:sz w:val="24"/>
          <w:szCs w:val="24"/>
          <w:u w:val="none"/>
        </w:rPr>
        <w:t xml:space="preserve">claimant had agreed to watch television with the defendant, and the defendant raped the claimant, exclaiming that he </w:t>
      </w:r>
      <w:r w:rsidRPr="5EF9118D" w:rsidR="3A8FD0D5">
        <w:rPr>
          <w:rFonts w:ascii="Arial" w:hAnsi="Arial" w:eastAsia="Arial" w:cs="Arial"/>
          <w:sz w:val="24"/>
          <w:szCs w:val="24"/>
          <w:u w:val="none"/>
        </w:rPr>
        <w:t>did not</w:t>
      </w:r>
      <w:r w:rsidRPr="5EF9118D" w:rsidR="72CE1FA2">
        <w:rPr>
          <w:rFonts w:ascii="Arial" w:hAnsi="Arial" w:eastAsia="Arial" w:cs="Arial"/>
          <w:sz w:val="24"/>
          <w:szCs w:val="24"/>
          <w:u w:val="none"/>
        </w:rPr>
        <w:t xml:space="preserve"> spend $20.00 on </w:t>
      </w:r>
      <w:r w:rsidRPr="5EF9118D" w:rsidR="7805F044">
        <w:rPr>
          <w:rFonts w:ascii="Arial" w:hAnsi="Arial" w:eastAsia="Arial" w:cs="Arial"/>
          <w:sz w:val="24"/>
          <w:szCs w:val="24"/>
          <w:u w:val="none"/>
        </w:rPr>
        <w:t>a hotel room “for nothing!”</w:t>
      </w:r>
      <w:r w:rsidRPr="5EF9118D" w:rsidR="27E03FCB">
        <w:rPr>
          <w:rFonts w:ascii="Arial" w:hAnsi="Arial" w:eastAsia="Arial" w:cs="Arial"/>
          <w:sz w:val="24"/>
          <w:szCs w:val="24"/>
          <w:u w:val="none"/>
        </w:rPr>
        <w:t xml:space="preserve"> This case goes against consent, </w:t>
      </w:r>
      <w:r w:rsidRPr="5EF9118D" w:rsidR="27E03FCB">
        <w:rPr>
          <w:rFonts w:ascii="Arial" w:hAnsi="Arial" w:eastAsia="Arial" w:cs="Arial"/>
          <w:sz w:val="24"/>
          <w:szCs w:val="24"/>
          <w:u w:val="none"/>
        </w:rPr>
        <w:t>regarding</w:t>
      </w:r>
      <w:r w:rsidRPr="5EF9118D" w:rsidR="27E03FCB">
        <w:rPr>
          <w:rFonts w:ascii="Arial" w:hAnsi="Arial" w:eastAsia="Arial" w:cs="Arial"/>
          <w:sz w:val="24"/>
          <w:szCs w:val="24"/>
          <w:u w:val="none"/>
        </w:rPr>
        <w:t xml:space="preserve"> battery</w:t>
      </w:r>
      <w:r w:rsidRPr="5EF9118D" w:rsidR="693B5A99">
        <w:rPr>
          <w:rFonts w:ascii="Arial" w:hAnsi="Arial" w:eastAsia="Arial" w:cs="Arial"/>
          <w:sz w:val="24"/>
          <w:szCs w:val="24"/>
          <w:u w:val="none"/>
        </w:rPr>
        <w:t>,</w:t>
      </w:r>
      <w:r w:rsidRPr="5EF9118D" w:rsidR="27E03FCB">
        <w:rPr>
          <w:rFonts w:ascii="Arial" w:hAnsi="Arial" w:eastAsia="Arial" w:cs="Arial"/>
          <w:sz w:val="24"/>
          <w:szCs w:val="24"/>
          <w:u w:val="none"/>
        </w:rPr>
        <w:t xml:space="preserve"> as the claimant did not </w:t>
      </w:r>
      <w:r w:rsidRPr="5EF9118D" w:rsidR="726EB9A2">
        <w:rPr>
          <w:rFonts w:ascii="Arial" w:hAnsi="Arial" w:eastAsia="Arial" w:cs="Arial"/>
          <w:sz w:val="24"/>
          <w:szCs w:val="24"/>
          <w:u w:val="none"/>
        </w:rPr>
        <w:t>agree</w:t>
      </w:r>
      <w:r w:rsidRPr="5EF9118D" w:rsidR="27E03FCB">
        <w:rPr>
          <w:rFonts w:ascii="Arial" w:hAnsi="Arial" w:eastAsia="Arial" w:cs="Arial"/>
          <w:sz w:val="24"/>
          <w:szCs w:val="24"/>
          <w:u w:val="none"/>
        </w:rPr>
        <w:t xml:space="preserve"> to be punched in the eye for refusing to have intercourse</w:t>
      </w:r>
      <w:r w:rsidRPr="5EF9118D" w:rsidR="271988A3">
        <w:rPr>
          <w:rFonts w:ascii="Arial" w:hAnsi="Arial" w:eastAsia="Arial" w:cs="Arial"/>
          <w:sz w:val="24"/>
          <w:szCs w:val="24"/>
          <w:u w:val="none"/>
        </w:rPr>
        <w:t>.</w:t>
      </w:r>
      <w:r w:rsidRPr="5EF9118D" w:rsidR="4C2344B0">
        <w:rPr>
          <w:rFonts w:ascii="Arial" w:hAnsi="Arial" w:eastAsia="Arial" w:cs="Arial"/>
          <w:sz w:val="24"/>
          <w:szCs w:val="24"/>
          <w:u w:val="none"/>
        </w:rPr>
        <w:t xml:space="preserve"> I</w:t>
      </w:r>
      <w:r w:rsidRPr="5EF9118D" w:rsidR="39EAC5D6">
        <w:rPr>
          <w:rFonts w:ascii="Arial" w:hAnsi="Arial" w:eastAsia="Arial" w:cs="Arial"/>
          <w:sz w:val="24"/>
          <w:szCs w:val="24"/>
          <w:u w:val="none"/>
        </w:rPr>
        <w:t>t</w:t>
      </w:r>
      <w:r w:rsidRPr="5EF9118D" w:rsidR="4C2344B0">
        <w:rPr>
          <w:rFonts w:ascii="Arial" w:hAnsi="Arial" w:eastAsia="Arial" w:cs="Arial"/>
          <w:sz w:val="24"/>
          <w:szCs w:val="24"/>
          <w:u w:val="none"/>
        </w:rPr>
        <w:t xml:space="preserve"> also goes against consent, sexually; Section 74 of the Sexual Offences Act, 2003.</w:t>
      </w:r>
    </w:p>
    <w:p w:rsidR="5EF9118D" w:rsidP="5EF9118D" w:rsidRDefault="5EF9118D" w14:paraId="7D06C64F" w14:textId="601EF314">
      <w:pPr>
        <w:pStyle w:val="Normal"/>
        <w:spacing w:line="480" w:lineRule="auto"/>
        <w:rPr>
          <w:rFonts w:ascii="Arial" w:hAnsi="Arial" w:eastAsia="Arial" w:cs="Arial"/>
          <w:sz w:val="24"/>
          <w:szCs w:val="24"/>
          <w:u w:val="none"/>
        </w:rPr>
      </w:pPr>
    </w:p>
    <w:p w:rsidR="71E5A1FD" w:rsidP="5EF9118D" w:rsidRDefault="71E5A1FD" w14:paraId="4802D7DB" w14:textId="6CCF3E6C">
      <w:pPr>
        <w:pStyle w:val="Normal"/>
        <w:spacing w:line="480" w:lineRule="auto"/>
        <w:rPr>
          <w:rFonts w:ascii="Arial" w:hAnsi="Arial" w:eastAsia="Arial" w:cs="Arial"/>
          <w:sz w:val="24"/>
          <w:szCs w:val="24"/>
          <w:u w:val="none"/>
        </w:rPr>
      </w:pPr>
      <w:r w:rsidRPr="5EF9118D" w:rsidR="71E5A1FD">
        <w:rPr>
          <w:rFonts w:ascii="Arial" w:hAnsi="Arial" w:eastAsia="Arial" w:cs="Arial"/>
          <w:sz w:val="24"/>
          <w:szCs w:val="24"/>
          <w:u w:val="none"/>
        </w:rPr>
        <w:t xml:space="preserve">Within the legal context, </w:t>
      </w:r>
      <w:r w:rsidRPr="5EF9118D" w:rsidR="45F04DD6">
        <w:rPr>
          <w:rFonts w:ascii="Arial" w:hAnsi="Arial" w:eastAsia="Arial" w:cs="Arial"/>
          <w:sz w:val="24"/>
          <w:szCs w:val="24"/>
          <w:u w:val="none"/>
        </w:rPr>
        <w:t xml:space="preserve">battery is a punishable offence with a fine or </w:t>
      </w:r>
      <w:r w:rsidRPr="5EF9118D" w:rsidR="0E04E733">
        <w:rPr>
          <w:rFonts w:ascii="Arial" w:hAnsi="Arial" w:eastAsia="Arial" w:cs="Arial"/>
          <w:sz w:val="24"/>
          <w:szCs w:val="24"/>
          <w:u w:val="none"/>
        </w:rPr>
        <w:t>a maximum</w:t>
      </w:r>
      <w:r w:rsidRPr="5EF9118D" w:rsidR="45F04DD6">
        <w:rPr>
          <w:rFonts w:ascii="Arial" w:hAnsi="Arial" w:eastAsia="Arial" w:cs="Arial"/>
          <w:sz w:val="24"/>
          <w:szCs w:val="24"/>
          <w:u w:val="none"/>
        </w:rPr>
        <w:t xml:space="preserve"> of six months imprisonment</w:t>
      </w:r>
      <w:r w:rsidRPr="5EF9118D" w:rsidR="608A2D03">
        <w:rPr>
          <w:rFonts w:ascii="Arial" w:hAnsi="Arial" w:eastAsia="Arial" w:cs="Arial"/>
          <w:sz w:val="24"/>
          <w:szCs w:val="24"/>
          <w:u w:val="none"/>
        </w:rPr>
        <w:t xml:space="preserve"> but, common law is left to define the offence as with assault. (</w:t>
      </w:r>
      <w:r w:rsidRPr="5EF9118D" w:rsidR="700D8F68">
        <w:rPr>
          <w:rFonts w:ascii="Arial" w:hAnsi="Arial" w:eastAsia="Arial" w:cs="Arial"/>
          <w:sz w:val="24"/>
          <w:szCs w:val="24"/>
          <w:u w:val="none"/>
        </w:rPr>
        <w:t xml:space="preserve">Elliott &amp; Quinn, 2018). </w:t>
      </w:r>
      <w:r w:rsidRPr="5EF9118D" w:rsidR="4027D9AF">
        <w:rPr>
          <w:rFonts w:ascii="Arial" w:hAnsi="Arial" w:eastAsia="Arial" w:cs="Arial"/>
          <w:sz w:val="24"/>
          <w:szCs w:val="24"/>
          <w:u w:val="none"/>
        </w:rPr>
        <w:t>Battery has two fundamental elements consisting of Actus reus</w:t>
      </w:r>
      <w:r w:rsidRPr="5EF9118D" w:rsidR="398D16B0">
        <w:rPr>
          <w:rFonts w:ascii="Arial" w:hAnsi="Arial" w:eastAsia="Arial" w:cs="Arial"/>
          <w:sz w:val="24"/>
          <w:szCs w:val="24"/>
          <w:u w:val="none"/>
        </w:rPr>
        <w:t xml:space="preserve"> </w:t>
      </w:r>
      <w:r w:rsidRPr="5EF9118D" w:rsidR="38A9E8F7">
        <w:rPr>
          <w:rFonts w:ascii="Arial" w:hAnsi="Arial" w:eastAsia="Arial" w:cs="Arial"/>
          <w:sz w:val="24"/>
          <w:szCs w:val="24"/>
          <w:u w:val="none"/>
        </w:rPr>
        <w:t>a</w:t>
      </w:r>
      <w:r w:rsidRPr="5EF9118D" w:rsidR="4027D9AF">
        <w:rPr>
          <w:rFonts w:ascii="Arial" w:hAnsi="Arial" w:eastAsia="Arial" w:cs="Arial"/>
          <w:sz w:val="24"/>
          <w:szCs w:val="24"/>
          <w:u w:val="none"/>
        </w:rPr>
        <w:t xml:space="preserve">nd </w:t>
      </w:r>
      <w:r w:rsidRPr="5EF9118D" w:rsidR="0DFFEB9A">
        <w:rPr>
          <w:rFonts w:ascii="Arial" w:hAnsi="Arial" w:eastAsia="Arial" w:cs="Arial"/>
          <w:sz w:val="24"/>
          <w:szCs w:val="24"/>
          <w:u w:val="none"/>
        </w:rPr>
        <w:t>Men's</w:t>
      </w:r>
      <w:r w:rsidRPr="5EF9118D" w:rsidR="4027D9AF">
        <w:rPr>
          <w:rFonts w:ascii="Arial" w:hAnsi="Arial" w:eastAsia="Arial" w:cs="Arial"/>
          <w:sz w:val="24"/>
          <w:szCs w:val="24"/>
          <w:u w:val="none"/>
        </w:rPr>
        <w:t xml:space="preserve"> rea. </w:t>
      </w:r>
      <w:r w:rsidRPr="5EF9118D" w:rsidR="28971849">
        <w:rPr>
          <w:rFonts w:ascii="Arial" w:hAnsi="Arial" w:eastAsia="Arial" w:cs="Arial"/>
          <w:sz w:val="24"/>
          <w:szCs w:val="24"/>
          <w:u w:val="none"/>
        </w:rPr>
        <w:t xml:space="preserve">Actus reus is the action of committing an offence, for example, with battery, </w:t>
      </w:r>
      <w:r w:rsidRPr="5EF9118D" w:rsidR="1BC9EB81">
        <w:rPr>
          <w:rFonts w:ascii="Arial" w:hAnsi="Arial" w:eastAsia="Arial" w:cs="Arial"/>
          <w:sz w:val="24"/>
          <w:szCs w:val="24"/>
          <w:u w:val="none"/>
        </w:rPr>
        <w:t xml:space="preserve">the action of </w:t>
      </w:r>
      <w:r w:rsidRPr="5EF9118D" w:rsidR="28971849">
        <w:rPr>
          <w:rFonts w:ascii="Arial" w:hAnsi="Arial" w:eastAsia="Arial" w:cs="Arial"/>
          <w:sz w:val="24"/>
          <w:szCs w:val="24"/>
          <w:u w:val="none"/>
        </w:rPr>
        <w:t xml:space="preserve">throwing eggs at a person </w:t>
      </w:r>
      <w:r w:rsidRPr="5EF9118D" w:rsidR="6BEF3053">
        <w:rPr>
          <w:rFonts w:ascii="Arial" w:hAnsi="Arial" w:eastAsia="Arial" w:cs="Arial"/>
          <w:sz w:val="24"/>
          <w:szCs w:val="24"/>
          <w:u w:val="none"/>
        </w:rPr>
        <w:t xml:space="preserve">in </w:t>
      </w:r>
      <w:r w:rsidRPr="5EF9118D" w:rsidR="28971849">
        <w:rPr>
          <w:rFonts w:ascii="Arial" w:hAnsi="Arial" w:eastAsia="Arial" w:cs="Arial"/>
          <w:sz w:val="24"/>
          <w:szCs w:val="24"/>
          <w:u w:val="none"/>
        </w:rPr>
        <w:t>attempt to make th</w:t>
      </w:r>
      <w:r w:rsidRPr="5EF9118D" w:rsidR="223081E5">
        <w:rPr>
          <w:rFonts w:ascii="Arial" w:hAnsi="Arial" w:eastAsia="Arial" w:cs="Arial"/>
          <w:sz w:val="24"/>
          <w:szCs w:val="24"/>
          <w:u w:val="none"/>
        </w:rPr>
        <w:t xml:space="preserve">em feel threatened. </w:t>
      </w:r>
      <w:r w:rsidRPr="5EF9118D" w:rsidR="574E43EB">
        <w:rPr>
          <w:rFonts w:ascii="Arial" w:hAnsi="Arial" w:eastAsia="Arial" w:cs="Arial"/>
          <w:sz w:val="24"/>
          <w:szCs w:val="24"/>
          <w:u w:val="none"/>
        </w:rPr>
        <w:t xml:space="preserve">The </w:t>
      </w:r>
      <w:r w:rsidRPr="5EF9118D" w:rsidR="0178569C">
        <w:rPr>
          <w:rFonts w:ascii="Arial" w:hAnsi="Arial" w:eastAsia="Arial" w:cs="Arial"/>
          <w:sz w:val="24"/>
          <w:szCs w:val="24"/>
          <w:u w:val="none"/>
        </w:rPr>
        <w:t xml:space="preserve">other fundamental element is </w:t>
      </w:r>
      <w:r w:rsidRPr="5EF9118D" w:rsidR="2D6DAAC3">
        <w:rPr>
          <w:rFonts w:ascii="Arial" w:hAnsi="Arial" w:eastAsia="Arial" w:cs="Arial"/>
          <w:sz w:val="24"/>
          <w:szCs w:val="24"/>
          <w:u w:val="none"/>
        </w:rPr>
        <w:t>Men's</w:t>
      </w:r>
      <w:r w:rsidRPr="5EF9118D" w:rsidR="0178569C">
        <w:rPr>
          <w:rFonts w:ascii="Arial" w:hAnsi="Arial" w:eastAsia="Arial" w:cs="Arial"/>
          <w:sz w:val="24"/>
          <w:szCs w:val="24"/>
          <w:u w:val="none"/>
        </w:rPr>
        <w:t xml:space="preserve"> rea which is the mental element of committing a crime. </w:t>
      </w:r>
      <w:r w:rsidRPr="5EF9118D" w:rsidR="0178569C">
        <w:rPr>
          <w:rFonts w:ascii="Arial" w:hAnsi="Arial" w:eastAsia="Arial" w:cs="Arial"/>
          <w:sz w:val="24"/>
          <w:szCs w:val="24"/>
          <w:u w:val="none"/>
        </w:rPr>
        <w:t>Exploring battery, this can link to the intention of wanting to cause a person harm and inf</w:t>
      </w:r>
      <w:r w:rsidRPr="5EF9118D" w:rsidR="386CF99B">
        <w:rPr>
          <w:rFonts w:ascii="Arial" w:hAnsi="Arial" w:eastAsia="Arial" w:cs="Arial"/>
          <w:sz w:val="24"/>
          <w:szCs w:val="24"/>
          <w:u w:val="none"/>
        </w:rPr>
        <w:t>licting serious wounds - grievous bodily harm.</w:t>
      </w:r>
      <w:r w:rsidRPr="5EF9118D" w:rsidR="2F1458E6">
        <w:rPr>
          <w:rFonts w:ascii="Arial" w:hAnsi="Arial" w:eastAsia="Arial" w:cs="Arial"/>
          <w:sz w:val="24"/>
          <w:szCs w:val="24"/>
          <w:u w:val="none"/>
        </w:rPr>
        <w:t xml:space="preserve"> In the UK, regulations surrounding the offence of battery consist of </w:t>
      </w:r>
      <w:r w:rsidRPr="5EF9118D" w:rsidR="21C8190E">
        <w:rPr>
          <w:rFonts w:ascii="Arial" w:hAnsi="Arial" w:eastAsia="Arial" w:cs="Arial"/>
          <w:sz w:val="24"/>
          <w:szCs w:val="24"/>
          <w:u w:val="none"/>
        </w:rPr>
        <w:t>defences</w:t>
      </w:r>
      <w:r w:rsidRPr="5EF9118D" w:rsidR="0E66CB7F">
        <w:rPr>
          <w:rFonts w:ascii="Arial" w:hAnsi="Arial" w:eastAsia="Arial" w:cs="Arial"/>
          <w:sz w:val="24"/>
          <w:szCs w:val="24"/>
          <w:u w:val="none"/>
        </w:rPr>
        <w:t>, civil remedy, nature of battery</w:t>
      </w:r>
      <w:r w:rsidRPr="5EF9118D" w:rsidR="585430C6">
        <w:rPr>
          <w:rFonts w:ascii="Arial" w:hAnsi="Arial" w:eastAsia="Arial" w:cs="Arial"/>
          <w:sz w:val="24"/>
          <w:szCs w:val="24"/>
          <w:u w:val="none"/>
        </w:rPr>
        <w:t>,</w:t>
      </w:r>
      <w:r w:rsidRPr="5EF9118D" w:rsidR="0E66CB7F">
        <w:rPr>
          <w:rFonts w:ascii="Arial" w:hAnsi="Arial" w:eastAsia="Arial" w:cs="Arial"/>
          <w:sz w:val="24"/>
          <w:szCs w:val="24"/>
          <w:u w:val="none"/>
        </w:rPr>
        <w:t xml:space="preserve"> </w:t>
      </w:r>
      <w:r w:rsidRPr="5EF9118D" w:rsidR="19DC23F2">
        <w:rPr>
          <w:rFonts w:ascii="Arial" w:hAnsi="Arial" w:eastAsia="Arial" w:cs="Arial"/>
          <w:sz w:val="24"/>
          <w:szCs w:val="24"/>
          <w:u w:val="none"/>
        </w:rPr>
        <w:t>consent,</w:t>
      </w:r>
      <w:r w:rsidRPr="5EF9118D" w:rsidR="0E66CB7F">
        <w:rPr>
          <w:rFonts w:ascii="Arial" w:hAnsi="Arial" w:eastAsia="Arial" w:cs="Arial"/>
          <w:sz w:val="24"/>
          <w:szCs w:val="24"/>
          <w:u w:val="none"/>
        </w:rPr>
        <w:t xml:space="preserve"> </w:t>
      </w:r>
      <w:r w:rsidRPr="5EF9118D" w:rsidR="51447ABF">
        <w:rPr>
          <w:rFonts w:ascii="Arial" w:hAnsi="Arial" w:eastAsia="Arial" w:cs="Arial"/>
          <w:sz w:val="24"/>
          <w:szCs w:val="24"/>
          <w:u w:val="none"/>
        </w:rPr>
        <w:t xml:space="preserve">and aggravated battery (McBain, 2015). </w:t>
      </w:r>
      <w:r w:rsidRPr="5EF9118D" w:rsidR="42A9E2B1">
        <w:rPr>
          <w:rFonts w:ascii="Arial" w:hAnsi="Arial" w:eastAsia="Arial" w:cs="Arial"/>
          <w:sz w:val="24"/>
          <w:szCs w:val="24"/>
          <w:u w:val="none"/>
        </w:rPr>
        <w:t>A critical regulation around battery offences is shown within this example from Elliott and Quinn’s (2018) book; The actus reus o</w:t>
      </w:r>
      <w:r w:rsidRPr="5EF9118D" w:rsidR="21FC554A">
        <w:rPr>
          <w:rFonts w:ascii="Arial" w:hAnsi="Arial" w:eastAsia="Arial" w:cs="Arial"/>
          <w:sz w:val="24"/>
          <w:szCs w:val="24"/>
          <w:u w:val="none"/>
        </w:rPr>
        <w:t>f battery offences (S. 39, CJA 1988) is an unlawful application of force. This links to the men's rea which is the intention o</w:t>
      </w:r>
      <w:r w:rsidRPr="5EF9118D" w:rsidR="5A3AA417">
        <w:rPr>
          <w:rFonts w:ascii="Arial" w:hAnsi="Arial" w:eastAsia="Arial" w:cs="Arial"/>
          <w:sz w:val="24"/>
          <w:szCs w:val="24"/>
          <w:u w:val="none"/>
        </w:rPr>
        <w:t>r recklessness as to the application of unlawful force.</w:t>
      </w:r>
    </w:p>
    <w:p w:rsidR="5EF9118D" w:rsidP="5EF9118D" w:rsidRDefault="5EF9118D" w14:paraId="18543038" w14:textId="49A69B39">
      <w:pPr>
        <w:pStyle w:val="Normal"/>
        <w:spacing w:line="480" w:lineRule="auto"/>
        <w:rPr>
          <w:rFonts w:ascii="Arial" w:hAnsi="Arial" w:eastAsia="Arial" w:cs="Arial"/>
          <w:sz w:val="24"/>
          <w:szCs w:val="24"/>
          <w:u w:val="none"/>
        </w:rPr>
      </w:pPr>
    </w:p>
    <w:p w:rsidR="5D8DB73C" w:rsidP="5EF9118D" w:rsidRDefault="5D8DB73C" w14:paraId="1F248C78" w14:textId="6EE6C95A">
      <w:pPr>
        <w:pStyle w:val="Normal"/>
        <w:spacing w:line="480" w:lineRule="auto"/>
        <w:rPr>
          <w:rFonts w:ascii="Arial" w:hAnsi="Arial" w:eastAsia="Arial" w:cs="Arial"/>
          <w:sz w:val="24"/>
          <w:szCs w:val="24"/>
          <w:u w:val="none"/>
        </w:rPr>
      </w:pPr>
      <w:r w:rsidRPr="5EF9118D" w:rsidR="5D8DB73C">
        <w:rPr>
          <w:rFonts w:ascii="Arial" w:hAnsi="Arial" w:eastAsia="Arial" w:cs="Arial"/>
          <w:sz w:val="24"/>
          <w:szCs w:val="24"/>
          <w:u w:val="none"/>
        </w:rPr>
        <w:t xml:space="preserve">The role of consent within battery is a key area for concern because it can make a difference in </w:t>
      </w:r>
      <w:r w:rsidRPr="5EF9118D" w:rsidR="158C687E">
        <w:rPr>
          <w:rFonts w:ascii="Arial" w:hAnsi="Arial" w:eastAsia="Arial" w:cs="Arial"/>
          <w:sz w:val="24"/>
          <w:szCs w:val="24"/>
          <w:u w:val="none"/>
        </w:rPr>
        <w:t xml:space="preserve">understanding, in court, </w:t>
      </w:r>
      <w:r w:rsidRPr="5EF9118D" w:rsidR="5D8DB73C">
        <w:rPr>
          <w:rFonts w:ascii="Arial" w:hAnsi="Arial" w:eastAsia="Arial" w:cs="Arial"/>
          <w:sz w:val="24"/>
          <w:szCs w:val="24"/>
          <w:u w:val="none"/>
        </w:rPr>
        <w:t>whether a person has had an offence committed against them or not.</w:t>
      </w:r>
      <w:r w:rsidRPr="5EF9118D" w:rsidR="270C0AB1">
        <w:rPr>
          <w:rFonts w:ascii="Arial" w:hAnsi="Arial" w:eastAsia="Arial" w:cs="Arial"/>
          <w:sz w:val="24"/>
          <w:szCs w:val="24"/>
          <w:u w:val="none"/>
        </w:rPr>
        <w:t xml:space="preserve"> If an individual consents to an action, knowing the nature or intention of the outcome from the action, then it can be argued – within circumstances – that battery </w:t>
      </w:r>
      <w:r w:rsidRPr="5EF9118D" w:rsidR="283BF988">
        <w:rPr>
          <w:rFonts w:ascii="Arial" w:hAnsi="Arial" w:eastAsia="Arial" w:cs="Arial"/>
          <w:sz w:val="24"/>
          <w:szCs w:val="24"/>
          <w:u w:val="none"/>
        </w:rPr>
        <w:t>has not occurred. Moreover, if an individual does not give their valid consent to an action and has not got understanding of the others intention - men's Rea</w:t>
      </w:r>
      <w:r w:rsidRPr="5EF9118D" w:rsidR="66E0DEB9">
        <w:rPr>
          <w:rFonts w:ascii="Arial" w:hAnsi="Arial" w:eastAsia="Arial" w:cs="Arial"/>
          <w:sz w:val="24"/>
          <w:szCs w:val="24"/>
          <w:u w:val="none"/>
        </w:rPr>
        <w:t>;</w:t>
      </w:r>
      <w:r w:rsidRPr="5EF9118D" w:rsidR="283BF988">
        <w:rPr>
          <w:rFonts w:ascii="Arial" w:hAnsi="Arial" w:eastAsia="Arial" w:cs="Arial"/>
          <w:sz w:val="24"/>
          <w:szCs w:val="24"/>
          <w:u w:val="none"/>
        </w:rPr>
        <w:t xml:space="preserve"> when the action</w:t>
      </w:r>
      <w:r w:rsidRPr="5EF9118D" w:rsidR="2CA3414D">
        <w:rPr>
          <w:rFonts w:ascii="Arial" w:hAnsi="Arial" w:eastAsia="Arial" w:cs="Arial"/>
          <w:sz w:val="24"/>
          <w:szCs w:val="24"/>
          <w:u w:val="none"/>
        </w:rPr>
        <w:t xml:space="preserve"> occurs without the individual agreeing to it, it can be considered - within circumstances </w:t>
      </w:r>
      <w:r w:rsidRPr="5EF9118D" w:rsidR="780B09BB">
        <w:rPr>
          <w:rFonts w:ascii="Arial" w:hAnsi="Arial" w:eastAsia="Arial" w:cs="Arial"/>
          <w:sz w:val="24"/>
          <w:szCs w:val="24"/>
          <w:u w:val="none"/>
        </w:rPr>
        <w:t xml:space="preserve">- </w:t>
      </w:r>
      <w:r w:rsidRPr="5EF9118D" w:rsidR="2CA3414D">
        <w:rPr>
          <w:rFonts w:ascii="Arial" w:hAnsi="Arial" w:eastAsia="Arial" w:cs="Arial"/>
          <w:sz w:val="24"/>
          <w:szCs w:val="24"/>
          <w:u w:val="none"/>
        </w:rPr>
        <w:t xml:space="preserve">to be a case of battery. </w:t>
      </w:r>
      <w:r w:rsidRPr="5EF9118D" w:rsidR="7E71A01F">
        <w:rPr>
          <w:rFonts w:ascii="Arial" w:hAnsi="Arial" w:eastAsia="Arial" w:cs="Arial"/>
          <w:sz w:val="24"/>
          <w:szCs w:val="24"/>
          <w:u w:val="none"/>
        </w:rPr>
        <w:t xml:space="preserve">This provides efficient knowledge that without consent, or a consent with mental </w:t>
      </w:r>
      <w:r w:rsidRPr="5EF9118D" w:rsidR="7E71A01F">
        <w:rPr>
          <w:rFonts w:ascii="Arial" w:hAnsi="Arial" w:eastAsia="Arial" w:cs="Arial"/>
          <w:sz w:val="24"/>
          <w:szCs w:val="24"/>
          <w:u w:val="none"/>
        </w:rPr>
        <w:t>capacity</w:t>
      </w:r>
      <w:r w:rsidRPr="5EF9118D" w:rsidR="7E71A01F">
        <w:rPr>
          <w:rFonts w:ascii="Arial" w:hAnsi="Arial" w:eastAsia="Arial" w:cs="Arial"/>
          <w:sz w:val="24"/>
          <w:szCs w:val="24"/>
          <w:u w:val="none"/>
        </w:rPr>
        <w:t>, that an action can resul</w:t>
      </w:r>
      <w:r w:rsidRPr="5EF9118D" w:rsidR="16026186">
        <w:rPr>
          <w:rFonts w:ascii="Arial" w:hAnsi="Arial" w:eastAsia="Arial" w:cs="Arial"/>
          <w:sz w:val="24"/>
          <w:szCs w:val="24"/>
          <w:u w:val="none"/>
        </w:rPr>
        <w:t>t in being charged with an offence of battery due to misunderstanding.</w:t>
      </w:r>
      <w:r w:rsidRPr="5EF9118D" w:rsidR="12DD633F">
        <w:rPr>
          <w:rFonts w:ascii="Arial" w:hAnsi="Arial" w:eastAsia="Arial" w:cs="Arial"/>
          <w:sz w:val="24"/>
          <w:szCs w:val="24"/>
          <w:u w:val="none"/>
        </w:rPr>
        <w:t xml:space="preserve"> From this, </w:t>
      </w:r>
      <w:r w:rsidRPr="5EF9118D" w:rsidR="30D4BB09">
        <w:rPr>
          <w:rFonts w:ascii="Arial" w:hAnsi="Arial" w:eastAsia="Arial" w:cs="Arial"/>
          <w:sz w:val="24"/>
          <w:szCs w:val="24"/>
          <w:u w:val="none"/>
        </w:rPr>
        <w:t>without</w:t>
      </w:r>
      <w:r w:rsidRPr="5EF9118D" w:rsidR="12DD633F">
        <w:rPr>
          <w:rFonts w:ascii="Arial" w:hAnsi="Arial" w:eastAsia="Arial" w:cs="Arial"/>
          <w:sz w:val="24"/>
          <w:szCs w:val="24"/>
          <w:u w:val="none"/>
        </w:rPr>
        <w:t xml:space="preserve"> giving consent, battery occurs. Furthermore, it also</w:t>
      </w:r>
      <w:r w:rsidRPr="5EF9118D" w:rsidR="722FD5D7">
        <w:rPr>
          <w:rFonts w:ascii="Arial" w:hAnsi="Arial" w:eastAsia="Arial" w:cs="Arial"/>
          <w:sz w:val="24"/>
          <w:szCs w:val="24"/>
          <w:u w:val="none"/>
        </w:rPr>
        <w:t xml:space="preserve"> shows that within giving consent in an activity such as sexual intercourse</w:t>
      </w:r>
      <w:r w:rsidRPr="5EF9118D" w:rsidR="6AC60C70">
        <w:rPr>
          <w:rFonts w:ascii="Arial" w:hAnsi="Arial" w:eastAsia="Arial" w:cs="Arial"/>
          <w:sz w:val="24"/>
          <w:szCs w:val="24"/>
          <w:u w:val="none"/>
        </w:rPr>
        <w:t>;</w:t>
      </w:r>
      <w:r w:rsidRPr="5EF9118D" w:rsidR="722FD5D7">
        <w:rPr>
          <w:rFonts w:ascii="Arial" w:hAnsi="Arial" w:eastAsia="Arial" w:cs="Arial"/>
          <w:sz w:val="24"/>
          <w:szCs w:val="24"/>
          <w:u w:val="none"/>
        </w:rPr>
        <w:t xml:space="preserve"> throughout, battery does not occur as both parties </w:t>
      </w:r>
      <w:r w:rsidRPr="5EF9118D" w:rsidR="6A970BC6">
        <w:rPr>
          <w:rFonts w:ascii="Arial" w:hAnsi="Arial" w:eastAsia="Arial" w:cs="Arial"/>
          <w:sz w:val="24"/>
          <w:szCs w:val="24"/>
          <w:u w:val="none"/>
        </w:rPr>
        <w:t xml:space="preserve">have </w:t>
      </w:r>
      <w:r w:rsidRPr="5EF9118D" w:rsidR="722FD5D7">
        <w:rPr>
          <w:rFonts w:ascii="Arial" w:hAnsi="Arial" w:eastAsia="Arial" w:cs="Arial"/>
          <w:sz w:val="24"/>
          <w:szCs w:val="24"/>
          <w:u w:val="none"/>
        </w:rPr>
        <w:t xml:space="preserve">agreed, with mental </w:t>
      </w:r>
      <w:r w:rsidRPr="5EF9118D" w:rsidR="722FD5D7">
        <w:rPr>
          <w:rFonts w:ascii="Arial" w:hAnsi="Arial" w:eastAsia="Arial" w:cs="Arial"/>
          <w:sz w:val="24"/>
          <w:szCs w:val="24"/>
          <w:u w:val="none"/>
        </w:rPr>
        <w:t>capacity</w:t>
      </w:r>
      <w:r w:rsidRPr="5EF9118D" w:rsidR="722FD5D7">
        <w:rPr>
          <w:rFonts w:ascii="Arial" w:hAnsi="Arial" w:eastAsia="Arial" w:cs="Arial"/>
          <w:sz w:val="24"/>
          <w:szCs w:val="24"/>
          <w:u w:val="none"/>
        </w:rPr>
        <w:t xml:space="preserve">, to </w:t>
      </w:r>
      <w:r w:rsidRPr="5EF9118D" w:rsidR="722FD5D7">
        <w:rPr>
          <w:rFonts w:ascii="Arial" w:hAnsi="Arial" w:eastAsia="Arial" w:cs="Arial"/>
          <w:sz w:val="24"/>
          <w:szCs w:val="24"/>
          <w:u w:val="none"/>
        </w:rPr>
        <w:t>participate</w:t>
      </w:r>
      <w:r w:rsidRPr="5EF9118D" w:rsidR="722FD5D7">
        <w:rPr>
          <w:rFonts w:ascii="Arial" w:hAnsi="Arial" w:eastAsia="Arial" w:cs="Arial"/>
          <w:sz w:val="24"/>
          <w:szCs w:val="24"/>
          <w:u w:val="none"/>
        </w:rPr>
        <w:t xml:space="preserve"> knowing th</w:t>
      </w:r>
      <w:r w:rsidRPr="5EF9118D" w:rsidR="51824870">
        <w:rPr>
          <w:rFonts w:ascii="Arial" w:hAnsi="Arial" w:eastAsia="Arial" w:cs="Arial"/>
          <w:sz w:val="24"/>
          <w:szCs w:val="24"/>
          <w:u w:val="none"/>
        </w:rPr>
        <w:t>e action and intention behind it.</w:t>
      </w:r>
      <w:r w:rsidRPr="5EF9118D" w:rsidR="305251AA">
        <w:rPr>
          <w:rFonts w:ascii="Arial" w:hAnsi="Arial" w:eastAsia="Arial" w:cs="Arial"/>
          <w:sz w:val="24"/>
          <w:szCs w:val="24"/>
          <w:u w:val="none"/>
        </w:rPr>
        <w:t xml:space="preserve"> An example of battery is </w:t>
      </w:r>
      <w:r w:rsidRPr="5EF9118D" w:rsidR="28E875AE">
        <w:rPr>
          <w:rFonts w:ascii="Arial" w:hAnsi="Arial" w:eastAsia="Arial" w:cs="Arial"/>
          <w:sz w:val="24"/>
          <w:szCs w:val="24"/>
          <w:u w:val="none"/>
        </w:rPr>
        <w:t>State v. Schutte when a driver ran over and injured a pedestrian, through the act of speeding. The court concluded the driver drov</w:t>
      </w:r>
      <w:r w:rsidRPr="5EF9118D" w:rsidR="10C6A759">
        <w:rPr>
          <w:rFonts w:ascii="Arial" w:hAnsi="Arial" w:eastAsia="Arial" w:cs="Arial"/>
          <w:sz w:val="24"/>
          <w:szCs w:val="24"/>
          <w:u w:val="none"/>
        </w:rPr>
        <w:t>e the car with intention - men's Rea - knowing the different outcomes of the situation as they were speeding. (</w:t>
      </w:r>
      <w:r w:rsidRPr="5EF9118D" w:rsidR="7B590B5C">
        <w:rPr>
          <w:rFonts w:ascii="Arial" w:hAnsi="Arial" w:eastAsia="Arial" w:cs="Arial"/>
          <w:sz w:val="24"/>
          <w:szCs w:val="24"/>
          <w:u w:val="none"/>
        </w:rPr>
        <w:t>Spragens</w:t>
      </w:r>
      <w:r w:rsidRPr="5EF9118D" w:rsidR="7B590B5C">
        <w:rPr>
          <w:rFonts w:ascii="Arial" w:hAnsi="Arial" w:eastAsia="Arial" w:cs="Arial"/>
          <w:sz w:val="24"/>
          <w:szCs w:val="24"/>
          <w:u w:val="none"/>
        </w:rPr>
        <w:t>, 1941).</w:t>
      </w:r>
      <w:r w:rsidRPr="5EF9118D" w:rsidR="3CDEBD7E">
        <w:rPr>
          <w:rFonts w:ascii="Arial" w:hAnsi="Arial" w:eastAsia="Arial" w:cs="Arial"/>
          <w:sz w:val="24"/>
          <w:szCs w:val="24"/>
          <w:u w:val="none"/>
        </w:rPr>
        <w:t xml:space="preserve"> This example differentiates that the victim </w:t>
      </w:r>
      <w:r w:rsidRPr="5EF9118D" w:rsidR="2EE0C121">
        <w:rPr>
          <w:rFonts w:ascii="Arial" w:hAnsi="Arial" w:eastAsia="Arial" w:cs="Arial"/>
          <w:sz w:val="24"/>
          <w:szCs w:val="24"/>
          <w:u w:val="none"/>
        </w:rPr>
        <w:t xml:space="preserve">did not consent to being knocked over by the car to inflict </w:t>
      </w:r>
      <w:bookmarkStart w:name="_Int_1SWyJQVh" w:id="1787071970"/>
      <w:r w:rsidRPr="5EF9118D" w:rsidR="2EE0C121">
        <w:rPr>
          <w:rFonts w:ascii="Arial" w:hAnsi="Arial" w:eastAsia="Arial" w:cs="Arial"/>
          <w:sz w:val="24"/>
          <w:szCs w:val="24"/>
          <w:u w:val="none"/>
        </w:rPr>
        <w:t>serious injury</w:t>
      </w:r>
      <w:bookmarkEnd w:id="1787071970"/>
      <w:r w:rsidRPr="5EF9118D" w:rsidR="2EE0C121">
        <w:rPr>
          <w:rFonts w:ascii="Arial" w:hAnsi="Arial" w:eastAsia="Arial" w:cs="Arial"/>
          <w:sz w:val="24"/>
          <w:szCs w:val="24"/>
          <w:u w:val="none"/>
        </w:rPr>
        <w:t xml:space="preserve">. This also shows the victim had mental </w:t>
      </w:r>
      <w:r w:rsidRPr="5EF9118D" w:rsidR="2EE0C121">
        <w:rPr>
          <w:rFonts w:ascii="Arial" w:hAnsi="Arial" w:eastAsia="Arial" w:cs="Arial"/>
          <w:sz w:val="24"/>
          <w:szCs w:val="24"/>
          <w:u w:val="none"/>
        </w:rPr>
        <w:t>capacity</w:t>
      </w:r>
      <w:r w:rsidRPr="5EF9118D" w:rsidR="2EE0C121">
        <w:rPr>
          <w:rFonts w:ascii="Arial" w:hAnsi="Arial" w:eastAsia="Arial" w:cs="Arial"/>
          <w:sz w:val="24"/>
          <w:szCs w:val="24"/>
          <w:u w:val="none"/>
        </w:rPr>
        <w:t xml:space="preserve"> because otherwise they might have agreed to such d</w:t>
      </w:r>
      <w:r w:rsidRPr="5EF9118D" w:rsidR="01EA3914">
        <w:rPr>
          <w:rFonts w:ascii="Arial" w:hAnsi="Arial" w:eastAsia="Arial" w:cs="Arial"/>
          <w:sz w:val="24"/>
          <w:szCs w:val="24"/>
          <w:u w:val="none"/>
        </w:rPr>
        <w:t>angerous behaviour; could be from trauma and difficulties with mental health.</w:t>
      </w:r>
    </w:p>
    <w:p w:rsidR="5EF9118D" w:rsidP="5EF9118D" w:rsidRDefault="5EF9118D" w14:paraId="0DE25A1F" w14:textId="014C6ED9">
      <w:pPr>
        <w:pStyle w:val="Normal"/>
        <w:spacing w:line="480" w:lineRule="auto"/>
        <w:rPr>
          <w:rFonts w:ascii="Arial" w:hAnsi="Arial" w:eastAsia="Arial" w:cs="Arial"/>
          <w:sz w:val="24"/>
          <w:szCs w:val="24"/>
          <w:u w:val="none"/>
        </w:rPr>
      </w:pPr>
    </w:p>
    <w:p w:rsidR="57685498" w:rsidP="5EF9118D" w:rsidRDefault="57685498" w14:paraId="532D5D68" w14:textId="216C2082">
      <w:pPr>
        <w:pStyle w:val="Normal"/>
        <w:spacing w:line="480" w:lineRule="auto"/>
        <w:rPr>
          <w:rFonts w:ascii="Arial" w:hAnsi="Arial" w:eastAsia="Arial" w:cs="Arial"/>
          <w:sz w:val="24"/>
          <w:szCs w:val="24"/>
          <w:u w:val="none"/>
        </w:rPr>
      </w:pPr>
      <w:r w:rsidRPr="5EF9118D" w:rsidR="57685498">
        <w:rPr>
          <w:rFonts w:ascii="Arial" w:hAnsi="Arial" w:eastAsia="Arial" w:cs="Arial"/>
          <w:sz w:val="24"/>
          <w:szCs w:val="24"/>
          <w:u w:val="none"/>
        </w:rPr>
        <w:t xml:space="preserve">Some challenges and grey areas within </w:t>
      </w:r>
      <w:r w:rsidRPr="5EF9118D" w:rsidR="57685498">
        <w:rPr>
          <w:rFonts w:ascii="Arial" w:hAnsi="Arial" w:eastAsia="Arial" w:cs="Arial"/>
          <w:sz w:val="24"/>
          <w:szCs w:val="24"/>
          <w:u w:val="none"/>
        </w:rPr>
        <w:t>determining</w:t>
      </w:r>
      <w:r w:rsidRPr="5EF9118D" w:rsidR="57685498">
        <w:rPr>
          <w:rFonts w:ascii="Arial" w:hAnsi="Arial" w:eastAsia="Arial" w:cs="Arial"/>
          <w:sz w:val="24"/>
          <w:szCs w:val="24"/>
          <w:u w:val="none"/>
        </w:rPr>
        <w:t xml:space="preserve"> consent can stem from the form of consent provided. </w:t>
      </w:r>
      <w:r w:rsidRPr="5EF9118D" w:rsidR="421ED1B0">
        <w:rPr>
          <w:rFonts w:ascii="Arial" w:hAnsi="Arial" w:eastAsia="Arial" w:cs="Arial"/>
          <w:sz w:val="24"/>
          <w:szCs w:val="24"/>
          <w:u w:val="none"/>
        </w:rPr>
        <w:t>In voluntary consent, the method of consent given to partake in activities is usually verbalised with language, using the word “yes.” However,</w:t>
      </w:r>
      <w:r w:rsidRPr="5EF9118D" w:rsidR="7A5D207D">
        <w:rPr>
          <w:rFonts w:ascii="Arial" w:hAnsi="Arial" w:eastAsia="Arial" w:cs="Arial"/>
          <w:sz w:val="24"/>
          <w:szCs w:val="24"/>
          <w:u w:val="none"/>
        </w:rPr>
        <w:t xml:space="preserve"> some people may nod their heads, or </w:t>
      </w:r>
      <w:r w:rsidRPr="5EF9118D" w:rsidR="7A5D207D">
        <w:rPr>
          <w:rFonts w:ascii="Arial" w:hAnsi="Arial" w:eastAsia="Arial" w:cs="Arial"/>
          <w:sz w:val="24"/>
          <w:szCs w:val="24"/>
          <w:u w:val="none"/>
        </w:rPr>
        <w:t>provide</w:t>
      </w:r>
      <w:r w:rsidRPr="5EF9118D" w:rsidR="7A5D207D">
        <w:rPr>
          <w:rFonts w:ascii="Arial" w:hAnsi="Arial" w:eastAsia="Arial" w:cs="Arial"/>
          <w:sz w:val="24"/>
          <w:szCs w:val="24"/>
          <w:u w:val="none"/>
        </w:rPr>
        <w:t xml:space="preserve"> certain body language which is </w:t>
      </w:r>
      <w:r w:rsidRPr="5EF9118D" w:rsidR="747ABC3B">
        <w:rPr>
          <w:rFonts w:ascii="Arial" w:hAnsi="Arial" w:eastAsia="Arial" w:cs="Arial"/>
          <w:sz w:val="24"/>
          <w:szCs w:val="24"/>
          <w:u w:val="none"/>
        </w:rPr>
        <w:t>perceived</w:t>
      </w:r>
      <w:r w:rsidRPr="5EF9118D" w:rsidR="7A5D207D">
        <w:rPr>
          <w:rFonts w:ascii="Arial" w:hAnsi="Arial" w:eastAsia="Arial" w:cs="Arial"/>
          <w:sz w:val="24"/>
          <w:szCs w:val="24"/>
          <w:u w:val="none"/>
        </w:rPr>
        <w:t xml:space="preserve"> by the other person as a ’yes</w:t>
      </w:r>
      <w:r w:rsidRPr="5EF9118D" w:rsidR="5554DA7E">
        <w:rPr>
          <w:rFonts w:ascii="Arial" w:hAnsi="Arial" w:eastAsia="Arial" w:cs="Arial"/>
          <w:sz w:val="24"/>
          <w:szCs w:val="24"/>
          <w:u w:val="none"/>
        </w:rPr>
        <w:t>,’</w:t>
      </w:r>
      <w:r w:rsidRPr="5EF9118D" w:rsidR="21B6F463">
        <w:rPr>
          <w:rFonts w:ascii="Arial" w:hAnsi="Arial" w:eastAsia="Arial" w:cs="Arial"/>
          <w:sz w:val="24"/>
          <w:szCs w:val="24"/>
          <w:u w:val="none"/>
        </w:rPr>
        <w:t xml:space="preserve"> </w:t>
      </w:r>
      <w:r w:rsidRPr="5EF9118D" w:rsidR="467D98AD">
        <w:rPr>
          <w:rFonts w:ascii="Arial" w:hAnsi="Arial" w:eastAsia="Arial" w:cs="Arial"/>
          <w:sz w:val="24"/>
          <w:szCs w:val="24"/>
          <w:u w:val="none"/>
        </w:rPr>
        <w:t xml:space="preserve">not </w:t>
      </w:r>
      <w:r w:rsidRPr="5EF9118D" w:rsidR="7EBBE77A">
        <w:rPr>
          <w:rFonts w:ascii="Arial" w:hAnsi="Arial" w:eastAsia="Arial" w:cs="Arial"/>
          <w:sz w:val="24"/>
          <w:szCs w:val="24"/>
          <w:u w:val="none"/>
        </w:rPr>
        <w:t>using verbal communication. Furthermore, in informed consent</w:t>
      </w:r>
      <w:r w:rsidRPr="5EF9118D" w:rsidR="2C36A1AA">
        <w:rPr>
          <w:rFonts w:ascii="Arial" w:hAnsi="Arial" w:eastAsia="Arial" w:cs="Arial"/>
          <w:sz w:val="24"/>
          <w:szCs w:val="24"/>
          <w:u w:val="none"/>
        </w:rPr>
        <w:t>, it can still be challenged as to whether consent is given, correctly, and abiding by the law. This is because a person</w:t>
      </w:r>
      <w:r w:rsidRPr="5EF9118D" w:rsidR="54A1D42F">
        <w:rPr>
          <w:rFonts w:ascii="Arial" w:hAnsi="Arial" w:eastAsia="Arial" w:cs="Arial"/>
          <w:sz w:val="24"/>
          <w:szCs w:val="24"/>
          <w:u w:val="none"/>
        </w:rPr>
        <w:t xml:space="preserve"> may agree on a contract to something specific but end up feeling forced or pressured into doing other things, not </w:t>
      </w:r>
      <w:r w:rsidRPr="5EF9118D" w:rsidR="54A1D42F">
        <w:rPr>
          <w:rFonts w:ascii="Arial" w:hAnsi="Arial" w:eastAsia="Arial" w:cs="Arial"/>
          <w:sz w:val="24"/>
          <w:szCs w:val="24"/>
          <w:u w:val="none"/>
        </w:rPr>
        <w:t>stated</w:t>
      </w:r>
      <w:r w:rsidRPr="5EF9118D" w:rsidR="54A1D42F">
        <w:rPr>
          <w:rFonts w:ascii="Arial" w:hAnsi="Arial" w:eastAsia="Arial" w:cs="Arial"/>
          <w:sz w:val="24"/>
          <w:szCs w:val="24"/>
          <w:u w:val="none"/>
        </w:rPr>
        <w:t xml:space="preserve"> in the contract, just because they have signed an agreement. People are sometimes unaware that they can </w:t>
      </w:r>
      <w:r w:rsidRPr="5EF9118D" w:rsidR="002FD369">
        <w:rPr>
          <w:rFonts w:ascii="Arial" w:hAnsi="Arial" w:eastAsia="Arial" w:cs="Arial"/>
          <w:sz w:val="24"/>
          <w:szCs w:val="24"/>
          <w:u w:val="none"/>
        </w:rPr>
        <w:t>always withdraw from consent</w:t>
      </w:r>
      <w:r w:rsidRPr="5EF9118D" w:rsidR="54A1D42F">
        <w:rPr>
          <w:rFonts w:ascii="Arial" w:hAnsi="Arial" w:eastAsia="Arial" w:cs="Arial"/>
          <w:sz w:val="24"/>
          <w:szCs w:val="24"/>
          <w:u w:val="none"/>
        </w:rPr>
        <w:t>.</w:t>
      </w:r>
      <w:r w:rsidRPr="5EF9118D" w:rsidR="348FF39A">
        <w:rPr>
          <w:rFonts w:ascii="Arial" w:hAnsi="Arial" w:eastAsia="Arial" w:cs="Arial"/>
          <w:sz w:val="24"/>
          <w:szCs w:val="24"/>
          <w:u w:val="none"/>
        </w:rPr>
        <w:t xml:space="preserve"> </w:t>
      </w:r>
      <w:r w:rsidRPr="5EF9118D" w:rsidR="50EA0DC2">
        <w:rPr>
          <w:rFonts w:ascii="Arial" w:hAnsi="Arial" w:eastAsia="Arial" w:cs="Arial"/>
          <w:sz w:val="24"/>
          <w:szCs w:val="24"/>
          <w:u w:val="none"/>
        </w:rPr>
        <w:t>This can also cause ethical dilemmas such as confidentiality</w:t>
      </w:r>
      <w:r w:rsidRPr="5EF9118D" w:rsidR="7ED171C1">
        <w:rPr>
          <w:rFonts w:ascii="Arial" w:hAnsi="Arial" w:eastAsia="Arial" w:cs="Arial"/>
          <w:sz w:val="24"/>
          <w:szCs w:val="24"/>
          <w:u w:val="none"/>
        </w:rPr>
        <w:t xml:space="preserve"> and an understanding of risks and procedures. </w:t>
      </w:r>
      <w:r w:rsidRPr="5EF9118D" w:rsidR="02935B37">
        <w:rPr>
          <w:rFonts w:ascii="Arial" w:hAnsi="Arial" w:eastAsia="Arial" w:cs="Arial"/>
          <w:sz w:val="24"/>
          <w:szCs w:val="24"/>
          <w:u w:val="none"/>
        </w:rPr>
        <w:t>For example, the case of R v. Brown (1993)</w:t>
      </w:r>
      <w:r w:rsidRPr="5EF9118D" w:rsidR="1B4FE7D6">
        <w:rPr>
          <w:rFonts w:ascii="Arial" w:hAnsi="Arial" w:eastAsia="Arial" w:cs="Arial"/>
          <w:sz w:val="24"/>
          <w:szCs w:val="24"/>
          <w:u w:val="none"/>
        </w:rPr>
        <w:t>, wh</w:t>
      </w:r>
      <w:r w:rsidRPr="5EF9118D" w:rsidR="1B4FE7D6">
        <w:rPr>
          <w:rFonts w:ascii="Arial" w:hAnsi="Arial" w:eastAsia="Arial" w:cs="Arial"/>
          <w:sz w:val="24"/>
          <w:szCs w:val="24"/>
          <w:u w:val="none"/>
        </w:rPr>
        <w:t xml:space="preserve">en </w:t>
      </w:r>
      <w:r w:rsidRPr="5EF9118D" w:rsidR="1B4FE7D6">
        <w:rPr>
          <w:rFonts w:ascii="Arial" w:hAnsi="Arial" w:eastAsia="Arial" w:cs="Arial"/>
          <w:sz w:val="24"/>
          <w:szCs w:val="24"/>
          <w:u w:val="none"/>
        </w:rPr>
        <w:t>sta</w:t>
      </w:r>
      <w:r w:rsidRPr="5EF9118D" w:rsidR="1B4FE7D6">
        <w:rPr>
          <w:rFonts w:ascii="Arial" w:hAnsi="Arial" w:eastAsia="Arial" w:cs="Arial"/>
          <w:sz w:val="24"/>
          <w:szCs w:val="24"/>
          <w:u w:val="none"/>
        </w:rPr>
        <w:t>ted</w:t>
      </w:r>
      <w:r w:rsidRPr="5EF9118D" w:rsidR="1B4FE7D6">
        <w:rPr>
          <w:rFonts w:ascii="Arial" w:hAnsi="Arial" w:eastAsia="Arial" w:cs="Arial"/>
          <w:sz w:val="24"/>
          <w:szCs w:val="24"/>
          <w:u w:val="none"/>
        </w:rPr>
        <w:t xml:space="preserve"> by the judge; </w:t>
      </w:r>
      <w:r w:rsidRPr="5EF9118D" w:rsidR="7286C253">
        <w:rPr>
          <w:rFonts w:ascii="Arial" w:hAnsi="Arial" w:eastAsia="Arial" w:cs="Arial"/>
          <w:sz w:val="24"/>
          <w:szCs w:val="24"/>
          <w:u w:val="none"/>
        </w:rPr>
        <w:t>“</w:t>
      </w:r>
      <w:r w:rsidRPr="5EF9118D" w:rsidR="1B4FE7D6">
        <w:rPr>
          <w:rFonts w:ascii="Arial" w:hAnsi="Arial" w:eastAsia="Arial" w:cs="Arial"/>
          <w:sz w:val="24"/>
          <w:szCs w:val="24"/>
          <w:u w:val="none"/>
        </w:rPr>
        <w:t>it</w:t>
      </w:r>
      <w:r w:rsidRPr="5EF9118D" w:rsidR="1B4FE7D6">
        <w:rPr>
          <w:rFonts w:ascii="Arial" w:hAnsi="Arial" w:eastAsia="Arial" w:cs="Arial"/>
          <w:sz w:val="24"/>
          <w:szCs w:val="24"/>
          <w:u w:val="none"/>
        </w:rPr>
        <w:t xml:space="preserve"> is an unlawful act to beat another person with such a degree of violence that the infliction of bodily harm is a </w:t>
      </w:r>
      <w:r w:rsidRPr="5EF9118D" w:rsidR="13344FBB">
        <w:rPr>
          <w:rFonts w:ascii="Arial" w:hAnsi="Arial" w:eastAsia="Arial" w:cs="Arial"/>
          <w:sz w:val="24"/>
          <w:szCs w:val="24"/>
          <w:u w:val="none"/>
        </w:rPr>
        <w:t xml:space="preserve">probable consequence, and when such an act is proved, consent is </w:t>
      </w:r>
      <w:r w:rsidRPr="5EF9118D" w:rsidR="2505BDBD">
        <w:rPr>
          <w:rFonts w:ascii="Arial" w:hAnsi="Arial" w:eastAsia="Arial" w:cs="Arial"/>
          <w:sz w:val="24"/>
          <w:szCs w:val="24"/>
          <w:u w:val="none"/>
        </w:rPr>
        <w:t>immaterial.” This shows that the conse</w:t>
      </w:r>
      <w:r w:rsidRPr="5EF9118D" w:rsidR="2505BDBD">
        <w:rPr>
          <w:rFonts w:ascii="Arial" w:hAnsi="Arial" w:eastAsia="Arial" w:cs="Arial"/>
          <w:sz w:val="24"/>
          <w:szCs w:val="24"/>
          <w:u w:val="none"/>
        </w:rPr>
        <w:t xml:space="preserve">nt </w:t>
      </w:r>
      <w:r w:rsidRPr="5EF9118D" w:rsidR="2505BDBD">
        <w:rPr>
          <w:rFonts w:ascii="Arial" w:hAnsi="Arial" w:eastAsia="Arial" w:cs="Arial"/>
          <w:sz w:val="24"/>
          <w:szCs w:val="24"/>
          <w:u w:val="none"/>
        </w:rPr>
        <w:t>provi</w:t>
      </w:r>
      <w:r w:rsidRPr="5EF9118D" w:rsidR="2505BDBD">
        <w:rPr>
          <w:rFonts w:ascii="Arial" w:hAnsi="Arial" w:eastAsia="Arial" w:cs="Arial"/>
          <w:sz w:val="24"/>
          <w:szCs w:val="24"/>
          <w:u w:val="none"/>
        </w:rPr>
        <w:t>ded</w:t>
      </w:r>
      <w:r w:rsidRPr="5EF9118D" w:rsidR="2505BDBD">
        <w:rPr>
          <w:rFonts w:ascii="Arial" w:hAnsi="Arial" w:eastAsia="Arial" w:cs="Arial"/>
          <w:sz w:val="24"/>
          <w:szCs w:val="24"/>
          <w:u w:val="none"/>
        </w:rPr>
        <w:t xml:space="preserve"> does not have any link or relevance to the issue within the case.</w:t>
      </w:r>
    </w:p>
    <w:p w:rsidR="5EF9118D" w:rsidP="5EF9118D" w:rsidRDefault="5EF9118D" w14:paraId="4F702A9F" w14:textId="6052780E">
      <w:pPr>
        <w:pStyle w:val="Normal"/>
        <w:spacing w:line="480" w:lineRule="auto"/>
        <w:rPr>
          <w:rFonts w:ascii="Arial" w:hAnsi="Arial" w:eastAsia="Arial" w:cs="Arial"/>
          <w:sz w:val="24"/>
          <w:szCs w:val="24"/>
          <w:u w:val="none"/>
        </w:rPr>
      </w:pPr>
    </w:p>
    <w:p w:rsidR="0196A940" w:rsidP="5EF9118D" w:rsidRDefault="0196A940" w14:paraId="4135BCA8" w14:textId="3F293FA1">
      <w:pPr>
        <w:pStyle w:val="Normal"/>
        <w:spacing w:line="480" w:lineRule="auto"/>
        <w:rPr>
          <w:rFonts w:ascii="Arial" w:hAnsi="Arial" w:eastAsia="Arial" w:cs="Arial"/>
          <w:sz w:val="24"/>
          <w:szCs w:val="24"/>
          <w:u w:val="none"/>
        </w:rPr>
      </w:pPr>
      <w:r w:rsidRPr="5EF9118D" w:rsidR="0196A940">
        <w:rPr>
          <w:rFonts w:ascii="Arial" w:hAnsi="Arial" w:eastAsia="Arial" w:cs="Arial"/>
          <w:sz w:val="24"/>
          <w:szCs w:val="24"/>
          <w:u w:val="none"/>
        </w:rPr>
        <w:t xml:space="preserve">Consent can </w:t>
      </w:r>
      <w:r w:rsidRPr="5EF9118D" w:rsidR="0196A940">
        <w:rPr>
          <w:rFonts w:ascii="Arial" w:hAnsi="Arial" w:eastAsia="Arial" w:cs="Arial"/>
          <w:sz w:val="24"/>
          <w:szCs w:val="24"/>
          <w:u w:val="none"/>
        </w:rPr>
        <w:t>impact</w:t>
      </w:r>
      <w:r w:rsidRPr="5EF9118D" w:rsidR="0196A940">
        <w:rPr>
          <w:rFonts w:ascii="Arial" w:hAnsi="Arial" w:eastAsia="Arial" w:cs="Arial"/>
          <w:sz w:val="24"/>
          <w:szCs w:val="24"/>
          <w:u w:val="none"/>
        </w:rPr>
        <w:t xml:space="preserve"> legal outcomes of battery</w:t>
      </w:r>
      <w:r w:rsidRPr="5EF9118D" w:rsidR="1DB6448C">
        <w:rPr>
          <w:rFonts w:ascii="Arial" w:hAnsi="Arial" w:eastAsia="Arial" w:cs="Arial"/>
          <w:sz w:val="24"/>
          <w:szCs w:val="24"/>
          <w:u w:val="none"/>
        </w:rPr>
        <w:t xml:space="preserve"> cases</w:t>
      </w:r>
      <w:r w:rsidRPr="5EF9118D" w:rsidR="0196A940">
        <w:rPr>
          <w:rFonts w:ascii="Arial" w:hAnsi="Arial" w:eastAsia="Arial" w:cs="Arial"/>
          <w:sz w:val="24"/>
          <w:szCs w:val="24"/>
          <w:u w:val="none"/>
        </w:rPr>
        <w:t xml:space="preserve">, significantly. For instance, </w:t>
      </w:r>
      <w:r w:rsidRPr="5EF9118D" w:rsidR="08CD7FA9">
        <w:rPr>
          <w:rFonts w:ascii="Arial" w:hAnsi="Arial" w:eastAsia="Arial" w:cs="Arial"/>
          <w:sz w:val="24"/>
          <w:szCs w:val="24"/>
          <w:u w:val="none"/>
        </w:rPr>
        <w:t xml:space="preserve">if it is proven in court, under judicial review, that consent was provided by a person with </w:t>
      </w:r>
      <w:r w:rsidRPr="5EF9118D" w:rsidR="08CD7FA9">
        <w:rPr>
          <w:rFonts w:ascii="Arial" w:hAnsi="Arial" w:eastAsia="Arial" w:cs="Arial"/>
          <w:sz w:val="24"/>
          <w:szCs w:val="24"/>
          <w:u w:val="none"/>
        </w:rPr>
        <w:t>capacity</w:t>
      </w:r>
      <w:r w:rsidRPr="5EF9118D" w:rsidR="08CD7FA9">
        <w:rPr>
          <w:rFonts w:ascii="Arial" w:hAnsi="Arial" w:eastAsia="Arial" w:cs="Arial"/>
          <w:sz w:val="24"/>
          <w:szCs w:val="24"/>
          <w:u w:val="none"/>
        </w:rPr>
        <w:t xml:space="preserve"> of mind, then the defendant is less likely to be committed to the offence o</w:t>
      </w:r>
      <w:r w:rsidRPr="5EF9118D" w:rsidR="0266E945">
        <w:rPr>
          <w:rFonts w:ascii="Arial" w:hAnsi="Arial" w:eastAsia="Arial" w:cs="Arial"/>
          <w:sz w:val="24"/>
          <w:szCs w:val="24"/>
          <w:u w:val="none"/>
        </w:rPr>
        <w:t xml:space="preserve">f battery. </w:t>
      </w:r>
      <w:r w:rsidRPr="5EF9118D" w:rsidR="62231303">
        <w:rPr>
          <w:rFonts w:ascii="Arial" w:hAnsi="Arial" w:eastAsia="Arial" w:cs="Arial"/>
          <w:sz w:val="24"/>
          <w:szCs w:val="24"/>
          <w:u w:val="none"/>
        </w:rPr>
        <w:t xml:space="preserve">Moreover, if in court there is evidence that valid consent was not given by the claimant to the </w:t>
      </w:r>
      <w:r w:rsidRPr="5EF9118D" w:rsidR="2FC72878">
        <w:rPr>
          <w:rFonts w:ascii="Arial" w:hAnsi="Arial" w:eastAsia="Arial" w:cs="Arial"/>
          <w:sz w:val="24"/>
          <w:szCs w:val="24"/>
          <w:u w:val="none"/>
        </w:rPr>
        <w:t>defendant</w:t>
      </w:r>
      <w:r w:rsidRPr="5EF9118D" w:rsidR="62231303">
        <w:rPr>
          <w:rFonts w:ascii="Arial" w:hAnsi="Arial" w:eastAsia="Arial" w:cs="Arial"/>
          <w:sz w:val="24"/>
          <w:szCs w:val="24"/>
          <w:u w:val="none"/>
        </w:rPr>
        <w:t xml:space="preserve"> </w:t>
      </w:r>
      <w:r w:rsidRPr="5EF9118D" w:rsidR="62231303">
        <w:rPr>
          <w:rFonts w:ascii="Arial" w:hAnsi="Arial" w:eastAsia="Arial" w:cs="Arial"/>
          <w:sz w:val="24"/>
          <w:szCs w:val="24"/>
          <w:u w:val="none"/>
        </w:rPr>
        <w:t>regarding</w:t>
      </w:r>
      <w:r w:rsidRPr="5EF9118D" w:rsidR="62231303">
        <w:rPr>
          <w:rFonts w:ascii="Arial" w:hAnsi="Arial" w:eastAsia="Arial" w:cs="Arial"/>
          <w:sz w:val="24"/>
          <w:szCs w:val="24"/>
          <w:u w:val="none"/>
        </w:rPr>
        <w:t xml:space="preserve"> an activity (voluntary, informed or verbal) then there is an inclination t</w:t>
      </w:r>
      <w:r w:rsidRPr="5EF9118D" w:rsidR="1B6295B7">
        <w:rPr>
          <w:rFonts w:ascii="Arial" w:hAnsi="Arial" w:eastAsia="Arial" w:cs="Arial"/>
          <w:sz w:val="24"/>
          <w:szCs w:val="24"/>
          <w:u w:val="none"/>
        </w:rPr>
        <w:t>o the likelihood that the defendant will be prosecuted for the offence of battery.</w:t>
      </w:r>
      <w:r w:rsidRPr="5EF9118D" w:rsidR="11527F68">
        <w:rPr>
          <w:rFonts w:ascii="Arial" w:hAnsi="Arial" w:eastAsia="Arial" w:cs="Arial"/>
          <w:sz w:val="24"/>
          <w:szCs w:val="24"/>
          <w:u w:val="none"/>
        </w:rPr>
        <w:t xml:space="preserve"> </w:t>
      </w:r>
      <w:r w:rsidRPr="5EF9118D" w:rsidR="6BC0BB3D">
        <w:rPr>
          <w:rFonts w:ascii="Arial" w:hAnsi="Arial" w:eastAsia="Arial" w:cs="Arial"/>
          <w:sz w:val="24"/>
          <w:szCs w:val="24"/>
          <w:u w:val="none"/>
        </w:rPr>
        <w:t xml:space="preserve">If battery is an offence committed against a person, the perpetrator can find themself in prison for up to six </w:t>
      </w:r>
      <w:r w:rsidRPr="5EF9118D" w:rsidR="3E46010E">
        <w:rPr>
          <w:rFonts w:ascii="Arial" w:hAnsi="Arial" w:eastAsia="Arial" w:cs="Arial"/>
          <w:sz w:val="24"/>
          <w:szCs w:val="24"/>
          <w:u w:val="none"/>
        </w:rPr>
        <w:t>months</w:t>
      </w:r>
      <w:r w:rsidRPr="5EF9118D" w:rsidR="6BC0BB3D">
        <w:rPr>
          <w:rFonts w:ascii="Arial" w:hAnsi="Arial" w:eastAsia="Arial" w:cs="Arial"/>
          <w:sz w:val="24"/>
          <w:szCs w:val="24"/>
          <w:u w:val="none"/>
        </w:rPr>
        <w:t xml:space="preserve"> </w:t>
      </w:r>
      <w:r w:rsidRPr="5EF9118D" w:rsidR="27C95AED">
        <w:rPr>
          <w:rFonts w:ascii="Arial" w:hAnsi="Arial" w:eastAsia="Arial" w:cs="Arial"/>
          <w:sz w:val="24"/>
          <w:szCs w:val="24"/>
          <w:u w:val="none"/>
        </w:rPr>
        <w:t xml:space="preserve">summarily, up to five years after and up to seven years if racially / </w:t>
      </w:r>
      <w:r w:rsidRPr="5EF9118D" w:rsidR="345BA614">
        <w:rPr>
          <w:rFonts w:ascii="Arial" w:hAnsi="Arial" w:eastAsia="Arial" w:cs="Arial"/>
          <w:sz w:val="24"/>
          <w:szCs w:val="24"/>
          <w:u w:val="none"/>
        </w:rPr>
        <w:t>discriminably</w:t>
      </w:r>
      <w:r w:rsidRPr="5EF9118D" w:rsidR="27C95AED">
        <w:rPr>
          <w:rFonts w:ascii="Arial" w:hAnsi="Arial" w:eastAsia="Arial" w:cs="Arial"/>
          <w:sz w:val="24"/>
          <w:szCs w:val="24"/>
          <w:u w:val="none"/>
        </w:rPr>
        <w:t xml:space="preserve"> motivated o</w:t>
      </w:r>
      <w:r w:rsidRPr="5EF9118D" w:rsidR="6BC0BB3D">
        <w:rPr>
          <w:rFonts w:ascii="Arial" w:hAnsi="Arial" w:eastAsia="Arial" w:cs="Arial"/>
          <w:sz w:val="24"/>
          <w:szCs w:val="24"/>
          <w:u w:val="none"/>
        </w:rPr>
        <w:t>r a hefty fine for the damage (</w:t>
      </w:r>
      <w:r w:rsidRPr="5EF9118D" w:rsidR="67CFAD7D">
        <w:rPr>
          <w:rFonts w:ascii="Arial" w:hAnsi="Arial" w:eastAsia="Arial" w:cs="Arial"/>
          <w:sz w:val="24"/>
          <w:szCs w:val="24"/>
          <w:u w:val="none"/>
        </w:rPr>
        <w:t xml:space="preserve">The Handbook for Policing Students, 2023). These penalties and procedures are in place for perpetrators of battery because it can cause trauma to the victim, </w:t>
      </w:r>
      <w:r w:rsidRPr="5EF9118D" w:rsidR="087D3AE5">
        <w:rPr>
          <w:rFonts w:ascii="Arial" w:hAnsi="Arial" w:eastAsia="Arial" w:cs="Arial"/>
          <w:sz w:val="24"/>
          <w:szCs w:val="24"/>
          <w:u w:val="none"/>
        </w:rPr>
        <w:t>victims'</w:t>
      </w:r>
      <w:r w:rsidRPr="5EF9118D" w:rsidR="67CFAD7D">
        <w:rPr>
          <w:rFonts w:ascii="Arial" w:hAnsi="Arial" w:eastAsia="Arial" w:cs="Arial"/>
          <w:sz w:val="24"/>
          <w:szCs w:val="24"/>
          <w:u w:val="none"/>
        </w:rPr>
        <w:t xml:space="preserve"> family and be </w:t>
      </w:r>
      <w:r w:rsidRPr="5EF9118D" w:rsidR="67CFAD7D">
        <w:rPr>
          <w:rFonts w:ascii="Arial" w:hAnsi="Arial" w:eastAsia="Arial" w:cs="Arial"/>
          <w:sz w:val="24"/>
          <w:szCs w:val="24"/>
          <w:u w:val="none"/>
        </w:rPr>
        <w:t>deemed</w:t>
      </w:r>
      <w:r w:rsidRPr="5EF9118D" w:rsidR="67CFAD7D">
        <w:rPr>
          <w:rFonts w:ascii="Arial" w:hAnsi="Arial" w:eastAsia="Arial" w:cs="Arial"/>
          <w:sz w:val="24"/>
          <w:szCs w:val="24"/>
          <w:u w:val="none"/>
        </w:rPr>
        <w:t xml:space="preserve"> as a danger t</w:t>
      </w:r>
      <w:r w:rsidRPr="5EF9118D" w:rsidR="73DC9A9E">
        <w:rPr>
          <w:rFonts w:ascii="Arial" w:hAnsi="Arial" w:eastAsia="Arial" w:cs="Arial"/>
          <w:sz w:val="24"/>
          <w:szCs w:val="24"/>
          <w:u w:val="none"/>
        </w:rPr>
        <w:t>o the rest of society. It is also in place because the family of the victim could become distressed and want to have revenge on the perpetrator.</w:t>
      </w:r>
    </w:p>
    <w:p w:rsidR="5EF9118D" w:rsidP="5EF9118D" w:rsidRDefault="5EF9118D" w14:paraId="7781F15D" w14:textId="34899B99">
      <w:pPr>
        <w:pStyle w:val="Normal"/>
        <w:spacing w:line="480" w:lineRule="auto"/>
        <w:rPr>
          <w:rFonts w:ascii="Arial" w:hAnsi="Arial" w:eastAsia="Arial" w:cs="Arial"/>
          <w:sz w:val="24"/>
          <w:szCs w:val="24"/>
          <w:u w:val="none"/>
        </w:rPr>
      </w:pPr>
    </w:p>
    <w:p w:rsidR="44D9AA89" w:rsidP="5EF9118D" w:rsidRDefault="44D9AA89" w14:paraId="120D9603" w14:textId="4E9CB64C">
      <w:pPr>
        <w:pStyle w:val="Normal"/>
        <w:spacing w:line="480" w:lineRule="auto"/>
        <w:rPr>
          <w:rFonts w:ascii="Arial" w:hAnsi="Arial" w:eastAsia="Arial" w:cs="Arial"/>
          <w:sz w:val="24"/>
          <w:szCs w:val="24"/>
          <w:u w:val="none"/>
        </w:rPr>
      </w:pPr>
      <w:r w:rsidRPr="5EF9118D" w:rsidR="44D9AA89">
        <w:rPr>
          <w:rFonts w:ascii="Arial" w:hAnsi="Arial" w:eastAsia="Arial" w:cs="Arial"/>
          <w:sz w:val="24"/>
          <w:szCs w:val="24"/>
          <w:u w:val="none"/>
        </w:rPr>
        <w:t xml:space="preserve">There is a lot of education </w:t>
      </w:r>
      <w:r w:rsidRPr="5EF9118D" w:rsidR="44D9AA89">
        <w:rPr>
          <w:rFonts w:ascii="Arial" w:hAnsi="Arial" w:eastAsia="Arial" w:cs="Arial"/>
          <w:sz w:val="24"/>
          <w:szCs w:val="24"/>
          <w:u w:val="none"/>
        </w:rPr>
        <w:t>provided</w:t>
      </w:r>
      <w:r w:rsidRPr="5EF9118D" w:rsidR="44D9AA89">
        <w:rPr>
          <w:rFonts w:ascii="Arial" w:hAnsi="Arial" w:eastAsia="Arial" w:cs="Arial"/>
          <w:sz w:val="24"/>
          <w:szCs w:val="24"/>
          <w:u w:val="none"/>
        </w:rPr>
        <w:t xml:space="preserve"> to show that there is understanding within the UK society of what consent is. </w:t>
      </w:r>
      <w:r w:rsidRPr="5EF9118D" w:rsidR="1EB7721D">
        <w:rPr>
          <w:rFonts w:ascii="Arial" w:hAnsi="Arial" w:eastAsia="Arial" w:cs="Arial"/>
          <w:sz w:val="24"/>
          <w:szCs w:val="24"/>
          <w:u w:val="none"/>
        </w:rPr>
        <w:t xml:space="preserve">Cambridge University (2018) reported that </w:t>
      </w:r>
      <w:r w:rsidRPr="5EF9118D" w:rsidR="331C04DE">
        <w:rPr>
          <w:rFonts w:ascii="Arial" w:hAnsi="Arial" w:eastAsia="Arial" w:cs="Arial"/>
          <w:sz w:val="24"/>
          <w:szCs w:val="24"/>
          <w:u w:val="none"/>
        </w:rPr>
        <w:t xml:space="preserve">“if designed age appropriately, consent education could begin much earlier.” </w:t>
      </w:r>
      <w:r w:rsidRPr="5EF9118D" w:rsidR="71D03296">
        <w:rPr>
          <w:rFonts w:ascii="Arial" w:hAnsi="Arial" w:eastAsia="Arial" w:cs="Arial"/>
          <w:sz w:val="24"/>
          <w:szCs w:val="24"/>
          <w:u w:val="none"/>
        </w:rPr>
        <w:t>Considering this, the education provided - mostly in school - is around sexual consent and not consent in other law areas, such as battery. Therefore, although many understand</w:t>
      </w:r>
      <w:r w:rsidRPr="5EF9118D" w:rsidR="332B4D65">
        <w:rPr>
          <w:rFonts w:ascii="Arial" w:hAnsi="Arial" w:eastAsia="Arial" w:cs="Arial"/>
          <w:sz w:val="24"/>
          <w:szCs w:val="24"/>
          <w:u w:val="none"/>
        </w:rPr>
        <w:t xml:space="preserve"> </w:t>
      </w:r>
      <w:r w:rsidRPr="5EF9118D" w:rsidR="4C6D13FB">
        <w:rPr>
          <w:rFonts w:ascii="Arial" w:hAnsi="Arial" w:eastAsia="Arial" w:cs="Arial"/>
          <w:sz w:val="24"/>
          <w:szCs w:val="24"/>
          <w:u w:val="none"/>
        </w:rPr>
        <w:t>consent,</w:t>
      </w:r>
      <w:r w:rsidRPr="5EF9118D" w:rsidR="332B4D65">
        <w:rPr>
          <w:rFonts w:ascii="Arial" w:hAnsi="Arial" w:eastAsia="Arial" w:cs="Arial"/>
          <w:sz w:val="24"/>
          <w:szCs w:val="24"/>
          <w:u w:val="none"/>
        </w:rPr>
        <w:t xml:space="preserve"> they do not understand the concept that consent can link with the offence of battery, in law. This is significant because </w:t>
      </w:r>
      <w:r w:rsidRPr="5EF9118D" w:rsidR="2AD5D570">
        <w:rPr>
          <w:rFonts w:ascii="Arial" w:hAnsi="Arial" w:eastAsia="Arial" w:cs="Arial"/>
          <w:sz w:val="24"/>
          <w:szCs w:val="24"/>
          <w:u w:val="none"/>
        </w:rPr>
        <w:t>in court many people may not grasp the rights that they have, without a lawyer or advisor. This links to misconceptions</w:t>
      </w:r>
      <w:r w:rsidRPr="5EF9118D" w:rsidR="57CC5D7D">
        <w:rPr>
          <w:rFonts w:ascii="Arial" w:hAnsi="Arial" w:eastAsia="Arial" w:cs="Arial"/>
          <w:sz w:val="24"/>
          <w:szCs w:val="24"/>
          <w:u w:val="none"/>
        </w:rPr>
        <w:t xml:space="preserve"> within society, creating a negative </w:t>
      </w:r>
      <w:r w:rsidRPr="5EF9118D" w:rsidR="57CC5D7D">
        <w:rPr>
          <w:rFonts w:ascii="Arial" w:hAnsi="Arial" w:eastAsia="Arial" w:cs="Arial"/>
          <w:sz w:val="24"/>
          <w:szCs w:val="24"/>
          <w:u w:val="none"/>
        </w:rPr>
        <w:t>perception</w:t>
      </w:r>
      <w:r w:rsidRPr="5EF9118D" w:rsidR="57CC5D7D">
        <w:rPr>
          <w:rFonts w:ascii="Arial" w:hAnsi="Arial" w:eastAsia="Arial" w:cs="Arial"/>
          <w:sz w:val="24"/>
          <w:szCs w:val="24"/>
          <w:u w:val="none"/>
        </w:rPr>
        <w:t xml:space="preserve"> of consent as the public tend to only consider consent in sexual activities, rather than a range of offences.</w:t>
      </w:r>
    </w:p>
    <w:p w:rsidR="5EF9118D" w:rsidP="5EF9118D" w:rsidRDefault="5EF9118D" w14:paraId="6032E0DB" w14:textId="7F407B3F">
      <w:pPr>
        <w:pStyle w:val="Normal"/>
        <w:spacing w:line="480" w:lineRule="auto"/>
        <w:rPr>
          <w:rFonts w:ascii="Arial" w:hAnsi="Arial" w:eastAsia="Arial" w:cs="Arial"/>
          <w:sz w:val="24"/>
          <w:szCs w:val="24"/>
          <w:u w:val="none"/>
        </w:rPr>
      </w:pPr>
    </w:p>
    <w:p w:rsidR="6894302C" w:rsidP="5EF9118D" w:rsidRDefault="6894302C" w14:paraId="7EAA9FE3" w14:textId="4DACCC81">
      <w:pPr>
        <w:pStyle w:val="Normal"/>
        <w:spacing w:line="480" w:lineRule="auto"/>
        <w:rPr>
          <w:rFonts w:ascii="Arial" w:hAnsi="Arial" w:eastAsia="Arial" w:cs="Arial"/>
          <w:sz w:val="24"/>
          <w:szCs w:val="24"/>
          <w:u w:val="none"/>
        </w:rPr>
      </w:pPr>
      <w:r w:rsidRPr="5EF9118D" w:rsidR="6894302C">
        <w:rPr>
          <w:rFonts w:ascii="Arial" w:hAnsi="Arial" w:eastAsia="Arial" w:cs="Arial"/>
          <w:sz w:val="24"/>
          <w:szCs w:val="24"/>
          <w:u w:val="none"/>
        </w:rPr>
        <w:t xml:space="preserve">To conclude this essay, </w:t>
      </w:r>
      <w:r w:rsidRPr="5EF9118D" w:rsidR="25722E8D">
        <w:rPr>
          <w:rFonts w:ascii="Arial" w:hAnsi="Arial" w:eastAsia="Arial" w:cs="Arial"/>
          <w:sz w:val="24"/>
          <w:szCs w:val="24"/>
          <w:u w:val="none"/>
        </w:rPr>
        <w:t xml:space="preserve">there is clear and concise understanding in the UK of the meaning of consent, but not as much understanding for the concept of battery offences. </w:t>
      </w:r>
      <w:r w:rsidRPr="5EF9118D" w:rsidR="0CAA971B">
        <w:rPr>
          <w:rFonts w:ascii="Arial" w:hAnsi="Arial" w:eastAsia="Arial" w:cs="Arial"/>
          <w:sz w:val="24"/>
          <w:szCs w:val="24"/>
          <w:u w:val="none"/>
        </w:rPr>
        <w:t xml:space="preserve">Explored throughout this essay was the link between consent and battery offences, and the evidence included </w:t>
      </w:r>
      <w:r w:rsidRPr="5EF9118D" w:rsidR="0CAA971B">
        <w:rPr>
          <w:rFonts w:ascii="Arial" w:hAnsi="Arial" w:eastAsia="Arial" w:cs="Arial"/>
          <w:sz w:val="24"/>
          <w:szCs w:val="24"/>
          <w:u w:val="none"/>
        </w:rPr>
        <w:t>provides</w:t>
      </w:r>
      <w:r w:rsidRPr="5EF9118D" w:rsidR="0CAA971B">
        <w:rPr>
          <w:rFonts w:ascii="Arial" w:hAnsi="Arial" w:eastAsia="Arial" w:cs="Arial"/>
          <w:sz w:val="24"/>
          <w:szCs w:val="24"/>
          <w:u w:val="none"/>
        </w:rPr>
        <w:t xml:space="preserve"> information to suggest that there is little understanding between the pair, in the same situ</w:t>
      </w:r>
      <w:r w:rsidRPr="5EF9118D" w:rsidR="39A11F28">
        <w:rPr>
          <w:rFonts w:ascii="Arial" w:hAnsi="Arial" w:eastAsia="Arial" w:cs="Arial"/>
          <w:sz w:val="24"/>
          <w:szCs w:val="24"/>
          <w:u w:val="none"/>
        </w:rPr>
        <w:t>ation. This is important to highlight, as it causes major concern during cases of battery that may not be reported. Regarding challenges and controversies</w:t>
      </w:r>
      <w:r w:rsidRPr="5EF9118D" w:rsidR="40193767">
        <w:rPr>
          <w:rFonts w:ascii="Arial" w:hAnsi="Arial" w:eastAsia="Arial" w:cs="Arial"/>
          <w:sz w:val="24"/>
          <w:szCs w:val="24"/>
          <w:u w:val="none"/>
        </w:rPr>
        <w:t>, critically pointed out in this essay, there are many issues in the concept of how consent can be obtained and withdrawn, especially in cases which lead to battery (unlawful force applied</w:t>
      </w:r>
      <w:r w:rsidRPr="5EF9118D" w:rsidR="60C6C4CE">
        <w:rPr>
          <w:rFonts w:ascii="Arial" w:hAnsi="Arial" w:eastAsia="Arial" w:cs="Arial"/>
          <w:sz w:val="24"/>
          <w:szCs w:val="24"/>
          <w:u w:val="none"/>
        </w:rPr>
        <w:t xml:space="preserve">). </w:t>
      </w:r>
      <w:r w:rsidRPr="5EF9118D" w:rsidR="312CD409">
        <w:rPr>
          <w:rFonts w:ascii="Arial" w:hAnsi="Arial" w:eastAsia="Arial" w:cs="Arial"/>
          <w:sz w:val="24"/>
          <w:szCs w:val="24"/>
          <w:u w:val="none"/>
        </w:rPr>
        <w:t>The evolving nature of consent in battery cases is detrimental and so education must be pivotal in society for effective understanding</w:t>
      </w:r>
      <w:r w:rsidRPr="5EF9118D" w:rsidR="1E7D42FF">
        <w:rPr>
          <w:rFonts w:ascii="Arial" w:hAnsi="Arial" w:eastAsia="Arial" w:cs="Arial"/>
          <w:sz w:val="24"/>
          <w:szCs w:val="24"/>
          <w:u w:val="none"/>
        </w:rPr>
        <w:t>, as cases in battery increase</w:t>
      </w:r>
      <w:r w:rsidRPr="5EF9118D" w:rsidR="79BC504F">
        <w:rPr>
          <w:rFonts w:ascii="Arial" w:hAnsi="Arial" w:eastAsia="Arial" w:cs="Arial"/>
          <w:sz w:val="24"/>
          <w:szCs w:val="24"/>
          <w:u w:val="none"/>
        </w:rPr>
        <w:t xml:space="preserve"> (GOV.UK, 2023).</w:t>
      </w:r>
    </w:p>
    <w:p w:rsidR="5EF9118D" w:rsidP="5EF9118D" w:rsidRDefault="5EF9118D" w14:paraId="5BC18647" w14:textId="46DC2FC0">
      <w:pPr>
        <w:pStyle w:val="Normal"/>
        <w:spacing w:line="480" w:lineRule="auto"/>
        <w:rPr>
          <w:rFonts w:ascii="Arial" w:hAnsi="Arial" w:eastAsia="Arial" w:cs="Arial"/>
          <w:sz w:val="24"/>
          <w:szCs w:val="24"/>
          <w:u w:val="single"/>
        </w:rPr>
      </w:pPr>
    </w:p>
    <w:p w:rsidR="607938D4" w:rsidP="5EF9118D" w:rsidRDefault="607938D4" w14:paraId="482A287D" w14:textId="63ED5275">
      <w:pPr>
        <w:pStyle w:val="Normal"/>
        <w:spacing w:line="480" w:lineRule="auto"/>
        <w:rPr>
          <w:rFonts w:ascii="Arial" w:hAnsi="Arial" w:eastAsia="Arial" w:cs="Arial"/>
          <w:sz w:val="24"/>
          <w:szCs w:val="24"/>
          <w:u w:val="single"/>
        </w:rPr>
      </w:pPr>
      <w:r w:rsidRPr="5EF9118D" w:rsidR="607938D4">
        <w:rPr>
          <w:rFonts w:ascii="Arial" w:hAnsi="Arial" w:eastAsia="Arial" w:cs="Arial"/>
          <w:sz w:val="24"/>
          <w:szCs w:val="24"/>
          <w:u w:val="single"/>
        </w:rPr>
        <w:t>Reference list:</w:t>
      </w:r>
    </w:p>
    <w:p w:rsidR="0B874AED" w:rsidP="5EF9118D" w:rsidRDefault="0B874AED" w14:paraId="302589EF" w14:textId="061C171D">
      <w:pPr>
        <w:pStyle w:val="Normal"/>
        <w:spacing w:line="480" w:lineRule="auto"/>
        <w:rPr>
          <w:rFonts w:ascii="Arial" w:hAnsi="Arial" w:eastAsia="Arial" w:cs="Arial"/>
          <w:i w:val="0"/>
          <w:iCs w:val="0"/>
          <w:sz w:val="24"/>
          <w:szCs w:val="24"/>
          <w:u w:val="none"/>
        </w:rPr>
      </w:pPr>
      <w:r w:rsidRPr="5EF9118D" w:rsidR="0B874AED">
        <w:rPr>
          <w:rFonts w:ascii="Arial" w:hAnsi="Arial" w:eastAsia="Arial" w:cs="Arial"/>
          <w:sz w:val="24"/>
          <w:szCs w:val="24"/>
          <w:u w:val="none"/>
        </w:rPr>
        <w:t xml:space="preserve">- </w:t>
      </w:r>
      <w:r w:rsidRPr="5EF9118D" w:rsidR="1162A673">
        <w:rPr>
          <w:rFonts w:ascii="Arial" w:hAnsi="Arial" w:eastAsia="Arial" w:cs="Arial"/>
          <w:sz w:val="24"/>
          <w:szCs w:val="24"/>
          <w:u w:val="none"/>
        </w:rPr>
        <w:t xml:space="preserve">Dr Blackburn, B., Dr Brady, E., Professor Bryant, R., Professor Duke, K., Dr Gilbert, P., </w:t>
      </w:r>
      <w:r w:rsidRPr="5EF9118D" w:rsidR="061ADFB3">
        <w:rPr>
          <w:rFonts w:ascii="Arial" w:hAnsi="Arial" w:eastAsia="Arial" w:cs="Arial"/>
          <w:sz w:val="24"/>
          <w:szCs w:val="24"/>
          <w:u w:val="none"/>
        </w:rPr>
        <w:t xml:space="preserve">Professor Goodman, A., Dr Graca, S., </w:t>
      </w:r>
      <w:r w:rsidRPr="5EF9118D" w:rsidR="061ADFB3">
        <w:rPr>
          <w:rFonts w:ascii="Arial" w:hAnsi="Arial" w:eastAsia="Arial" w:cs="Arial"/>
          <w:sz w:val="24"/>
          <w:szCs w:val="24"/>
          <w:u w:val="none"/>
        </w:rPr>
        <w:t>Honess</w:t>
      </w:r>
      <w:r w:rsidRPr="5EF9118D" w:rsidR="061ADFB3">
        <w:rPr>
          <w:rFonts w:ascii="Arial" w:hAnsi="Arial" w:eastAsia="Arial" w:cs="Arial"/>
          <w:sz w:val="24"/>
          <w:szCs w:val="24"/>
          <w:u w:val="none"/>
        </w:rPr>
        <w:t xml:space="preserve">, R., Hooper, G., Howard, A., Lawton-Barrett, K. </w:t>
      </w:r>
      <w:r w:rsidRPr="5EF9118D" w:rsidR="736B4EA8">
        <w:rPr>
          <w:rFonts w:ascii="Arial" w:hAnsi="Arial" w:eastAsia="Arial" w:cs="Arial"/>
          <w:sz w:val="24"/>
          <w:szCs w:val="24"/>
          <w:u w:val="none"/>
        </w:rPr>
        <w:t xml:space="preserve">Dr Leonard, V., Dr Lydon, D., Dr </w:t>
      </w:r>
      <w:r w:rsidRPr="5EF9118D" w:rsidR="736B4EA8">
        <w:rPr>
          <w:rFonts w:ascii="Arial" w:hAnsi="Arial" w:eastAsia="Arial" w:cs="Arial"/>
          <w:sz w:val="24"/>
          <w:szCs w:val="24"/>
          <w:u w:val="none"/>
        </w:rPr>
        <w:t>Mortellozzo</w:t>
      </w:r>
      <w:r w:rsidRPr="5EF9118D" w:rsidR="736B4EA8">
        <w:rPr>
          <w:rFonts w:ascii="Arial" w:hAnsi="Arial" w:eastAsia="Arial" w:cs="Arial"/>
          <w:sz w:val="24"/>
          <w:szCs w:val="24"/>
          <w:u w:val="none"/>
        </w:rPr>
        <w:t xml:space="preserve">, E., Mitchell, S., Dr </w:t>
      </w:r>
      <w:r w:rsidRPr="5EF9118D" w:rsidR="736B4EA8">
        <w:rPr>
          <w:rFonts w:ascii="Arial" w:hAnsi="Arial" w:eastAsia="Arial" w:cs="Arial"/>
          <w:sz w:val="24"/>
          <w:szCs w:val="24"/>
          <w:u w:val="none"/>
        </w:rPr>
        <w:t>Mozova</w:t>
      </w:r>
      <w:r w:rsidRPr="5EF9118D" w:rsidR="736B4EA8">
        <w:rPr>
          <w:rFonts w:ascii="Arial" w:hAnsi="Arial" w:eastAsia="Arial" w:cs="Arial"/>
          <w:sz w:val="24"/>
          <w:szCs w:val="24"/>
          <w:u w:val="none"/>
        </w:rPr>
        <w:t>, K., Norman, J., Norman, P., Dr Nunn</w:t>
      </w:r>
      <w:r w:rsidRPr="5EF9118D" w:rsidR="4775FA81">
        <w:rPr>
          <w:rFonts w:ascii="Arial" w:hAnsi="Arial" w:eastAsia="Arial" w:cs="Arial"/>
          <w:sz w:val="24"/>
          <w:szCs w:val="24"/>
          <w:u w:val="none"/>
        </w:rPr>
        <w:t xml:space="preserve">, J., Dr O’Neill, M., Owens, J., Smith, C., Dr Stephens, P., </w:t>
      </w:r>
      <w:r w:rsidRPr="5EF9118D" w:rsidR="4775FA81">
        <w:rPr>
          <w:rFonts w:ascii="Arial" w:hAnsi="Arial" w:eastAsia="Arial" w:cs="Arial"/>
          <w:sz w:val="24"/>
          <w:szCs w:val="24"/>
          <w:u w:val="none"/>
        </w:rPr>
        <w:t>Straine</w:t>
      </w:r>
      <w:r w:rsidRPr="5EF9118D" w:rsidR="4775FA81">
        <w:rPr>
          <w:rFonts w:ascii="Arial" w:hAnsi="Arial" w:eastAsia="Arial" w:cs="Arial"/>
          <w:sz w:val="24"/>
          <w:szCs w:val="24"/>
          <w:u w:val="none"/>
        </w:rPr>
        <w:t>-</w:t>
      </w:r>
      <w:r w:rsidRPr="5EF9118D" w:rsidR="7C881AA9">
        <w:rPr>
          <w:rFonts w:ascii="Arial" w:hAnsi="Arial" w:eastAsia="Arial" w:cs="Arial"/>
          <w:sz w:val="24"/>
          <w:szCs w:val="24"/>
          <w:u w:val="none"/>
        </w:rPr>
        <w:t xml:space="preserve">Francis, V., Dr Trebilcock, J., Underwood, R., Dr Ward, J., </w:t>
      </w:r>
      <w:r w:rsidRPr="5EF9118D" w:rsidR="7C881AA9">
        <w:rPr>
          <w:rFonts w:ascii="Arial" w:hAnsi="Arial" w:eastAsia="Arial" w:cs="Arial"/>
          <w:sz w:val="24"/>
          <w:szCs w:val="24"/>
          <w:u w:val="none"/>
        </w:rPr>
        <w:t>Woliter</w:t>
      </w:r>
      <w:r w:rsidRPr="5EF9118D" w:rsidR="7C881AA9">
        <w:rPr>
          <w:rFonts w:ascii="Arial" w:hAnsi="Arial" w:eastAsia="Arial" w:cs="Arial"/>
          <w:sz w:val="24"/>
          <w:szCs w:val="24"/>
          <w:u w:val="none"/>
        </w:rPr>
        <w:t>, S</w:t>
      </w:r>
      <w:r w:rsidRPr="5EF9118D" w:rsidR="297EA2B7">
        <w:rPr>
          <w:rFonts w:ascii="Arial" w:hAnsi="Arial" w:eastAsia="Arial" w:cs="Arial"/>
          <w:sz w:val="24"/>
          <w:szCs w:val="24"/>
          <w:u w:val="none"/>
        </w:rPr>
        <w:t>., (2022</w:t>
      </w:r>
      <w:r w:rsidRPr="5EF9118D" w:rsidR="752CE253">
        <w:rPr>
          <w:rFonts w:ascii="Arial" w:hAnsi="Arial" w:eastAsia="Arial" w:cs="Arial"/>
          <w:sz w:val="24"/>
          <w:szCs w:val="24"/>
          <w:u w:val="none"/>
        </w:rPr>
        <w:t xml:space="preserve"> A</w:t>
      </w:r>
      <w:r w:rsidRPr="5EF9118D" w:rsidR="297EA2B7">
        <w:rPr>
          <w:rFonts w:ascii="Arial" w:hAnsi="Arial" w:eastAsia="Arial" w:cs="Arial"/>
          <w:sz w:val="24"/>
          <w:szCs w:val="24"/>
          <w:u w:val="none"/>
        </w:rPr>
        <w:t xml:space="preserve">) </w:t>
      </w:r>
      <w:r w:rsidRPr="5EF9118D" w:rsidR="297EA2B7">
        <w:rPr>
          <w:rFonts w:ascii="Arial" w:hAnsi="Arial" w:eastAsia="Arial" w:cs="Arial"/>
          <w:i w:val="1"/>
          <w:iCs w:val="1"/>
          <w:sz w:val="24"/>
          <w:szCs w:val="24"/>
          <w:u w:val="none"/>
        </w:rPr>
        <w:t xml:space="preserve">Blackstone’s Handbook for Policing Students 2023: </w:t>
      </w:r>
      <w:r w:rsidRPr="5EF9118D" w:rsidR="40AED006">
        <w:rPr>
          <w:rFonts w:ascii="Arial" w:hAnsi="Arial" w:eastAsia="Arial" w:cs="Arial"/>
          <w:i w:val="0"/>
          <w:iCs w:val="0"/>
          <w:sz w:val="24"/>
          <w:szCs w:val="24"/>
          <w:u w:val="none"/>
        </w:rPr>
        <w:t>(</w:t>
      </w:r>
      <w:r w:rsidRPr="5EF9118D" w:rsidR="297EA2B7">
        <w:rPr>
          <w:rFonts w:ascii="Arial" w:hAnsi="Arial" w:eastAsia="Arial" w:cs="Arial"/>
          <w:i w:val="0"/>
          <w:iCs w:val="0"/>
          <w:sz w:val="24"/>
          <w:szCs w:val="24"/>
          <w:u w:val="none"/>
        </w:rPr>
        <w:t xml:space="preserve">17th </w:t>
      </w:r>
      <w:r w:rsidRPr="5EF9118D" w:rsidR="297EA2B7">
        <w:rPr>
          <w:rFonts w:ascii="Arial" w:hAnsi="Arial" w:eastAsia="Arial" w:cs="Arial"/>
          <w:i w:val="0"/>
          <w:iCs w:val="0"/>
          <w:sz w:val="24"/>
          <w:szCs w:val="24"/>
          <w:u w:val="none"/>
        </w:rPr>
        <w:t>ed</w:t>
      </w:r>
      <w:r w:rsidRPr="5EF9118D" w:rsidR="04953308">
        <w:rPr>
          <w:rFonts w:ascii="Arial" w:hAnsi="Arial" w:eastAsia="Arial" w:cs="Arial"/>
          <w:i w:val="0"/>
          <w:iCs w:val="0"/>
          <w:sz w:val="24"/>
          <w:szCs w:val="24"/>
          <w:u w:val="none"/>
        </w:rPr>
        <w:t>itio</w:t>
      </w:r>
      <w:r w:rsidRPr="5EF9118D" w:rsidR="297EA2B7">
        <w:rPr>
          <w:rFonts w:ascii="Arial" w:hAnsi="Arial" w:eastAsia="Arial" w:cs="Arial"/>
          <w:i w:val="0"/>
          <w:iCs w:val="0"/>
          <w:sz w:val="24"/>
          <w:szCs w:val="24"/>
          <w:u w:val="none"/>
        </w:rPr>
        <w:t>n</w:t>
      </w:r>
      <w:r w:rsidRPr="5EF9118D" w:rsidR="22B7783C">
        <w:rPr>
          <w:rFonts w:ascii="Arial" w:hAnsi="Arial" w:eastAsia="Arial" w:cs="Arial"/>
          <w:i w:val="0"/>
          <w:iCs w:val="0"/>
          <w:sz w:val="24"/>
          <w:szCs w:val="24"/>
          <w:u w:val="none"/>
        </w:rPr>
        <w:t>.</w:t>
      </w:r>
      <w:r w:rsidRPr="5EF9118D" w:rsidR="247FF187">
        <w:rPr>
          <w:rFonts w:ascii="Arial" w:hAnsi="Arial" w:eastAsia="Arial" w:cs="Arial"/>
          <w:i w:val="0"/>
          <w:iCs w:val="0"/>
          <w:sz w:val="24"/>
          <w:szCs w:val="24"/>
          <w:u w:val="none"/>
        </w:rPr>
        <w:t>)</w:t>
      </w:r>
      <w:r w:rsidRPr="5EF9118D" w:rsidR="5CF74EA0">
        <w:rPr>
          <w:rFonts w:ascii="Arial" w:hAnsi="Arial" w:eastAsia="Arial" w:cs="Arial"/>
          <w:i w:val="0"/>
          <w:iCs w:val="0"/>
          <w:sz w:val="24"/>
          <w:szCs w:val="24"/>
          <w:u w:val="none"/>
        </w:rPr>
        <w:t>,</w:t>
      </w:r>
      <w:r w:rsidRPr="5EF9118D" w:rsidR="297EA2B7">
        <w:rPr>
          <w:rFonts w:ascii="Arial" w:hAnsi="Arial" w:eastAsia="Arial" w:cs="Arial"/>
          <w:i w:val="1"/>
          <w:iCs w:val="1"/>
          <w:sz w:val="24"/>
          <w:szCs w:val="24"/>
          <w:u w:val="none"/>
        </w:rPr>
        <w:t xml:space="preserve"> </w:t>
      </w:r>
      <w:r w:rsidRPr="5EF9118D" w:rsidR="297EA2B7">
        <w:rPr>
          <w:rFonts w:ascii="Arial" w:hAnsi="Arial" w:eastAsia="Arial" w:cs="Arial"/>
          <w:i w:val="0"/>
          <w:iCs w:val="0"/>
          <w:sz w:val="24"/>
          <w:szCs w:val="24"/>
          <w:u w:val="none"/>
        </w:rPr>
        <w:t>pp. 407</w:t>
      </w:r>
      <w:r w:rsidRPr="5EF9118D" w:rsidR="377C9F14">
        <w:rPr>
          <w:rFonts w:ascii="Arial" w:hAnsi="Arial" w:eastAsia="Arial" w:cs="Arial"/>
          <w:i w:val="0"/>
          <w:iCs w:val="0"/>
          <w:sz w:val="24"/>
          <w:szCs w:val="24"/>
          <w:u w:val="none"/>
        </w:rPr>
        <w:t>., Oxford University Press, Great Clarendon Street, Oxford.</w:t>
      </w:r>
      <w:r w:rsidRPr="5EF9118D" w:rsidR="27314348">
        <w:rPr>
          <w:rFonts w:ascii="Arial" w:hAnsi="Arial" w:eastAsia="Arial" w:cs="Arial"/>
          <w:i w:val="0"/>
          <w:iCs w:val="0"/>
          <w:sz w:val="24"/>
          <w:szCs w:val="24"/>
          <w:u w:val="none"/>
        </w:rPr>
        <w:t xml:space="preserve"> </w:t>
      </w:r>
    </w:p>
    <w:p w:rsidR="7012B617" w:rsidP="5EF9118D" w:rsidRDefault="7012B617" w14:paraId="7A31D144" w14:textId="11EEA391">
      <w:pPr>
        <w:pStyle w:val="Normal"/>
        <w:spacing w:line="480" w:lineRule="auto"/>
        <w:rPr>
          <w:rFonts w:ascii="Arial" w:hAnsi="Arial" w:eastAsia="Arial" w:cs="Arial"/>
          <w:i w:val="0"/>
          <w:iCs w:val="0"/>
          <w:sz w:val="24"/>
          <w:szCs w:val="24"/>
          <w:u w:val="none"/>
        </w:rPr>
      </w:pPr>
      <w:r w:rsidRPr="5EF9118D" w:rsidR="7012B617">
        <w:rPr>
          <w:rFonts w:ascii="Arial" w:hAnsi="Arial" w:eastAsia="Arial" w:cs="Arial"/>
          <w:i w:val="0"/>
          <w:iCs w:val="0"/>
          <w:sz w:val="24"/>
          <w:szCs w:val="24"/>
          <w:u w:val="none"/>
        </w:rPr>
        <w:t xml:space="preserve">- Dr Blackburn, B., Dr Brady, E., Professor Bryant, R., Professor Duke, K., Dr Gilbert, </w:t>
      </w:r>
      <w:r w:rsidRPr="5EF9118D" w:rsidR="275FA3C7">
        <w:rPr>
          <w:rFonts w:ascii="Arial" w:hAnsi="Arial" w:eastAsia="Arial" w:cs="Arial"/>
          <w:i w:val="0"/>
          <w:iCs w:val="0"/>
          <w:sz w:val="24"/>
          <w:szCs w:val="24"/>
          <w:u w:val="none"/>
        </w:rPr>
        <w:t xml:space="preserve">P., Professor Goodman, A., Dr Graca, S., </w:t>
      </w:r>
      <w:r w:rsidRPr="5EF9118D" w:rsidR="275FA3C7">
        <w:rPr>
          <w:rFonts w:ascii="Arial" w:hAnsi="Arial" w:eastAsia="Arial" w:cs="Arial"/>
          <w:i w:val="0"/>
          <w:iCs w:val="0"/>
          <w:sz w:val="24"/>
          <w:szCs w:val="24"/>
          <w:u w:val="none"/>
        </w:rPr>
        <w:t>Honess</w:t>
      </w:r>
      <w:r w:rsidRPr="5EF9118D" w:rsidR="275FA3C7">
        <w:rPr>
          <w:rFonts w:ascii="Arial" w:hAnsi="Arial" w:eastAsia="Arial" w:cs="Arial"/>
          <w:i w:val="0"/>
          <w:iCs w:val="0"/>
          <w:sz w:val="24"/>
          <w:szCs w:val="24"/>
          <w:u w:val="none"/>
        </w:rPr>
        <w:t>, R., Hooper, G., Howard, A., Lawton-Barrett, K., Dr Leonard, V., Dr Lydon, D</w:t>
      </w:r>
      <w:r w:rsidRPr="5EF9118D" w:rsidR="20B0EF82">
        <w:rPr>
          <w:rFonts w:ascii="Arial" w:hAnsi="Arial" w:eastAsia="Arial" w:cs="Arial"/>
          <w:i w:val="0"/>
          <w:iCs w:val="0"/>
          <w:sz w:val="24"/>
          <w:szCs w:val="24"/>
          <w:u w:val="none"/>
        </w:rPr>
        <w:t xml:space="preserve">., Dr </w:t>
      </w:r>
      <w:r w:rsidRPr="5EF9118D" w:rsidR="20B0EF82">
        <w:rPr>
          <w:rFonts w:ascii="Arial" w:hAnsi="Arial" w:eastAsia="Arial" w:cs="Arial"/>
          <w:i w:val="0"/>
          <w:iCs w:val="0"/>
          <w:sz w:val="24"/>
          <w:szCs w:val="24"/>
          <w:u w:val="none"/>
        </w:rPr>
        <w:t>Mortellozzo</w:t>
      </w:r>
      <w:r w:rsidRPr="5EF9118D" w:rsidR="20B0EF82">
        <w:rPr>
          <w:rFonts w:ascii="Arial" w:hAnsi="Arial" w:eastAsia="Arial" w:cs="Arial"/>
          <w:i w:val="0"/>
          <w:iCs w:val="0"/>
          <w:sz w:val="24"/>
          <w:szCs w:val="24"/>
          <w:u w:val="none"/>
        </w:rPr>
        <w:t xml:space="preserve">, E., Mitchell, S., Dr </w:t>
      </w:r>
      <w:r w:rsidRPr="5EF9118D" w:rsidR="20B0EF82">
        <w:rPr>
          <w:rFonts w:ascii="Arial" w:hAnsi="Arial" w:eastAsia="Arial" w:cs="Arial"/>
          <w:i w:val="0"/>
          <w:iCs w:val="0"/>
          <w:sz w:val="24"/>
          <w:szCs w:val="24"/>
          <w:u w:val="none"/>
        </w:rPr>
        <w:t>Mozova</w:t>
      </w:r>
      <w:r w:rsidRPr="5EF9118D" w:rsidR="20B0EF82">
        <w:rPr>
          <w:rFonts w:ascii="Arial" w:hAnsi="Arial" w:eastAsia="Arial" w:cs="Arial"/>
          <w:i w:val="0"/>
          <w:iCs w:val="0"/>
          <w:sz w:val="24"/>
          <w:szCs w:val="24"/>
          <w:u w:val="none"/>
        </w:rPr>
        <w:t xml:space="preserve">, K., Norman, J., Norman, P., Dr Nunn, J., Dr O’Neill, M., </w:t>
      </w:r>
      <w:r w:rsidRPr="5EF9118D" w:rsidR="0FBDCD26">
        <w:rPr>
          <w:rFonts w:ascii="Arial" w:hAnsi="Arial" w:eastAsia="Arial" w:cs="Arial"/>
          <w:i w:val="0"/>
          <w:iCs w:val="0"/>
          <w:sz w:val="24"/>
          <w:szCs w:val="24"/>
          <w:u w:val="none"/>
        </w:rPr>
        <w:t xml:space="preserve">Owens, J., Smith, C., Dr Stephens, P., </w:t>
      </w:r>
      <w:r w:rsidRPr="5EF9118D" w:rsidR="0FBDCD26">
        <w:rPr>
          <w:rFonts w:ascii="Arial" w:hAnsi="Arial" w:eastAsia="Arial" w:cs="Arial"/>
          <w:i w:val="0"/>
          <w:iCs w:val="0"/>
          <w:sz w:val="24"/>
          <w:szCs w:val="24"/>
          <w:u w:val="none"/>
        </w:rPr>
        <w:t>Straine</w:t>
      </w:r>
      <w:r w:rsidRPr="5EF9118D" w:rsidR="0FBDCD26">
        <w:rPr>
          <w:rFonts w:ascii="Arial" w:hAnsi="Arial" w:eastAsia="Arial" w:cs="Arial"/>
          <w:i w:val="0"/>
          <w:iCs w:val="0"/>
          <w:sz w:val="24"/>
          <w:szCs w:val="24"/>
          <w:u w:val="none"/>
        </w:rPr>
        <w:t xml:space="preserve">-Francis, V., Dr </w:t>
      </w:r>
      <w:r w:rsidRPr="5EF9118D" w:rsidR="0FBDCD26">
        <w:rPr>
          <w:rFonts w:ascii="Arial" w:hAnsi="Arial" w:eastAsia="Arial" w:cs="Arial"/>
          <w:i w:val="0"/>
          <w:iCs w:val="0"/>
          <w:sz w:val="24"/>
          <w:szCs w:val="24"/>
          <w:u w:val="none"/>
        </w:rPr>
        <w:t>Treblicock</w:t>
      </w:r>
      <w:r w:rsidRPr="5EF9118D" w:rsidR="0FBDCD26">
        <w:rPr>
          <w:rFonts w:ascii="Arial" w:hAnsi="Arial" w:eastAsia="Arial" w:cs="Arial"/>
          <w:i w:val="0"/>
          <w:iCs w:val="0"/>
          <w:sz w:val="24"/>
          <w:szCs w:val="24"/>
          <w:u w:val="none"/>
        </w:rPr>
        <w:t>, J., Underwood, R., Dr Ward,</w:t>
      </w:r>
      <w:r w:rsidRPr="5EF9118D" w:rsidR="1EAC8EEC">
        <w:rPr>
          <w:rFonts w:ascii="Arial" w:hAnsi="Arial" w:eastAsia="Arial" w:cs="Arial"/>
          <w:i w:val="0"/>
          <w:iCs w:val="0"/>
          <w:sz w:val="24"/>
          <w:szCs w:val="24"/>
          <w:u w:val="none"/>
        </w:rPr>
        <w:t xml:space="preserve"> J., </w:t>
      </w:r>
      <w:r w:rsidRPr="5EF9118D" w:rsidR="1EAC8EEC">
        <w:rPr>
          <w:rFonts w:ascii="Arial" w:hAnsi="Arial" w:eastAsia="Arial" w:cs="Arial"/>
          <w:i w:val="0"/>
          <w:iCs w:val="0"/>
          <w:sz w:val="24"/>
          <w:szCs w:val="24"/>
          <w:u w:val="none"/>
        </w:rPr>
        <w:t>Woliter</w:t>
      </w:r>
      <w:r w:rsidRPr="5EF9118D" w:rsidR="1EAC8EEC">
        <w:rPr>
          <w:rFonts w:ascii="Arial" w:hAnsi="Arial" w:eastAsia="Arial" w:cs="Arial"/>
          <w:i w:val="0"/>
          <w:iCs w:val="0"/>
          <w:sz w:val="24"/>
          <w:szCs w:val="24"/>
          <w:u w:val="none"/>
        </w:rPr>
        <w:t xml:space="preserve">, S., (2022 b) </w:t>
      </w:r>
      <w:r w:rsidRPr="5EF9118D" w:rsidR="1EAC8EEC">
        <w:rPr>
          <w:rFonts w:ascii="Arial" w:hAnsi="Arial" w:eastAsia="Arial" w:cs="Arial"/>
          <w:i w:val="1"/>
          <w:iCs w:val="1"/>
          <w:sz w:val="24"/>
          <w:szCs w:val="24"/>
          <w:u w:val="none"/>
        </w:rPr>
        <w:t xml:space="preserve">Blackstone’s Handbook for Policing Students 2023: </w:t>
      </w:r>
      <w:r w:rsidRPr="5EF9118D" w:rsidR="1EAC8EEC">
        <w:rPr>
          <w:rFonts w:ascii="Arial" w:hAnsi="Arial" w:eastAsia="Arial" w:cs="Arial"/>
          <w:i w:val="0"/>
          <w:iCs w:val="0"/>
          <w:sz w:val="24"/>
          <w:szCs w:val="24"/>
          <w:u w:val="none"/>
        </w:rPr>
        <w:t xml:space="preserve">(17th edition.), pp. </w:t>
      </w:r>
      <w:r w:rsidRPr="5EF9118D" w:rsidR="21E6F6AB">
        <w:rPr>
          <w:rFonts w:ascii="Arial" w:hAnsi="Arial" w:eastAsia="Arial" w:cs="Arial"/>
          <w:i w:val="0"/>
          <w:iCs w:val="0"/>
          <w:sz w:val="24"/>
          <w:szCs w:val="24"/>
          <w:u w:val="none"/>
        </w:rPr>
        <w:t>358., Oxford University Press, Great Clarendon Street, Oxford.</w:t>
      </w:r>
    </w:p>
    <w:p w:rsidR="0F01F8C3" w:rsidP="5EF9118D" w:rsidRDefault="0F01F8C3" w14:paraId="049B5770" w14:textId="084AA789">
      <w:pPr>
        <w:pStyle w:val="Normal"/>
        <w:spacing w:line="480" w:lineRule="auto"/>
        <w:rPr>
          <w:rFonts w:ascii="Arial" w:hAnsi="Arial" w:eastAsia="Arial" w:cs="Arial"/>
          <w:i w:val="1"/>
          <w:iCs w:val="1"/>
          <w:sz w:val="24"/>
          <w:szCs w:val="24"/>
          <w:u w:val="none"/>
        </w:rPr>
      </w:pPr>
      <w:r w:rsidRPr="5EF9118D" w:rsidR="0F01F8C3">
        <w:rPr>
          <w:rFonts w:ascii="Arial" w:hAnsi="Arial" w:eastAsia="Arial" w:cs="Arial"/>
          <w:i w:val="0"/>
          <w:iCs w:val="0"/>
          <w:sz w:val="24"/>
          <w:szCs w:val="24"/>
          <w:u w:val="none"/>
        </w:rPr>
        <w:t xml:space="preserve">- GOV.UK (2023) </w:t>
      </w:r>
      <w:r w:rsidRPr="5EF9118D" w:rsidR="0F01F8C3">
        <w:rPr>
          <w:rFonts w:ascii="Arial" w:hAnsi="Arial" w:eastAsia="Arial" w:cs="Arial"/>
          <w:i w:val="1"/>
          <w:iCs w:val="1"/>
          <w:sz w:val="24"/>
          <w:szCs w:val="24"/>
          <w:u w:val="none"/>
        </w:rPr>
        <w:t xml:space="preserve">Assault on emergency workers in the Police, </w:t>
      </w:r>
      <w:r w:rsidRPr="5EF9118D" w:rsidR="68EF08DD">
        <w:rPr>
          <w:rFonts w:ascii="Arial" w:hAnsi="Arial" w:eastAsia="Arial" w:cs="Arial"/>
          <w:i w:val="1"/>
          <w:iCs w:val="1"/>
          <w:sz w:val="24"/>
          <w:szCs w:val="24"/>
          <w:u w:val="none"/>
        </w:rPr>
        <w:t xml:space="preserve">Crime, Sentencing and Courts Bill: Equalities Impact Assessment., </w:t>
      </w:r>
      <w:r w:rsidRPr="5EF9118D" w:rsidR="68EF08DD">
        <w:rPr>
          <w:rFonts w:ascii="Arial" w:hAnsi="Arial" w:eastAsia="Arial" w:cs="Arial"/>
          <w:i w:val="0"/>
          <w:iCs w:val="0"/>
          <w:sz w:val="24"/>
          <w:szCs w:val="24"/>
          <w:u w:val="none"/>
        </w:rPr>
        <w:t xml:space="preserve">DOI: </w:t>
      </w:r>
      <w:hyperlink r:id="R578a918a0b214bdb">
        <w:r w:rsidRPr="5EF9118D" w:rsidR="68EF08DD">
          <w:rPr>
            <w:rStyle w:val="Hyperlink"/>
            <w:rFonts w:ascii="Arial" w:hAnsi="Arial" w:eastAsia="Arial" w:cs="Arial"/>
            <w:noProof w:val="0"/>
            <w:sz w:val="24"/>
            <w:szCs w:val="24"/>
            <w:lang w:val="en-GB"/>
          </w:rPr>
          <w:t>https://www.gov.uk/government/publications/police-crime-sentencing-and-courts-bill-2021-equality-statements/assault-on-emergency-workers-in-the-police-crime-sentencing-courts-bill-equalities-impact-assessment</w:t>
        </w:r>
      </w:hyperlink>
      <w:r w:rsidRPr="5EF9118D" w:rsidR="68EF08DD">
        <w:rPr>
          <w:rFonts w:ascii="Arial" w:hAnsi="Arial" w:eastAsia="Arial" w:cs="Arial"/>
          <w:noProof w:val="0"/>
          <w:sz w:val="24"/>
          <w:szCs w:val="24"/>
          <w:lang w:val="en-GB"/>
        </w:rPr>
        <w:t xml:space="preserve"> ACCESS DATE: 8/11/23.</w:t>
      </w:r>
    </w:p>
    <w:p w:rsidR="6536E180" w:rsidP="5EF9118D" w:rsidRDefault="6536E180" w14:paraId="6AC89E83" w14:textId="5B7D8069">
      <w:pPr>
        <w:pStyle w:val="Normal"/>
        <w:spacing w:line="480" w:lineRule="auto"/>
        <w:rPr>
          <w:rFonts w:ascii="Arial" w:hAnsi="Arial" w:eastAsia="Arial" w:cs="Arial"/>
          <w:i w:val="1"/>
          <w:iCs w:val="1"/>
          <w:sz w:val="24"/>
          <w:szCs w:val="24"/>
          <w:u w:val="none"/>
        </w:rPr>
      </w:pPr>
      <w:r w:rsidRPr="5EF9118D" w:rsidR="6536E180">
        <w:rPr>
          <w:rFonts w:ascii="Arial" w:hAnsi="Arial" w:eastAsia="Arial" w:cs="Arial"/>
          <w:i w:val="0"/>
          <w:iCs w:val="0"/>
          <w:sz w:val="24"/>
          <w:szCs w:val="24"/>
          <w:u w:val="none"/>
        </w:rPr>
        <w:t>- McBain, G.,</w:t>
      </w:r>
      <w:r w:rsidRPr="5EF9118D" w:rsidR="5D1B4965">
        <w:rPr>
          <w:rFonts w:ascii="Arial" w:hAnsi="Arial" w:eastAsia="Arial" w:cs="Arial"/>
          <w:i w:val="0"/>
          <w:iCs w:val="0"/>
          <w:sz w:val="24"/>
          <w:szCs w:val="24"/>
          <w:u w:val="none"/>
        </w:rPr>
        <w:t xml:space="preserve"> (2015) </w:t>
      </w:r>
      <w:r w:rsidRPr="5EF9118D" w:rsidR="5D1B4965">
        <w:rPr>
          <w:rFonts w:ascii="Arial" w:hAnsi="Arial" w:eastAsia="Arial" w:cs="Arial"/>
          <w:i w:val="1"/>
          <w:iCs w:val="1"/>
          <w:sz w:val="24"/>
          <w:szCs w:val="24"/>
          <w:u w:val="none"/>
        </w:rPr>
        <w:t>Modernising the Common Law Offences of Assault and Battery.</w:t>
      </w:r>
      <w:r w:rsidRPr="5EF9118D" w:rsidR="15DDCA55">
        <w:rPr>
          <w:rFonts w:ascii="Arial" w:hAnsi="Arial" w:eastAsia="Arial" w:cs="Arial"/>
          <w:i w:val="1"/>
          <w:iCs w:val="1"/>
          <w:sz w:val="24"/>
          <w:szCs w:val="24"/>
          <w:u w:val="none"/>
        </w:rPr>
        <w:t xml:space="preserve"> DOI: </w:t>
      </w:r>
      <w:hyperlink r:id="Rcb6089ad09f54720">
        <w:r w:rsidRPr="5EF9118D" w:rsidR="7C0C909E">
          <w:rPr>
            <w:rStyle w:val="Hyperlink"/>
            <w:rFonts w:ascii="Arial" w:hAnsi="Arial" w:eastAsia="Arial" w:cs="Arial"/>
            <w:noProof w:val="0"/>
            <w:sz w:val="24"/>
            <w:szCs w:val="24"/>
            <w:lang w:val="en-GB"/>
          </w:rPr>
          <w:t>https://pdfs.semanticscholar.org/5374/15517fdc48c513e4187e6297d8606be2f718.pdf,</w:t>
        </w:r>
      </w:hyperlink>
      <w:r w:rsidRPr="5EF9118D" w:rsidR="15DDCA55">
        <w:rPr>
          <w:rFonts w:ascii="Arial" w:hAnsi="Arial" w:eastAsia="Arial" w:cs="Arial"/>
          <w:noProof w:val="0"/>
          <w:sz w:val="24"/>
          <w:szCs w:val="24"/>
          <w:lang w:val="en-GB"/>
        </w:rPr>
        <w:t xml:space="preserve">. ACCESS DATE: 7/11/23. </w:t>
      </w:r>
    </w:p>
    <w:p w:rsidR="6BC63B09" w:rsidP="5EF9118D" w:rsidRDefault="6BC63B09" w14:paraId="681C8CE7" w14:textId="58962AD2">
      <w:pPr>
        <w:pStyle w:val="Normal"/>
        <w:spacing w:line="480" w:lineRule="auto"/>
        <w:rPr>
          <w:rFonts w:ascii="Arial" w:hAnsi="Arial" w:eastAsia="Arial" w:cs="Arial"/>
          <w:i w:val="1"/>
          <w:iCs w:val="1"/>
          <w:noProof w:val="0"/>
          <w:sz w:val="24"/>
          <w:szCs w:val="24"/>
          <w:lang w:val="en-GB"/>
        </w:rPr>
      </w:pPr>
      <w:r w:rsidRPr="5EF9118D" w:rsidR="6BC63B09">
        <w:rPr>
          <w:rFonts w:ascii="Arial" w:hAnsi="Arial" w:eastAsia="Arial" w:cs="Arial"/>
          <w:noProof w:val="0"/>
          <w:sz w:val="24"/>
          <w:szCs w:val="24"/>
          <w:lang w:val="en-GB"/>
        </w:rPr>
        <w:t xml:space="preserve">- </w:t>
      </w:r>
      <w:r w:rsidRPr="5EF9118D" w:rsidR="415C8855">
        <w:rPr>
          <w:rFonts w:ascii="Arial" w:hAnsi="Arial" w:eastAsia="Arial" w:cs="Arial"/>
          <w:noProof w:val="0"/>
          <w:sz w:val="24"/>
          <w:szCs w:val="24"/>
          <w:lang w:val="en-GB"/>
        </w:rPr>
        <w:t>Oxford University</w:t>
      </w:r>
      <w:r w:rsidRPr="5EF9118D" w:rsidR="450CE91C">
        <w:rPr>
          <w:rFonts w:ascii="Arial" w:hAnsi="Arial" w:eastAsia="Arial" w:cs="Arial"/>
          <w:noProof w:val="0"/>
          <w:sz w:val="24"/>
          <w:szCs w:val="24"/>
          <w:lang w:val="en-GB"/>
        </w:rPr>
        <w:t xml:space="preserve"> Press</w:t>
      </w:r>
      <w:r w:rsidRPr="5EF9118D" w:rsidR="415C8855">
        <w:rPr>
          <w:rFonts w:ascii="Arial" w:hAnsi="Arial" w:eastAsia="Arial" w:cs="Arial"/>
          <w:noProof w:val="0"/>
          <w:sz w:val="24"/>
          <w:szCs w:val="24"/>
          <w:lang w:val="en-GB"/>
        </w:rPr>
        <w:t xml:space="preserve">., (2012) </w:t>
      </w:r>
      <w:r w:rsidRPr="5EF9118D" w:rsidR="415C8855">
        <w:rPr>
          <w:rFonts w:ascii="Arial" w:hAnsi="Arial" w:eastAsia="Arial" w:cs="Arial"/>
          <w:i w:val="1"/>
          <w:iCs w:val="1"/>
          <w:noProof w:val="0"/>
          <w:sz w:val="24"/>
          <w:szCs w:val="24"/>
          <w:lang w:val="en-GB"/>
        </w:rPr>
        <w:t>Constitutional la</w:t>
      </w:r>
      <w:r w:rsidRPr="5EF9118D" w:rsidR="4E29B51D">
        <w:rPr>
          <w:rFonts w:ascii="Arial" w:hAnsi="Arial" w:eastAsia="Arial" w:cs="Arial"/>
          <w:i w:val="1"/>
          <w:iCs w:val="1"/>
          <w:noProof w:val="0"/>
          <w:sz w:val="24"/>
          <w:szCs w:val="24"/>
          <w:lang w:val="en-GB"/>
        </w:rPr>
        <w:t xml:space="preserve">w, administrative </w:t>
      </w:r>
      <w:r w:rsidRPr="5EF9118D" w:rsidR="26E3D32E">
        <w:rPr>
          <w:rFonts w:ascii="Arial" w:hAnsi="Arial" w:eastAsia="Arial" w:cs="Arial"/>
          <w:i w:val="1"/>
          <w:iCs w:val="1"/>
          <w:noProof w:val="0"/>
          <w:sz w:val="24"/>
          <w:szCs w:val="24"/>
          <w:lang w:val="en-GB"/>
        </w:rPr>
        <w:t>law,</w:t>
      </w:r>
      <w:r w:rsidRPr="5EF9118D" w:rsidR="4E29B51D">
        <w:rPr>
          <w:rFonts w:ascii="Arial" w:hAnsi="Arial" w:eastAsia="Arial" w:cs="Arial"/>
          <w:i w:val="1"/>
          <w:iCs w:val="1"/>
          <w:noProof w:val="0"/>
          <w:sz w:val="24"/>
          <w:szCs w:val="24"/>
          <w:lang w:val="en-GB"/>
        </w:rPr>
        <w:t xml:space="preserve"> and Human rights: R v. Brown and other appeals (1993) 2 All ER 75</w:t>
      </w:r>
      <w:r w:rsidRPr="5EF9118D" w:rsidR="72037129">
        <w:rPr>
          <w:rFonts w:ascii="Arial" w:hAnsi="Arial" w:eastAsia="Arial" w:cs="Arial"/>
          <w:i w:val="1"/>
          <w:iCs w:val="1"/>
          <w:noProof w:val="0"/>
          <w:sz w:val="24"/>
          <w:szCs w:val="24"/>
          <w:lang w:val="en-GB"/>
        </w:rPr>
        <w:t xml:space="preserve">., DOI: </w:t>
      </w:r>
      <w:hyperlink w:anchor=":~:text=%22it%20is%20an%20unlawful%20act,proved%2C%20consent%20is%20immaterial%22." r:id="R1cb995caaade4398">
        <w:r w:rsidRPr="5EF9118D" w:rsidR="7F38A800">
          <w:rPr>
            <w:rStyle w:val="Hyperlink"/>
            <w:rFonts w:ascii="Arial" w:hAnsi="Arial" w:eastAsia="Arial" w:cs="Arial"/>
            <w:noProof w:val="0"/>
            <w:sz w:val="24"/>
            <w:szCs w:val="24"/>
            <w:lang w:val="en-GB"/>
          </w:rPr>
          <w:t>https://learninglink.oup.com/static/5c0e79ef50eddf00160f35ad/casebook_185.htm#:~:text=%22it%20is%20an%20unlawful%20act,proved%2C%20consent%20is%20immaterial%22.</w:t>
        </w:r>
      </w:hyperlink>
      <w:r w:rsidRPr="5EF9118D" w:rsidR="7F38A800">
        <w:rPr>
          <w:rFonts w:ascii="Arial" w:hAnsi="Arial" w:eastAsia="Arial" w:cs="Arial"/>
          <w:noProof w:val="0"/>
          <w:sz w:val="24"/>
          <w:szCs w:val="24"/>
          <w:lang w:val="en-GB"/>
        </w:rPr>
        <w:t xml:space="preserve"> ACCESS DATE: 8/11/23.</w:t>
      </w:r>
    </w:p>
    <w:p w:rsidR="0E089C67" w:rsidP="5EF9118D" w:rsidRDefault="0E089C67" w14:paraId="25AE7C01" w14:textId="47AF1493">
      <w:pPr>
        <w:pStyle w:val="Normal"/>
        <w:spacing w:line="480" w:lineRule="auto"/>
        <w:rPr>
          <w:rFonts w:ascii="Arial" w:hAnsi="Arial" w:eastAsia="Arial" w:cs="Arial"/>
          <w:noProof w:val="0"/>
          <w:sz w:val="24"/>
          <w:szCs w:val="24"/>
          <w:lang w:val="en-GB"/>
        </w:rPr>
      </w:pPr>
      <w:r w:rsidRPr="5EF9118D" w:rsidR="0E089C67">
        <w:rPr>
          <w:rFonts w:ascii="Arial" w:hAnsi="Arial" w:eastAsia="Arial" w:cs="Arial"/>
          <w:noProof w:val="0"/>
          <w:sz w:val="24"/>
          <w:szCs w:val="24"/>
          <w:lang w:val="en-GB"/>
        </w:rPr>
        <w:t xml:space="preserve">- </w:t>
      </w:r>
      <w:r w:rsidRPr="5EF9118D" w:rsidR="0E089C67">
        <w:rPr>
          <w:rFonts w:ascii="Arial" w:hAnsi="Arial" w:eastAsia="Arial" w:cs="Arial"/>
          <w:noProof w:val="0"/>
          <w:sz w:val="24"/>
          <w:szCs w:val="24"/>
          <w:lang w:val="en-GB"/>
        </w:rPr>
        <w:t>Spragens</w:t>
      </w:r>
      <w:r w:rsidRPr="5EF9118D" w:rsidR="0E089C67">
        <w:rPr>
          <w:rFonts w:ascii="Arial" w:hAnsi="Arial" w:eastAsia="Arial" w:cs="Arial"/>
          <w:noProof w:val="0"/>
          <w:sz w:val="24"/>
          <w:szCs w:val="24"/>
          <w:lang w:val="en-GB"/>
        </w:rPr>
        <w:t xml:space="preserve">, R.M., (1941). The negligent Battery in Criminal Law. </w:t>
      </w:r>
      <w:r w:rsidRPr="5EF9118D" w:rsidR="0E089C67">
        <w:rPr>
          <w:rFonts w:ascii="Arial" w:hAnsi="Arial" w:eastAsia="Arial" w:cs="Arial"/>
          <w:i w:val="1"/>
          <w:iCs w:val="1"/>
          <w:noProof w:val="0"/>
          <w:sz w:val="24"/>
          <w:szCs w:val="24"/>
          <w:lang w:val="en-GB"/>
        </w:rPr>
        <w:t xml:space="preserve">Ky. LJ, 30, P.418. </w:t>
      </w:r>
      <w:hyperlink r:id="Rdb63441c6df74534">
        <w:r w:rsidRPr="5EF9118D" w:rsidR="4646EB34">
          <w:rPr>
            <w:rStyle w:val="Hyperlink"/>
            <w:rFonts w:ascii="Arial" w:hAnsi="Arial" w:eastAsia="Arial" w:cs="Arial"/>
            <w:noProof w:val="0"/>
            <w:sz w:val="24"/>
            <w:szCs w:val="24"/>
            <w:lang w:val="en-GB"/>
          </w:rPr>
          <w:t>https://heinonline.org/hol-cgi-bin/get_pdf.cgi?handle=hein.journals/kentlj30&amp;section=35</w:t>
        </w:r>
      </w:hyperlink>
      <w:r w:rsidRPr="5EF9118D" w:rsidR="4646EB34">
        <w:rPr>
          <w:rFonts w:ascii="Arial" w:hAnsi="Arial" w:eastAsia="Arial" w:cs="Arial"/>
          <w:noProof w:val="0"/>
          <w:sz w:val="24"/>
          <w:szCs w:val="24"/>
          <w:lang w:val="en-GB"/>
        </w:rPr>
        <w:t xml:space="preserve"> ACCESS DATE: 7/11/23.</w:t>
      </w:r>
    </w:p>
    <w:p w:rsidR="63E7A5A0" w:rsidP="5EF9118D" w:rsidRDefault="63E7A5A0" w14:paraId="76FD8E82" w14:textId="6BC70F1C">
      <w:pPr>
        <w:pStyle w:val="Normal"/>
        <w:spacing w:line="480" w:lineRule="auto"/>
        <w:rPr>
          <w:rFonts w:ascii="Arial" w:hAnsi="Arial" w:eastAsia="Arial" w:cs="Arial"/>
          <w:i w:val="0"/>
          <w:iCs w:val="0"/>
          <w:sz w:val="24"/>
          <w:szCs w:val="24"/>
          <w:u w:val="none"/>
        </w:rPr>
      </w:pPr>
      <w:r w:rsidRPr="5EF9118D" w:rsidR="63E7A5A0">
        <w:rPr>
          <w:rFonts w:ascii="Arial" w:hAnsi="Arial" w:eastAsia="Arial" w:cs="Arial"/>
          <w:i w:val="0"/>
          <w:iCs w:val="0"/>
          <w:sz w:val="24"/>
          <w:szCs w:val="24"/>
          <w:u w:val="none"/>
        </w:rPr>
        <w:t>- Taylor, L., Elliott, C., &amp; Quinn, Francis. (2018</w:t>
      </w:r>
      <w:r w:rsidRPr="5EF9118D" w:rsidR="62570D23">
        <w:rPr>
          <w:rFonts w:ascii="Arial" w:hAnsi="Arial" w:eastAsia="Arial" w:cs="Arial"/>
          <w:i w:val="0"/>
          <w:iCs w:val="0"/>
          <w:sz w:val="24"/>
          <w:szCs w:val="24"/>
          <w:u w:val="none"/>
        </w:rPr>
        <w:t xml:space="preserve"> a</w:t>
      </w:r>
      <w:r w:rsidRPr="5EF9118D" w:rsidR="63E7A5A0">
        <w:rPr>
          <w:rFonts w:ascii="Arial" w:hAnsi="Arial" w:eastAsia="Arial" w:cs="Arial"/>
          <w:i w:val="0"/>
          <w:iCs w:val="0"/>
          <w:sz w:val="24"/>
          <w:szCs w:val="24"/>
          <w:u w:val="none"/>
        </w:rPr>
        <w:t xml:space="preserve">) </w:t>
      </w:r>
      <w:r w:rsidRPr="5EF9118D" w:rsidR="63E7A5A0">
        <w:rPr>
          <w:rFonts w:ascii="Arial" w:hAnsi="Arial" w:eastAsia="Arial" w:cs="Arial"/>
          <w:i w:val="1"/>
          <w:iCs w:val="1"/>
          <w:sz w:val="24"/>
          <w:szCs w:val="24"/>
          <w:u w:val="none"/>
        </w:rPr>
        <w:t xml:space="preserve">Elliott and Quinn’s criminal law </w:t>
      </w:r>
      <w:r w:rsidRPr="5EF9118D" w:rsidR="63E7A5A0">
        <w:rPr>
          <w:rFonts w:ascii="Arial" w:hAnsi="Arial" w:eastAsia="Arial" w:cs="Arial"/>
          <w:i w:val="0"/>
          <w:iCs w:val="0"/>
          <w:sz w:val="24"/>
          <w:szCs w:val="24"/>
          <w:u w:val="none"/>
        </w:rPr>
        <w:t>(12th e</w:t>
      </w:r>
      <w:r w:rsidRPr="5EF9118D" w:rsidR="1CF7B698">
        <w:rPr>
          <w:rFonts w:ascii="Arial" w:hAnsi="Arial" w:eastAsia="Arial" w:cs="Arial"/>
          <w:i w:val="0"/>
          <w:iCs w:val="0"/>
          <w:sz w:val="24"/>
          <w:szCs w:val="24"/>
          <w:u w:val="none"/>
        </w:rPr>
        <w:t>dition</w:t>
      </w:r>
      <w:r w:rsidRPr="5EF9118D" w:rsidR="63E7A5A0">
        <w:rPr>
          <w:rFonts w:ascii="Arial" w:hAnsi="Arial" w:eastAsia="Arial" w:cs="Arial"/>
          <w:i w:val="0"/>
          <w:iCs w:val="0"/>
          <w:sz w:val="24"/>
          <w:szCs w:val="24"/>
          <w:u w:val="none"/>
        </w:rPr>
        <w:t>.), pp. 45</w:t>
      </w:r>
      <w:r w:rsidRPr="5EF9118D" w:rsidR="0E45C4C0">
        <w:rPr>
          <w:rFonts w:ascii="Arial" w:hAnsi="Arial" w:eastAsia="Arial" w:cs="Arial"/>
          <w:i w:val="0"/>
          <w:iCs w:val="0"/>
          <w:sz w:val="24"/>
          <w:szCs w:val="24"/>
          <w:u w:val="none"/>
        </w:rPr>
        <w:t>0., Pearson., Harlow, England.</w:t>
      </w:r>
    </w:p>
    <w:p w:rsidR="621F4524" w:rsidP="5EF9118D" w:rsidRDefault="621F4524" w14:paraId="3A626441" w14:textId="6A110BF1">
      <w:pPr>
        <w:pStyle w:val="Normal"/>
        <w:spacing w:line="480" w:lineRule="auto"/>
        <w:rPr>
          <w:rFonts w:ascii="Arial" w:hAnsi="Arial" w:eastAsia="Arial" w:cs="Arial"/>
          <w:i w:val="0"/>
          <w:iCs w:val="0"/>
          <w:sz w:val="24"/>
          <w:szCs w:val="24"/>
          <w:u w:val="none"/>
        </w:rPr>
      </w:pPr>
      <w:r w:rsidRPr="5EF9118D" w:rsidR="621F4524">
        <w:rPr>
          <w:rFonts w:ascii="Arial" w:hAnsi="Arial" w:eastAsia="Arial" w:cs="Arial"/>
          <w:i w:val="0"/>
          <w:iCs w:val="0"/>
          <w:sz w:val="24"/>
          <w:szCs w:val="24"/>
          <w:u w:val="none"/>
        </w:rPr>
        <w:t>- Taylor, L., Elliott, C., &amp; Quinn, Francis. (2018 b)</w:t>
      </w:r>
      <w:r w:rsidRPr="5EF9118D" w:rsidR="60ABE96A">
        <w:rPr>
          <w:rFonts w:ascii="Arial" w:hAnsi="Arial" w:eastAsia="Arial" w:cs="Arial"/>
          <w:i w:val="0"/>
          <w:iCs w:val="0"/>
          <w:sz w:val="24"/>
          <w:szCs w:val="24"/>
          <w:u w:val="none"/>
        </w:rPr>
        <w:t xml:space="preserve"> </w:t>
      </w:r>
      <w:r w:rsidRPr="5EF9118D" w:rsidR="60ABE96A">
        <w:rPr>
          <w:rFonts w:ascii="Arial" w:hAnsi="Arial" w:eastAsia="Arial" w:cs="Arial"/>
          <w:i w:val="1"/>
          <w:iCs w:val="1"/>
          <w:sz w:val="24"/>
          <w:szCs w:val="24"/>
          <w:u w:val="none"/>
        </w:rPr>
        <w:t xml:space="preserve">Elliott and Quinn’s criminal law </w:t>
      </w:r>
      <w:r w:rsidRPr="5EF9118D" w:rsidR="60ABE96A">
        <w:rPr>
          <w:rFonts w:ascii="Arial" w:hAnsi="Arial" w:eastAsia="Arial" w:cs="Arial"/>
          <w:i w:val="0"/>
          <w:iCs w:val="0"/>
          <w:sz w:val="24"/>
          <w:szCs w:val="24"/>
          <w:u w:val="none"/>
        </w:rPr>
        <w:t>(12th edition.), pp. 154., Pearson., Harlow, England.</w:t>
      </w:r>
    </w:p>
    <w:p w:rsidR="3014CCA3" w:rsidP="5EF9118D" w:rsidRDefault="3014CCA3" w14:paraId="16C2FD63" w14:textId="64C83FE8">
      <w:pPr>
        <w:pStyle w:val="Normal"/>
        <w:spacing w:line="480" w:lineRule="auto"/>
        <w:rPr>
          <w:rFonts w:ascii="Arial" w:hAnsi="Arial" w:eastAsia="Arial" w:cs="Arial"/>
          <w:i w:val="0"/>
          <w:iCs w:val="0"/>
          <w:sz w:val="24"/>
          <w:szCs w:val="24"/>
          <w:u w:val="none"/>
        </w:rPr>
      </w:pPr>
      <w:r w:rsidRPr="5EF9118D" w:rsidR="3014CCA3">
        <w:rPr>
          <w:rFonts w:ascii="Arial" w:hAnsi="Arial" w:eastAsia="Arial" w:cs="Arial"/>
          <w:i w:val="0"/>
          <w:iCs w:val="0"/>
          <w:sz w:val="24"/>
          <w:szCs w:val="24"/>
          <w:u w:val="none"/>
        </w:rPr>
        <w:t xml:space="preserve">- Taylor, L., Elliott, C., &amp; Quinn, Francis. (2018 c) </w:t>
      </w:r>
      <w:r w:rsidRPr="5EF9118D" w:rsidR="3014CCA3">
        <w:rPr>
          <w:rFonts w:ascii="Arial" w:hAnsi="Arial" w:eastAsia="Arial" w:cs="Arial"/>
          <w:i w:val="1"/>
          <w:iCs w:val="1"/>
          <w:sz w:val="24"/>
          <w:szCs w:val="24"/>
          <w:u w:val="none"/>
        </w:rPr>
        <w:t xml:space="preserve">Elliott and Quinn’s criminal law </w:t>
      </w:r>
      <w:r w:rsidRPr="5EF9118D" w:rsidR="3014CCA3">
        <w:rPr>
          <w:rFonts w:ascii="Arial" w:hAnsi="Arial" w:eastAsia="Arial" w:cs="Arial"/>
          <w:i w:val="0"/>
          <w:iCs w:val="0"/>
          <w:sz w:val="24"/>
          <w:szCs w:val="24"/>
          <w:u w:val="none"/>
        </w:rPr>
        <w:t>(12th edition.), pp. 167.,</w:t>
      </w:r>
      <w:r w:rsidRPr="5EF9118D" w:rsidR="79CBF30B">
        <w:rPr>
          <w:rFonts w:ascii="Arial" w:hAnsi="Arial" w:eastAsia="Arial" w:cs="Arial"/>
          <w:i w:val="0"/>
          <w:iCs w:val="0"/>
          <w:sz w:val="24"/>
          <w:szCs w:val="24"/>
          <w:u w:val="none"/>
        </w:rPr>
        <w:t xml:space="preserve"> Pearson., Harlow, England.</w:t>
      </w:r>
    </w:p>
    <w:p w:rsidR="4F5BC8D4" w:rsidP="5EF9118D" w:rsidRDefault="4F5BC8D4" w14:paraId="1431386A" w14:textId="204C7226">
      <w:pPr>
        <w:pStyle w:val="Normal"/>
        <w:spacing w:line="480" w:lineRule="auto"/>
        <w:rPr>
          <w:rFonts w:ascii="Arial" w:hAnsi="Arial" w:eastAsia="Arial" w:cs="Arial"/>
          <w:sz w:val="24"/>
          <w:szCs w:val="24"/>
          <w:u w:val="single"/>
        </w:rPr>
      </w:pPr>
      <w:r w:rsidRPr="5EF9118D" w:rsidR="4F5BC8D4">
        <w:rPr>
          <w:rFonts w:ascii="Arial" w:hAnsi="Arial" w:eastAsia="Arial" w:cs="Arial"/>
          <w:i w:val="0"/>
          <w:iCs w:val="0"/>
          <w:sz w:val="24"/>
          <w:szCs w:val="24"/>
          <w:u w:val="none"/>
        </w:rPr>
        <w:t xml:space="preserve">- ‘THE PEOPLE, Plaintiff and Respondent, v. WASH JONES WILLIAMS, </w:t>
      </w:r>
      <w:r w:rsidRPr="5EF9118D" w:rsidR="7D96FE54">
        <w:rPr>
          <w:rFonts w:ascii="Arial" w:hAnsi="Arial" w:eastAsia="Arial" w:cs="Arial"/>
          <w:i w:val="0"/>
          <w:iCs w:val="0"/>
          <w:sz w:val="24"/>
          <w:szCs w:val="24"/>
          <w:u w:val="none"/>
        </w:rPr>
        <w:t>Defendant</w:t>
      </w:r>
      <w:r w:rsidRPr="5EF9118D" w:rsidR="4F5BC8D4">
        <w:rPr>
          <w:rFonts w:ascii="Arial" w:hAnsi="Arial" w:eastAsia="Arial" w:cs="Arial"/>
          <w:i w:val="0"/>
          <w:iCs w:val="0"/>
          <w:sz w:val="24"/>
          <w:szCs w:val="24"/>
          <w:u w:val="none"/>
        </w:rPr>
        <w:t xml:space="preserve"> and Appellant</w:t>
      </w:r>
      <w:r w:rsidRPr="5EF9118D" w:rsidR="777251D4">
        <w:rPr>
          <w:rFonts w:ascii="Arial" w:hAnsi="Arial" w:eastAsia="Arial" w:cs="Arial"/>
          <w:i w:val="0"/>
          <w:iCs w:val="0"/>
          <w:sz w:val="24"/>
          <w:szCs w:val="24"/>
          <w:u w:val="none"/>
        </w:rPr>
        <w:t>.</w:t>
      </w:r>
      <w:r w:rsidRPr="5EF9118D" w:rsidR="5DE9E84A">
        <w:rPr>
          <w:rFonts w:ascii="Arial" w:hAnsi="Arial" w:eastAsia="Arial" w:cs="Arial"/>
          <w:i w:val="0"/>
          <w:iCs w:val="0"/>
          <w:sz w:val="24"/>
          <w:szCs w:val="24"/>
          <w:u w:val="none"/>
        </w:rPr>
        <w:t>,’</w:t>
      </w:r>
      <w:r w:rsidRPr="5EF9118D" w:rsidR="4F5BC8D4">
        <w:rPr>
          <w:rFonts w:ascii="Arial" w:hAnsi="Arial" w:eastAsia="Arial" w:cs="Arial"/>
          <w:i w:val="0"/>
          <w:iCs w:val="0"/>
          <w:sz w:val="24"/>
          <w:szCs w:val="24"/>
          <w:u w:val="none"/>
        </w:rPr>
        <w:t xml:space="preserve"> (1992) Supreme Court of California., </w:t>
      </w:r>
      <w:r w:rsidRPr="5EF9118D" w:rsidR="7009563B">
        <w:rPr>
          <w:rFonts w:ascii="Arial" w:hAnsi="Arial" w:eastAsia="Arial" w:cs="Arial"/>
          <w:i w:val="0"/>
          <w:iCs w:val="0"/>
          <w:sz w:val="24"/>
          <w:szCs w:val="24"/>
          <w:u w:val="none"/>
        </w:rPr>
        <w:t xml:space="preserve">S022660., DOI: </w:t>
      </w:r>
      <w:hyperlink r:id="R176c931777134af8">
        <w:r w:rsidRPr="5EF9118D" w:rsidR="7009563B">
          <w:rPr>
            <w:rStyle w:val="Hyperlink"/>
            <w:rFonts w:ascii="Arial" w:hAnsi="Arial" w:eastAsia="Arial" w:cs="Arial"/>
            <w:sz w:val="24"/>
            <w:szCs w:val="24"/>
          </w:rPr>
          <w:t>https://scholar.google.com/scholar_case?case=16934503738102166387&amp;q=misinterpretation+of+consent+in+assault&amp;hl=en&amp;as_sdt=2006</w:t>
        </w:r>
      </w:hyperlink>
      <w:r w:rsidRPr="5EF9118D" w:rsidR="7009563B">
        <w:rPr>
          <w:rFonts w:ascii="Arial" w:hAnsi="Arial" w:eastAsia="Arial" w:cs="Arial"/>
          <w:sz w:val="24"/>
          <w:szCs w:val="24"/>
        </w:rPr>
        <w:t xml:space="preserve"> .</w:t>
      </w:r>
      <w:r w:rsidRPr="5EF9118D" w:rsidR="7009563B">
        <w:rPr>
          <w:rFonts w:ascii="Arial" w:hAnsi="Arial" w:eastAsia="Arial" w:cs="Arial"/>
          <w:sz w:val="24"/>
          <w:szCs w:val="24"/>
        </w:rPr>
        <w:t xml:space="preserve">, ACCESS DATE: </w:t>
      </w:r>
      <w:r w:rsidRPr="5EF9118D" w:rsidR="251B7664">
        <w:rPr>
          <w:rFonts w:ascii="Arial" w:hAnsi="Arial" w:eastAsia="Arial" w:cs="Arial"/>
          <w:sz w:val="24"/>
          <w:szCs w:val="24"/>
        </w:rPr>
        <w:t>6/11/23.</w:t>
      </w:r>
    </w:p>
    <w:p w:rsidR="1A69DDB7" w:rsidP="5EF9118D" w:rsidRDefault="1A69DDB7" w14:paraId="6BC8C7C7" w14:textId="09B2D2ED">
      <w:pPr>
        <w:pStyle w:val="Normal"/>
        <w:spacing w:line="480" w:lineRule="auto"/>
        <w:rPr>
          <w:rFonts w:ascii="Arial" w:hAnsi="Arial" w:eastAsia="Arial" w:cs="Arial"/>
          <w:sz w:val="24"/>
          <w:szCs w:val="24"/>
        </w:rPr>
      </w:pPr>
      <w:r w:rsidRPr="5EF9118D" w:rsidR="1A69DDB7">
        <w:rPr>
          <w:rFonts w:ascii="Arial" w:hAnsi="Arial" w:eastAsia="Arial" w:cs="Arial"/>
          <w:sz w:val="24"/>
          <w:szCs w:val="24"/>
        </w:rPr>
        <w:t>- University of Cambridge (2018)</w:t>
      </w:r>
      <w:r w:rsidRPr="5EF9118D" w:rsidR="7A9D6601">
        <w:rPr>
          <w:rFonts w:ascii="Arial" w:hAnsi="Arial" w:eastAsia="Arial" w:cs="Arial"/>
          <w:sz w:val="24"/>
          <w:szCs w:val="24"/>
        </w:rPr>
        <w:t xml:space="preserve"> </w:t>
      </w:r>
      <w:r w:rsidRPr="5EF9118D" w:rsidR="7A9D6601">
        <w:rPr>
          <w:rFonts w:ascii="Arial" w:hAnsi="Arial" w:eastAsia="Arial" w:cs="Arial"/>
          <w:i w:val="1"/>
          <w:iCs w:val="1"/>
          <w:sz w:val="24"/>
          <w:szCs w:val="24"/>
        </w:rPr>
        <w:t xml:space="preserve">The future of Consent Education., DOI: </w:t>
      </w:r>
      <w:hyperlink r:id="Re0855d263b274ed9">
        <w:r w:rsidRPr="5EF9118D" w:rsidR="6F26000A">
          <w:rPr>
            <w:rStyle w:val="Hyperlink"/>
            <w:rFonts w:ascii="Arial" w:hAnsi="Arial" w:eastAsia="Arial" w:cs="Arial"/>
            <w:noProof w:val="0"/>
            <w:sz w:val="24"/>
            <w:szCs w:val="24"/>
            <w:lang w:val="en-GB"/>
          </w:rPr>
          <w:t>https://www.csap.cam.ac.uk/news/article-future-consent-education/ ACCESS</w:t>
        </w:r>
      </w:hyperlink>
      <w:r w:rsidRPr="5EF9118D" w:rsidR="7A9D6601">
        <w:rPr>
          <w:rFonts w:ascii="Arial" w:hAnsi="Arial" w:eastAsia="Arial" w:cs="Arial"/>
          <w:noProof w:val="0"/>
          <w:sz w:val="24"/>
          <w:szCs w:val="24"/>
          <w:lang w:val="en-GB"/>
        </w:rPr>
        <w:t xml:space="preserve"> DATE: 8/11/23.</w:t>
      </w:r>
    </w:p>
    <w:p w:rsidR="5EF9118D" w:rsidP="5EF9118D" w:rsidRDefault="5EF9118D" w14:paraId="5E0C4D95" w14:textId="47CDF37C">
      <w:pPr>
        <w:pStyle w:val="Normal"/>
        <w:spacing w:line="480" w:lineRule="auto"/>
        <w:rPr>
          <w:rFonts w:ascii="Arial" w:hAnsi="Arial" w:eastAsia="Arial" w:cs="Arial"/>
          <w:sz w:val="24"/>
          <w:szCs w:val="24"/>
        </w:rPr>
      </w:pPr>
    </w:p>
    <w:p w:rsidR="5EF9118D" w:rsidP="5EF9118D" w:rsidRDefault="5EF9118D" w14:paraId="2136084E" w14:textId="0C32963C">
      <w:pPr>
        <w:pStyle w:val="Normal"/>
        <w:spacing w:line="480" w:lineRule="auto"/>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1SWyJQVh" int2:invalidationBookmarkName="" int2:hashCode="tU+o/YokQaQZN9" int2:id="S64lv1qR">
      <int2:state int2:type="AugLoop_Text_Critique" int2:value="Rejected"/>
    </int2:bookmark>
    <int2:bookmark int2:bookmarkName="_Int_2CyqhXmw" int2:invalidationBookmarkName="" int2:hashCode="PzxYrkK5tCKJf/" int2:id="neNhFNnS">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10F84D"/>
    <w:rsid w:val="000E7BF8"/>
    <w:rsid w:val="002FD369"/>
    <w:rsid w:val="00E1C473"/>
    <w:rsid w:val="0176F71C"/>
    <w:rsid w:val="0178569C"/>
    <w:rsid w:val="0196A940"/>
    <w:rsid w:val="01EA3914"/>
    <w:rsid w:val="0266E945"/>
    <w:rsid w:val="02935B37"/>
    <w:rsid w:val="02C39C78"/>
    <w:rsid w:val="030415FF"/>
    <w:rsid w:val="03CFCE68"/>
    <w:rsid w:val="04196535"/>
    <w:rsid w:val="04953308"/>
    <w:rsid w:val="04AE97DE"/>
    <w:rsid w:val="052B5D49"/>
    <w:rsid w:val="061ADFB3"/>
    <w:rsid w:val="0664A377"/>
    <w:rsid w:val="06D2F323"/>
    <w:rsid w:val="07AF780D"/>
    <w:rsid w:val="0862FE0B"/>
    <w:rsid w:val="087D3AE5"/>
    <w:rsid w:val="08A1A348"/>
    <w:rsid w:val="08CD7FA9"/>
    <w:rsid w:val="08EF6709"/>
    <w:rsid w:val="098D0638"/>
    <w:rsid w:val="099C35E1"/>
    <w:rsid w:val="0A32431D"/>
    <w:rsid w:val="0A94904E"/>
    <w:rsid w:val="0AED32F3"/>
    <w:rsid w:val="0B874AED"/>
    <w:rsid w:val="0BBCF293"/>
    <w:rsid w:val="0C890354"/>
    <w:rsid w:val="0CAA971B"/>
    <w:rsid w:val="0D366F2E"/>
    <w:rsid w:val="0D58C2F4"/>
    <w:rsid w:val="0D747C4F"/>
    <w:rsid w:val="0DB55095"/>
    <w:rsid w:val="0DEFC20B"/>
    <w:rsid w:val="0DFFEB9A"/>
    <w:rsid w:val="0E04E733"/>
    <w:rsid w:val="0E089C67"/>
    <w:rsid w:val="0E1D303E"/>
    <w:rsid w:val="0E2E0A14"/>
    <w:rsid w:val="0E45C4C0"/>
    <w:rsid w:val="0E557A24"/>
    <w:rsid w:val="0E66CB7F"/>
    <w:rsid w:val="0E6FA704"/>
    <w:rsid w:val="0F01F8C3"/>
    <w:rsid w:val="0F8B926C"/>
    <w:rsid w:val="0FA042C3"/>
    <w:rsid w:val="0FBDCD26"/>
    <w:rsid w:val="10C6A759"/>
    <w:rsid w:val="11527F68"/>
    <w:rsid w:val="1162A673"/>
    <w:rsid w:val="118D1AE6"/>
    <w:rsid w:val="11EA4677"/>
    <w:rsid w:val="11FF06AB"/>
    <w:rsid w:val="12746A1E"/>
    <w:rsid w:val="128591B1"/>
    <w:rsid w:val="12DD633F"/>
    <w:rsid w:val="130FC2EA"/>
    <w:rsid w:val="131FF70A"/>
    <w:rsid w:val="13344FBB"/>
    <w:rsid w:val="13CDD346"/>
    <w:rsid w:val="13F9BFB0"/>
    <w:rsid w:val="14720CDE"/>
    <w:rsid w:val="147CA4D5"/>
    <w:rsid w:val="14BBC76B"/>
    <w:rsid w:val="1577E62E"/>
    <w:rsid w:val="158C687E"/>
    <w:rsid w:val="15B483F9"/>
    <w:rsid w:val="15DDCA55"/>
    <w:rsid w:val="15E8ADE3"/>
    <w:rsid w:val="16026186"/>
    <w:rsid w:val="1614468C"/>
    <w:rsid w:val="16194E8A"/>
    <w:rsid w:val="162B5BE7"/>
    <w:rsid w:val="1632C6F8"/>
    <w:rsid w:val="16BDB79A"/>
    <w:rsid w:val="1732DA72"/>
    <w:rsid w:val="1747769A"/>
    <w:rsid w:val="17F3682D"/>
    <w:rsid w:val="1882A15B"/>
    <w:rsid w:val="19C87D5F"/>
    <w:rsid w:val="19DC23F2"/>
    <w:rsid w:val="1A078F52"/>
    <w:rsid w:val="1A69DDB7"/>
    <w:rsid w:val="1A9E5B44"/>
    <w:rsid w:val="1B294FD9"/>
    <w:rsid w:val="1B4FE7D6"/>
    <w:rsid w:val="1B6295B7"/>
    <w:rsid w:val="1B644DC0"/>
    <w:rsid w:val="1B7DA634"/>
    <w:rsid w:val="1BC9EB81"/>
    <w:rsid w:val="1BFD7C78"/>
    <w:rsid w:val="1CA37D0B"/>
    <w:rsid w:val="1CC5203A"/>
    <w:rsid w:val="1CF7B698"/>
    <w:rsid w:val="1D4B0D02"/>
    <w:rsid w:val="1DB6448C"/>
    <w:rsid w:val="1DF72F80"/>
    <w:rsid w:val="1E24B080"/>
    <w:rsid w:val="1E741BFF"/>
    <w:rsid w:val="1E7D42FF"/>
    <w:rsid w:val="1EAC8EEC"/>
    <w:rsid w:val="1EB546F6"/>
    <w:rsid w:val="1EB7721D"/>
    <w:rsid w:val="1F0564FA"/>
    <w:rsid w:val="1F0E591F"/>
    <w:rsid w:val="1F22D973"/>
    <w:rsid w:val="1F95FFD1"/>
    <w:rsid w:val="20AA2980"/>
    <w:rsid w:val="20B0EF82"/>
    <w:rsid w:val="20EE0833"/>
    <w:rsid w:val="2131D032"/>
    <w:rsid w:val="2145741D"/>
    <w:rsid w:val="219A4A73"/>
    <w:rsid w:val="21A5D7C5"/>
    <w:rsid w:val="21A7DE8E"/>
    <w:rsid w:val="21B6F463"/>
    <w:rsid w:val="21C8190E"/>
    <w:rsid w:val="21E6F6AB"/>
    <w:rsid w:val="21ECE7B8"/>
    <w:rsid w:val="21FC554A"/>
    <w:rsid w:val="220FE845"/>
    <w:rsid w:val="223081E5"/>
    <w:rsid w:val="22566936"/>
    <w:rsid w:val="2289D894"/>
    <w:rsid w:val="22941A67"/>
    <w:rsid w:val="22B7783C"/>
    <w:rsid w:val="2343AEEF"/>
    <w:rsid w:val="238707AF"/>
    <w:rsid w:val="2392D85F"/>
    <w:rsid w:val="2425A8F5"/>
    <w:rsid w:val="242E4BCF"/>
    <w:rsid w:val="247FF187"/>
    <w:rsid w:val="24C61DE2"/>
    <w:rsid w:val="2505BDBD"/>
    <w:rsid w:val="251B7664"/>
    <w:rsid w:val="252226CF"/>
    <w:rsid w:val="25722E8D"/>
    <w:rsid w:val="25831FB1"/>
    <w:rsid w:val="25A6CFD7"/>
    <w:rsid w:val="25C17956"/>
    <w:rsid w:val="266DBB96"/>
    <w:rsid w:val="26E3D32E"/>
    <w:rsid w:val="270C0AB1"/>
    <w:rsid w:val="271988A3"/>
    <w:rsid w:val="27314348"/>
    <w:rsid w:val="275FA3C7"/>
    <w:rsid w:val="27C3362E"/>
    <w:rsid w:val="27C95AED"/>
    <w:rsid w:val="27E03FCB"/>
    <w:rsid w:val="281B723D"/>
    <w:rsid w:val="283BF988"/>
    <w:rsid w:val="28971849"/>
    <w:rsid w:val="28E875AE"/>
    <w:rsid w:val="291D06B7"/>
    <w:rsid w:val="2957309E"/>
    <w:rsid w:val="297EA2B7"/>
    <w:rsid w:val="29953EEC"/>
    <w:rsid w:val="29B8C6E4"/>
    <w:rsid w:val="29D46A02"/>
    <w:rsid w:val="2A484C19"/>
    <w:rsid w:val="2A9C7D51"/>
    <w:rsid w:val="2AD5D570"/>
    <w:rsid w:val="2B549745"/>
    <w:rsid w:val="2B824A1B"/>
    <w:rsid w:val="2B96FBC4"/>
    <w:rsid w:val="2BD8536D"/>
    <w:rsid w:val="2C053902"/>
    <w:rsid w:val="2C36A1AA"/>
    <w:rsid w:val="2C384DB2"/>
    <w:rsid w:val="2C8AD1FB"/>
    <w:rsid w:val="2CA3414D"/>
    <w:rsid w:val="2CDCFD1A"/>
    <w:rsid w:val="2D32CC25"/>
    <w:rsid w:val="2D6DAAC3"/>
    <w:rsid w:val="2D954DE6"/>
    <w:rsid w:val="2E00BF3E"/>
    <w:rsid w:val="2EE0C121"/>
    <w:rsid w:val="2F1458E6"/>
    <w:rsid w:val="2F311E47"/>
    <w:rsid w:val="2F3CD9C4"/>
    <w:rsid w:val="2F6FEE74"/>
    <w:rsid w:val="2FC72878"/>
    <w:rsid w:val="3014CCA3"/>
    <w:rsid w:val="305251AA"/>
    <w:rsid w:val="30CCEEA8"/>
    <w:rsid w:val="30D4BB09"/>
    <w:rsid w:val="30D8AA25"/>
    <w:rsid w:val="30E948CB"/>
    <w:rsid w:val="312CD409"/>
    <w:rsid w:val="315AFE14"/>
    <w:rsid w:val="31A8145F"/>
    <w:rsid w:val="32747A86"/>
    <w:rsid w:val="32B5B6C2"/>
    <w:rsid w:val="32FA137F"/>
    <w:rsid w:val="331C04DE"/>
    <w:rsid w:val="332B4D65"/>
    <w:rsid w:val="34104AE7"/>
    <w:rsid w:val="345BA614"/>
    <w:rsid w:val="348FF39A"/>
    <w:rsid w:val="34D288A2"/>
    <w:rsid w:val="34FEE6CE"/>
    <w:rsid w:val="352D1DD8"/>
    <w:rsid w:val="353988E7"/>
    <w:rsid w:val="3615066D"/>
    <w:rsid w:val="36D55948"/>
    <w:rsid w:val="376A0748"/>
    <w:rsid w:val="377C9F14"/>
    <w:rsid w:val="37FFAEE2"/>
    <w:rsid w:val="386B028B"/>
    <w:rsid w:val="386CF99B"/>
    <w:rsid w:val="38A9E8F7"/>
    <w:rsid w:val="38E3BC0A"/>
    <w:rsid w:val="394CE79C"/>
    <w:rsid w:val="398D16B0"/>
    <w:rsid w:val="39A11F28"/>
    <w:rsid w:val="39EAC5D6"/>
    <w:rsid w:val="3A7F8C6B"/>
    <w:rsid w:val="3A8FD0D5"/>
    <w:rsid w:val="3BF2D78E"/>
    <w:rsid w:val="3C987CE3"/>
    <w:rsid w:val="3CDEBD7E"/>
    <w:rsid w:val="3E0BC6A3"/>
    <w:rsid w:val="3E3BC8CE"/>
    <w:rsid w:val="3E46010E"/>
    <w:rsid w:val="3F4F2F97"/>
    <w:rsid w:val="3FB81BD1"/>
    <w:rsid w:val="3FD066DA"/>
    <w:rsid w:val="40193767"/>
    <w:rsid w:val="4027D9AF"/>
    <w:rsid w:val="404B42F1"/>
    <w:rsid w:val="40AED006"/>
    <w:rsid w:val="40F53ED0"/>
    <w:rsid w:val="4153EC32"/>
    <w:rsid w:val="415C8855"/>
    <w:rsid w:val="421ED1B0"/>
    <w:rsid w:val="42A9E2B1"/>
    <w:rsid w:val="42FB999A"/>
    <w:rsid w:val="430F39F1"/>
    <w:rsid w:val="431824CF"/>
    <w:rsid w:val="439E27A1"/>
    <w:rsid w:val="43C4EEC1"/>
    <w:rsid w:val="443CFCFE"/>
    <w:rsid w:val="4444EA84"/>
    <w:rsid w:val="449769FB"/>
    <w:rsid w:val="44D9AA89"/>
    <w:rsid w:val="450CE91C"/>
    <w:rsid w:val="45473DB1"/>
    <w:rsid w:val="45F04DD6"/>
    <w:rsid w:val="4646EB34"/>
    <w:rsid w:val="464FC591"/>
    <w:rsid w:val="467D98AD"/>
    <w:rsid w:val="4775FA81"/>
    <w:rsid w:val="47769B9F"/>
    <w:rsid w:val="47CF288B"/>
    <w:rsid w:val="480BC474"/>
    <w:rsid w:val="482498B4"/>
    <w:rsid w:val="49D2CC65"/>
    <w:rsid w:val="4AED70D9"/>
    <w:rsid w:val="4BC0C878"/>
    <w:rsid w:val="4BE78228"/>
    <w:rsid w:val="4C2344B0"/>
    <w:rsid w:val="4C6D13FB"/>
    <w:rsid w:val="4C89413A"/>
    <w:rsid w:val="4CDE7682"/>
    <w:rsid w:val="4DEBCCCA"/>
    <w:rsid w:val="4DF75A1C"/>
    <w:rsid w:val="4E1C1922"/>
    <w:rsid w:val="4E29B51D"/>
    <w:rsid w:val="4EB4E833"/>
    <w:rsid w:val="4F53DB21"/>
    <w:rsid w:val="4F5BC8D4"/>
    <w:rsid w:val="4FDD7F7A"/>
    <w:rsid w:val="5028D217"/>
    <w:rsid w:val="50BAF34B"/>
    <w:rsid w:val="50EA0DC2"/>
    <w:rsid w:val="51447ABF"/>
    <w:rsid w:val="514EB76A"/>
    <w:rsid w:val="51601CE6"/>
    <w:rsid w:val="517C4438"/>
    <w:rsid w:val="51824870"/>
    <w:rsid w:val="51AB6F83"/>
    <w:rsid w:val="51EDD402"/>
    <w:rsid w:val="526A996D"/>
    <w:rsid w:val="52AADAED"/>
    <w:rsid w:val="52AF2081"/>
    <w:rsid w:val="52B6D119"/>
    <w:rsid w:val="52BF3DED"/>
    <w:rsid w:val="531BFB78"/>
    <w:rsid w:val="5325CFB7"/>
    <w:rsid w:val="5446AB4E"/>
    <w:rsid w:val="544AF0E2"/>
    <w:rsid w:val="54A1D42F"/>
    <w:rsid w:val="552574C4"/>
    <w:rsid w:val="554A9C6F"/>
    <w:rsid w:val="5554DA7E"/>
    <w:rsid w:val="55A23A2F"/>
    <w:rsid w:val="55DEE170"/>
    <w:rsid w:val="56F664EA"/>
    <w:rsid w:val="574C5947"/>
    <w:rsid w:val="574E43EB"/>
    <w:rsid w:val="57685498"/>
    <w:rsid w:val="5792AF10"/>
    <w:rsid w:val="57CC5D7D"/>
    <w:rsid w:val="58380671"/>
    <w:rsid w:val="5845D31E"/>
    <w:rsid w:val="585430C6"/>
    <w:rsid w:val="58A629D0"/>
    <w:rsid w:val="59BF5F7A"/>
    <w:rsid w:val="5A3AA417"/>
    <w:rsid w:val="5AC011BE"/>
    <w:rsid w:val="5CF74EA0"/>
    <w:rsid w:val="5CFFFB1E"/>
    <w:rsid w:val="5D1B4965"/>
    <w:rsid w:val="5D8DB73C"/>
    <w:rsid w:val="5DE9E84A"/>
    <w:rsid w:val="5DFE97D9"/>
    <w:rsid w:val="5E5C8F67"/>
    <w:rsid w:val="5EF9118D"/>
    <w:rsid w:val="5FDEDE57"/>
    <w:rsid w:val="60379BE0"/>
    <w:rsid w:val="605611C1"/>
    <w:rsid w:val="607938D4"/>
    <w:rsid w:val="608A2D03"/>
    <w:rsid w:val="60ABE96A"/>
    <w:rsid w:val="60C6C4CE"/>
    <w:rsid w:val="61D36C41"/>
    <w:rsid w:val="62166352"/>
    <w:rsid w:val="621F4524"/>
    <w:rsid w:val="62231303"/>
    <w:rsid w:val="62570D23"/>
    <w:rsid w:val="62833698"/>
    <w:rsid w:val="630CE1A1"/>
    <w:rsid w:val="636B0313"/>
    <w:rsid w:val="6372031C"/>
    <w:rsid w:val="63788733"/>
    <w:rsid w:val="63E7A5A0"/>
    <w:rsid w:val="6510F84D"/>
    <w:rsid w:val="6536E180"/>
    <w:rsid w:val="65898219"/>
    <w:rsid w:val="6598C41F"/>
    <w:rsid w:val="6622831F"/>
    <w:rsid w:val="66A88984"/>
    <w:rsid w:val="66C1F9D3"/>
    <w:rsid w:val="66E0DEB9"/>
    <w:rsid w:val="671023BF"/>
    <w:rsid w:val="6788D1FB"/>
    <w:rsid w:val="67BB68D6"/>
    <w:rsid w:val="67BE5380"/>
    <w:rsid w:val="67CFAD7D"/>
    <w:rsid w:val="67F425A4"/>
    <w:rsid w:val="682EC8F0"/>
    <w:rsid w:val="684459E5"/>
    <w:rsid w:val="6873D8B5"/>
    <w:rsid w:val="6894302C"/>
    <w:rsid w:val="68AE7C13"/>
    <w:rsid w:val="68BDA387"/>
    <w:rsid w:val="68E9FF3A"/>
    <w:rsid w:val="68EF08DD"/>
    <w:rsid w:val="693B5A99"/>
    <w:rsid w:val="6981C48E"/>
    <w:rsid w:val="6A970BC6"/>
    <w:rsid w:val="6ABCC8AD"/>
    <w:rsid w:val="6AC60C70"/>
    <w:rsid w:val="6B2BC666"/>
    <w:rsid w:val="6B396B94"/>
    <w:rsid w:val="6BC0BB3D"/>
    <w:rsid w:val="6BC63B09"/>
    <w:rsid w:val="6BEF3053"/>
    <w:rsid w:val="6CB96550"/>
    <w:rsid w:val="6CD53BF5"/>
    <w:rsid w:val="6CE7F669"/>
    <w:rsid w:val="6D023A13"/>
    <w:rsid w:val="6D4E97F9"/>
    <w:rsid w:val="6D4F2884"/>
    <w:rsid w:val="6E4CD8EC"/>
    <w:rsid w:val="6E710C56"/>
    <w:rsid w:val="6E8F02E9"/>
    <w:rsid w:val="6EC9096A"/>
    <w:rsid w:val="6ED98697"/>
    <w:rsid w:val="6EEAF8E5"/>
    <w:rsid w:val="6F26000A"/>
    <w:rsid w:val="6F2C23DC"/>
    <w:rsid w:val="6F41CCE7"/>
    <w:rsid w:val="7009563B"/>
    <w:rsid w:val="700D8F68"/>
    <w:rsid w:val="7012B617"/>
    <w:rsid w:val="7055AD30"/>
    <w:rsid w:val="707556F8"/>
    <w:rsid w:val="708638BB"/>
    <w:rsid w:val="7155B8DA"/>
    <w:rsid w:val="71BC5103"/>
    <w:rsid w:val="71D03296"/>
    <w:rsid w:val="71D5AB36"/>
    <w:rsid w:val="71E5A1FD"/>
    <w:rsid w:val="71EEA026"/>
    <w:rsid w:val="71FC44D1"/>
    <w:rsid w:val="72037129"/>
    <w:rsid w:val="722FD5D7"/>
    <w:rsid w:val="726EB9A2"/>
    <w:rsid w:val="7286C253"/>
    <w:rsid w:val="72CE1FA2"/>
    <w:rsid w:val="72D235E6"/>
    <w:rsid w:val="72E2A082"/>
    <w:rsid w:val="736B4EA8"/>
    <w:rsid w:val="738D4DF2"/>
    <w:rsid w:val="73DC9A9E"/>
    <w:rsid w:val="74073D79"/>
    <w:rsid w:val="7409B545"/>
    <w:rsid w:val="746E0647"/>
    <w:rsid w:val="747ABC3B"/>
    <w:rsid w:val="74BD4110"/>
    <w:rsid w:val="750D4BF8"/>
    <w:rsid w:val="75196037"/>
    <w:rsid w:val="752CE253"/>
    <w:rsid w:val="7548C81B"/>
    <w:rsid w:val="75A8634B"/>
    <w:rsid w:val="760267E5"/>
    <w:rsid w:val="762C56EE"/>
    <w:rsid w:val="763E293D"/>
    <w:rsid w:val="76A91C59"/>
    <w:rsid w:val="76DC910A"/>
    <w:rsid w:val="76F57A3F"/>
    <w:rsid w:val="777251D4"/>
    <w:rsid w:val="7794E78D"/>
    <w:rsid w:val="77C8274F"/>
    <w:rsid w:val="77EDF10A"/>
    <w:rsid w:val="78038AD8"/>
    <w:rsid w:val="7805F044"/>
    <w:rsid w:val="780B09BB"/>
    <w:rsid w:val="7840B4D7"/>
    <w:rsid w:val="78D7B9E2"/>
    <w:rsid w:val="79BC504F"/>
    <w:rsid w:val="79CBF30B"/>
    <w:rsid w:val="7A5D207D"/>
    <w:rsid w:val="7A9D6601"/>
    <w:rsid w:val="7B590B5C"/>
    <w:rsid w:val="7B847B02"/>
    <w:rsid w:val="7C0C909E"/>
    <w:rsid w:val="7C126453"/>
    <w:rsid w:val="7C881AA9"/>
    <w:rsid w:val="7C9D7F9A"/>
    <w:rsid w:val="7D96FE54"/>
    <w:rsid w:val="7E3F5659"/>
    <w:rsid w:val="7E71A01F"/>
    <w:rsid w:val="7E8F1DA6"/>
    <w:rsid w:val="7EBBE77A"/>
    <w:rsid w:val="7EBC1BC4"/>
    <w:rsid w:val="7ED171C1"/>
    <w:rsid w:val="7EDF51BD"/>
    <w:rsid w:val="7F38A800"/>
    <w:rsid w:val="7FA5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0F84D"/>
  <w15:chartTrackingRefBased/>
  <w15:docId w15:val="{EA086F12-3F5A-4693-8D29-47AA3798B7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EF9118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EF9118D"/>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EF9118D"/>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EF9118D"/>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EF9118D"/>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EF9118D"/>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EF9118D"/>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EF9118D"/>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EF9118D"/>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EF9118D"/>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EF9118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EF9118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EF9118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EF9118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EF9118D"/>
    <w:pPr>
      <w:spacing/>
      <w:ind w:left="720"/>
      <w:contextualSpacing/>
    </w:pPr>
  </w:style>
  <w:style w:type="character" w:styleId="Heading1Char" w:customStyle="true">
    <w:uiPriority w:val="9"/>
    <w:name w:val="Heading 1 Char"/>
    <w:basedOn w:val="DefaultParagraphFont"/>
    <w:link w:val="Heading1"/>
    <w:rsid w:val="5EF9118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EF9118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EF9118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EF9118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EF9118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EF9118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EF9118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EF9118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EF9118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EF9118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EF9118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EF9118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EF9118D"/>
    <w:rPr>
      <w:i w:val="1"/>
      <w:iCs w:val="1"/>
      <w:noProof w:val="0"/>
      <w:color w:val="4472C4" w:themeColor="accent1" w:themeTint="FF" w:themeShade="FF"/>
      <w:lang w:val="en-GB"/>
    </w:rPr>
  </w:style>
  <w:style w:type="paragraph" w:styleId="TOC1">
    <w:uiPriority w:val="39"/>
    <w:name w:val="toc 1"/>
    <w:basedOn w:val="Normal"/>
    <w:next w:val="Normal"/>
    <w:unhideWhenUsed/>
    <w:rsid w:val="5EF9118D"/>
    <w:pPr>
      <w:spacing w:after="100"/>
    </w:pPr>
  </w:style>
  <w:style w:type="paragraph" w:styleId="TOC2">
    <w:uiPriority w:val="39"/>
    <w:name w:val="toc 2"/>
    <w:basedOn w:val="Normal"/>
    <w:next w:val="Normal"/>
    <w:unhideWhenUsed/>
    <w:rsid w:val="5EF9118D"/>
    <w:pPr>
      <w:spacing w:after="100"/>
      <w:ind w:left="220"/>
    </w:pPr>
  </w:style>
  <w:style w:type="paragraph" w:styleId="TOC3">
    <w:uiPriority w:val="39"/>
    <w:name w:val="toc 3"/>
    <w:basedOn w:val="Normal"/>
    <w:next w:val="Normal"/>
    <w:unhideWhenUsed/>
    <w:rsid w:val="5EF9118D"/>
    <w:pPr>
      <w:spacing w:after="100"/>
      <w:ind w:left="440"/>
    </w:pPr>
  </w:style>
  <w:style w:type="paragraph" w:styleId="TOC4">
    <w:uiPriority w:val="39"/>
    <w:name w:val="toc 4"/>
    <w:basedOn w:val="Normal"/>
    <w:next w:val="Normal"/>
    <w:unhideWhenUsed/>
    <w:rsid w:val="5EF9118D"/>
    <w:pPr>
      <w:spacing w:after="100"/>
      <w:ind w:left="660"/>
    </w:pPr>
  </w:style>
  <w:style w:type="paragraph" w:styleId="TOC5">
    <w:uiPriority w:val="39"/>
    <w:name w:val="toc 5"/>
    <w:basedOn w:val="Normal"/>
    <w:next w:val="Normal"/>
    <w:unhideWhenUsed/>
    <w:rsid w:val="5EF9118D"/>
    <w:pPr>
      <w:spacing w:after="100"/>
      <w:ind w:left="880"/>
    </w:pPr>
  </w:style>
  <w:style w:type="paragraph" w:styleId="TOC6">
    <w:uiPriority w:val="39"/>
    <w:name w:val="toc 6"/>
    <w:basedOn w:val="Normal"/>
    <w:next w:val="Normal"/>
    <w:unhideWhenUsed/>
    <w:rsid w:val="5EF9118D"/>
    <w:pPr>
      <w:spacing w:after="100"/>
      <w:ind w:left="1100"/>
    </w:pPr>
  </w:style>
  <w:style w:type="paragraph" w:styleId="TOC7">
    <w:uiPriority w:val="39"/>
    <w:name w:val="toc 7"/>
    <w:basedOn w:val="Normal"/>
    <w:next w:val="Normal"/>
    <w:unhideWhenUsed/>
    <w:rsid w:val="5EF9118D"/>
    <w:pPr>
      <w:spacing w:after="100"/>
      <w:ind w:left="1320"/>
    </w:pPr>
  </w:style>
  <w:style w:type="paragraph" w:styleId="TOC8">
    <w:uiPriority w:val="39"/>
    <w:name w:val="toc 8"/>
    <w:basedOn w:val="Normal"/>
    <w:next w:val="Normal"/>
    <w:unhideWhenUsed/>
    <w:rsid w:val="5EF9118D"/>
    <w:pPr>
      <w:spacing w:after="100"/>
      <w:ind w:left="1540"/>
    </w:pPr>
  </w:style>
  <w:style w:type="paragraph" w:styleId="TOC9">
    <w:uiPriority w:val="39"/>
    <w:name w:val="toc 9"/>
    <w:basedOn w:val="Normal"/>
    <w:next w:val="Normal"/>
    <w:unhideWhenUsed/>
    <w:rsid w:val="5EF9118D"/>
    <w:pPr>
      <w:spacing w:after="100"/>
      <w:ind w:left="1760"/>
    </w:pPr>
  </w:style>
  <w:style w:type="paragraph" w:styleId="EndnoteText">
    <w:uiPriority w:val="99"/>
    <w:name w:val="endnote text"/>
    <w:basedOn w:val="Normal"/>
    <w:semiHidden/>
    <w:unhideWhenUsed/>
    <w:link w:val="EndnoteTextChar"/>
    <w:rsid w:val="5EF9118D"/>
    <w:rPr>
      <w:sz w:val="20"/>
      <w:szCs w:val="20"/>
    </w:rPr>
    <w:pPr>
      <w:spacing w:after="0"/>
    </w:pPr>
  </w:style>
  <w:style w:type="character" w:styleId="EndnoteTextChar" w:customStyle="true">
    <w:uiPriority w:val="99"/>
    <w:name w:val="Endnote Text Char"/>
    <w:basedOn w:val="DefaultParagraphFont"/>
    <w:semiHidden/>
    <w:link w:val="EndnoteText"/>
    <w:rsid w:val="5EF9118D"/>
    <w:rPr>
      <w:noProof w:val="0"/>
      <w:sz w:val="20"/>
      <w:szCs w:val="20"/>
      <w:lang w:val="en-GB"/>
    </w:rPr>
  </w:style>
  <w:style w:type="paragraph" w:styleId="Footer">
    <w:uiPriority w:val="99"/>
    <w:name w:val="footer"/>
    <w:basedOn w:val="Normal"/>
    <w:unhideWhenUsed/>
    <w:link w:val="FooterChar"/>
    <w:rsid w:val="5EF9118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EF9118D"/>
    <w:rPr>
      <w:noProof w:val="0"/>
      <w:lang w:val="en-GB"/>
    </w:rPr>
  </w:style>
  <w:style w:type="paragraph" w:styleId="FootnoteText">
    <w:uiPriority w:val="99"/>
    <w:name w:val="footnote text"/>
    <w:basedOn w:val="Normal"/>
    <w:semiHidden/>
    <w:unhideWhenUsed/>
    <w:link w:val="FootnoteTextChar"/>
    <w:rsid w:val="5EF9118D"/>
    <w:rPr>
      <w:sz w:val="20"/>
      <w:szCs w:val="20"/>
    </w:rPr>
    <w:pPr>
      <w:spacing w:after="0"/>
    </w:pPr>
  </w:style>
  <w:style w:type="character" w:styleId="FootnoteTextChar" w:customStyle="true">
    <w:uiPriority w:val="99"/>
    <w:name w:val="Footnote Text Char"/>
    <w:basedOn w:val="DefaultParagraphFont"/>
    <w:semiHidden/>
    <w:link w:val="FootnoteText"/>
    <w:rsid w:val="5EF9118D"/>
    <w:rPr>
      <w:noProof w:val="0"/>
      <w:sz w:val="20"/>
      <w:szCs w:val="20"/>
      <w:lang w:val="en-GB"/>
    </w:rPr>
  </w:style>
  <w:style w:type="paragraph" w:styleId="Header">
    <w:uiPriority w:val="99"/>
    <w:name w:val="header"/>
    <w:basedOn w:val="Normal"/>
    <w:unhideWhenUsed/>
    <w:link w:val="HeaderChar"/>
    <w:rsid w:val="5EF9118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EF9118D"/>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uk/government/publications/police-crime-sentencing-and-courts-bill-2021-equality-statements/assault-on-emergency-workers-in-the-police-crime-sentencing-courts-bill-equalities-impact-assessment" TargetMode="External" Id="R578a918a0b214bdb" /><Relationship Type="http://schemas.openxmlformats.org/officeDocument/2006/relationships/hyperlink" Target="https://pdfs.semanticscholar.org/5374/15517fdc48c513e4187e6297d8606be2f718.pdf" TargetMode="External" Id="Rcb6089ad09f54720" /><Relationship Type="http://schemas.openxmlformats.org/officeDocument/2006/relationships/hyperlink" Target="https://learninglink.oup.com/static/5c0e79ef50eddf00160f35ad/casebook_185.htm" TargetMode="External" Id="R1cb995caaade4398" /><Relationship Type="http://schemas.openxmlformats.org/officeDocument/2006/relationships/hyperlink" Target="https://heinonline.org/hol-cgi-bin/get_pdf.cgi?handle=hein.journals/kentlj30&amp;section=35" TargetMode="External" Id="Rdb63441c6df74534" /><Relationship Type="http://schemas.openxmlformats.org/officeDocument/2006/relationships/hyperlink" Target="https://scholar.google.com/scholar_case?case=16934503738102166387&amp;q=misinterpretation+of+consent+in+assault&amp;hl=en&amp;as_sdt=2006" TargetMode="External" Id="R176c931777134af8" /><Relationship Type="http://schemas.openxmlformats.org/officeDocument/2006/relationships/hyperlink" Target="https://www.csap.cam.ac.uk/news/article-future-consent-education/" TargetMode="External" Id="Re0855d263b274ed9" /><Relationship Type="http://schemas.microsoft.com/office/2020/10/relationships/intelligence" Target="intelligence2.xml" Id="Rd66203483ef24e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2023-11-08T18:24:12.3775409Z</dcterms:created>
  <dcterms:modified xsi:type="dcterms:W3CDTF">2023-11-10T10:46:34.5363232Z</dcterms:modified>
  <dc:creator>Milly Golledge (2304737)</dc:creator>
  <lastModifiedBy>Milly Golledge (2304737)</lastModifiedBy>
</coreProperties>
</file>