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A097B" w14:textId="57109AC2" w:rsidR="00EA573E" w:rsidRDefault="0018096D" w:rsidP="0018096D">
      <w:pPr>
        <w:spacing w:line="360" w:lineRule="auto"/>
        <w:jc w:val="center"/>
        <w:rPr>
          <w:sz w:val="24"/>
          <w:szCs w:val="24"/>
          <w:u w:val="single"/>
        </w:rPr>
      </w:pPr>
      <w:r>
        <w:rPr>
          <w:sz w:val="24"/>
          <w:szCs w:val="24"/>
          <w:u w:val="single"/>
        </w:rPr>
        <w:t>Encyclopaedia Report</w:t>
      </w:r>
    </w:p>
    <w:p w14:paraId="38EB1183" w14:textId="77777777" w:rsidR="0018096D" w:rsidRDefault="0018096D" w:rsidP="0018096D">
      <w:pPr>
        <w:spacing w:line="360" w:lineRule="auto"/>
        <w:rPr>
          <w:sz w:val="24"/>
          <w:szCs w:val="24"/>
          <w:u w:val="single"/>
        </w:rPr>
      </w:pPr>
    </w:p>
    <w:p w14:paraId="4278D611" w14:textId="21991A0F" w:rsidR="0018096D" w:rsidRDefault="0018096D" w:rsidP="0018096D">
      <w:pPr>
        <w:spacing w:line="360" w:lineRule="auto"/>
        <w:rPr>
          <w:i/>
          <w:iCs/>
          <w:sz w:val="24"/>
          <w:szCs w:val="24"/>
        </w:rPr>
      </w:pPr>
      <w:r>
        <w:rPr>
          <w:i/>
          <w:iCs/>
          <w:sz w:val="24"/>
          <w:szCs w:val="24"/>
        </w:rPr>
        <w:t xml:space="preserve">Bibliotheca Technological: </w:t>
      </w:r>
      <w:proofErr w:type="gramStart"/>
      <w:r>
        <w:rPr>
          <w:i/>
          <w:iCs/>
          <w:sz w:val="24"/>
          <w:szCs w:val="24"/>
        </w:rPr>
        <w:t>or,</w:t>
      </w:r>
      <w:proofErr w:type="gramEnd"/>
      <w:r>
        <w:rPr>
          <w:i/>
          <w:iCs/>
          <w:sz w:val="24"/>
          <w:szCs w:val="24"/>
        </w:rPr>
        <w:t xml:space="preserve"> A Philological Library of Literary Arts and Sciences</w:t>
      </w:r>
      <w:r>
        <w:rPr>
          <w:i/>
          <w:iCs/>
          <w:sz w:val="24"/>
          <w:szCs w:val="24"/>
        </w:rPr>
        <w:t xml:space="preserve"> </w:t>
      </w:r>
      <w:r>
        <w:rPr>
          <w:sz w:val="24"/>
          <w:szCs w:val="24"/>
        </w:rPr>
        <w:t>by Benjamine Martin</w:t>
      </w:r>
      <w:r>
        <w:rPr>
          <w:i/>
          <w:iCs/>
          <w:sz w:val="24"/>
          <w:szCs w:val="24"/>
        </w:rPr>
        <w:t>.</w:t>
      </w:r>
      <w:r>
        <w:rPr>
          <w:rStyle w:val="FootnoteReference"/>
          <w:i/>
          <w:iCs/>
          <w:sz w:val="24"/>
          <w:szCs w:val="24"/>
        </w:rPr>
        <w:footnoteReference w:id="1"/>
      </w:r>
    </w:p>
    <w:p w14:paraId="71BE7FD3" w14:textId="61BEAC00" w:rsidR="0018096D" w:rsidRDefault="0018096D" w:rsidP="0018096D">
      <w:pPr>
        <w:spacing w:line="360" w:lineRule="auto"/>
        <w:rPr>
          <w:sz w:val="24"/>
          <w:szCs w:val="24"/>
        </w:rPr>
      </w:pPr>
      <w:r>
        <w:rPr>
          <w:sz w:val="24"/>
          <w:szCs w:val="24"/>
        </w:rPr>
        <w:t>Title Page Details included:</w:t>
      </w:r>
    </w:p>
    <w:p w14:paraId="564786A5" w14:textId="2BA8C247" w:rsidR="0018096D" w:rsidRDefault="00491739" w:rsidP="0018096D">
      <w:pPr>
        <w:spacing w:line="360" w:lineRule="auto"/>
        <w:rPr>
          <w:sz w:val="24"/>
          <w:szCs w:val="24"/>
        </w:rPr>
      </w:pPr>
      <w:r>
        <w:rPr>
          <w:sz w:val="24"/>
          <w:szCs w:val="24"/>
        </w:rPr>
        <w:t xml:space="preserve">Written in English, it gives </w:t>
      </w:r>
      <w:r w:rsidR="0018096D">
        <w:rPr>
          <w:sz w:val="24"/>
          <w:szCs w:val="24"/>
        </w:rPr>
        <w:t>detail</w:t>
      </w:r>
      <w:r>
        <w:rPr>
          <w:sz w:val="24"/>
          <w:szCs w:val="24"/>
        </w:rPr>
        <w:t>s</w:t>
      </w:r>
      <w:r w:rsidR="0018096D">
        <w:rPr>
          <w:sz w:val="24"/>
          <w:szCs w:val="24"/>
        </w:rPr>
        <w:t xml:space="preserve"> of other works published by the author, followed on next page by the books Title, author, that it was published for James Hodgeson</w:t>
      </w:r>
      <w:r>
        <w:rPr>
          <w:sz w:val="24"/>
          <w:szCs w:val="24"/>
        </w:rPr>
        <w:t xml:space="preserve"> at Looking-Glass on London Bridge in 1740</w:t>
      </w:r>
      <w:r w:rsidR="00BB6FAF">
        <w:rPr>
          <w:sz w:val="24"/>
          <w:szCs w:val="24"/>
        </w:rPr>
        <w:t xml:space="preserve"> (printer is unknow)</w:t>
      </w:r>
      <w:r w:rsidR="0018096D">
        <w:rPr>
          <w:sz w:val="24"/>
          <w:szCs w:val="24"/>
        </w:rPr>
        <w:t>, statement that this is a second edition of the book, and a brief context of what is included in the encyclopaedia.</w:t>
      </w:r>
    </w:p>
    <w:p w14:paraId="7F9D1FCC" w14:textId="08DB28EB" w:rsidR="0018096D" w:rsidRDefault="00491739" w:rsidP="00BB6FAF">
      <w:pPr>
        <w:spacing w:line="360" w:lineRule="auto"/>
        <w:ind w:firstLine="720"/>
        <w:rPr>
          <w:sz w:val="24"/>
          <w:szCs w:val="24"/>
        </w:rPr>
      </w:pPr>
      <w:r>
        <w:rPr>
          <w:sz w:val="24"/>
          <w:szCs w:val="24"/>
        </w:rPr>
        <w:t xml:space="preserve">It does not give any details as to weather the work was translated from one language to the next and neither does it have any engraving. However, this may be considered common practice for humanistic related works as Martine Davies describes how a, due to the call for radical changes in handwriting by renaissance humanists such as Petrarch, writing had </w:t>
      </w:r>
      <w:r>
        <w:rPr>
          <w:sz w:val="24"/>
          <w:szCs w:val="24"/>
        </w:rPr>
        <w:t>becom</w:t>
      </w:r>
      <w:r>
        <w:rPr>
          <w:sz w:val="24"/>
          <w:szCs w:val="24"/>
        </w:rPr>
        <w:t>e</w:t>
      </w:r>
      <w:r>
        <w:rPr>
          <w:sz w:val="24"/>
          <w:szCs w:val="24"/>
        </w:rPr>
        <w:t xml:space="preserve"> more well-spaced and long lined which was viewed as “chaste, not showy, harmonious not funny,” </w:t>
      </w:r>
      <w:r>
        <w:rPr>
          <w:sz w:val="24"/>
          <w:szCs w:val="24"/>
        </w:rPr>
        <w:t xml:space="preserve">rather than artistic and full of illustrations, </w:t>
      </w:r>
      <w:r>
        <w:rPr>
          <w:sz w:val="24"/>
          <w:szCs w:val="24"/>
        </w:rPr>
        <w:t xml:space="preserve">a trait which during the renaissance was </w:t>
      </w:r>
      <w:r>
        <w:rPr>
          <w:sz w:val="24"/>
          <w:szCs w:val="24"/>
        </w:rPr>
        <w:t>mainly</w:t>
      </w:r>
      <w:r>
        <w:rPr>
          <w:sz w:val="24"/>
          <w:szCs w:val="24"/>
        </w:rPr>
        <w:t xml:space="preserve"> associated with humanistic writings to suggest its context, which we can still see to be </w:t>
      </w:r>
      <w:r>
        <w:rPr>
          <w:sz w:val="24"/>
          <w:szCs w:val="24"/>
        </w:rPr>
        <w:t>influenced</w:t>
      </w:r>
      <w:r>
        <w:rPr>
          <w:sz w:val="24"/>
          <w:szCs w:val="24"/>
        </w:rPr>
        <w:t xml:space="preserve"> in later works such as this book.</w:t>
      </w:r>
      <w:r>
        <w:rPr>
          <w:rStyle w:val="FootnoteReference"/>
          <w:sz w:val="24"/>
          <w:szCs w:val="24"/>
        </w:rPr>
        <w:footnoteReference w:id="2"/>
      </w:r>
    </w:p>
    <w:p w14:paraId="306D4632" w14:textId="5D572DF4" w:rsidR="00491739" w:rsidRDefault="00491739" w:rsidP="00BB6FAF">
      <w:pPr>
        <w:spacing w:line="360" w:lineRule="auto"/>
        <w:ind w:firstLine="720"/>
        <w:rPr>
          <w:sz w:val="24"/>
          <w:szCs w:val="24"/>
        </w:rPr>
      </w:pPr>
      <w:r>
        <w:rPr>
          <w:sz w:val="24"/>
          <w:szCs w:val="24"/>
        </w:rPr>
        <w:t xml:space="preserve">Scope: According to the preface, the encyclopaedia was intended to include the comprehensive works of Trivium and Quadrivium art and science subjects </w:t>
      </w:r>
      <w:r w:rsidR="00BB6FAF">
        <w:rPr>
          <w:sz w:val="24"/>
          <w:szCs w:val="24"/>
        </w:rPr>
        <w:t xml:space="preserve">all in one place </w:t>
      </w:r>
      <w:proofErr w:type="gramStart"/>
      <w:r w:rsidR="00BB6FAF">
        <w:rPr>
          <w:sz w:val="24"/>
          <w:szCs w:val="24"/>
        </w:rPr>
        <w:t>in order to</w:t>
      </w:r>
      <w:proofErr w:type="gramEnd"/>
      <w:r w:rsidR="00BB6FAF">
        <w:rPr>
          <w:sz w:val="24"/>
          <w:szCs w:val="24"/>
        </w:rPr>
        <w:t xml:space="preserve"> help develop one knowledge on the subject by having them all readily available to read within the book. It has been ordered into different chapters relevant to each subject listed in the context page that included page numbers. Allowing for the reader to easily navigate the subject they wish to search for and written what appears to be comprehensive and straight forward. It covers, to my </w:t>
      </w:r>
      <w:r w:rsidR="003E7AD8">
        <w:rPr>
          <w:sz w:val="24"/>
          <w:szCs w:val="24"/>
        </w:rPr>
        <w:t>understanding</w:t>
      </w:r>
      <w:r w:rsidR="00BB6FAF">
        <w:rPr>
          <w:sz w:val="24"/>
          <w:szCs w:val="24"/>
        </w:rPr>
        <w:t>, all branches of these arts and sciences knowledge, from language and grammar to mythology and theology, as one would expect from such an encyclopaedia on arts and science.</w:t>
      </w:r>
    </w:p>
    <w:p w14:paraId="02E2DC27" w14:textId="1C9EC2D1" w:rsidR="00BB6FAF" w:rsidRDefault="00BB6FAF" w:rsidP="00BB6FAF">
      <w:pPr>
        <w:tabs>
          <w:tab w:val="left" w:pos="5530"/>
        </w:tabs>
        <w:spacing w:line="360" w:lineRule="auto"/>
        <w:rPr>
          <w:sz w:val="24"/>
          <w:szCs w:val="24"/>
        </w:rPr>
      </w:pPr>
      <w:r>
        <w:rPr>
          <w:sz w:val="24"/>
          <w:szCs w:val="24"/>
        </w:rPr>
        <w:lastRenderedPageBreak/>
        <w:t xml:space="preserve">     </w:t>
      </w:r>
      <w:r>
        <w:rPr>
          <w:sz w:val="24"/>
          <w:szCs w:val="24"/>
        </w:rPr>
        <w:t>Benjamin Martine lived between 1704 to 1782 and was a lecturer a boarding school at Chichester, where he specialised in mathematics.</w:t>
      </w:r>
      <w:r>
        <w:rPr>
          <w:rStyle w:val="FootnoteReference"/>
          <w:sz w:val="24"/>
          <w:szCs w:val="24"/>
        </w:rPr>
        <w:footnoteReference w:id="3"/>
      </w:r>
      <w:r>
        <w:rPr>
          <w:sz w:val="24"/>
          <w:szCs w:val="24"/>
        </w:rPr>
        <w:t xml:space="preserve"> At this point in history the humanistic changes to education would have been very well know at this point, and therefore it is not unreasonable to attain that English academic teaches may have been well educated themselves in the</w:t>
      </w:r>
      <w:r w:rsidR="003E7AD8">
        <w:rPr>
          <w:sz w:val="24"/>
          <w:szCs w:val="24"/>
        </w:rPr>
        <w:t xml:space="preserve"> changes</w:t>
      </w:r>
      <w:r>
        <w:rPr>
          <w:sz w:val="24"/>
          <w:szCs w:val="24"/>
        </w:rPr>
        <w:t xml:space="preserve"> that came from the renaissance</w:t>
      </w:r>
      <w:r>
        <w:rPr>
          <w:sz w:val="24"/>
          <w:szCs w:val="24"/>
        </w:rPr>
        <w:t>.</w:t>
      </w:r>
    </w:p>
    <w:p w14:paraId="0FD937C8" w14:textId="1C354135" w:rsidR="00BB6FAF" w:rsidRDefault="00BB6FAF" w:rsidP="00BB6FAF">
      <w:pPr>
        <w:tabs>
          <w:tab w:val="left" w:pos="5530"/>
        </w:tabs>
        <w:spacing w:line="360" w:lineRule="auto"/>
        <w:rPr>
          <w:sz w:val="24"/>
          <w:szCs w:val="24"/>
        </w:rPr>
      </w:pPr>
      <w:r>
        <w:rPr>
          <w:sz w:val="24"/>
          <w:szCs w:val="24"/>
        </w:rPr>
        <w:t xml:space="preserve">     </w:t>
      </w:r>
      <w:r>
        <w:rPr>
          <w:sz w:val="24"/>
          <w:szCs w:val="24"/>
        </w:rPr>
        <w:t>His book was published</w:t>
      </w:r>
      <w:r>
        <w:rPr>
          <w:sz w:val="24"/>
          <w:szCs w:val="24"/>
        </w:rPr>
        <w:t xml:space="preserve"> for</w:t>
      </w:r>
      <w:r>
        <w:rPr>
          <w:sz w:val="24"/>
          <w:szCs w:val="24"/>
        </w:rPr>
        <w:t xml:space="preserve"> James Hodges in 1740 after the renaissance for James Hodges, which, according to Henry </w:t>
      </w:r>
      <w:proofErr w:type="spellStart"/>
      <w:r>
        <w:rPr>
          <w:sz w:val="24"/>
          <w:szCs w:val="24"/>
        </w:rPr>
        <w:t>Plomer</w:t>
      </w:r>
      <w:proofErr w:type="spellEnd"/>
      <w:r>
        <w:rPr>
          <w:sz w:val="24"/>
          <w:szCs w:val="24"/>
        </w:rPr>
        <w:t>, was a bookseller in London at the Looking-Glass on London Bridge.</w:t>
      </w:r>
      <w:r>
        <w:rPr>
          <w:rStyle w:val="FootnoteReference"/>
          <w:sz w:val="24"/>
          <w:szCs w:val="24"/>
        </w:rPr>
        <w:footnoteReference w:id="4"/>
      </w:r>
      <w:r>
        <w:rPr>
          <w:sz w:val="24"/>
          <w:szCs w:val="24"/>
        </w:rPr>
        <w:t xml:space="preserve"> </w:t>
      </w:r>
      <w:r w:rsidR="003E7AD8">
        <w:rPr>
          <w:sz w:val="24"/>
          <w:szCs w:val="24"/>
        </w:rPr>
        <w:t xml:space="preserve">A </w:t>
      </w:r>
      <w:r>
        <w:rPr>
          <w:sz w:val="24"/>
          <w:szCs w:val="24"/>
        </w:rPr>
        <w:t xml:space="preserve">reflect </w:t>
      </w:r>
      <w:r w:rsidR="003E7AD8">
        <w:rPr>
          <w:sz w:val="24"/>
          <w:szCs w:val="24"/>
        </w:rPr>
        <w:t xml:space="preserve">of </w:t>
      </w:r>
      <w:r>
        <w:rPr>
          <w:sz w:val="24"/>
          <w:szCs w:val="24"/>
        </w:rPr>
        <w:t>another humanistic renaissance influence on book manufacture as they monopolised the invasion of print to mass produce humanistic writings “which encouraged precise and systematic reference in a way not possible with manuscripts.”</w:t>
      </w:r>
      <w:r>
        <w:rPr>
          <w:rStyle w:val="FootnoteReference"/>
          <w:sz w:val="24"/>
          <w:szCs w:val="24"/>
        </w:rPr>
        <w:footnoteReference w:id="5"/>
      </w:r>
    </w:p>
    <w:p w14:paraId="74888A68" w14:textId="77777777" w:rsidR="00BB6FAF" w:rsidRDefault="00BB6FAF" w:rsidP="00BB6FAF">
      <w:pPr>
        <w:tabs>
          <w:tab w:val="left" w:pos="5530"/>
        </w:tabs>
        <w:spacing w:line="360" w:lineRule="auto"/>
        <w:rPr>
          <w:sz w:val="24"/>
          <w:szCs w:val="24"/>
        </w:rPr>
      </w:pPr>
    </w:p>
    <w:p w14:paraId="0C4D324E" w14:textId="408533E7" w:rsidR="003E7AD8" w:rsidRPr="003E7AD8" w:rsidRDefault="003E7AD8" w:rsidP="00BB6FAF">
      <w:pPr>
        <w:tabs>
          <w:tab w:val="left" w:pos="5530"/>
        </w:tabs>
        <w:spacing w:line="360" w:lineRule="auto"/>
        <w:rPr>
          <w:sz w:val="24"/>
          <w:szCs w:val="24"/>
          <w:u w:val="single"/>
        </w:rPr>
      </w:pPr>
      <w:r w:rsidRPr="003E7AD8">
        <w:rPr>
          <w:sz w:val="24"/>
          <w:szCs w:val="24"/>
          <w:u w:val="single"/>
        </w:rPr>
        <w:t>Bibliography</w:t>
      </w:r>
    </w:p>
    <w:p w14:paraId="7DBD6398" w14:textId="77777777" w:rsidR="003E7AD8" w:rsidRPr="003E7AD8" w:rsidRDefault="003E7AD8" w:rsidP="003E7AD8">
      <w:pPr>
        <w:pStyle w:val="FootnoteText"/>
        <w:spacing w:line="360" w:lineRule="auto"/>
        <w:rPr>
          <w:sz w:val="24"/>
          <w:szCs w:val="24"/>
        </w:rPr>
      </w:pPr>
    </w:p>
    <w:p w14:paraId="65A2B6B4" w14:textId="0D9891DE" w:rsidR="003E7AD8" w:rsidRPr="003E7AD8" w:rsidRDefault="003E7AD8" w:rsidP="003E7AD8">
      <w:pPr>
        <w:tabs>
          <w:tab w:val="left" w:pos="5530"/>
        </w:tabs>
        <w:spacing w:line="360" w:lineRule="auto"/>
        <w:rPr>
          <w:b/>
          <w:bCs/>
          <w:sz w:val="24"/>
          <w:szCs w:val="24"/>
        </w:rPr>
      </w:pPr>
      <w:r w:rsidRPr="003E7AD8">
        <w:rPr>
          <w:sz w:val="24"/>
          <w:szCs w:val="24"/>
        </w:rPr>
        <w:t>Davies,</w:t>
      </w:r>
      <w:r>
        <w:rPr>
          <w:sz w:val="24"/>
          <w:szCs w:val="24"/>
        </w:rPr>
        <w:t xml:space="preserve"> Martine,</w:t>
      </w:r>
      <w:r w:rsidRPr="003E7AD8">
        <w:rPr>
          <w:sz w:val="24"/>
          <w:szCs w:val="24"/>
        </w:rPr>
        <w:t xml:space="preserve"> ‘Humanism in script and printing in the fifteenth century,’ in </w:t>
      </w:r>
      <w:r w:rsidRPr="003E7AD8">
        <w:rPr>
          <w:i/>
          <w:iCs/>
          <w:sz w:val="24"/>
          <w:szCs w:val="24"/>
        </w:rPr>
        <w:t xml:space="preserve">The Cambridge Companion to Renaissance Humanism, </w:t>
      </w:r>
      <w:r w:rsidRPr="003E7AD8">
        <w:rPr>
          <w:sz w:val="24"/>
          <w:szCs w:val="24"/>
        </w:rPr>
        <w:t xml:space="preserve">ed by Jill </w:t>
      </w:r>
      <w:proofErr w:type="spellStart"/>
      <w:r w:rsidRPr="003E7AD8">
        <w:rPr>
          <w:sz w:val="24"/>
          <w:szCs w:val="24"/>
        </w:rPr>
        <w:t>Kraye</w:t>
      </w:r>
      <w:proofErr w:type="spellEnd"/>
      <w:r w:rsidRPr="003E7AD8">
        <w:rPr>
          <w:sz w:val="24"/>
          <w:szCs w:val="24"/>
        </w:rPr>
        <w:t>, (Cambridge: Cambridge University Press, 1996</w:t>
      </w:r>
      <w:r>
        <w:rPr>
          <w:sz w:val="24"/>
          <w:szCs w:val="24"/>
        </w:rPr>
        <w:t>)</w:t>
      </w:r>
    </w:p>
    <w:p w14:paraId="2E47F43A" w14:textId="3120A3A0" w:rsidR="003E7AD8" w:rsidRPr="0018096D" w:rsidRDefault="003E7AD8" w:rsidP="003E7AD8">
      <w:pPr>
        <w:pStyle w:val="FootnoteText"/>
        <w:spacing w:line="360" w:lineRule="auto"/>
        <w:rPr>
          <w:sz w:val="24"/>
          <w:szCs w:val="24"/>
        </w:rPr>
      </w:pPr>
      <w:r w:rsidRPr="003E7AD8">
        <w:rPr>
          <w:sz w:val="24"/>
          <w:szCs w:val="24"/>
        </w:rPr>
        <w:t>Martine,</w:t>
      </w:r>
      <w:r>
        <w:rPr>
          <w:sz w:val="24"/>
          <w:szCs w:val="24"/>
        </w:rPr>
        <w:t xml:space="preserve"> Benjamine,</w:t>
      </w:r>
      <w:r w:rsidRPr="003E7AD8">
        <w:rPr>
          <w:sz w:val="24"/>
          <w:szCs w:val="24"/>
        </w:rPr>
        <w:t xml:space="preserve"> </w:t>
      </w:r>
      <w:r w:rsidRPr="003E7AD8">
        <w:rPr>
          <w:i/>
          <w:iCs/>
          <w:sz w:val="24"/>
          <w:szCs w:val="24"/>
        </w:rPr>
        <w:t xml:space="preserve">Bibliotheca Technological: or, A Philological Library of Literary Arts and Sciences, </w:t>
      </w:r>
      <w:r w:rsidRPr="003E7AD8">
        <w:rPr>
          <w:sz w:val="24"/>
          <w:szCs w:val="24"/>
        </w:rPr>
        <w:t>2</w:t>
      </w:r>
      <w:r w:rsidRPr="003E7AD8">
        <w:rPr>
          <w:sz w:val="24"/>
          <w:szCs w:val="24"/>
          <w:vertAlign w:val="superscript"/>
        </w:rPr>
        <w:t>nd</w:t>
      </w:r>
      <w:r w:rsidRPr="003E7AD8">
        <w:rPr>
          <w:sz w:val="24"/>
          <w:szCs w:val="24"/>
        </w:rPr>
        <w:t xml:space="preserve"> </w:t>
      </w:r>
      <w:proofErr w:type="spellStart"/>
      <w:r w:rsidRPr="003E7AD8">
        <w:rPr>
          <w:sz w:val="24"/>
          <w:szCs w:val="24"/>
        </w:rPr>
        <w:t>edn</w:t>
      </w:r>
      <w:proofErr w:type="spellEnd"/>
      <w:r w:rsidRPr="003E7AD8">
        <w:rPr>
          <w:sz w:val="24"/>
          <w:szCs w:val="24"/>
        </w:rPr>
        <w:t>,</w:t>
      </w:r>
      <w:r w:rsidRPr="003E7AD8">
        <w:rPr>
          <w:i/>
          <w:iCs/>
          <w:sz w:val="24"/>
          <w:szCs w:val="24"/>
        </w:rPr>
        <w:t xml:space="preserve"> </w:t>
      </w:r>
      <w:r w:rsidRPr="003E7AD8">
        <w:rPr>
          <w:sz w:val="24"/>
          <w:szCs w:val="24"/>
        </w:rPr>
        <w:t>(London: Printed for James Hodges, 1740)</w:t>
      </w:r>
      <w:r>
        <w:rPr>
          <w:sz w:val="24"/>
          <w:szCs w:val="24"/>
        </w:rPr>
        <w:br/>
      </w:r>
    </w:p>
    <w:p w14:paraId="197130EF" w14:textId="37BE8D30" w:rsidR="003E7AD8" w:rsidRDefault="003E7AD8" w:rsidP="003E7AD8">
      <w:pPr>
        <w:pStyle w:val="FootnoteText"/>
        <w:spacing w:line="360" w:lineRule="auto"/>
        <w:rPr>
          <w:sz w:val="24"/>
          <w:szCs w:val="24"/>
        </w:rPr>
      </w:pPr>
      <w:r w:rsidRPr="003E7AD8">
        <w:rPr>
          <w:sz w:val="24"/>
          <w:szCs w:val="24"/>
        </w:rPr>
        <w:t>Millbury,</w:t>
      </w:r>
      <w:r>
        <w:rPr>
          <w:sz w:val="24"/>
          <w:szCs w:val="24"/>
        </w:rPr>
        <w:t xml:space="preserve"> John, R.</w:t>
      </w:r>
      <w:r w:rsidRPr="003E7AD8">
        <w:rPr>
          <w:sz w:val="24"/>
          <w:szCs w:val="24"/>
        </w:rPr>
        <w:t xml:space="preserve"> ‘Benjamin Martin and the Royal Society,’ </w:t>
      </w:r>
      <w:r w:rsidRPr="003E7AD8">
        <w:rPr>
          <w:i/>
          <w:iCs/>
          <w:sz w:val="24"/>
          <w:szCs w:val="24"/>
        </w:rPr>
        <w:t xml:space="preserve">Notes and Records of the Royal Society of London, </w:t>
      </w:r>
      <w:r w:rsidRPr="003E7AD8">
        <w:rPr>
          <w:sz w:val="24"/>
          <w:szCs w:val="24"/>
        </w:rPr>
        <w:t>25.1 (1973), 15-23 (</w:t>
      </w:r>
      <w:proofErr w:type="spellStart"/>
      <w:r w:rsidRPr="003E7AD8">
        <w:rPr>
          <w:sz w:val="24"/>
          <w:szCs w:val="24"/>
        </w:rPr>
        <w:t>p.15</w:t>
      </w:r>
      <w:proofErr w:type="spellEnd"/>
      <w:r w:rsidRPr="003E7AD8">
        <w:rPr>
          <w:sz w:val="24"/>
          <w:szCs w:val="24"/>
        </w:rPr>
        <w:t xml:space="preserve">) &lt; </w:t>
      </w:r>
      <w:hyperlink r:id="rId7" w:history="1">
        <w:r w:rsidRPr="003E7AD8">
          <w:rPr>
            <w:rStyle w:val="Hyperlink"/>
            <w:sz w:val="24"/>
            <w:szCs w:val="24"/>
          </w:rPr>
          <w:t>https://www.jstor.org/stable/531110</w:t>
        </w:r>
      </w:hyperlink>
      <w:r w:rsidRPr="003E7AD8">
        <w:rPr>
          <w:sz w:val="24"/>
          <w:szCs w:val="24"/>
        </w:rPr>
        <w:t>&gt;</w:t>
      </w:r>
      <w:r>
        <w:rPr>
          <w:sz w:val="24"/>
          <w:szCs w:val="24"/>
        </w:rPr>
        <w:br/>
      </w:r>
    </w:p>
    <w:p w14:paraId="266F0ED4" w14:textId="77777777" w:rsidR="003E7AD8" w:rsidRPr="003E7AD8" w:rsidRDefault="003E7AD8" w:rsidP="003E7AD8">
      <w:pPr>
        <w:pStyle w:val="FootnoteText"/>
        <w:spacing w:line="360" w:lineRule="auto"/>
        <w:rPr>
          <w:sz w:val="24"/>
          <w:szCs w:val="24"/>
        </w:rPr>
      </w:pPr>
      <w:proofErr w:type="spellStart"/>
      <w:proofErr w:type="gramStart"/>
      <w:r w:rsidRPr="003E7AD8">
        <w:rPr>
          <w:sz w:val="24"/>
          <w:szCs w:val="24"/>
        </w:rPr>
        <w:t>Plomer</w:t>
      </w:r>
      <w:proofErr w:type="spellEnd"/>
      <w:r>
        <w:rPr>
          <w:sz w:val="24"/>
          <w:szCs w:val="24"/>
        </w:rPr>
        <w:t xml:space="preserve"> </w:t>
      </w:r>
      <w:r w:rsidRPr="003E7AD8">
        <w:rPr>
          <w:sz w:val="24"/>
          <w:szCs w:val="24"/>
        </w:rPr>
        <w:t>,</w:t>
      </w:r>
      <w:r>
        <w:rPr>
          <w:sz w:val="24"/>
          <w:szCs w:val="24"/>
        </w:rPr>
        <w:t>Henry</w:t>
      </w:r>
      <w:proofErr w:type="gramEnd"/>
      <w:r>
        <w:rPr>
          <w:sz w:val="24"/>
          <w:szCs w:val="24"/>
        </w:rPr>
        <w:t xml:space="preserve"> R.,</w:t>
      </w:r>
      <w:r w:rsidRPr="003E7AD8">
        <w:rPr>
          <w:sz w:val="24"/>
          <w:szCs w:val="24"/>
        </w:rPr>
        <w:t xml:space="preserve"> </w:t>
      </w:r>
      <w:r w:rsidRPr="003E7AD8">
        <w:rPr>
          <w:i/>
          <w:iCs/>
          <w:sz w:val="24"/>
          <w:szCs w:val="24"/>
        </w:rPr>
        <w:t xml:space="preserve">A Dictionary of the Booksellers and Printers Who Were at Work in England, Scotland and Ireland from 1726 to 1775, </w:t>
      </w:r>
      <w:r w:rsidRPr="003E7AD8">
        <w:rPr>
          <w:sz w:val="24"/>
          <w:szCs w:val="24"/>
        </w:rPr>
        <w:t xml:space="preserve">(Oxford: The </w:t>
      </w:r>
      <w:proofErr w:type="spellStart"/>
      <w:r w:rsidRPr="003E7AD8">
        <w:rPr>
          <w:sz w:val="24"/>
          <w:szCs w:val="24"/>
        </w:rPr>
        <w:t>Bibiographical</w:t>
      </w:r>
      <w:proofErr w:type="spellEnd"/>
      <w:r w:rsidRPr="003E7AD8">
        <w:rPr>
          <w:sz w:val="24"/>
          <w:szCs w:val="24"/>
        </w:rPr>
        <w:t xml:space="preserve"> </w:t>
      </w:r>
      <w:proofErr w:type="spellStart"/>
      <w:r w:rsidRPr="003E7AD8">
        <w:rPr>
          <w:sz w:val="24"/>
          <w:szCs w:val="24"/>
        </w:rPr>
        <w:t>Sociery</w:t>
      </w:r>
      <w:proofErr w:type="spellEnd"/>
      <w:r w:rsidRPr="003E7AD8">
        <w:rPr>
          <w:sz w:val="24"/>
          <w:szCs w:val="24"/>
        </w:rPr>
        <w:t>, 1923)</w:t>
      </w:r>
      <w:r>
        <w:rPr>
          <w:sz w:val="24"/>
          <w:szCs w:val="24"/>
        </w:rPr>
        <w:br/>
      </w:r>
    </w:p>
    <w:sectPr w:rsidR="003E7AD8" w:rsidRPr="003E7AD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E59D7" w14:textId="77777777" w:rsidR="0018096D" w:rsidRDefault="0018096D" w:rsidP="0018096D">
      <w:pPr>
        <w:spacing w:after="0" w:line="240" w:lineRule="auto"/>
      </w:pPr>
      <w:r>
        <w:separator/>
      </w:r>
    </w:p>
  </w:endnote>
  <w:endnote w:type="continuationSeparator" w:id="0">
    <w:p w14:paraId="13E91469" w14:textId="77777777" w:rsidR="0018096D" w:rsidRDefault="0018096D" w:rsidP="00180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78BBF" w14:textId="77777777" w:rsidR="0018096D" w:rsidRDefault="0018096D" w:rsidP="0018096D">
      <w:pPr>
        <w:spacing w:after="0" w:line="240" w:lineRule="auto"/>
      </w:pPr>
      <w:r>
        <w:separator/>
      </w:r>
    </w:p>
  </w:footnote>
  <w:footnote w:type="continuationSeparator" w:id="0">
    <w:p w14:paraId="49EC5595" w14:textId="77777777" w:rsidR="0018096D" w:rsidRDefault="0018096D" w:rsidP="0018096D">
      <w:pPr>
        <w:spacing w:after="0" w:line="240" w:lineRule="auto"/>
      </w:pPr>
      <w:r>
        <w:continuationSeparator/>
      </w:r>
    </w:p>
  </w:footnote>
  <w:footnote w:id="1">
    <w:p w14:paraId="3F989150" w14:textId="5BEDD7B1" w:rsidR="0018096D" w:rsidRPr="00413F82" w:rsidRDefault="0018096D" w:rsidP="0018096D">
      <w:pPr>
        <w:pStyle w:val="FootnoteText"/>
      </w:pPr>
      <w:r>
        <w:rPr>
          <w:rStyle w:val="FootnoteReference"/>
        </w:rPr>
        <w:footnoteRef/>
      </w:r>
      <w:r>
        <w:t xml:space="preserve"> Benjamin Martine, </w:t>
      </w:r>
      <w:r w:rsidRPr="00413F82">
        <w:rPr>
          <w:i/>
          <w:iCs/>
        </w:rPr>
        <w:t>Bibliotheca Technological: or, A Philological Library of Literary Arts and Sciences</w:t>
      </w:r>
      <w:r>
        <w:rPr>
          <w:i/>
          <w:iCs/>
        </w:rPr>
        <w:t>,</w:t>
      </w:r>
      <w:r>
        <w:rPr>
          <w:i/>
          <w:iCs/>
        </w:rPr>
        <w:t xml:space="preserve"> </w:t>
      </w:r>
      <w:r>
        <w:t>2</w:t>
      </w:r>
      <w:r w:rsidRPr="0018096D">
        <w:rPr>
          <w:vertAlign w:val="superscript"/>
        </w:rPr>
        <w:t>nd</w:t>
      </w:r>
      <w:r>
        <w:t xml:space="preserve"> </w:t>
      </w:r>
      <w:proofErr w:type="spellStart"/>
      <w:r>
        <w:t>edn</w:t>
      </w:r>
      <w:proofErr w:type="spellEnd"/>
      <w:r>
        <w:t>,</w:t>
      </w:r>
      <w:r>
        <w:rPr>
          <w:i/>
          <w:iCs/>
        </w:rPr>
        <w:t xml:space="preserve"> </w:t>
      </w:r>
      <w:r>
        <w:t xml:space="preserve">(London: Printed for James Hodges, 1740). </w:t>
      </w:r>
    </w:p>
  </w:footnote>
  <w:footnote w:id="2">
    <w:p w14:paraId="04849AE3" w14:textId="77777777" w:rsidR="00491739" w:rsidRDefault="00491739" w:rsidP="00491739">
      <w:pPr>
        <w:pStyle w:val="FootnoteText"/>
      </w:pPr>
      <w:r>
        <w:rPr>
          <w:rStyle w:val="FootnoteReference"/>
        </w:rPr>
        <w:footnoteRef/>
      </w:r>
      <w:r>
        <w:t xml:space="preserve"> Martine Davies, ‘Humanism in script and printing in the fifteenth century,’ in </w:t>
      </w:r>
      <w:r>
        <w:rPr>
          <w:i/>
          <w:iCs/>
        </w:rPr>
        <w:t xml:space="preserve">The Cambridge Companion to Renaissance Humanism, </w:t>
      </w:r>
      <w:r>
        <w:t xml:space="preserve">ed by Jill </w:t>
      </w:r>
      <w:proofErr w:type="spellStart"/>
      <w:r>
        <w:t>Kraye</w:t>
      </w:r>
      <w:proofErr w:type="spellEnd"/>
      <w:r>
        <w:t xml:space="preserve">, (Cambridge: Cambridge University Press, 1996), </w:t>
      </w:r>
      <w:proofErr w:type="spellStart"/>
      <w:r>
        <w:t>p.49</w:t>
      </w:r>
      <w:proofErr w:type="spellEnd"/>
      <w:r>
        <w:t>.</w:t>
      </w:r>
    </w:p>
  </w:footnote>
  <w:footnote w:id="3">
    <w:p w14:paraId="14BE75C0" w14:textId="77777777" w:rsidR="00BB6FAF" w:rsidRPr="003314CB" w:rsidRDefault="00BB6FAF" w:rsidP="00BB6FAF">
      <w:pPr>
        <w:pStyle w:val="FootnoteText"/>
      </w:pPr>
      <w:r>
        <w:rPr>
          <w:rStyle w:val="FootnoteReference"/>
        </w:rPr>
        <w:footnoteRef/>
      </w:r>
      <w:r>
        <w:t xml:space="preserve"> John R. Millbury, ‘Benjamin Martin and the Royal Society,’ </w:t>
      </w:r>
      <w:r>
        <w:rPr>
          <w:i/>
          <w:iCs/>
        </w:rPr>
        <w:t xml:space="preserve">Notes and Records of the Royal Society of London, </w:t>
      </w:r>
      <w:r>
        <w:t>25.1 (1973), 15-23 (</w:t>
      </w:r>
      <w:proofErr w:type="spellStart"/>
      <w:r>
        <w:t>p.15</w:t>
      </w:r>
      <w:proofErr w:type="spellEnd"/>
      <w:r>
        <w:t>) &lt;</w:t>
      </w:r>
      <w:r w:rsidRPr="003314CB">
        <w:t xml:space="preserve"> </w:t>
      </w:r>
      <w:hyperlink r:id="rId1" w:history="1">
        <w:r w:rsidRPr="00A23DDF">
          <w:rPr>
            <w:rStyle w:val="Hyperlink"/>
          </w:rPr>
          <w:t>https://www.jstor.org/stable/531110</w:t>
        </w:r>
      </w:hyperlink>
      <w:r>
        <w:t>&gt;.</w:t>
      </w:r>
    </w:p>
  </w:footnote>
  <w:footnote w:id="4">
    <w:p w14:paraId="1B3DADF4" w14:textId="77777777" w:rsidR="00BB6FAF" w:rsidRPr="00F52C77" w:rsidRDefault="00BB6FAF" w:rsidP="00BB6FAF">
      <w:pPr>
        <w:pStyle w:val="FootnoteText"/>
      </w:pPr>
      <w:r>
        <w:rPr>
          <w:rStyle w:val="FootnoteReference"/>
        </w:rPr>
        <w:footnoteRef/>
      </w:r>
      <w:r>
        <w:t xml:space="preserve"> Henry R. </w:t>
      </w:r>
      <w:proofErr w:type="spellStart"/>
      <w:r>
        <w:t>Plomer</w:t>
      </w:r>
      <w:proofErr w:type="spellEnd"/>
      <w:r>
        <w:t xml:space="preserve">, </w:t>
      </w:r>
      <w:r>
        <w:rPr>
          <w:i/>
          <w:iCs/>
        </w:rPr>
        <w:t xml:space="preserve">A Dictionary of the Booksellers and Printers Who Were at Work in England, </w:t>
      </w:r>
      <w:proofErr w:type="gramStart"/>
      <w:r>
        <w:rPr>
          <w:i/>
          <w:iCs/>
        </w:rPr>
        <w:t>Scotland</w:t>
      </w:r>
      <w:proofErr w:type="gramEnd"/>
      <w:r>
        <w:rPr>
          <w:i/>
          <w:iCs/>
        </w:rPr>
        <w:t xml:space="preserve"> and Ireland from 1726 to 1775, </w:t>
      </w:r>
      <w:r>
        <w:t xml:space="preserve">(Oxford: The </w:t>
      </w:r>
      <w:proofErr w:type="spellStart"/>
      <w:r>
        <w:t>Bibiographical</w:t>
      </w:r>
      <w:proofErr w:type="spellEnd"/>
      <w:r>
        <w:t xml:space="preserve"> </w:t>
      </w:r>
      <w:proofErr w:type="spellStart"/>
      <w:r>
        <w:t>Sociery</w:t>
      </w:r>
      <w:proofErr w:type="spellEnd"/>
      <w:r>
        <w:t xml:space="preserve">, 1923) </w:t>
      </w:r>
      <w:proofErr w:type="spellStart"/>
      <w:r>
        <w:t>p.127</w:t>
      </w:r>
      <w:proofErr w:type="spellEnd"/>
      <w:r>
        <w:t>-128.</w:t>
      </w:r>
    </w:p>
  </w:footnote>
  <w:footnote w:id="5">
    <w:p w14:paraId="28472942" w14:textId="77777777" w:rsidR="00BB6FAF" w:rsidRDefault="00BB6FAF" w:rsidP="00BB6FAF">
      <w:pPr>
        <w:pStyle w:val="FootnoteText"/>
      </w:pPr>
      <w:r>
        <w:rPr>
          <w:rStyle w:val="FootnoteReference"/>
        </w:rPr>
        <w:footnoteRef/>
      </w:r>
      <w:r>
        <w:t xml:space="preserve">Martine Davies, ‘Humanism in script and printing in the fifteenth century,’ in </w:t>
      </w:r>
      <w:r>
        <w:rPr>
          <w:i/>
          <w:iCs/>
        </w:rPr>
        <w:t xml:space="preserve">The Cambridge Companion to Renaissance Humanism, </w:t>
      </w:r>
      <w:r>
        <w:t xml:space="preserve">ed by Jill </w:t>
      </w:r>
      <w:proofErr w:type="spellStart"/>
      <w:r>
        <w:t>Kraye</w:t>
      </w:r>
      <w:proofErr w:type="spellEnd"/>
      <w:r>
        <w:t xml:space="preserve">, (Cambridge: Cambridge University Press, 1996), </w:t>
      </w:r>
      <w:proofErr w:type="spellStart"/>
      <w:r>
        <w:t>p.55</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98935" w14:textId="36E2D34E" w:rsidR="0018096D" w:rsidRDefault="0018096D">
    <w:pPr>
      <w:pStyle w:val="Header"/>
    </w:pPr>
    <w:r>
      <w:t>Lois Wilcox 2200825</w:t>
    </w:r>
    <w:r>
      <w:ptab w:relativeTo="margin" w:alignment="center" w:leader="none"/>
    </w:r>
    <w:r>
      <w:t xml:space="preserve">The Book, the </w:t>
    </w:r>
    <w:proofErr w:type="gramStart"/>
    <w:r>
      <w:t>Body</w:t>
    </w:r>
    <w:proofErr w:type="gramEnd"/>
    <w:r>
      <w:t xml:space="preserve"> and the World</w:t>
    </w:r>
    <w:r>
      <w:ptab w:relativeTo="margin" w:alignment="right" w:leader="none"/>
    </w:r>
    <w:r>
      <w:t>18/01/24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96D"/>
    <w:rsid w:val="0018096D"/>
    <w:rsid w:val="003E7AD8"/>
    <w:rsid w:val="00491739"/>
    <w:rsid w:val="00BB6FAF"/>
    <w:rsid w:val="00EA5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96DFC"/>
  <w15:chartTrackingRefBased/>
  <w15:docId w15:val="{FB9E78E0-7F99-4634-B2F4-399EF999C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0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96D"/>
  </w:style>
  <w:style w:type="paragraph" w:styleId="Footer">
    <w:name w:val="footer"/>
    <w:basedOn w:val="Normal"/>
    <w:link w:val="FooterChar"/>
    <w:uiPriority w:val="99"/>
    <w:unhideWhenUsed/>
    <w:rsid w:val="00180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96D"/>
  </w:style>
  <w:style w:type="paragraph" w:styleId="FootnoteText">
    <w:name w:val="footnote text"/>
    <w:basedOn w:val="Normal"/>
    <w:link w:val="FootnoteTextChar"/>
    <w:uiPriority w:val="99"/>
    <w:unhideWhenUsed/>
    <w:rsid w:val="0018096D"/>
    <w:pPr>
      <w:spacing w:after="0" w:line="240" w:lineRule="auto"/>
    </w:pPr>
    <w:rPr>
      <w:sz w:val="20"/>
      <w:szCs w:val="20"/>
    </w:rPr>
  </w:style>
  <w:style w:type="character" w:customStyle="1" w:styleId="FootnoteTextChar">
    <w:name w:val="Footnote Text Char"/>
    <w:basedOn w:val="DefaultParagraphFont"/>
    <w:link w:val="FootnoteText"/>
    <w:uiPriority w:val="99"/>
    <w:rsid w:val="0018096D"/>
    <w:rPr>
      <w:sz w:val="20"/>
      <w:szCs w:val="20"/>
    </w:rPr>
  </w:style>
  <w:style w:type="character" w:styleId="FootnoteReference">
    <w:name w:val="footnote reference"/>
    <w:basedOn w:val="DefaultParagraphFont"/>
    <w:uiPriority w:val="99"/>
    <w:semiHidden/>
    <w:unhideWhenUsed/>
    <w:rsid w:val="0018096D"/>
    <w:rPr>
      <w:vertAlign w:val="superscript"/>
    </w:rPr>
  </w:style>
  <w:style w:type="character" w:styleId="Hyperlink">
    <w:name w:val="Hyperlink"/>
    <w:basedOn w:val="DefaultParagraphFont"/>
    <w:uiPriority w:val="99"/>
    <w:unhideWhenUsed/>
    <w:rsid w:val="00BB6F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jstor.org/stable/53111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stable/531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1DAE0-CF9F-423E-B3C4-E86038DA4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1</cp:revision>
  <dcterms:created xsi:type="dcterms:W3CDTF">2024-01-18T12:26:00Z</dcterms:created>
  <dcterms:modified xsi:type="dcterms:W3CDTF">2024-01-18T13:03:00Z</dcterms:modified>
</cp:coreProperties>
</file>