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7E79A5" w14:textId="210F2EF1" w:rsidR="00C25B24" w:rsidRDefault="4DD3E46F" w:rsidP="7F96CA37">
      <w:pPr>
        <w:spacing w:line="360" w:lineRule="auto"/>
      </w:pPr>
      <w:r>
        <w:rPr>
          <w:noProof/>
        </w:rPr>
        <w:drawing>
          <wp:inline distT="0" distB="0" distL="0" distR="0" wp14:anchorId="63DB1838" wp14:editId="3BF94CA2">
            <wp:extent cx="2305050" cy="723900"/>
            <wp:effectExtent l="0" t="0" r="0" b="0"/>
            <wp:docPr id="3171218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121839" name="Picture 317121839"/>
                    <pic:cNvPicPr/>
                  </pic:nvPicPr>
                  <pic:blipFill>
                    <a:blip r:embed="rId5">
                      <a:extLst>
                        <a:ext uri="{28A0092B-C50C-407E-A947-70E740481C1C}">
                          <a14:useLocalDpi xmlns:a14="http://schemas.microsoft.com/office/drawing/2010/main"/>
                        </a:ext>
                      </a:extLst>
                    </a:blip>
                    <a:stretch>
                      <a:fillRect/>
                    </a:stretch>
                  </pic:blipFill>
                  <pic:spPr>
                    <a:xfrm>
                      <a:off x="0" y="0"/>
                      <a:ext cx="2305050" cy="723900"/>
                    </a:xfrm>
                    <a:prstGeom prst="rect">
                      <a:avLst/>
                    </a:prstGeom>
                  </pic:spPr>
                </pic:pic>
              </a:graphicData>
            </a:graphic>
          </wp:inline>
        </w:drawing>
      </w:r>
    </w:p>
    <w:p w14:paraId="28F73DA1" w14:textId="2F46F5D1" w:rsidR="00C25B24" w:rsidRDefault="00C25B24" w:rsidP="7F96CA37">
      <w:pPr>
        <w:spacing w:line="360" w:lineRule="auto"/>
      </w:pPr>
    </w:p>
    <w:p w14:paraId="20245C3C" w14:textId="17A814A5" w:rsidR="00C25B24" w:rsidRDefault="00C25B24" w:rsidP="7F96CA37">
      <w:pPr>
        <w:spacing w:line="360" w:lineRule="auto"/>
      </w:pPr>
    </w:p>
    <w:p w14:paraId="5B094C1C" w14:textId="2E9C5008" w:rsidR="00C25B24" w:rsidRDefault="4934E923" w:rsidP="7F96CA37">
      <w:pPr>
        <w:tabs>
          <w:tab w:val="left" w:pos="6540"/>
        </w:tabs>
        <w:spacing w:after="0" w:line="360" w:lineRule="auto"/>
        <w:rPr>
          <w:rFonts w:ascii="Arial" w:eastAsia="Arial" w:hAnsi="Arial" w:cs="Arial"/>
          <w:color w:val="000000" w:themeColor="text1"/>
          <w:sz w:val="28"/>
          <w:szCs w:val="28"/>
        </w:rPr>
      </w:pPr>
      <w:r w:rsidRPr="7F96CA37">
        <w:rPr>
          <w:rFonts w:ascii="Arial" w:eastAsia="Arial" w:hAnsi="Arial" w:cs="Arial"/>
          <w:b/>
          <w:bCs/>
          <w:color w:val="000000" w:themeColor="text1"/>
          <w:sz w:val="28"/>
          <w:szCs w:val="28"/>
        </w:rPr>
        <w:t>Student name</w:t>
      </w:r>
      <w:r w:rsidRPr="7F96CA37">
        <w:rPr>
          <w:rFonts w:ascii="Arial" w:eastAsia="Arial" w:hAnsi="Arial" w:cs="Arial"/>
          <w:color w:val="000000" w:themeColor="text1"/>
          <w:sz w:val="28"/>
          <w:szCs w:val="28"/>
        </w:rPr>
        <w:t>: Shahidul Islam</w:t>
      </w:r>
    </w:p>
    <w:p w14:paraId="734664B9" w14:textId="6479E6C7" w:rsidR="00C25B24" w:rsidRDefault="4934E923" w:rsidP="7F96CA37">
      <w:pPr>
        <w:tabs>
          <w:tab w:val="left" w:pos="6540"/>
        </w:tabs>
        <w:spacing w:after="0" w:line="360" w:lineRule="auto"/>
        <w:rPr>
          <w:rFonts w:ascii="Arial" w:eastAsia="Arial" w:hAnsi="Arial" w:cs="Arial"/>
          <w:color w:val="000000" w:themeColor="text1"/>
          <w:sz w:val="28"/>
          <w:szCs w:val="28"/>
        </w:rPr>
      </w:pPr>
      <w:r w:rsidRPr="7F96CA37">
        <w:rPr>
          <w:rFonts w:ascii="Arial" w:eastAsia="Arial" w:hAnsi="Arial" w:cs="Arial"/>
          <w:b/>
          <w:bCs/>
          <w:color w:val="000000" w:themeColor="text1"/>
          <w:sz w:val="28"/>
          <w:szCs w:val="28"/>
          <w:lang w:val="nl-NL"/>
        </w:rPr>
        <w:t>Student ID</w:t>
      </w:r>
      <w:r w:rsidRPr="7F96CA37">
        <w:rPr>
          <w:rFonts w:ascii="Arial" w:eastAsia="Arial" w:hAnsi="Arial" w:cs="Arial"/>
          <w:color w:val="000000" w:themeColor="text1"/>
          <w:sz w:val="28"/>
          <w:szCs w:val="28"/>
          <w:lang w:val="nl-NL"/>
        </w:rPr>
        <w:t>: 2425727</w:t>
      </w:r>
    </w:p>
    <w:p w14:paraId="1C22A3BC" w14:textId="0641E7D4" w:rsidR="00C25B24" w:rsidRDefault="4934E923" w:rsidP="7F96CA37">
      <w:pPr>
        <w:tabs>
          <w:tab w:val="left" w:pos="6540"/>
        </w:tabs>
        <w:spacing w:after="0" w:line="360" w:lineRule="auto"/>
        <w:rPr>
          <w:rFonts w:ascii="Arial" w:eastAsia="Arial" w:hAnsi="Arial" w:cs="Arial"/>
          <w:color w:val="000000" w:themeColor="text1"/>
          <w:sz w:val="28"/>
          <w:szCs w:val="28"/>
        </w:rPr>
      </w:pPr>
      <w:r w:rsidRPr="7F96CA37">
        <w:rPr>
          <w:rFonts w:ascii="Arial" w:eastAsia="Arial" w:hAnsi="Arial" w:cs="Arial"/>
          <w:b/>
          <w:bCs/>
          <w:color w:val="000000" w:themeColor="text1"/>
          <w:sz w:val="28"/>
          <w:szCs w:val="28"/>
          <w:lang w:val="nl-NL"/>
        </w:rPr>
        <w:t>Module name</w:t>
      </w:r>
      <w:r w:rsidRPr="7F96CA37">
        <w:rPr>
          <w:rFonts w:ascii="Arial" w:eastAsia="Arial" w:hAnsi="Arial" w:cs="Arial"/>
          <w:color w:val="000000" w:themeColor="text1"/>
          <w:sz w:val="28"/>
          <w:szCs w:val="28"/>
          <w:lang w:val="nl-NL"/>
        </w:rPr>
        <w:t xml:space="preserve">: </w:t>
      </w:r>
      <w:r w:rsidR="544F2B81" w:rsidRPr="7F96CA37">
        <w:rPr>
          <w:rFonts w:ascii="Arial" w:eastAsia="Arial" w:hAnsi="Arial" w:cs="Arial"/>
          <w:sz w:val="28"/>
          <w:szCs w:val="28"/>
          <w:lang w:val="nl-NL"/>
        </w:rPr>
        <w:t>Introduction to Public Health</w:t>
      </w:r>
    </w:p>
    <w:p w14:paraId="3F4C02C8" w14:textId="49F2C484" w:rsidR="00C25B24" w:rsidRDefault="4934E923" w:rsidP="7F96CA37">
      <w:pPr>
        <w:tabs>
          <w:tab w:val="left" w:pos="6540"/>
        </w:tabs>
        <w:spacing w:after="0" w:line="360" w:lineRule="auto"/>
        <w:rPr>
          <w:rFonts w:ascii="Arial" w:eastAsia="Arial" w:hAnsi="Arial" w:cs="Arial"/>
          <w:color w:val="000000" w:themeColor="text1"/>
          <w:sz w:val="28"/>
          <w:szCs w:val="28"/>
        </w:rPr>
      </w:pPr>
      <w:r w:rsidRPr="7F96CA37">
        <w:rPr>
          <w:rFonts w:ascii="Arial" w:eastAsia="Arial" w:hAnsi="Arial" w:cs="Arial"/>
          <w:b/>
          <w:bCs/>
          <w:color w:val="000000" w:themeColor="text1"/>
          <w:sz w:val="28"/>
          <w:szCs w:val="28"/>
        </w:rPr>
        <w:t>Module code</w:t>
      </w:r>
      <w:r w:rsidRPr="7F96CA37">
        <w:rPr>
          <w:rFonts w:ascii="Arial" w:eastAsia="Arial" w:hAnsi="Arial" w:cs="Arial"/>
          <w:color w:val="000000" w:themeColor="text1"/>
          <w:sz w:val="28"/>
          <w:szCs w:val="28"/>
        </w:rPr>
        <w:t>:</w:t>
      </w:r>
      <w:r w:rsidRPr="7F96CA37">
        <w:rPr>
          <w:rFonts w:ascii="Arial" w:eastAsia="Arial" w:hAnsi="Arial" w:cs="Arial"/>
          <w:b/>
          <w:bCs/>
          <w:color w:val="1D2125"/>
          <w:sz w:val="28"/>
          <w:szCs w:val="28"/>
        </w:rPr>
        <w:t xml:space="preserve"> </w:t>
      </w:r>
      <w:r w:rsidRPr="7F96CA37">
        <w:rPr>
          <w:rFonts w:ascii="Arial" w:eastAsia="Arial" w:hAnsi="Arial" w:cs="Arial"/>
          <w:color w:val="000000" w:themeColor="text1"/>
          <w:sz w:val="28"/>
          <w:szCs w:val="28"/>
        </w:rPr>
        <w:t>LCHS4008</w:t>
      </w:r>
      <w:r w:rsidR="00FA1A4C">
        <w:tab/>
      </w:r>
    </w:p>
    <w:p w14:paraId="62126ABA" w14:textId="0A885822" w:rsidR="00C25B24" w:rsidRDefault="4934E923" w:rsidP="7F96CA37">
      <w:pPr>
        <w:tabs>
          <w:tab w:val="left" w:pos="6540"/>
        </w:tabs>
        <w:spacing w:after="0" w:line="360" w:lineRule="auto"/>
        <w:rPr>
          <w:rFonts w:ascii="Arial" w:eastAsia="Arial" w:hAnsi="Arial" w:cs="Arial"/>
          <w:color w:val="000000" w:themeColor="text1"/>
          <w:sz w:val="28"/>
          <w:szCs w:val="28"/>
        </w:rPr>
      </w:pPr>
      <w:r w:rsidRPr="7F96CA37">
        <w:rPr>
          <w:rFonts w:ascii="Arial" w:eastAsia="Arial" w:hAnsi="Arial" w:cs="Arial"/>
          <w:b/>
          <w:bCs/>
          <w:color w:val="000000" w:themeColor="text1"/>
          <w:sz w:val="28"/>
          <w:szCs w:val="28"/>
        </w:rPr>
        <w:t>Assailment title:</w:t>
      </w:r>
      <w:r w:rsidRPr="7F96CA37">
        <w:rPr>
          <w:rFonts w:ascii="Arial" w:eastAsia="Arial" w:hAnsi="Arial" w:cs="Arial"/>
          <w:color w:val="000000" w:themeColor="text1"/>
          <w:sz w:val="28"/>
          <w:szCs w:val="28"/>
        </w:rPr>
        <w:t xml:space="preserve"> </w:t>
      </w:r>
      <w:r w:rsidRPr="7F96CA37">
        <w:rPr>
          <w:rFonts w:ascii="Arial" w:eastAsia="Arial" w:hAnsi="Arial" w:cs="Arial"/>
          <w:sz w:val="28"/>
          <w:szCs w:val="28"/>
        </w:rPr>
        <w:t>Assessment 2 - Report on a Health Issue</w:t>
      </w:r>
    </w:p>
    <w:p w14:paraId="306C6C62" w14:textId="64245AA1" w:rsidR="00C25B24" w:rsidRDefault="250AFFD3" w:rsidP="7F96CA37">
      <w:pPr>
        <w:tabs>
          <w:tab w:val="left" w:pos="6540"/>
        </w:tabs>
        <w:spacing w:after="0" w:line="360" w:lineRule="auto"/>
        <w:rPr>
          <w:rFonts w:ascii="Arial" w:eastAsia="Arial" w:hAnsi="Arial" w:cs="Arial"/>
          <w:b/>
          <w:bCs/>
          <w:color w:val="000000" w:themeColor="text1"/>
          <w:sz w:val="28"/>
          <w:szCs w:val="28"/>
        </w:rPr>
      </w:pPr>
      <w:r w:rsidRPr="48143BC7">
        <w:rPr>
          <w:rFonts w:ascii="Arial" w:eastAsia="Arial" w:hAnsi="Arial" w:cs="Arial"/>
          <w:b/>
          <w:bCs/>
          <w:color w:val="000000" w:themeColor="text1"/>
          <w:sz w:val="28"/>
          <w:szCs w:val="28"/>
        </w:rPr>
        <w:t>Lecturer name:</w:t>
      </w:r>
      <w:r w:rsidRPr="48143BC7">
        <w:rPr>
          <w:rFonts w:ascii="Arial" w:eastAsia="Arial" w:hAnsi="Arial" w:cs="Arial"/>
          <w:color w:val="000000" w:themeColor="text1"/>
          <w:sz w:val="28"/>
          <w:szCs w:val="28"/>
        </w:rPr>
        <w:t xml:space="preserve"> </w:t>
      </w:r>
      <w:r w:rsidR="219CBCF3" w:rsidRPr="48143BC7">
        <w:rPr>
          <w:rFonts w:ascii="Arial" w:eastAsia="Arial" w:hAnsi="Arial" w:cs="Arial"/>
          <w:sz w:val="28"/>
          <w:szCs w:val="28"/>
        </w:rPr>
        <w:t>Patronella Ganza</w:t>
      </w:r>
    </w:p>
    <w:p w14:paraId="3C8244E1" w14:textId="6256C7A0" w:rsidR="00C25B24" w:rsidRDefault="00C25B24" w:rsidP="7F96CA37">
      <w:pPr>
        <w:spacing w:line="360" w:lineRule="auto"/>
      </w:pPr>
    </w:p>
    <w:p w14:paraId="61B8CB36" w14:textId="7C7685BA" w:rsidR="00C25B24" w:rsidRDefault="00C25B24" w:rsidP="0BEBABBB">
      <w:pPr>
        <w:spacing w:before="210" w:after="210" w:line="300" w:lineRule="auto"/>
        <w:rPr>
          <w:rFonts w:ascii="Arial" w:eastAsia="Arial" w:hAnsi="Arial" w:cs="Arial"/>
          <w:color w:val="000000" w:themeColor="text1"/>
          <w:sz w:val="22"/>
          <w:szCs w:val="22"/>
        </w:rPr>
      </w:pPr>
    </w:p>
    <w:p w14:paraId="14E8A5D7" w14:textId="2E0B86E1" w:rsidR="00C25B24" w:rsidRDefault="514EAAA4" w:rsidP="0BEBABBB">
      <w:pPr>
        <w:spacing w:before="210" w:after="210" w:line="300" w:lineRule="auto"/>
      </w:pPr>
      <w:r>
        <w:rPr>
          <w:noProof/>
        </w:rPr>
        <w:drawing>
          <wp:inline distT="0" distB="0" distL="0" distR="0" wp14:anchorId="750FFC48" wp14:editId="62BDBB11">
            <wp:extent cx="5498966" cy="3993592"/>
            <wp:effectExtent l="0" t="0" r="0" b="0"/>
            <wp:docPr id="4110342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448081" name="Picture 953448081"/>
                    <pic:cNvPicPr/>
                  </pic:nvPicPr>
                  <pic:blipFill>
                    <a:blip r:embed="rId6">
                      <a:extLst>
                        <a:ext uri="{28A0092B-C50C-407E-A947-70E740481C1C}">
                          <a14:useLocalDpi xmlns:a14="http://schemas.microsoft.com/office/drawing/2010/main"/>
                        </a:ext>
                      </a:extLst>
                    </a:blip>
                    <a:stretch>
                      <a:fillRect/>
                    </a:stretch>
                  </pic:blipFill>
                  <pic:spPr>
                    <a:xfrm>
                      <a:off x="0" y="0"/>
                      <a:ext cx="5498966" cy="3993592"/>
                    </a:xfrm>
                    <a:prstGeom prst="rect">
                      <a:avLst/>
                    </a:prstGeom>
                  </pic:spPr>
                </pic:pic>
              </a:graphicData>
            </a:graphic>
          </wp:inline>
        </w:drawing>
      </w:r>
    </w:p>
    <w:p w14:paraId="22E7DDB9" w14:textId="324AAF26" w:rsidR="00C25B24" w:rsidRDefault="514EAAA4" w:rsidP="0BEBABBB">
      <w:pPr>
        <w:spacing w:before="210" w:after="210" w:line="300" w:lineRule="auto"/>
        <w:jc w:val="center"/>
        <w:rPr>
          <w:rFonts w:ascii="Arial" w:eastAsia="Arial" w:hAnsi="Arial" w:cs="Arial"/>
          <w:b/>
          <w:bCs/>
          <w:sz w:val="40"/>
          <w:szCs w:val="40"/>
        </w:rPr>
      </w:pPr>
      <w:r w:rsidRPr="0BEBABBB">
        <w:rPr>
          <w:rFonts w:ascii="Arial" w:eastAsia="Arial" w:hAnsi="Arial" w:cs="Arial"/>
          <w:color w:val="000000" w:themeColor="text1"/>
          <w:sz w:val="22"/>
          <w:szCs w:val="22"/>
        </w:rPr>
        <w:t>(Alzheimer’s Association, 2023)</w:t>
      </w:r>
    </w:p>
    <w:p w14:paraId="0DA76792" w14:textId="02FAB989" w:rsidR="00C25B24" w:rsidRDefault="4206ADDB" w:rsidP="0BEBABBB">
      <w:pPr>
        <w:spacing w:before="210" w:after="210" w:line="300" w:lineRule="auto"/>
        <w:rPr>
          <w:rFonts w:ascii="Arial" w:eastAsia="Arial" w:hAnsi="Arial" w:cs="Arial"/>
          <w:b/>
          <w:bCs/>
          <w:sz w:val="40"/>
          <w:szCs w:val="40"/>
        </w:rPr>
      </w:pPr>
      <w:r w:rsidRPr="0BEBABBB">
        <w:rPr>
          <w:rFonts w:ascii="Arial" w:eastAsia="Arial" w:hAnsi="Arial" w:cs="Arial"/>
          <w:b/>
          <w:bCs/>
          <w:sz w:val="40"/>
          <w:szCs w:val="40"/>
        </w:rPr>
        <w:lastRenderedPageBreak/>
        <w:t>Dementia: A Major Global and UK Public Health Challenge</w:t>
      </w:r>
    </w:p>
    <w:p w14:paraId="6090D2E6" w14:textId="5BBAB5EF" w:rsidR="00C25B24" w:rsidRDefault="4206ADDB" w:rsidP="0BEBABBB">
      <w:pPr>
        <w:spacing w:line="360" w:lineRule="auto"/>
        <w:rPr>
          <w:rFonts w:ascii="Arial" w:eastAsia="Arial" w:hAnsi="Arial" w:cs="Arial"/>
          <w:b/>
          <w:bCs/>
          <w:sz w:val="40"/>
          <w:szCs w:val="40"/>
        </w:rPr>
      </w:pPr>
      <w:r w:rsidRPr="0BEBABBB">
        <w:rPr>
          <w:rFonts w:ascii="Arial" w:eastAsia="Arial" w:hAnsi="Arial" w:cs="Arial"/>
          <w:b/>
          <w:bCs/>
          <w:sz w:val="40"/>
          <w:szCs w:val="40"/>
        </w:rPr>
        <w:t>Introduction</w:t>
      </w:r>
    </w:p>
    <w:p w14:paraId="317FE137" w14:textId="675943CB" w:rsidR="00C25B24" w:rsidRDefault="4206ADDB" w:rsidP="0BEBABBB">
      <w:pPr>
        <w:spacing w:line="360" w:lineRule="auto"/>
        <w:rPr>
          <w:rFonts w:ascii="Arial" w:eastAsia="Arial" w:hAnsi="Arial" w:cs="Arial"/>
          <w:sz w:val="22"/>
          <w:szCs w:val="22"/>
        </w:rPr>
      </w:pPr>
      <w:r w:rsidRPr="0BEBABBB">
        <w:rPr>
          <w:rFonts w:ascii="Arial" w:eastAsia="Arial" w:hAnsi="Arial" w:cs="Arial"/>
          <w:sz w:val="22"/>
          <w:szCs w:val="22"/>
        </w:rPr>
        <w:t>Dementia is a progressive neurological syndrome characterised by a decline in cognitive functioning that interferes with daily living. It is not a single disease but an umbrella term covering conditions such as Alzheimer’s disease, vascular dementia and dementia with Lewy bodies. While dementia is more common in older adults, it is not a normal part of ageing. The condition develops when brain cells are damaged, preventing effective communication between neurological pathways (Alzheimer’s Disease International, 2023).</w:t>
      </w:r>
    </w:p>
    <w:p w14:paraId="037DFFB3" w14:textId="48C8656A" w:rsidR="00C25B24" w:rsidRDefault="3911A325" w:rsidP="0BEBABBB">
      <w:pPr>
        <w:spacing w:line="360" w:lineRule="auto"/>
        <w:rPr>
          <w:rFonts w:ascii="Arial" w:eastAsia="Arial" w:hAnsi="Arial" w:cs="Arial"/>
          <w:sz w:val="22"/>
          <w:szCs w:val="22"/>
        </w:rPr>
      </w:pPr>
      <w:r w:rsidRPr="0BEBABBB">
        <w:rPr>
          <w:rFonts w:ascii="Arial" w:eastAsia="Arial" w:hAnsi="Arial" w:cs="Arial"/>
          <w:sz w:val="22"/>
          <w:szCs w:val="22"/>
        </w:rPr>
        <w:t xml:space="preserve">The most common symptoms include memory loss, confusion, impaired communication, difficulties with </w:t>
      </w:r>
      <w:r w:rsidR="519606A7" w:rsidRPr="0BEBABBB">
        <w:rPr>
          <w:rFonts w:ascii="Arial" w:eastAsia="Arial" w:hAnsi="Arial" w:cs="Arial"/>
          <w:sz w:val="22"/>
          <w:szCs w:val="22"/>
        </w:rPr>
        <w:t>problem solving</w:t>
      </w:r>
      <w:r w:rsidRPr="0BEBABBB">
        <w:rPr>
          <w:rFonts w:ascii="Arial" w:eastAsia="Arial" w:hAnsi="Arial" w:cs="Arial"/>
          <w:sz w:val="22"/>
          <w:szCs w:val="22"/>
        </w:rPr>
        <w:t>, behavioural changes and reduced independence. As dementia progresses, individuals increasingly rely on support from health and social care services. Dementia is now recognised as one of the most significant global public health challenges due to ageing populations and increased life expectancy. Both global and UK statistics demonstrate the severity of dementia and its profound impact on individuals, families, communities and public services (Alzheimer’s Research UK, 2024).</w:t>
      </w:r>
    </w:p>
    <w:p w14:paraId="6A5ECBAE" w14:textId="0B0F33A6" w:rsidR="00C25B24" w:rsidRDefault="00C25B24" w:rsidP="0BEBABBB">
      <w:pPr>
        <w:spacing w:line="360" w:lineRule="auto"/>
        <w:rPr>
          <w:rFonts w:ascii="Arial" w:eastAsia="Arial" w:hAnsi="Arial" w:cs="Arial"/>
          <w:sz w:val="22"/>
          <w:szCs w:val="22"/>
        </w:rPr>
      </w:pPr>
    </w:p>
    <w:p w14:paraId="55DE1917" w14:textId="5EE48052" w:rsidR="00C25B24" w:rsidRDefault="4206ADDB" w:rsidP="7F96CA37">
      <w:pPr>
        <w:spacing w:line="360" w:lineRule="auto"/>
        <w:rPr>
          <w:rFonts w:ascii="Arial" w:eastAsia="Arial" w:hAnsi="Arial" w:cs="Arial"/>
          <w:b/>
          <w:bCs/>
          <w:sz w:val="40"/>
          <w:szCs w:val="40"/>
        </w:rPr>
      </w:pPr>
      <w:r w:rsidRPr="7F96CA37">
        <w:rPr>
          <w:rFonts w:ascii="Arial" w:eastAsia="Arial" w:hAnsi="Arial" w:cs="Arial"/>
          <w:b/>
          <w:bCs/>
          <w:sz w:val="40"/>
          <w:szCs w:val="40"/>
        </w:rPr>
        <w:t xml:space="preserve">Main Body </w:t>
      </w:r>
    </w:p>
    <w:p w14:paraId="777891EE" w14:textId="203CE07E" w:rsidR="00C25B24" w:rsidRDefault="4206ADDB" w:rsidP="0BEBABBB">
      <w:pPr>
        <w:spacing w:line="360" w:lineRule="auto"/>
        <w:rPr>
          <w:rFonts w:ascii="Arial" w:eastAsia="Arial" w:hAnsi="Arial" w:cs="Arial"/>
          <w:b/>
          <w:bCs/>
          <w:sz w:val="22"/>
          <w:szCs w:val="22"/>
        </w:rPr>
      </w:pPr>
      <w:r w:rsidRPr="0BEBABBB">
        <w:rPr>
          <w:rFonts w:ascii="Arial" w:eastAsia="Arial" w:hAnsi="Arial" w:cs="Arial"/>
          <w:b/>
          <w:bCs/>
          <w:sz w:val="22"/>
          <w:szCs w:val="22"/>
        </w:rPr>
        <w:t>Measuring and Monitoring Dementia</w:t>
      </w:r>
    </w:p>
    <w:p w14:paraId="11D19E4A" w14:textId="73D0A7C7" w:rsidR="00C25B24" w:rsidRDefault="3911A325" w:rsidP="0BEBABBB">
      <w:pPr>
        <w:spacing w:line="360" w:lineRule="auto"/>
        <w:rPr>
          <w:rFonts w:ascii="Arial" w:eastAsia="Arial" w:hAnsi="Arial" w:cs="Arial"/>
          <w:sz w:val="22"/>
          <w:szCs w:val="22"/>
        </w:rPr>
      </w:pPr>
      <w:r w:rsidRPr="0BEBABBB">
        <w:rPr>
          <w:rFonts w:ascii="Arial" w:eastAsia="Arial" w:hAnsi="Arial" w:cs="Arial"/>
          <w:sz w:val="22"/>
          <w:szCs w:val="22"/>
        </w:rPr>
        <w:t xml:space="preserve">Accurate measurement and monitoring of dementia are essential for early diagnosis, effective care planning and monitoring disease progression. A combination of clinical, digital and </w:t>
      </w:r>
      <w:r w:rsidR="1BAB9F68" w:rsidRPr="0BEBABBB">
        <w:rPr>
          <w:rFonts w:ascii="Arial" w:eastAsia="Arial" w:hAnsi="Arial" w:cs="Arial"/>
          <w:sz w:val="22"/>
          <w:szCs w:val="22"/>
        </w:rPr>
        <w:t>population level</w:t>
      </w:r>
      <w:r w:rsidRPr="0BEBABBB">
        <w:rPr>
          <w:rFonts w:ascii="Arial" w:eastAsia="Arial" w:hAnsi="Arial" w:cs="Arial"/>
          <w:sz w:val="22"/>
          <w:szCs w:val="22"/>
        </w:rPr>
        <w:t xml:space="preserve"> approaches are used at local, national and international levels.</w:t>
      </w:r>
    </w:p>
    <w:p w14:paraId="339BA141" w14:textId="0B601935" w:rsidR="00C25B24" w:rsidRDefault="4206ADDB" w:rsidP="0BEBABBB">
      <w:pPr>
        <w:spacing w:line="360" w:lineRule="auto"/>
        <w:rPr>
          <w:rFonts w:ascii="Arial" w:eastAsia="Arial" w:hAnsi="Arial" w:cs="Arial"/>
          <w:b/>
          <w:bCs/>
          <w:sz w:val="22"/>
          <w:szCs w:val="22"/>
        </w:rPr>
      </w:pPr>
      <w:r w:rsidRPr="0BEBABBB">
        <w:rPr>
          <w:rFonts w:ascii="Arial" w:eastAsia="Arial" w:hAnsi="Arial" w:cs="Arial"/>
          <w:b/>
          <w:bCs/>
          <w:sz w:val="22"/>
          <w:szCs w:val="22"/>
        </w:rPr>
        <w:t>Clinical Assessment and Diagnosis</w:t>
      </w:r>
    </w:p>
    <w:p w14:paraId="4F8A60FE" w14:textId="3EC02289" w:rsidR="00C25B24" w:rsidRDefault="4206ADDB" w:rsidP="0BEBABBB">
      <w:pPr>
        <w:spacing w:line="360" w:lineRule="auto"/>
        <w:rPr>
          <w:rFonts w:ascii="Arial" w:eastAsia="Arial" w:hAnsi="Arial" w:cs="Arial"/>
          <w:sz w:val="22"/>
          <w:szCs w:val="22"/>
        </w:rPr>
      </w:pPr>
      <w:r w:rsidRPr="0BEBABBB">
        <w:rPr>
          <w:rFonts w:ascii="Arial" w:eastAsia="Arial" w:hAnsi="Arial" w:cs="Arial"/>
          <w:sz w:val="22"/>
          <w:szCs w:val="22"/>
        </w:rPr>
        <w:t xml:space="preserve">The diagnosis of dementia primarily relies on comprehensive clinical assessment conducted by healthcare professionals. This includes gathering a detailed medical history, conducting physical and neurological examinations and assessing cognitive function. Standardised cognitive assessment tools such as the </w:t>
      </w:r>
      <w:r w:rsidR="5F15BFFA" w:rsidRPr="0BEBABBB">
        <w:rPr>
          <w:rFonts w:ascii="Arial" w:eastAsia="Arial" w:hAnsi="Arial" w:cs="Arial"/>
          <w:sz w:val="22"/>
          <w:szCs w:val="22"/>
        </w:rPr>
        <w:t>Mini Mental</w:t>
      </w:r>
      <w:r w:rsidRPr="0BEBABBB">
        <w:rPr>
          <w:rFonts w:ascii="Arial" w:eastAsia="Arial" w:hAnsi="Arial" w:cs="Arial"/>
          <w:sz w:val="22"/>
          <w:szCs w:val="22"/>
        </w:rPr>
        <w:t xml:space="preserve"> State Examination</w:t>
      </w:r>
      <w:r w:rsidR="7A8762A4" w:rsidRPr="0BEBABBB">
        <w:rPr>
          <w:rFonts w:ascii="Arial" w:eastAsia="Arial" w:hAnsi="Arial" w:cs="Arial"/>
          <w:sz w:val="22"/>
          <w:szCs w:val="22"/>
        </w:rPr>
        <w:t xml:space="preserve"> </w:t>
      </w:r>
      <w:r w:rsidRPr="0BEBABBB">
        <w:rPr>
          <w:rFonts w:ascii="Arial" w:eastAsia="Arial" w:hAnsi="Arial" w:cs="Arial"/>
          <w:sz w:val="22"/>
          <w:szCs w:val="22"/>
        </w:rPr>
        <w:t>and the Montreal Cognitive</w:t>
      </w:r>
      <w:r w:rsidR="76A536E0" w:rsidRPr="0BEBABBB">
        <w:rPr>
          <w:rFonts w:ascii="Arial" w:eastAsia="Arial" w:hAnsi="Arial" w:cs="Arial"/>
          <w:sz w:val="22"/>
          <w:szCs w:val="22"/>
        </w:rPr>
        <w:t xml:space="preserve"> </w:t>
      </w:r>
      <w:r w:rsidRPr="0BEBABBB">
        <w:rPr>
          <w:rFonts w:ascii="Arial" w:eastAsia="Arial" w:hAnsi="Arial" w:cs="Arial"/>
          <w:sz w:val="22"/>
          <w:szCs w:val="22"/>
        </w:rPr>
        <w:t>Assessment are widely used to identify cognitive impairment and to track changes over time (Sheehan, 2012).</w:t>
      </w:r>
    </w:p>
    <w:p w14:paraId="43C5087D" w14:textId="56B98447" w:rsidR="00C25B24" w:rsidRDefault="4206ADDB" w:rsidP="0BEBABBB">
      <w:pPr>
        <w:spacing w:line="360" w:lineRule="auto"/>
        <w:rPr>
          <w:rFonts w:ascii="Arial" w:eastAsia="Arial" w:hAnsi="Arial" w:cs="Arial"/>
          <w:sz w:val="22"/>
          <w:szCs w:val="22"/>
        </w:rPr>
      </w:pPr>
      <w:r w:rsidRPr="0BEBABBB">
        <w:rPr>
          <w:rFonts w:ascii="Arial" w:eastAsia="Arial" w:hAnsi="Arial" w:cs="Arial"/>
          <w:sz w:val="22"/>
          <w:szCs w:val="22"/>
        </w:rPr>
        <w:lastRenderedPageBreak/>
        <w:t>In addition to cognitive testing, brain imaging techniques such as CT and MRI scans are commonly used. These scans help identify structural changes in the brain and rule out alternative causes of symptoms, such as strokes or brain tumours. Blood tests are also used to exclude reversible conditions that may cause cognitive decline, including vitamin deficiencies or thyroid disorders. Together, these methods provide a comprehensive and reliable diagnostic process.</w:t>
      </w:r>
    </w:p>
    <w:p w14:paraId="3967F88C" w14:textId="0480AA65" w:rsidR="00C25B24" w:rsidRDefault="4206ADDB" w:rsidP="0BEBABBB">
      <w:pPr>
        <w:spacing w:line="360" w:lineRule="auto"/>
        <w:rPr>
          <w:rFonts w:ascii="Arial" w:eastAsia="Arial" w:hAnsi="Arial" w:cs="Arial"/>
          <w:b/>
          <w:bCs/>
          <w:sz w:val="22"/>
          <w:szCs w:val="22"/>
        </w:rPr>
      </w:pPr>
      <w:r w:rsidRPr="0BEBABBB">
        <w:rPr>
          <w:rFonts w:ascii="Arial" w:eastAsia="Arial" w:hAnsi="Arial" w:cs="Arial"/>
          <w:b/>
          <w:bCs/>
          <w:sz w:val="22"/>
          <w:szCs w:val="22"/>
        </w:rPr>
        <w:t>Digital and Population</w:t>
      </w:r>
      <w:r w:rsidR="00FA1A4C">
        <w:noBreakHyphen/>
      </w:r>
      <w:r w:rsidRPr="0BEBABBB">
        <w:rPr>
          <w:rFonts w:ascii="Arial" w:eastAsia="Arial" w:hAnsi="Arial" w:cs="Arial"/>
          <w:b/>
          <w:bCs/>
          <w:sz w:val="22"/>
          <w:szCs w:val="22"/>
        </w:rPr>
        <w:t>Level Monitoring</w:t>
      </w:r>
    </w:p>
    <w:p w14:paraId="03CD814F" w14:textId="192E5CF0" w:rsidR="00C25B24" w:rsidRDefault="4206ADDB" w:rsidP="0BEBABBB">
      <w:pPr>
        <w:spacing w:line="360" w:lineRule="auto"/>
        <w:rPr>
          <w:rFonts w:ascii="Arial" w:eastAsia="Arial" w:hAnsi="Arial" w:cs="Arial"/>
          <w:sz w:val="22"/>
          <w:szCs w:val="22"/>
        </w:rPr>
      </w:pPr>
      <w:r w:rsidRPr="0BEBABBB">
        <w:rPr>
          <w:rFonts w:ascii="Arial" w:eastAsia="Arial" w:hAnsi="Arial" w:cs="Arial"/>
          <w:sz w:val="22"/>
          <w:szCs w:val="22"/>
        </w:rPr>
        <w:t>Advancements in technology have led to increased use of digital cognitive assessment tools, allowing remote and repeated monitoring of cognitive function. These tools are particularly beneficial in community settings, enabling earlier detection of cognitive changes and improving access to follow</w:t>
      </w:r>
      <w:r w:rsidR="00FA1A4C">
        <w:noBreakHyphen/>
      </w:r>
      <w:r w:rsidRPr="0BEBABBB">
        <w:rPr>
          <w:rFonts w:ascii="Arial" w:eastAsia="Arial" w:hAnsi="Arial" w:cs="Arial"/>
          <w:sz w:val="22"/>
          <w:szCs w:val="22"/>
        </w:rPr>
        <w:t>up assessments. Digital monitoring also reduces pressure on memory clinics and supports long</w:t>
      </w:r>
      <w:r w:rsidR="00FA1A4C">
        <w:noBreakHyphen/>
      </w:r>
      <w:r w:rsidRPr="0BEBABBB">
        <w:rPr>
          <w:rFonts w:ascii="Arial" w:eastAsia="Arial" w:hAnsi="Arial" w:cs="Arial"/>
          <w:sz w:val="22"/>
          <w:szCs w:val="22"/>
        </w:rPr>
        <w:t>term disease tracking (Staffaroni et al., 2020).</w:t>
      </w:r>
    </w:p>
    <w:p w14:paraId="30D6312E" w14:textId="2CF1292B" w:rsidR="00C25B24" w:rsidRDefault="4206ADDB" w:rsidP="0BEBABBB">
      <w:pPr>
        <w:spacing w:line="360" w:lineRule="auto"/>
        <w:rPr>
          <w:rFonts w:ascii="Arial" w:eastAsia="Arial" w:hAnsi="Arial" w:cs="Arial"/>
          <w:sz w:val="22"/>
          <w:szCs w:val="22"/>
        </w:rPr>
      </w:pPr>
      <w:r w:rsidRPr="0BEBABBB">
        <w:rPr>
          <w:rFonts w:ascii="Arial" w:eastAsia="Arial" w:hAnsi="Arial" w:cs="Arial"/>
          <w:sz w:val="22"/>
          <w:szCs w:val="22"/>
        </w:rPr>
        <w:t>At a population level, dementia prevalence and incidence are monitored through national health datasets. In England, the NHS Primary Care Dementia Dataset records diagnosed cases within GP practices, assisting policymakers and commissioners in planning services and allocating resources (NHS Digital, 2026). On a global scale, the World Health Organization’s Global Dementia Observatory collects data from member states to monitor prevalence, risk factors, national strategies and care provision, supporting international public health responses (WHO, 2021).</w:t>
      </w:r>
    </w:p>
    <w:p w14:paraId="531AD211" w14:textId="15007245" w:rsidR="00C25B24" w:rsidRDefault="4206ADDB" w:rsidP="0BEBABBB">
      <w:pPr>
        <w:spacing w:line="360" w:lineRule="auto"/>
        <w:rPr>
          <w:rFonts w:ascii="Arial" w:eastAsia="Arial" w:hAnsi="Arial" w:cs="Arial"/>
          <w:sz w:val="22"/>
          <w:szCs w:val="22"/>
        </w:rPr>
      </w:pPr>
      <w:r w:rsidRPr="0BEBABBB">
        <w:rPr>
          <w:rFonts w:ascii="Arial" w:eastAsia="Arial" w:hAnsi="Arial" w:cs="Arial"/>
          <w:b/>
          <w:bCs/>
          <w:sz w:val="22"/>
          <w:szCs w:val="22"/>
        </w:rPr>
        <w:t>Control and Management of Dementia</w:t>
      </w:r>
    </w:p>
    <w:p w14:paraId="49212FF9" w14:textId="28C84AD6" w:rsidR="00C25B24" w:rsidRDefault="4206ADDB" w:rsidP="0BEBABBB">
      <w:pPr>
        <w:spacing w:line="360" w:lineRule="auto"/>
        <w:rPr>
          <w:rFonts w:ascii="Arial" w:eastAsia="Arial" w:hAnsi="Arial" w:cs="Arial"/>
          <w:sz w:val="22"/>
          <w:szCs w:val="22"/>
        </w:rPr>
      </w:pPr>
      <w:r w:rsidRPr="0BEBABBB">
        <w:rPr>
          <w:rFonts w:ascii="Arial" w:eastAsia="Arial" w:hAnsi="Arial" w:cs="Arial"/>
          <w:sz w:val="22"/>
          <w:szCs w:val="22"/>
        </w:rPr>
        <w:t>There is currently no cure for dementia; therefore, management focuses on risk reduction, symptom control and slowing disease progression while maintaining quality of life.</w:t>
      </w:r>
    </w:p>
    <w:p w14:paraId="035605D2" w14:textId="1CC63A02" w:rsidR="00C25B24" w:rsidRDefault="4206ADDB" w:rsidP="0BEBABBB">
      <w:pPr>
        <w:spacing w:line="360" w:lineRule="auto"/>
        <w:rPr>
          <w:rFonts w:ascii="Arial" w:eastAsia="Arial" w:hAnsi="Arial" w:cs="Arial"/>
          <w:b/>
          <w:bCs/>
          <w:sz w:val="22"/>
          <w:szCs w:val="22"/>
        </w:rPr>
      </w:pPr>
      <w:r w:rsidRPr="0BEBABBB">
        <w:rPr>
          <w:rFonts w:ascii="Arial" w:eastAsia="Arial" w:hAnsi="Arial" w:cs="Arial"/>
          <w:b/>
          <w:bCs/>
          <w:sz w:val="22"/>
          <w:szCs w:val="22"/>
        </w:rPr>
        <w:t>Prevention and Risk Reduction</w:t>
      </w:r>
    </w:p>
    <w:p w14:paraId="2E71D043" w14:textId="6A103651" w:rsidR="00C25B24" w:rsidRDefault="4206ADDB" w:rsidP="0BEBABBB">
      <w:pPr>
        <w:spacing w:line="360" w:lineRule="auto"/>
        <w:rPr>
          <w:rFonts w:ascii="Arial" w:eastAsia="Arial" w:hAnsi="Arial" w:cs="Arial"/>
          <w:sz w:val="22"/>
          <w:szCs w:val="22"/>
        </w:rPr>
      </w:pPr>
      <w:r w:rsidRPr="0BEBABBB">
        <w:rPr>
          <w:rFonts w:ascii="Arial" w:eastAsia="Arial" w:hAnsi="Arial" w:cs="Arial"/>
          <w:sz w:val="22"/>
          <w:szCs w:val="22"/>
        </w:rPr>
        <w:t>Although age remains the strongest risk factor, evidence suggests that approximately 40% of dementia cases may be linked to modifiable lifestyle and environmental factors. These include smoking, physical inactivity, obesity, hypertension, poor diet, social isolation and limited access to education (Livingston et al., 2020). Public health strategies that promote healthier lifestyles, physical activity and cardiovascular health are vital in lowering dementia risk at a population level.</w:t>
      </w:r>
    </w:p>
    <w:p w14:paraId="12E9C43B" w14:textId="249D706F" w:rsidR="00C25B24" w:rsidRDefault="4206ADDB" w:rsidP="0BEBABBB">
      <w:pPr>
        <w:spacing w:line="360" w:lineRule="auto"/>
        <w:rPr>
          <w:rFonts w:ascii="Arial" w:eastAsia="Arial" w:hAnsi="Arial" w:cs="Arial"/>
          <w:b/>
          <w:bCs/>
          <w:sz w:val="22"/>
          <w:szCs w:val="22"/>
        </w:rPr>
      </w:pPr>
      <w:r w:rsidRPr="0BEBABBB">
        <w:rPr>
          <w:rFonts w:ascii="Arial" w:eastAsia="Arial" w:hAnsi="Arial" w:cs="Arial"/>
          <w:b/>
          <w:bCs/>
          <w:sz w:val="22"/>
          <w:szCs w:val="22"/>
        </w:rPr>
        <w:t>Medical Management</w:t>
      </w:r>
    </w:p>
    <w:p w14:paraId="750DEAAC" w14:textId="620CC4FF" w:rsidR="00C25B24" w:rsidRDefault="4206ADDB" w:rsidP="0BEBABBB">
      <w:pPr>
        <w:spacing w:line="360" w:lineRule="auto"/>
        <w:rPr>
          <w:rFonts w:ascii="Arial" w:eastAsia="Arial" w:hAnsi="Arial" w:cs="Arial"/>
          <w:sz w:val="22"/>
          <w:szCs w:val="22"/>
        </w:rPr>
      </w:pPr>
      <w:r w:rsidRPr="0BEBABBB">
        <w:rPr>
          <w:rFonts w:ascii="Arial" w:eastAsia="Arial" w:hAnsi="Arial" w:cs="Arial"/>
          <w:sz w:val="22"/>
          <w:szCs w:val="22"/>
        </w:rPr>
        <w:t xml:space="preserve">Pharmacological treatment options are available for some forms of dementia, particularly Alzheimer’s disease. Medications such as donepezil, rivastigmine and memantine may </w:t>
      </w:r>
      <w:r w:rsidRPr="0BEBABBB">
        <w:rPr>
          <w:rFonts w:ascii="Arial" w:eastAsia="Arial" w:hAnsi="Arial" w:cs="Arial"/>
          <w:sz w:val="22"/>
          <w:szCs w:val="22"/>
        </w:rPr>
        <w:lastRenderedPageBreak/>
        <w:t>temporarily improve memory, attention and cognitive functioning. However, these medications do not prevent disease progression and are not effective for all individuals (BMJ, 2025). As a result, medication is often combined with non</w:t>
      </w:r>
      <w:r w:rsidR="00FA1A4C">
        <w:noBreakHyphen/>
      </w:r>
      <w:r w:rsidRPr="0BEBABBB">
        <w:rPr>
          <w:rFonts w:ascii="Arial" w:eastAsia="Arial" w:hAnsi="Arial" w:cs="Arial"/>
          <w:sz w:val="22"/>
          <w:szCs w:val="22"/>
        </w:rPr>
        <w:t>pharmacological approaches to provide holistic care.</w:t>
      </w:r>
    </w:p>
    <w:p w14:paraId="0E9366A7" w14:textId="2253D481" w:rsidR="00C25B24" w:rsidRDefault="4206ADDB" w:rsidP="0BEBABBB">
      <w:pPr>
        <w:spacing w:line="360" w:lineRule="auto"/>
        <w:rPr>
          <w:rFonts w:ascii="Arial" w:eastAsia="Arial" w:hAnsi="Arial" w:cs="Arial"/>
          <w:b/>
          <w:bCs/>
          <w:sz w:val="22"/>
          <w:szCs w:val="22"/>
        </w:rPr>
      </w:pPr>
      <w:r w:rsidRPr="0BEBABBB">
        <w:rPr>
          <w:rFonts w:ascii="Arial" w:eastAsia="Arial" w:hAnsi="Arial" w:cs="Arial"/>
          <w:b/>
          <w:bCs/>
          <w:sz w:val="22"/>
          <w:szCs w:val="22"/>
        </w:rPr>
        <w:t>Non</w:t>
      </w:r>
      <w:r w:rsidR="00FA1A4C">
        <w:noBreakHyphen/>
      </w:r>
      <w:r w:rsidRPr="0BEBABBB">
        <w:rPr>
          <w:rFonts w:ascii="Arial" w:eastAsia="Arial" w:hAnsi="Arial" w:cs="Arial"/>
          <w:b/>
          <w:bCs/>
          <w:sz w:val="22"/>
          <w:szCs w:val="22"/>
        </w:rPr>
        <w:t>Pharmacological Interventions</w:t>
      </w:r>
    </w:p>
    <w:p w14:paraId="3A09E079" w14:textId="294E5297" w:rsidR="00C25B24" w:rsidRDefault="00DCD6B0" w:rsidP="0BEBABBB">
      <w:pPr>
        <w:spacing w:line="360" w:lineRule="auto"/>
        <w:rPr>
          <w:rFonts w:ascii="Arial" w:eastAsia="Arial" w:hAnsi="Arial" w:cs="Arial"/>
          <w:sz w:val="22"/>
          <w:szCs w:val="22"/>
        </w:rPr>
      </w:pPr>
      <w:r w:rsidRPr="0BEBABBB">
        <w:rPr>
          <w:rFonts w:ascii="Arial" w:eastAsia="Arial" w:hAnsi="Arial" w:cs="Arial"/>
          <w:sz w:val="22"/>
          <w:szCs w:val="22"/>
        </w:rPr>
        <w:t>Nondrugs</w:t>
      </w:r>
      <w:r w:rsidR="3911A325" w:rsidRPr="0BEBABBB">
        <w:rPr>
          <w:rFonts w:ascii="Arial" w:eastAsia="Arial" w:hAnsi="Arial" w:cs="Arial"/>
          <w:sz w:val="22"/>
          <w:szCs w:val="22"/>
        </w:rPr>
        <w:t xml:space="preserve"> interventions play a central role in dementia care. Approaches such as cognitive stimulation therapy, reminiscence </w:t>
      </w:r>
      <w:r w:rsidR="7FE6119B" w:rsidRPr="0BEBABBB">
        <w:rPr>
          <w:rFonts w:ascii="Arial" w:eastAsia="Arial" w:hAnsi="Arial" w:cs="Arial"/>
          <w:sz w:val="22"/>
          <w:szCs w:val="22"/>
        </w:rPr>
        <w:t>therapying</w:t>
      </w:r>
      <w:r w:rsidR="3911A325" w:rsidRPr="0BEBABBB">
        <w:rPr>
          <w:rFonts w:ascii="Arial" w:eastAsia="Arial" w:hAnsi="Arial" w:cs="Arial"/>
          <w:sz w:val="22"/>
          <w:szCs w:val="22"/>
        </w:rPr>
        <w:t xml:space="preserve"> occupational therapy have been shown to support independence, enhance wellbeing and reduce distress. </w:t>
      </w:r>
      <w:r w:rsidR="0BAD9507" w:rsidRPr="0BEBABBB">
        <w:rPr>
          <w:rFonts w:ascii="Arial" w:eastAsia="Arial" w:hAnsi="Arial" w:cs="Arial"/>
          <w:sz w:val="22"/>
          <w:szCs w:val="22"/>
        </w:rPr>
        <w:t>Person centred</w:t>
      </w:r>
      <w:r w:rsidR="3911A325" w:rsidRPr="0BEBABBB">
        <w:rPr>
          <w:rFonts w:ascii="Arial" w:eastAsia="Arial" w:hAnsi="Arial" w:cs="Arial"/>
          <w:sz w:val="22"/>
          <w:szCs w:val="22"/>
        </w:rPr>
        <w:t xml:space="preserve"> care is essential, as it recognises individuality, respects personal history and promotes dignity throughout all stages of the condition.</w:t>
      </w:r>
    </w:p>
    <w:p w14:paraId="12E41A64" w14:textId="7E65DDFA" w:rsidR="00C25B24" w:rsidRDefault="4206ADDB" w:rsidP="0BEBABBB">
      <w:pPr>
        <w:spacing w:line="360" w:lineRule="auto"/>
        <w:rPr>
          <w:rFonts w:ascii="Arial" w:eastAsia="Arial" w:hAnsi="Arial" w:cs="Arial"/>
          <w:b/>
          <w:bCs/>
          <w:sz w:val="22"/>
          <w:szCs w:val="22"/>
        </w:rPr>
      </w:pPr>
      <w:r w:rsidRPr="0BEBABBB">
        <w:rPr>
          <w:rFonts w:ascii="Arial" w:eastAsia="Arial" w:hAnsi="Arial" w:cs="Arial"/>
          <w:b/>
          <w:bCs/>
          <w:sz w:val="22"/>
          <w:szCs w:val="22"/>
        </w:rPr>
        <w:t>Consequences of Dementia on Communities</w:t>
      </w:r>
    </w:p>
    <w:p w14:paraId="00A0FF14" w14:textId="32D042EC" w:rsidR="00C25B24" w:rsidRDefault="4206ADDB" w:rsidP="0BEBABBB">
      <w:pPr>
        <w:spacing w:line="360" w:lineRule="auto"/>
        <w:rPr>
          <w:rFonts w:ascii="Arial" w:eastAsia="Arial" w:hAnsi="Arial" w:cs="Arial"/>
          <w:sz w:val="22"/>
          <w:szCs w:val="22"/>
        </w:rPr>
      </w:pPr>
      <w:r w:rsidRPr="0BEBABBB">
        <w:rPr>
          <w:rFonts w:ascii="Arial" w:eastAsia="Arial" w:hAnsi="Arial" w:cs="Arial"/>
          <w:sz w:val="22"/>
          <w:szCs w:val="22"/>
        </w:rPr>
        <w:t>Dementia has wide</w:t>
      </w:r>
      <w:r w:rsidR="00FA1A4C">
        <w:noBreakHyphen/>
      </w:r>
      <w:r w:rsidRPr="0BEBABBB">
        <w:rPr>
          <w:rFonts w:ascii="Arial" w:eastAsia="Arial" w:hAnsi="Arial" w:cs="Arial"/>
          <w:sz w:val="22"/>
          <w:szCs w:val="22"/>
        </w:rPr>
        <w:t>ranging consequences that affect not only individuals but also families, communities and society.</w:t>
      </w:r>
    </w:p>
    <w:p w14:paraId="0A56B5DA" w14:textId="129646E5" w:rsidR="00C25B24" w:rsidRDefault="4206ADDB" w:rsidP="0BEBABBB">
      <w:pPr>
        <w:spacing w:line="360" w:lineRule="auto"/>
        <w:rPr>
          <w:rFonts w:ascii="Arial" w:eastAsia="Arial" w:hAnsi="Arial" w:cs="Arial"/>
          <w:b/>
          <w:bCs/>
          <w:sz w:val="22"/>
          <w:szCs w:val="22"/>
        </w:rPr>
      </w:pPr>
      <w:r w:rsidRPr="0BEBABBB">
        <w:rPr>
          <w:rFonts w:ascii="Arial" w:eastAsia="Arial" w:hAnsi="Arial" w:cs="Arial"/>
          <w:b/>
          <w:bCs/>
          <w:sz w:val="22"/>
          <w:szCs w:val="22"/>
        </w:rPr>
        <w:t>Impact on Individuals and Families</w:t>
      </w:r>
    </w:p>
    <w:p w14:paraId="6BAE8449" w14:textId="37B94C0E" w:rsidR="00C25B24" w:rsidRDefault="4206ADDB" w:rsidP="0BEBABBB">
      <w:pPr>
        <w:spacing w:line="360" w:lineRule="auto"/>
        <w:rPr>
          <w:rFonts w:ascii="Arial" w:eastAsia="Arial" w:hAnsi="Arial" w:cs="Arial"/>
          <w:sz w:val="22"/>
          <w:szCs w:val="22"/>
        </w:rPr>
      </w:pPr>
      <w:r w:rsidRPr="0BEBABBB">
        <w:rPr>
          <w:rFonts w:ascii="Arial" w:eastAsia="Arial" w:hAnsi="Arial" w:cs="Arial"/>
          <w:sz w:val="22"/>
          <w:szCs w:val="22"/>
        </w:rPr>
        <w:t>People living with dementia often experience a gradual loss of independence and social engagement. As symptoms progress, tasks such as cooking, managing finances and personal care become increasingly difficult. Many individuals experience depression, anxiety and behavioural changes, which significantly affect quality of life.</w:t>
      </w:r>
    </w:p>
    <w:p w14:paraId="10393AE8" w14:textId="2142C3A1" w:rsidR="00C25B24" w:rsidRDefault="4206ADDB" w:rsidP="0BEBABBB">
      <w:pPr>
        <w:spacing w:line="360" w:lineRule="auto"/>
        <w:rPr>
          <w:rFonts w:ascii="Arial" w:eastAsia="Arial" w:hAnsi="Arial" w:cs="Arial"/>
          <w:sz w:val="22"/>
          <w:szCs w:val="22"/>
        </w:rPr>
      </w:pPr>
      <w:r w:rsidRPr="0BEBABBB">
        <w:rPr>
          <w:rFonts w:ascii="Arial" w:eastAsia="Arial" w:hAnsi="Arial" w:cs="Arial"/>
          <w:sz w:val="22"/>
          <w:szCs w:val="22"/>
        </w:rPr>
        <w:t>Family members commonly assume unpaid caring responsibilities. In the UK, approximately 700,000 people provide unpaid care for someone with dementia, often experiencing emotional stress, physical strain and financial hardship (Dementia UK, 2025). Caring responsibilities can also impact employment, relationships and carers’ own health.</w:t>
      </w:r>
    </w:p>
    <w:p w14:paraId="43ED89F8" w14:textId="0B1D5064" w:rsidR="00C25B24" w:rsidRDefault="4206ADDB" w:rsidP="0BEBABBB">
      <w:pPr>
        <w:spacing w:line="360" w:lineRule="auto"/>
        <w:rPr>
          <w:rFonts w:ascii="Arial" w:eastAsia="Arial" w:hAnsi="Arial" w:cs="Arial"/>
          <w:b/>
          <w:bCs/>
          <w:sz w:val="22"/>
          <w:szCs w:val="22"/>
        </w:rPr>
      </w:pPr>
      <w:r w:rsidRPr="0BEBABBB">
        <w:rPr>
          <w:rFonts w:ascii="Arial" w:eastAsia="Arial" w:hAnsi="Arial" w:cs="Arial"/>
          <w:b/>
          <w:bCs/>
          <w:sz w:val="22"/>
          <w:szCs w:val="22"/>
        </w:rPr>
        <w:t>Social and Economic Impact</w:t>
      </w:r>
    </w:p>
    <w:p w14:paraId="5D108753" w14:textId="3A046467" w:rsidR="00C25B24" w:rsidRDefault="4206ADDB" w:rsidP="0BEBABBB">
      <w:pPr>
        <w:spacing w:line="360" w:lineRule="auto"/>
        <w:rPr>
          <w:rFonts w:ascii="Arial" w:eastAsia="Arial" w:hAnsi="Arial" w:cs="Arial"/>
          <w:sz w:val="22"/>
          <w:szCs w:val="22"/>
        </w:rPr>
      </w:pPr>
      <w:r w:rsidRPr="0BEBABBB">
        <w:rPr>
          <w:rFonts w:ascii="Arial" w:eastAsia="Arial" w:hAnsi="Arial" w:cs="Arial"/>
          <w:sz w:val="22"/>
          <w:szCs w:val="22"/>
        </w:rPr>
        <w:t>Dementia places substantial pressure on health and social care systems. It is the leading cause of death in England and Wales, and nearly one million people are currently living with dementia in the UK. This figure is expected to rise to 1.4 million by 2040, highlighting the long</w:t>
      </w:r>
      <w:r w:rsidR="00FA1A4C">
        <w:noBreakHyphen/>
      </w:r>
      <w:r w:rsidRPr="0BEBABBB">
        <w:rPr>
          <w:rFonts w:ascii="Arial" w:eastAsia="Arial" w:hAnsi="Arial" w:cs="Arial"/>
          <w:sz w:val="22"/>
          <w:szCs w:val="22"/>
        </w:rPr>
        <w:t>term challenge facing public services (Alzheimer’s Research UK, 2024).</w:t>
      </w:r>
    </w:p>
    <w:p w14:paraId="6396B411" w14:textId="55D1940E" w:rsidR="00C25B24" w:rsidRDefault="4206ADDB" w:rsidP="0BEBABBB">
      <w:pPr>
        <w:spacing w:line="360" w:lineRule="auto"/>
        <w:rPr>
          <w:rFonts w:ascii="Arial" w:eastAsia="Arial" w:hAnsi="Arial" w:cs="Arial"/>
          <w:sz w:val="22"/>
          <w:szCs w:val="22"/>
        </w:rPr>
      </w:pPr>
      <w:r w:rsidRPr="0BEBABBB">
        <w:rPr>
          <w:rFonts w:ascii="Arial" w:eastAsia="Arial" w:hAnsi="Arial" w:cs="Arial"/>
          <w:sz w:val="22"/>
          <w:szCs w:val="22"/>
        </w:rPr>
        <w:t>The economic impact is significant. The total annual cost of dementia in the UK exceeds £42 billion, with projections suggesting this may more than double over the next 15 years due to increased care demands and rising prevalence (Care Quality Commission, 2025).</w:t>
      </w:r>
    </w:p>
    <w:p w14:paraId="7FBF0ED3" w14:textId="6851DB21" w:rsidR="00C25B24" w:rsidRDefault="4206ADDB" w:rsidP="0BEBABBB">
      <w:pPr>
        <w:spacing w:line="360" w:lineRule="auto"/>
        <w:rPr>
          <w:rFonts w:ascii="Arial" w:eastAsia="Arial" w:hAnsi="Arial" w:cs="Arial"/>
          <w:b/>
          <w:bCs/>
          <w:sz w:val="22"/>
          <w:szCs w:val="22"/>
        </w:rPr>
      </w:pPr>
      <w:r w:rsidRPr="0BEBABBB">
        <w:rPr>
          <w:rFonts w:ascii="Arial" w:eastAsia="Arial" w:hAnsi="Arial" w:cs="Arial"/>
          <w:b/>
          <w:bCs/>
          <w:sz w:val="22"/>
          <w:szCs w:val="22"/>
        </w:rPr>
        <w:t>Health and Social Care Support Services in the Community</w:t>
      </w:r>
    </w:p>
    <w:p w14:paraId="5302D127" w14:textId="698A53FE" w:rsidR="00C25B24" w:rsidRDefault="4206ADDB" w:rsidP="0BEBABBB">
      <w:pPr>
        <w:spacing w:line="360" w:lineRule="auto"/>
        <w:rPr>
          <w:rFonts w:ascii="Arial" w:eastAsia="Arial" w:hAnsi="Arial" w:cs="Arial"/>
          <w:sz w:val="22"/>
          <w:szCs w:val="22"/>
        </w:rPr>
      </w:pPr>
      <w:r w:rsidRPr="0BEBABBB">
        <w:rPr>
          <w:rFonts w:ascii="Arial" w:eastAsia="Arial" w:hAnsi="Arial" w:cs="Arial"/>
          <w:sz w:val="22"/>
          <w:szCs w:val="22"/>
        </w:rPr>
        <w:lastRenderedPageBreak/>
        <w:t>Meeting the complex needs of individuals affected by dementia requires coordinated health and social care services within the community.</w:t>
      </w:r>
    </w:p>
    <w:p w14:paraId="0F6B9072" w14:textId="6695C3E9" w:rsidR="00C25B24" w:rsidRDefault="4206ADDB" w:rsidP="0BEBABBB">
      <w:pPr>
        <w:spacing w:line="360" w:lineRule="auto"/>
        <w:rPr>
          <w:rFonts w:ascii="Arial" w:eastAsia="Arial" w:hAnsi="Arial" w:cs="Arial"/>
          <w:b/>
          <w:bCs/>
          <w:sz w:val="22"/>
          <w:szCs w:val="22"/>
        </w:rPr>
      </w:pPr>
      <w:r w:rsidRPr="0BEBABBB">
        <w:rPr>
          <w:rFonts w:ascii="Arial" w:eastAsia="Arial" w:hAnsi="Arial" w:cs="Arial"/>
          <w:b/>
          <w:bCs/>
          <w:sz w:val="22"/>
          <w:szCs w:val="22"/>
        </w:rPr>
        <w:t>Health Services</w:t>
      </w:r>
    </w:p>
    <w:p w14:paraId="1C705696" w14:textId="1D6AC7B8" w:rsidR="00C25B24" w:rsidRDefault="4206ADDB" w:rsidP="0BEBABBB">
      <w:pPr>
        <w:spacing w:line="360" w:lineRule="auto"/>
        <w:rPr>
          <w:rFonts w:ascii="Arial" w:eastAsia="Arial" w:hAnsi="Arial" w:cs="Arial"/>
          <w:sz w:val="22"/>
          <w:szCs w:val="22"/>
        </w:rPr>
      </w:pPr>
      <w:r w:rsidRPr="0BEBABBB">
        <w:rPr>
          <w:rFonts w:ascii="Arial" w:eastAsia="Arial" w:hAnsi="Arial" w:cs="Arial"/>
          <w:sz w:val="22"/>
          <w:szCs w:val="22"/>
        </w:rPr>
        <w:t>Primary care services are central to early identification and long</w:t>
      </w:r>
      <w:r w:rsidR="00FA1A4C">
        <w:noBreakHyphen/>
      </w:r>
      <w:r w:rsidRPr="0BEBABBB">
        <w:rPr>
          <w:rFonts w:ascii="Arial" w:eastAsia="Arial" w:hAnsi="Arial" w:cs="Arial"/>
          <w:sz w:val="22"/>
          <w:szCs w:val="22"/>
        </w:rPr>
        <w:t>term management. General practitioners play a key role in referring individuals to memory clinics, monitoring health</w:t>
      </w:r>
      <w:r w:rsidR="53F944EE" w:rsidRPr="0BEBABBB">
        <w:rPr>
          <w:rFonts w:ascii="Arial" w:eastAsia="Arial" w:hAnsi="Arial" w:cs="Arial"/>
          <w:sz w:val="22"/>
          <w:szCs w:val="22"/>
        </w:rPr>
        <w:t xml:space="preserve"> </w:t>
      </w:r>
      <w:r w:rsidRPr="0BEBABBB">
        <w:rPr>
          <w:rFonts w:ascii="Arial" w:eastAsia="Arial" w:hAnsi="Arial" w:cs="Arial"/>
          <w:sz w:val="22"/>
          <w:szCs w:val="22"/>
        </w:rPr>
        <w:t>conditions and coordinating care. Memory clinics provide specialist assessments, diagnosis, treatment and follow</w:t>
      </w:r>
      <w:r w:rsidR="00FA1A4C">
        <w:noBreakHyphen/>
      </w:r>
      <w:r w:rsidRPr="0BEBABBB">
        <w:rPr>
          <w:rFonts w:ascii="Arial" w:eastAsia="Arial" w:hAnsi="Arial" w:cs="Arial"/>
          <w:sz w:val="22"/>
          <w:szCs w:val="22"/>
        </w:rPr>
        <w:t>up support.</w:t>
      </w:r>
    </w:p>
    <w:p w14:paraId="303FB95B" w14:textId="52CB5575" w:rsidR="00C25B24" w:rsidRDefault="4206ADDB" w:rsidP="0BEBABBB">
      <w:pPr>
        <w:spacing w:line="360" w:lineRule="auto"/>
        <w:rPr>
          <w:rFonts w:ascii="Arial" w:eastAsia="Arial" w:hAnsi="Arial" w:cs="Arial"/>
          <w:sz w:val="22"/>
          <w:szCs w:val="22"/>
        </w:rPr>
      </w:pPr>
      <w:r w:rsidRPr="0BEBABBB">
        <w:rPr>
          <w:rFonts w:ascii="Arial" w:eastAsia="Arial" w:hAnsi="Arial" w:cs="Arial"/>
          <w:sz w:val="22"/>
          <w:szCs w:val="22"/>
        </w:rPr>
        <w:t>Community mental health teams, district nurses and allied health professionals, including occupational therapists, support individuals to remain independent for as long as possible. Palliative and end</w:t>
      </w:r>
      <w:r w:rsidR="00FA1A4C">
        <w:noBreakHyphen/>
      </w:r>
      <w:r w:rsidRPr="0BEBABBB">
        <w:rPr>
          <w:rFonts w:ascii="Arial" w:eastAsia="Arial" w:hAnsi="Arial" w:cs="Arial"/>
          <w:sz w:val="22"/>
          <w:szCs w:val="22"/>
        </w:rPr>
        <w:t>of</w:t>
      </w:r>
      <w:r w:rsidR="00FA1A4C">
        <w:noBreakHyphen/>
      </w:r>
      <w:r w:rsidRPr="0BEBABBB">
        <w:rPr>
          <w:rFonts w:ascii="Arial" w:eastAsia="Arial" w:hAnsi="Arial" w:cs="Arial"/>
          <w:sz w:val="22"/>
          <w:szCs w:val="22"/>
        </w:rPr>
        <w:t>life care services are vital in ensuring dignity and comfort during advanced stages of dementia.</w:t>
      </w:r>
    </w:p>
    <w:p w14:paraId="302896A9" w14:textId="02C56FFC" w:rsidR="00C25B24" w:rsidRDefault="4206ADDB" w:rsidP="0BEBABBB">
      <w:pPr>
        <w:spacing w:line="360" w:lineRule="auto"/>
        <w:rPr>
          <w:rFonts w:ascii="Arial" w:eastAsia="Arial" w:hAnsi="Arial" w:cs="Arial"/>
          <w:b/>
          <w:bCs/>
          <w:sz w:val="22"/>
          <w:szCs w:val="22"/>
        </w:rPr>
      </w:pPr>
      <w:r w:rsidRPr="0BEBABBB">
        <w:rPr>
          <w:rFonts w:ascii="Arial" w:eastAsia="Arial" w:hAnsi="Arial" w:cs="Arial"/>
          <w:b/>
          <w:bCs/>
          <w:sz w:val="22"/>
          <w:szCs w:val="22"/>
        </w:rPr>
        <w:t>Social Care and Voluntary Sector Support</w:t>
      </w:r>
    </w:p>
    <w:p w14:paraId="316A0006" w14:textId="1B0DD309" w:rsidR="00C25B24" w:rsidRDefault="3911A325" w:rsidP="0BEBABBB">
      <w:pPr>
        <w:spacing w:line="360" w:lineRule="auto"/>
        <w:rPr>
          <w:rFonts w:ascii="Arial" w:eastAsia="Arial" w:hAnsi="Arial" w:cs="Arial"/>
          <w:sz w:val="22"/>
          <w:szCs w:val="22"/>
        </w:rPr>
      </w:pPr>
      <w:r w:rsidRPr="0BEBABBB">
        <w:rPr>
          <w:rFonts w:ascii="Arial" w:eastAsia="Arial" w:hAnsi="Arial" w:cs="Arial"/>
          <w:sz w:val="22"/>
          <w:szCs w:val="22"/>
        </w:rPr>
        <w:t xml:space="preserve">Social care services include home care support, day centres and residential or nursing care when community living becomes unsafe. </w:t>
      </w:r>
      <w:r w:rsidR="34DED66B" w:rsidRPr="0BEBABBB">
        <w:rPr>
          <w:rFonts w:ascii="Arial" w:eastAsia="Arial" w:hAnsi="Arial" w:cs="Arial"/>
          <w:sz w:val="22"/>
          <w:szCs w:val="22"/>
        </w:rPr>
        <w:t>Dementia friendly</w:t>
      </w:r>
      <w:r w:rsidR="7198A90C" w:rsidRPr="0BEBABBB">
        <w:rPr>
          <w:rFonts w:ascii="Arial" w:eastAsia="Arial" w:hAnsi="Arial" w:cs="Arial"/>
          <w:sz w:val="22"/>
          <w:szCs w:val="22"/>
        </w:rPr>
        <w:t xml:space="preserve"> </w:t>
      </w:r>
      <w:r w:rsidRPr="0BEBABBB">
        <w:rPr>
          <w:rFonts w:ascii="Arial" w:eastAsia="Arial" w:hAnsi="Arial" w:cs="Arial"/>
          <w:sz w:val="22"/>
          <w:szCs w:val="22"/>
        </w:rPr>
        <w:t>communities aim to reduce stigma and ensure that individuals with dementia remain socially included.</w:t>
      </w:r>
    </w:p>
    <w:p w14:paraId="739BA7E4" w14:textId="0C1EFC79" w:rsidR="00C25B24" w:rsidRDefault="4206ADDB" w:rsidP="0BEBABBB">
      <w:pPr>
        <w:spacing w:line="360" w:lineRule="auto"/>
        <w:rPr>
          <w:rFonts w:ascii="Arial" w:eastAsia="Arial" w:hAnsi="Arial" w:cs="Arial"/>
          <w:sz w:val="22"/>
          <w:szCs w:val="22"/>
        </w:rPr>
      </w:pPr>
      <w:r w:rsidRPr="0BEBABBB">
        <w:rPr>
          <w:rFonts w:ascii="Arial" w:eastAsia="Arial" w:hAnsi="Arial" w:cs="Arial"/>
          <w:sz w:val="22"/>
          <w:szCs w:val="22"/>
        </w:rPr>
        <w:t>Voluntary organisations such as Alzheimer’s Society and Dementia UK provide information, emotional support and practical advice for individuals and carers. Admiral Nurses, who are specialist dementia nurses, offer expert guidance across the dementia journey, significantly improving outcomes for families (Dementia UK, 2025).</w:t>
      </w:r>
    </w:p>
    <w:p w14:paraId="35B7130D" w14:textId="59725A83" w:rsidR="00C25B24" w:rsidRDefault="00C25B24" w:rsidP="7F96CA37">
      <w:pPr>
        <w:spacing w:line="360" w:lineRule="auto"/>
        <w:rPr>
          <w:rFonts w:ascii="Arial" w:eastAsia="Arial" w:hAnsi="Arial" w:cs="Arial"/>
        </w:rPr>
      </w:pPr>
    </w:p>
    <w:p w14:paraId="7EAE1515" w14:textId="321DEDF4" w:rsidR="0BEBABBB" w:rsidRDefault="0BEBABBB" w:rsidP="0BEBABBB">
      <w:pPr>
        <w:spacing w:line="360" w:lineRule="auto"/>
        <w:rPr>
          <w:rFonts w:ascii="Arial" w:eastAsia="Arial" w:hAnsi="Arial" w:cs="Arial"/>
          <w:b/>
          <w:bCs/>
          <w:sz w:val="40"/>
          <w:szCs w:val="40"/>
        </w:rPr>
      </w:pPr>
    </w:p>
    <w:p w14:paraId="1EC7AC00" w14:textId="2BDBCF41" w:rsidR="0BEBABBB" w:rsidRDefault="0BEBABBB" w:rsidP="0BEBABBB">
      <w:pPr>
        <w:spacing w:line="360" w:lineRule="auto"/>
        <w:rPr>
          <w:rFonts w:ascii="Arial" w:eastAsia="Arial" w:hAnsi="Arial" w:cs="Arial"/>
          <w:b/>
          <w:bCs/>
          <w:sz w:val="40"/>
          <w:szCs w:val="40"/>
        </w:rPr>
      </w:pPr>
    </w:p>
    <w:p w14:paraId="5DE0A7BF" w14:textId="3F355234" w:rsidR="0BEBABBB" w:rsidRDefault="0BEBABBB" w:rsidP="0BEBABBB">
      <w:pPr>
        <w:spacing w:line="360" w:lineRule="auto"/>
        <w:rPr>
          <w:rFonts w:ascii="Arial" w:eastAsia="Arial" w:hAnsi="Arial" w:cs="Arial"/>
          <w:b/>
          <w:bCs/>
          <w:sz w:val="40"/>
          <w:szCs w:val="40"/>
        </w:rPr>
      </w:pPr>
    </w:p>
    <w:p w14:paraId="5D87DE92" w14:textId="3C22EC36" w:rsidR="0BEBABBB" w:rsidRDefault="0BEBABBB" w:rsidP="0BEBABBB">
      <w:pPr>
        <w:spacing w:line="360" w:lineRule="auto"/>
        <w:rPr>
          <w:rFonts w:ascii="Arial" w:eastAsia="Arial" w:hAnsi="Arial" w:cs="Arial"/>
          <w:b/>
          <w:bCs/>
          <w:sz w:val="40"/>
          <w:szCs w:val="40"/>
        </w:rPr>
      </w:pPr>
    </w:p>
    <w:p w14:paraId="4FA5B356" w14:textId="342C4404" w:rsidR="0BEBABBB" w:rsidRDefault="0BEBABBB" w:rsidP="0BEBABBB">
      <w:pPr>
        <w:spacing w:line="360" w:lineRule="auto"/>
        <w:rPr>
          <w:rFonts w:ascii="Arial" w:eastAsia="Arial" w:hAnsi="Arial" w:cs="Arial"/>
          <w:b/>
          <w:bCs/>
          <w:sz w:val="40"/>
          <w:szCs w:val="40"/>
        </w:rPr>
      </w:pPr>
    </w:p>
    <w:p w14:paraId="184130A6" w14:textId="77777777" w:rsidR="00FC1261" w:rsidRDefault="00FC1261" w:rsidP="0BEBABBB">
      <w:pPr>
        <w:spacing w:line="360" w:lineRule="auto"/>
        <w:rPr>
          <w:rFonts w:ascii="Arial" w:eastAsia="Arial" w:hAnsi="Arial" w:cs="Arial"/>
          <w:b/>
          <w:bCs/>
          <w:sz w:val="40"/>
          <w:szCs w:val="40"/>
        </w:rPr>
      </w:pPr>
    </w:p>
    <w:p w14:paraId="3E382ECD" w14:textId="64D7FC78" w:rsidR="4206ADDB" w:rsidRDefault="4206ADDB" w:rsidP="0BEBABBB">
      <w:pPr>
        <w:spacing w:line="360" w:lineRule="auto"/>
        <w:rPr>
          <w:rFonts w:ascii="Arial" w:eastAsia="Arial" w:hAnsi="Arial" w:cs="Arial"/>
          <w:color w:val="000000" w:themeColor="text1"/>
          <w:sz w:val="22"/>
          <w:szCs w:val="22"/>
        </w:rPr>
      </w:pPr>
      <w:r w:rsidRPr="0BEBABBB">
        <w:rPr>
          <w:rFonts w:ascii="Arial" w:eastAsia="Arial" w:hAnsi="Arial" w:cs="Arial"/>
          <w:b/>
          <w:bCs/>
          <w:sz w:val="40"/>
          <w:szCs w:val="40"/>
        </w:rPr>
        <w:lastRenderedPageBreak/>
        <w:t>Conclusion</w:t>
      </w:r>
    </w:p>
    <w:p w14:paraId="5D353D71" w14:textId="5E127FCB" w:rsidR="7729DDC8" w:rsidRDefault="7729DDC8" w:rsidP="0BEBABBB">
      <w:pPr>
        <w:spacing w:before="210" w:after="210" w:line="360" w:lineRule="auto"/>
        <w:rPr>
          <w:rFonts w:ascii="Arial" w:eastAsia="Arial" w:hAnsi="Arial" w:cs="Arial"/>
          <w:color w:val="000000" w:themeColor="text1"/>
          <w:sz w:val="22"/>
          <w:szCs w:val="22"/>
        </w:rPr>
      </w:pPr>
      <w:r w:rsidRPr="0BEBABBB">
        <w:rPr>
          <w:rFonts w:ascii="Arial" w:eastAsia="Arial" w:hAnsi="Arial" w:cs="Arial"/>
          <w:color w:val="000000" w:themeColor="text1"/>
          <w:sz w:val="22"/>
          <w:szCs w:val="22"/>
        </w:rPr>
        <w:t>Dementia is a progressive condition that affects the brain and causes problems with memory, thinking, communication and everyday activities. It is a major public health challenge in the UK and around the world. As people are living longer, the number of individuals diagnosed with dementia is increasing. This rise places growing pressure on health and social care services, as well as on families and communities. Dementia does not only affect the person with the condition but also has a serious impact on carers, many of whom provide unpaid support.</w:t>
      </w:r>
    </w:p>
    <w:p w14:paraId="1A60AC40" w14:textId="389A78AF" w:rsidR="7729DDC8" w:rsidRDefault="7729DDC8" w:rsidP="0BEBABBB">
      <w:pPr>
        <w:spacing w:before="210" w:after="210" w:line="360" w:lineRule="auto"/>
        <w:rPr>
          <w:rFonts w:ascii="Arial" w:eastAsia="Arial" w:hAnsi="Arial" w:cs="Arial"/>
          <w:color w:val="000000" w:themeColor="text1"/>
          <w:sz w:val="22"/>
          <w:szCs w:val="22"/>
        </w:rPr>
      </w:pPr>
      <w:r w:rsidRPr="0BEBABBB">
        <w:rPr>
          <w:rFonts w:ascii="Arial" w:eastAsia="Arial" w:hAnsi="Arial" w:cs="Arial"/>
          <w:color w:val="000000" w:themeColor="text1"/>
          <w:sz w:val="22"/>
          <w:szCs w:val="22"/>
        </w:rPr>
        <w:t>Although dementia cannot currently be cured, early diagnosis and ongoing monitoring can make a positive difference. Early diagnosis helps people understand their condition, plan and access support as soon as possible. It also allows health and social care professionals to provide appropriate care at the right time. Monitoring dementia is important because symptoms usually worsen over time, and individuals often need increasing levels of care and support. With the right help, many people can remain independent for longer.</w:t>
      </w:r>
    </w:p>
    <w:p w14:paraId="50244091" w14:textId="42868020" w:rsidR="7729DDC8" w:rsidRDefault="7729DDC8" w:rsidP="0BEBABBB">
      <w:pPr>
        <w:spacing w:before="210" w:after="210" w:line="360" w:lineRule="auto"/>
        <w:rPr>
          <w:rFonts w:ascii="Arial" w:eastAsia="Arial" w:hAnsi="Arial" w:cs="Arial"/>
          <w:color w:val="000000" w:themeColor="text1"/>
          <w:sz w:val="22"/>
          <w:szCs w:val="22"/>
        </w:rPr>
      </w:pPr>
      <w:r w:rsidRPr="0BEBABBB">
        <w:rPr>
          <w:rFonts w:ascii="Arial" w:eastAsia="Arial" w:hAnsi="Arial" w:cs="Arial"/>
          <w:color w:val="000000" w:themeColor="text1"/>
          <w:sz w:val="22"/>
          <w:szCs w:val="22"/>
        </w:rPr>
        <w:t>Person</w:t>
      </w:r>
      <w:r>
        <w:noBreakHyphen/>
      </w:r>
      <w:r w:rsidRPr="0BEBABBB">
        <w:rPr>
          <w:rFonts w:ascii="Arial" w:eastAsia="Arial" w:hAnsi="Arial" w:cs="Arial"/>
          <w:color w:val="000000" w:themeColor="text1"/>
          <w:sz w:val="22"/>
          <w:szCs w:val="22"/>
        </w:rPr>
        <w:t>centred care is a key part of supporting people with dementia. This approach focuses on the individual rather than just the illness. It considers a person’s preferences, abilities, life experiences and needs. Treating people with dignity and respect helps maintain confidence, independence and emotional wellbeing.</w:t>
      </w:r>
    </w:p>
    <w:p w14:paraId="0D0A826F" w14:textId="234138B5" w:rsidR="7729DDC8" w:rsidRDefault="7729DDC8" w:rsidP="0BEBABBB">
      <w:pPr>
        <w:spacing w:before="210" w:after="210" w:line="360" w:lineRule="auto"/>
        <w:rPr>
          <w:rFonts w:ascii="Arial" w:eastAsia="Arial" w:hAnsi="Arial" w:cs="Arial"/>
          <w:color w:val="000000" w:themeColor="text1"/>
          <w:sz w:val="22"/>
          <w:szCs w:val="22"/>
        </w:rPr>
      </w:pPr>
      <w:r w:rsidRPr="0BEBABBB">
        <w:rPr>
          <w:rFonts w:ascii="Arial" w:eastAsia="Arial" w:hAnsi="Arial" w:cs="Arial"/>
          <w:color w:val="000000" w:themeColor="text1"/>
          <w:sz w:val="22"/>
          <w:szCs w:val="22"/>
        </w:rPr>
        <w:t>Community</w:t>
      </w:r>
      <w:r>
        <w:noBreakHyphen/>
      </w:r>
      <w:r w:rsidRPr="0BEBABBB">
        <w:rPr>
          <w:rFonts w:ascii="Arial" w:eastAsia="Arial" w:hAnsi="Arial" w:cs="Arial"/>
          <w:color w:val="000000" w:themeColor="text1"/>
          <w:sz w:val="22"/>
          <w:szCs w:val="22"/>
        </w:rPr>
        <w:t>based health and social care services play an important role in managing dementia. GPs, memory clinics, community nurses and social care workers work together to support people at home. This helps individuals stay in familiar surroundings and reduces the need for hospital or residential care. Voluntary organisations also provide valuable support by offering information, advice and emotional support to both people with dementia and their careers.</w:t>
      </w:r>
    </w:p>
    <w:p w14:paraId="21393814" w14:textId="1FABD7E8" w:rsidR="7729DDC8" w:rsidRDefault="7729DDC8" w:rsidP="0BEBABBB">
      <w:pPr>
        <w:spacing w:before="210" w:after="210" w:line="360" w:lineRule="auto"/>
        <w:rPr>
          <w:rFonts w:ascii="Arial" w:eastAsia="Arial" w:hAnsi="Arial" w:cs="Arial"/>
          <w:color w:val="000000" w:themeColor="text1"/>
          <w:sz w:val="22"/>
          <w:szCs w:val="22"/>
        </w:rPr>
      </w:pPr>
      <w:r w:rsidRPr="0BEBABBB">
        <w:rPr>
          <w:rFonts w:ascii="Arial" w:eastAsia="Arial" w:hAnsi="Arial" w:cs="Arial"/>
          <w:color w:val="000000" w:themeColor="text1"/>
          <w:sz w:val="22"/>
          <w:szCs w:val="22"/>
        </w:rPr>
        <w:t>In conclusion, dementia is a growing public health issue that requires long</w:t>
      </w:r>
      <w:r>
        <w:noBreakHyphen/>
      </w:r>
      <w:r w:rsidRPr="0BEBABBB">
        <w:rPr>
          <w:rFonts w:ascii="Arial" w:eastAsia="Arial" w:hAnsi="Arial" w:cs="Arial"/>
          <w:color w:val="000000" w:themeColor="text1"/>
          <w:sz w:val="22"/>
          <w:szCs w:val="22"/>
        </w:rPr>
        <w:t>term planning, investment and cooperation between services. Early diagnosis, person</w:t>
      </w:r>
      <w:r>
        <w:noBreakHyphen/>
      </w:r>
      <w:r w:rsidRPr="0BEBABBB">
        <w:rPr>
          <w:rFonts w:ascii="Arial" w:eastAsia="Arial" w:hAnsi="Arial" w:cs="Arial"/>
          <w:color w:val="000000" w:themeColor="text1"/>
          <w:sz w:val="22"/>
          <w:szCs w:val="22"/>
        </w:rPr>
        <w:t>centred care and strong community support can improve quality of life and reduce the impact of dementia on individuals and society</w:t>
      </w:r>
    </w:p>
    <w:p w14:paraId="4EC9B400" w14:textId="7B3BAEF5" w:rsidR="0BEBABBB" w:rsidRDefault="0BEBABBB" w:rsidP="0BEBABBB">
      <w:pPr>
        <w:spacing w:before="210" w:after="210" w:line="360" w:lineRule="auto"/>
        <w:rPr>
          <w:rFonts w:ascii="Arial" w:eastAsia="Arial" w:hAnsi="Arial" w:cs="Arial"/>
          <w:color w:val="000000" w:themeColor="text1"/>
          <w:sz w:val="22"/>
          <w:szCs w:val="22"/>
        </w:rPr>
      </w:pPr>
    </w:p>
    <w:p w14:paraId="483C23F6" w14:textId="382ECCD8" w:rsidR="006220E9" w:rsidRDefault="006220E9" w:rsidP="0BEBABBB">
      <w:pPr>
        <w:pStyle w:val="Title"/>
        <w:rPr>
          <w:rFonts w:ascii="Arial" w:eastAsia="Arial" w:hAnsi="Arial" w:cs="Arial"/>
          <w:b/>
          <w:bCs/>
          <w:sz w:val="40"/>
          <w:szCs w:val="40"/>
        </w:rPr>
      </w:pPr>
    </w:p>
    <w:p w14:paraId="211E7268" w14:textId="46CF47A2" w:rsidR="006220E9" w:rsidRDefault="006220E9" w:rsidP="0BEBABBB">
      <w:pPr>
        <w:pStyle w:val="Title"/>
        <w:rPr>
          <w:rFonts w:ascii="Arial" w:eastAsia="Arial" w:hAnsi="Arial" w:cs="Arial"/>
          <w:b/>
          <w:bCs/>
          <w:sz w:val="40"/>
          <w:szCs w:val="40"/>
        </w:rPr>
      </w:pPr>
    </w:p>
    <w:p w14:paraId="3E725B08" w14:textId="1AC87C5B" w:rsidR="00C25B24" w:rsidRDefault="38091463" w:rsidP="0BEBABBB">
      <w:pPr>
        <w:pStyle w:val="Title"/>
        <w:rPr>
          <w:rFonts w:ascii="Arial" w:eastAsia="Arial" w:hAnsi="Arial" w:cs="Arial"/>
          <w:b/>
          <w:bCs/>
          <w:sz w:val="40"/>
          <w:szCs w:val="40"/>
        </w:rPr>
      </w:pPr>
      <w:r w:rsidRPr="0BEBABBB">
        <w:rPr>
          <w:rFonts w:ascii="Arial" w:eastAsia="Arial" w:hAnsi="Arial" w:cs="Arial"/>
          <w:b/>
          <w:bCs/>
          <w:sz w:val="40"/>
          <w:szCs w:val="40"/>
        </w:rPr>
        <w:lastRenderedPageBreak/>
        <w:t>Reference</w:t>
      </w:r>
    </w:p>
    <w:p w14:paraId="249F9B94" w14:textId="54343696" w:rsidR="00C25B24" w:rsidRDefault="38091463" w:rsidP="7F96CA37">
      <w:pPr>
        <w:spacing w:after="0" w:line="360" w:lineRule="auto"/>
        <w:rPr>
          <w:rFonts w:ascii="Arial" w:eastAsia="Arial" w:hAnsi="Arial" w:cs="Arial"/>
          <w:sz w:val="22"/>
          <w:szCs w:val="22"/>
        </w:rPr>
      </w:pPr>
      <w:r w:rsidRPr="7F96CA37">
        <w:rPr>
          <w:rFonts w:ascii="Arial" w:eastAsia="Arial" w:hAnsi="Arial" w:cs="Arial"/>
          <w:sz w:val="22"/>
          <w:szCs w:val="22"/>
        </w:rPr>
        <w:t xml:space="preserve">Alzheimer’s Disease International (2023) </w:t>
      </w:r>
      <w:r w:rsidRPr="7F96CA37">
        <w:rPr>
          <w:rFonts w:ascii="Arial" w:eastAsia="Arial" w:hAnsi="Arial" w:cs="Arial"/>
          <w:i/>
          <w:iCs/>
          <w:sz w:val="22"/>
          <w:szCs w:val="22"/>
        </w:rPr>
        <w:t>World Alzheimer Report 2023.</w:t>
      </w:r>
      <w:r w:rsidRPr="7F96CA37">
        <w:rPr>
          <w:rFonts w:ascii="Arial" w:eastAsia="Arial" w:hAnsi="Arial" w:cs="Arial"/>
          <w:sz w:val="22"/>
          <w:szCs w:val="22"/>
        </w:rPr>
        <w:t xml:space="preserve"> London: ADI.</w:t>
      </w:r>
    </w:p>
    <w:p w14:paraId="38A0F337" w14:textId="33C8F370" w:rsidR="00C25B24" w:rsidRDefault="38091463" w:rsidP="7F96CA37">
      <w:pPr>
        <w:spacing w:after="0" w:line="360" w:lineRule="auto"/>
        <w:rPr>
          <w:rFonts w:ascii="Arial" w:eastAsia="Arial" w:hAnsi="Arial" w:cs="Arial"/>
          <w:sz w:val="22"/>
          <w:szCs w:val="22"/>
        </w:rPr>
      </w:pPr>
      <w:r w:rsidRPr="7F96CA37">
        <w:rPr>
          <w:rFonts w:ascii="Arial" w:eastAsia="Arial" w:hAnsi="Arial" w:cs="Arial"/>
          <w:sz w:val="22"/>
          <w:szCs w:val="22"/>
        </w:rPr>
        <w:t xml:space="preserve">Alzheimer’s Research UK (2024) </w:t>
      </w:r>
      <w:r w:rsidRPr="7F96CA37">
        <w:rPr>
          <w:rFonts w:ascii="Arial" w:eastAsia="Arial" w:hAnsi="Arial" w:cs="Arial"/>
          <w:i/>
          <w:iCs/>
          <w:sz w:val="22"/>
          <w:szCs w:val="22"/>
        </w:rPr>
        <w:t>Dementia Statistics Hub.</w:t>
      </w:r>
      <w:r w:rsidRPr="7F96CA37">
        <w:rPr>
          <w:rFonts w:ascii="Arial" w:eastAsia="Arial" w:hAnsi="Arial" w:cs="Arial"/>
          <w:sz w:val="22"/>
          <w:szCs w:val="22"/>
        </w:rPr>
        <w:t xml:space="preserve"> Available at: </w:t>
      </w:r>
      <w:hyperlink r:id="rId7">
        <w:r w:rsidRPr="7F96CA37">
          <w:rPr>
            <w:rStyle w:val="Hyperlink"/>
            <w:rFonts w:ascii="Arial" w:eastAsia="Arial" w:hAnsi="Arial" w:cs="Arial"/>
            <w:sz w:val="22"/>
            <w:szCs w:val="22"/>
          </w:rPr>
          <w:t>https://dementiastatistics.org</w:t>
        </w:r>
      </w:hyperlink>
      <w:r w:rsidRPr="7F96CA37">
        <w:rPr>
          <w:rFonts w:ascii="Arial" w:eastAsia="Arial" w:hAnsi="Arial" w:cs="Arial"/>
          <w:sz w:val="22"/>
          <w:szCs w:val="22"/>
        </w:rPr>
        <w:t xml:space="preserve"> (Accessed: 28 April 2026).</w:t>
      </w:r>
    </w:p>
    <w:p w14:paraId="58826021" w14:textId="70814636" w:rsidR="00C25B24" w:rsidRDefault="38091463" w:rsidP="7F96CA37">
      <w:pPr>
        <w:spacing w:after="0" w:line="360" w:lineRule="auto"/>
        <w:rPr>
          <w:rFonts w:ascii="Arial" w:eastAsia="Arial" w:hAnsi="Arial" w:cs="Arial"/>
          <w:sz w:val="22"/>
          <w:szCs w:val="22"/>
        </w:rPr>
      </w:pPr>
      <w:r w:rsidRPr="7F96CA37">
        <w:rPr>
          <w:rFonts w:ascii="Arial" w:eastAsia="Arial" w:hAnsi="Arial" w:cs="Arial"/>
          <w:sz w:val="22"/>
          <w:szCs w:val="22"/>
        </w:rPr>
        <w:t xml:space="preserve">BMJ (2025) </w:t>
      </w:r>
      <w:r w:rsidRPr="7F96CA37">
        <w:rPr>
          <w:rFonts w:ascii="Arial" w:eastAsia="Arial" w:hAnsi="Arial" w:cs="Arial"/>
          <w:i/>
          <w:iCs/>
          <w:sz w:val="22"/>
          <w:szCs w:val="22"/>
        </w:rPr>
        <w:t>Drug treatments for Alzheimer’s disease.</w:t>
      </w:r>
      <w:r w:rsidRPr="7F96CA37">
        <w:rPr>
          <w:rFonts w:ascii="Arial" w:eastAsia="Arial" w:hAnsi="Arial" w:cs="Arial"/>
          <w:sz w:val="22"/>
          <w:szCs w:val="22"/>
        </w:rPr>
        <w:t xml:space="preserve"> Available at: </w:t>
      </w:r>
      <w:hyperlink r:id="rId8">
        <w:r w:rsidRPr="7F96CA37">
          <w:rPr>
            <w:rStyle w:val="Hyperlink"/>
            <w:rFonts w:ascii="Arial" w:eastAsia="Arial" w:hAnsi="Arial" w:cs="Arial"/>
            <w:sz w:val="22"/>
            <w:szCs w:val="22"/>
          </w:rPr>
          <w:t>https://www.bmj.com</w:t>
        </w:r>
      </w:hyperlink>
      <w:r w:rsidRPr="7F96CA37">
        <w:rPr>
          <w:rFonts w:ascii="Arial" w:eastAsia="Arial" w:hAnsi="Arial" w:cs="Arial"/>
          <w:sz w:val="22"/>
          <w:szCs w:val="22"/>
        </w:rPr>
        <w:t xml:space="preserve"> (Accessed: 28 April 2026).</w:t>
      </w:r>
    </w:p>
    <w:p w14:paraId="6D4DAD8D" w14:textId="453614A9" w:rsidR="00C25B24" w:rsidRDefault="38091463" w:rsidP="7F96CA37">
      <w:pPr>
        <w:spacing w:after="0" w:line="360" w:lineRule="auto"/>
        <w:rPr>
          <w:rFonts w:ascii="Arial" w:eastAsia="Arial" w:hAnsi="Arial" w:cs="Arial"/>
          <w:sz w:val="22"/>
          <w:szCs w:val="22"/>
        </w:rPr>
      </w:pPr>
      <w:r w:rsidRPr="7F96CA37">
        <w:rPr>
          <w:rFonts w:ascii="Arial" w:eastAsia="Arial" w:hAnsi="Arial" w:cs="Arial"/>
          <w:sz w:val="22"/>
          <w:szCs w:val="22"/>
        </w:rPr>
        <w:t xml:space="preserve">Care Quality Commission (2025) </w:t>
      </w:r>
      <w:r w:rsidRPr="7F96CA37">
        <w:rPr>
          <w:rFonts w:ascii="Arial" w:eastAsia="Arial" w:hAnsi="Arial" w:cs="Arial"/>
          <w:i/>
          <w:iCs/>
          <w:sz w:val="22"/>
          <w:szCs w:val="22"/>
        </w:rPr>
        <w:t>The state of health care and adult social care in England.</w:t>
      </w:r>
      <w:r w:rsidRPr="7F96CA37">
        <w:rPr>
          <w:rFonts w:ascii="Arial" w:eastAsia="Arial" w:hAnsi="Arial" w:cs="Arial"/>
          <w:sz w:val="22"/>
          <w:szCs w:val="22"/>
        </w:rPr>
        <w:t xml:space="preserve"> London: CQC.</w:t>
      </w:r>
    </w:p>
    <w:p w14:paraId="68CE4C9A" w14:textId="4CDCA90F" w:rsidR="00C25B24" w:rsidRDefault="38091463" w:rsidP="7F96CA37">
      <w:pPr>
        <w:spacing w:after="0" w:line="360" w:lineRule="auto"/>
        <w:rPr>
          <w:rFonts w:ascii="Arial" w:eastAsia="Arial" w:hAnsi="Arial" w:cs="Arial"/>
          <w:sz w:val="22"/>
          <w:szCs w:val="22"/>
        </w:rPr>
      </w:pPr>
      <w:r w:rsidRPr="7F96CA37">
        <w:rPr>
          <w:rFonts w:ascii="Arial" w:eastAsia="Arial" w:hAnsi="Arial" w:cs="Arial"/>
          <w:sz w:val="22"/>
          <w:szCs w:val="22"/>
        </w:rPr>
        <w:t xml:space="preserve">Dementia UK (2025) </w:t>
      </w:r>
      <w:r w:rsidRPr="7F96CA37">
        <w:rPr>
          <w:rFonts w:ascii="Arial" w:eastAsia="Arial" w:hAnsi="Arial" w:cs="Arial"/>
          <w:i/>
          <w:iCs/>
          <w:sz w:val="22"/>
          <w:szCs w:val="22"/>
        </w:rPr>
        <w:t>What is dementia?</w:t>
      </w:r>
      <w:r w:rsidRPr="7F96CA37">
        <w:rPr>
          <w:rFonts w:ascii="Arial" w:eastAsia="Arial" w:hAnsi="Arial" w:cs="Arial"/>
          <w:sz w:val="22"/>
          <w:szCs w:val="22"/>
        </w:rPr>
        <w:t xml:space="preserve"> Available at: </w:t>
      </w:r>
      <w:hyperlink r:id="rId9">
        <w:r w:rsidRPr="7F96CA37">
          <w:rPr>
            <w:rStyle w:val="Hyperlink"/>
            <w:rFonts w:ascii="Arial" w:eastAsia="Arial" w:hAnsi="Arial" w:cs="Arial"/>
            <w:sz w:val="22"/>
            <w:szCs w:val="22"/>
          </w:rPr>
          <w:t>https://www.dementiauk.org</w:t>
        </w:r>
      </w:hyperlink>
      <w:r w:rsidRPr="7F96CA37">
        <w:rPr>
          <w:rFonts w:ascii="Arial" w:eastAsia="Arial" w:hAnsi="Arial" w:cs="Arial"/>
          <w:sz w:val="22"/>
          <w:szCs w:val="22"/>
        </w:rPr>
        <w:t xml:space="preserve"> (Accessed: 28 April 2026).</w:t>
      </w:r>
    </w:p>
    <w:p w14:paraId="2740B8BB" w14:textId="4D3266C5" w:rsidR="00C25B24" w:rsidRDefault="38091463" w:rsidP="7F96CA37">
      <w:pPr>
        <w:spacing w:after="0" w:line="360" w:lineRule="auto"/>
        <w:rPr>
          <w:rFonts w:ascii="Arial" w:eastAsia="Arial" w:hAnsi="Arial" w:cs="Arial"/>
          <w:sz w:val="22"/>
          <w:szCs w:val="22"/>
        </w:rPr>
      </w:pPr>
      <w:r w:rsidRPr="7F96CA37">
        <w:rPr>
          <w:rFonts w:ascii="Arial" w:eastAsia="Arial" w:hAnsi="Arial" w:cs="Arial"/>
          <w:sz w:val="22"/>
          <w:szCs w:val="22"/>
        </w:rPr>
        <w:t xml:space="preserve">Livingston, G. et al. (2020) ‘Dementia prevention, intervention, and care’, </w:t>
      </w:r>
      <w:r w:rsidRPr="7F96CA37">
        <w:rPr>
          <w:rFonts w:ascii="Arial" w:eastAsia="Arial" w:hAnsi="Arial" w:cs="Arial"/>
          <w:i/>
          <w:iCs/>
          <w:sz w:val="22"/>
          <w:szCs w:val="22"/>
        </w:rPr>
        <w:t>The Lancet</w:t>
      </w:r>
      <w:r w:rsidRPr="7F96CA37">
        <w:rPr>
          <w:rFonts w:ascii="Arial" w:eastAsia="Arial" w:hAnsi="Arial" w:cs="Arial"/>
          <w:sz w:val="22"/>
          <w:szCs w:val="22"/>
        </w:rPr>
        <w:t>, 396(10248), pp. 413–446.</w:t>
      </w:r>
    </w:p>
    <w:p w14:paraId="04AD8C8A" w14:textId="2190E2CE" w:rsidR="00C25B24" w:rsidRDefault="38091463" w:rsidP="7F96CA37">
      <w:pPr>
        <w:spacing w:after="0" w:line="360" w:lineRule="auto"/>
        <w:rPr>
          <w:rFonts w:ascii="Arial" w:eastAsia="Arial" w:hAnsi="Arial" w:cs="Arial"/>
          <w:sz w:val="22"/>
          <w:szCs w:val="22"/>
        </w:rPr>
      </w:pPr>
      <w:r w:rsidRPr="7F96CA37">
        <w:rPr>
          <w:rFonts w:ascii="Arial" w:eastAsia="Arial" w:hAnsi="Arial" w:cs="Arial"/>
          <w:sz w:val="22"/>
          <w:szCs w:val="22"/>
        </w:rPr>
        <w:t xml:space="preserve">Sheehan, B. (2012) ‘Assessment scales in dementia’, </w:t>
      </w:r>
      <w:r w:rsidRPr="7F96CA37">
        <w:rPr>
          <w:rFonts w:ascii="Arial" w:eastAsia="Arial" w:hAnsi="Arial" w:cs="Arial"/>
          <w:i/>
          <w:iCs/>
          <w:sz w:val="22"/>
          <w:szCs w:val="22"/>
        </w:rPr>
        <w:t>Therapeutic Advances in Neurological Disorders</w:t>
      </w:r>
      <w:r w:rsidRPr="7F96CA37">
        <w:rPr>
          <w:rFonts w:ascii="Arial" w:eastAsia="Arial" w:hAnsi="Arial" w:cs="Arial"/>
          <w:sz w:val="22"/>
          <w:szCs w:val="22"/>
        </w:rPr>
        <w:t>, 5(6), pp. 349–358.</w:t>
      </w:r>
    </w:p>
    <w:p w14:paraId="6FF7F97D" w14:textId="7CC66076" w:rsidR="00C25B24" w:rsidRDefault="38091463" w:rsidP="7F96CA37">
      <w:pPr>
        <w:spacing w:after="0" w:line="360" w:lineRule="auto"/>
        <w:rPr>
          <w:rFonts w:ascii="Arial" w:eastAsia="Arial" w:hAnsi="Arial" w:cs="Arial"/>
          <w:sz w:val="22"/>
          <w:szCs w:val="22"/>
        </w:rPr>
      </w:pPr>
      <w:r w:rsidRPr="7F96CA37">
        <w:rPr>
          <w:rFonts w:ascii="Arial" w:eastAsia="Arial" w:hAnsi="Arial" w:cs="Arial"/>
          <w:sz w:val="22"/>
          <w:szCs w:val="22"/>
        </w:rPr>
        <w:t xml:space="preserve">World Health Organization (WHO) (2021) </w:t>
      </w:r>
      <w:r w:rsidRPr="7F96CA37">
        <w:rPr>
          <w:rFonts w:ascii="Arial" w:eastAsia="Arial" w:hAnsi="Arial" w:cs="Arial"/>
          <w:i/>
          <w:iCs/>
          <w:sz w:val="22"/>
          <w:szCs w:val="22"/>
        </w:rPr>
        <w:t>Global status report on the public health response to dementia.</w:t>
      </w:r>
      <w:r w:rsidRPr="7F96CA37">
        <w:rPr>
          <w:rFonts w:ascii="Arial" w:eastAsia="Arial" w:hAnsi="Arial" w:cs="Arial"/>
          <w:sz w:val="22"/>
          <w:szCs w:val="22"/>
        </w:rPr>
        <w:t xml:space="preserve"> Geneva: WHO.</w:t>
      </w:r>
    </w:p>
    <w:p w14:paraId="6F5999B4" w14:textId="0F875EA0" w:rsidR="00C25B24" w:rsidRDefault="00C25B24" w:rsidP="7F96CA37"/>
    <w:p w14:paraId="5E5787A5" w14:textId="2BE021CA" w:rsidR="00C25B24" w:rsidRDefault="00C25B24" w:rsidP="7F96CA37"/>
    <w:sectPr w:rsidR="00C25B2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Wxa1K2yEQtIcYO" int2:id="BpkIYKZa">
      <int2:state int2:value="Rejected" int2:type="spell"/>
    </int2:textHash>
    <int2:textHash int2:hashCode="tE1AQ25ADcfJWi" int2:id="EFPuippK">
      <int2:state int2:value="Rejected" int2:type="spell"/>
    </int2:textHash>
    <int2:textHash int2:hashCode="dfem4B9dzFPx5H" int2:id="EcsK3QG8">
      <int2:state int2:value="Rejected" int2:type="spell"/>
    </int2:textHash>
    <int2:textHash int2:hashCode="ULiHcwpzCEr52c" int2:id="FdmKZATI">
      <int2:state int2:value="Rejected" int2:type="spell"/>
    </int2:textHash>
    <int2:textHash int2:hashCode="gM/kyNr1ayXVVE" int2:id="K2exYO0B">
      <int2:state int2:value="Rejected" int2:type="spell"/>
    </int2:textHash>
    <int2:textHash int2:hashCode="ZJ9X5jUYDs4IOm" int2:id="Nd1GBpP2">
      <int2:state int2:value="Rejected" int2:type="spell"/>
    </int2:textHash>
    <int2:textHash int2:hashCode="Z1JvyLmsE3wVsH" int2:id="QCGZlQCb">
      <int2:state int2:value="Rejected" int2:type="spell"/>
    </int2:textHash>
    <int2:textHash int2:hashCode="JqynlBqZ2Q4/v2" int2:id="RaNthQMT">
      <int2:state int2:value="Rejected" int2:type="spell"/>
    </int2:textHash>
    <int2:textHash int2:hashCode="Q4McD2L1740zDO" int2:id="SDrVxRW5">
      <int2:state int2:value="Rejected" int2:type="spell"/>
    </int2:textHash>
    <int2:textHash int2:hashCode="RN9W5GpW4BE3tP" int2:id="XVUaLNk2">
      <int2:state int2:value="Rejected" int2:type="spell"/>
    </int2:textHash>
    <int2:textHash int2:hashCode="Q3Sq7iR/sjfObJ" int2:id="XzU8rhmv">
      <int2:state int2:value="Rejected" int2:type="spell"/>
    </int2:textHash>
    <int2:textHash int2:hashCode="/69guDqGEyto77" int2:id="bt19tWxu">
      <int2:state int2:value="Rejected" int2:type="spell"/>
    </int2:textHash>
    <int2:textHash int2:hashCode="ZDl4dBbQiF9MD0" int2:id="c0Do3c6a">
      <int2:state int2:value="Rejected" int2:type="spell"/>
    </int2:textHash>
    <int2:textHash int2:hashCode="oCQrcHv5z2Ol3j" int2:id="daQdijSM">
      <int2:state int2:value="Rejected" int2:type="spell"/>
    </int2:textHash>
    <int2:textHash int2:hashCode="DglkWVGFXPuJEM" int2:id="pwkguHGh">
      <int2:state int2:value="Rejected" int2:type="spell"/>
    </int2:textHash>
    <int2:textHash int2:hashCode="0V2XxtJmwAbVjj" int2:id="sek4864D">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DD9BD2"/>
    <w:rsid w:val="00273CDD"/>
    <w:rsid w:val="0031B374"/>
    <w:rsid w:val="00353480"/>
    <w:rsid w:val="005A4D28"/>
    <w:rsid w:val="005B63FF"/>
    <w:rsid w:val="006220E9"/>
    <w:rsid w:val="006E4848"/>
    <w:rsid w:val="009374E8"/>
    <w:rsid w:val="00983399"/>
    <w:rsid w:val="00BA0432"/>
    <w:rsid w:val="00BF5E57"/>
    <w:rsid w:val="00C25B24"/>
    <w:rsid w:val="00CB0214"/>
    <w:rsid w:val="00D17132"/>
    <w:rsid w:val="00DA5BBB"/>
    <w:rsid w:val="00DCD6B0"/>
    <w:rsid w:val="00F92E49"/>
    <w:rsid w:val="00FA1A4C"/>
    <w:rsid w:val="00FB6EF7"/>
    <w:rsid w:val="00FC1261"/>
    <w:rsid w:val="017CDA0D"/>
    <w:rsid w:val="02011A9D"/>
    <w:rsid w:val="04189AAC"/>
    <w:rsid w:val="0BAD9507"/>
    <w:rsid w:val="0BEBABBB"/>
    <w:rsid w:val="0BFF2B94"/>
    <w:rsid w:val="0D20A47B"/>
    <w:rsid w:val="0FFFCCA2"/>
    <w:rsid w:val="11EDC9CA"/>
    <w:rsid w:val="179CCE17"/>
    <w:rsid w:val="1A00FC87"/>
    <w:rsid w:val="1A9036B3"/>
    <w:rsid w:val="1BAB9F68"/>
    <w:rsid w:val="1C5E3CAC"/>
    <w:rsid w:val="1F99055D"/>
    <w:rsid w:val="1FB9D026"/>
    <w:rsid w:val="219CBCF3"/>
    <w:rsid w:val="23E01EBF"/>
    <w:rsid w:val="250AFFD3"/>
    <w:rsid w:val="295310B7"/>
    <w:rsid w:val="2D47C676"/>
    <w:rsid w:val="2D7265BE"/>
    <w:rsid w:val="2F83E3D3"/>
    <w:rsid w:val="30024E9D"/>
    <w:rsid w:val="34DED66B"/>
    <w:rsid w:val="355DF55C"/>
    <w:rsid w:val="38091463"/>
    <w:rsid w:val="3911A325"/>
    <w:rsid w:val="39253C3E"/>
    <w:rsid w:val="3EB01AB0"/>
    <w:rsid w:val="3F1C9275"/>
    <w:rsid w:val="4206ADDB"/>
    <w:rsid w:val="4736C2C8"/>
    <w:rsid w:val="48143BC7"/>
    <w:rsid w:val="4934E923"/>
    <w:rsid w:val="49E51784"/>
    <w:rsid w:val="4BB19EB5"/>
    <w:rsid w:val="4DD3E46F"/>
    <w:rsid w:val="4DDD8E35"/>
    <w:rsid w:val="4E26C4EF"/>
    <w:rsid w:val="50256091"/>
    <w:rsid w:val="514EAAA4"/>
    <w:rsid w:val="5190B19A"/>
    <w:rsid w:val="519606A7"/>
    <w:rsid w:val="52184986"/>
    <w:rsid w:val="52566908"/>
    <w:rsid w:val="52D1D480"/>
    <w:rsid w:val="53F944EE"/>
    <w:rsid w:val="544F2B81"/>
    <w:rsid w:val="55321E1E"/>
    <w:rsid w:val="57B71A0C"/>
    <w:rsid w:val="591A598F"/>
    <w:rsid w:val="59E47A0E"/>
    <w:rsid w:val="5A1382B1"/>
    <w:rsid w:val="5C71E0C5"/>
    <w:rsid w:val="5F15BFFA"/>
    <w:rsid w:val="5F9539DD"/>
    <w:rsid w:val="6119FAC1"/>
    <w:rsid w:val="66658846"/>
    <w:rsid w:val="6A6A688D"/>
    <w:rsid w:val="6B900A71"/>
    <w:rsid w:val="6E3B1F08"/>
    <w:rsid w:val="70AEC8BD"/>
    <w:rsid w:val="7198A90C"/>
    <w:rsid w:val="71F81469"/>
    <w:rsid w:val="73365E95"/>
    <w:rsid w:val="750C6F39"/>
    <w:rsid w:val="766A9069"/>
    <w:rsid w:val="76A536E0"/>
    <w:rsid w:val="7729DDC8"/>
    <w:rsid w:val="774526B9"/>
    <w:rsid w:val="7A8762A4"/>
    <w:rsid w:val="7AC34B51"/>
    <w:rsid w:val="7ADD9BD2"/>
    <w:rsid w:val="7D8110B6"/>
    <w:rsid w:val="7DDA6393"/>
    <w:rsid w:val="7EBA267E"/>
    <w:rsid w:val="7EC1C7C7"/>
    <w:rsid w:val="7ED61060"/>
    <w:rsid w:val="7F96CA37"/>
    <w:rsid w:val="7FE61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D9BD2"/>
  <w15:chartTrackingRefBased/>
  <w15:docId w15:val="{BC545089-4784-4A6E-8AE7-6AE7BD20F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7F96CA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7F96CA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7F96CA37"/>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7F96CA37"/>
    <w:pPr>
      <w:spacing w:after="80" w:line="240" w:lineRule="auto"/>
      <w:contextualSpacing/>
    </w:pPr>
    <w:rPr>
      <w:rFonts w:asciiTheme="majorHAnsi" w:eastAsiaTheme="majorEastAsia" w:hAnsiTheme="majorHAnsi" w:cstheme="majorBidi"/>
      <w:sz w:val="56"/>
      <w:szCs w:val="56"/>
    </w:rPr>
  </w:style>
  <w:style w:type="paragraph" w:styleId="NoSpacing">
    <w:name w:val="No Spacing"/>
    <w:uiPriority w:val="1"/>
    <w:qFormat/>
    <w:rsid w:val="7F96CA37"/>
    <w:pPr>
      <w:spacing w:after="0"/>
    </w:pPr>
  </w:style>
  <w:style w:type="character" w:styleId="Hyperlink">
    <w:name w:val="Hyperlink"/>
    <w:basedOn w:val="DefaultParagraphFont"/>
    <w:uiPriority w:val="99"/>
    <w:unhideWhenUsed/>
    <w:rsid w:val="7F96CA3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j.com" TargetMode="External"/><Relationship Id="rId3" Type="http://schemas.openxmlformats.org/officeDocument/2006/relationships/settings" Target="settings.xml"/><Relationship Id="rId7" Type="http://schemas.openxmlformats.org/officeDocument/2006/relationships/hyperlink" Target="https://dementiastatistics.org"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dementiauk.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1718</Words>
  <Characters>9794</Characters>
  <Application>Microsoft Office Word</Application>
  <DocSecurity>0</DocSecurity>
  <Lines>81</Lines>
  <Paragraphs>22</Paragraphs>
  <ScaleCrop>false</ScaleCrop>
  <Company/>
  <LinksUpToDate>false</LinksUpToDate>
  <CharactersWithSpaces>11490</CharactersWithSpaces>
  <SharedDoc>false</SharedDoc>
  <HLinks>
    <vt:vector size="18" baseType="variant">
      <vt:variant>
        <vt:i4>4063335</vt:i4>
      </vt:variant>
      <vt:variant>
        <vt:i4>6</vt:i4>
      </vt:variant>
      <vt:variant>
        <vt:i4>0</vt:i4>
      </vt:variant>
      <vt:variant>
        <vt:i4>5</vt:i4>
      </vt:variant>
      <vt:variant>
        <vt:lpwstr>https://www.dementiauk.org/</vt:lpwstr>
      </vt:variant>
      <vt:variant>
        <vt:lpwstr/>
      </vt:variant>
      <vt:variant>
        <vt:i4>4915270</vt:i4>
      </vt:variant>
      <vt:variant>
        <vt:i4>3</vt:i4>
      </vt:variant>
      <vt:variant>
        <vt:i4>0</vt:i4>
      </vt:variant>
      <vt:variant>
        <vt:i4>5</vt:i4>
      </vt:variant>
      <vt:variant>
        <vt:lpwstr>https://www.bmj.com/</vt:lpwstr>
      </vt:variant>
      <vt:variant>
        <vt:lpwstr/>
      </vt:variant>
      <vt:variant>
        <vt:i4>6619262</vt:i4>
      </vt:variant>
      <vt:variant>
        <vt:i4>0</vt:i4>
      </vt:variant>
      <vt:variant>
        <vt:i4>0</vt:i4>
      </vt:variant>
      <vt:variant>
        <vt:i4>5</vt:i4>
      </vt:variant>
      <vt:variant>
        <vt:lpwstr>https://dementiastatistics.org/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Shahidul Islam (2425727)</dc:creator>
  <cp:keywords/>
  <dc:description/>
  <cp:lastModifiedBy>Shahidul Islam (2425727)</cp:lastModifiedBy>
  <cp:revision>2</cp:revision>
  <dcterms:created xsi:type="dcterms:W3CDTF">2026-04-29T21:16:00Z</dcterms:created>
  <dcterms:modified xsi:type="dcterms:W3CDTF">2026-04-29T21:16:00Z</dcterms:modified>
</cp:coreProperties>
</file>