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C0B54F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D0285">
              <w:rPr>
                <w:rFonts w:ascii="Times New Roman" w:hAnsi="Times New Roman" w:cs="Times New Roman"/>
                <w:b/>
                <w:color w:val="auto"/>
                <w:sz w:val="48"/>
              </w:rPr>
              <w:t xml:space="preserve">Keris Lo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F73098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D0285">
              <w:rPr>
                <w:rFonts w:ascii="Times New Roman" w:hAnsi="Times New Roman" w:cs="Times New Roman"/>
                <w:b/>
                <w:color w:val="auto"/>
                <w:sz w:val="48"/>
              </w:rPr>
              <w:t xml:space="preserve">Keris.lo@pembrokeshire.gov.uk </w:t>
            </w:r>
            <w:r w:rsidR="00FB6713">
              <w:rPr>
                <w:rFonts w:ascii="Times New Roman" w:hAnsi="Times New Roman" w:cs="Times New Roman"/>
                <w:b/>
                <w:color w:val="auto"/>
                <w:sz w:val="48"/>
              </w:rPr>
              <w:t xml:space="preserve">/ </w:t>
            </w:r>
            <w:hyperlink r:id="rId11" w:history="1">
              <w:r w:rsidR="00FB6713" w:rsidRPr="003D7DE6">
                <w:rPr>
                  <w:rStyle w:val="Hyperlink"/>
                  <w:rFonts w:ascii="Times New Roman" w:hAnsi="Times New Roman" w:cs="Times New Roman"/>
                  <w:b/>
                  <w:sz w:val="48"/>
                </w:rPr>
                <w:t>Kerislo378@gmail.com</w:t>
              </w:r>
            </w:hyperlink>
            <w:r w:rsidR="00FB6713">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4D0CB579" w:rsidR="0085230E" w:rsidRPr="005D3F07" w:rsidRDefault="00FB671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2521825</w:t>
            </w: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86B4919" w14:textId="77777777" w:rsidR="00791F40" w:rsidRPr="00791F40" w:rsidRDefault="00791F40" w:rsidP="00791F40">
            <w:pPr>
              <w:jc w:val="both"/>
              <w:rPr>
                <w:sz w:val="24"/>
                <w:szCs w:val="24"/>
              </w:rPr>
            </w:pPr>
            <w:r w:rsidRPr="00791F40">
              <w:rPr>
                <w:sz w:val="24"/>
                <w:szCs w:val="24"/>
              </w:rPr>
              <w:t>As my area of practice is children's social work, it was important to develop an understanding of adult safeguarding. Safeguarding adults aims to protect individuals who are experiencing, or are at risk of, abuse or neglect while promoting their rights, wellbeing and choice. In Wales, adult safeguarding is underpinned by legislation, national guidance, local multi-agency procedures and organisational policies that ensure adults at risk receive appropriate protection and support.</w:t>
            </w:r>
          </w:p>
          <w:p w14:paraId="16DFFF5A" w14:textId="77777777" w:rsidR="00791F40" w:rsidRPr="00791F40" w:rsidRDefault="00791F40" w:rsidP="00791F40">
            <w:pPr>
              <w:jc w:val="both"/>
              <w:rPr>
                <w:sz w:val="24"/>
                <w:szCs w:val="24"/>
              </w:rPr>
            </w:pPr>
          </w:p>
          <w:p w14:paraId="2A53ED2C" w14:textId="77777777" w:rsidR="00791F40" w:rsidRPr="00791F40" w:rsidRDefault="00791F40" w:rsidP="00791F40">
            <w:pPr>
              <w:jc w:val="both"/>
              <w:rPr>
                <w:sz w:val="24"/>
                <w:szCs w:val="24"/>
              </w:rPr>
            </w:pPr>
            <w:r w:rsidRPr="00791F40">
              <w:rPr>
                <w:sz w:val="24"/>
                <w:szCs w:val="24"/>
              </w:rPr>
              <w:t>The primary legislation governing adult safeguarding in Wales is the Social Services and Well-being (Wales) Act 2014 (Welsh Government, 2014). Part 7 of the Act establishes the statutory framework for safeguarding adults and places duties on local authorities and partner agencies to protect adults at risk of abuse or neglect. An adult at risk is defined as someone who has care and support needs, is experiencing or at risk of abuse or harm, and is unable to protect themselves because of those needs. Section 126 places a duty on local authorities to make enquiries where they suspect an adult is at risk or experiencing abuse and to determine what action is required to safeguard them (Welsh Government, 2014).</w:t>
            </w:r>
          </w:p>
          <w:p w14:paraId="70BE83C7" w14:textId="77777777" w:rsidR="00791F40" w:rsidRPr="00791F40" w:rsidRDefault="00791F40" w:rsidP="00791F40">
            <w:pPr>
              <w:jc w:val="both"/>
              <w:rPr>
                <w:sz w:val="24"/>
                <w:szCs w:val="24"/>
              </w:rPr>
            </w:pPr>
          </w:p>
          <w:p w14:paraId="57D25E7B" w14:textId="77777777" w:rsidR="00791F40" w:rsidRPr="00791F40" w:rsidRDefault="00791F40" w:rsidP="00791F40">
            <w:pPr>
              <w:jc w:val="both"/>
              <w:rPr>
                <w:sz w:val="24"/>
                <w:szCs w:val="24"/>
              </w:rPr>
            </w:pPr>
            <w:r w:rsidRPr="00791F40">
              <w:rPr>
                <w:sz w:val="24"/>
                <w:szCs w:val="24"/>
              </w:rPr>
              <w:t>Other legislation supporting adult safeguarding includes the Mental Capacity Act 2005 (UK Government, 2005), which provides a legal framework for assessing capacity and making decisions in an individual's best interests where they are unable to do so themselves. The Human Rights Act 1998 also underpins safeguarding practice by requiring social workers to balance protection with an individual's rights, including Article 8, the right to private and family life.</w:t>
            </w:r>
          </w:p>
          <w:p w14:paraId="3C7F71D2" w14:textId="77777777" w:rsidR="00791F40" w:rsidRPr="00791F40" w:rsidRDefault="00791F40" w:rsidP="00791F40">
            <w:pPr>
              <w:jc w:val="both"/>
              <w:rPr>
                <w:sz w:val="24"/>
                <w:szCs w:val="24"/>
              </w:rPr>
            </w:pPr>
          </w:p>
          <w:p w14:paraId="003E56AA" w14:textId="77777777" w:rsidR="00791F40" w:rsidRPr="00791F40" w:rsidRDefault="00791F40" w:rsidP="00791F40">
            <w:pPr>
              <w:jc w:val="both"/>
              <w:rPr>
                <w:sz w:val="24"/>
                <w:szCs w:val="24"/>
              </w:rPr>
            </w:pPr>
            <w:r w:rsidRPr="00791F40">
              <w:rPr>
                <w:sz w:val="24"/>
                <w:szCs w:val="24"/>
              </w:rPr>
              <w:t xml:space="preserve">The national framework also includes the Wales Safeguarding Procedures (Wales Safeguarding Procedures, 2024), which provide a consistent multi-agency approach to safeguarding adults and children. These procedures clarify the roles and responsibilities of social workers, police, health professionals and other agencies when responding to concerns of abuse or harm. They support practitioners in identifying risks, responding appropriately and </w:t>
            </w:r>
            <w:r w:rsidRPr="00791F40">
              <w:rPr>
                <w:sz w:val="24"/>
                <w:szCs w:val="24"/>
              </w:rPr>
              <w:lastRenderedPageBreak/>
              <w:t>promoting the safety and wellbeing of adults at risk in line with the principles of the Social Services and Well-being (Wales) Act 2014 (Welsh Government, 2014).</w:t>
            </w:r>
          </w:p>
          <w:p w14:paraId="728F7545" w14:textId="77777777" w:rsidR="00791F40" w:rsidRPr="00791F40" w:rsidRDefault="00791F40" w:rsidP="00791F40">
            <w:pPr>
              <w:jc w:val="both"/>
              <w:rPr>
                <w:sz w:val="24"/>
                <w:szCs w:val="24"/>
              </w:rPr>
            </w:pPr>
          </w:p>
          <w:p w14:paraId="0492DD25" w14:textId="092FC551" w:rsidR="00791F40" w:rsidRPr="00791F40" w:rsidRDefault="00791F40" w:rsidP="00791F40">
            <w:pPr>
              <w:jc w:val="both"/>
              <w:rPr>
                <w:sz w:val="24"/>
                <w:szCs w:val="24"/>
              </w:rPr>
            </w:pPr>
            <w:r w:rsidRPr="00791F40">
              <w:rPr>
                <w:sz w:val="24"/>
                <w:szCs w:val="24"/>
              </w:rPr>
              <w:t xml:space="preserve">At a local level, safeguarding arrangements are coordinated through regional safeguarding boards. </w:t>
            </w:r>
            <w:r>
              <w:rPr>
                <w:sz w:val="24"/>
                <w:szCs w:val="24"/>
              </w:rPr>
              <w:t>S</w:t>
            </w:r>
            <w:r w:rsidRPr="00791F40">
              <w:rPr>
                <w:sz w:val="24"/>
                <w:szCs w:val="24"/>
              </w:rPr>
              <w:t>afeguarding responsibilities fall within the Mid and West Wales Safeguarding Board, which brings together local authorities, health services, police and other agencies to coordinate safeguarding activity across the region.</w:t>
            </w:r>
          </w:p>
          <w:p w14:paraId="113A86B9" w14:textId="77777777" w:rsidR="00791F40" w:rsidRPr="00791F40" w:rsidRDefault="00791F40" w:rsidP="00791F40">
            <w:pPr>
              <w:jc w:val="both"/>
              <w:rPr>
                <w:sz w:val="24"/>
                <w:szCs w:val="24"/>
              </w:rPr>
            </w:pPr>
          </w:p>
          <w:p w14:paraId="0D4F161E" w14:textId="77777777" w:rsidR="00791F40" w:rsidRPr="00791F40" w:rsidRDefault="00791F40" w:rsidP="00791F40">
            <w:pPr>
              <w:jc w:val="both"/>
              <w:rPr>
                <w:sz w:val="24"/>
                <w:szCs w:val="24"/>
              </w:rPr>
            </w:pPr>
            <w:r w:rsidRPr="00791F40">
              <w:rPr>
                <w:sz w:val="24"/>
                <w:szCs w:val="24"/>
              </w:rPr>
              <w:t>In addition to statutory requirements, safeguarding practice is strengthened through regional partnerships and workforce development initiatives such as CWMPAS. CWMPAS supports collaboration across agencies, assists with the implementation of safeguarding policies and promotes professional development through training, learning opportunities and the sharing of best practice. These partnerships strengthen multi-agency working and help ensure safeguarding responses are effective and consistent.</w:t>
            </w:r>
          </w:p>
          <w:p w14:paraId="2E102523" w14:textId="77777777" w:rsidR="00791F40" w:rsidRPr="00791F40" w:rsidRDefault="00791F40" w:rsidP="00791F40">
            <w:pPr>
              <w:jc w:val="both"/>
              <w:rPr>
                <w:sz w:val="24"/>
                <w:szCs w:val="24"/>
              </w:rPr>
            </w:pPr>
          </w:p>
          <w:p w14:paraId="3C6D77F2" w14:textId="77777777" w:rsidR="00791F40" w:rsidRPr="00791F40" w:rsidRDefault="00791F40" w:rsidP="00791F40">
            <w:pPr>
              <w:jc w:val="both"/>
              <w:rPr>
                <w:sz w:val="24"/>
                <w:szCs w:val="24"/>
              </w:rPr>
            </w:pPr>
            <w:r w:rsidRPr="00791F40">
              <w:rPr>
                <w:sz w:val="24"/>
                <w:szCs w:val="24"/>
              </w:rPr>
              <w:t>Local safeguarding procedures reflect the Wales Safeguarding Procedures while providing area-specific guidance on referral pathways, information sharing, risk management and multi-agency working. Within social work, safeguarding practice is further supported through organisational policies and the Social Care Wales Code of Professional Practice (Social Care Wales, 2024), which emphasises protecting individuals from harm, respecting rights and dignity, working collaboratively and maintaining professional accountability.</w:t>
            </w:r>
          </w:p>
          <w:p w14:paraId="4E9F5CA6" w14:textId="77777777" w:rsidR="00791F40" w:rsidRPr="00791F40" w:rsidRDefault="00791F40" w:rsidP="00791F40">
            <w:pPr>
              <w:jc w:val="both"/>
              <w:rPr>
                <w:sz w:val="24"/>
                <w:szCs w:val="24"/>
              </w:rPr>
            </w:pPr>
          </w:p>
          <w:p w14:paraId="6D8CB8AF" w14:textId="52B22F0F" w:rsidR="00FC0334" w:rsidRDefault="00791F40" w:rsidP="00791F40">
            <w:pPr>
              <w:jc w:val="both"/>
              <w:rPr>
                <w:sz w:val="24"/>
                <w:szCs w:val="24"/>
              </w:rPr>
            </w:pPr>
            <w:r w:rsidRPr="00791F40">
              <w:rPr>
                <w:sz w:val="24"/>
                <w:szCs w:val="24"/>
              </w:rPr>
              <w:t>In conclusion, adult safeguarding in Wales is supported by a comprehensive framework of legislation, guidance, local procedures and professional standards. Together, these frameworks promote a person-centred, multi-agency approach to safeguarding adults and ensuring their wellbeing.</w:t>
            </w: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07992378" w:rsidR="00FC0334" w:rsidRDefault="00791F40" w:rsidP="00FF7EBB">
            <w:pPr>
              <w:jc w:val="both"/>
              <w:rPr>
                <w:sz w:val="24"/>
                <w:szCs w:val="24"/>
              </w:rPr>
            </w:pPr>
            <w:r>
              <w:rPr>
                <w:sz w:val="24"/>
                <w:szCs w:val="24"/>
              </w:rPr>
              <w:t>Word count 535</w:t>
            </w: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2A76E6BE" w14:textId="77777777" w:rsidR="00CB6423" w:rsidRPr="00CB6423" w:rsidRDefault="00CB6423" w:rsidP="00CB6423">
            <w:pPr>
              <w:jc w:val="both"/>
              <w:rPr>
                <w:sz w:val="24"/>
                <w:szCs w:val="24"/>
              </w:rPr>
            </w:pPr>
            <w:r w:rsidRPr="00CB6423">
              <w:rPr>
                <w:sz w:val="24"/>
                <w:szCs w:val="24"/>
              </w:rPr>
              <w:t xml:space="preserve">Safeguarding is a core responsibility within social work practice and aims to protect individuals from abuse, neglect, and harm. However, reflecting on safeguarding practice in Wales, there are important differences between work with adults and work with children. Whilst both are governed by the Social Services and Well-being (Wales) Act 2014, the focus, legal </w:t>
            </w:r>
            <w:r w:rsidRPr="00CB6423">
              <w:rPr>
                <w:sz w:val="24"/>
                <w:szCs w:val="24"/>
              </w:rPr>
              <w:lastRenderedPageBreak/>
              <w:t>responsibilities, and decision-making processes differ significantly (Welsh Government, 2014).</w:t>
            </w:r>
          </w:p>
          <w:p w14:paraId="2E7EC9C9" w14:textId="77777777" w:rsidR="00CB6423" w:rsidRPr="00CB6423" w:rsidRDefault="00CB6423" w:rsidP="00CB6423">
            <w:pPr>
              <w:jc w:val="both"/>
              <w:rPr>
                <w:sz w:val="24"/>
                <w:szCs w:val="24"/>
              </w:rPr>
            </w:pPr>
          </w:p>
          <w:p w14:paraId="510FF7CA" w14:textId="57294700" w:rsidR="00CB6423" w:rsidRPr="00CB6423" w:rsidRDefault="00CB6423" w:rsidP="00CB6423">
            <w:pPr>
              <w:jc w:val="both"/>
              <w:rPr>
                <w:sz w:val="24"/>
                <w:szCs w:val="24"/>
              </w:rPr>
            </w:pPr>
            <w:r w:rsidRPr="00CB6423">
              <w:rPr>
                <w:sz w:val="24"/>
                <w:szCs w:val="24"/>
              </w:rPr>
              <w:t>A key difference is the emphasis placed on autonomy and choice. Adult safeguarding is underpinned by principles of wellbeing, empowerment, and promoting an individual's right to make decisions about their own life. Adults are generally presumed to have capacity to make decisions unless</w:t>
            </w:r>
            <w:r w:rsidR="003664DD">
              <w:rPr>
                <w:sz w:val="24"/>
                <w:szCs w:val="24"/>
              </w:rPr>
              <w:t xml:space="preserve"> proven</w:t>
            </w:r>
            <w:r w:rsidRPr="00CB6423">
              <w:rPr>
                <w:sz w:val="24"/>
                <w:szCs w:val="24"/>
              </w:rPr>
              <w:t xml:space="preserve"> otherwise, and </w:t>
            </w:r>
            <w:r w:rsidR="003664DD">
              <w:rPr>
                <w:sz w:val="24"/>
                <w:szCs w:val="24"/>
              </w:rPr>
              <w:t>social workers</w:t>
            </w:r>
            <w:r w:rsidRPr="00CB6423">
              <w:rPr>
                <w:sz w:val="24"/>
                <w:szCs w:val="24"/>
              </w:rPr>
              <w:t xml:space="preserve"> must respect an individual's choices, even where those choices may involve some level of risk (Social Services and Well-being (Wales) Act 2014). Reflecting on this, I have learned that adult safeguarding often involves balancing a person's right to self</w:t>
            </w:r>
            <w:r w:rsidR="0086768B">
              <w:rPr>
                <w:sz w:val="24"/>
                <w:szCs w:val="24"/>
              </w:rPr>
              <w:t xml:space="preserve"> </w:t>
            </w:r>
            <w:r w:rsidRPr="00CB6423">
              <w:rPr>
                <w:sz w:val="24"/>
                <w:szCs w:val="24"/>
              </w:rPr>
              <w:t>determination with the need to reduce risk and prevent harm.</w:t>
            </w:r>
          </w:p>
          <w:p w14:paraId="6CA1DD11" w14:textId="77777777" w:rsidR="00CB6423" w:rsidRPr="00CB6423" w:rsidRDefault="00CB6423" w:rsidP="00CB6423">
            <w:pPr>
              <w:jc w:val="both"/>
              <w:rPr>
                <w:sz w:val="24"/>
                <w:szCs w:val="24"/>
              </w:rPr>
            </w:pPr>
          </w:p>
          <w:p w14:paraId="18AAC978" w14:textId="3EDAC306" w:rsidR="00CB6423" w:rsidRPr="00CB6423" w:rsidRDefault="0086768B" w:rsidP="00CB6423">
            <w:pPr>
              <w:jc w:val="both"/>
              <w:rPr>
                <w:sz w:val="24"/>
                <w:szCs w:val="24"/>
              </w:rPr>
            </w:pPr>
            <w:r>
              <w:rPr>
                <w:sz w:val="24"/>
                <w:szCs w:val="24"/>
              </w:rPr>
              <w:t>S</w:t>
            </w:r>
            <w:r w:rsidR="00CB6423" w:rsidRPr="00CB6423">
              <w:rPr>
                <w:sz w:val="24"/>
                <w:szCs w:val="24"/>
              </w:rPr>
              <w:t xml:space="preserve">afeguarding children places greater emphasis on protection. Children are considered more vulnerable because they may lack the maturity, experience, and understanding needed to recognise or respond to harm. </w:t>
            </w:r>
            <w:r w:rsidR="00617543">
              <w:rPr>
                <w:sz w:val="24"/>
                <w:szCs w:val="24"/>
              </w:rPr>
              <w:t>S</w:t>
            </w:r>
            <w:r w:rsidR="00CB6423" w:rsidRPr="00CB6423">
              <w:rPr>
                <w:sz w:val="24"/>
                <w:szCs w:val="24"/>
              </w:rPr>
              <w:t>ocial workers have a greater duty to intervene when there are concerns about a child's safety or welfare. The child's wellbeing remains central to decision-making, and professionals may need to take protective action even when a child or parent does not agree with this (Welsh Government, 2022).</w:t>
            </w:r>
          </w:p>
          <w:p w14:paraId="6AFFB078" w14:textId="77777777" w:rsidR="00CB6423" w:rsidRPr="00CB6423" w:rsidRDefault="00CB6423" w:rsidP="00CB6423">
            <w:pPr>
              <w:jc w:val="both"/>
              <w:rPr>
                <w:sz w:val="24"/>
                <w:szCs w:val="24"/>
              </w:rPr>
            </w:pPr>
          </w:p>
          <w:p w14:paraId="6E21EE6B" w14:textId="7B625E86" w:rsidR="00CB6423" w:rsidRPr="00CB6423" w:rsidRDefault="00CB6423" w:rsidP="00CB6423">
            <w:pPr>
              <w:jc w:val="both"/>
              <w:rPr>
                <w:sz w:val="24"/>
                <w:szCs w:val="24"/>
              </w:rPr>
            </w:pPr>
            <w:r w:rsidRPr="00CB6423">
              <w:rPr>
                <w:sz w:val="24"/>
                <w:szCs w:val="24"/>
              </w:rPr>
              <w:t xml:space="preserve">Another difference relates to consent. In adult safeguarding, </w:t>
            </w:r>
            <w:r w:rsidR="00617543">
              <w:rPr>
                <w:sz w:val="24"/>
                <w:szCs w:val="24"/>
              </w:rPr>
              <w:t>Social workers</w:t>
            </w:r>
            <w:r w:rsidRPr="00CB6423">
              <w:rPr>
                <w:sz w:val="24"/>
                <w:szCs w:val="24"/>
              </w:rPr>
              <w:t xml:space="preserve"> should seek the adult's views and wishes and, where</w:t>
            </w:r>
            <w:r w:rsidR="008F2F3D">
              <w:rPr>
                <w:sz w:val="24"/>
                <w:szCs w:val="24"/>
              </w:rPr>
              <w:t xml:space="preserve"> </w:t>
            </w:r>
            <w:r w:rsidRPr="00CB6423">
              <w:rPr>
                <w:sz w:val="24"/>
                <w:szCs w:val="24"/>
              </w:rPr>
              <w:t>possible, work in partnership with them to achieve outcomes that</w:t>
            </w:r>
            <w:r w:rsidR="008F2F3D">
              <w:rPr>
                <w:sz w:val="24"/>
                <w:szCs w:val="24"/>
              </w:rPr>
              <w:t xml:space="preserve"> are most important</w:t>
            </w:r>
            <w:r w:rsidRPr="00CB6423">
              <w:rPr>
                <w:sz w:val="24"/>
                <w:szCs w:val="24"/>
              </w:rPr>
              <w:t xml:space="preserve"> to them. In children’s safeguarding, whilst the child's voice remains important, decisions are guided by what is in the child's best interests. This reflects a more protective approach that prioritises safety and welfare over autonomy (Children's Commissioner for Wales, 2023).</w:t>
            </w:r>
          </w:p>
          <w:p w14:paraId="26C45E68" w14:textId="77777777" w:rsidR="00CB6423" w:rsidRPr="00CB6423" w:rsidRDefault="00CB6423" w:rsidP="00CB6423">
            <w:pPr>
              <w:jc w:val="both"/>
              <w:rPr>
                <w:sz w:val="24"/>
                <w:szCs w:val="24"/>
              </w:rPr>
            </w:pPr>
          </w:p>
          <w:p w14:paraId="56668609" w14:textId="4EC243AA" w:rsidR="00CB6423" w:rsidRPr="00CB6423" w:rsidRDefault="00CB6423" w:rsidP="00CB6423">
            <w:pPr>
              <w:jc w:val="both"/>
              <w:rPr>
                <w:sz w:val="24"/>
                <w:szCs w:val="24"/>
              </w:rPr>
            </w:pPr>
            <w:r w:rsidRPr="00CB6423">
              <w:rPr>
                <w:sz w:val="24"/>
                <w:szCs w:val="24"/>
              </w:rPr>
              <w:t>Multi</w:t>
            </w:r>
            <w:r w:rsidR="005D206F">
              <w:rPr>
                <w:sz w:val="24"/>
                <w:szCs w:val="24"/>
              </w:rPr>
              <w:t xml:space="preserve"> </w:t>
            </w:r>
            <w:r w:rsidRPr="00CB6423">
              <w:rPr>
                <w:sz w:val="24"/>
                <w:szCs w:val="24"/>
              </w:rPr>
              <w:t>agency working is essential in both adult and children's safeguarding; however, the focus of intervention often differs. Adult safeguarding may involve supporting individuals to manage risk while maintaining independence. Children's safeguarding frequently requires a coordinated response aimed at ensuring that the child's developmental needs, safety, and welfare are protected (Welsh Government, 2022).</w:t>
            </w:r>
          </w:p>
          <w:p w14:paraId="3630E156" w14:textId="77777777" w:rsidR="00CB6423" w:rsidRPr="00CB6423" w:rsidRDefault="00CB6423" w:rsidP="00CB6423">
            <w:pPr>
              <w:jc w:val="both"/>
              <w:rPr>
                <w:sz w:val="24"/>
                <w:szCs w:val="24"/>
              </w:rPr>
            </w:pPr>
          </w:p>
          <w:p w14:paraId="795C6051" w14:textId="6ACBE270" w:rsidR="00FC0334" w:rsidRDefault="00CB6423" w:rsidP="00CB6423">
            <w:pPr>
              <w:jc w:val="both"/>
              <w:rPr>
                <w:sz w:val="24"/>
                <w:szCs w:val="24"/>
              </w:rPr>
            </w:pPr>
            <w:r w:rsidRPr="00CB6423">
              <w:rPr>
                <w:sz w:val="24"/>
                <w:szCs w:val="24"/>
              </w:rPr>
              <w:t xml:space="preserve">Reflecting on these differences has increased my understanding that effective safeguarding requires </w:t>
            </w:r>
            <w:r w:rsidR="00437F8E">
              <w:rPr>
                <w:sz w:val="24"/>
                <w:szCs w:val="24"/>
              </w:rPr>
              <w:t>social workers</w:t>
            </w:r>
            <w:r w:rsidRPr="00CB6423">
              <w:rPr>
                <w:sz w:val="24"/>
                <w:szCs w:val="24"/>
              </w:rPr>
              <w:t xml:space="preserve"> to adapt their approach according to the individual's age, rights, and circumstances. Whilst both adult and children's safeguarding seek to prevent harm and promote wellbeing, adult practice places greater emphasis on autonomy and empowerment, whereas children's safeguarding prioritises protection and welfare. Understanding these distinctions is essential for ethical and effective social work practice in Wales.</w:t>
            </w: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46C1C62B" w:rsidR="00FC0334" w:rsidRDefault="00791F40" w:rsidP="00FC0334">
            <w:pPr>
              <w:jc w:val="both"/>
              <w:rPr>
                <w:sz w:val="24"/>
                <w:szCs w:val="24"/>
              </w:rPr>
            </w:pPr>
            <w:r>
              <w:rPr>
                <w:sz w:val="24"/>
                <w:szCs w:val="24"/>
              </w:rPr>
              <w:t>Word count 435</w:t>
            </w: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4D9025" w14:textId="77777777" w:rsidR="009633CE" w:rsidRDefault="009633CE">
      <w:r>
        <w:separator/>
      </w:r>
    </w:p>
  </w:endnote>
  <w:endnote w:type="continuationSeparator" w:id="0">
    <w:p w14:paraId="6C29344E" w14:textId="77777777" w:rsidR="009633CE" w:rsidRDefault="009633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450421" w14:textId="77777777" w:rsidR="009633CE" w:rsidRDefault="009633CE">
      <w:r>
        <w:separator/>
      </w:r>
    </w:p>
  </w:footnote>
  <w:footnote w:type="continuationSeparator" w:id="0">
    <w:p w14:paraId="44AABF10" w14:textId="77777777" w:rsidR="009633CE" w:rsidRDefault="009633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6810"/>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50C1"/>
    <w:rsid w:val="00147DE3"/>
    <w:rsid w:val="00150794"/>
    <w:rsid w:val="001508A0"/>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066D9"/>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66D2"/>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4532"/>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664DD"/>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155"/>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643C"/>
    <w:rsid w:val="00430DE3"/>
    <w:rsid w:val="004348AE"/>
    <w:rsid w:val="004376C0"/>
    <w:rsid w:val="00437F8E"/>
    <w:rsid w:val="0044223A"/>
    <w:rsid w:val="00442538"/>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3AA"/>
    <w:rsid w:val="0050481B"/>
    <w:rsid w:val="0050668A"/>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206F"/>
    <w:rsid w:val="005D3F07"/>
    <w:rsid w:val="005D4A1E"/>
    <w:rsid w:val="005D4F72"/>
    <w:rsid w:val="005E13EA"/>
    <w:rsid w:val="005E17F1"/>
    <w:rsid w:val="005E3DA8"/>
    <w:rsid w:val="005F64AA"/>
    <w:rsid w:val="005F7851"/>
    <w:rsid w:val="00606E27"/>
    <w:rsid w:val="006108C9"/>
    <w:rsid w:val="00614DF7"/>
    <w:rsid w:val="00617543"/>
    <w:rsid w:val="006179BB"/>
    <w:rsid w:val="0062158D"/>
    <w:rsid w:val="006223FD"/>
    <w:rsid w:val="00632263"/>
    <w:rsid w:val="006326D1"/>
    <w:rsid w:val="00632E0A"/>
    <w:rsid w:val="00633165"/>
    <w:rsid w:val="006447DE"/>
    <w:rsid w:val="00644889"/>
    <w:rsid w:val="0065276E"/>
    <w:rsid w:val="00654329"/>
    <w:rsid w:val="00654CEC"/>
    <w:rsid w:val="00655507"/>
    <w:rsid w:val="006579FD"/>
    <w:rsid w:val="006635E3"/>
    <w:rsid w:val="006669F3"/>
    <w:rsid w:val="006712A7"/>
    <w:rsid w:val="00671A03"/>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0619"/>
    <w:rsid w:val="006E481E"/>
    <w:rsid w:val="006E795F"/>
    <w:rsid w:val="006F0862"/>
    <w:rsid w:val="006F1438"/>
    <w:rsid w:val="006F2A9E"/>
    <w:rsid w:val="006F5ED3"/>
    <w:rsid w:val="00700249"/>
    <w:rsid w:val="007051F0"/>
    <w:rsid w:val="00706518"/>
    <w:rsid w:val="007069CD"/>
    <w:rsid w:val="00706BB5"/>
    <w:rsid w:val="0071231A"/>
    <w:rsid w:val="00712E90"/>
    <w:rsid w:val="00713B7E"/>
    <w:rsid w:val="00723C03"/>
    <w:rsid w:val="0072678F"/>
    <w:rsid w:val="007276E5"/>
    <w:rsid w:val="00727C4C"/>
    <w:rsid w:val="00734809"/>
    <w:rsid w:val="0073714E"/>
    <w:rsid w:val="007374EF"/>
    <w:rsid w:val="007406E1"/>
    <w:rsid w:val="00743E40"/>
    <w:rsid w:val="00745016"/>
    <w:rsid w:val="0075031F"/>
    <w:rsid w:val="00750A95"/>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1F40"/>
    <w:rsid w:val="00793EB3"/>
    <w:rsid w:val="00794205"/>
    <w:rsid w:val="0079422A"/>
    <w:rsid w:val="00795EE1"/>
    <w:rsid w:val="007A1F6A"/>
    <w:rsid w:val="007A628F"/>
    <w:rsid w:val="007A6FA7"/>
    <w:rsid w:val="007B0DE3"/>
    <w:rsid w:val="007B1BFD"/>
    <w:rsid w:val="007B7191"/>
    <w:rsid w:val="007C1D94"/>
    <w:rsid w:val="007C556F"/>
    <w:rsid w:val="007C5ABE"/>
    <w:rsid w:val="007C6A87"/>
    <w:rsid w:val="007D0A07"/>
    <w:rsid w:val="007D0F11"/>
    <w:rsid w:val="007D133D"/>
    <w:rsid w:val="007D3EB4"/>
    <w:rsid w:val="007D3F16"/>
    <w:rsid w:val="007D6D54"/>
    <w:rsid w:val="007F10BD"/>
    <w:rsid w:val="007F312E"/>
    <w:rsid w:val="007F3F7E"/>
    <w:rsid w:val="007F4BA4"/>
    <w:rsid w:val="00813CEC"/>
    <w:rsid w:val="00814EF2"/>
    <w:rsid w:val="0081534C"/>
    <w:rsid w:val="008169FF"/>
    <w:rsid w:val="00816CE7"/>
    <w:rsid w:val="008171E4"/>
    <w:rsid w:val="008208EA"/>
    <w:rsid w:val="008228D9"/>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68B"/>
    <w:rsid w:val="00867A63"/>
    <w:rsid w:val="008708F1"/>
    <w:rsid w:val="00871960"/>
    <w:rsid w:val="0087369F"/>
    <w:rsid w:val="00880539"/>
    <w:rsid w:val="008859E8"/>
    <w:rsid w:val="0088737B"/>
    <w:rsid w:val="00891078"/>
    <w:rsid w:val="00892716"/>
    <w:rsid w:val="00893067"/>
    <w:rsid w:val="008933DE"/>
    <w:rsid w:val="008957CC"/>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2F3D"/>
    <w:rsid w:val="008F32D9"/>
    <w:rsid w:val="00902A65"/>
    <w:rsid w:val="00903932"/>
    <w:rsid w:val="009079BD"/>
    <w:rsid w:val="00912BD9"/>
    <w:rsid w:val="00916FB2"/>
    <w:rsid w:val="00920E5B"/>
    <w:rsid w:val="009234FF"/>
    <w:rsid w:val="00926273"/>
    <w:rsid w:val="00926436"/>
    <w:rsid w:val="00926C53"/>
    <w:rsid w:val="0093018C"/>
    <w:rsid w:val="00941E0B"/>
    <w:rsid w:val="0094495F"/>
    <w:rsid w:val="009544C0"/>
    <w:rsid w:val="00954FA4"/>
    <w:rsid w:val="00956AE9"/>
    <w:rsid w:val="009633CE"/>
    <w:rsid w:val="00964CC6"/>
    <w:rsid w:val="00967BFA"/>
    <w:rsid w:val="0098262C"/>
    <w:rsid w:val="0098427C"/>
    <w:rsid w:val="00986B43"/>
    <w:rsid w:val="00986C0B"/>
    <w:rsid w:val="00986D46"/>
    <w:rsid w:val="00991FDA"/>
    <w:rsid w:val="00992ACA"/>
    <w:rsid w:val="009A2794"/>
    <w:rsid w:val="009A5F3B"/>
    <w:rsid w:val="009A5F79"/>
    <w:rsid w:val="009A6F87"/>
    <w:rsid w:val="009B0B61"/>
    <w:rsid w:val="009B28C0"/>
    <w:rsid w:val="009B3178"/>
    <w:rsid w:val="009B3E46"/>
    <w:rsid w:val="009B7136"/>
    <w:rsid w:val="009C337F"/>
    <w:rsid w:val="009C53E7"/>
    <w:rsid w:val="009C6092"/>
    <w:rsid w:val="009C6705"/>
    <w:rsid w:val="009C7342"/>
    <w:rsid w:val="009D261C"/>
    <w:rsid w:val="009D2A19"/>
    <w:rsid w:val="009D4365"/>
    <w:rsid w:val="009D477B"/>
    <w:rsid w:val="009D4E3B"/>
    <w:rsid w:val="009D59C2"/>
    <w:rsid w:val="009D7BC9"/>
    <w:rsid w:val="009E122F"/>
    <w:rsid w:val="009E1982"/>
    <w:rsid w:val="009E4D2C"/>
    <w:rsid w:val="009F0978"/>
    <w:rsid w:val="009F3AEC"/>
    <w:rsid w:val="009F6801"/>
    <w:rsid w:val="00A00081"/>
    <w:rsid w:val="00A03E0F"/>
    <w:rsid w:val="00A06422"/>
    <w:rsid w:val="00A10D56"/>
    <w:rsid w:val="00A12AAE"/>
    <w:rsid w:val="00A12F22"/>
    <w:rsid w:val="00A152EE"/>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77A58"/>
    <w:rsid w:val="00A8015F"/>
    <w:rsid w:val="00A85039"/>
    <w:rsid w:val="00A906AA"/>
    <w:rsid w:val="00A94C5E"/>
    <w:rsid w:val="00AA252C"/>
    <w:rsid w:val="00AA666E"/>
    <w:rsid w:val="00AA7960"/>
    <w:rsid w:val="00AB5518"/>
    <w:rsid w:val="00AC3A0E"/>
    <w:rsid w:val="00AC4A04"/>
    <w:rsid w:val="00AC5679"/>
    <w:rsid w:val="00AC6E1F"/>
    <w:rsid w:val="00AD336F"/>
    <w:rsid w:val="00AE134C"/>
    <w:rsid w:val="00AE1868"/>
    <w:rsid w:val="00AE2564"/>
    <w:rsid w:val="00AE301F"/>
    <w:rsid w:val="00AE3302"/>
    <w:rsid w:val="00AE5BA6"/>
    <w:rsid w:val="00AE6231"/>
    <w:rsid w:val="00AE7077"/>
    <w:rsid w:val="00AF61C2"/>
    <w:rsid w:val="00AF659F"/>
    <w:rsid w:val="00AF6CC6"/>
    <w:rsid w:val="00B0296A"/>
    <w:rsid w:val="00B07E79"/>
    <w:rsid w:val="00B12295"/>
    <w:rsid w:val="00B137BE"/>
    <w:rsid w:val="00B15998"/>
    <w:rsid w:val="00B17FA0"/>
    <w:rsid w:val="00B2292C"/>
    <w:rsid w:val="00B22C3C"/>
    <w:rsid w:val="00B24344"/>
    <w:rsid w:val="00B26769"/>
    <w:rsid w:val="00B26B42"/>
    <w:rsid w:val="00B2754B"/>
    <w:rsid w:val="00B30147"/>
    <w:rsid w:val="00B31C91"/>
    <w:rsid w:val="00B3747F"/>
    <w:rsid w:val="00B42E76"/>
    <w:rsid w:val="00B43194"/>
    <w:rsid w:val="00B436BF"/>
    <w:rsid w:val="00B47734"/>
    <w:rsid w:val="00B50FBA"/>
    <w:rsid w:val="00B558EB"/>
    <w:rsid w:val="00B577D3"/>
    <w:rsid w:val="00B60466"/>
    <w:rsid w:val="00B6548F"/>
    <w:rsid w:val="00B6698C"/>
    <w:rsid w:val="00B71A32"/>
    <w:rsid w:val="00B7502A"/>
    <w:rsid w:val="00B77305"/>
    <w:rsid w:val="00B774BD"/>
    <w:rsid w:val="00B77D9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0FF7"/>
    <w:rsid w:val="00BC1C22"/>
    <w:rsid w:val="00BC460B"/>
    <w:rsid w:val="00BC4ED3"/>
    <w:rsid w:val="00BC5725"/>
    <w:rsid w:val="00BD0285"/>
    <w:rsid w:val="00BD30B1"/>
    <w:rsid w:val="00BE0F7B"/>
    <w:rsid w:val="00BE10C2"/>
    <w:rsid w:val="00BF0D6C"/>
    <w:rsid w:val="00C01D14"/>
    <w:rsid w:val="00C01D97"/>
    <w:rsid w:val="00C025B4"/>
    <w:rsid w:val="00C029EC"/>
    <w:rsid w:val="00C1541B"/>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4989"/>
    <w:rsid w:val="00C65921"/>
    <w:rsid w:val="00C7108B"/>
    <w:rsid w:val="00C75883"/>
    <w:rsid w:val="00C77FA5"/>
    <w:rsid w:val="00C8089F"/>
    <w:rsid w:val="00C835FE"/>
    <w:rsid w:val="00C836CC"/>
    <w:rsid w:val="00C852D6"/>
    <w:rsid w:val="00C87A74"/>
    <w:rsid w:val="00C92C71"/>
    <w:rsid w:val="00C93F8F"/>
    <w:rsid w:val="00C9444B"/>
    <w:rsid w:val="00CA0894"/>
    <w:rsid w:val="00CA3593"/>
    <w:rsid w:val="00CA5726"/>
    <w:rsid w:val="00CA7E6A"/>
    <w:rsid w:val="00CB258E"/>
    <w:rsid w:val="00CB3C8F"/>
    <w:rsid w:val="00CB6423"/>
    <w:rsid w:val="00CC02F1"/>
    <w:rsid w:val="00CC1122"/>
    <w:rsid w:val="00CC11A6"/>
    <w:rsid w:val="00CC135E"/>
    <w:rsid w:val="00CC4B6A"/>
    <w:rsid w:val="00CC7226"/>
    <w:rsid w:val="00CD0735"/>
    <w:rsid w:val="00CD45E3"/>
    <w:rsid w:val="00CD4771"/>
    <w:rsid w:val="00CD5089"/>
    <w:rsid w:val="00CD5D3F"/>
    <w:rsid w:val="00CD7DE4"/>
    <w:rsid w:val="00CD7E1F"/>
    <w:rsid w:val="00CE4BC4"/>
    <w:rsid w:val="00CE7DA2"/>
    <w:rsid w:val="00CF2F8A"/>
    <w:rsid w:val="00CF3DB3"/>
    <w:rsid w:val="00D0274B"/>
    <w:rsid w:val="00D0503D"/>
    <w:rsid w:val="00D052BC"/>
    <w:rsid w:val="00D07026"/>
    <w:rsid w:val="00D146AE"/>
    <w:rsid w:val="00D22C8F"/>
    <w:rsid w:val="00D25A2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5A5E"/>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23D6"/>
    <w:rsid w:val="00E73C41"/>
    <w:rsid w:val="00E75911"/>
    <w:rsid w:val="00E7598F"/>
    <w:rsid w:val="00E76F60"/>
    <w:rsid w:val="00E812B5"/>
    <w:rsid w:val="00E826B0"/>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3BC8"/>
    <w:rsid w:val="00EB62E6"/>
    <w:rsid w:val="00EB695F"/>
    <w:rsid w:val="00EC3A85"/>
    <w:rsid w:val="00EC4B89"/>
    <w:rsid w:val="00EC59A5"/>
    <w:rsid w:val="00EC6E15"/>
    <w:rsid w:val="00ED1B30"/>
    <w:rsid w:val="00ED5D03"/>
    <w:rsid w:val="00ED7F4D"/>
    <w:rsid w:val="00EE01ED"/>
    <w:rsid w:val="00EE1AC1"/>
    <w:rsid w:val="00EE39D6"/>
    <w:rsid w:val="00EE52AD"/>
    <w:rsid w:val="00EE5A79"/>
    <w:rsid w:val="00EE5BC3"/>
    <w:rsid w:val="00EE6FAB"/>
    <w:rsid w:val="00EF328C"/>
    <w:rsid w:val="00EF68BB"/>
    <w:rsid w:val="00F01F92"/>
    <w:rsid w:val="00F030D4"/>
    <w:rsid w:val="00F04053"/>
    <w:rsid w:val="00F06573"/>
    <w:rsid w:val="00F10A08"/>
    <w:rsid w:val="00F15354"/>
    <w:rsid w:val="00F22AC5"/>
    <w:rsid w:val="00F254D1"/>
    <w:rsid w:val="00F265A7"/>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B6713"/>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FB67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Kerislo378@gmail.com"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5</Pages>
  <Words>1249</Words>
  <Characters>7120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 Keris</cp:lastModifiedBy>
  <cp:revision>4</cp:revision>
  <cp:lastPrinted>2020-02-11T19:20:00Z</cp:lastPrinted>
  <dcterms:created xsi:type="dcterms:W3CDTF">2026-10-06T18:11:00Z</dcterms:created>
  <dcterms:modified xsi:type="dcterms:W3CDTF">2026-10-06T18:52:00Z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