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96271457"/>
        <w:docPartObj>
          <w:docPartGallery w:val="Cover Pages"/>
          <w:docPartUnique/>
        </w:docPartObj>
      </w:sdtPr>
      <w:sdtEndPr>
        <w:rPr>
          <w:rFonts w:ascii="Arial" w:eastAsiaTheme="minorHAnsi" w:hAnsi="Arial" w:cs="Arial"/>
          <w:b/>
          <w:bCs/>
          <w:color w:val="auto"/>
          <w:kern w:val="2"/>
          <w:sz w:val="24"/>
          <w:szCs w:val="24"/>
          <w:lang w:val="en-GB"/>
          <w14:ligatures w14:val="standardContextual"/>
        </w:rPr>
      </w:sdtEndPr>
      <w:sdtContent>
        <w:p w14:paraId="1E42F9D3" w14:textId="71E7DCC9" w:rsidR="0084196B" w:rsidRDefault="0084196B">
          <w:pPr>
            <w:pStyle w:val="NoSpacing"/>
            <w:spacing w:before="1540" w:after="240"/>
            <w:jc w:val="center"/>
            <w:rPr>
              <w:color w:val="156082" w:themeColor="accent1"/>
            </w:rPr>
          </w:pPr>
          <w:r>
            <w:rPr>
              <w:noProof/>
              <w:color w:val="156082" w:themeColor="accent1"/>
            </w:rPr>
            <w:drawing>
              <wp:inline distT="0" distB="0" distL="0" distR="0" wp14:anchorId="76F3CA98" wp14:editId="7897C830">
                <wp:extent cx="1810385" cy="725170"/>
                <wp:effectExtent l="0" t="0" r="0" b="0"/>
                <wp:docPr id="6348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1AC27EA" w14:textId="7AA00D5C" w:rsidR="0084196B" w:rsidRPr="0084196B" w:rsidRDefault="0084196B" w:rsidP="0084196B">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96"/>
              <w:szCs w:val="96"/>
            </w:rPr>
          </w:pPr>
          <w:sdt>
            <w:sdtPr>
              <w:rPr>
                <w:rFonts w:ascii="Arial Black" w:eastAsiaTheme="majorEastAsia" w:hAnsi="Arial Black" w:cstheme="majorBidi"/>
                <w:caps/>
                <w:color w:val="156082" w:themeColor="accent1"/>
                <w:sz w:val="96"/>
                <w:szCs w:val="96"/>
              </w:rPr>
              <w:alias w:val="Title"/>
              <w:tag w:val=""/>
              <w:id w:val="1735040861"/>
              <w:placeholder>
                <w:docPart w:val="8321A9D61DF04752805A84BDC2516B1B"/>
              </w:placeholder>
              <w:dataBinding w:prefixMappings="xmlns:ns0='http://purl.org/dc/elements/1.1/' xmlns:ns1='http://schemas.openxmlformats.org/package/2006/metadata/core-properties' " w:xpath="/ns1:coreProperties[1]/ns0:title[1]" w:storeItemID="{6C3C8BC8-F283-45AE-878A-BAB7291924A1}"/>
              <w:text/>
            </w:sdtPr>
            <w:sdtContent>
              <w:r w:rsidRPr="0084196B">
                <w:rPr>
                  <w:rFonts w:ascii="Arial Black" w:eastAsiaTheme="majorEastAsia" w:hAnsi="Arial Black" w:cstheme="majorBidi"/>
                  <w:caps/>
                  <w:color w:val="156082" w:themeColor="accent1"/>
                  <w:sz w:val="96"/>
                  <w:szCs w:val="96"/>
                </w:rPr>
                <w:t>portfolio</w:t>
              </w:r>
            </w:sdtContent>
          </w:sdt>
          <w:r w:rsidRPr="0084196B">
            <w:rPr>
              <w:rFonts w:ascii="Arial Black" w:hAnsi="Arial Black"/>
              <w:noProof/>
              <w:color w:val="156082" w:themeColor="accent1"/>
              <w:sz w:val="96"/>
              <w:szCs w:val="96"/>
            </w:rPr>
            <mc:AlternateContent>
              <mc:Choice Requires="wps">
                <w:drawing>
                  <wp:anchor distT="0" distB="0" distL="114300" distR="114300" simplePos="0" relativeHeight="251659264" behindDoc="0" locked="0" layoutInCell="1" allowOverlap="1" wp14:anchorId="6B8B74BC" wp14:editId="600A47C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0T00:00:00Z">
                                    <w:dateFormat w:val="MMMM d, yyyy"/>
                                    <w:lid w:val="en-US"/>
                                    <w:storeMappedDataAs w:val="dateTime"/>
                                    <w:calendar w:val="gregorian"/>
                                  </w:date>
                                </w:sdtPr>
                                <w:sdtContent>
                                  <w:p w14:paraId="1C70A828" w14:textId="74FDF2C9" w:rsidR="0084196B" w:rsidRPr="0084196B" w:rsidRDefault="0084196B">
                                    <w:pPr>
                                      <w:pStyle w:val="NoSpacing"/>
                                      <w:spacing w:after="40"/>
                                      <w:jc w:val="center"/>
                                      <w:rPr>
                                        <w:rFonts w:ascii="Arial Black" w:hAnsi="Arial Black"/>
                                        <w:caps/>
                                        <w:color w:val="156082" w:themeColor="accent1"/>
                                        <w:sz w:val="28"/>
                                        <w:szCs w:val="28"/>
                                      </w:rPr>
                                    </w:pPr>
                                    <w:r w:rsidRPr="0084196B">
                                      <w:rPr>
                                        <w:rFonts w:ascii="Arial Black" w:hAnsi="Arial Black"/>
                                        <w:caps/>
                                        <w:color w:val="156082" w:themeColor="accent1"/>
                                        <w:sz w:val="28"/>
                                        <w:szCs w:val="28"/>
                                      </w:rPr>
                                      <w:t>December 10, 2025</w:t>
                                    </w:r>
                                  </w:p>
                                </w:sdtContent>
                              </w:sdt>
                              <w:p w14:paraId="28EFC46C" w14:textId="4CD1E191" w:rsidR="0084196B" w:rsidRPr="0084196B" w:rsidRDefault="0084196B">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84196B">
                                      <w:rPr>
                                        <w:rFonts w:ascii="Arial Black" w:hAnsi="Arial Black"/>
                                        <w:caps/>
                                        <w:color w:val="156082" w:themeColor="accent1"/>
                                      </w:rPr>
                                      <w:t>Module</w:t>
                                    </w:r>
                                    <w:r w:rsidRPr="0084196B">
                                      <w:rPr>
                                        <w:rFonts w:ascii="Arial Black" w:hAnsi="Arial Black"/>
                                        <w:caps/>
                                        <w:color w:val="156082" w:themeColor="accent1"/>
                                      </w:rPr>
                                      <w:t xml:space="preserve">: </w:t>
                                    </w:r>
                                    <w:r w:rsidRPr="0084196B">
                                      <w:rPr>
                                        <w:rFonts w:ascii="Arial Black" w:hAnsi="Arial Black"/>
                                        <w:caps/>
                                        <w:color w:val="156082" w:themeColor="accent1"/>
                                      </w:rPr>
                                      <w:t>Learning and Collaboration for Global Citizenship</w:t>
                                    </w:r>
                                  </w:sdtContent>
                                </w:sdt>
                              </w:p>
                              <w:p w14:paraId="114F3E6D" w14:textId="4A80BA65" w:rsidR="0084196B" w:rsidRPr="0084196B" w:rsidRDefault="0084196B" w:rsidP="0084196B">
                                <w:pPr>
                                  <w:pStyle w:val="NoSpacing"/>
                                  <w:rPr>
                                    <w:rFonts w:ascii="Arial Black" w:hAnsi="Arial Black"/>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8B74B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0T00:00:00Z">
                              <w:dateFormat w:val="MMMM d, yyyy"/>
                              <w:lid w:val="en-US"/>
                              <w:storeMappedDataAs w:val="dateTime"/>
                              <w:calendar w:val="gregorian"/>
                            </w:date>
                          </w:sdtPr>
                          <w:sdtContent>
                            <w:p w14:paraId="1C70A828" w14:textId="74FDF2C9" w:rsidR="0084196B" w:rsidRPr="0084196B" w:rsidRDefault="0084196B">
                              <w:pPr>
                                <w:pStyle w:val="NoSpacing"/>
                                <w:spacing w:after="40"/>
                                <w:jc w:val="center"/>
                                <w:rPr>
                                  <w:rFonts w:ascii="Arial Black" w:hAnsi="Arial Black"/>
                                  <w:caps/>
                                  <w:color w:val="156082" w:themeColor="accent1"/>
                                  <w:sz w:val="28"/>
                                  <w:szCs w:val="28"/>
                                </w:rPr>
                              </w:pPr>
                              <w:r w:rsidRPr="0084196B">
                                <w:rPr>
                                  <w:rFonts w:ascii="Arial Black" w:hAnsi="Arial Black"/>
                                  <w:caps/>
                                  <w:color w:val="156082" w:themeColor="accent1"/>
                                  <w:sz w:val="28"/>
                                  <w:szCs w:val="28"/>
                                </w:rPr>
                                <w:t>December 10, 2025</w:t>
                              </w:r>
                            </w:p>
                          </w:sdtContent>
                        </w:sdt>
                        <w:p w14:paraId="28EFC46C" w14:textId="4CD1E191" w:rsidR="0084196B" w:rsidRPr="0084196B" w:rsidRDefault="0084196B">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84196B">
                                <w:rPr>
                                  <w:rFonts w:ascii="Arial Black" w:hAnsi="Arial Black"/>
                                  <w:caps/>
                                  <w:color w:val="156082" w:themeColor="accent1"/>
                                </w:rPr>
                                <w:t>Module</w:t>
                              </w:r>
                              <w:r w:rsidRPr="0084196B">
                                <w:rPr>
                                  <w:rFonts w:ascii="Arial Black" w:hAnsi="Arial Black"/>
                                  <w:caps/>
                                  <w:color w:val="156082" w:themeColor="accent1"/>
                                </w:rPr>
                                <w:t xml:space="preserve">: </w:t>
                              </w:r>
                              <w:r w:rsidRPr="0084196B">
                                <w:rPr>
                                  <w:rFonts w:ascii="Arial Black" w:hAnsi="Arial Black"/>
                                  <w:caps/>
                                  <w:color w:val="156082" w:themeColor="accent1"/>
                                </w:rPr>
                                <w:t>Learning and Collaboration for Global Citizenship</w:t>
                              </w:r>
                            </w:sdtContent>
                          </w:sdt>
                        </w:p>
                        <w:p w14:paraId="114F3E6D" w14:textId="4A80BA65" w:rsidR="0084196B" w:rsidRPr="0084196B" w:rsidRDefault="0084196B" w:rsidP="0084196B">
                          <w:pPr>
                            <w:pStyle w:val="NoSpacing"/>
                            <w:rPr>
                              <w:rFonts w:ascii="Arial Black" w:hAnsi="Arial Black"/>
                              <w:color w:val="156082" w:themeColor="accent1"/>
                            </w:rPr>
                          </w:pPr>
                        </w:p>
                      </w:txbxContent>
                    </v:textbox>
                    <w10:wrap anchorx="margin" anchory="page"/>
                  </v:shape>
                </w:pict>
              </mc:Fallback>
            </mc:AlternateContent>
          </w:r>
        </w:p>
        <w:p w14:paraId="7B24EC79" w14:textId="7C139AF3" w:rsidR="0084196B" w:rsidRDefault="0084196B">
          <w:pPr>
            <w:rPr>
              <w:rFonts w:ascii="Arial" w:hAnsi="Arial" w:cs="Arial"/>
              <w:b/>
              <w:bCs/>
            </w:rPr>
          </w:pPr>
          <w:r>
            <w:rPr>
              <w:rFonts w:ascii="Arial" w:hAnsi="Arial" w:cs="Arial"/>
              <w:b/>
              <w:bCs/>
            </w:rPr>
            <w:br w:type="page"/>
          </w:r>
        </w:p>
      </w:sdtContent>
    </w:sdt>
    <w:p w14:paraId="0FCA5702" w14:textId="494BC72D" w:rsidR="00DC549F" w:rsidRPr="00DC549F" w:rsidRDefault="00DC549F" w:rsidP="00DC549F">
      <w:pPr>
        <w:spacing w:line="480" w:lineRule="auto"/>
        <w:rPr>
          <w:rFonts w:ascii="Arial" w:hAnsi="Arial" w:cs="Arial"/>
          <w:b/>
          <w:bCs/>
        </w:rPr>
      </w:pPr>
      <w:r w:rsidRPr="00DC549F">
        <w:rPr>
          <w:rFonts w:ascii="Arial" w:hAnsi="Arial" w:cs="Arial"/>
          <w:b/>
          <w:bCs/>
        </w:rPr>
        <w:lastRenderedPageBreak/>
        <w:t>Section 1</w:t>
      </w:r>
    </w:p>
    <w:p w14:paraId="4102D4CD" w14:textId="77777777" w:rsidR="00DC549F" w:rsidRDefault="00DC549F" w:rsidP="00DC549F">
      <w:pPr>
        <w:spacing w:line="480" w:lineRule="auto"/>
        <w:rPr>
          <w:rFonts w:ascii="Arial" w:hAnsi="Arial" w:cs="Arial"/>
        </w:rPr>
      </w:pPr>
      <w:r w:rsidRPr="00DC549F">
        <w:rPr>
          <w:rFonts w:ascii="Arial" w:hAnsi="Arial" w:cs="Arial"/>
        </w:rPr>
        <w:t>The following is an outline of my three objectives for my Personal Learning Environment.</w:t>
      </w:r>
    </w:p>
    <w:p w14:paraId="708B14D0" w14:textId="77777777" w:rsidR="00DC549F" w:rsidRDefault="00DC549F" w:rsidP="00DC549F">
      <w:pPr>
        <w:spacing w:line="480" w:lineRule="auto"/>
        <w:rPr>
          <w:rFonts w:ascii="Arial" w:hAnsi="Arial" w:cs="Arial"/>
        </w:rPr>
      </w:pPr>
      <w:r w:rsidRPr="00DC549F">
        <w:rPr>
          <w:rFonts w:ascii="Arial" w:hAnsi="Arial" w:cs="Arial"/>
        </w:rPr>
        <w:t>The first of these objectives will help me further my understanding of how to develop measurable learning goals for each module, which allows me to create a stronger framework for my studies. Studies have shown that students perform better when they have clearly specified goals that relate to assessments (Allen &amp; Tanner, 2006). Learning goals can provide the structure and direction needed to avoid drifting through the material (wasting time) without a purpose. In other words, learning goals provide a reference point for how well I am learning and how I will learn. Research suggests that students who set clear learning goals will possess better judgement in selecting which study strategies to utilise, retain information for a longer period (</w:t>
      </w:r>
      <w:proofErr w:type="spellStart"/>
      <w:r w:rsidRPr="00DC549F">
        <w:rPr>
          <w:rFonts w:ascii="Arial" w:hAnsi="Arial" w:cs="Arial"/>
        </w:rPr>
        <w:t>Osueke</w:t>
      </w:r>
      <w:proofErr w:type="spellEnd"/>
      <w:r w:rsidRPr="00DC549F">
        <w:rPr>
          <w:rFonts w:ascii="Arial" w:hAnsi="Arial" w:cs="Arial"/>
        </w:rPr>
        <w:t xml:space="preserve"> et al., 2018), because these learning goals clarify the student's understanding of the subject matter. </w:t>
      </w:r>
      <w:r w:rsidRPr="00DC549F">
        <w:rPr>
          <w:rFonts w:ascii="Arial" w:hAnsi="Arial" w:cs="Arial"/>
        </w:rPr>
        <w:t>Therefore,</w:t>
      </w:r>
      <w:r w:rsidRPr="00DC549F">
        <w:rPr>
          <w:rFonts w:ascii="Arial" w:hAnsi="Arial" w:cs="Arial"/>
        </w:rPr>
        <w:t xml:space="preserve"> I will include several tools in my PLE, such as Trello and Notion, to map out my learning goals and then track my progress toward completing them.</w:t>
      </w:r>
    </w:p>
    <w:p w14:paraId="614EB2D5" w14:textId="7FD33832" w:rsidR="00DC549F" w:rsidRPr="00DC549F" w:rsidRDefault="00DC549F" w:rsidP="00DC549F">
      <w:pPr>
        <w:spacing w:line="480" w:lineRule="auto"/>
        <w:rPr>
          <w:rFonts w:ascii="Arial" w:hAnsi="Arial" w:cs="Arial"/>
        </w:rPr>
      </w:pPr>
      <w:r w:rsidRPr="00DC549F">
        <w:rPr>
          <w:rFonts w:ascii="Arial" w:hAnsi="Arial" w:cs="Arial"/>
        </w:rPr>
        <w:t>My second objective is to develop my Independent Learning Skills through Personalised Learning Tools and to adapt these tools to meet my individual needs. The literature examining personalised learning indicates that adaptive systems and Artificial Intelligence (AI)</w:t>
      </w:r>
      <w:r>
        <w:rPr>
          <w:rFonts w:ascii="Arial" w:hAnsi="Arial" w:cs="Arial"/>
        </w:rPr>
        <w:t xml:space="preserve"> </w:t>
      </w:r>
      <w:r w:rsidRPr="00DC549F">
        <w:rPr>
          <w:rFonts w:ascii="Arial" w:hAnsi="Arial" w:cs="Arial"/>
        </w:rPr>
        <w:t>driven platforms enable tailoring of content based on students' preferences and learning paces (Mahmoud &amp; S</w:t>
      </w:r>
      <w:r w:rsidR="0084196B">
        <w:rPr>
          <w:rFonts w:ascii="Arial" w:hAnsi="Arial" w:cs="Arial"/>
        </w:rPr>
        <w:t>o</w:t>
      </w:r>
      <w:r w:rsidRPr="00DC549F">
        <w:rPr>
          <w:rFonts w:ascii="Arial" w:hAnsi="Arial" w:cs="Arial"/>
        </w:rPr>
        <w:t>rensen, 2024). I will use tools such as Quizlet and AI</w:t>
      </w:r>
      <w:r>
        <w:rPr>
          <w:rFonts w:ascii="Arial" w:hAnsi="Arial" w:cs="Arial"/>
        </w:rPr>
        <w:t xml:space="preserve"> </w:t>
      </w:r>
      <w:r w:rsidRPr="00DC549F">
        <w:rPr>
          <w:rFonts w:ascii="Arial" w:hAnsi="Arial" w:cs="Arial"/>
        </w:rPr>
        <w:t xml:space="preserve">supported Feedback Generators in my PLE to scaffold my revision efforts. Research supports that students engaged in a personalised learning environment will be more engaged and equipped to move forward with </w:t>
      </w:r>
      <w:r w:rsidRPr="00DC549F">
        <w:rPr>
          <w:rFonts w:ascii="Arial" w:hAnsi="Arial" w:cs="Arial"/>
        </w:rPr>
        <w:lastRenderedPageBreak/>
        <w:t xml:space="preserve">complex academic tasks (Gunawardena et al., 2024). As a result of these studies, I am encouraged to explore the use of Digital Technologies to develop my personalised pathway to successful </w:t>
      </w:r>
      <w:r>
        <w:rPr>
          <w:rFonts w:ascii="Arial" w:hAnsi="Arial" w:cs="Arial"/>
        </w:rPr>
        <w:t>s</w:t>
      </w:r>
      <w:r w:rsidRPr="00DC549F">
        <w:rPr>
          <w:rFonts w:ascii="Arial" w:hAnsi="Arial" w:cs="Arial"/>
        </w:rPr>
        <w:t>tudy. I</w:t>
      </w:r>
      <w:r w:rsidRPr="00DC549F">
        <w:rPr>
          <w:rFonts w:ascii="Arial" w:hAnsi="Arial" w:cs="Arial"/>
        </w:rPr>
        <w:t xml:space="preserve"> intend to enhance my global citizenship awareness using Online International Collaborative Learning. Evidence shows that intercultural interaction and virtual collaboration </w:t>
      </w:r>
      <w:r w:rsidRPr="00DC549F">
        <w:rPr>
          <w:rFonts w:ascii="Arial" w:hAnsi="Arial" w:cs="Arial"/>
        </w:rPr>
        <w:t>enhance</w:t>
      </w:r>
      <w:r w:rsidRPr="00DC549F">
        <w:rPr>
          <w:rFonts w:ascii="Arial" w:hAnsi="Arial" w:cs="Arial"/>
        </w:rPr>
        <w:t xml:space="preserve"> a student's ability to </w:t>
      </w:r>
      <w:r w:rsidRPr="00DC549F">
        <w:rPr>
          <w:rFonts w:ascii="Arial" w:hAnsi="Arial" w:cs="Arial"/>
        </w:rPr>
        <w:t>analyse</w:t>
      </w:r>
      <w:r w:rsidRPr="00DC549F">
        <w:rPr>
          <w:rFonts w:ascii="Arial" w:hAnsi="Arial" w:cs="Arial"/>
        </w:rPr>
        <w:t xml:space="preserve"> a situation through various cultural perspectives (Van Rompay-Bartels et al., 2024). As I aim to continue my professional development as a global citizenship educator, I have also read about and heard of numerous people using Collaborative Online Learning to create bridges between communities of diverse people and cultures and foster an empathetic relationship and understanding of each other (Wimpenny et al., 2024). Therefore, to achieve my goal, I plan to take part in numerous online International Learning Events and participate in discussions that involve people from various cultural backgrounds.</w:t>
      </w:r>
    </w:p>
    <w:p w14:paraId="712EA1F5" w14:textId="049FB13A" w:rsidR="00DC549F" w:rsidRPr="00DC549F" w:rsidRDefault="00DC549F" w:rsidP="00DC549F">
      <w:pPr>
        <w:spacing w:line="480" w:lineRule="auto"/>
        <w:rPr>
          <w:rFonts w:ascii="Arial" w:hAnsi="Arial" w:cs="Arial"/>
        </w:rPr>
      </w:pPr>
      <w:r w:rsidRPr="00DC549F">
        <w:rPr>
          <w:rFonts w:ascii="Arial" w:hAnsi="Arial" w:cs="Arial"/>
        </w:rPr>
        <w:t xml:space="preserve">All three of these objectives will direct how I construct my PLE for the upcoming year, as I will have </w:t>
      </w:r>
      <w:r w:rsidRPr="00DC549F">
        <w:rPr>
          <w:rFonts w:ascii="Arial" w:hAnsi="Arial" w:cs="Arial"/>
        </w:rPr>
        <w:t>measurable</w:t>
      </w:r>
      <w:r w:rsidRPr="00DC549F">
        <w:rPr>
          <w:rFonts w:ascii="Arial" w:hAnsi="Arial" w:cs="Arial"/>
        </w:rPr>
        <w:t xml:space="preserve"> objectives and they connect directly to evidence-based practices for facilitating deeper learning, critical thinking and career preparedness.</w:t>
      </w:r>
    </w:p>
    <w:p w14:paraId="250822D3" w14:textId="77777777" w:rsidR="00DC549F" w:rsidRPr="00DC549F" w:rsidRDefault="00DC549F" w:rsidP="00DC549F">
      <w:pPr>
        <w:spacing w:line="480" w:lineRule="auto"/>
        <w:rPr>
          <w:rFonts w:ascii="Arial" w:hAnsi="Arial" w:cs="Arial"/>
        </w:rPr>
      </w:pPr>
    </w:p>
    <w:p w14:paraId="35A88FB4" w14:textId="77777777" w:rsidR="00DC549F" w:rsidRDefault="00DC549F" w:rsidP="00DC549F">
      <w:pPr>
        <w:spacing w:line="480" w:lineRule="auto"/>
        <w:rPr>
          <w:rFonts w:ascii="Arial" w:hAnsi="Arial" w:cs="Arial"/>
        </w:rPr>
      </w:pPr>
    </w:p>
    <w:p w14:paraId="24CDA27D" w14:textId="77777777" w:rsidR="00DC549F" w:rsidRDefault="00DC549F" w:rsidP="00DC549F">
      <w:pPr>
        <w:spacing w:line="480" w:lineRule="auto"/>
        <w:rPr>
          <w:rFonts w:ascii="Arial" w:hAnsi="Arial" w:cs="Arial"/>
        </w:rPr>
      </w:pPr>
    </w:p>
    <w:p w14:paraId="3685A0E9" w14:textId="77777777" w:rsidR="00DC549F" w:rsidRDefault="00DC549F" w:rsidP="00DC549F">
      <w:pPr>
        <w:spacing w:line="480" w:lineRule="auto"/>
        <w:rPr>
          <w:rFonts w:ascii="Arial" w:hAnsi="Arial" w:cs="Arial"/>
        </w:rPr>
      </w:pPr>
    </w:p>
    <w:p w14:paraId="66F2CDDB" w14:textId="77777777" w:rsidR="00DC549F" w:rsidRDefault="00DC549F" w:rsidP="00DC549F">
      <w:pPr>
        <w:spacing w:line="480" w:lineRule="auto"/>
        <w:rPr>
          <w:rFonts w:ascii="Arial" w:hAnsi="Arial" w:cs="Arial"/>
        </w:rPr>
      </w:pPr>
    </w:p>
    <w:p w14:paraId="502A3403" w14:textId="77777777" w:rsidR="00DC549F" w:rsidRDefault="00DC549F" w:rsidP="00DC549F">
      <w:pPr>
        <w:spacing w:line="480" w:lineRule="auto"/>
        <w:rPr>
          <w:rFonts w:ascii="Arial" w:hAnsi="Arial" w:cs="Arial"/>
        </w:rPr>
      </w:pPr>
    </w:p>
    <w:p w14:paraId="3CB70E15" w14:textId="77777777" w:rsidR="0084196B" w:rsidRDefault="0084196B" w:rsidP="00DC549F">
      <w:pPr>
        <w:spacing w:line="480" w:lineRule="auto"/>
        <w:rPr>
          <w:rFonts w:ascii="Arial" w:hAnsi="Arial" w:cs="Arial"/>
        </w:rPr>
      </w:pPr>
    </w:p>
    <w:p w14:paraId="76B1074B" w14:textId="1D78C1FF" w:rsidR="00DC549F" w:rsidRDefault="00DC549F" w:rsidP="00DC549F">
      <w:pPr>
        <w:spacing w:line="480" w:lineRule="auto"/>
        <w:rPr>
          <w:rFonts w:ascii="Arial" w:hAnsi="Arial" w:cs="Arial"/>
          <w:b/>
          <w:bCs/>
        </w:rPr>
      </w:pPr>
      <w:r>
        <w:rPr>
          <w:rFonts w:ascii="Arial" w:hAnsi="Arial" w:cs="Arial"/>
          <w:b/>
          <w:bCs/>
        </w:rPr>
        <w:lastRenderedPageBreak/>
        <w:t>Section 2</w:t>
      </w:r>
    </w:p>
    <w:p w14:paraId="442CC501" w14:textId="7AC87157" w:rsidR="00DC549F" w:rsidRPr="00DC549F" w:rsidRDefault="00DC549F" w:rsidP="00DC549F">
      <w:pPr>
        <w:spacing w:line="480" w:lineRule="auto"/>
        <w:rPr>
          <w:rFonts w:ascii="Arial" w:hAnsi="Arial" w:cs="Arial"/>
          <w:b/>
          <w:bCs/>
        </w:rPr>
      </w:pPr>
      <w:r w:rsidRPr="00DC549F">
        <w:rPr>
          <w:rFonts w:ascii="Arial" w:hAnsi="Arial" w:cs="Arial"/>
          <w:b/>
          <w:bCs/>
        </w:rPr>
        <w:t>Blog Post</w:t>
      </w:r>
      <w:r w:rsidRPr="00DC549F">
        <w:rPr>
          <w:rFonts w:ascii="Arial" w:hAnsi="Arial" w:cs="Arial"/>
          <w:b/>
          <w:bCs/>
        </w:rPr>
        <w:t xml:space="preserve"> 1: </w:t>
      </w:r>
      <w:r w:rsidRPr="00DC549F">
        <w:rPr>
          <w:rFonts w:ascii="Arial" w:hAnsi="Arial" w:cs="Arial"/>
          <w:b/>
          <w:bCs/>
        </w:rPr>
        <w:t>My Learning Style Reflection</w:t>
      </w:r>
    </w:p>
    <w:p w14:paraId="7818DABF" w14:textId="1FBDFE76" w:rsidR="00DC549F" w:rsidRPr="00DC549F" w:rsidRDefault="00DC549F" w:rsidP="00DC549F">
      <w:pPr>
        <w:spacing w:line="480" w:lineRule="auto"/>
        <w:ind w:left="720"/>
        <w:rPr>
          <w:rFonts w:ascii="Arial" w:hAnsi="Arial" w:cs="Arial"/>
          <w:i/>
          <w:iCs/>
        </w:rPr>
      </w:pPr>
      <w:r w:rsidRPr="00DC549F">
        <w:rPr>
          <w:rFonts w:ascii="Arial" w:hAnsi="Arial" w:cs="Arial"/>
          <w:i/>
          <w:iCs/>
        </w:rPr>
        <w:t xml:space="preserve">The VARK Questionnaire designed by Chislett and Chapman (2005) revealed that I am predominantly a visual learner and I have very strong inclination to read and write. I was surprised to see this result because I have always accounted myself as an auditory learner based on my enjoyment of attending lectures. Using Gibbs' Model for my reflection has shown me that I do </w:t>
      </w:r>
      <w:r w:rsidRPr="00DC549F">
        <w:rPr>
          <w:rFonts w:ascii="Arial" w:hAnsi="Arial" w:cs="Arial"/>
          <w:i/>
          <w:iCs/>
        </w:rPr>
        <w:t>enjoy</w:t>
      </w:r>
      <w:r w:rsidRPr="00DC549F">
        <w:rPr>
          <w:rFonts w:ascii="Arial" w:hAnsi="Arial" w:cs="Arial"/>
          <w:i/>
          <w:iCs/>
        </w:rPr>
        <w:t xml:space="preserve"> listening, but I learn better when information is presented to me using diagrams, charts and written information in a structured format. It is suggested in research regarding Learning Style that many students are unaware of their actual Learning Style until they are assessed with a tool that is specifically designed to measure their learning styles (Bhagat et al., 2015). This confirms the usefulness of VARK for </w:t>
      </w:r>
      <w:r w:rsidRPr="00DC549F">
        <w:rPr>
          <w:rFonts w:ascii="Arial" w:hAnsi="Arial" w:cs="Arial"/>
          <w:i/>
          <w:iCs/>
        </w:rPr>
        <w:t>me. The</w:t>
      </w:r>
      <w:r w:rsidRPr="00DC549F">
        <w:rPr>
          <w:rFonts w:ascii="Arial" w:hAnsi="Arial" w:cs="Arial"/>
          <w:i/>
          <w:iCs/>
        </w:rPr>
        <w:t xml:space="preserve"> VARK framework shows that visual learners are more likely to understand content when it is presented in a visually organised way (El-</w:t>
      </w:r>
      <w:proofErr w:type="spellStart"/>
      <w:r w:rsidRPr="00DC549F">
        <w:rPr>
          <w:rFonts w:ascii="Arial" w:hAnsi="Arial" w:cs="Arial"/>
          <w:i/>
          <w:iCs/>
        </w:rPr>
        <w:t>Saftawy</w:t>
      </w:r>
      <w:proofErr w:type="spellEnd"/>
      <w:r w:rsidRPr="00DC549F">
        <w:rPr>
          <w:rFonts w:ascii="Arial" w:hAnsi="Arial" w:cs="Arial"/>
          <w:i/>
          <w:iCs/>
        </w:rPr>
        <w:t xml:space="preserve"> et al., 2024). Using these findings has helped me identify specific strategies to use when I revise my </w:t>
      </w:r>
      <w:r w:rsidRPr="00DC549F">
        <w:rPr>
          <w:rFonts w:ascii="Arial" w:hAnsi="Arial" w:cs="Arial"/>
          <w:i/>
          <w:iCs/>
        </w:rPr>
        <w:t>notes and</w:t>
      </w:r>
      <w:r w:rsidRPr="00DC549F">
        <w:rPr>
          <w:rFonts w:ascii="Arial" w:hAnsi="Arial" w:cs="Arial"/>
          <w:i/>
          <w:iCs/>
        </w:rPr>
        <w:t xml:space="preserve"> has also improved my motivation to learn by helping me realise that I am more in control of my studies through using visual tools to support my learning preferences (Vincent &amp; Ross, 2001). Reflecting on this new awareness has given me clarity on how some of my previous revision strategies were not suited to my learning preference and therefore rendered me ineffective as a learner.</w:t>
      </w:r>
    </w:p>
    <w:p w14:paraId="6C8CBD95" w14:textId="77777777" w:rsidR="00DC549F" w:rsidRPr="00DC549F" w:rsidRDefault="00DC549F" w:rsidP="00DC549F">
      <w:pPr>
        <w:spacing w:line="480" w:lineRule="auto"/>
        <w:rPr>
          <w:rFonts w:ascii="Arial" w:hAnsi="Arial" w:cs="Arial"/>
        </w:rPr>
      </w:pPr>
    </w:p>
    <w:p w14:paraId="2937A91C" w14:textId="77777777" w:rsidR="00DC549F" w:rsidRDefault="00DC549F" w:rsidP="00DC549F">
      <w:pPr>
        <w:spacing w:line="480" w:lineRule="auto"/>
        <w:rPr>
          <w:rFonts w:ascii="Arial" w:hAnsi="Arial" w:cs="Arial"/>
        </w:rPr>
      </w:pPr>
    </w:p>
    <w:p w14:paraId="6E51E20E" w14:textId="0071CFA5" w:rsidR="00DC549F" w:rsidRPr="00DC549F" w:rsidRDefault="00DC549F" w:rsidP="00DC549F">
      <w:pPr>
        <w:spacing w:line="480" w:lineRule="auto"/>
        <w:rPr>
          <w:rFonts w:ascii="Arial" w:hAnsi="Arial" w:cs="Arial"/>
          <w:b/>
          <w:bCs/>
        </w:rPr>
      </w:pPr>
      <w:r w:rsidRPr="00DC549F">
        <w:rPr>
          <w:rFonts w:ascii="Arial" w:hAnsi="Arial" w:cs="Arial"/>
          <w:b/>
          <w:bCs/>
        </w:rPr>
        <w:lastRenderedPageBreak/>
        <w:t>Blog Post 2: Updating My Independent Learning Plan</w:t>
      </w:r>
    </w:p>
    <w:p w14:paraId="21CAB3D5" w14:textId="77777777" w:rsidR="00DC549F" w:rsidRPr="00DC549F" w:rsidRDefault="00DC549F" w:rsidP="00DC549F">
      <w:pPr>
        <w:spacing w:line="480" w:lineRule="auto"/>
        <w:ind w:left="720"/>
        <w:rPr>
          <w:rFonts w:ascii="Arial" w:hAnsi="Arial" w:cs="Arial"/>
          <w:i/>
          <w:iCs/>
        </w:rPr>
      </w:pPr>
      <w:r w:rsidRPr="00DC549F">
        <w:rPr>
          <w:rFonts w:ascii="Arial" w:hAnsi="Arial" w:cs="Arial"/>
          <w:i/>
          <w:iCs/>
        </w:rPr>
        <w:t>This new knowledge of my visual learning style has allowed me to revise my Independent Learning Plan to include a greater emphasis on using visual tools like Canva for creating summary sheets and YouTube animations to describe complicated theories, as well as creating a coloured-coded digital notebook for organisation. The research conducted into creating adaptive digital learning environments demonstrates that using self-regulated strategies will empower learners to take responsibility for their own learning (Sharma et al., 2024). Incorporating these visual tools into my Independent Learning Plan will assist me in keeping my ideas organised and help to eliminate the cognitive overload of information that typically accompanies doing university work.</w:t>
      </w:r>
    </w:p>
    <w:p w14:paraId="1299EE54" w14:textId="58251605" w:rsidR="00DC549F" w:rsidRPr="00DC549F" w:rsidRDefault="00DC549F" w:rsidP="00DC549F">
      <w:pPr>
        <w:spacing w:line="480" w:lineRule="auto"/>
        <w:ind w:left="720"/>
        <w:rPr>
          <w:rFonts w:ascii="Arial" w:hAnsi="Arial" w:cs="Arial"/>
          <w:i/>
          <w:iCs/>
        </w:rPr>
      </w:pPr>
      <w:r w:rsidRPr="00DC549F">
        <w:rPr>
          <w:rFonts w:ascii="Arial" w:hAnsi="Arial" w:cs="Arial"/>
          <w:i/>
          <w:iCs/>
        </w:rPr>
        <w:t>Another element of being a successful student is having a support network. Blogging has been found to assist students in reflecting on their learning experiences and process by offering a means for them to write about their experience and share it with others (Arafat et al., 2025). Therefore, I will continue to blog once every two weeks to document my learning journey.</w:t>
      </w:r>
    </w:p>
    <w:p w14:paraId="7D2B3E31" w14:textId="77777777" w:rsidR="00DC549F" w:rsidRPr="00DC549F" w:rsidRDefault="00DC549F" w:rsidP="00DC549F">
      <w:pPr>
        <w:spacing w:line="480" w:lineRule="auto"/>
        <w:ind w:left="720"/>
        <w:rPr>
          <w:rFonts w:ascii="Arial" w:hAnsi="Arial" w:cs="Arial"/>
          <w:i/>
          <w:iCs/>
        </w:rPr>
      </w:pPr>
      <w:r w:rsidRPr="00DC549F">
        <w:rPr>
          <w:rFonts w:ascii="Arial" w:hAnsi="Arial" w:cs="Arial"/>
          <w:i/>
          <w:iCs/>
        </w:rPr>
        <w:t>I'm looking for supportive feedback from my tutors regularly. This is in line with research findings that suggest when students and educators engage collaboratively with each other, it may help to improve both student engagement in active learning (Pahi via al., 2024) and also enhance my ability to independently develop an improved learning strategy through the use of visual tools, structured reflection and support from my educators.</w:t>
      </w:r>
    </w:p>
    <w:p w14:paraId="02AD86B5" w14:textId="77777777" w:rsidR="00DC549F" w:rsidRDefault="00DC549F" w:rsidP="00DC549F">
      <w:pPr>
        <w:spacing w:line="480" w:lineRule="auto"/>
        <w:rPr>
          <w:rFonts w:ascii="Arial" w:hAnsi="Arial" w:cs="Arial"/>
        </w:rPr>
      </w:pPr>
    </w:p>
    <w:p w14:paraId="7F1CACC4" w14:textId="575F6B8B" w:rsidR="00DC549F" w:rsidRPr="00DC549F" w:rsidRDefault="00DC549F" w:rsidP="00DC549F">
      <w:pPr>
        <w:spacing w:line="480" w:lineRule="auto"/>
        <w:rPr>
          <w:rFonts w:ascii="Arial" w:hAnsi="Arial" w:cs="Arial"/>
          <w:b/>
          <w:bCs/>
        </w:rPr>
      </w:pPr>
      <w:r w:rsidRPr="00DC549F">
        <w:rPr>
          <w:rFonts w:ascii="Arial" w:hAnsi="Arial" w:cs="Arial"/>
          <w:b/>
          <w:bCs/>
        </w:rPr>
        <w:lastRenderedPageBreak/>
        <w:t xml:space="preserve">Section 3: </w:t>
      </w:r>
      <w:r w:rsidRPr="00DC549F">
        <w:rPr>
          <w:rFonts w:ascii="Arial" w:hAnsi="Arial" w:cs="Arial"/>
          <w:b/>
          <w:bCs/>
        </w:rPr>
        <w:t xml:space="preserve">Identity and Community Engagement </w:t>
      </w:r>
      <w:r w:rsidRPr="00DC549F">
        <w:rPr>
          <w:rFonts w:ascii="Arial" w:hAnsi="Arial" w:cs="Arial"/>
          <w:b/>
          <w:bCs/>
        </w:rPr>
        <w:t>Plan</w:t>
      </w:r>
    </w:p>
    <w:p w14:paraId="1064B32B" w14:textId="77777777" w:rsidR="00DC549F" w:rsidRPr="00DC549F" w:rsidRDefault="00DC549F" w:rsidP="00DC549F">
      <w:pPr>
        <w:spacing w:line="480" w:lineRule="auto"/>
        <w:rPr>
          <w:rFonts w:ascii="Arial" w:hAnsi="Arial" w:cs="Arial"/>
        </w:rPr>
      </w:pPr>
      <w:r w:rsidRPr="00DC549F">
        <w:rPr>
          <w:rFonts w:ascii="Arial" w:hAnsi="Arial" w:cs="Arial"/>
        </w:rPr>
        <w:t>The creation of a professional identity to support my future career is critical, and I have created a plan for interacting with both online and face-to-face learner communities. A strong and coherent LinkedIn profile is the first step, and research indicates that personal learning environments are most effective when learners can connect with other learners through external digital networks that enable collaborative opportunities and form the basis for establishing their own identities (Martindale and Dowdy, 2010). I will also utilise the creation of a portfolio which includes coursework and reflective blog entries to demonstrate the growth I have made through the completion of this coursework. I will also include examples of my volunteer experience and my engagement with education.</w:t>
      </w:r>
    </w:p>
    <w:p w14:paraId="0EE553CC" w14:textId="77777777" w:rsidR="00DC549F" w:rsidRPr="00DC549F" w:rsidRDefault="00DC549F" w:rsidP="00DC549F">
      <w:pPr>
        <w:spacing w:line="480" w:lineRule="auto"/>
        <w:rPr>
          <w:rFonts w:ascii="Arial" w:hAnsi="Arial" w:cs="Arial"/>
        </w:rPr>
      </w:pPr>
      <w:r w:rsidRPr="00DC549F">
        <w:rPr>
          <w:rFonts w:ascii="Arial" w:hAnsi="Arial" w:cs="Arial"/>
        </w:rPr>
        <w:t>As part of the plan, I intend to engage in sustainability-related communities, which are directly tied to my Sustainable Enterprise Management journey. A focus on the global citizen concept indicates that people who actively participate in their local communities develop ethical responsibility and cultural understanding (</w:t>
      </w:r>
      <w:proofErr w:type="spellStart"/>
      <w:r w:rsidRPr="00DC549F">
        <w:rPr>
          <w:rFonts w:ascii="Arial" w:hAnsi="Arial" w:cs="Arial"/>
        </w:rPr>
        <w:t>Zalli</w:t>
      </w:r>
      <w:proofErr w:type="spellEnd"/>
      <w:r w:rsidRPr="00DC549F">
        <w:rPr>
          <w:rFonts w:ascii="Arial" w:hAnsi="Arial" w:cs="Arial"/>
        </w:rPr>
        <w:t>, 2024) through proximity to others. In practice, to develop this concept in my life, I will volunteer with local environmental organisations and participate in sustainability-oriented activities organised by my university. Additionally, research suggests that individuals develop as global citizens while they are participating in different kinds of values-based activity, particularly through active participation (Svarstad and Risager, 2024); therefore, I recognise that my personal motivation to develop my professional identity is enhanced by my commitment to becoming a global citizen.</w:t>
      </w:r>
    </w:p>
    <w:p w14:paraId="6CAE3C84" w14:textId="77777777" w:rsidR="00DC549F" w:rsidRDefault="00DC549F" w:rsidP="00DC549F">
      <w:pPr>
        <w:spacing w:line="480" w:lineRule="auto"/>
        <w:rPr>
          <w:rFonts w:ascii="Arial" w:hAnsi="Arial" w:cs="Arial"/>
        </w:rPr>
      </w:pPr>
      <w:r w:rsidRPr="00DC549F">
        <w:rPr>
          <w:rFonts w:ascii="Arial" w:hAnsi="Arial" w:cs="Arial"/>
        </w:rPr>
        <w:t xml:space="preserve">The final part of my plan will involve my attendance at networking events, both on campus and online. Many avenues of professional connection are available </w:t>
      </w:r>
      <w:r w:rsidRPr="00DC549F">
        <w:rPr>
          <w:rFonts w:ascii="Arial" w:hAnsi="Arial" w:cs="Arial"/>
        </w:rPr>
        <w:t>using</w:t>
      </w:r>
      <w:r w:rsidRPr="00DC549F">
        <w:rPr>
          <w:rFonts w:ascii="Arial" w:hAnsi="Arial" w:cs="Arial"/>
        </w:rPr>
        <w:t xml:space="preserve"> </w:t>
      </w:r>
      <w:r w:rsidRPr="00DC549F">
        <w:rPr>
          <w:rFonts w:ascii="Arial" w:hAnsi="Arial" w:cs="Arial"/>
        </w:rPr>
        <w:lastRenderedPageBreak/>
        <w:t>online tools and technologies, and most of these communities facilitate a transformational degree of personal growth when the community supports a leadership-oriented learning structure (Adeoye et al., 2025). The use of these resources provides opportunities to develop confidence and improve my interpersonal communication skills, as well as to develop a professional network, including possible mentors. In addition, many virtual global citizenship communities for higher education provide opportunities for students to engage in meaningful, cross-national interactions (Helm et al., 2024), and thus, I will seek out opportunities to participate in global webinars and interdisciplinary student communities.</w:t>
      </w:r>
    </w:p>
    <w:p w14:paraId="656998F5" w14:textId="77777777" w:rsidR="00DC549F" w:rsidRDefault="00DC549F" w:rsidP="00DC549F">
      <w:pPr>
        <w:spacing w:line="480" w:lineRule="auto"/>
        <w:rPr>
          <w:rFonts w:ascii="Arial" w:hAnsi="Arial" w:cs="Arial"/>
        </w:rPr>
      </w:pPr>
      <w:r w:rsidRPr="00DC549F">
        <w:rPr>
          <w:rFonts w:ascii="Arial" w:hAnsi="Arial" w:cs="Arial"/>
        </w:rPr>
        <w:t>I also plan to participate in Collaborative Online International Learning (COIL) groups, as these communities provide opportunities for students to develop thinking beyond borders, develop their intercultural competencies (Wimpenny et al., 2024). In combination with a strong digital identity, the participation in academic online communities allows me to represent myself as both a learner and contributor.</w:t>
      </w:r>
    </w:p>
    <w:p w14:paraId="2FC22998" w14:textId="0F4BAE47" w:rsidR="00DC549F" w:rsidRDefault="00DC549F" w:rsidP="00DC549F">
      <w:pPr>
        <w:spacing w:line="480" w:lineRule="auto"/>
        <w:rPr>
          <w:rFonts w:ascii="Arial" w:hAnsi="Arial" w:cs="Arial"/>
        </w:rPr>
      </w:pPr>
      <w:r w:rsidRPr="00DC549F">
        <w:rPr>
          <w:rFonts w:ascii="Arial" w:hAnsi="Arial" w:cs="Arial"/>
        </w:rPr>
        <w:t>Finally, to maintain an extensive record of interaction with community partners and institutions, I will document my interactions within my PLE, utilising blogs and reflective writing as tools to measure my progress and develop my professional identity (Blair &amp; Level, 2008). I will adopt this approach to ensure that the work I engage in and the experiences I have while engaged with my community are part of a continuing process of overall development rather than simply a series of isolated experiences.</w:t>
      </w:r>
    </w:p>
    <w:p w14:paraId="5563EFFE" w14:textId="77777777" w:rsidR="00DC549F" w:rsidRDefault="00DC549F" w:rsidP="00DC549F">
      <w:pPr>
        <w:spacing w:line="480" w:lineRule="auto"/>
        <w:rPr>
          <w:rFonts w:ascii="Arial" w:hAnsi="Arial" w:cs="Arial"/>
        </w:rPr>
      </w:pPr>
    </w:p>
    <w:p w14:paraId="307AA498" w14:textId="77777777" w:rsidR="00DC549F" w:rsidRDefault="00DC549F" w:rsidP="00DC549F">
      <w:pPr>
        <w:spacing w:line="480" w:lineRule="auto"/>
        <w:rPr>
          <w:rFonts w:ascii="Arial" w:hAnsi="Arial" w:cs="Arial"/>
        </w:rPr>
      </w:pPr>
    </w:p>
    <w:p w14:paraId="0C47DB69" w14:textId="77777777" w:rsidR="00DC549F" w:rsidRDefault="00DC549F" w:rsidP="00DC549F">
      <w:pPr>
        <w:spacing w:line="480" w:lineRule="auto"/>
        <w:rPr>
          <w:rFonts w:ascii="Arial" w:hAnsi="Arial" w:cs="Arial"/>
        </w:rPr>
      </w:pPr>
    </w:p>
    <w:p w14:paraId="44B6584B" w14:textId="2360B47B" w:rsidR="00DC549F" w:rsidRPr="00DC549F" w:rsidRDefault="00DC549F" w:rsidP="00DC549F">
      <w:pPr>
        <w:spacing w:line="480" w:lineRule="auto"/>
        <w:rPr>
          <w:rFonts w:ascii="Arial" w:hAnsi="Arial" w:cs="Arial"/>
          <w:b/>
          <w:bCs/>
        </w:rPr>
      </w:pPr>
      <w:r w:rsidRPr="00DC549F">
        <w:rPr>
          <w:rFonts w:ascii="Arial" w:hAnsi="Arial" w:cs="Arial"/>
          <w:b/>
          <w:bCs/>
        </w:rPr>
        <w:lastRenderedPageBreak/>
        <w:t xml:space="preserve">Section 4: References </w:t>
      </w:r>
    </w:p>
    <w:p w14:paraId="3578ECF1" w14:textId="77777777" w:rsidR="00DC549F" w:rsidRDefault="00DC549F" w:rsidP="00DC549F">
      <w:pPr>
        <w:spacing w:line="480" w:lineRule="auto"/>
        <w:rPr>
          <w:rFonts w:ascii="Arial" w:hAnsi="Arial" w:cs="Arial"/>
        </w:rPr>
      </w:pPr>
      <w:r w:rsidRPr="00DC549F">
        <w:rPr>
          <w:rFonts w:ascii="Arial" w:hAnsi="Arial" w:cs="Arial"/>
        </w:rPr>
        <w:t xml:space="preserve">Adeoye, M. A., </w:t>
      </w:r>
      <w:proofErr w:type="spellStart"/>
      <w:r w:rsidRPr="00DC549F">
        <w:rPr>
          <w:rFonts w:ascii="Arial" w:hAnsi="Arial" w:cs="Arial"/>
        </w:rPr>
        <w:t>Baharun</w:t>
      </w:r>
      <w:proofErr w:type="spellEnd"/>
      <w:r w:rsidRPr="00DC549F">
        <w:rPr>
          <w:rFonts w:ascii="Arial" w:hAnsi="Arial" w:cs="Arial"/>
        </w:rPr>
        <w:t xml:space="preserve">, H., &amp; </w:t>
      </w:r>
      <w:proofErr w:type="spellStart"/>
      <w:r w:rsidRPr="00DC549F">
        <w:rPr>
          <w:rFonts w:ascii="Arial" w:hAnsi="Arial" w:cs="Arial"/>
        </w:rPr>
        <w:t>Munawwaroh</w:t>
      </w:r>
      <w:proofErr w:type="spellEnd"/>
      <w:r w:rsidRPr="00DC549F">
        <w:rPr>
          <w:rFonts w:ascii="Arial" w:hAnsi="Arial" w:cs="Arial"/>
        </w:rPr>
        <w:t xml:space="preserve">, I. (2025). </w:t>
      </w:r>
      <w:r w:rsidRPr="00DC549F">
        <w:rPr>
          <w:rFonts w:ascii="Arial" w:hAnsi="Arial" w:cs="Arial"/>
          <w:i/>
          <w:iCs/>
        </w:rPr>
        <w:t>Transformational Leadership in Education: Harmonising Accountability, Innovation and Global Citizenship</w:t>
      </w:r>
      <w:r w:rsidRPr="00DC549F">
        <w:rPr>
          <w:rFonts w:ascii="Arial" w:hAnsi="Arial" w:cs="Arial"/>
        </w:rPr>
        <w:t>. Kharisma.</w:t>
      </w:r>
    </w:p>
    <w:p w14:paraId="597BE5DE" w14:textId="1674F83C" w:rsidR="00DC549F" w:rsidRPr="00DC549F" w:rsidRDefault="00DC549F" w:rsidP="00DC549F">
      <w:pPr>
        <w:spacing w:line="480" w:lineRule="auto"/>
        <w:rPr>
          <w:rFonts w:ascii="Arial" w:hAnsi="Arial" w:cs="Arial"/>
        </w:rPr>
      </w:pPr>
      <w:r w:rsidRPr="00DC549F">
        <w:rPr>
          <w:rFonts w:ascii="Arial" w:hAnsi="Arial" w:cs="Arial"/>
        </w:rPr>
        <w:t xml:space="preserve">Arafat, E., Sharfuddin, N., Sarkar, J. P. S., &amp; Chowdhury, T. F. (2025). University </w:t>
      </w:r>
      <w:r w:rsidRPr="00DC549F">
        <w:rPr>
          <w:rFonts w:ascii="Arial" w:hAnsi="Arial" w:cs="Arial"/>
        </w:rPr>
        <w:t>students</w:t>
      </w:r>
      <w:r w:rsidRPr="00DC549F">
        <w:rPr>
          <w:rFonts w:ascii="Arial" w:hAnsi="Arial" w:cs="Arial"/>
        </w:rPr>
        <w:t xml:space="preserve"> lived experiences of blogging as a tool for writing. </w:t>
      </w:r>
      <w:r w:rsidRPr="0084196B">
        <w:rPr>
          <w:rFonts w:ascii="Arial" w:hAnsi="Arial" w:cs="Arial"/>
          <w:i/>
          <w:iCs/>
        </w:rPr>
        <w:t>International Journal of Educational Research Open,</w:t>
      </w:r>
      <w:r w:rsidRPr="00DC549F">
        <w:rPr>
          <w:rFonts w:ascii="Arial" w:hAnsi="Arial" w:cs="Arial"/>
        </w:rPr>
        <w:t xml:space="preserve"> 8, 100431.</w:t>
      </w:r>
    </w:p>
    <w:p w14:paraId="6A83AADF" w14:textId="65ED8858" w:rsidR="00DC549F" w:rsidRPr="00DC549F" w:rsidRDefault="00DC549F" w:rsidP="00DC549F">
      <w:pPr>
        <w:spacing w:line="480" w:lineRule="auto"/>
        <w:rPr>
          <w:rFonts w:ascii="Arial" w:hAnsi="Arial" w:cs="Arial"/>
        </w:rPr>
      </w:pPr>
      <w:r w:rsidRPr="00DC549F">
        <w:rPr>
          <w:rFonts w:ascii="Arial" w:hAnsi="Arial" w:cs="Arial"/>
        </w:rPr>
        <w:t xml:space="preserve">Allen, D., &amp; Tanner, K. (2006). Rubrics: Tools for making learning goals explicit. </w:t>
      </w:r>
      <w:r w:rsidRPr="0084196B">
        <w:rPr>
          <w:rFonts w:ascii="Arial" w:hAnsi="Arial" w:cs="Arial"/>
          <w:i/>
          <w:iCs/>
        </w:rPr>
        <w:t>CBE</w:t>
      </w:r>
      <w:r w:rsidR="0084196B" w:rsidRPr="0084196B">
        <w:rPr>
          <w:rFonts w:ascii="Arial" w:hAnsi="Arial" w:cs="Arial"/>
          <w:i/>
          <w:iCs/>
        </w:rPr>
        <w:t>-</w:t>
      </w:r>
      <w:r w:rsidRPr="0084196B">
        <w:rPr>
          <w:rFonts w:ascii="Arial" w:hAnsi="Arial" w:cs="Arial"/>
          <w:i/>
          <w:iCs/>
        </w:rPr>
        <w:t>Life Sciences Education, 5</w:t>
      </w:r>
      <w:r w:rsidRPr="00DC549F">
        <w:rPr>
          <w:rFonts w:ascii="Arial" w:hAnsi="Arial" w:cs="Arial"/>
        </w:rPr>
        <w:t>(3), 197–203.</w:t>
      </w:r>
    </w:p>
    <w:p w14:paraId="4A2C3D9B" w14:textId="77777777" w:rsidR="0084196B" w:rsidRDefault="00DC549F" w:rsidP="00DC549F">
      <w:pPr>
        <w:spacing w:line="480" w:lineRule="auto"/>
        <w:rPr>
          <w:rFonts w:ascii="Arial" w:hAnsi="Arial" w:cs="Arial"/>
        </w:rPr>
      </w:pPr>
      <w:r w:rsidRPr="00DC549F">
        <w:rPr>
          <w:rFonts w:ascii="Arial" w:hAnsi="Arial" w:cs="Arial"/>
        </w:rPr>
        <w:t xml:space="preserve">Bhagat, A., Vyas, R., &amp; Singh, T. (2015). Students’ awareness of learning styles. </w:t>
      </w:r>
      <w:r w:rsidRPr="0084196B">
        <w:rPr>
          <w:rFonts w:ascii="Arial" w:hAnsi="Arial" w:cs="Arial"/>
          <w:i/>
          <w:iCs/>
        </w:rPr>
        <w:t>IJABMR, 5(</w:t>
      </w:r>
      <w:r w:rsidRPr="00DC549F">
        <w:rPr>
          <w:rFonts w:ascii="Arial" w:hAnsi="Arial" w:cs="Arial"/>
        </w:rPr>
        <w:t>S1).</w:t>
      </w:r>
    </w:p>
    <w:p w14:paraId="05297DA9" w14:textId="3365243E" w:rsidR="00DC549F" w:rsidRPr="00DC549F" w:rsidRDefault="00DC549F" w:rsidP="00DC549F">
      <w:pPr>
        <w:spacing w:line="480" w:lineRule="auto"/>
        <w:rPr>
          <w:rFonts w:ascii="Arial" w:hAnsi="Arial" w:cs="Arial"/>
        </w:rPr>
      </w:pPr>
      <w:r w:rsidRPr="00DC549F">
        <w:rPr>
          <w:rFonts w:ascii="Arial" w:hAnsi="Arial" w:cs="Arial"/>
        </w:rPr>
        <w:t xml:space="preserve">Blair, J., &amp; Level, A. V. (2008). Creating and evaluating a subject-based blog. </w:t>
      </w:r>
      <w:r w:rsidRPr="0084196B">
        <w:rPr>
          <w:rFonts w:ascii="Arial" w:hAnsi="Arial" w:cs="Arial"/>
          <w:i/>
          <w:iCs/>
        </w:rPr>
        <w:t>Reference Services Review, 36</w:t>
      </w:r>
      <w:r w:rsidRPr="00DC549F">
        <w:rPr>
          <w:rFonts w:ascii="Arial" w:hAnsi="Arial" w:cs="Arial"/>
        </w:rPr>
        <w:t>(2), 156–166.</w:t>
      </w:r>
    </w:p>
    <w:p w14:paraId="0CEFC482" w14:textId="77777777" w:rsidR="00DC549F" w:rsidRPr="0084196B" w:rsidRDefault="00DC549F" w:rsidP="00DC549F">
      <w:pPr>
        <w:spacing w:line="480" w:lineRule="auto"/>
        <w:rPr>
          <w:rFonts w:ascii="Arial" w:hAnsi="Arial" w:cs="Arial"/>
          <w:i/>
          <w:iCs/>
        </w:rPr>
      </w:pPr>
      <w:r w:rsidRPr="00DC549F">
        <w:rPr>
          <w:rFonts w:ascii="Arial" w:hAnsi="Arial" w:cs="Arial"/>
        </w:rPr>
        <w:t xml:space="preserve">Chislett, V., &amp; Chapman, A. (2005). </w:t>
      </w:r>
      <w:r w:rsidRPr="0084196B">
        <w:rPr>
          <w:rFonts w:ascii="Arial" w:hAnsi="Arial" w:cs="Arial"/>
          <w:i/>
          <w:iCs/>
        </w:rPr>
        <w:t>VAK Learning Styles Questionnaire.</w:t>
      </w:r>
    </w:p>
    <w:p w14:paraId="26423250" w14:textId="77777777" w:rsidR="00DC549F" w:rsidRPr="00DC549F" w:rsidRDefault="00DC549F" w:rsidP="00DC549F">
      <w:pPr>
        <w:spacing w:line="480" w:lineRule="auto"/>
        <w:rPr>
          <w:rFonts w:ascii="Arial" w:hAnsi="Arial" w:cs="Arial"/>
        </w:rPr>
      </w:pPr>
      <w:r w:rsidRPr="00DC549F">
        <w:rPr>
          <w:rFonts w:ascii="Arial" w:hAnsi="Arial" w:cs="Arial"/>
        </w:rPr>
        <w:t>El-</w:t>
      </w:r>
      <w:proofErr w:type="spellStart"/>
      <w:r w:rsidRPr="00DC549F">
        <w:rPr>
          <w:rFonts w:ascii="Arial" w:hAnsi="Arial" w:cs="Arial"/>
        </w:rPr>
        <w:t>Saftawy</w:t>
      </w:r>
      <w:proofErr w:type="spellEnd"/>
      <w:r w:rsidRPr="00DC549F">
        <w:rPr>
          <w:rFonts w:ascii="Arial" w:hAnsi="Arial" w:cs="Arial"/>
        </w:rPr>
        <w:t xml:space="preserve">, E. et al. (2024). </w:t>
      </w:r>
      <w:r w:rsidRPr="0084196B">
        <w:rPr>
          <w:rFonts w:ascii="Arial" w:hAnsi="Arial" w:cs="Arial"/>
          <w:i/>
          <w:iCs/>
        </w:rPr>
        <w:t>Influence of VARK learning styles on teaching skills.</w:t>
      </w:r>
      <w:r w:rsidRPr="00DC549F">
        <w:rPr>
          <w:rFonts w:ascii="Arial" w:hAnsi="Arial" w:cs="Arial"/>
        </w:rPr>
        <w:t xml:space="preserve"> BMC Medical Education, 24, 1034.</w:t>
      </w:r>
    </w:p>
    <w:p w14:paraId="567B3684" w14:textId="3DCD6B3E" w:rsidR="00DC549F" w:rsidRPr="00DC549F" w:rsidRDefault="00DC549F" w:rsidP="00DC549F">
      <w:pPr>
        <w:spacing w:line="480" w:lineRule="auto"/>
        <w:rPr>
          <w:rFonts w:ascii="Arial" w:hAnsi="Arial" w:cs="Arial"/>
        </w:rPr>
      </w:pPr>
      <w:r w:rsidRPr="00DC549F">
        <w:rPr>
          <w:rFonts w:ascii="Arial" w:hAnsi="Arial" w:cs="Arial"/>
        </w:rPr>
        <w:t xml:space="preserve">Gunawardena, M., Bishop, P., &amp; </w:t>
      </w:r>
      <w:proofErr w:type="spellStart"/>
      <w:r w:rsidRPr="00DC549F">
        <w:rPr>
          <w:rFonts w:ascii="Arial" w:hAnsi="Arial" w:cs="Arial"/>
        </w:rPr>
        <w:t>Aviruppola</w:t>
      </w:r>
      <w:proofErr w:type="spellEnd"/>
      <w:r w:rsidRPr="00DC549F">
        <w:rPr>
          <w:rFonts w:ascii="Arial" w:hAnsi="Arial" w:cs="Arial"/>
        </w:rPr>
        <w:t xml:space="preserve">, K. (2024). </w:t>
      </w:r>
      <w:r w:rsidRPr="0084196B">
        <w:rPr>
          <w:rFonts w:ascii="Arial" w:hAnsi="Arial" w:cs="Arial"/>
          <w:i/>
          <w:iCs/>
        </w:rPr>
        <w:t>Personali</w:t>
      </w:r>
      <w:r w:rsidR="0084196B" w:rsidRPr="0084196B">
        <w:rPr>
          <w:rFonts w:ascii="Arial" w:hAnsi="Arial" w:cs="Arial"/>
          <w:i/>
          <w:iCs/>
        </w:rPr>
        <w:t>s</w:t>
      </w:r>
      <w:r w:rsidRPr="0084196B">
        <w:rPr>
          <w:rFonts w:ascii="Arial" w:hAnsi="Arial" w:cs="Arial"/>
          <w:i/>
          <w:iCs/>
        </w:rPr>
        <w:t>ed learning: Simple to chaotic.</w:t>
      </w:r>
      <w:r w:rsidRPr="00DC549F">
        <w:rPr>
          <w:rFonts w:ascii="Arial" w:hAnsi="Arial" w:cs="Arial"/>
        </w:rPr>
        <w:t xml:space="preserve"> Teaching and Teacher Education, 139.</w:t>
      </w:r>
    </w:p>
    <w:p w14:paraId="77616B13" w14:textId="77777777" w:rsidR="00DC549F" w:rsidRPr="00DC549F" w:rsidRDefault="00DC549F" w:rsidP="00DC549F">
      <w:pPr>
        <w:spacing w:line="480" w:lineRule="auto"/>
        <w:rPr>
          <w:rFonts w:ascii="Arial" w:hAnsi="Arial" w:cs="Arial"/>
        </w:rPr>
      </w:pPr>
      <w:r w:rsidRPr="00DC549F">
        <w:rPr>
          <w:rFonts w:ascii="Arial" w:hAnsi="Arial" w:cs="Arial"/>
        </w:rPr>
        <w:t xml:space="preserve">Mahmoud, C. F., &amp; Sørensen, J. T. (2024). AI in personalized learning. </w:t>
      </w:r>
      <w:r w:rsidRPr="0084196B">
        <w:rPr>
          <w:rFonts w:ascii="Arial" w:hAnsi="Arial" w:cs="Arial"/>
          <w:i/>
          <w:iCs/>
        </w:rPr>
        <w:t>Research and Advances in Education, 3</w:t>
      </w:r>
      <w:r w:rsidRPr="00DC549F">
        <w:rPr>
          <w:rFonts w:ascii="Arial" w:hAnsi="Arial" w:cs="Arial"/>
        </w:rPr>
        <w:t>(8).</w:t>
      </w:r>
    </w:p>
    <w:p w14:paraId="39DCBA8E" w14:textId="77777777" w:rsidR="0084196B" w:rsidRDefault="00DC549F" w:rsidP="00DC549F">
      <w:pPr>
        <w:spacing w:line="480" w:lineRule="auto"/>
        <w:rPr>
          <w:rFonts w:ascii="Arial" w:hAnsi="Arial" w:cs="Arial"/>
        </w:rPr>
      </w:pPr>
      <w:r w:rsidRPr="00DC549F">
        <w:rPr>
          <w:rFonts w:ascii="Arial" w:hAnsi="Arial" w:cs="Arial"/>
        </w:rPr>
        <w:t xml:space="preserve">Martindale, T., &amp; Dowdy, M. (2010). </w:t>
      </w:r>
      <w:r w:rsidRPr="0084196B">
        <w:rPr>
          <w:rFonts w:ascii="Arial" w:hAnsi="Arial" w:cs="Arial"/>
          <w:i/>
          <w:iCs/>
        </w:rPr>
        <w:t>Personal learning environments</w:t>
      </w:r>
      <w:r w:rsidRPr="00DC549F">
        <w:rPr>
          <w:rFonts w:ascii="Arial" w:hAnsi="Arial" w:cs="Arial"/>
        </w:rPr>
        <w:t>. Emerging Technologies in Distance Education, 177–193.</w:t>
      </w:r>
    </w:p>
    <w:p w14:paraId="16BDEB28" w14:textId="3B36A174" w:rsidR="00DC549F" w:rsidRPr="00DC549F" w:rsidRDefault="00DC549F" w:rsidP="00DC549F">
      <w:pPr>
        <w:spacing w:line="480" w:lineRule="auto"/>
        <w:rPr>
          <w:rFonts w:ascii="Arial" w:hAnsi="Arial" w:cs="Arial"/>
        </w:rPr>
      </w:pPr>
      <w:proofErr w:type="spellStart"/>
      <w:r w:rsidRPr="00DC549F">
        <w:rPr>
          <w:rFonts w:ascii="Arial" w:hAnsi="Arial" w:cs="Arial"/>
        </w:rPr>
        <w:lastRenderedPageBreak/>
        <w:t>Osueke</w:t>
      </w:r>
      <w:proofErr w:type="spellEnd"/>
      <w:r w:rsidRPr="00DC549F">
        <w:rPr>
          <w:rFonts w:ascii="Arial" w:hAnsi="Arial" w:cs="Arial"/>
        </w:rPr>
        <w:t xml:space="preserve">, B., Mekonnen, B., &amp; Stanton, J. D. (2018). How undergraduates use learning objectives. </w:t>
      </w:r>
      <w:r w:rsidRPr="0084196B">
        <w:rPr>
          <w:rFonts w:ascii="Arial" w:hAnsi="Arial" w:cs="Arial"/>
          <w:i/>
          <w:iCs/>
        </w:rPr>
        <w:t>JMBE, 19</w:t>
      </w:r>
      <w:r w:rsidRPr="00DC549F">
        <w:rPr>
          <w:rFonts w:ascii="Arial" w:hAnsi="Arial" w:cs="Arial"/>
        </w:rPr>
        <w:t>(2).</w:t>
      </w:r>
    </w:p>
    <w:p w14:paraId="1EC08150" w14:textId="77777777" w:rsidR="00DC549F" w:rsidRPr="00DC549F" w:rsidRDefault="00DC549F" w:rsidP="00DC549F">
      <w:pPr>
        <w:spacing w:line="480" w:lineRule="auto"/>
        <w:rPr>
          <w:rFonts w:ascii="Arial" w:hAnsi="Arial" w:cs="Arial"/>
        </w:rPr>
      </w:pPr>
      <w:r w:rsidRPr="00DC549F">
        <w:rPr>
          <w:rFonts w:ascii="Arial" w:hAnsi="Arial" w:cs="Arial"/>
        </w:rPr>
        <w:t xml:space="preserve">Pahi, K. et al. (2024). </w:t>
      </w:r>
      <w:r w:rsidRPr="0084196B">
        <w:rPr>
          <w:rFonts w:ascii="Arial" w:hAnsi="Arial" w:cs="Arial"/>
          <w:i/>
          <w:iCs/>
        </w:rPr>
        <w:t>Active learning through collaboration with generative AI</w:t>
      </w:r>
      <w:r w:rsidRPr="00DC549F">
        <w:rPr>
          <w:rFonts w:ascii="Arial" w:hAnsi="Arial" w:cs="Arial"/>
        </w:rPr>
        <w:t>. Computers and Education Open, 6.</w:t>
      </w:r>
    </w:p>
    <w:p w14:paraId="241C9075" w14:textId="77777777" w:rsidR="00DC549F" w:rsidRPr="00DC549F" w:rsidRDefault="00DC549F" w:rsidP="00DC549F">
      <w:pPr>
        <w:spacing w:line="480" w:lineRule="auto"/>
        <w:rPr>
          <w:rFonts w:ascii="Arial" w:hAnsi="Arial" w:cs="Arial"/>
        </w:rPr>
      </w:pPr>
      <w:r w:rsidRPr="00DC549F">
        <w:rPr>
          <w:rFonts w:ascii="Arial" w:hAnsi="Arial" w:cs="Arial"/>
        </w:rPr>
        <w:t xml:space="preserve">Sharma, K. et al. (2024). Self-regulation in adaptive environments. </w:t>
      </w:r>
      <w:r w:rsidRPr="0084196B">
        <w:rPr>
          <w:rFonts w:ascii="Arial" w:hAnsi="Arial" w:cs="Arial"/>
          <w:i/>
          <w:iCs/>
        </w:rPr>
        <w:t>BJET, 55</w:t>
      </w:r>
      <w:r w:rsidRPr="00DC549F">
        <w:rPr>
          <w:rFonts w:ascii="Arial" w:hAnsi="Arial" w:cs="Arial"/>
        </w:rPr>
        <w:t>(4).</w:t>
      </w:r>
    </w:p>
    <w:p w14:paraId="55648E8F" w14:textId="77777777" w:rsidR="00DC549F" w:rsidRPr="00DC549F" w:rsidRDefault="00DC549F" w:rsidP="00DC549F">
      <w:pPr>
        <w:spacing w:line="480" w:lineRule="auto"/>
        <w:rPr>
          <w:rFonts w:ascii="Arial" w:hAnsi="Arial" w:cs="Arial"/>
        </w:rPr>
      </w:pPr>
      <w:r w:rsidRPr="00DC549F">
        <w:rPr>
          <w:rFonts w:ascii="Arial" w:hAnsi="Arial" w:cs="Arial"/>
        </w:rPr>
        <w:t xml:space="preserve">Svarstad, L. K., &amp; Risager, K. (2024). A cycle model of intercultural learning. </w:t>
      </w:r>
      <w:r w:rsidRPr="0084196B">
        <w:rPr>
          <w:rFonts w:ascii="Arial" w:hAnsi="Arial" w:cs="Arial"/>
          <w:i/>
          <w:iCs/>
        </w:rPr>
        <w:t>Language, Culture and Curriculum, 37</w:t>
      </w:r>
      <w:r w:rsidRPr="00DC549F">
        <w:rPr>
          <w:rFonts w:ascii="Arial" w:hAnsi="Arial" w:cs="Arial"/>
        </w:rPr>
        <w:t>(2).</w:t>
      </w:r>
    </w:p>
    <w:p w14:paraId="47E6E092" w14:textId="77777777" w:rsidR="00DC549F" w:rsidRPr="00DC549F" w:rsidRDefault="00DC549F" w:rsidP="00DC549F">
      <w:pPr>
        <w:spacing w:line="480" w:lineRule="auto"/>
        <w:rPr>
          <w:rFonts w:ascii="Arial" w:hAnsi="Arial" w:cs="Arial"/>
        </w:rPr>
      </w:pPr>
      <w:r w:rsidRPr="00DC549F">
        <w:rPr>
          <w:rFonts w:ascii="Arial" w:hAnsi="Arial" w:cs="Arial"/>
        </w:rPr>
        <w:t xml:space="preserve">Van Rompay-Bartels, I. et al. (2024). Impact of intercultural virtual collaboration. In </w:t>
      </w:r>
      <w:r w:rsidRPr="0084196B">
        <w:rPr>
          <w:rFonts w:ascii="Arial" w:hAnsi="Arial" w:cs="Arial"/>
          <w:i/>
          <w:iCs/>
        </w:rPr>
        <w:t>Belonging in Culturally Diverse Societies</w:t>
      </w:r>
      <w:r w:rsidRPr="00DC549F">
        <w:rPr>
          <w:rFonts w:ascii="Arial" w:hAnsi="Arial" w:cs="Arial"/>
        </w:rPr>
        <w:t>.</w:t>
      </w:r>
    </w:p>
    <w:p w14:paraId="28751FBC" w14:textId="77777777" w:rsidR="00DC549F" w:rsidRPr="00DC549F" w:rsidRDefault="00DC549F" w:rsidP="00DC549F">
      <w:pPr>
        <w:spacing w:line="480" w:lineRule="auto"/>
        <w:rPr>
          <w:rFonts w:ascii="Arial" w:hAnsi="Arial" w:cs="Arial"/>
        </w:rPr>
      </w:pPr>
      <w:r w:rsidRPr="00DC549F">
        <w:rPr>
          <w:rFonts w:ascii="Arial" w:hAnsi="Arial" w:cs="Arial"/>
        </w:rPr>
        <w:t xml:space="preserve">Vincent, A., &amp; Ross, D. (2001). Learning Style Awareness. </w:t>
      </w:r>
      <w:r w:rsidRPr="0084196B">
        <w:rPr>
          <w:rFonts w:ascii="Arial" w:hAnsi="Arial" w:cs="Arial"/>
          <w:i/>
          <w:iCs/>
        </w:rPr>
        <w:t>JRTE, 33</w:t>
      </w:r>
      <w:r w:rsidRPr="00DC549F">
        <w:rPr>
          <w:rFonts w:ascii="Arial" w:hAnsi="Arial" w:cs="Arial"/>
        </w:rPr>
        <w:t>(5).</w:t>
      </w:r>
    </w:p>
    <w:p w14:paraId="6CB59562" w14:textId="77777777" w:rsidR="00DC549F" w:rsidRPr="00DC549F" w:rsidRDefault="00DC549F" w:rsidP="00DC549F">
      <w:pPr>
        <w:spacing w:line="480" w:lineRule="auto"/>
        <w:rPr>
          <w:rFonts w:ascii="Arial" w:hAnsi="Arial" w:cs="Arial"/>
        </w:rPr>
      </w:pPr>
      <w:r w:rsidRPr="00DC549F">
        <w:rPr>
          <w:rFonts w:ascii="Arial" w:hAnsi="Arial" w:cs="Arial"/>
        </w:rPr>
        <w:t xml:space="preserve">Wimpenny, K. et al. (2024). COIL as border thinking for citizenship. </w:t>
      </w:r>
      <w:r w:rsidRPr="0084196B">
        <w:rPr>
          <w:rFonts w:ascii="Arial" w:hAnsi="Arial" w:cs="Arial"/>
          <w:i/>
          <w:iCs/>
        </w:rPr>
        <w:t>IJDEGL, 16</w:t>
      </w:r>
      <w:r w:rsidRPr="00DC549F">
        <w:rPr>
          <w:rFonts w:ascii="Arial" w:hAnsi="Arial" w:cs="Arial"/>
        </w:rPr>
        <w:t>(1).</w:t>
      </w:r>
    </w:p>
    <w:p w14:paraId="0DE351B0" w14:textId="24B6015C" w:rsidR="00DC549F" w:rsidRPr="00DC549F" w:rsidRDefault="00DC549F" w:rsidP="00DC549F">
      <w:pPr>
        <w:spacing w:line="480" w:lineRule="auto"/>
        <w:rPr>
          <w:rFonts w:ascii="Arial" w:hAnsi="Arial" w:cs="Arial"/>
        </w:rPr>
      </w:pPr>
      <w:r w:rsidRPr="00DC549F">
        <w:rPr>
          <w:rFonts w:ascii="Arial" w:hAnsi="Arial" w:cs="Arial"/>
        </w:rPr>
        <w:t xml:space="preserve">Zalli, E. (2024). Globalisation and education. </w:t>
      </w:r>
      <w:r w:rsidRPr="0084196B">
        <w:rPr>
          <w:rFonts w:ascii="Arial" w:hAnsi="Arial" w:cs="Arial"/>
          <w:i/>
          <w:iCs/>
        </w:rPr>
        <w:t>Interdisciplinary Journal of Research and Development, 11</w:t>
      </w:r>
      <w:r w:rsidRPr="00DC549F">
        <w:rPr>
          <w:rFonts w:ascii="Arial" w:hAnsi="Arial" w:cs="Arial"/>
        </w:rPr>
        <w:t>(1).</w:t>
      </w:r>
    </w:p>
    <w:sectPr w:rsidR="00DC549F" w:rsidRPr="00DC549F" w:rsidSect="0084196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0ECB9" w14:textId="77777777" w:rsidR="00566100" w:rsidRDefault="00566100" w:rsidP="0084196B">
      <w:pPr>
        <w:spacing w:after="0" w:line="240" w:lineRule="auto"/>
      </w:pPr>
      <w:r>
        <w:separator/>
      </w:r>
    </w:p>
  </w:endnote>
  <w:endnote w:type="continuationSeparator" w:id="0">
    <w:p w14:paraId="6E79C936" w14:textId="77777777" w:rsidR="00566100" w:rsidRDefault="00566100" w:rsidP="0084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630066"/>
      <w:docPartObj>
        <w:docPartGallery w:val="Page Numbers (Bottom of Page)"/>
        <w:docPartUnique/>
      </w:docPartObj>
    </w:sdtPr>
    <w:sdtEndPr>
      <w:rPr>
        <w:color w:val="7F7F7F" w:themeColor="background1" w:themeShade="7F"/>
        <w:spacing w:val="60"/>
      </w:rPr>
    </w:sdtEndPr>
    <w:sdtContent>
      <w:p w14:paraId="698C0D6B" w14:textId="39565D89" w:rsidR="0084196B" w:rsidRDefault="0084196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A731B6" w14:textId="77777777" w:rsidR="0084196B" w:rsidRDefault="00841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B21D4" w14:textId="77777777" w:rsidR="00566100" w:rsidRDefault="00566100" w:rsidP="0084196B">
      <w:pPr>
        <w:spacing w:after="0" w:line="240" w:lineRule="auto"/>
      </w:pPr>
      <w:r>
        <w:separator/>
      </w:r>
    </w:p>
  </w:footnote>
  <w:footnote w:type="continuationSeparator" w:id="0">
    <w:p w14:paraId="34EDAAC9" w14:textId="77777777" w:rsidR="00566100" w:rsidRDefault="00566100" w:rsidP="008419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49F"/>
    <w:rsid w:val="00566100"/>
    <w:rsid w:val="0084196B"/>
    <w:rsid w:val="00D96A97"/>
    <w:rsid w:val="00DC5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A52AA"/>
  <w15:chartTrackingRefBased/>
  <w15:docId w15:val="{D4E1A948-B7BF-4FA3-BE40-2438E5BD7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4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4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4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4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4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4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49F"/>
    <w:rPr>
      <w:rFonts w:eastAsiaTheme="majorEastAsia" w:cstheme="majorBidi"/>
      <w:color w:val="272727" w:themeColor="text1" w:themeTint="D8"/>
    </w:rPr>
  </w:style>
  <w:style w:type="paragraph" w:styleId="Title">
    <w:name w:val="Title"/>
    <w:basedOn w:val="Normal"/>
    <w:next w:val="Normal"/>
    <w:link w:val="TitleChar"/>
    <w:uiPriority w:val="10"/>
    <w:qFormat/>
    <w:rsid w:val="00DC54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4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4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4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49F"/>
    <w:pPr>
      <w:spacing w:before="160"/>
      <w:jc w:val="center"/>
    </w:pPr>
    <w:rPr>
      <w:i/>
      <w:iCs/>
      <w:color w:val="404040" w:themeColor="text1" w:themeTint="BF"/>
    </w:rPr>
  </w:style>
  <w:style w:type="character" w:customStyle="1" w:styleId="QuoteChar">
    <w:name w:val="Quote Char"/>
    <w:basedOn w:val="DefaultParagraphFont"/>
    <w:link w:val="Quote"/>
    <w:uiPriority w:val="29"/>
    <w:rsid w:val="00DC549F"/>
    <w:rPr>
      <w:i/>
      <w:iCs/>
      <w:color w:val="404040" w:themeColor="text1" w:themeTint="BF"/>
    </w:rPr>
  </w:style>
  <w:style w:type="paragraph" w:styleId="ListParagraph">
    <w:name w:val="List Paragraph"/>
    <w:basedOn w:val="Normal"/>
    <w:uiPriority w:val="34"/>
    <w:qFormat/>
    <w:rsid w:val="00DC549F"/>
    <w:pPr>
      <w:ind w:left="720"/>
      <w:contextualSpacing/>
    </w:pPr>
  </w:style>
  <w:style w:type="character" w:styleId="IntenseEmphasis">
    <w:name w:val="Intense Emphasis"/>
    <w:basedOn w:val="DefaultParagraphFont"/>
    <w:uiPriority w:val="21"/>
    <w:qFormat/>
    <w:rsid w:val="00DC549F"/>
    <w:rPr>
      <w:i/>
      <w:iCs/>
      <w:color w:val="0F4761" w:themeColor="accent1" w:themeShade="BF"/>
    </w:rPr>
  </w:style>
  <w:style w:type="paragraph" w:styleId="IntenseQuote">
    <w:name w:val="Intense Quote"/>
    <w:basedOn w:val="Normal"/>
    <w:next w:val="Normal"/>
    <w:link w:val="IntenseQuoteChar"/>
    <w:uiPriority w:val="30"/>
    <w:qFormat/>
    <w:rsid w:val="00DC5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49F"/>
    <w:rPr>
      <w:i/>
      <w:iCs/>
      <w:color w:val="0F4761" w:themeColor="accent1" w:themeShade="BF"/>
    </w:rPr>
  </w:style>
  <w:style w:type="character" w:styleId="IntenseReference">
    <w:name w:val="Intense Reference"/>
    <w:basedOn w:val="DefaultParagraphFont"/>
    <w:uiPriority w:val="32"/>
    <w:qFormat/>
    <w:rsid w:val="00DC549F"/>
    <w:rPr>
      <w:b/>
      <w:bCs/>
      <w:smallCaps/>
      <w:color w:val="0F4761" w:themeColor="accent1" w:themeShade="BF"/>
      <w:spacing w:val="5"/>
    </w:rPr>
  </w:style>
  <w:style w:type="paragraph" w:styleId="Header">
    <w:name w:val="header"/>
    <w:basedOn w:val="Normal"/>
    <w:link w:val="HeaderChar"/>
    <w:uiPriority w:val="99"/>
    <w:unhideWhenUsed/>
    <w:rsid w:val="0084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96B"/>
  </w:style>
  <w:style w:type="paragraph" w:styleId="Footer">
    <w:name w:val="footer"/>
    <w:basedOn w:val="Normal"/>
    <w:link w:val="FooterChar"/>
    <w:uiPriority w:val="99"/>
    <w:unhideWhenUsed/>
    <w:rsid w:val="0084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96B"/>
  </w:style>
  <w:style w:type="paragraph" w:styleId="NoSpacing">
    <w:name w:val="No Spacing"/>
    <w:link w:val="NoSpacingChar"/>
    <w:uiPriority w:val="1"/>
    <w:qFormat/>
    <w:rsid w:val="008419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4196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21A9D61DF04752805A84BDC2516B1B"/>
        <w:category>
          <w:name w:val="General"/>
          <w:gallery w:val="placeholder"/>
        </w:category>
        <w:types>
          <w:type w:val="bbPlcHdr"/>
        </w:types>
        <w:behaviors>
          <w:behavior w:val="content"/>
        </w:behaviors>
        <w:guid w:val="{04C4D132-DADE-4C59-BF36-30479AAB96C6}"/>
      </w:docPartPr>
      <w:docPartBody>
        <w:p w:rsidR="00000000" w:rsidRDefault="000B3E31" w:rsidP="000B3E31">
          <w:pPr>
            <w:pStyle w:val="8321A9D61DF04752805A84BDC2516B1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E31"/>
    <w:rsid w:val="000B3E31"/>
    <w:rsid w:val="00D62F27"/>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21A9D61DF04752805A84BDC2516B1B">
    <w:name w:val="8321A9D61DF04752805A84BDC2516B1B"/>
    <w:rsid w:val="000B3E31"/>
  </w:style>
  <w:style w:type="paragraph" w:customStyle="1" w:styleId="53C9183E2A2E4CA2B613A22315FA4A95">
    <w:name w:val="53C9183E2A2E4CA2B613A22315FA4A95"/>
    <w:rsid w:val="000B3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1767</Words>
  <Characters>10074</Characters>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cp:keywords/>
  <dc:description/>
  <dcterms:created xsi:type="dcterms:W3CDTF">2025-12-10T17:24:00Z</dcterms:created>
  <dcterms:modified xsi:type="dcterms:W3CDTF">2025-12-10T17:40:00Z</dcterms:modified>
</cp:coreProperties>
</file>