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tbl>
      <w:tblPr>
        <w:tblStyle w:val="PlainTable1"/>
        <w:tblpPr w:leftFromText="180" w:rightFromText="180" w:vertAnchor="text" w:horzAnchor="margin" w:tblpY="1957"/>
        <w:tblW w:w="9794" w:type="dxa"/>
        <w:tblLook w:val="04A0" w:firstRow="1" w:lastRow="0" w:firstColumn="1" w:lastColumn="0" w:noHBand="0" w:noVBand="1"/>
      </w:tblPr>
      <w:tblGrid>
        <w:gridCol w:w="3035"/>
        <w:gridCol w:w="6759"/>
      </w:tblGrid>
      <w:tr w:rsidR="00CB09CE" w:rsidRPr="0001189E" w14:paraId="3ACC8BFC" w14:textId="77777777" w:rsidTr="00AF46F9">
        <w:trPr>
          <w:cnfStyle w:val="100000000000" w:firstRow="1" w:lastRow="0" w:firstColumn="0" w:lastColumn="0" w:oddVBand="0" w:evenVBand="0" w:oddHBand="0"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3035" w:type="dxa"/>
          </w:tcPr>
          <w:p w14:paraId="3BBD8673"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Name:</w:t>
            </w:r>
          </w:p>
        </w:tc>
        <w:tc>
          <w:tcPr>
            <w:tcW w:w="6759" w:type="dxa"/>
          </w:tcPr>
          <w:p w14:paraId="70DBC975" w14:textId="77777777" w:rsidR="00CB09CE" w:rsidRPr="0001189E" w:rsidRDefault="00CB09CE" w:rsidP="00AF46F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8"/>
                <w:szCs w:val="28"/>
                <w:lang w:val="en-BB"/>
              </w:rPr>
            </w:pPr>
            <w:r w:rsidRPr="0001189E">
              <w:rPr>
                <w:rFonts w:ascii="Arial" w:hAnsi="Arial" w:cs="Arial"/>
                <w:sz w:val="28"/>
                <w:szCs w:val="28"/>
                <w:lang w:val="en-BB"/>
              </w:rPr>
              <w:t>Mahmudul Hasan</w:t>
            </w:r>
          </w:p>
        </w:tc>
      </w:tr>
      <w:tr w:rsidR="00CB09CE" w:rsidRPr="0001189E" w14:paraId="47353379" w14:textId="77777777" w:rsidTr="00AF46F9">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54230D66"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Student ID:</w:t>
            </w:r>
          </w:p>
        </w:tc>
        <w:tc>
          <w:tcPr>
            <w:tcW w:w="6759" w:type="dxa"/>
          </w:tcPr>
          <w:p w14:paraId="5FC5ED80" w14:textId="77777777" w:rsidR="00CB09CE" w:rsidRPr="0001189E" w:rsidRDefault="00CB09CE" w:rsidP="00AF46F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sidRPr="0001189E">
              <w:rPr>
                <w:rFonts w:ascii="Arial" w:hAnsi="Arial" w:cs="Arial"/>
                <w:b/>
                <w:bCs/>
                <w:sz w:val="28"/>
                <w:szCs w:val="28"/>
                <w:lang w:val="en-BB"/>
              </w:rPr>
              <w:t>2523193</w:t>
            </w:r>
          </w:p>
        </w:tc>
      </w:tr>
      <w:tr w:rsidR="00CB09CE" w:rsidRPr="0001189E" w14:paraId="691BAB5E" w14:textId="77777777" w:rsidTr="00AF46F9">
        <w:trPr>
          <w:trHeight w:val="835"/>
        </w:trPr>
        <w:tc>
          <w:tcPr>
            <w:cnfStyle w:val="001000000000" w:firstRow="0" w:lastRow="0" w:firstColumn="1" w:lastColumn="0" w:oddVBand="0" w:evenVBand="0" w:oddHBand="0" w:evenHBand="0" w:firstRowFirstColumn="0" w:firstRowLastColumn="0" w:lastRowFirstColumn="0" w:lastRowLastColumn="0"/>
            <w:tcW w:w="3035" w:type="dxa"/>
          </w:tcPr>
          <w:p w14:paraId="5F0478FB"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Programme:</w:t>
            </w:r>
          </w:p>
        </w:tc>
        <w:tc>
          <w:tcPr>
            <w:tcW w:w="6759" w:type="dxa"/>
          </w:tcPr>
          <w:p w14:paraId="49A20EB9" w14:textId="77777777" w:rsidR="00CB09CE" w:rsidRPr="0001189E" w:rsidRDefault="00CB09CE" w:rsidP="00AF46F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01189E">
              <w:rPr>
                <w:rFonts w:ascii="Arial" w:hAnsi="Arial" w:cs="Arial"/>
                <w:b/>
                <w:bCs/>
                <w:sz w:val="28"/>
                <w:szCs w:val="28"/>
                <w:lang w:val="en-BB"/>
              </w:rPr>
              <w:t>Master of Business Administration</w:t>
            </w:r>
          </w:p>
        </w:tc>
      </w:tr>
      <w:tr w:rsidR="00CB09CE" w:rsidRPr="0001189E" w14:paraId="4AEA9F1F" w14:textId="77777777" w:rsidTr="00AF46F9">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658A1F05"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Module:</w:t>
            </w:r>
          </w:p>
        </w:tc>
        <w:tc>
          <w:tcPr>
            <w:tcW w:w="6759" w:type="dxa"/>
          </w:tcPr>
          <w:p w14:paraId="7ED4F5E7" w14:textId="77777777" w:rsidR="00CB09CE" w:rsidRPr="0001189E" w:rsidRDefault="00CB09CE" w:rsidP="00AF46F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sidRPr="00446C01">
              <w:rPr>
                <w:rFonts w:ascii="Arial" w:hAnsi="Arial" w:cs="Arial"/>
                <w:b/>
                <w:bCs/>
                <w:sz w:val="28"/>
                <w:szCs w:val="28"/>
                <w:lang w:val="en-BB"/>
              </w:rPr>
              <w:t>International Marketing: Principles and Practices</w:t>
            </w:r>
          </w:p>
        </w:tc>
      </w:tr>
      <w:tr w:rsidR="00CB09CE" w:rsidRPr="0001189E" w14:paraId="21E5F919" w14:textId="77777777" w:rsidTr="00AF46F9">
        <w:trPr>
          <w:trHeight w:val="835"/>
        </w:trPr>
        <w:tc>
          <w:tcPr>
            <w:cnfStyle w:val="001000000000" w:firstRow="0" w:lastRow="0" w:firstColumn="1" w:lastColumn="0" w:oddVBand="0" w:evenVBand="0" w:oddHBand="0" w:evenHBand="0" w:firstRowFirstColumn="0" w:firstRowLastColumn="0" w:lastRowFirstColumn="0" w:lastRowLastColumn="0"/>
            <w:tcW w:w="3035" w:type="dxa"/>
          </w:tcPr>
          <w:p w14:paraId="25E73A03"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Module Code:</w:t>
            </w:r>
          </w:p>
        </w:tc>
        <w:tc>
          <w:tcPr>
            <w:tcW w:w="6759" w:type="dxa"/>
          </w:tcPr>
          <w:p w14:paraId="32A93F16" w14:textId="77777777" w:rsidR="00CB09CE" w:rsidRPr="0001189E" w:rsidRDefault="00CB09CE" w:rsidP="00AF46F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01189E">
              <w:rPr>
                <w:rFonts w:ascii="Arial" w:hAnsi="Arial" w:cs="Arial"/>
                <w:b/>
                <w:bCs/>
                <w:sz w:val="28"/>
                <w:szCs w:val="28"/>
                <w:lang w:val="en-BB"/>
              </w:rPr>
              <w:t>LCMB702</w:t>
            </w:r>
            <w:r>
              <w:rPr>
                <w:rFonts w:ascii="Arial" w:hAnsi="Arial" w:cs="Arial"/>
                <w:b/>
                <w:bCs/>
                <w:sz w:val="28"/>
                <w:szCs w:val="28"/>
                <w:lang w:val="en-BB"/>
              </w:rPr>
              <w:t>6</w:t>
            </w:r>
          </w:p>
        </w:tc>
      </w:tr>
      <w:tr w:rsidR="00CB09CE" w:rsidRPr="0001189E" w14:paraId="4587052E" w14:textId="77777777" w:rsidTr="00AF46F9">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0E920036"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Lecturer:</w:t>
            </w:r>
          </w:p>
        </w:tc>
        <w:tc>
          <w:tcPr>
            <w:tcW w:w="6759" w:type="dxa"/>
          </w:tcPr>
          <w:p w14:paraId="121EE013" w14:textId="77777777" w:rsidR="00CB09CE" w:rsidRPr="0001189E" w:rsidRDefault="00CB09CE" w:rsidP="00AF46F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sidRPr="00D91489">
              <w:rPr>
                <w:rFonts w:ascii="Arial" w:hAnsi="Arial" w:cs="Arial"/>
                <w:b/>
                <w:bCs/>
                <w:sz w:val="28"/>
                <w:szCs w:val="28"/>
              </w:rPr>
              <w:t xml:space="preserve">Dian </w:t>
            </w:r>
            <w:proofErr w:type="spellStart"/>
            <w:r w:rsidRPr="00D91489">
              <w:rPr>
                <w:rFonts w:ascii="Arial" w:hAnsi="Arial" w:cs="Arial"/>
                <w:b/>
                <w:bCs/>
                <w:sz w:val="28"/>
                <w:szCs w:val="28"/>
              </w:rPr>
              <w:t>Mayasari</w:t>
            </w:r>
            <w:proofErr w:type="spellEnd"/>
          </w:p>
        </w:tc>
      </w:tr>
      <w:tr w:rsidR="00CB09CE" w:rsidRPr="0001189E" w14:paraId="132CC808" w14:textId="77777777" w:rsidTr="00AF46F9">
        <w:trPr>
          <w:trHeight w:val="1617"/>
        </w:trPr>
        <w:tc>
          <w:tcPr>
            <w:cnfStyle w:val="001000000000" w:firstRow="0" w:lastRow="0" w:firstColumn="1" w:lastColumn="0" w:oddVBand="0" w:evenVBand="0" w:oddHBand="0" w:evenHBand="0" w:firstRowFirstColumn="0" w:firstRowLastColumn="0" w:lastRowFirstColumn="0" w:lastRowLastColumn="0"/>
            <w:tcW w:w="3035" w:type="dxa"/>
          </w:tcPr>
          <w:p w14:paraId="67DE8C1A"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Assignment Title:</w:t>
            </w:r>
          </w:p>
        </w:tc>
        <w:tc>
          <w:tcPr>
            <w:tcW w:w="6759" w:type="dxa"/>
          </w:tcPr>
          <w:p w14:paraId="5FB1ABD8" w14:textId="77777777" w:rsidR="00CB09CE" w:rsidRPr="00A44B0F" w:rsidRDefault="00CB09CE" w:rsidP="00AF46F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A44B0F">
              <w:rPr>
                <w:rFonts w:ascii="Arial" w:hAnsi="Arial" w:cs="Arial"/>
                <w:b/>
                <w:bCs/>
                <w:sz w:val="28"/>
                <w:szCs w:val="28"/>
                <w:lang w:val="en-BB"/>
              </w:rPr>
              <w:t>Assessment component 1:</w:t>
            </w:r>
          </w:p>
          <w:p w14:paraId="3E1A549C" w14:textId="77777777" w:rsidR="00CB09CE" w:rsidRPr="0001189E" w:rsidRDefault="00CB09CE" w:rsidP="00AF46F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BB"/>
              </w:rPr>
            </w:pPr>
            <w:r w:rsidRPr="00A44B0F">
              <w:rPr>
                <w:rFonts w:ascii="Arial" w:hAnsi="Arial" w:cs="Arial"/>
                <w:b/>
                <w:bCs/>
                <w:sz w:val="28"/>
                <w:szCs w:val="28"/>
                <w:lang w:val="en-BB"/>
              </w:rPr>
              <w:t>Individual report</w:t>
            </w:r>
          </w:p>
        </w:tc>
      </w:tr>
      <w:tr w:rsidR="00CB09CE" w:rsidRPr="0001189E" w14:paraId="77B815E8" w14:textId="77777777" w:rsidTr="00AF46F9">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3035" w:type="dxa"/>
          </w:tcPr>
          <w:p w14:paraId="380288D7"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Word Count:</w:t>
            </w:r>
          </w:p>
        </w:tc>
        <w:tc>
          <w:tcPr>
            <w:tcW w:w="6759" w:type="dxa"/>
          </w:tcPr>
          <w:p w14:paraId="544860D8" w14:textId="77777777" w:rsidR="00CB09CE" w:rsidRPr="0001189E" w:rsidRDefault="00CB09CE" w:rsidP="00AF46F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BB"/>
              </w:rPr>
            </w:pPr>
            <w:r>
              <w:rPr>
                <w:rFonts w:ascii="Arial" w:hAnsi="Arial" w:cs="Arial"/>
                <w:b/>
                <w:bCs/>
                <w:sz w:val="28"/>
                <w:szCs w:val="28"/>
                <w:lang w:val="en-BB"/>
              </w:rPr>
              <w:t>Approximately 4800 words</w:t>
            </w:r>
          </w:p>
        </w:tc>
      </w:tr>
      <w:tr w:rsidR="00CB09CE" w:rsidRPr="0001189E" w14:paraId="535C2678" w14:textId="77777777" w:rsidTr="00AF46F9">
        <w:trPr>
          <w:trHeight w:val="818"/>
        </w:trPr>
        <w:tc>
          <w:tcPr>
            <w:cnfStyle w:val="001000000000" w:firstRow="0" w:lastRow="0" w:firstColumn="1" w:lastColumn="0" w:oddVBand="0" w:evenVBand="0" w:oddHBand="0" w:evenHBand="0" w:firstRowFirstColumn="0" w:firstRowLastColumn="0" w:lastRowFirstColumn="0" w:lastRowLastColumn="0"/>
            <w:tcW w:w="3035" w:type="dxa"/>
          </w:tcPr>
          <w:p w14:paraId="6C2D6482" w14:textId="77777777" w:rsidR="00CB09CE" w:rsidRPr="0001189E" w:rsidRDefault="00CB09CE" w:rsidP="00AF46F9">
            <w:pPr>
              <w:spacing w:line="360" w:lineRule="auto"/>
              <w:rPr>
                <w:rFonts w:ascii="Arial" w:hAnsi="Arial" w:cs="Arial"/>
                <w:sz w:val="28"/>
                <w:szCs w:val="28"/>
                <w:lang w:val="en-BB"/>
              </w:rPr>
            </w:pPr>
            <w:r w:rsidRPr="0001189E">
              <w:rPr>
                <w:rFonts w:ascii="Arial" w:hAnsi="Arial" w:cs="Arial"/>
                <w:sz w:val="28"/>
                <w:szCs w:val="28"/>
                <w:lang w:val="en-BB"/>
              </w:rPr>
              <w:t>Submission date:</w:t>
            </w:r>
          </w:p>
        </w:tc>
        <w:tc>
          <w:tcPr>
            <w:tcW w:w="6759" w:type="dxa"/>
          </w:tcPr>
          <w:p w14:paraId="2475B98D" w14:textId="77777777" w:rsidR="00CB09CE" w:rsidRPr="0001189E" w:rsidRDefault="00CB09CE" w:rsidP="00AF46F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sidRPr="0001189E">
              <w:rPr>
                <w:rFonts w:ascii="Arial" w:hAnsi="Arial" w:cs="Arial"/>
                <w:b/>
                <w:bCs/>
                <w:sz w:val="28"/>
                <w:szCs w:val="28"/>
                <w:lang w:val="en-BB"/>
              </w:rPr>
              <w:t>Friday 2</w:t>
            </w:r>
            <w:r>
              <w:rPr>
                <w:rFonts w:ascii="Arial" w:hAnsi="Arial" w:cs="Arial"/>
                <w:b/>
                <w:bCs/>
                <w:sz w:val="28"/>
                <w:szCs w:val="28"/>
                <w:lang w:val="en-BB"/>
              </w:rPr>
              <w:t>4</w:t>
            </w:r>
            <w:r w:rsidRPr="0001189E">
              <w:rPr>
                <w:rFonts w:ascii="Arial" w:hAnsi="Arial" w:cs="Arial"/>
                <w:b/>
                <w:bCs/>
                <w:sz w:val="28"/>
                <w:szCs w:val="28"/>
                <w:lang w:val="en-BB"/>
              </w:rPr>
              <w:t>/0</w:t>
            </w:r>
            <w:r>
              <w:rPr>
                <w:rFonts w:ascii="Arial" w:hAnsi="Arial" w:cs="Arial"/>
                <w:b/>
                <w:bCs/>
                <w:sz w:val="28"/>
                <w:szCs w:val="28"/>
                <w:lang w:val="en-BB"/>
              </w:rPr>
              <w:t>7</w:t>
            </w:r>
            <w:r w:rsidRPr="0001189E">
              <w:rPr>
                <w:rFonts w:ascii="Arial" w:hAnsi="Arial" w:cs="Arial"/>
                <w:b/>
                <w:bCs/>
                <w:sz w:val="28"/>
                <w:szCs w:val="28"/>
                <w:lang w:val="en-BB"/>
              </w:rPr>
              <w:t xml:space="preserve">/2026 </w:t>
            </w:r>
          </w:p>
        </w:tc>
      </w:tr>
    </w:tbl>
    <w:p w14:paraId="113CB80B" w14:textId="77777777" w:rsidR="00CB09CE" w:rsidRDefault="00CB09CE" w:rsidP="00CB09CE">
      <w:pPr>
        <w:pStyle w:val="NoSpacing"/>
        <w:spacing w:before="1540" w:after="240"/>
        <w:ind w:right="397"/>
        <w:rPr>
          <w:rFonts w:ascii="Arial" w:hAnsi="Arial" w:cs="Arial"/>
          <w:b/>
          <w:bCs/>
          <w:sz w:val="24"/>
          <w:szCs w:val="24"/>
          <w:u w:val="single"/>
        </w:rPr>
      </w:pPr>
      <w:r w:rsidRPr="0001189E">
        <w:rPr>
          <w:rFonts w:ascii="Arial" w:hAnsi="Arial" w:cs="Arial"/>
          <w:noProof/>
          <w:color w:val="156082" w:themeColor="accent1"/>
          <w14:ligatures w14:val="standardContextual"/>
        </w:rPr>
        <w:drawing>
          <wp:anchor distT="0" distB="0" distL="114300" distR="114300" simplePos="0" relativeHeight="251659264" behindDoc="0" locked="0" layoutInCell="1" allowOverlap="1" wp14:anchorId="09C06E80" wp14:editId="365BEB3C">
            <wp:simplePos x="0" y="0"/>
            <wp:positionH relativeFrom="margin">
              <wp:align>center</wp:align>
            </wp:positionH>
            <wp:positionV relativeFrom="page">
              <wp:posOffset>274320</wp:posOffset>
            </wp:positionV>
            <wp:extent cx="2994660" cy="1198245"/>
            <wp:effectExtent l="0" t="0" r="0" b="1905"/>
            <wp:wrapSquare wrapText="bothSides"/>
            <wp:docPr id="1911835585" name="Picture 5"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35585" name="Picture 5" descr="A close-up of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94660" cy="1198245"/>
                    </a:xfrm>
                    <a:prstGeom prst="rect">
                      <a:avLst/>
                    </a:prstGeom>
                  </pic:spPr>
                </pic:pic>
              </a:graphicData>
            </a:graphic>
            <wp14:sizeRelH relativeFrom="margin">
              <wp14:pctWidth>0</wp14:pctWidth>
            </wp14:sizeRelH>
            <wp14:sizeRelV relativeFrom="margin">
              <wp14:pctHeight>0</wp14:pctHeight>
            </wp14:sizeRelV>
          </wp:anchor>
        </w:drawing>
      </w:r>
    </w:p>
    <w:p w14:paraId="616D276E" w14:textId="77777777" w:rsidR="00CB09CE" w:rsidRDefault="00CB09CE" w:rsidP="00CB09CE">
      <w:pPr>
        <w:spacing w:after="160" w:line="278" w:lineRule="auto"/>
        <w:rPr>
          <w:rFonts w:ascii="Arial" w:hAnsi="Arial" w:cs="Arial"/>
          <w:b/>
          <w:bCs/>
          <w:sz w:val="24"/>
          <w:szCs w:val="24"/>
          <w:u w:val="single"/>
        </w:rPr>
      </w:pPr>
      <w:r>
        <w:rPr>
          <w:rFonts w:ascii="Arial" w:hAnsi="Arial" w:cs="Arial"/>
          <w:b/>
          <w:bCs/>
          <w:sz w:val="24"/>
          <w:szCs w:val="24"/>
          <w:u w:val="single"/>
        </w:rPr>
        <w:br w:type="page"/>
      </w:r>
    </w:p>
    <w:p w14:paraId="338E91F6" w14:textId="77777777" w:rsidR="00CB09CE" w:rsidRPr="009532D4" w:rsidRDefault="00CB09CE" w:rsidP="00CB09CE">
      <w:pPr>
        <w:spacing w:line="480" w:lineRule="auto"/>
        <w:rPr>
          <w:rFonts w:ascii="Arial" w:hAnsi="Arial" w:cs="Arial"/>
          <w:b/>
          <w:bCs/>
          <w:sz w:val="24"/>
          <w:szCs w:val="24"/>
          <w:u w:val="single"/>
        </w:rPr>
      </w:pPr>
      <w:r w:rsidRPr="009532D4">
        <w:rPr>
          <w:rFonts w:ascii="Arial" w:hAnsi="Arial" w:cs="Arial"/>
          <w:b/>
          <w:bCs/>
          <w:sz w:val="24"/>
          <w:szCs w:val="24"/>
          <w:u w:val="single"/>
        </w:rPr>
        <w:lastRenderedPageBreak/>
        <w:t>Contents</w:t>
      </w:r>
    </w:p>
    <w:p w14:paraId="7F824C86" w14:textId="77777777" w:rsidR="00CB09CE" w:rsidRPr="009532D4" w:rsidRDefault="00CB09CE" w:rsidP="00CB09CE">
      <w:pPr>
        <w:spacing w:line="480" w:lineRule="auto"/>
        <w:rPr>
          <w:rFonts w:ascii="Arial" w:hAnsi="Arial" w:cs="Arial"/>
          <w:b/>
          <w:bCs/>
          <w:sz w:val="24"/>
          <w:szCs w:val="24"/>
        </w:rPr>
      </w:pPr>
      <w:r w:rsidRPr="009532D4">
        <w:rPr>
          <w:rFonts w:ascii="Arial" w:hAnsi="Arial" w:cs="Arial"/>
          <w:b/>
          <w:bCs/>
          <w:sz w:val="24"/>
          <w:szCs w:val="24"/>
        </w:rPr>
        <w:t>Executive Summary</w:t>
      </w:r>
    </w:p>
    <w:p w14:paraId="44BEBFCB" w14:textId="77777777" w:rsidR="00CB09CE" w:rsidRPr="009532D4" w:rsidRDefault="00CB09CE" w:rsidP="00CB09CE">
      <w:pPr>
        <w:spacing w:line="480" w:lineRule="auto"/>
        <w:rPr>
          <w:rFonts w:ascii="Arial" w:hAnsi="Arial" w:cs="Arial"/>
          <w:b/>
          <w:bCs/>
          <w:sz w:val="24"/>
          <w:szCs w:val="24"/>
        </w:rPr>
      </w:pPr>
      <w:r w:rsidRPr="009532D4">
        <w:rPr>
          <w:rFonts w:ascii="Arial" w:hAnsi="Arial" w:cs="Arial"/>
          <w:b/>
          <w:bCs/>
          <w:sz w:val="24"/>
          <w:szCs w:val="24"/>
        </w:rPr>
        <w:t>Section 1: International Marketing Report</w:t>
      </w:r>
    </w:p>
    <w:p w14:paraId="64D0A62F" w14:textId="77777777" w:rsidR="00CB09CE" w:rsidRPr="009532D4" w:rsidRDefault="00CB09CE" w:rsidP="00CB09CE">
      <w:pPr>
        <w:pStyle w:val="ListBullet"/>
        <w:numPr>
          <w:ilvl w:val="0"/>
          <w:numId w:val="0"/>
        </w:numPr>
        <w:spacing w:line="480" w:lineRule="auto"/>
        <w:rPr>
          <w:rFonts w:ascii="Arial" w:hAnsi="Arial" w:cs="Arial"/>
          <w:b/>
          <w:bCs/>
          <w:sz w:val="24"/>
          <w:szCs w:val="24"/>
        </w:rPr>
      </w:pPr>
      <w:r w:rsidRPr="009532D4">
        <w:rPr>
          <w:rFonts w:ascii="Arial" w:hAnsi="Arial" w:cs="Arial"/>
          <w:b/>
          <w:bCs/>
          <w:sz w:val="24"/>
          <w:szCs w:val="24"/>
        </w:rPr>
        <w:t>1. Introduction</w:t>
      </w:r>
    </w:p>
    <w:p w14:paraId="3384584E" w14:textId="77777777" w:rsidR="00CB09CE" w:rsidRPr="009532D4" w:rsidRDefault="00CB09CE" w:rsidP="00CB09CE">
      <w:pPr>
        <w:pStyle w:val="ListBullet"/>
        <w:numPr>
          <w:ilvl w:val="0"/>
          <w:numId w:val="0"/>
        </w:numPr>
        <w:spacing w:line="480" w:lineRule="auto"/>
        <w:rPr>
          <w:rFonts w:ascii="Arial" w:hAnsi="Arial" w:cs="Arial"/>
          <w:b/>
          <w:bCs/>
          <w:sz w:val="24"/>
          <w:szCs w:val="24"/>
        </w:rPr>
      </w:pPr>
      <w:r w:rsidRPr="009532D4">
        <w:rPr>
          <w:rFonts w:ascii="Arial" w:hAnsi="Arial" w:cs="Arial"/>
          <w:b/>
          <w:bCs/>
          <w:sz w:val="24"/>
          <w:szCs w:val="24"/>
        </w:rPr>
        <w:t>2. Comparative Market and Macro-environment Analysis</w:t>
      </w:r>
    </w:p>
    <w:p w14:paraId="773C6C25" w14:textId="77777777" w:rsidR="00CB09CE" w:rsidRPr="009532D4" w:rsidRDefault="00CB09CE" w:rsidP="00CB09CE">
      <w:pPr>
        <w:pStyle w:val="ListBullet"/>
        <w:numPr>
          <w:ilvl w:val="0"/>
          <w:numId w:val="0"/>
        </w:numPr>
        <w:spacing w:line="480" w:lineRule="auto"/>
        <w:rPr>
          <w:rFonts w:ascii="Arial" w:hAnsi="Arial" w:cs="Arial"/>
          <w:b/>
          <w:bCs/>
          <w:sz w:val="24"/>
          <w:szCs w:val="24"/>
        </w:rPr>
      </w:pPr>
      <w:r w:rsidRPr="009532D4">
        <w:rPr>
          <w:rFonts w:ascii="Arial" w:hAnsi="Arial" w:cs="Arial"/>
          <w:b/>
          <w:bCs/>
          <w:sz w:val="24"/>
          <w:szCs w:val="24"/>
        </w:rPr>
        <w:t>3. Comparative STP Analysis</w:t>
      </w:r>
    </w:p>
    <w:p w14:paraId="640DB00A" w14:textId="77777777" w:rsidR="00CB09CE" w:rsidRPr="009532D4" w:rsidRDefault="00CB09CE" w:rsidP="00CB09CE">
      <w:pPr>
        <w:pStyle w:val="ListBullet"/>
        <w:numPr>
          <w:ilvl w:val="0"/>
          <w:numId w:val="0"/>
        </w:numPr>
        <w:spacing w:line="480" w:lineRule="auto"/>
        <w:rPr>
          <w:rFonts w:ascii="Arial" w:hAnsi="Arial" w:cs="Arial"/>
          <w:b/>
          <w:bCs/>
          <w:sz w:val="24"/>
          <w:szCs w:val="24"/>
        </w:rPr>
      </w:pPr>
      <w:r w:rsidRPr="009532D4">
        <w:rPr>
          <w:rFonts w:ascii="Arial" w:hAnsi="Arial" w:cs="Arial"/>
          <w:b/>
          <w:bCs/>
          <w:sz w:val="24"/>
          <w:szCs w:val="24"/>
        </w:rPr>
        <w:t>4. Comparative International Marketing Mix (7Ps)</w:t>
      </w:r>
    </w:p>
    <w:p w14:paraId="7C275F59" w14:textId="77777777" w:rsidR="00CB09CE" w:rsidRPr="009532D4" w:rsidRDefault="00CB09CE" w:rsidP="00CB09CE">
      <w:pPr>
        <w:pStyle w:val="ListBullet"/>
        <w:numPr>
          <w:ilvl w:val="0"/>
          <w:numId w:val="0"/>
        </w:numPr>
        <w:spacing w:line="480" w:lineRule="auto"/>
        <w:rPr>
          <w:rFonts w:ascii="Arial" w:hAnsi="Arial" w:cs="Arial"/>
          <w:b/>
          <w:bCs/>
          <w:sz w:val="24"/>
          <w:szCs w:val="24"/>
        </w:rPr>
      </w:pPr>
      <w:r w:rsidRPr="009532D4">
        <w:rPr>
          <w:rFonts w:ascii="Arial" w:hAnsi="Arial" w:cs="Arial"/>
          <w:b/>
          <w:bCs/>
          <w:sz w:val="24"/>
          <w:szCs w:val="24"/>
        </w:rPr>
        <w:t>5. Market Entry Strategy in India</w:t>
      </w:r>
    </w:p>
    <w:p w14:paraId="0D81D2DE" w14:textId="77777777" w:rsidR="00CB09CE" w:rsidRPr="009532D4" w:rsidRDefault="00CB09CE" w:rsidP="00CB09CE">
      <w:pPr>
        <w:pStyle w:val="ListBullet"/>
        <w:numPr>
          <w:ilvl w:val="0"/>
          <w:numId w:val="0"/>
        </w:numPr>
        <w:spacing w:line="480" w:lineRule="auto"/>
        <w:rPr>
          <w:rFonts w:ascii="Arial" w:hAnsi="Arial" w:cs="Arial"/>
          <w:b/>
          <w:bCs/>
          <w:sz w:val="24"/>
          <w:szCs w:val="24"/>
        </w:rPr>
      </w:pPr>
      <w:r w:rsidRPr="009532D4">
        <w:rPr>
          <w:rFonts w:ascii="Arial" w:hAnsi="Arial" w:cs="Arial"/>
          <w:b/>
          <w:bCs/>
          <w:sz w:val="24"/>
          <w:szCs w:val="24"/>
        </w:rPr>
        <w:t>6. Ethical Issue in India</w:t>
      </w:r>
    </w:p>
    <w:p w14:paraId="48835A1A" w14:textId="77777777" w:rsidR="00CB09CE" w:rsidRPr="009532D4" w:rsidRDefault="00CB09CE" w:rsidP="00CB09CE">
      <w:pPr>
        <w:pStyle w:val="ListBullet"/>
        <w:numPr>
          <w:ilvl w:val="0"/>
          <w:numId w:val="0"/>
        </w:numPr>
        <w:spacing w:line="480" w:lineRule="auto"/>
        <w:rPr>
          <w:rFonts w:ascii="Arial" w:hAnsi="Arial" w:cs="Arial"/>
          <w:b/>
          <w:bCs/>
          <w:sz w:val="24"/>
          <w:szCs w:val="24"/>
        </w:rPr>
      </w:pPr>
      <w:r w:rsidRPr="009532D4">
        <w:rPr>
          <w:rFonts w:ascii="Arial" w:hAnsi="Arial" w:cs="Arial"/>
          <w:b/>
          <w:bCs/>
          <w:sz w:val="24"/>
          <w:szCs w:val="24"/>
        </w:rPr>
        <w:t>7. Recommendations</w:t>
      </w:r>
    </w:p>
    <w:p w14:paraId="72246DE9" w14:textId="77777777" w:rsidR="00CB09CE" w:rsidRDefault="00CB09CE" w:rsidP="00CB09CE">
      <w:pPr>
        <w:pStyle w:val="ListBullet"/>
        <w:numPr>
          <w:ilvl w:val="0"/>
          <w:numId w:val="0"/>
        </w:numPr>
        <w:tabs>
          <w:tab w:val="num" w:pos="360"/>
        </w:tabs>
        <w:spacing w:line="480" w:lineRule="auto"/>
        <w:rPr>
          <w:rFonts w:ascii="Arial" w:hAnsi="Arial" w:cs="Arial"/>
          <w:b/>
          <w:bCs/>
          <w:sz w:val="24"/>
          <w:szCs w:val="24"/>
        </w:rPr>
      </w:pPr>
      <w:r w:rsidRPr="009532D4">
        <w:rPr>
          <w:rFonts w:ascii="Arial" w:hAnsi="Arial" w:cs="Arial"/>
          <w:b/>
          <w:bCs/>
          <w:sz w:val="24"/>
          <w:szCs w:val="24"/>
        </w:rPr>
        <w:t>8. Conclusio</w:t>
      </w:r>
      <w:r>
        <w:rPr>
          <w:rFonts w:ascii="Arial" w:hAnsi="Arial" w:cs="Arial"/>
          <w:b/>
          <w:bCs/>
          <w:sz w:val="24"/>
          <w:szCs w:val="24"/>
        </w:rPr>
        <w:t>n</w:t>
      </w:r>
    </w:p>
    <w:p w14:paraId="7A997502" w14:textId="77777777" w:rsidR="00CB09CE" w:rsidRDefault="00CB09CE" w:rsidP="00CB09CE">
      <w:pPr>
        <w:pStyle w:val="ListBullet"/>
        <w:numPr>
          <w:ilvl w:val="0"/>
          <w:numId w:val="0"/>
        </w:numPr>
        <w:rPr>
          <w:rFonts w:ascii="Arial" w:hAnsi="Arial" w:cs="Arial"/>
          <w:b/>
          <w:bCs/>
          <w:sz w:val="24"/>
          <w:szCs w:val="24"/>
        </w:rPr>
      </w:pPr>
      <w:r w:rsidRPr="009532D4">
        <w:rPr>
          <w:rFonts w:ascii="Arial" w:hAnsi="Arial" w:cs="Arial"/>
          <w:b/>
          <w:bCs/>
          <w:sz w:val="24"/>
          <w:szCs w:val="24"/>
        </w:rPr>
        <w:t xml:space="preserve">Section 2: </w:t>
      </w:r>
      <w:r w:rsidRPr="009532D4">
        <w:rPr>
          <w:rFonts w:ascii="Arial" w:eastAsia="Times New Roman" w:hAnsi="Arial" w:cs="Arial"/>
          <w:b/>
          <w:bCs/>
          <w:sz w:val="24"/>
          <w:szCs w:val="24"/>
          <w:lang w:val="en-BB" w:eastAsia="en-BB"/>
        </w:rPr>
        <w:t>Reflective Account (Gibbs Reflective Model)</w:t>
      </w:r>
    </w:p>
    <w:p w14:paraId="6C2AC72F" w14:textId="77777777" w:rsidR="00CB09CE" w:rsidRDefault="00CB09CE" w:rsidP="00CB09CE">
      <w:pPr>
        <w:pStyle w:val="ListBullet"/>
        <w:numPr>
          <w:ilvl w:val="0"/>
          <w:numId w:val="0"/>
        </w:numPr>
        <w:rPr>
          <w:rFonts w:ascii="Arial" w:hAnsi="Arial" w:cs="Arial"/>
          <w:b/>
          <w:bCs/>
          <w:sz w:val="24"/>
          <w:szCs w:val="24"/>
        </w:rPr>
      </w:pPr>
    </w:p>
    <w:p w14:paraId="402840D9" w14:textId="77777777" w:rsidR="00CB09CE" w:rsidRPr="00B342B4" w:rsidRDefault="00CB09CE" w:rsidP="00CB09CE">
      <w:pPr>
        <w:pStyle w:val="ListBullet"/>
        <w:numPr>
          <w:ilvl w:val="0"/>
          <w:numId w:val="0"/>
        </w:numPr>
        <w:spacing w:line="480" w:lineRule="auto"/>
        <w:rPr>
          <w:rFonts w:ascii="Arial" w:hAnsi="Arial" w:cs="Arial"/>
          <w:b/>
          <w:bCs/>
          <w:sz w:val="24"/>
          <w:szCs w:val="24"/>
        </w:rPr>
      </w:pPr>
      <w:r>
        <w:rPr>
          <w:rFonts w:ascii="Arial" w:hAnsi="Arial" w:cs="Arial"/>
          <w:b/>
          <w:bCs/>
          <w:sz w:val="24"/>
          <w:szCs w:val="24"/>
        </w:rPr>
        <w:t>Overall Conclusion</w:t>
      </w:r>
    </w:p>
    <w:p w14:paraId="634C9886" w14:textId="77777777" w:rsidR="00CB09CE" w:rsidRPr="009532D4" w:rsidRDefault="00CB09CE" w:rsidP="00CB09CE">
      <w:pPr>
        <w:spacing w:line="480" w:lineRule="auto"/>
        <w:rPr>
          <w:rFonts w:ascii="Arial" w:hAnsi="Arial" w:cs="Arial"/>
          <w:b/>
          <w:bCs/>
          <w:sz w:val="24"/>
          <w:szCs w:val="24"/>
        </w:rPr>
      </w:pPr>
      <w:r w:rsidRPr="009532D4">
        <w:rPr>
          <w:rFonts w:ascii="Arial" w:hAnsi="Arial" w:cs="Arial"/>
          <w:b/>
          <w:bCs/>
          <w:sz w:val="24"/>
          <w:szCs w:val="24"/>
        </w:rPr>
        <w:t>Reference List</w:t>
      </w:r>
    </w:p>
    <w:p w14:paraId="0C8448C4" w14:textId="77777777" w:rsidR="00CB09CE" w:rsidRPr="009532D4" w:rsidRDefault="00CB09CE" w:rsidP="00CB09CE">
      <w:pPr>
        <w:spacing w:line="480" w:lineRule="auto"/>
        <w:rPr>
          <w:rFonts w:ascii="Arial" w:hAnsi="Arial" w:cs="Arial"/>
          <w:b/>
          <w:bCs/>
          <w:sz w:val="24"/>
          <w:szCs w:val="24"/>
        </w:rPr>
      </w:pPr>
      <w:r w:rsidRPr="009532D4">
        <w:rPr>
          <w:rFonts w:ascii="Arial" w:hAnsi="Arial" w:cs="Arial"/>
          <w:b/>
          <w:bCs/>
          <w:sz w:val="24"/>
          <w:szCs w:val="24"/>
        </w:rPr>
        <w:br w:type="page"/>
      </w:r>
    </w:p>
    <w:p w14:paraId="49E832E3"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lastRenderedPageBreak/>
        <w:t>Executive Summary:</w:t>
      </w:r>
    </w:p>
    <w:p w14:paraId="6BF50455" w14:textId="77777777" w:rsidR="00CB09CE" w:rsidRPr="009532D4" w:rsidRDefault="00CB09CE" w:rsidP="00CB09CE">
      <w:pPr>
        <w:rPr>
          <w:rFonts w:ascii="Arial" w:hAnsi="Arial" w:cs="Arial"/>
          <w:sz w:val="24"/>
          <w:szCs w:val="24"/>
        </w:rPr>
      </w:pPr>
      <w:r w:rsidRPr="009532D4">
        <w:rPr>
          <w:rFonts w:ascii="Arial" w:hAnsi="Arial" w:cs="Arial"/>
          <w:sz w:val="24"/>
          <w:szCs w:val="24"/>
        </w:rPr>
        <w:t xml:space="preserve">This report compares Cadbury’s international marketing strategy in its UK home market and the Indian host market. The UK provides strong brand familiarity, high purchasing power and developed retail infrastructure, but market maturity, food inflation and tighter restrictions on </w:t>
      </w:r>
      <w:proofErr w:type="gramStart"/>
      <w:r w:rsidRPr="009532D4">
        <w:rPr>
          <w:rFonts w:ascii="Arial" w:hAnsi="Arial" w:cs="Arial"/>
          <w:sz w:val="24"/>
          <w:szCs w:val="24"/>
        </w:rPr>
        <w:t>less-healthy</w:t>
      </w:r>
      <w:proofErr w:type="gramEnd"/>
      <w:r w:rsidRPr="009532D4">
        <w:rPr>
          <w:rFonts w:ascii="Arial" w:hAnsi="Arial" w:cs="Arial"/>
          <w:sz w:val="24"/>
          <w:szCs w:val="24"/>
        </w:rPr>
        <w:t xml:space="preserve"> food promotion constrain growth. India provides greater long-term growth potential, although income inequality, cultural diversity, climate and fragmented distribution require adaptation. Cadbury uses a globalized strategy: its purple identity, Dairy Milk brand and positioning around generosity remain consistent, while products, pack sizes, prices, channels and promotional occasions are adapted. Its progression from importing to controlled local production in India improved affordability, quality control and responsiveness. However, children’s possible exposure to higher-sugar product marketing creates ethical responsibilities beyond legal compliance. The report recommends stronger protection for under-16s, responsible portion innovation, deeper regionalization, digitally integrated retail distribution and independently measured packaging improvements.</w:t>
      </w:r>
    </w:p>
    <w:p w14:paraId="31B410DD" w14:textId="77777777" w:rsidR="00CB09CE" w:rsidRPr="009532D4" w:rsidRDefault="00CB09CE" w:rsidP="00CB09CE">
      <w:pPr>
        <w:rPr>
          <w:rFonts w:ascii="Arial" w:hAnsi="Arial" w:cs="Arial"/>
          <w:sz w:val="24"/>
          <w:szCs w:val="24"/>
        </w:rPr>
      </w:pPr>
    </w:p>
    <w:p w14:paraId="63F7BBFC"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Section: 1 International Marketing Report</w:t>
      </w:r>
    </w:p>
    <w:p w14:paraId="31F39A40"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Introduction</w:t>
      </w:r>
    </w:p>
    <w:p w14:paraId="69714BB6"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 xml:space="preserve">Founded by John Cadbury in Birmingham in 1824, Cadbury evolved from a domestic cocoa business to a globally renowned candy brand (Cadbury, 2026a). It has been operating within Mondelēz International since Kraft Foods reorganised its global operations in 2012. Cadbury is the consumer-facing </w:t>
      </w:r>
      <w:proofErr w:type="gramStart"/>
      <w:r w:rsidRPr="009532D4">
        <w:rPr>
          <w:rFonts w:ascii="Arial" w:hAnsi="Arial" w:cs="Arial"/>
          <w:sz w:val="24"/>
          <w:szCs w:val="24"/>
          <w:lang w:val="en-BB"/>
        </w:rPr>
        <w:t>brand</w:t>
      </w:r>
      <w:proofErr w:type="gramEnd"/>
      <w:r w:rsidRPr="009532D4">
        <w:rPr>
          <w:rFonts w:ascii="Arial" w:hAnsi="Arial" w:cs="Arial"/>
          <w:sz w:val="24"/>
          <w:szCs w:val="24"/>
          <w:lang w:val="en-BB"/>
        </w:rPr>
        <w:t xml:space="preserve"> but its parent business largely makes investment, manufacturing, sourcing and portfolio choices. The report compares the UK, Cadbury’s home market, with India, a contrasting host market with more cultural, linguistic and income diversity. It explores their macro-environments and cultures, and then Cadbury’s segmentation, targeting, positioning and expanded marketing mix. Then it discusses the Indian market entry, an ethical concern and future recommendation. The key argument is that Cadbury protects identifiable assets (name, purple identity, and generosity positioning) but adapts execution to local conditions. This reflects the view that standardisation and adaptation are context-dependent routes to market fit, not mutually exclusive choices (Poulis, 2024).</w:t>
      </w:r>
    </w:p>
    <w:p w14:paraId="3A726361" w14:textId="77777777" w:rsidR="00CB09CE" w:rsidRPr="009532D4" w:rsidRDefault="00CB09CE" w:rsidP="00CB09CE">
      <w:pPr>
        <w:rPr>
          <w:rFonts w:ascii="Arial" w:hAnsi="Arial" w:cs="Arial"/>
          <w:sz w:val="24"/>
          <w:szCs w:val="24"/>
          <w:lang w:val="en-BB"/>
        </w:rPr>
      </w:pPr>
    </w:p>
    <w:p w14:paraId="515B470B" w14:textId="77777777" w:rsidR="00CB09CE" w:rsidRPr="009532D4" w:rsidRDefault="00CB09CE" w:rsidP="00CB09CE">
      <w:pPr>
        <w:rPr>
          <w:rFonts w:ascii="Arial" w:hAnsi="Arial" w:cs="Arial"/>
          <w:sz w:val="24"/>
          <w:szCs w:val="24"/>
          <w:lang w:val="en-BB"/>
        </w:rPr>
      </w:pPr>
    </w:p>
    <w:p w14:paraId="35C163CA" w14:textId="77777777" w:rsidR="00CB09CE" w:rsidRPr="009532D4" w:rsidRDefault="00CB09CE" w:rsidP="00CB09CE">
      <w:pPr>
        <w:rPr>
          <w:rFonts w:ascii="Arial" w:hAnsi="Arial" w:cs="Arial"/>
          <w:sz w:val="24"/>
          <w:szCs w:val="24"/>
          <w:lang w:val="en-BB"/>
        </w:rPr>
      </w:pPr>
    </w:p>
    <w:p w14:paraId="571DFA59" w14:textId="77777777" w:rsidR="00CB09CE" w:rsidRPr="009532D4" w:rsidRDefault="00CB09CE" w:rsidP="00CB09CE">
      <w:pPr>
        <w:rPr>
          <w:rFonts w:ascii="Arial" w:hAnsi="Arial" w:cs="Arial"/>
          <w:sz w:val="24"/>
          <w:szCs w:val="24"/>
          <w:lang w:val="en-BB"/>
        </w:rPr>
      </w:pPr>
    </w:p>
    <w:p w14:paraId="341A0A7D" w14:textId="77777777" w:rsidR="00CB09CE" w:rsidRPr="009532D4" w:rsidRDefault="00CB09CE" w:rsidP="00CB09CE">
      <w:pPr>
        <w:rPr>
          <w:rFonts w:ascii="Arial" w:hAnsi="Arial" w:cs="Arial"/>
          <w:sz w:val="24"/>
          <w:szCs w:val="24"/>
          <w:lang w:val="en-BB"/>
        </w:rPr>
      </w:pPr>
    </w:p>
    <w:p w14:paraId="6611354D" w14:textId="77777777" w:rsidR="00CB09CE" w:rsidRPr="009532D4" w:rsidRDefault="00CB09CE" w:rsidP="00CB09CE">
      <w:pPr>
        <w:rPr>
          <w:rFonts w:ascii="Arial" w:hAnsi="Arial" w:cs="Arial"/>
          <w:sz w:val="24"/>
          <w:szCs w:val="24"/>
          <w:lang w:val="en-BB"/>
        </w:rPr>
      </w:pPr>
    </w:p>
    <w:p w14:paraId="3D36A749" w14:textId="77777777" w:rsidR="00CB09CE" w:rsidRPr="009532D4" w:rsidRDefault="00CB09CE" w:rsidP="00CB09CE">
      <w:pPr>
        <w:rPr>
          <w:rFonts w:ascii="Arial" w:hAnsi="Arial" w:cs="Arial"/>
          <w:sz w:val="24"/>
          <w:szCs w:val="24"/>
          <w:lang w:val="en-BB"/>
        </w:rPr>
      </w:pPr>
    </w:p>
    <w:p w14:paraId="74BC6CF7" w14:textId="77777777" w:rsidR="00CB09CE" w:rsidRPr="009532D4" w:rsidRDefault="00CB09CE" w:rsidP="00CB09CE">
      <w:pPr>
        <w:rPr>
          <w:rFonts w:ascii="Arial" w:hAnsi="Arial" w:cs="Arial"/>
          <w:sz w:val="24"/>
          <w:szCs w:val="24"/>
          <w:lang w:val="en-BB"/>
        </w:rPr>
      </w:pPr>
    </w:p>
    <w:p w14:paraId="7BAD2A93"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lastRenderedPageBreak/>
        <w:t>Competitive Market and Macro-Environment Analysis</w:t>
      </w:r>
    </w:p>
    <w:p w14:paraId="3D474A81"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2.1 PESTEL comparison</w:t>
      </w:r>
    </w:p>
    <w:tbl>
      <w:tblPr>
        <w:tblStyle w:val="TableGrid"/>
        <w:tblW w:w="0" w:type="auto"/>
        <w:tblLook w:val="04A0" w:firstRow="1" w:lastRow="0" w:firstColumn="1" w:lastColumn="0" w:noHBand="0" w:noVBand="1"/>
      </w:tblPr>
      <w:tblGrid>
        <w:gridCol w:w="1695"/>
        <w:gridCol w:w="2546"/>
        <w:gridCol w:w="2540"/>
        <w:gridCol w:w="3001"/>
      </w:tblGrid>
      <w:tr w:rsidR="00CB09CE" w:rsidRPr="009532D4" w14:paraId="1CBBBB88" w14:textId="77777777" w:rsidTr="00AF46F9">
        <w:trPr>
          <w:tblHeader/>
        </w:trPr>
        <w:tc>
          <w:tcPr>
            <w:tcW w:w="1440" w:type="dxa"/>
            <w:shd w:val="clear" w:color="auto" w:fill="3B176A"/>
            <w:tcMar>
              <w:top w:w="80" w:type="dxa"/>
              <w:left w:w="80" w:type="dxa"/>
              <w:bottom w:w="80" w:type="dxa"/>
              <w:right w:w="80" w:type="dxa"/>
            </w:tcMar>
            <w:vAlign w:val="center"/>
          </w:tcPr>
          <w:p w14:paraId="73020F80"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Factor</w:t>
            </w:r>
          </w:p>
        </w:tc>
        <w:tc>
          <w:tcPr>
            <w:tcW w:w="2664" w:type="dxa"/>
            <w:shd w:val="clear" w:color="auto" w:fill="3B176A"/>
            <w:tcMar>
              <w:top w:w="80" w:type="dxa"/>
              <w:left w:w="80" w:type="dxa"/>
              <w:bottom w:w="80" w:type="dxa"/>
              <w:right w:w="80" w:type="dxa"/>
            </w:tcMar>
            <w:vAlign w:val="center"/>
          </w:tcPr>
          <w:p w14:paraId="31199D22"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United Kingdom</w:t>
            </w:r>
          </w:p>
        </w:tc>
        <w:tc>
          <w:tcPr>
            <w:tcW w:w="2664" w:type="dxa"/>
            <w:shd w:val="clear" w:color="auto" w:fill="3B176A"/>
            <w:tcMar>
              <w:top w:w="80" w:type="dxa"/>
              <w:left w:w="80" w:type="dxa"/>
              <w:bottom w:w="80" w:type="dxa"/>
              <w:right w:w="80" w:type="dxa"/>
            </w:tcMar>
            <w:vAlign w:val="center"/>
          </w:tcPr>
          <w:p w14:paraId="3EADF01A"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India</w:t>
            </w:r>
          </w:p>
        </w:tc>
        <w:tc>
          <w:tcPr>
            <w:tcW w:w="3168" w:type="dxa"/>
            <w:shd w:val="clear" w:color="auto" w:fill="3B176A"/>
            <w:tcMar>
              <w:top w:w="80" w:type="dxa"/>
              <w:left w:w="80" w:type="dxa"/>
              <w:bottom w:w="80" w:type="dxa"/>
              <w:right w:w="80" w:type="dxa"/>
            </w:tcMar>
            <w:vAlign w:val="center"/>
          </w:tcPr>
          <w:p w14:paraId="31E0EB9D"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Strategic implication</w:t>
            </w:r>
          </w:p>
        </w:tc>
      </w:tr>
      <w:tr w:rsidR="00CB09CE" w:rsidRPr="009532D4" w14:paraId="3B29EEE2" w14:textId="77777777" w:rsidTr="00AF46F9">
        <w:tc>
          <w:tcPr>
            <w:tcW w:w="1440" w:type="dxa"/>
            <w:tcMar>
              <w:top w:w="80" w:type="dxa"/>
              <w:left w:w="80" w:type="dxa"/>
              <w:bottom w:w="80" w:type="dxa"/>
              <w:right w:w="80" w:type="dxa"/>
            </w:tcMar>
            <w:vAlign w:val="center"/>
          </w:tcPr>
          <w:p w14:paraId="69160D8C"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Political/legal</w:t>
            </w:r>
          </w:p>
        </w:tc>
        <w:tc>
          <w:tcPr>
            <w:tcW w:w="2664" w:type="dxa"/>
            <w:tcMar>
              <w:top w:w="80" w:type="dxa"/>
              <w:left w:w="80" w:type="dxa"/>
              <w:bottom w:w="80" w:type="dxa"/>
              <w:right w:w="80" w:type="dxa"/>
            </w:tcMar>
            <w:vAlign w:val="center"/>
          </w:tcPr>
          <w:p w14:paraId="0E129618"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Predictable institutions; increasingly restrictive HFSS placement, promotion and advertising rules.</w:t>
            </w:r>
          </w:p>
        </w:tc>
        <w:tc>
          <w:tcPr>
            <w:tcW w:w="2664" w:type="dxa"/>
            <w:tcMar>
              <w:top w:w="80" w:type="dxa"/>
              <w:left w:w="80" w:type="dxa"/>
              <w:bottom w:w="80" w:type="dxa"/>
              <w:right w:w="80" w:type="dxa"/>
            </w:tcMar>
            <w:vAlign w:val="center"/>
          </w:tcPr>
          <w:p w14:paraId="7A14CF36"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Federal complexity; FSSAI regulates food safety, labelling, packaging and claims.</w:t>
            </w:r>
          </w:p>
        </w:tc>
        <w:tc>
          <w:tcPr>
            <w:tcW w:w="3168" w:type="dxa"/>
            <w:tcMar>
              <w:top w:w="80" w:type="dxa"/>
              <w:left w:w="80" w:type="dxa"/>
              <w:bottom w:w="80" w:type="dxa"/>
              <w:right w:w="80" w:type="dxa"/>
            </w:tcMar>
            <w:vAlign w:val="center"/>
          </w:tcPr>
          <w:p w14:paraId="0B5E492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UK communication must become less promotion-led; India requires local regulatory capability.</w:t>
            </w:r>
          </w:p>
        </w:tc>
      </w:tr>
      <w:tr w:rsidR="00CB09CE" w:rsidRPr="009532D4" w14:paraId="508AB643" w14:textId="77777777" w:rsidTr="00AF46F9">
        <w:tc>
          <w:tcPr>
            <w:tcW w:w="1440" w:type="dxa"/>
            <w:shd w:val="clear" w:color="auto" w:fill="F4EFF8"/>
            <w:tcMar>
              <w:top w:w="80" w:type="dxa"/>
              <w:left w:w="80" w:type="dxa"/>
              <w:bottom w:w="80" w:type="dxa"/>
              <w:right w:w="80" w:type="dxa"/>
            </w:tcMar>
            <w:vAlign w:val="center"/>
          </w:tcPr>
          <w:p w14:paraId="52BE1C08"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Economic</w:t>
            </w:r>
          </w:p>
        </w:tc>
        <w:tc>
          <w:tcPr>
            <w:tcW w:w="2664" w:type="dxa"/>
            <w:shd w:val="clear" w:color="auto" w:fill="F4EFF8"/>
            <w:tcMar>
              <w:top w:w="80" w:type="dxa"/>
              <w:left w:w="80" w:type="dxa"/>
              <w:bottom w:w="80" w:type="dxa"/>
              <w:right w:w="80" w:type="dxa"/>
            </w:tcMar>
            <w:vAlign w:val="center"/>
          </w:tcPr>
          <w:p w14:paraId="62464721"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High-income but mature market; food inflation remains relevant.</w:t>
            </w:r>
          </w:p>
        </w:tc>
        <w:tc>
          <w:tcPr>
            <w:tcW w:w="2664" w:type="dxa"/>
            <w:shd w:val="clear" w:color="auto" w:fill="F4EFF8"/>
            <w:tcMar>
              <w:top w:w="80" w:type="dxa"/>
              <w:left w:w="80" w:type="dxa"/>
              <w:bottom w:w="80" w:type="dxa"/>
              <w:right w:w="80" w:type="dxa"/>
            </w:tcMar>
            <w:vAlign w:val="center"/>
          </w:tcPr>
          <w:p w14:paraId="3D23B03A"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Faster growth but substantially lower and uneven purchasing power.</w:t>
            </w:r>
          </w:p>
        </w:tc>
        <w:tc>
          <w:tcPr>
            <w:tcW w:w="3168" w:type="dxa"/>
            <w:shd w:val="clear" w:color="auto" w:fill="F4EFF8"/>
            <w:tcMar>
              <w:top w:w="80" w:type="dxa"/>
              <w:left w:w="80" w:type="dxa"/>
              <w:bottom w:w="80" w:type="dxa"/>
              <w:right w:w="80" w:type="dxa"/>
            </w:tcMar>
            <w:vAlign w:val="center"/>
          </w:tcPr>
          <w:p w14:paraId="1D2C88D9"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UK needs value and innovation; India needs affordable packs plus premium tiers.</w:t>
            </w:r>
          </w:p>
        </w:tc>
      </w:tr>
      <w:tr w:rsidR="00CB09CE" w:rsidRPr="009532D4" w14:paraId="79B5C982" w14:textId="77777777" w:rsidTr="00AF46F9">
        <w:tc>
          <w:tcPr>
            <w:tcW w:w="1440" w:type="dxa"/>
            <w:tcMar>
              <w:top w:w="80" w:type="dxa"/>
              <w:left w:w="80" w:type="dxa"/>
              <w:bottom w:w="80" w:type="dxa"/>
              <w:right w:w="80" w:type="dxa"/>
            </w:tcMar>
            <w:vAlign w:val="center"/>
          </w:tcPr>
          <w:p w14:paraId="747F027A"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Social</w:t>
            </w:r>
          </w:p>
        </w:tc>
        <w:tc>
          <w:tcPr>
            <w:tcW w:w="2664" w:type="dxa"/>
            <w:tcMar>
              <w:top w:w="80" w:type="dxa"/>
              <w:left w:w="80" w:type="dxa"/>
              <w:bottom w:w="80" w:type="dxa"/>
              <w:right w:w="80" w:type="dxa"/>
            </w:tcMar>
            <w:vAlign w:val="center"/>
          </w:tcPr>
          <w:p w14:paraId="478EEFDE"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 xml:space="preserve">Established </w:t>
            </w:r>
            <w:proofErr w:type="spellStart"/>
            <w:r w:rsidRPr="009532D4">
              <w:rPr>
                <w:rFonts w:ascii="Arial" w:hAnsi="Arial" w:cs="Arial"/>
                <w:sz w:val="24"/>
                <w:szCs w:val="24"/>
              </w:rPr>
              <w:t>everyday</w:t>
            </w:r>
            <w:proofErr w:type="spellEnd"/>
            <w:r w:rsidRPr="009532D4">
              <w:rPr>
                <w:rFonts w:ascii="Arial" w:hAnsi="Arial" w:cs="Arial"/>
                <w:sz w:val="24"/>
                <w:szCs w:val="24"/>
              </w:rPr>
              <w:t>, sharing, Easter and Christmas consumption; rising health concern.</w:t>
            </w:r>
          </w:p>
        </w:tc>
        <w:tc>
          <w:tcPr>
            <w:tcW w:w="2664" w:type="dxa"/>
            <w:tcMar>
              <w:top w:w="80" w:type="dxa"/>
              <w:left w:w="80" w:type="dxa"/>
              <w:bottom w:w="80" w:type="dxa"/>
              <w:right w:w="80" w:type="dxa"/>
            </w:tcMar>
            <w:vAlign w:val="center"/>
          </w:tcPr>
          <w:p w14:paraId="5194E0B4"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Chocolate increasingly complements traditional sweets in festivals, gifting and romance.</w:t>
            </w:r>
          </w:p>
        </w:tc>
        <w:tc>
          <w:tcPr>
            <w:tcW w:w="3168" w:type="dxa"/>
            <w:tcMar>
              <w:top w:w="80" w:type="dxa"/>
              <w:left w:w="80" w:type="dxa"/>
              <w:bottom w:w="80" w:type="dxa"/>
              <w:right w:w="80" w:type="dxa"/>
            </w:tcMar>
            <w:vAlign w:val="center"/>
          </w:tcPr>
          <w:p w14:paraId="577D370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UK growth extends occasions; India requires culturally relevant category development.</w:t>
            </w:r>
          </w:p>
        </w:tc>
      </w:tr>
      <w:tr w:rsidR="00CB09CE" w:rsidRPr="009532D4" w14:paraId="17764C5A" w14:textId="77777777" w:rsidTr="00AF46F9">
        <w:tc>
          <w:tcPr>
            <w:tcW w:w="1440" w:type="dxa"/>
            <w:shd w:val="clear" w:color="auto" w:fill="F4EFF8"/>
            <w:tcMar>
              <w:top w:w="80" w:type="dxa"/>
              <w:left w:w="80" w:type="dxa"/>
              <w:bottom w:w="80" w:type="dxa"/>
              <w:right w:w="80" w:type="dxa"/>
            </w:tcMar>
            <w:vAlign w:val="center"/>
          </w:tcPr>
          <w:p w14:paraId="4E006D9F"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Technological</w:t>
            </w:r>
          </w:p>
        </w:tc>
        <w:tc>
          <w:tcPr>
            <w:tcW w:w="2664" w:type="dxa"/>
            <w:shd w:val="clear" w:color="auto" w:fill="F4EFF8"/>
            <w:tcMar>
              <w:top w:w="80" w:type="dxa"/>
              <w:left w:w="80" w:type="dxa"/>
              <w:bottom w:w="80" w:type="dxa"/>
              <w:right w:w="80" w:type="dxa"/>
            </w:tcMar>
            <w:vAlign w:val="center"/>
          </w:tcPr>
          <w:p w14:paraId="017A4E19"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Advanced supermarkets, retailer data and online grocery.</w:t>
            </w:r>
          </w:p>
        </w:tc>
        <w:tc>
          <w:tcPr>
            <w:tcW w:w="2664" w:type="dxa"/>
            <w:shd w:val="clear" w:color="auto" w:fill="F4EFF8"/>
            <w:tcMar>
              <w:top w:w="80" w:type="dxa"/>
              <w:left w:w="80" w:type="dxa"/>
              <w:bottom w:w="80" w:type="dxa"/>
              <w:right w:w="80" w:type="dxa"/>
            </w:tcMar>
            <w:vAlign w:val="center"/>
          </w:tcPr>
          <w:p w14:paraId="4C12C6AF"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Rapid smartphones, digital payments, e-commerce and quick commerce; uneven infrastructure.</w:t>
            </w:r>
          </w:p>
        </w:tc>
        <w:tc>
          <w:tcPr>
            <w:tcW w:w="3168" w:type="dxa"/>
            <w:shd w:val="clear" w:color="auto" w:fill="F4EFF8"/>
            <w:tcMar>
              <w:top w:w="80" w:type="dxa"/>
              <w:left w:w="80" w:type="dxa"/>
              <w:bottom w:w="80" w:type="dxa"/>
              <w:right w:w="80" w:type="dxa"/>
            </w:tcMar>
            <w:vAlign w:val="center"/>
          </w:tcPr>
          <w:p w14:paraId="075D0ADC"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Omnichannel activity works in both, but India must integrate digital and traditional retail.</w:t>
            </w:r>
          </w:p>
        </w:tc>
      </w:tr>
      <w:tr w:rsidR="00CB09CE" w:rsidRPr="009532D4" w14:paraId="0274DBC0" w14:textId="77777777" w:rsidTr="00AF46F9">
        <w:tc>
          <w:tcPr>
            <w:tcW w:w="1440" w:type="dxa"/>
            <w:tcMar>
              <w:top w:w="80" w:type="dxa"/>
              <w:left w:w="80" w:type="dxa"/>
              <w:bottom w:w="80" w:type="dxa"/>
              <w:right w:w="80" w:type="dxa"/>
            </w:tcMar>
            <w:vAlign w:val="center"/>
          </w:tcPr>
          <w:p w14:paraId="305BD58A"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Environmental</w:t>
            </w:r>
          </w:p>
        </w:tc>
        <w:tc>
          <w:tcPr>
            <w:tcW w:w="2664" w:type="dxa"/>
            <w:tcMar>
              <w:top w:w="80" w:type="dxa"/>
              <w:left w:w="80" w:type="dxa"/>
              <w:bottom w:w="80" w:type="dxa"/>
              <w:right w:w="80" w:type="dxa"/>
            </w:tcMar>
            <w:vAlign w:val="center"/>
          </w:tcPr>
          <w:p w14:paraId="4E1BD57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Pressure over cocoa, emissions and packaging waste.</w:t>
            </w:r>
          </w:p>
        </w:tc>
        <w:tc>
          <w:tcPr>
            <w:tcW w:w="2664" w:type="dxa"/>
            <w:tcMar>
              <w:top w:w="80" w:type="dxa"/>
              <w:left w:w="80" w:type="dxa"/>
              <w:bottom w:w="80" w:type="dxa"/>
              <w:right w:w="80" w:type="dxa"/>
            </w:tcMar>
            <w:vAlign w:val="center"/>
          </w:tcPr>
          <w:p w14:paraId="1CDA0BC2"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Packaging waste, heat-sensitive distribution and water pressures are material.</w:t>
            </w:r>
          </w:p>
        </w:tc>
        <w:tc>
          <w:tcPr>
            <w:tcW w:w="3168" w:type="dxa"/>
            <w:tcMar>
              <w:top w:w="80" w:type="dxa"/>
              <w:left w:w="80" w:type="dxa"/>
              <w:bottom w:w="80" w:type="dxa"/>
              <w:right w:w="80" w:type="dxa"/>
            </w:tcMar>
            <w:vAlign w:val="center"/>
          </w:tcPr>
          <w:p w14:paraId="7401C1C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Sourcing and packaging credibility matter in both; Indian logistics need climate resilience.</w:t>
            </w:r>
          </w:p>
        </w:tc>
      </w:tr>
    </w:tbl>
    <w:p w14:paraId="581EF50B" w14:textId="77777777" w:rsidR="00CB09CE" w:rsidRPr="009532D4" w:rsidRDefault="00CB09CE" w:rsidP="00CB09CE">
      <w:pPr>
        <w:spacing w:after="20"/>
        <w:rPr>
          <w:rFonts w:ascii="Arial" w:hAnsi="Arial" w:cs="Arial"/>
          <w:sz w:val="24"/>
          <w:szCs w:val="24"/>
        </w:rPr>
      </w:pPr>
    </w:p>
    <w:p w14:paraId="36AB8BDA"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The biggest economic difference is buying power. In 2025, for example, the UK’s GDP per capita was around US$57,602 (World Bank, 2026), whereas India’s average monthly per-capita consumption expenditure was ₹4,122 in rural and ₹6,996 in urban areas in 2023–24 (</w:t>
      </w:r>
      <w:proofErr w:type="spellStart"/>
      <w:r w:rsidRPr="009532D4">
        <w:rPr>
          <w:rFonts w:ascii="Arial" w:hAnsi="Arial" w:cs="Arial"/>
          <w:sz w:val="24"/>
          <w:szCs w:val="24"/>
          <w:lang w:val="en-BB"/>
        </w:rPr>
        <w:t>MoSPI</w:t>
      </w:r>
      <w:proofErr w:type="spellEnd"/>
      <w:r w:rsidRPr="009532D4">
        <w:rPr>
          <w:rFonts w:ascii="Arial" w:hAnsi="Arial" w:cs="Arial"/>
          <w:sz w:val="24"/>
          <w:szCs w:val="24"/>
          <w:lang w:val="en-BB"/>
        </w:rPr>
        <w:t xml:space="preserve">, 2024). National averages also mask big Indian regional and income differences. Cadbury cannot simply transfer UK pack sizes and prices: small packs reduce barriers to trial while Silk and gifting formats capture affluent demand. Food inflation of 3.7% in the year to March 2026 puts pressure despite higher incomes (ONS, 2026. Cadbury </w:t>
      </w:r>
      <w:proofErr w:type="gramStart"/>
      <w:r w:rsidRPr="009532D4">
        <w:rPr>
          <w:rFonts w:ascii="Arial" w:hAnsi="Arial" w:cs="Arial"/>
          <w:sz w:val="24"/>
          <w:szCs w:val="24"/>
          <w:lang w:val="en-BB"/>
        </w:rPr>
        <w:t>has to</w:t>
      </w:r>
      <w:proofErr w:type="gramEnd"/>
      <w:r w:rsidRPr="009532D4">
        <w:rPr>
          <w:rFonts w:ascii="Arial" w:hAnsi="Arial" w:cs="Arial"/>
          <w:sz w:val="24"/>
          <w:szCs w:val="24"/>
          <w:lang w:val="en-BB"/>
        </w:rPr>
        <w:t xml:space="preserve"> </w:t>
      </w:r>
      <w:r w:rsidRPr="009532D4">
        <w:rPr>
          <w:rFonts w:ascii="Arial" w:hAnsi="Arial" w:cs="Arial"/>
          <w:sz w:val="24"/>
          <w:szCs w:val="24"/>
          <w:lang w:val="en-BB"/>
        </w:rPr>
        <w:lastRenderedPageBreak/>
        <w:t>balance price rises with value perceptions and retailer power. The clearest UK threat is regulation. Restrictions on qualifying less-healthy products reduce high-visibility promotion and children’s advertising, but also encourage portion control, transparent labelling and portfolio innovation (Department of Health and Social Care, 2026). India has opportunities in scale, income growth and modern retail, but food information must comply with FSSAI requirements (FSSAI, 2023). PESTEL is limited in that it is a static categorisation: cocoa inflation for example is economic, environmental and social all at once. It needs to be a priority, not a checklist and it needs to be updated. Such contrasts are reinforced by technological and environmental factors. British retailers can use loyalty data, online grocery histories and automated replenishment to target occasions with great accuracy. Metro markets have similar potential as India’s growth in smartphones, digital payments and quick commerce, but reach should not be confused with national ability as infrastructure and retailer digitisation are still uneven. Environmentally, cocoa supply is vulnerable to climate disruption in both markets, and flexible packaging poses end of life problems. In India, heat also affects the economics of distribution, because product integrity is contingent upon correct storage, stock rotation and transport. These interdependencies are the reason why Cadbury should focus on scenarios rather than reacting to each PESTEL category in isolation.</w:t>
      </w:r>
    </w:p>
    <w:p w14:paraId="6E210767" w14:textId="77777777" w:rsidR="00CB09CE" w:rsidRPr="009532D4" w:rsidRDefault="00CB09CE" w:rsidP="00CB09CE">
      <w:pPr>
        <w:rPr>
          <w:rFonts w:ascii="Arial" w:hAnsi="Arial" w:cs="Arial"/>
          <w:sz w:val="24"/>
          <w:szCs w:val="24"/>
          <w:lang w:val="en-BB"/>
        </w:rPr>
      </w:pPr>
    </w:p>
    <w:p w14:paraId="0425F920"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2.2 Hofstede cultural comparison</w:t>
      </w:r>
    </w:p>
    <w:p w14:paraId="3FD2FA18" w14:textId="77777777" w:rsidR="00CB09CE" w:rsidRPr="009532D4" w:rsidRDefault="00CB09CE" w:rsidP="00CB09CE">
      <w:pPr>
        <w:rPr>
          <w:rFonts w:ascii="Arial" w:hAnsi="Arial" w:cs="Arial"/>
          <w:sz w:val="24"/>
          <w:szCs w:val="24"/>
        </w:rPr>
      </w:pPr>
      <w:r w:rsidRPr="009532D4">
        <w:rPr>
          <w:rFonts w:ascii="Arial" w:hAnsi="Arial" w:cs="Arial"/>
          <w:sz w:val="24"/>
          <w:szCs w:val="24"/>
        </w:rPr>
        <w:t xml:space="preserve">Hofstede’s scores suggest important contrasts. India’s power-distance score of 77 exceeds the UK’s 35, while the UK’s individualism score of 89 exceeds India’s 48 (Hofstede, Hofstede and Minkov, 2010). British communication can therefore </w:t>
      </w:r>
      <w:proofErr w:type="spellStart"/>
      <w:r w:rsidRPr="009532D4">
        <w:rPr>
          <w:rFonts w:ascii="Arial" w:hAnsi="Arial" w:cs="Arial"/>
          <w:sz w:val="24"/>
          <w:szCs w:val="24"/>
        </w:rPr>
        <w:t>emphasise</w:t>
      </w:r>
      <w:proofErr w:type="spellEnd"/>
      <w:r w:rsidRPr="009532D4">
        <w:rPr>
          <w:rFonts w:ascii="Arial" w:hAnsi="Arial" w:cs="Arial"/>
          <w:sz w:val="24"/>
          <w:szCs w:val="24"/>
        </w:rPr>
        <w:t xml:space="preserve"> personal choice, informal </w:t>
      </w:r>
      <w:proofErr w:type="spellStart"/>
      <w:r w:rsidRPr="009532D4">
        <w:rPr>
          <w:rFonts w:ascii="Arial" w:hAnsi="Arial" w:cs="Arial"/>
          <w:sz w:val="24"/>
          <w:szCs w:val="24"/>
        </w:rPr>
        <w:t>humour</w:t>
      </w:r>
      <w:proofErr w:type="spellEnd"/>
      <w:r w:rsidRPr="009532D4">
        <w:rPr>
          <w:rFonts w:ascii="Arial" w:hAnsi="Arial" w:cs="Arial"/>
          <w:sz w:val="24"/>
          <w:szCs w:val="24"/>
        </w:rPr>
        <w:t xml:space="preserve"> and individual enjoyment. Indian communication can address personal pleasure, especially among urban youth, but family relationships, collective celebration and gift exchange are comparatively influential. Cadbury can retain generosity as a common platform while expressing it through everyday personal moments in the UK and festivals, weddings and family relationships in India.</w:t>
      </w:r>
    </w:p>
    <w:p w14:paraId="1BD150C6" w14:textId="77777777" w:rsidR="00CB09CE" w:rsidRPr="009532D4" w:rsidRDefault="00CB09CE" w:rsidP="00CB09CE">
      <w:pPr>
        <w:rPr>
          <w:rFonts w:ascii="Arial" w:hAnsi="Arial" w:cs="Arial"/>
          <w:sz w:val="24"/>
          <w:szCs w:val="24"/>
        </w:rPr>
      </w:pPr>
      <w:r w:rsidRPr="009532D4">
        <w:rPr>
          <w:rFonts w:ascii="Arial" w:hAnsi="Arial" w:cs="Arial"/>
          <w:sz w:val="24"/>
          <w:szCs w:val="24"/>
        </w:rPr>
        <w:t xml:space="preserve">The UK’s higher indulgence score also suggests greater acceptance of everyday treats, whereas Indian marketing often </w:t>
      </w:r>
      <w:proofErr w:type="spellStart"/>
      <w:r w:rsidRPr="009532D4">
        <w:rPr>
          <w:rFonts w:ascii="Arial" w:hAnsi="Arial" w:cs="Arial"/>
          <w:sz w:val="24"/>
          <w:szCs w:val="24"/>
        </w:rPr>
        <w:t>legitimises</w:t>
      </w:r>
      <w:proofErr w:type="spellEnd"/>
      <w:r w:rsidRPr="009532D4">
        <w:rPr>
          <w:rFonts w:ascii="Arial" w:hAnsi="Arial" w:cs="Arial"/>
          <w:sz w:val="24"/>
          <w:szCs w:val="24"/>
        </w:rPr>
        <w:t xml:space="preserve"> chocolate through meaningful occasions. However, these national averages cannot describe every consumer. They obscure India’s major regional, religious and generational differences and multiculturalism within Britain. The underlying data are historically rooted and risk stereotyping. Cadbury should therefore use Hofstede only as an initial guide, tested through contemporary regional research and </w:t>
      </w:r>
      <w:proofErr w:type="spellStart"/>
      <w:r w:rsidRPr="009532D4">
        <w:rPr>
          <w:rFonts w:ascii="Arial" w:hAnsi="Arial" w:cs="Arial"/>
          <w:sz w:val="24"/>
          <w:szCs w:val="24"/>
        </w:rPr>
        <w:t>behavioural</w:t>
      </w:r>
      <w:proofErr w:type="spellEnd"/>
      <w:r w:rsidRPr="009532D4">
        <w:rPr>
          <w:rFonts w:ascii="Arial" w:hAnsi="Arial" w:cs="Arial"/>
          <w:sz w:val="24"/>
          <w:szCs w:val="24"/>
        </w:rPr>
        <w:t xml:space="preserve"> data.</w:t>
      </w:r>
    </w:p>
    <w:p w14:paraId="48147E8A" w14:textId="77777777" w:rsidR="00CB09CE" w:rsidRPr="00DF2147" w:rsidRDefault="00CB09CE" w:rsidP="00CB09CE">
      <w:pPr>
        <w:rPr>
          <w:rFonts w:ascii="Arial" w:hAnsi="Arial" w:cs="Arial"/>
          <w:sz w:val="24"/>
          <w:szCs w:val="24"/>
        </w:rPr>
      </w:pPr>
      <w:r w:rsidRPr="009532D4">
        <w:rPr>
          <w:rFonts w:ascii="Arial" w:hAnsi="Arial" w:cs="Arial"/>
          <w:sz w:val="24"/>
          <w:szCs w:val="24"/>
        </w:rPr>
        <w:t xml:space="preserve">Cultural interpretation also affects management, not only advertising. Higher Indian power distance may make distributor authority and senior endorsement more influential, yet younger digital consumers may behave less hierarchically than the national score implies. British individualism does not eliminate collective consumption at Christmas or within families. The framework is therefore most useful for proposing </w:t>
      </w:r>
      <w:proofErr w:type="gramStart"/>
      <w:r w:rsidRPr="009532D4">
        <w:rPr>
          <w:rFonts w:ascii="Arial" w:hAnsi="Arial" w:cs="Arial"/>
          <w:sz w:val="24"/>
          <w:szCs w:val="24"/>
        </w:rPr>
        <w:t>questions—</w:t>
      </w:r>
      <w:proofErr w:type="gramEnd"/>
      <w:r w:rsidRPr="009532D4">
        <w:rPr>
          <w:rFonts w:ascii="Arial" w:hAnsi="Arial" w:cs="Arial"/>
          <w:sz w:val="24"/>
          <w:szCs w:val="24"/>
        </w:rPr>
        <w:t xml:space="preserve">for example, whether a gifting message should foreground the giver, recipient or wider family—rather </w:t>
      </w:r>
      <w:r w:rsidRPr="009532D4">
        <w:rPr>
          <w:rFonts w:ascii="Arial" w:hAnsi="Arial" w:cs="Arial"/>
          <w:sz w:val="24"/>
          <w:szCs w:val="24"/>
        </w:rPr>
        <w:lastRenderedPageBreak/>
        <w:t>than predetermining answers. Qualitative research, social listening and controlled campaign tests are required before national cultural claims are converted into investment decisions.</w:t>
      </w:r>
    </w:p>
    <w:p w14:paraId="55476054" w14:textId="77777777" w:rsidR="00CB09CE" w:rsidRPr="009532D4" w:rsidRDefault="00CB09CE" w:rsidP="00CB09CE">
      <w:pPr>
        <w:rPr>
          <w:rFonts w:ascii="Arial" w:hAnsi="Arial" w:cs="Arial"/>
          <w:b/>
          <w:bCs/>
          <w:sz w:val="24"/>
          <w:szCs w:val="24"/>
        </w:rPr>
      </w:pPr>
    </w:p>
    <w:p w14:paraId="2E475B72"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3.Comparative STP Analysis</w:t>
      </w:r>
    </w:p>
    <w:tbl>
      <w:tblPr>
        <w:tblStyle w:val="TableGrid"/>
        <w:tblW w:w="0" w:type="auto"/>
        <w:jc w:val="center"/>
        <w:tblLook w:val="04A0" w:firstRow="1" w:lastRow="0" w:firstColumn="1" w:lastColumn="0" w:noHBand="0" w:noVBand="1"/>
      </w:tblPr>
      <w:tblGrid>
        <w:gridCol w:w="1728"/>
        <w:gridCol w:w="3888"/>
        <w:gridCol w:w="3888"/>
      </w:tblGrid>
      <w:tr w:rsidR="00CB09CE" w:rsidRPr="009532D4" w14:paraId="2FBE1F9B" w14:textId="77777777" w:rsidTr="00AF46F9">
        <w:trPr>
          <w:tblHeader/>
          <w:jc w:val="center"/>
        </w:trPr>
        <w:tc>
          <w:tcPr>
            <w:tcW w:w="1728" w:type="dxa"/>
            <w:shd w:val="clear" w:color="auto" w:fill="3B176A"/>
            <w:tcMar>
              <w:top w:w="80" w:type="dxa"/>
              <w:left w:w="80" w:type="dxa"/>
              <w:bottom w:w="80" w:type="dxa"/>
              <w:right w:w="80" w:type="dxa"/>
            </w:tcMar>
            <w:vAlign w:val="center"/>
          </w:tcPr>
          <w:p w14:paraId="028BF198"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STP element</w:t>
            </w:r>
          </w:p>
        </w:tc>
        <w:tc>
          <w:tcPr>
            <w:tcW w:w="3888" w:type="dxa"/>
            <w:shd w:val="clear" w:color="auto" w:fill="3B176A"/>
            <w:tcMar>
              <w:top w:w="80" w:type="dxa"/>
              <w:left w:w="80" w:type="dxa"/>
              <w:bottom w:w="80" w:type="dxa"/>
              <w:right w:w="80" w:type="dxa"/>
            </w:tcMar>
            <w:vAlign w:val="center"/>
          </w:tcPr>
          <w:p w14:paraId="4DC00B24"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United Kingdom</w:t>
            </w:r>
          </w:p>
        </w:tc>
        <w:tc>
          <w:tcPr>
            <w:tcW w:w="3888" w:type="dxa"/>
            <w:shd w:val="clear" w:color="auto" w:fill="3B176A"/>
            <w:tcMar>
              <w:top w:w="80" w:type="dxa"/>
              <w:left w:w="80" w:type="dxa"/>
              <w:bottom w:w="80" w:type="dxa"/>
              <w:right w:w="80" w:type="dxa"/>
            </w:tcMar>
            <w:vAlign w:val="center"/>
          </w:tcPr>
          <w:p w14:paraId="5B784363"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India</w:t>
            </w:r>
          </w:p>
        </w:tc>
      </w:tr>
      <w:tr w:rsidR="00CB09CE" w:rsidRPr="009532D4" w14:paraId="31EB3604" w14:textId="77777777" w:rsidTr="00AF46F9">
        <w:trPr>
          <w:jc w:val="center"/>
        </w:trPr>
        <w:tc>
          <w:tcPr>
            <w:tcW w:w="1728" w:type="dxa"/>
            <w:tcMar>
              <w:top w:w="80" w:type="dxa"/>
              <w:left w:w="80" w:type="dxa"/>
              <w:bottom w:w="80" w:type="dxa"/>
              <w:right w:w="80" w:type="dxa"/>
            </w:tcMar>
            <w:vAlign w:val="center"/>
          </w:tcPr>
          <w:p w14:paraId="2BCF53B4"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Segmentation</w:t>
            </w:r>
          </w:p>
        </w:tc>
        <w:tc>
          <w:tcPr>
            <w:tcW w:w="3888" w:type="dxa"/>
            <w:tcMar>
              <w:top w:w="80" w:type="dxa"/>
              <w:left w:w="80" w:type="dxa"/>
              <w:bottom w:w="80" w:type="dxa"/>
              <w:right w:w="80" w:type="dxa"/>
            </w:tcMar>
            <w:vAlign w:val="center"/>
          </w:tcPr>
          <w:p w14:paraId="4BCAE46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Life stage, indulgence, nostalgia, sharing, gifting, Easter and Christmas.</w:t>
            </w:r>
          </w:p>
        </w:tc>
        <w:tc>
          <w:tcPr>
            <w:tcW w:w="3888" w:type="dxa"/>
            <w:tcMar>
              <w:top w:w="80" w:type="dxa"/>
              <w:left w:w="80" w:type="dxa"/>
              <w:bottom w:w="80" w:type="dxa"/>
              <w:right w:w="80" w:type="dxa"/>
            </w:tcMar>
            <w:vAlign w:val="center"/>
          </w:tcPr>
          <w:p w14:paraId="41AA00B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Income, age, urban–rural location, affordable treats, romance, family festivals and gifting.</w:t>
            </w:r>
          </w:p>
        </w:tc>
      </w:tr>
      <w:tr w:rsidR="00CB09CE" w:rsidRPr="009532D4" w14:paraId="1A05FB10" w14:textId="77777777" w:rsidTr="00AF46F9">
        <w:trPr>
          <w:jc w:val="center"/>
        </w:trPr>
        <w:tc>
          <w:tcPr>
            <w:tcW w:w="1728" w:type="dxa"/>
            <w:shd w:val="clear" w:color="auto" w:fill="F4EFF8"/>
            <w:tcMar>
              <w:top w:w="80" w:type="dxa"/>
              <w:left w:w="80" w:type="dxa"/>
              <w:bottom w:w="80" w:type="dxa"/>
              <w:right w:w="80" w:type="dxa"/>
            </w:tcMar>
            <w:vAlign w:val="center"/>
          </w:tcPr>
          <w:p w14:paraId="27840BC0"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Targeting</w:t>
            </w:r>
          </w:p>
        </w:tc>
        <w:tc>
          <w:tcPr>
            <w:tcW w:w="3888" w:type="dxa"/>
            <w:shd w:val="clear" w:color="auto" w:fill="F4EFF8"/>
            <w:tcMar>
              <w:top w:w="80" w:type="dxa"/>
              <w:left w:w="80" w:type="dxa"/>
              <w:bottom w:w="80" w:type="dxa"/>
              <w:right w:w="80" w:type="dxa"/>
            </w:tcMar>
            <w:vAlign w:val="center"/>
          </w:tcPr>
          <w:p w14:paraId="0FC3857E"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Broad coverage differentiated through bars, family formats, seasonal products and boxed gifts.</w:t>
            </w:r>
          </w:p>
        </w:tc>
        <w:tc>
          <w:tcPr>
            <w:tcW w:w="3888" w:type="dxa"/>
            <w:shd w:val="clear" w:color="auto" w:fill="F4EFF8"/>
            <w:tcMar>
              <w:top w:w="80" w:type="dxa"/>
              <w:left w:w="80" w:type="dxa"/>
              <w:bottom w:w="80" w:type="dxa"/>
              <w:right w:w="80" w:type="dxa"/>
            </w:tcMar>
            <w:vAlign w:val="center"/>
          </w:tcPr>
          <w:p w14:paraId="5AE4E3DA"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Mass-market Dairy Milk and small packs, youth brands, premium Silk and Celebrations gifting.</w:t>
            </w:r>
          </w:p>
        </w:tc>
      </w:tr>
      <w:tr w:rsidR="00CB09CE" w:rsidRPr="009532D4" w14:paraId="4F13C13F" w14:textId="77777777" w:rsidTr="00AF46F9">
        <w:trPr>
          <w:jc w:val="center"/>
        </w:trPr>
        <w:tc>
          <w:tcPr>
            <w:tcW w:w="1728" w:type="dxa"/>
            <w:tcMar>
              <w:top w:w="80" w:type="dxa"/>
              <w:left w:w="80" w:type="dxa"/>
              <w:bottom w:w="80" w:type="dxa"/>
              <w:right w:w="80" w:type="dxa"/>
            </w:tcMar>
            <w:vAlign w:val="center"/>
          </w:tcPr>
          <w:p w14:paraId="727D589F"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Positioning</w:t>
            </w:r>
          </w:p>
        </w:tc>
        <w:tc>
          <w:tcPr>
            <w:tcW w:w="3888" w:type="dxa"/>
            <w:tcMar>
              <w:top w:w="80" w:type="dxa"/>
              <w:left w:w="80" w:type="dxa"/>
              <w:bottom w:w="80" w:type="dxa"/>
              <w:right w:w="80" w:type="dxa"/>
            </w:tcMar>
            <w:vAlign w:val="center"/>
          </w:tcPr>
          <w:p w14:paraId="4DBDB45C"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British heritage, familiar taste, generosity and shared memories.</w:t>
            </w:r>
          </w:p>
        </w:tc>
        <w:tc>
          <w:tcPr>
            <w:tcW w:w="3888" w:type="dxa"/>
            <w:tcMar>
              <w:top w:w="80" w:type="dxa"/>
              <w:left w:w="80" w:type="dxa"/>
              <w:bottom w:w="80" w:type="dxa"/>
              <w:right w:w="80" w:type="dxa"/>
            </w:tcMar>
            <w:vAlign w:val="center"/>
          </w:tcPr>
          <w:p w14:paraId="01BD1D25"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Accessible happiness and generosity, adapted to affection, festivals and culturally meaningful gifting.</w:t>
            </w:r>
          </w:p>
        </w:tc>
      </w:tr>
    </w:tbl>
    <w:p w14:paraId="43E97F8E" w14:textId="77777777" w:rsidR="00CB09CE" w:rsidRPr="009532D4" w:rsidRDefault="00CB09CE" w:rsidP="00CB09CE">
      <w:pPr>
        <w:spacing w:after="20"/>
        <w:rPr>
          <w:rFonts w:ascii="Arial" w:hAnsi="Arial" w:cs="Arial"/>
          <w:sz w:val="24"/>
          <w:szCs w:val="24"/>
        </w:rPr>
      </w:pPr>
    </w:p>
    <w:p w14:paraId="6FCF4A1E"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 xml:space="preserve">Cadbury mainly segments a mature market in the UK by consumption occasion and desired benefit. Individual bars, tablets, sharing bags, multipacks and gift boxes cater for self-consumption, households and celebrations. Its gifting platform organises products on birthdays, retirement, congratulations and thanks (Cadbury, 2026b). Seasonal Creme Egg and Mini Eggs activity supports Easter demand. This behavioural approach is more actionable than age as different age groups can seek the same indulgence or sharing </w:t>
      </w:r>
      <w:proofErr w:type="gramStart"/>
      <w:r w:rsidRPr="009532D4">
        <w:rPr>
          <w:rFonts w:ascii="Arial" w:hAnsi="Arial" w:cs="Arial"/>
          <w:sz w:val="24"/>
          <w:szCs w:val="24"/>
          <w:lang w:val="en-BB"/>
        </w:rPr>
        <w:t>benefit .</w:t>
      </w:r>
      <w:proofErr w:type="gramEnd"/>
      <w:r w:rsidRPr="009532D4">
        <w:rPr>
          <w:rFonts w:ascii="Arial" w:hAnsi="Arial" w:cs="Arial"/>
          <w:sz w:val="24"/>
          <w:szCs w:val="24"/>
          <w:lang w:val="en-BB"/>
        </w:rPr>
        <w:t xml:space="preserve"> </w:t>
      </w:r>
      <w:r w:rsidRPr="009532D4">
        <w:rPr>
          <w:rFonts w:ascii="Arial" w:hAnsi="Arial" w:cs="Arial"/>
          <w:sz w:val="24"/>
          <w:szCs w:val="24"/>
          <w:lang w:val="en-BB"/>
        </w:rPr>
        <w:br/>
        <w:t xml:space="preserve">The Indian segmentation is more economically and culturally layered. Low-priced formats cater for value-conscious trial and impulse; Dairy Milk delivers mass reach; Silk provides premium romantic indulgence; and Celebrations caters for family and festival gifting. Separate campaigns around Valentine’s Day, cricket and regional celebrations illustrate occasion-based targeting (Mondelēz International, 2026a). The price ladder that follows combines penetration with premiumisation but, if too much emphasis is placed on small packs, it could be at the expense of margins and add to the waste problem. </w:t>
      </w:r>
      <w:r w:rsidRPr="009532D4">
        <w:rPr>
          <w:rFonts w:ascii="Arial" w:hAnsi="Arial" w:cs="Arial"/>
          <w:sz w:val="24"/>
          <w:szCs w:val="24"/>
          <w:lang w:val="en-BB"/>
        </w:rPr>
        <w:br/>
        <w:t xml:space="preserve">Cadbury’s typical positioning is around the ideas of enjoyable chocolate, generosity and connection. The UK heritage and the ‘glass and a half’ symbol give nostalgia that newer competitors cannot easily copy. In India the same emotional territory is </w:t>
      </w:r>
      <w:proofErr w:type="gramStart"/>
      <w:r w:rsidRPr="009532D4">
        <w:rPr>
          <w:rFonts w:ascii="Arial" w:hAnsi="Arial" w:cs="Arial"/>
          <w:sz w:val="24"/>
          <w:szCs w:val="24"/>
          <w:lang w:val="en-BB"/>
        </w:rPr>
        <w:t>localised</w:t>
      </w:r>
      <w:proofErr w:type="gramEnd"/>
      <w:r w:rsidRPr="009532D4">
        <w:rPr>
          <w:rFonts w:ascii="Arial" w:hAnsi="Arial" w:cs="Arial"/>
          <w:sz w:val="24"/>
          <w:szCs w:val="24"/>
          <w:lang w:val="en-BB"/>
        </w:rPr>
        <w:t xml:space="preserve"> so chocolate becomes an appropriate expression of affection and a complement to mithai. For example, Iniya </w:t>
      </w:r>
      <w:proofErr w:type="spellStart"/>
      <w:r w:rsidRPr="009532D4">
        <w:rPr>
          <w:rFonts w:ascii="Arial" w:hAnsi="Arial" w:cs="Arial"/>
          <w:sz w:val="24"/>
          <w:szCs w:val="24"/>
          <w:lang w:val="en-BB"/>
        </w:rPr>
        <w:t>Kondattam</w:t>
      </w:r>
      <w:proofErr w:type="spellEnd"/>
      <w:r w:rsidRPr="009532D4">
        <w:rPr>
          <w:rFonts w:ascii="Arial" w:hAnsi="Arial" w:cs="Arial"/>
          <w:sz w:val="24"/>
          <w:szCs w:val="24"/>
          <w:lang w:val="en-BB"/>
        </w:rPr>
        <w:t xml:space="preserve"> in Tamil Nadu exhibits local positioning within a national brand (Mondelēz International, 2023). In summary, Cadbury is effective in its differentiated targeting and glocalised positioning; the danger is that too many variants and meanings in its campaigns could fragment the core identity. </w:t>
      </w:r>
      <w:r w:rsidRPr="009532D4">
        <w:rPr>
          <w:rFonts w:ascii="Arial" w:hAnsi="Arial" w:cs="Arial"/>
          <w:sz w:val="24"/>
          <w:szCs w:val="24"/>
          <w:lang w:val="en-BB"/>
        </w:rPr>
        <w:br/>
      </w:r>
      <w:r w:rsidRPr="009532D4">
        <w:rPr>
          <w:rFonts w:ascii="Arial" w:hAnsi="Arial" w:cs="Arial"/>
          <w:sz w:val="24"/>
          <w:szCs w:val="24"/>
          <w:lang w:val="en-BB"/>
        </w:rPr>
        <w:lastRenderedPageBreak/>
        <w:t>The effectiveness of this targeting is also dependent on the competitive distinctiveness. Heritage safeguards familiarity but may cause the brand to appear conventional unless innovation attracts younger buyers. In the UK, In India, emotional festival positioning spurs growth by increasing the occasions on which chocolate is considered, but it is competing with culturally embedded sweets on freshness, sharing rituals and perceived authenticity. Cadbury should therefore measure positioning in terms of mental availability and occasion penetration, not awareness alone. A robust STP system would monitor whether communication pulls incremental occasions and new households, not just whether existing consumers recall an ad.</w:t>
      </w:r>
    </w:p>
    <w:p w14:paraId="7E5B5170" w14:textId="77777777" w:rsidR="00CB09CE" w:rsidRPr="009532D4" w:rsidRDefault="00CB09CE" w:rsidP="00CB09CE">
      <w:pPr>
        <w:rPr>
          <w:rFonts w:ascii="Arial" w:hAnsi="Arial" w:cs="Arial"/>
          <w:sz w:val="24"/>
          <w:szCs w:val="24"/>
        </w:rPr>
      </w:pPr>
    </w:p>
    <w:p w14:paraId="10502F4D"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4. Comparative International Marketing Mix (7Ps)</w:t>
      </w:r>
    </w:p>
    <w:p w14:paraId="6F3348F4"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4.1 Product and price</w:t>
      </w:r>
    </w:p>
    <w:p w14:paraId="1D82AA62"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 xml:space="preserve">Cadbury's portfolios are different, but the brand standardised recognisable milk chocolate, purple packaging and the Dairy Milk master brand. Its UK selection includes bars, tablets, sharing bags and gifts of Dairy Milk, Wispa, Twirl, Crunchie, Flake, </w:t>
      </w:r>
      <w:proofErr w:type="spellStart"/>
      <w:r w:rsidRPr="009532D4">
        <w:rPr>
          <w:rFonts w:ascii="Arial" w:hAnsi="Arial" w:cs="Arial"/>
          <w:sz w:val="24"/>
          <w:szCs w:val="24"/>
          <w:lang w:val="en-BB"/>
        </w:rPr>
        <w:t>Bournville</w:t>
      </w:r>
      <w:proofErr w:type="spellEnd"/>
      <w:r w:rsidRPr="009532D4">
        <w:rPr>
          <w:rFonts w:ascii="Arial" w:hAnsi="Arial" w:cs="Arial"/>
          <w:sz w:val="24"/>
          <w:szCs w:val="24"/>
          <w:lang w:val="en-BB"/>
        </w:rPr>
        <w:t xml:space="preserve">, Creme Egg, Mini Eggs, Roses, Heroes and Milk Tray (Cadbury, 2026c). Such breadth is indicative of a mature category where seasonal and texture innovation such as Dairy Milk Biscoff can help to drive demand. India continues to put Dairy Milk at the centre but uses Silk, Celebrations, 5 Star, Fuse and Perk to address affordability, aspiration, gifting and youthfulness. Local and trend led innovation adds </w:t>
      </w:r>
      <w:proofErr w:type="gramStart"/>
      <w:r w:rsidRPr="009532D4">
        <w:rPr>
          <w:rFonts w:ascii="Arial" w:hAnsi="Arial" w:cs="Arial"/>
          <w:sz w:val="24"/>
          <w:szCs w:val="24"/>
          <w:lang w:val="en-BB"/>
        </w:rPr>
        <w:t>relevance</w:t>
      </w:r>
      <w:proofErr w:type="gramEnd"/>
      <w:r w:rsidRPr="009532D4">
        <w:rPr>
          <w:rFonts w:ascii="Arial" w:hAnsi="Arial" w:cs="Arial"/>
          <w:sz w:val="24"/>
          <w:szCs w:val="24"/>
          <w:lang w:val="en-BB"/>
        </w:rPr>
        <w:t xml:space="preserve"> but constant extensions can create cannibalisation and complexity. </w:t>
      </w:r>
      <w:r w:rsidRPr="009532D4">
        <w:rPr>
          <w:rFonts w:ascii="Arial" w:hAnsi="Arial" w:cs="Arial"/>
          <w:sz w:val="24"/>
          <w:szCs w:val="24"/>
          <w:lang w:val="en-BB"/>
        </w:rPr>
        <w:br/>
        <w:t xml:space="preserve">Prices in the UK range between economy private label and specialist premium chocolate. Bars drive impulse demand </w:t>
      </w:r>
      <w:proofErr w:type="gramStart"/>
      <w:r w:rsidRPr="009532D4">
        <w:rPr>
          <w:rFonts w:ascii="Arial" w:hAnsi="Arial" w:cs="Arial"/>
          <w:sz w:val="24"/>
          <w:szCs w:val="24"/>
          <w:lang w:val="en-BB"/>
        </w:rPr>
        <w:t>Larger</w:t>
      </w:r>
      <w:proofErr w:type="gramEnd"/>
      <w:r w:rsidRPr="009532D4">
        <w:rPr>
          <w:rFonts w:ascii="Arial" w:hAnsi="Arial" w:cs="Arial"/>
          <w:sz w:val="24"/>
          <w:szCs w:val="24"/>
          <w:lang w:val="en-BB"/>
        </w:rPr>
        <w:t xml:space="preserve"> formats reduce the unit cost. Gifting adds emotional value. With cocoa price inflation, direct increases are dangerous and less obvious pack size reductions can erode trust. India needs far more price adaptation: small packs reduce the trial cost, standard bars cater for the middle market and Silk and Celebrations command a premium. This hierarchical structure is strategically appropriate, although very small packs can lead to low margins and high packaging intensity. Cadbury should keep accessible entry points while encouraging the move to larger or higher value formats. </w:t>
      </w:r>
      <w:r w:rsidRPr="009532D4">
        <w:rPr>
          <w:rFonts w:ascii="Arial" w:hAnsi="Arial" w:cs="Arial"/>
          <w:sz w:val="24"/>
          <w:szCs w:val="24"/>
          <w:lang w:val="en-BB"/>
        </w:rPr>
        <w:br/>
        <w:t xml:space="preserve">You </w:t>
      </w:r>
      <w:proofErr w:type="gramStart"/>
      <w:r w:rsidRPr="009532D4">
        <w:rPr>
          <w:rFonts w:ascii="Arial" w:hAnsi="Arial" w:cs="Arial"/>
          <w:sz w:val="24"/>
          <w:szCs w:val="24"/>
          <w:lang w:val="en-BB"/>
        </w:rPr>
        <w:t>have to</w:t>
      </w:r>
      <w:proofErr w:type="gramEnd"/>
      <w:r w:rsidRPr="009532D4">
        <w:rPr>
          <w:rFonts w:ascii="Arial" w:hAnsi="Arial" w:cs="Arial"/>
          <w:sz w:val="24"/>
          <w:szCs w:val="24"/>
          <w:lang w:val="en-BB"/>
        </w:rPr>
        <w:t xml:space="preserve"> find the right balance between price and product. UK collaboration can justify a short-term premium if there’s a unique flavour or texture, but repeated novelty without a clear benefit may just teach consumers to wait for deals. In India, a premium pack should have visible sensory and gifting cues so that the price difference is understood and not perceived as simple mark-up. Cadbury should be doing research on willingness to pay by occasion and by channel, as a consumer may buy a cheap bar for himself but pay a much higher price for a festival gift. Clear pack architecture can stop premium variants from making the core Dairy Milk less accessible.</w:t>
      </w:r>
    </w:p>
    <w:p w14:paraId="38CF4140" w14:textId="77777777" w:rsidR="00CB09CE" w:rsidRPr="009532D4" w:rsidRDefault="00CB09CE" w:rsidP="00CB09CE">
      <w:pPr>
        <w:rPr>
          <w:rFonts w:ascii="Arial" w:hAnsi="Arial" w:cs="Arial"/>
          <w:sz w:val="24"/>
          <w:szCs w:val="24"/>
          <w:lang w:val="en-BB"/>
        </w:rPr>
      </w:pPr>
    </w:p>
    <w:p w14:paraId="02071151"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4.2 Place and promotion</w:t>
      </w:r>
    </w:p>
    <w:p w14:paraId="642FF477" w14:textId="77777777" w:rsidR="00CB09CE" w:rsidRPr="009532D4" w:rsidRDefault="00CB09CE" w:rsidP="00CB09CE">
      <w:pPr>
        <w:rPr>
          <w:rFonts w:ascii="Arial" w:hAnsi="Arial" w:cs="Arial"/>
          <w:sz w:val="24"/>
          <w:szCs w:val="24"/>
        </w:rPr>
      </w:pPr>
      <w:r w:rsidRPr="009532D4">
        <w:rPr>
          <w:rFonts w:ascii="Arial" w:hAnsi="Arial" w:cs="Arial"/>
          <w:sz w:val="24"/>
          <w:szCs w:val="24"/>
        </w:rPr>
        <w:lastRenderedPageBreak/>
        <w:t xml:space="preserve">Distributed across the UK through supermarkets, convenience stores, petrol stations, discounters, vending and e-commerce. HFSS rules underscore the significance of retailer search, applications and planned displays, as impulse demand has typically been </w:t>
      </w:r>
      <w:proofErr w:type="spellStart"/>
      <w:r w:rsidRPr="009532D4">
        <w:rPr>
          <w:rFonts w:ascii="Arial" w:hAnsi="Arial" w:cs="Arial"/>
          <w:sz w:val="24"/>
          <w:szCs w:val="24"/>
        </w:rPr>
        <w:t>fuelled</w:t>
      </w:r>
      <w:proofErr w:type="spellEnd"/>
      <w:r w:rsidRPr="009532D4">
        <w:rPr>
          <w:rFonts w:ascii="Arial" w:hAnsi="Arial" w:cs="Arial"/>
          <w:sz w:val="24"/>
          <w:szCs w:val="24"/>
        </w:rPr>
        <w:t xml:space="preserve"> by checkout and seasonal visibility. India needs hybrid coverage Supermarkets, e-commerce and quick commerce are important in </w:t>
      </w:r>
      <w:proofErr w:type="gramStart"/>
      <w:r w:rsidRPr="009532D4">
        <w:rPr>
          <w:rFonts w:ascii="Arial" w:hAnsi="Arial" w:cs="Arial"/>
          <w:sz w:val="24"/>
          <w:szCs w:val="24"/>
        </w:rPr>
        <w:t>cities</w:t>
      </w:r>
      <w:proofErr w:type="gramEnd"/>
      <w:r w:rsidRPr="009532D4">
        <w:rPr>
          <w:rFonts w:ascii="Arial" w:hAnsi="Arial" w:cs="Arial"/>
          <w:sz w:val="24"/>
          <w:szCs w:val="24"/>
        </w:rPr>
        <w:t xml:space="preserve"> but </w:t>
      </w:r>
      <w:proofErr w:type="spellStart"/>
      <w:r w:rsidRPr="009532D4">
        <w:rPr>
          <w:rFonts w:ascii="Arial" w:hAnsi="Arial" w:cs="Arial"/>
          <w:sz w:val="24"/>
          <w:szCs w:val="24"/>
        </w:rPr>
        <w:t>neighbourhood</w:t>
      </w:r>
      <w:proofErr w:type="spellEnd"/>
      <w:r w:rsidRPr="009532D4">
        <w:rPr>
          <w:rFonts w:ascii="Arial" w:hAnsi="Arial" w:cs="Arial"/>
          <w:sz w:val="24"/>
          <w:szCs w:val="24"/>
        </w:rPr>
        <w:t xml:space="preserve"> retailers are still important for national penetration. Local manufacturing and distribution results in fresher products, better price responsiveness and wider reach. geography, heat and lots of little outlets drive up logistics costs</w:t>
      </w:r>
    </w:p>
    <w:p w14:paraId="1EC2613C" w14:textId="77777777" w:rsidR="00CB09CE" w:rsidRPr="009532D4" w:rsidRDefault="00CB09CE" w:rsidP="00CB09CE">
      <w:pPr>
        <w:rPr>
          <w:rFonts w:ascii="Arial" w:hAnsi="Arial" w:cs="Arial"/>
          <w:sz w:val="24"/>
          <w:szCs w:val="24"/>
        </w:rPr>
      </w:pPr>
      <w:r w:rsidRPr="009532D4">
        <w:rPr>
          <w:rFonts w:ascii="Arial" w:hAnsi="Arial" w:cs="Arial"/>
          <w:sz w:val="24"/>
          <w:szCs w:val="24"/>
        </w:rPr>
        <w:t xml:space="preserve">Channel roles therefore should be differentiated and not duplicated. British supermarkets cater for planned family and seasonal buying, convenience stores for immediate consumption, and direct online channels for </w:t>
      </w:r>
      <w:proofErr w:type="spellStart"/>
      <w:r w:rsidRPr="009532D4">
        <w:rPr>
          <w:rFonts w:ascii="Arial" w:hAnsi="Arial" w:cs="Arial"/>
          <w:sz w:val="24"/>
          <w:szCs w:val="24"/>
        </w:rPr>
        <w:t>personalisation</w:t>
      </w:r>
      <w:proofErr w:type="spellEnd"/>
      <w:r w:rsidRPr="009532D4">
        <w:rPr>
          <w:rFonts w:ascii="Arial" w:hAnsi="Arial" w:cs="Arial"/>
          <w:sz w:val="24"/>
          <w:szCs w:val="24"/>
        </w:rPr>
        <w:t xml:space="preserve">. Indian </w:t>
      </w:r>
      <w:proofErr w:type="spellStart"/>
      <w:r w:rsidRPr="009532D4">
        <w:rPr>
          <w:rFonts w:ascii="Arial" w:hAnsi="Arial" w:cs="Arial"/>
          <w:sz w:val="24"/>
          <w:szCs w:val="24"/>
        </w:rPr>
        <w:t>neighbourhood</w:t>
      </w:r>
      <w:proofErr w:type="spellEnd"/>
      <w:r w:rsidRPr="009532D4">
        <w:rPr>
          <w:rFonts w:ascii="Arial" w:hAnsi="Arial" w:cs="Arial"/>
          <w:sz w:val="24"/>
          <w:szCs w:val="24"/>
        </w:rPr>
        <w:t xml:space="preserve"> stores provide ubiquity and low-value access for time sensitive occasions, whereas quick-commerce platforms </w:t>
      </w:r>
      <w:proofErr w:type="gramStart"/>
      <w:r w:rsidRPr="009532D4">
        <w:rPr>
          <w:rFonts w:ascii="Arial" w:hAnsi="Arial" w:cs="Arial"/>
          <w:sz w:val="24"/>
          <w:szCs w:val="24"/>
        </w:rPr>
        <w:t>are able to</w:t>
      </w:r>
      <w:proofErr w:type="gramEnd"/>
      <w:r w:rsidRPr="009532D4">
        <w:rPr>
          <w:rFonts w:ascii="Arial" w:hAnsi="Arial" w:cs="Arial"/>
          <w:sz w:val="24"/>
          <w:szCs w:val="24"/>
        </w:rPr>
        <w:t xml:space="preserve"> cater to premium or gifting formats. Channel-specific assortments could improve the economics, but too much exclusivity could cloud price </w:t>
      </w:r>
      <w:proofErr w:type="gramStart"/>
      <w:r w:rsidRPr="009532D4">
        <w:rPr>
          <w:rFonts w:ascii="Arial" w:hAnsi="Arial" w:cs="Arial"/>
          <w:sz w:val="24"/>
          <w:szCs w:val="24"/>
        </w:rPr>
        <w:t>comparison, and</w:t>
      </w:r>
      <w:proofErr w:type="gramEnd"/>
      <w:r w:rsidRPr="009532D4">
        <w:rPr>
          <w:rFonts w:ascii="Arial" w:hAnsi="Arial" w:cs="Arial"/>
          <w:sz w:val="24"/>
          <w:szCs w:val="24"/>
        </w:rPr>
        <w:t xml:space="preserve"> create friction between retailers. Cadbury needs one recommended positioning, with controlled variation in format, visibility and service level.</w:t>
      </w:r>
    </w:p>
    <w:p w14:paraId="221909C6" w14:textId="77777777" w:rsidR="00CB09CE" w:rsidRPr="009532D4" w:rsidRDefault="00CB09CE" w:rsidP="00CB09CE">
      <w:pPr>
        <w:rPr>
          <w:rFonts w:ascii="Arial" w:hAnsi="Arial" w:cs="Arial"/>
          <w:sz w:val="24"/>
          <w:szCs w:val="24"/>
        </w:rPr>
      </w:pPr>
      <w:r w:rsidRPr="009532D4">
        <w:rPr>
          <w:rFonts w:ascii="Arial" w:hAnsi="Arial" w:cs="Arial"/>
          <w:sz w:val="24"/>
          <w:szCs w:val="24"/>
        </w:rPr>
        <w:t xml:space="preserve">Promotion is the most obvious form of </w:t>
      </w:r>
      <w:proofErr w:type="spellStart"/>
      <w:r w:rsidRPr="009532D4">
        <w:rPr>
          <w:rFonts w:ascii="Arial" w:hAnsi="Arial" w:cs="Arial"/>
          <w:sz w:val="24"/>
          <w:szCs w:val="24"/>
        </w:rPr>
        <w:t>glocalisation</w:t>
      </w:r>
      <w:proofErr w:type="spellEnd"/>
      <w:r w:rsidRPr="009532D4">
        <w:rPr>
          <w:rFonts w:ascii="Arial" w:hAnsi="Arial" w:cs="Arial"/>
          <w:sz w:val="24"/>
          <w:szCs w:val="24"/>
        </w:rPr>
        <w:t xml:space="preserve">. Both markets have purple assets and generosity. UK advertising is replete with understated, everyday stories of people connecting through small generous acts (Cadbury, 2026d) and these are supported by heritage, competitions and seasonal gifting. It is an Indian communication platform for festivals, family, romance, cricket and culture of the regions. The “Say It </w:t>
      </w:r>
      <w:proofErr w:type="gramStart"/>
      <w:r w:rsidRPr="009532D4">
        <w:rPr>
          <w:rFonts w:ascii="Arial" w:hAnsi="Arial" w:cs="Arial"/>
          <w:sz w:val="24"/>
          <w:szCs w:val="24"/>
        </w:rPr>
        <w:t>With</w:t>
      </w:r>
      <w:proofErr w:type="gramEnd"/>
      <w:r w:rsidRPr="009532D4">
        <w:rPr>
          <w:rFonts w:ascii="Arial" w:hAnsi="Arial" w:cs="Arial"/>
          <w:sz w:val="24"/>
          <w:szCs w:val="24"/>
        </w:rPr>
        <w:t xml:space="preserve"> Silk” activity from Silk focuses on expressing love, while Celebrations is about occasions with traditional sweets. Indian promotion can alter category </w:t>
      </w:r>
      <w:proofErr w:type="spellStart"/>
      <w:proofErr w:type="gramStart"/>
      <w:r w:rsidRPr="009532D4">
        <w:rPr>
          <w:rFonts w:ascii="Arial" w:hAnsi="Arial" w:cs="Arial"/>
          <w:sz w:val="24"/>
          <w:szCs w:val="24"/>
        </w:rPr>
        <w:t>behaviour</w:t>
      </w:r>
      <w:proofErr w:type="spellEnd"/>
      <w:proofErr w:type="gramEnd"/>
      <w:r w:rsidRPr="009532D4">
        <w:rPr>
          <w:rFonts w:ascii="Arial" w:hAnsi="Arial" w:cs="Arial"/>
          <w:sz w:val="24"/>
          <w:szCs w:val="24"/>
        </w:rPr>
        <w:t xml:space="preserve"> but celebrity and culturally specific campaigns need to be sensitive.  “Across both </w:t>
      </w:r>
      <w:proofErr w:type="gramStart"/>
      <w:r w:rsidRPr="009532D4">
        <w:rPr>
          <w:rFonts w:ascii="Arial" w:hAnsi="Arial" w:cs="Arial"/>
          <w:sz w:val="24"/>
          <w:szCs w:val="24"/>
        </w:rPr>
        <w:t>countries</w:t>
      </w:r>
      <w:proofErr w:type="gramEnd"/>
      <w:r w:rsidRPr="009532D4">
        <w:rPr>
          <w:rFonts w:ascii="Arial" w:hAnsi="Arial" w:cs="Arial"/>
          <w:sz w:val="24"/>
          <w:szCs w:val="24"/>
        </w:rPr>
        <w:t xml:space="preserve"> health scrutiny is in </w:t>
      </w:r>
      <w:proofErr w:type="spellStart"/>
      <w:r w:rsidRPr="009532D4">
        <w:rPr>
          <w:rFonts w:ascii="Arial" w:hAnsi="Arial" w:cs="Arial"/>
          <w:sz w:val="24"/>
          <w:szCs w:val="24"/>
        </w:rPr>
        <w:t>favour</w:t>
      </w:r>
      <w:proofErr w:type="spellEnd"/>
      <w:r w:rsidRPr="009532D4">
        <w:rPr>
          <w:rFonts w:ascii="Arial" w:hAnsi="Arial" w:cs="Arial"/>
          <w:sz w:val="24"/>
          <w:szCs w:val="24"/>
        </w:rPr>
        <w:t xml:space="preserve"> of responsible communication led by the brand, rather than messages that encourage excessive consumption.</w:t>
      </w:r>
    </w:p>
    <w:p w14:paraId="3598B5A4" w14:textId="77777777" w:rsidR="00CB09CE" w:rsidRPr="009532D4" w:rsidRDefault="00CB09CE" w:rsidP="00CB09CE">
      <w:pPr>
        <w:rPr>
          <w:rFonts w:ascii="Arial" w:hAnsi="Arial" w:cs="Arial"/>
          <w:sz w:val="24"/>
          <w:szCs w:val="24"/>
        </w:rPr>
      </w:pPr>
      <w:proofErr w:type="gramStart"/>
      <w:r w:rsidRPr="009532D4">
        <w:rPr>
          <w:rFonts w:ascii="Arial" w:hAnsi="Arial" w:cs="Arial"/>
          <w:sz w:val="24"/>
          <w:szCs w:val="24"/>
        </w:rPr>
        <w:t>Also</w:t>
      </w:r>
      <w:proofErr w:type="gramEnd"/>
      <w:r w:rsidRPr="009532D4">
        <w:rPr>
          <w:rFonts w:ascii="Arial" w:hAnsi="Arial" w:cs="Arial"/>
          <w:sz w:val="24"/>
          <w:szCs w:val="24"/>
        </w:rPr>
        <w:t xml:space="preserve"> the media effectiveness is different. UK restrictions on qualifying product-specific advertising make corporate and master-brand storytelling more valuable. Retail media and first-party data can drive </w:t>
      </w:r>
      <w:proofErr w:type="gramStart"/>
      <w:r w:rsidRPr="009532D4">
        <w:rPr>
          <w:rFonts w:ascii="Arial" w:hAnsi="Arial" w:cs="Arial"/>
          <w:sz w:val="24"/>
          <w:szCs w:val="24"/>
        </w:rPr>
        <w:t>relevance</w:t>
      </w:r>
      <w:proofErr w:type="gramEnd"/>
      <w:r w:rsidRPr="009532D4">
        <w:rPr>
          <w:rFonts w:ascii="Arial" w:hAnsi="Arial" w:cs="Arial"/>
          <w:sz w:val="24"/>
          <w:szCs w:val="24"/>
        </w:rPr>
        <w:t xml:space="preserve"> but consumers want transparency on consent and frequency control.  Cadbury should keep common visual codes, common idea of generosity but allow locally produced stories. Pre-testing should be about understanding cultural offence, purchase incrementality and unintended appeal to children, not views or celebrity </w:t>
      </w:r>
      <w:proofErr w:type="gramStart"/>
      <w:r w:rsidRPr="009532D4">
        <w:rPr>
          <w:rFonts w:ascii="Arial" w:hAnsi="Arial" w:cs="Arial"/>
          <w:sz w:val="24"/>
          <w:szCs w:val="24"/>
        </w:rPr>
        <w:t>engagement.”</w:t>
      </w:r>
      <w:proofErr w:type="gramEnd"/>
    </w:p>
    <w:p w14:paraId="3E7D1DB5" w14:textId="77777777" w:rsidR="00CB09CE" w:rsidRPr="009532D4" w:rsidRDefault="00CB09CE" w:rsidP="00CB09CE">
      <w:pPr>
        <w:rPr>
          <w:rFonts w:ascii="Arial" w:hAnsi="Arial" w:cs="Arial"/>
          <w:sz w:val="24"/>
          <w:szCs w:val="24"/>
        </w:rPr>
      </w:pPr>
    </w:p>
    <w:p w14:paraId="60E98D62"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4.3 People, process and physical evidence</w:t>
      </w:r>
    </w:p>
    <w:p w14:paraId="7AE1C044"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 xml:space="preserve">Manufacturing employees, marketers, retailers, distributors, agencies and community partners are all vital to Cadbury. Relationships between retailer categories become especially important in large UK chains. India’s fragmented channels give local sales teams and distributors more of a role, and regional marketers bring linguistic and cultural knowledge. But poor merchandising, working conditions or complaint handling can let down </w:t>
      </w:r>
      <w:r w:rsidRPr="009532D4">
        <w:rPr>
          <w:rFonts w:ascii="Arial" w:hAnsi="Arial" w:cs="Arial"/>
          <w:sz w:val="24"/>
          <w:szCs w:val="24"/>
          <w:lang w:val="en-BB"/>
        </w:rPr>
        <w:lastRenderedPageBreak/>
        <w:t xml:space="preserve">the generous promise of the brand even if consumers rarely meet Cadbury employees. </w:t>
      </w:r>
      <w:r w:rsidRPr="009532D4">
        <w:rPr>
          <w:rFonts w:ascii="Arial" w:hAnsi="Arial" w:cs="Arial"/>
          <w:sz w:val="24"/>
          <w:szCs w:val="24"/>
          <w:lang w:val="en-BB"/>
        </w:rPr>
        <w:br/>
        <w:t xml:space="preserve">The core processes are sourcing, innovation, manufacturing, quality assurance, forecasting and fulfilment of cocoa. Global standards keep things consistent while local production allows to adapt. UK retailer systems supported data-driven replenishment and digital packaging links. Indian processes </w:t>
      </w:r>
      <w:proofErr w:type="gramStart"/>
      <w:r w:rsidRPr="009532D4">
        <w:rPr>
          <w:rFonts w:ascii="Arial" w:hAnsi="Arial" w:cs="Arial"/>
          <w:sz w:val="24"/>
          <w:szCs w:val="24"/>
          <w:lang w:val="en-BB"/>
        </w:rPr>
        <w:t>have to</w:t>
      </w:r>
      <w:proofErr w:type="gramEnd"/>
      <w:r w:rsidRPr="009532D4">
        <w:rPr>
          <w:rFonts w:ascii="Arial" w:hAnsi="Arial" w:cs="Arial"/>
          <w:sz w:val="24"/>
          <w:szCs w:val="24"/>
          <w:lang w:val="en-BB"/>
        </w:rPr>
        <w:t xml:space="preserve"> face long distances, seasonal peaks, temperature exposure and heterogeneous retailers. Quality control is important because a food safety failure would break family trust. Physical evidence dominated by Cadbury script, purple colour and pack architecture. </w:t>
      </w:r>
      <w:proofErr w:type="spellStart"/>
      <w:r w:rsidRPr="009532D4">
        <w:rPr>
          <w:rFonts w:ascii="Arial" w:hAnsi="Arial" w:cs="Arial"/>
          <w:sz w:val="24"/>
          <w:szCs w:val="24"/>
          <w:lang w:val="en-BB"/>
        </w:rPr>
        <w:t>Bournville</w:t>
      </w:r>
      <w:proofErr w:type="spellEnd"/>
      <w:r w:rsidRPr="009532D4">
        <w:rPr>
          <w:rFonts w:ascii="Arial" w:hAnsi="Arial" w:cs="Arial"/>
          <w:sz w:val="24"/>
          <w:szCs w:val="24"/>
          <w:lang w:val="en-BB"/>
        </w:rPr>
        <w:t xml:space="preserve"> and Cadbury World are also a part of UK heritage and Indian Silk and Celebrations packages are representative of premium gifting. Sustainability has become part of this evidence: UK Dairy Milk wrappers have introduced certified recycled plastic, but technical recyclability does not guarantee collection, especially where infrastructure is limited (Mondelēz International, 2022). </w:t>
      </w:r>
      <w:r w:rsidRPr="009532D4">
        <w:rPr>
          <w:rFonts w:ascii="Arial" w:hAnsi="Arial" w:cs="Arial"/>
          <w:sz w:val="24"/>
          <w:szCs w:val="24"/>
          <w:lang w:val="en-BB"/>
        </w:rPr>
        <w:br/>
        <w:t xml:space="preserve">All three long elements are dependent on each </w:t>
      </w:r>
      <w:proofErr w:type="gramStart"/>
      <w:r w:rsidRPr="009532D4">
        <w:rPr>
          <w:rFonts w:ascii="Arial" w:hAnsi="Arial" w:cs="Arial"/>
          <w:sz w:val="24"/>
          <w:szCs w:val="24"/>
          <w:lang w:val="en-BB"/>
        </w:rPr>
        <w:t>other .</w:t>
      </w:r>
      <w:proofErr w:type="gramEnd"/>
      <w:r w:rsidRPr="009532D4">
        <w:rPr>
          <w:rFonts w:ascii="Arial" w:hAnsi="Arial" w:cs="Arial"/>
          <w:sz w:val="24"/>
          <w:szCs w:val="24"/>
          <w:lang w:val="en-BB"/>
        </w:rPr>
        <w:t xml:space="preserve"> Local people and distributors produce insight; processes turn that insight into reliable availability; and packaging makes the promise visible. A premium Indian gift box arrives heat-</w:t>
      </w:r>
      <w:proofErr w:type="gramStart"/>
      <w:r w:rsidRPr="009532D4">
        <w:rPr>
          <w:rFonts w:ascii="Arial" w:hAnsi="Arial" w:cs="Arial"/>
          <w:sz w:val="24"/>
          <w:szCs w:val="24"/>
          <w:lang w:val="en-BB"/>
        </w:rPr>
        <w:t>damaged</w:t>
      </w:r>
      <w:proofErr w:type="gramEnd"/>
      <w:r w:rsidRPr="009532D4">
        <w:rPr>
          <w:rFonts w:ascii="Arial" w:hAnsi="Arial" w:cs="Arial"/>
          <w:sz w:val="24"/>
          <w:szCs w:val="24"/>
          <w:lang w:val="en-BB"/>
        </w:rPr>
        <w:t xml:space="preserve"> and no amount of advertising or attractive design can save the experience. In the same way, claims of sustainability are only credible if supported by data on procurement, packaging design and recovery systems. Cadbury should then deploy cross-functional market teams with brand, sales, supply-chain, regulatory and sustainability expertise. This reduces the risk of marketing promises being developed without operational feasibility. </w:t>
      </w:r>
      <w:r w:rsidRPr="009532D4">
        <w:rPr>
          <w:rFonts w:ascii="Arial" w:hAnsi="Arial" w:cs="Arial"/>
          <w:sz w:val="24"/>
          <w:szCs w:val="24"/>
          <w:lang w:val="en-BB"/>
        </w:rPr>
        <w:br/>
        <w:t>Thus, Cadbury follows a hybrid strategy. Identity, Dairy Milk, quality expectations and generosity are standard; portfolio, format, price, channel and campaign execution are adapted. Complete standardisation would overlook India’s purchasing power, climate, festivals and retail structure while complete localisation would sacrifice equity and scale. Adaptation should only be used when it results in a meaningful fit, as its performance effects are contingent on environmental and organisational conditions (Mandler, Bartsch and Han, 2021).</w:t>
      </w:r>
    </w:p>
    <w:p w14:paraId="4199DE79" w14:textId="77777777" w:rsidR="00CB09CE" w:rsidRPr="009532D4" w:rsidRDefault="00CB09CE" w:rsidP="00CB09CE">
      <w:pPr>
        <w:rPr>
          <w:rFonts w:ascii="Arial" w:hAnsi="Arial" w:cs="Arial"/>
          <w:sz w:val="24"/>
          <w:szCs w:val="24"/>
          <w:lang w:val="en-BB"/>
        </w:rPr>
      </w:pPr>
    </w:p>
    <w:p w14:paraId="46F8A5D8"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5. Market Entry Strategy in India</w:t>
      </w:r>
    </w:p>
    <w:p w14:paraId="4BFF19CC"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 xml:space="preserve">Cadbury entered India in 1948 with imported chocolate and an Indian incorporated operation, then developing local manufacturing, sourcing, sales and distribution. Importing limited capital exposure as the company tested a market that wasn’t as chocolate established. But affordability and responsiveness were limited by tariffs, transport, heat exposure and long lead times. The next stage is controlled local production, which involves foreign direct investment through a subsidiary. This gives greater control over quality, price, product adaptation and intellectual property than licensing or franchising. </w:t>
      </w:r>
      <w:r w:rsidRPr="009532D4">
        <w:rPr>
          <w:rFonts w:ascii="Arial" w:hAnsi="Arial" w:cs="Arial"/>
          <w:sz w:val="24"/>
          <w:szCs w:val="24"/>
          <w:lang w:val="en-BB"/>
        </w:rPr>
        <w:br/>
        <w:t xml:space="preserve">This development is consistent with the Uppsala model: firms increase commitment as experiential knowledge reduces uncertainty (Johanson and Vahlne, 1977). But slow learning isn’t the full story. Indian regulation, infrastructure, and the imperative to develop a chocolate category influenced commitment. Dunning’s (1988) eclectic framework offers a complementary explanation. Cadbury had the advantages of ownership in brand equity, </w:t>
      </w:r>
      <w:r w:rsidRPr="009532D4">
        <w:rPr>
          <w:rFonts w:ascii="Arial" w:hAnsi="Arial" w:cs="Arial"/>
          <w:sz w:val="24"/>
          <w:szCs w:val="24"/>
          <w:lang w:val="en-BB"/>
        </w:rPr>
        <w:lastRenderedPageBreak/>
        <w:t xml:space="preserve">recipes and production know-how; India had the advantages of location in population, income growth and demand; and internalisation protected quality and coordination. Local production also enabled cheap formats and responses to festivals and regions. </w:t>
      </w:r>
      <w:r w:rsidRPr="009532D4">
        <w:rPr>
          <w:rFonts w:ascii="Arial" w:hAnsi="Arial" w:cs="Arial"/>
          <w:sz w:val="24"/>
          <w:szCs w:val="24"/>
          <w:lang w:val="en-BB"/>
        </w:rPr>
        <w:br/>
        <w:t xml:space="preserve">The strategy increased fixed costs and exposed Cadbury to complex distribution, high temperatures and competition from traditional sweets. But controlled local presence gave us the know-how and the reach to position chocolate across treats, romance and gifting. Kraft’s 2010 acquisition of Cadbury was a change of ownership, not an entry into India; the Indian operation was later part of Mondelēz International (Kraft Foods, 2010). The integration provided access to wider procurement and research resources and maintained local brand equity. In general, the combination of early caution with the control necessary for long-term success led to low-commitment entry followed by local investment. </w:t>
      </w:r>
      <w:r w:rsidRPr="009532D4">
        <w:rPr>
          <w:rFonts w:ascii="Arial" w:hAnsi="Arial" w:cs="Arial"/>
          <w:sz w:val="24"/>
          <w:szCs w:val="24"/>
          <w:lang w:val="en-BB"/>
        </w:rPr>
        <w:br/>
        <w:t xml:space="preserve">Alternative entry modes would have resulted in different trade-offs. Licensing would have reduced capital requirements and exploited local relationships but enforcement of consistency in recipe, safety and positioning would have been more difficult. A joint venture might have accelerated learning within institutions but resulted in disputes over investment, standards in products and strategic control. Cadbury had differentiated technology and a brand to grow organically so an acquisition was not needed at entry. The subsidiary model thus suited an operation whose competitive edge depended on protecting quality while learning locally. The problem was its high </w:t>
      </w:r>
      <w:proofErr w:type="gramStart"/>
      <w:r w:rsidRPr="009532D4">
        <w:rPr>
          <w:rFonts w:ascii="Arial" w:hAnsi="Arial" w:cs="Arial"/>
          <w:sz w:val="24"/>
          <w:szCs w:val="24"/>
          <w:lang w:val="en-BB"/>
        </w:rPr>
        <w:t>exposure</w:t>
      </w:r>
      <w:proofErr w:type="gramEnd"/>
      <w:r w:rsidRPr="009532D4">
        <w:rPr>
          <w:rFonts w:ascii="Arial" w:hAnsi="Arial" w:cs="Arial"/>
          <w:sz w:val="24"/>
          <w:szCs w:val="24"/>
          <w:lang w:val="en-BB"/>
        </w:rPr>
        <w:t xml:space="preserve"> and it still needed to invest in compliance, cold-chain capability and distributor governance.</w:t>
      </w:r>
    </w:p>
    <w:p w14:paraId="148D8825" w14:textId="77777777" w:rsidR="00CB09CE" w:rsidRPr="009532D4" w:rsidRDefault="00CB09CE" w:rsidP="00CB09CE">
      <w:pPr>
        <w:rPr>
          <w:rFonts w:ascii="Arial" w:hAnsi="Arial" w:cs="Arial"/>
          <w:sz w:val="24"/>
          <w:szCs w:val="24"/>
          <w:lang w:val="en-BB"/>
        </w:rPr>
      </w:pPr>
    </w:p>
    <w:p w14:paraId="14ACAF89"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6. Ethical Issue in India: Marketing Confectionery to Children</w:t>
      </w:r>
    </w:p>
    <w:p w14:paraId="3FD6E82C"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 xml:space="preserve">The primary ethical concern is the risk of children being subjected to persuasive advertising of high-sugar confectionery. Childhood obesity has many </w:t>
      </w:r>
      <w:proofErr w:type="gramStart"/>
      <w:r w:rsidRPr="009532D4">
        <w:rPr>
          <w:rFonts w:ascii="Arial" w:hAnsi="Arial" w:cs="Arial"/>
          <w:sz w:val="24"/>
          <w:szCs w:val="24"/>
          <w:lang w:val="en-BB"/>
        </w:rPr>
        <w:t>determinants</w:t>
      </w:r>
      <w:proofErr w:type="gramEnd"/>
      <w:r w:rsidRPr="009532D4">
        <w:rPr>
          <w:rFonts w:ascii="Arial" w:hAnsi="Arial" w:cs="Arial"/>
          <w:sz w:val="24"/>
          <w:szCs w:val="24"/>
          <w:lang w:val="en-BB"/>
        </w:rPr>
        <w:t xml:space="preserve"> and Cadbury alone is not the cause of it, but product design, affordability, colourful packaging, retail visibility and digital entertainment can influence consumers who are still developing their understanding of persuasion. Research has shown that advertising less healthy foods via social social-media and advergames affects children’s preferences and intake (McCarthy et al., 2022). WHO associates childhood obesity with behaviour and food processing, distribution and marketing (WHO, 2025). </w:t>
      </w:r>
      <w:r w:rsidRPr="009532D4">
        <w:rPr>
          <w:rFonts w:ascii="Arial" w:hAnsi="Arial" w:cs="Arial"/>
          <w:sz w:val="24"/>
          <w:szCs w:val="24"/>
          <w:lang w:val="en-BB"/>
        </w:rPr>
        <w:br/>
        <w:t xml:space="preserve">Stakeholder theory states that the firm should consider children and parents, but also shareholders and retailers, as well as regulators and society (Freeman, 1984). The FSSAI rules don’t allow misleading advertisements and demand that claims match labels. But factually legal doesn’t mean it’s ethically okay. Even if claims are true, emotional or influencer techniques may be manipulative. </w:t>
      </w:r>
      <w:r w:rsidRPr="009532D4">
        <w:rPr>
          <w:rFonts w:ascii="Arial" w:hAnsi="Arial" w:cs="Arial"/>
          <w:sz w:val="24"/>
          <w:szCs w:val="24"/>
          <w:lang w:val="en-BB"/>
        </w:rPr>
        <w:br/>
        <w:t xml:space="preserve">Mondelēz states it does not advertise in media that are mainly directed to children under the age of 13 or where they constitute at least 30% of the audience; the policy includes television, digital media and advergames and prohibits marketing in schools (Mondelēz International, 2026b). It also promotes portion guidance through its mindful snacking approach. Such measures indicate consciousness, but the threshold may still show large numbers of children on general platforms and provide limited protection to adolescents. </w:t>
      </w:r>
      <w:r w:rsidRPr="009532D4">
        <w:rPr>
          <w:rFonts w:ascii="Arial" w:hAnsi="Arial" w:cs="Arial"/>
          <w:sz w:val="24"/>
          <w:szCs w:val="24"/>
          <w:lang w:val="en-BB"/>
        </w:rPr>
        <w:lastRenderedPageBreak/>
        <w:t xml:space="preserve">There is also limited actual youth exposure evidence specific to India. Cadbury should therefore extend protection to under-16s, have independent audits on actual reach, avoid child-oriented influencers for higher-sugar products, and improve portion communication. It would safeguard vulnerable </w:t>
      </w:r>
      <w:proofErr w:type="gramStart"/>
      <w:r w:rsidRPr="009532D4">
        <w:rPr>
          <w:rFonts w:ascii="Arial" w:hAnsi="Arial" w:cs="Arial"/>
          <w:sz w:val="24"/>
          <w:szCs w:val="24"/>
          <w:lang w:val="en-BB"/>
        </w:rPr>
        <w:t>stakeholders, but</w:t>
      </w:r>
      <w:proofErr w:type="gramEnd"/>
      <w:r w:rsidRPr="009532D4">
        <w:rPr>
          <w:rFonts w:ascii="Arial" w:hAnsi="Arial" w:cs="Arial"/>
          <w:sz w:val="24"/>
          <w:szCs w:val="24"/>
          <w:lang w:val="en-BB"/>
        </w:rPr>
        <w:t xml:space="preserve"> also allow responsible marketing of occasional enjoyment to adults and families. </w:t>
      </w:r>
      <w:r w:rsidRPr="009532D4">
        <w:rPr>
          <w:rFonts w:ascii="Arial" w:hAnsi="Arial" w:cs="Arial"/>
          <w:sz w:val="24"/>
          <w:szCs w:val="24"/>
          <w:lang w:val="en-BB"/>
        </w:rPr>
        <w:br/>
        <w:t>The ethical judgement ought to be proportionate. Parents still buy things for the home and chocolate can be part of a balanced diet if eaten in moderation. A prohibition on all communication would be hard to justify and could limit useful product and portion information. The stronger ethical case is procedural fairness: don't exploit developmental vulnerability, make nutritional information understandable, design sensible portions and publish exposure outcomes. This approach acknowledges commercial freedom but recognises that a company with better data and persuasive power has responsibilities which individual children do not.</w:t>
      </w:r>
    </w:p>
    <w:p w14:paraId="3295ABD0" w14:textId="77777777" w:rsidR="00CB09CE" w:rsidRPr="009532D4" w:rsidRDefault="00CB09CE" w:rsidP="00CB09CE">
      <w:pPr>
        <w:rPr>
          <w:rFonts w:ascii="Arial" w:hAnsi="Arial" w:cs="Arial"/>
          <w:sz w:val="24"/>
          <w:szCs w:val="24"/>
        </w:rPr>
      </w:pPr>
    </w:p>
    <w:p w14:paraId="32ED1D82"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7. Recommendations</w:t>
      </w:r>
    </w:p>
    <w:tbl>
      <w:tblPr>
        <w:tblStyle w:val="TableGrid"/>
        <w:tblW w:w="0" w:type="auto"/>
        <w:jc w:val="center"/>
        <w:tblLook w:val="04A0" w:firstRow="1" w:lastRow="0" w:firstColumn="1" w:lastColumn="0" w:noHBand="0" w:noVBand="1"/>
      </w:tblPr>
      <w:tblGrid>
        <w:gridCol w:w="2232"/>
        <w:gridCol w:w="4896"/>
        <w:gridCol w:w="2376"/>
      </w:tblGrid>
      <w:tr w:rsidR="00CB09CE" w:rsidRPr="009532D4" w14:paraId="242711D8" w14:textId="77777777" w:rsidTr="00AF46F9">
        <w:trPr>
          <w:tblHeader/>
          <w:jc w:val="center"/>
        </w:trPr>
        <w:tc>
          <w:tcPr>
            <w:tcW w:w="2232" w:type="dxa"/>
            <w:shd w:val="clear" w:color="auto" w:fill="3B176A"/>
            <w:tcMar>
              <w:top w:w="80" w:type="dxa"/>
              <w:left w:w="80" w:type="dxa"/>
              <w:bottom w:w="80" w:type="dxa"/>
              <w:right w:w="80" w:type="dxa"/>
            </w:tcMar>
            <w:vAlign w:val="center"/>
          </w:tcPr>
          <w:p w14:paraId="4D91E0FD"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Priority action</w:t>
            </w:r>
          </w:p>
        </w:tc>
        <w:tc>
          <w:tcPr>
            <w:tcW w:w="4896" w:type="dxa"/>
            <w:shd w:val="clear" w:color="auto" w:fill="3B176A"/>
            <w:tcMar>
              <w:top w:w="80" w:type="dxa"/>
              <w:left w:w="80" w:type="dxa"/>
              <w:bottom w:w="80" w:type="dxa"/>
              <w:right w:w="80" w:type="dxa"/>
            </w:tcMar>
            <w:vAlign w:val="center"/>
          </w:tcPr>
          <w:p w14:paraId="70711ECD"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Rationale and expected benefit</w:t>
            </w:r>
          </w:p>
        </w:tc>
        <w:tc>
          <w:tcPr>
            <w:tcW w:w="2376" w:type="dxa"/>
            <w:shd w:val="clear" w:color="auto" w:fill="3B176A"/>
            <w:tcMar>
              <w:top w:w="80" w:type="dxa"/>
              <w:left w:w="80" w:type="dxa"/>
              <w:bottom w:w="80" w:type="dxa"/>
              <w:right w:w="80" w:type="dxa"/>
            </w:tcMar>
            <w:vAlign w:val="center"/>
          </w:tcPr>
          <w:p w14:paraId="3EB796F5" w14:textId="77777777" w:rsidR="00CB09CE" w:rsidRPr="009532D4" w:rsidRDefault="00CB09CE" w:rsidP="00AF46F9">
            <w:pPr>
              <w:rPr>
                <w:rFonts w:ascii="Arial" w:hAnsi="Arial" w:cs="Arial"/>
                <w:sz w:val="24"/>
                <w:szCs w:val="24"/>
              </w:rPr>
            </w:pPr>
            <w:r w:rsidRPr="009532D4">
              <w:rPr>
                <w:rFonts w:ascii="Arial" w:hAnsi="Arial" w:cs="Arial"/>
                <w:b/>
                <w:color w:val="FFFFFF"/>
                <w:sz w:val="24"/>
                <w:szCs w:val="24"/>
              </w:rPr>
              <w:t>Risk/control</w:t>
            </w:r>
          </w:p>
        </w:tc>
      </w:tr>
      <w:tr w:rsidR="00CB09CE" w:rsidRPr="009532D4" w14:paraId="6B51FBCD" w14:textId="77777777" w:rsidTr="00AF46F9">
        <w:trPr>
          <w:jc w:val="center"/>
        </w:trPr>
        <w:tc>
          <w:tcPr>
            <w:tcW w:w="2232" w:type="dxa"/>
            <w:tcMar>
              <w:top w:w="80" w:type="dxa"/>
              <w:left w:w="80" w:type="dxa"/>
              <w:bottom w:w="80" w:type="dxa"/>
              <w:right w:w="80" w:type="dxa"/>
            </w:tcMar>
            <w:vAlign w:val="center"/>
          </w:tcPr>
          <w:p w14:paraId="09E440F9"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1. Protect under-16s in India</w:t>
            </w:r>
          </w:p>
        </w:tc>
        <w:tc>
          <w:tcPr>
            <w:tcW w:w="4896" w:type="dxa"/>
            <w:tcMar>
              <w:top w:w="80" w:type="dxa"/>
              <w:left w:w="80" w:type="dxa"/>
              <w:bottom w:w="80" w:type="dxa"/>
              <w:right w:w="80" w:type="dxa"/>
            </w:tcMar>
            <w:vAlign w:val="center"/>
          </w:tcPr>
          <w:p w14:paraId="149D3819"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Audit actual digital reach; avoid child-directed influencers and entertainment for higher-sugar products. Reduces health, regulatory and reputation risk.</w:t>
            </w:r>
          </w:p>
        </w:tc>
        <w:tc>
          <w:tcPr>
            <w:tcW w:w="2376" w:type="dxa"/>
            <w:tcMar>
              <w:top w:w="80" w:type="dxa"/>
              <w:left w:w="80" w:type="dxa"/>
              <w:bottom w:w="80" w:type="dxa"/>
              <w:right w:w="80" w:type="dxa"/>
            </w:tcMar>
            <w:vAlign w:val="center"/>
          </w:tcPr>
          <w:p w14:paraId="6E7DCDE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May reduce short-term reach; focus adult/family occasions.</w:t>
            </w:r>
          </w:p>
        </w:tc>
      </w:tr>
      <w:tr w:rsidR="00CB09CE" w:rsidRPr="009532D4" w14:paraId="304FFC47" w14:textId="77777777" w:rsidTr="00AF46F9">
        <w:trPr>
          <w:jc w:val="center"/>
        </w:trPr>
        <w:tc>
          <w:tcPr>
            <w:tcW w:w="2232" w:type="dxa"/>
            <w:shd w:val="clear" w:color="auto" w:fill="F4EFF8"/>
            <w:tcMar>
              <w:top w:w="80" w:type="dxa"/>
              <w:left w:w="80" w:type="dxa"/>
              <w:bottom w:w="80" w:type="dxa"/>
              <w:right w:w="80" w:type="dxa"/>
            </w:tcMar>
            <w:vAlign w:val="center"/>
          </w:tcPr>
          <w:p w14:paraId="4335C74E"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2. Responsible product and portion innovation</w:t>
            </w:r>
          </w:p>
        </w:tc>
        <w:tc>
          <w:tcPr>
            <w:tcW w:w="4896" w:type="dxa"/>
            <w:shd w:val="clear" w:color="auto" w:fill="F4EFF8"/>
            <w:tcMar>
              <w:top w:w="80" w:type="dxa"/>
              <w:left w:w="80" w:type="dxa"/>
              <w:bottom w:w="80" w:type="dxa"/>
              <w:right w:w="80" w:type="dxa"/>
            </w:tcMar>
            <w:vAlign w:val="center"/>
          </w:tcPr>
          <w:p w14:paraId="012BE178"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Expand portion-controlled, clearly labelled and selectively reduced-sugar products. Supports UK regulatory readiness and Indian trust.</w:t>
            </w:r>
          </w:p>
        </w:tc>
        <w:tc>
          <w:tcPr>
            <w:tcW w:w="2376" w:type="dxa"/>
            <w:shd w:val="clear" w:color="auto" w:fill="F4EFF8"/>
            <w:tcMar>
              <w:top w:w="80" w:type="dxa"/>
              <w:left w:w="80" w:type="dxa"/>
              <w:bottom w:w="80" w:type="dxa"/>
              <w:right w:w="80" w:type="dxa"/>
            </w:tcMar>
            <w:vAlign w:val="center"/>
          </w:tcPr>
          <w:p w14:paraId="0B755BD0"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Reformulation must preserve taste and affordability.</w:t>
            </w:r>
          </w:p>
        </w:tc>
      </w:tr>
      <w:tr w:rsidR="00CB09CE" w:rsidRPr="009532D4" w14:paraId="163D9A23" w14:textId="77777777" w:rsidTr="00AF46F9">
        <w:trPr>
          <w:jc w:val="center"/>
        </w:trPr>
        <w:tc>
          <w:tcPr>
            <w:tcW w:w="2232" w:type="dxa"/>
            <w:tcMar>
              <w:top w:w="80" w:type="dxa"/>
              <w:left w:w="80" w:type="dxa"/>
              <w:bottom w:w="80" w:type="dxa"/>
              <w:right w:w="80" w:type="dxa"/>
            </w:tcMar>
            <w:vAlign w:val="center"/>
          </w:tcPr>
          <w:p w14:paraId="078DFA3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 xml:space="preserve">3. </w:t>
            </w:r>
            <w:proofErr w:type="spellStart"/>
            <w:r w:rsidRPr="009532D4">
              <w:rPr>
                <w:rFonts w:ascii="Arial" w:hAnsi="Arial" w:cs="Arial"/>
                <w:sz w:val="24"/>
                <w:szCs w:val="24"/>
              </w:rPr>
              <w:t>Regionalise</w:t>
            </w:r>
            <w:proofErr w:type="spellEnd"/>
            <w:r w:rsidRPr="009532D4">
              <w:rPr>
                <w:rFonts w:ascii="Arial" w:hAnsi="Arial" w:cs="Arial"/>
                <w:sz w:val="24"/>
                <w:szCs w:val="24"/>
              </w:rPr>
              <w:t xml:space="preserve"> India more precisely</w:t>
            </w:r>
          </w:p>
        </w:tc>
        <w:tc>
          <w:tcPr>
            <w:tcW w:w="4896" w:type="dxa"/>
            <w:tcMar>
              <w:top w:w="80" w:type="dxa"/>
              <w:left w:w="80" w:type="dxa"/>
              <w:bottom w:w="80" w:type="dxa"/>
              <w:right w:w="80" w:type="dxa"/>
            </w:tcMar>
            <w:vAlign w:val="center"/>
          </w:tcPr>
          <w:p w14:paraId="6CC5A819"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 xml:space="preserve">Cluster markets by income, language, climate, channel and festival </w:t>
            </w:r>
            <w:proofErr w:type="spellStart"/>
            <w:r w:rsidRPr="009532D4">
              <w:rPr>
                <w:rFonts w:ascii="Arial" w:hAnsi="Arial" w:cs="Arial"/>
                <w:sz w:val="24"/>
                <w:szCs w:val="24"/>
              </w:rPr>
              <w:t>behaviour</w:t>
            </w:r>
            <w:proofErr w:type="spellEnd"/>
            <w:r w:rsidRPr="009532D4">
              <w:rPr>
                <w:rFonts w:ascii="Arial" w:hAnsi="Arial" w:cs="Arial"/>
                <w:sz w:val="24"/>
                <w:szCs w:val="24"/>
              </w:rPr>
              <w:t>. Improves relevance and media efficiency.</w:t>
            </w:r>
          </w:p>
        </w:tc>
        <w:tc>
          <w:tcPr>
            <w:tcW w:w="2376" w:type="dxa"/>
            <w:tcMar>
              <w:top w:w="80" w:type="dxa"/>
              <w:left w:w="80" w:type="dxa"/>
              <w:bottom w:w="80" w:type="dxa"/>
              <w:right w:w="80" w:type="dxa"/>
            </w:tcMar>
            <w:vAlign w:val="center"/>
          </w:tcPr>
          <w:p w14:paraId="75CEB689"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Use a shared national platform to control complexity.</w:t>
            </w:r>
          </w:p>
        </w:tc>
      </w:tr>
      <w:tr w:rsidR="00CB09CE" w:rsidRPr="009532D4" w14:paraId="161761F6" w14:textId="77777777" w:rsidTr="00AF46F9">
        <w:trPr>
          <w:jc w:val="center"/>
        </w:trPr>
        <w:tc>
          <w:tcPr>
            <w:tcW w:w="2232" w:type="dxa"/>
            <w:shd w:val="clear" w:color="auto" w:fill="F4EFF8"/>
            <w:tcMar>
              <w:top w:w="80" w:type="dxa"/>
              <w:left w:w="80" w:type="dxa"/>
              <w:bottom w:w="80" w:type="dxa"/>
              <w:right w:w="80" w:type="dxa"/>
            </w:tcMar>
            <w:vAlign w:val="center"/>
          </w:tcPr>
          <w:p w14:paraId="544EE7A3"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4. Integrate traditional and digital retail</w:t>
            </w:r>
          </w:p>
        </w:tc>
        <w:tc>
          <w:tcPr>
            <w:tcW w:w="4896" w:type="dxa"/>
            <w:shd w:val="clear" w:color="auto" w:fill="F4EFF8"/>
            <w:tcMar>
              <w:top w:w="80" w:type="dxa"/>
              <w:left w:w="80" w:type="dxa"/>
              <w:bottom w:w="80" w:type="dxa"/>
              <w:right w:w="80" w:type="dxa"/>
            </w:tcMar>
            <w:vAlign w:val="center"/>
          </w:tcPr>
          <w:p w14:paraId="72193785"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 xml:space="preserve">Connect </w:t>
            </w:r>
            <w:proofErr w:type="spellStart"/>
            <w:r w:rsidRPr="009532D4">
              <w:rPr>
                <w:rFonts w:ascii="Arial" w:hAnsi="Arial" w:cs="Arial"/>
                <w:sz w:val="24"/>
                <w:szCs w:val="24"/>
              </w:rPr>
              <w:t>neighbourhood</w:t>
            </w:r>
            <w:proofErr w:type="spellEnd"/>
            <w:r w:rsidRPr="009532D4">
              <w:rPr>
                <w:rFonts w:ascii="Arial" w:hAnsi="Arial" w:cs="Arial"/>
                <w:sz w:val="24"/>
                <w:szCs w:val="24"/>
              </w:rPr>
              <w:t xml:space="preserve"> retailers with ordering, forecasting and seasonal plans while expanding quick commerce. Improves availability and freshness.</w:t>
            </w:r>
          </w:p>
        </w:tc>
        <w:tc>
          <w:tcPr>
            <w:tcW w:w="2376" w:type="dxa"/>
            <w:shd w:val="clear" w:color="auto" w:fill="F4EFF8"/>
            <w:tcMar>
              <w:top w:w="80" w:type="dxa"/>
              <w:left w:w="80" w:type="dxa"/>
              <w:bottom w:w="80" w:type="dxa"/>
              <w:right w:w="80" w:type="dxa"/>
            </w:tcMar>
            <w:vAlign w:val="center"/>
          </w:tcPr>
          <w:p w14:paraId="4C73EB51"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Phase training and technology investment.</w:t>
            </w:r>
          </w:p>
        </w:tc>
      </w:tr>
      <w:tr w:rsidR="00CB09CE" w:rsidRPr="009532D4" w14:paraId="11C5EE43" w14:textId="77777777" w:rsidTr="00AF46F9">
        <w:trPr>
          <w:jc w:val="center"/>
        </w:trPr>
        <w:tc>
          <w:tcPr>
            <w:tcW w:w="2232" w:type="dxa"/>
            <w:tcMar>
              <w:top w:w="80" w:type="dxa"/>
              <w:left w:w="80" w:type="dxa"/>
              <w:bottom w:w="80" w:type="dxa"/>
              <w:right w:w="80" w:type="dxa"/>
            </w:tcMar>
            <w:vAlign w:val="center"/>
          </w:tcPr>
          <w:p w14:paraId="1A15E48D"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5. Measure local packaging outcomes</w:t>
            </w:r>
          </w:p>
        </w:tc>
        <w:tc>
          <w:tcPr>
            <w:tcW w:w="4896" w:type="dxa"/>
            <w:tcMar>
              <w:top w:w="80" w:type="dxa"/>
              <w:left w:w="80" w:type="dxa"/>
              <w:bottom w:w="80" w:type="dxa"/>
              <w:right w:w="80" w:type="dxa"/>
            </w:tcMar>
            <w:vAlign w:val="center"/>
          </w:tcPr>
          <w:p w14:paraId="54EDA1F4"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Set country targets for virgin plastic reduction and recovery; publish independently verified progress.</w:t>
            </w:r>
          </w:p>
        </w:tc>
        <w:tc>
          <w:tcPr>
            <w:tcW w:w="2376" w:type="dxa"/>
            <w:tcMar>
              <w:top w:w="80" w:type="dxa"/>
              <w:left w:w="80" w:type="dxa"/>
              <w:bottom w:w="80" w:type="dxa"/>
              <w:right w:w="80" w:type="dxa"/>
            </w:tcMar>
            <w:vAlign w:val="center"/>
          </w:tcPr>
          <w:p w14:paraId="3B6AF857" w14:textId="77777777" w:rsidR="00CB09CE" w:rsidRPr="009532D4" w:rsidRDefault="00CB09CE" w:rsidP="00AF46F9">
            <w:pPr>
              <w:spacing w:after="40"/>
              <w:rPr>
                <w:rFonts w:ascii="Arial" w:hAnsi="Arial" w:cs="Arial"/>
                <w:sz w:val="24"/>
                <w:szCs w:val="24"/>
              </w:rPr>
            </w:pPr>
            <w:r w:rsidRPr="009532D4">
              <w:rPr>
                <w:rFonts w:ascii="Arial" w:hAnsi="Arial" w:cs="Arial"/>
                <w:sz w:val="24"/>
                <w:szCs w:val="24"/>
              </w:rPr>
              <w:t>Pilot alternatives for cost, heat protection and food safety.</w:t>
            </w:r>
          </w:p>
        </w:tc>
      </w:tr>
    </w:tbl>
    <w:p w14:paraId="71522CD8" w14:textId="77777777" w:rsidR="00CB09CE" w:rsidRPr="009532D4" w:rsidRDefault="00CB09CE" w:rsidP="00CB09CE">
      <w:pPr>
        <w:spacing w:after="20"/>
        <w:rPr>
          <w:rFonts w:ascii="Arial" w:hAnsi="Arial" w:cs="Arial"/>
          <w:sz w:val="24"/>
          <w:szCs w:val="24"/>
        </w:rPr>
      </w:pPr>
    </w:p>
    <w:p w14:paraId="788F569F" w14:textId="77777777" w:rsidR="00CB09CE" w:rsidRPr="009532D4" w:rsidRDefault="00CB09CE" w:rsidP="00CB09CE">
      <w:pPr>
        <w:rPr>
          <w:rFonts w:ascii="Arial" w:hAnsi="Arial" w:cs="Arial"/>
          <w:sz w:val="24"/>
          <w:szCs w:val="24"/>
        </w:rPr>
      </w:pPr>
      <w:r w:rsidRPr="009532D4">
        <w:rPr>
          <w:rFonts w:ascii="Arial" w:hAnsi="Arial" w:cs="Arial"/>
          <w:sz w:val="24"/>
          <w:szCs w:val="24"/>
        </w:rPr>
        <w:t>These actions should be measured through consumer trust, verified youth exposure, product availability, regional growth, packaging recovery and responsible-portion revenue—</w:t>
      </w:r>
      <w:r w:rsidRPr="009532D4">
        <w:rPr>
          <w:rFonts w:ascii="Arial" w:hAnsi="Arial" w:cs="Arial"/>
          <w:sz w:val="24"/>
          <w:szCs w:val="24"/>
        </w:rPr>
        <w:lastRenderedPageBreak/>
        <w:t>not sales alone. The first two should begin within 12 months; regional and channel work within 18–36 months; and packaging improvements should use staged, transparent targets over four years.</w:t>
      </w:r>
    </w:p>
    <w:p w14:paraId="2DFB1137" w14:textId="77777777" w:rsidR="00CB09CE" w:rsidRPr="009532D4" w:rsidRDefault="00CB09CE" w:rsidP="00CB09CE">
      <w:pPr>
        <w:rPr>
          <w:rFonts w:ascii="Arial" w:hAnsi="Arial" w:cs="Arial"/>
          <w:sz w:val="24"/>
          <w:szCs w:val="24"/>
        </w:rPr>
      </w:pPr>
      <w:r w:rsidRPr="009532D4">
        <w:rPr>
          <w:rFonts w:ascii="Arial" w:hAnsi="Arial" w:cs="Arial"/>
          <w:sz w:val="24"/>
          <w:szCs w:val="24"/>
        </w:rPr>
        <w:t xml:space="preserve">Governance is necessary to prevent the recommendations becoming disconnected initiatives. A UK–India steering group should review a balanced scorecard quarterly, while local teams retain authority over implementation. Investment should be released through pilots with stated baselines and decision rules. For example, regional campaigns should proceed nationally only when they improve incremental household penetration, and packaging pilots should demonstrate recovery as well as technical recyclability. Publishing selected outcomes would strengthen accountability and make </w:t>
      </w:r>
      <w:proofErr w:type="gramStart"/>
      <w:r w:rsidRPr="009532D4">
        <w:rPr>
          <w:rFonts w:ascii="Arial" w:hAnsi="Arial" w:cs="Arial"/>
          <w:sz w:val="24"/>
          <w:szCs w:val="24"/>
        </w:rPr>
        <w:t>the generosity</w:t>
      </w:r>
      <w:proofErr w:type="gramEnd"/>
      <w:r w:rsidRPr="009532D4">
        <w:rPr>
          <w:rFonts w:ascii="Arial" w:hAnsi="Arial" w:cs="Arial"/>
          <w:sz w:val="24"/>
          <w:szCs w:val="24"/>
        </w:rPr>
        <w:t xml:space="preserve"> positioning more credible.</w:t>
      </w:r>
    </w:p>
    <w:p w14:paraId="13D043C6"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t>8. Conclusion</w:t>
      </w:r>
    </w:p>
    <w:p w14:paraId="37C4BFC6" w14:textId="77777777" w:rsidR="00CB09CE" w:rsidRPr="009532D4" w:rsidRDefault="00CB09CE" w:rsidP="00CB09CE">
      <w:pPr>
        <w:rPr>
          <w:rFonts w:ascii="Arial" w:hAnsi="Arial" w:cs="Arial"/>
          <w:sz w:val="24"/>
          <w:szCs w:val="24"/>
          <w:lang w:val="en-BB"/>
        </w:rPr>
      </w:pPr>
      <w:r w:rsidRPr="009532D4">
        <w:rPr>
          <w:rFonts w:ascii="Arial" w:hAnsi="Arial" w:cs="Arial"/>
          <w:sz w:val="24"/>
          <w:szCs w:val="24"/>
          <w:lang w:val="en-BB"/>
        </w:rPr>
        <w:t xml:space="preserve">Cadbury’s experience in India and the UK demonstrates that international success requires global consistency and selective local responsiveness. Purple identity, Dairy Milk and generosity build equity but differences in purchasing power, culture, regulation and retail demand adaptation. India was right for progressive local investment as it was improving affordability, quality control and distribution. Future growth still </w:t>
      </w:r>
      <w:proofErr w:type="gramStart"/>
      <w:r w:rsidRPr="009532D4">
        <w:rPr>
          <w:rFonts w:ascii="Arial" w:hAnsi="Arial" w:cs="Arial"/>
          <w:sz w:val="24"/>
          <w:szCs w:val="24"/>
          <w:lang w:val="en-BB"/>
        </w:rPr>
        <w:t>has to</w:t>
      </w:r>
      <w:proofErr w:type="gramEnd"/>
      <w:r w:rsidRPr="009532D4">
        <w:rPr>
          <w:rFonts w:ascii="Arial" w:hAnsi="Arial" w:cs="Arial"/>
          <w:sz w:val="24"/>
          <w:szCs w:val="24"/>
          <w:lang w:val="en-BB"/>
        </w:rPr>
        <w:t xml:space="preserve"> take on responsibilities </w:t>
      </w:r>
      <w:proofErr w:type="gramStart"/>
      <w:r w:rsidRPr="009532D4">
        <w:rPr>
          <w:rFonts w:ascii="Arial" w:hAnsi="Arial" w:cs="Arial"/>
          <w:sz w:val="24"/>
          <w:szCs w:val="24"/>
          <w:lang w:val="en-BB"/>
        </w:rPr>
        <w:t>with regard to</w:t>
      </w:r>
      <w:proofErr w:type="gramEnd"/>
      <w:r w:rsidRPr="009532D4">
        <w:rPr>
          <w:rFonts w:ascii="Arial" w:hAnsi="Arial" w:cs="Arial"/>
          <w:sz w:val="24"/>
          <w:szCs w:val="24"/>
          <w:lang w:val="en-BB"/>
        </w:rPr>
        <w:t xml:space="preserve"> youth marketing and packaging. The most positive way forward is responsible product innovation, improved under-16 protections, regional insight, integrated channels and measurable sustainability.</w:t>
      </w:r>
    </w:p>
    <w:p w14:paraId="11FDD54A" w14:textId="77777777" w:rsidR="00CB09CE" w:rsidRPr="009532D4" w:rsidRDefault="00CB09CE" w:rsidP="00CB09CE">
      <w:pPr>
        <w:rPr>
          <w:rFonts w:ascii="Arial" w:hAnsi="Arial" w:cs="Arial"/>
          <w:b/>
          <w:bCs/>
          <w:sz w:val="24"/>
          <w:szCs w:val="24"/>
        </w:rPr>
      </w:pPr>
    </w:p>
    <w:p w14:paraId="51EC40DD" w14:textId="77777777" w:rsidR="00CB09CE" w:rsidRPr="009532D4" w:rsidRDefault="00CB09CE" w:rsidP="00CB09CE">
      <w:pPr>
        <w:spacing w:after="0" w:line="240" w:lineRule="auto"/>
        <w:rPr>
          <w:rFonts w:ascii="Arial" w:eastAsia="Times New Roman" w:hAnsi="Arial" w:cs="Arial"/>
          <w:sz w:val="24"/>
          <w:szCs w:val="24"/>
          <w:lang w:val="en-BB" w:eastAsia="en-BB"/>
        </w:rPr>
      </w:pPr>
      <w:r w:rsidRPr="009532D4">
        <w:rPr>
          <w:rFonts w:ascii="Arial" w:eastAsia="Times New Roman" w:hAnsi="Arial" w:cs="Arial"/>
          <w:b/>
          <w:bCs/>
          <w:sz w:val="24"/>
          <w:szCs w:val="24"/>
          <w:lang w:val="en-BB" w:eastAsia="en-BB"/>
        </w:rPr>
        <w:t>Section 2: Reflective Account (Gibbs Reflective Model)</w:t>
      </w:r>
      <w:r w:rsidRPr="009532D4">
        <w:rPr>
          <w:rFonts w:ascii="Arial" w:eastAsia="Times New Roman" w:hAnsi="Arial" w:cs="Arial"/>
          <w:sz w:val="24"/>
          <w:szCs w:val="24"/>
          <w:lang w:val="en-BB" w:eastAsia="en-BB"/>
        </w:rPr>
        <w:t xml:space="preserve"> </w:t>
      </w:r>
    </w:p>
    <w:p w14:paraId="6F8134FA" w14:textId="77777777" w:rsidR="00CB09CE" w:rsidRPr="009532D4" w:rsidRDefault="00CB09CE" w:rsidP="00CB09CE">
      <w:pPr>
        <w:spacing w:after="0"/>
        <w:rPr>
          <w:rFonts w:ascii="Arial" w:eastAsia="Times New Roman" w:hAnsi="Arial" w:cs="Arial"/>
          <w:sz w:val="24"/>
          <w:szCs w:val="24"/>
          <w:lang w:val="en-BB" w:eastAsia="en-BB"/>
        </w:rPr>
      </w:pPr>
      <w:r w:rsidRPr="009532D4">
        <w:rPr>
          <w:rFonts w:ascii="Arial" w:eastAsia="Times New Roman" w:hAnsi="Arial" w:cs="Arial"/>
          <w:sz w:val="24"/>
          <w:szCs w:val="24"/>
          <w:lang w:val="en-BB" w:eastAsia="en-BB"/>
        </w:rPr>
        <w:br/>
      </w:r>
      <w:r w:rsidRPr="009532D4">
        <w:rPr>
          <w:rFonts w:ascii="Arial" w:eastAsia="Times New Roman" w:hAnsi="Arial" w:cs="Arial"/>
          <w:b/>
          <w:bCs/>
          <w:sz w:val="24"/>
          <w:szCs w:val="24"/>
          <w:lang w:val="en-BB" w:eastAsia="en-BB"/>
        </w:rPr>
        <w:t>1.Introduction</w:t>
      </w:r>
      <w:r w:rsidRPr="009532D4">
        <w:rPr>
          <w:rFonts w:ascii="Arial" w:eastAsia="Times New Roman" w:hAnsi="Arial" w:cs="Arial"/>
          <w:sz w:val="24"/>
          <w:szCs w:val="24"/>
          <w:lang w:val="en-BB" w:eastAsia="en-BB"/>
        </w:rPr>
        <w:br/>
        <w:t xml:space="preserve">This reflection is related to my research and preparation of comparison of Cadbury in UK and India. I picked Gibbs’ (1988) cycle because it has six stages linking experience with improvement. I started to deconstruct the short into PESTEL, Hofstede, STP, the 7Ps, entry mode, ethics and recommendations. Cadbury was chosen as it is a </w:t>
      </w:r>
      <w:proofErr w:type="gramStart"/>
      <w:r w:rsidRPr="009532D4">
        <w:rPr>
          <w:rFonts w:ascii="Arial" w:eastAsia="Times New Roman" w:hAnsi="Arial" w:cs="Arial"/>
          <w:sz w:val="24"/>
          <w:szCs w:val="24"/>
          <w:lang w:val="en-BB" w:eastAsia="en-BB"/>
        </w:rPr>
        <w:t>well known</w:t>
      </w:r>
      <w:proofErr w:type="gramEnd"/>
      <w:r w:rsidRPr="009532D4">
        <w:rPr>
          <w:rFonts w:ascii="Arial" w:eastAsia="Times New Roman" w:hAnsi="Arial" w:cs="Arial"/>
          <w:sz w:val="24"/>
          <w:szCs w:val="24"/>
          <w:lang w:val="en-BB" w:eastAsia="en-BB"/>
        </w:rPr>
        <w:t xml:space="preserve"> brand in both countries and the economic and cultural differences make for a useful comparison. I collected data from journals, textbooks, government publications and official company material and wrote it up in sections. </w:t>
      </w:r>
    </w:p>
    <w:p w14:paraId="4ADA3ABA" w14:textId="77777777" w:rsidR="00CB09CE" w:rsidRPr="009532D4" w:rsidRDefault="00CB09CE" w:rsidP="00CB09CE">
      <w:pPr>
        <w:spacing w:after="0"/>
        <w:rPr>
          <w:rFonts w:ascii="Arial" w:eastAsia="Times New Roman" w:hAnsi="Arial" w:cs="Arial"/>
          <w:sz w:val="24"/>
          <w:szCs w:val="24"/>
          <w:lang w:val="en-BB" w:eastAsia="en-BB"/>
        </w:rPr>
      </w:pPr>
      <w:r w:rsidRPr="009532D4">
        <w:rPr>
          <w:rFonts w:ascii="Arial" w:eastAsia="Times New Roman" w:hAnsi="Arial" w:cs="Arial"/>
          <w:sz w:val="24"/>
          <w:szCs w:val="24"/>
          <w:lang w:val="en-BB" w:eastAsia="en-BB"/>
        </w:rPr>
        <w:br/>
      </w:r>
      <w:r w:rsidRPr="009532D4">
        <w:rPr>
          <w:rFonts w:ascii="Arial" w:eastAsia="Times New Roman" w:hAnsi="Arial" w:cs="Arial"/>
          <w:b/>
          <w:bCs/>
          <w:sz w:val="24"/>
          <w:szCs w:val="24"/>
          <w:lang w:val="en-BB" w:eastAsia="en-BB"/>
        </w:rPr>
        <w:t>2. Emotions</w:t>
      </w:r>
      <w:r w:rsidRPr="009532D4">
        <w:rPr>
          <w:rFonts w:ascii="Arial" w:eastAsia="Times New Roman" w:hAnsi="Arial" w:cs="Arial"/>
          <w:sz w:val="24"/>
          <w:szCs w:val="24"/>
          <w:lang w:val="en-BB" w:eastAsia="en-BB"/>
        </w:rPr>
        <w:t xml:space="preserve"> </w:t>
      </w:r>
      <w:r w:rsidRPr="009532D4">
        <w:rPr>
          <w:rFonts w:ascii="Arial" w:eastAsia="Times New Roman" w:hAnsi="Arial" w:cs="Arial"/>
          <w:sz w:val="24"/>
          <w:szCs w:val="24"/>
          <w:lang w:val="en-BB" w:eastAsia="en-BB"/>
        </w:rPr>
        <w:br/>
        <w:t xml:space="preserve">I was a consumer, I knew Cadbury and I was confident at the beginning. We realised that brand familiarity was not the same as academic understanding. I was aware of some products but not the reason why formats, prices and campaigns changed. I was concerned I might have trouble finding contemporary, authoritative evidence, as a lot of webpages rehashed unsupported market share claims. References also created anxiety as all claims of fact had to be traceable and presented in a consistent Harvard style. I broke down the work and gradually started to see standardisation and adaptation as the link, which gave me the confidence. </w:t>
      </w:r>
      <w:r w:rsidRPr="009532D4">
        <w:rPr>
          <w:rFonts w:ascii="Arial" w:eastAsia="Times New Roman" w:hAnsi="Arial" w:cs="Arial"/>
          <w:sz w:val="24"/>
          <w:szCs w:val="24"/>
          <w:lang w:val="en-BB" w:eastAsia="en-BB"/>
        </w:rPr>
        <w:br/>
      </w:r>
      <w:r w:rsidRPr="009532D4">
        <w:rPr>
          <w:rFonts w:ascii="Arial" w:eastAsia="Times New Roman" w:hAnsi="Arial" w:cs="Arial"/>
          <w:b/>
          <w:bCs/>
          <w:sz w:val="24"/>
          <w:szCs w:val="24"/>
          <w:lang w:val="en-BB" w:eastAsia="en-BB"/>
        </w:rPr>
        <w:lastRenderedPageBreak/>
        <w:t>3. TESTS</w:t>
      </w:r>
      <w:r w:rsidRPr="009532D4">
        <w:rPr>
          <w:rFonts w:ascii="Arial" w:eastAsia="Times New Roman" w:hAnsi="Arial" w:cs="Arial"/>
          <w:sz w:val="24"/>
          <w:szCs w:val="24"/>
          <w:lang w:val="en-BB" w:eastAsia="en-BB"/>
        </w:rPr>
        <w:t xml:space="preserve"> </w:t>
      </w:r>
      <w:r w:rsidRPr="009532D4">
        <w:rPr>
          <w:rFonts w:ascii="Arial" w:eastAsia="Times New Roman" w:hAnsi="Arial" w:cs="Arial"/>
          <w:sz w:val="24"/>
          <w:szCs w:val="24"/>
          <w:lang w:val="en-BB" w:eastAsia="en-BB"/>
        </w:rPr>
        <w:br/>
        <w:t xml:space="preserve">It was a good selection of countries. The home-host comparison indicated continuity and adaptation, not the imposition of artificial differences. Comparative tables helped to see patterns and to write by common categories instead of writing two country descriptions separately. It was the early research that was weak. My approach to PESTEL initially was more of a checklist, and I used non-authoritative sources. Another weakness was control of words especially in 7Ps. If we go into too much product </w:t>
      </w:r>
      <w:proofErr w:type="gramStart"/>
      <w:r w:rsidRPr="009532D4">
        <w:rPr>
          <w:rFonts w:ascii="Arial" w:eastAsia="Times New Roman" w:hAnsi="Arial" w:cs="Arial"/>
          <w:sz w:val="24"/>
          <w:szCs w:val="24"/>
          <w:lang w:val="en-BB" w:eastAsia="en-BB"/>
        </w:rPr>
        <w:t>detail</w:t>
      </w:r>
      <w:proofErr w:type="gramEnd"/>
      <w:r w:rsidRPr="009532D4">
        <w:rPr>
          <w:rFonts w:ascii="Arial" w:eastAsia="Times New Roman" w:hAnsi="Arial" w:cs="Arial"/>
          <w:sz w:val="24"/>
          <w:szCs w:val="24"/>
          <w:lang w:val="en-BB" w:eastAsia="en-BB"/>
        </w:rPr>
        <w:t xml:space="preserve"> we risk crowding out evaluation and recommendation. </w:t>
      </w:r>
      <w:proofErr w:type="gramStart"/>
      <w:r w:rsidRPr="009532D4">
        <w:rPr>
          <w:rFonts w:ascii="Arial" w:eastAsia="Times New Roman" w:hAnsi="Arial" w:cs="Arial"/>
          <w:sz w:val="24"/>
          <w:szCs w:val="24"/>
          <w:lang w:val="en-BB" w:eastAsia="en-BB"/>
        </w:rPr>
        <w:t>So</w:t>
      </w:r>
      <w:proofErr w:type="gramEnd"/>
      <w:r w:rsidRPr="009532D4">
        <w:rPr>
          <w:rFonts w:ascii="Arial" w:eastAsia="Times New Roman" w:hAnsi="Arial" w:cs="Arial"/>
          <w:sz w:val="24"/>
          <w:szCs w:val="24"/>
          <w:lang w:val="en-BB" w:eastAsia="en-BB"/>
        </w:rPr>
        <w:t xml:space="preserve"> the question of editing was the real question for strategy. </w:t>
      </w:r>
    </w:p>
    <w:p w14:paraId="310BDE98" w14:textId="77777777" w:rsidR="00CB09CE" w:rsidRPr="009532D4" w:rsidRDefault="00CB09CE" w:rsidP="00CB09CE">
      <w:pPr>
        <w:spacing w:after="0"/>
        <w:rPr>
          <w:rFonts w:ascii="Arial" w:eastAsia="Times New Roman" w:hAnsi="Arial" w:cs="Arial"/>
          <w:sz w:val="24"/>
          <w:szCs w:val="24"/>
          <w:lang w:val="en-BB" w:eastAsia="en-BB"/>
        </w:rPr>
      </w:pPr>
      <w:r w:rsidRPr="009532D4">
        <w:rPr>
          <w:rFonts w:ascii="Arial" w:eastAsia="Times New Roman" w:hAnsi="Arial" w:cs="Arial"/>
          <w:sz w:val="24"/>
          <w:szCs w:val="24"/>
          <w:lang w:val="en-BB" w:eastAsia="en-BB"/>
        </w:rPr>
        <w:br/>
      </w:r>
      <w:r w:rsidRPr="009532D4">
        <w:rPr>
          <w:rFonts w:ascii="Arial" w:eastAsia="Times New Roman" w:hAnsi="Arial" w:cs="Arial"/>
          <w:b/>
          <w:bCs/>
          <w:sz w:val="24"/>
          <w:szCs w:val="24"/>
          <w:lang w:val="en-BB" w:eastAsia="en-BB"/>
        </w:rPr>
        <w:t>4.Discussion</w:t>
      </w:r>
      <w:r w:rsidRPr="009532D4">
        <w:rPr>
          <w:rFonts w:ascii="Arial" w:eastAsia="Times New Roman" w:hAnsi="Arial" w:cs="Arial"/>
          <w:sz w:val="24"/>
          <w:szCs w:val="24"/>
          <w:lang w:val="en-BB" w:eastAsia="en-BB"/>
        </w:rPr>
        <w:t xml:space="preserve"> </w:t>
      </w:r>
      <w:r w:rsidRPr="009532D4">
        <w:rPr>
          <w:rFonts w:ascii="Arial" w:eastAsia="Times New Roman" w:hAnsi="Arial" w:cs="Arial"/>
          <w:sz w:val="24"/>
          <w:szCs w:val="24"/>
          <w:lang w:val="en-BB" w:eastAsia="en-BB"/>
        </w:rPr>
        <w:br/>
        <w:t xml:space="preserve">The main problem was the quality and quantity of information. Critical reading involves questioning the evidence, the reasoning and the credibility of the claims being made, rather than agreeing with conclusions (Wallace and Wray, 2021). </w:t>
      </w:r>
      <w:proofErr w:type="gramStart"/>
      <w:r w:rsidRPr="009532D4">
        <w:rPr>
          <w:rFonts w:ascii="Arial" w:eastAsia="Times New Roman" w:hAnsi="Arial" w:cs="Arial"/>
          <w:sz w:val="24"/>
          <w:szCs w:val="24"/>
          <w:lang w:val="en-BB" w:eastAsia="en-BB"/>
        </w:rPr>
        <w:t>So</w:t>
      </w:r>
      <w:proofErr w:type="gramEnd"/>
      <w:r w:rsidRPr="009532D4">
        <w:rPr>
          <w:rFonts w:ascii="Arial" w:eastAsia="Times New Roman" w:hAnsi="Arial" w:cs="Arial"/>
          <w:sz w:val="24"/>
          <w:szCs w:val="24"/>
          <w:lang w:val="en-BB" w:eastAsia="en-BB"/>
        </w:rPr>
        <w:t xml:space="preserve"> I concentrated on peer-reviewed research, government data, and official regulation. Company pages were useful for products and policies, but were necessarily positive, so I cross-checked with WHO evidence and independent studies. This was helpful to differentiate evaluation from corporate claims. </w:t>
      </w:r>
      <w:r w:rsidRPr="009532D4">
        <w:rPr>
          <w:rFonts w:ascii="Arial" w:eastAsia="Times New Roman" w:hAnsi="Arial" w:cs="Arial"/>
          <w:sz w:val="24"/>
          <w:szCs w:val="24"/>
          <w:lang w:val="en-BB" w:eastAsia="en-BB"/>
        </w:rPr>
        <w:br/>
        <w:t xml:space="preserve">I also learned that you </w:t>
      </w:r>
      <w:proofErr w:type="gramStart"/>
      <w:r w:rsidRPr="009532D4">
        <w:rPr>
          <w:rFonts w:ascii="Arial" w:eastAsia="Times New Roman" w:hAnsi="Arial" w:cs="Arial"/>
          <w:sz w:val="24"/>
          <w:szCs w:val="24"/>
          <w:lang w:val="en-BB" w:eastAsia="en-BB"/>
        </w:rPr>
        <w:t>have to</w:t>
      </w:r>
      <w:proofErr w:type="gramEnd"/>
      <w:r w:rsidRPr="009532D4">
        <w:rPr>
          <w:rFonts w:ascii="Arial" w:eastAsia="Times New Roman" w:hAnsi="Arial" w:cs="Arial"/>
          <w:sz w:val="24"/>
          <w:szCs w:val="24"/>
          <w:lang w:val="en-BB" w:eastAsia="en-BB"/>
        </w:rPr>
        <w:t xml:space="preserve"> do the comparison for the reader. The implicit analytical work would have been done in separate country summaries. The paragraphs were grouped by common factors, causes and consequences, making the similarities explicit. What, why and so what went beyond description. The integrating concept for the report was the debate on standardisation versus adaptation. On the face of it the two approaches seem diametrically opposed, but Cadbury shows you can standardise identity and adapt price, channel and occasions. Similarly, Poulis (2024) considers them to be a search for contextual fit. </w:t>
      </w:r>
      <w:r w:rsidRPr="009532D4">
        <w:rPr>
          <w:rFonts w:ascii="Arial" w:eastAsia="Times New Roman" w:hAnsi="Arial" w:cs="Arial"/>
          <w:sz w:val="24"/>
          <w:szCs w:val="24"/>
          <w:lang w:val="en-BB" w:eastAsia="en-BB"/>
        </w:rPr>
        <w:br/>
        <w:t xml:space="preserve">Although feelings, evaluation and analysis were sometimes overlapping, Gibbs’s framework assisted in turning the experience into action. Its value was in my having to explain why problems had arisen, not in doing what had been done. The process demonstrated that the quality of the analysis depends on the planning, selection and synthesis of evidence and subject knowledge. </w:t>
      </w:r>
      <w:r w:rsidRPr="009532D4">
        <w:rPr>
          <w:rFonts w:ascii="Arial" w:eastAsia="Times New Roman" w:hAnsi="Arial" w:cs="Arial"/>
          <w:sz w:val="24"/>
          <w:szCs w:val="24"/>
          <w:lang w:val="en-BB" w:eastAsia="en-BB"/>
        </w:rPr>
        <w:br/>
        <w:t xml:space="preserve">Another lesson learned was the limitation of the framework. Frameworks gave initial confidence because they had visible headings, but they could lead to mechanical coverage. PESTEL did not rank issues, Hofstede risked stereotyping and the 7Ps produced overlap between distribution, process and physical evidence. I used each framework as a questioning device to refine the report, revisiting the core decision of the assignment: what differences should Cadbury adapt to, and what assets should remain consistent? This was so that theory was the argument, not that it became the argument. </w:t>
      </w:r>
      <w:r w:rsidRPr="009532D4">
        <w:rPr>
          <w:rFonts w:ascii="Arial" w:eastAsia="Times New Roman" w:hAnsi="Arial" w:cs="Arial"/>
          <w:sz w:val="24"/>
          <w:szCs w:val="24"/>
          <w:lang w:val="en-BB" w:eastAsia="en-BB"/>
        </w:rPr>
        <w:br/>
        <w:t xml:space="preserve">Editing was also an analytical task. I had to figure out which evidence directly supported the conclusion and which was just proof that I had researched the subject and not repeat myself too much. I found that one comparative sentence often carried more than two paragraphs of description. Sometimes I had to go back to the source to reconstruct purpose or details of reference, an evidence log would have helped. The experience has shown that the </w:t>
      </w:r>
      <w:r w:rsidRPr="009532D4">
        <w:rPr>
          <w:rFonts w:ascii="Arial" w:eastAsia="Times New Roman" w:hAnsi="Arial" w:cs="Arial"/>
          <w:sz w:val="24"/>
          <w:szCs w:val="24"/>
          <w:lang w:val="en-BB" w:eastAsia="en-BB"/>
        </w:rPr>
        <w:lastRenderedPageBreak/>
        <w:t xml:space="preserve">management of sources needs to be started at the retrieval stage and not at the final referencing stage. </w:t>
      </w:r>
    </w:p>
    <w:p w14:paraId="2F672BB6" w14:textId="77777777" w:rsidR="00CB09CE" w:rsidRPr="009532D4" w:rsidRDefault="00CB09CE" w:rsidP="00CB09CE">
      <w:pPr>
        <w:spacing w:after="0"/>
        <w:rPr>
          <w:rFonts w:ascii="Arial" w:eastAsia="Times New Roman" w:hAnsi="Arial" w:cs="Arial"/>
          <w:sz w:val="24"/>
          <w:szCs w:val="24"/>
          <w:lang w:val="en-BB" w:eastAsia="en-BB"/>
        </w:rPr>
      </w:pPr>
      <w:r w:rsidRPr="009532D4">
        <w:rPr>
          <w:rFonts w:ascii="Arial" w:eastAsia="Times New Roman" w:hAnsi="Arial" w:cs="Arial"/>
          <w:sz w:val="24"/>
          <w:szCs w:val="24"/>
          <w:lang w:val="en-BB" w:eastAsia="en-BB"/>
        </w:rPr>
        <w:br/>
      </w:r>
      <w:r w:rsidRPr="009532D4">
        <w:rPr>
          <w:rFonts w:ascii="Arial" w:eastAsia="Times New Roman" w:hAnsi="Arial" w:cs="Arial"/>
          <w:b/>
          <w:bCs/>
          <w:sz w:val="24"/>
          <w:szCs w:val="24"/>
          <w:lang w:val="en-BB" w:eastAsia="en-BB"/>
        </w:rPr>
        <w:t>5. Conclusions</w:t>
      </w:r>
      <w:r w:rsidRPr="009532D4">
        <w:rPr>
          <w:rFonts w:ascii="Arial" w:eastAsia="Times New Roman" w:hAnsi="Arial" w:cs="Arial"/>
          <w:sz w:val="24"/>
          <w:szCs w:val="24"/>
          <w:lang w:val="en-BB" w:eastAsia="en-BB"/>
        </w:rPr>
        <w:t xml:space="preserve"> </w:t>
      </w:r>
      <w:r w:rsidRPr="009532D4">
        <w:rPr>
          <w:rFonts w:ascii="Arial" w:eastAsia="Times New Roman" w:hAnsi="Arial" w:cs="Arial"/>
          <w:sz w:val="24"/>
          <w:szCs w:val="24"/>
          <w:lang w:val="en-BB" w:eastAsia="en-BB"/>
        </w:rPr>
        <w:br/>
        <w:t xml:space="preserve">I learned that you don’t have to do the same strategy everywhere for a global brand. Cadbury has kept recognisable assets and has adapted to purchasing power, culture, regulation and channels. I also learned that more sources do not necessarily mean a better report, and that relevance and integration are more important. My greatest improvement was from country description to direct comparisons. My biggest weaknesses were too wide initial research and too long sections in the first draft. </w:t>
      </w:r>
    </w:p>
    <w:p w14:paraId="2404AB54" w14:textId="77777777" w:rsidR="00CB09CE" w:rsidRDefault="00CB09CE" w:rsidP="00CB09CE">
      <w:pPr>
        <w:spacing w:after="0"/>
        <w:rPr>
          <w:rFonts w:ascii="Arial" w:eastAsia="Times New Roman" w:hAnsi="Arial" w:cs="Arial"/>
          <w:sz w:val="24"/>
          <w:szCs w:val="24"/>
          <w:lang w:val="en-BB" w:eastAsia="en-BB"/>
        </w:rPr>
      </w:pPr>
      <w:r w:rsidRPr="009532D4">
        <w:rPr>
          <w:rFonts w:ascii="Arial" w:eastAsia="Times New Roman" w:hAnsi="Arial" w:cs="Arial"/>
          <w:sz w:val="24"/>
          <w:szCs w:val="24"/>
          <w:lang w:val="en-BB" w:eastAsia="en-BB"/>
        </w:rPr>
        <w:br/>
      </w:r>
      <w:r w:rsidRPr="009532D4">
        <w:rPr>
          <w:rFonts w:ascii="Arial" w:eastAsia="Times New Roman" w:hAnsi="Arial" w:cs="Arial"/>
          <w:b/>
          <w:bCs/>
          <w:sz w:val="24"/>
          <w:szCs w:val="24"/>
          <w:lang w:val="en-BB" w:eastAsia="en-BB"/>
        </w:rPr>
        <w:t>6. Action Plan</w:t>
      </w:r>
      <w:r w:rsidRPr="009532D4">
        <w:rPr>
          <w:rFonts w:ascii="Arial" w:eastAsia="Times New Roman" w:hAnsi="Arial" w:cs="Arial"/>
          <w:sz w:val="24"/>
          <w:szCs w:val="24"/>
          <w:lang w:val="en-BB" w:eastAsia="en-BB"/>
        </w:rPr>
        <w:t xml:space="preserve"> </w:t>
      </w:r>
      <w:r w:rsidRPr="009532D4">
        <w:rPr>
          <w:rFonts w:ascii="Arial" w:eastAsia="Times New Roman" w:hAnsi="Arial" w:cs="Arial"/>
          <w:sz w:val="24"/>
          <w:szCs w:val="24"/>
          <w:lang w:val="en-BB" w:eastAsia="en-BB"/>
        </w:rPr>
        <w:br/>
        <w:t xml:space="preserve">I will make a checklist out of the brief and marking criteria for future assignments and allocate max words prior to research. I will create a log of evidence with source type, credibility, key finding, which section it’s for and full reference. We will prepare a comparison matrix before we draft. This is to ensure that both markets are covered in each paragraph. I will separately check for word count, referencing and argument. </w:t>
      </w:r>
      <w:proofErr w:type="gramStart"/>
      <w:r w:rsidRPr="009532D4">
        <w:rPr>
          <w:rFonts w:ascii="Arial" w:eastAsia="Times New Roman" w:hAnsi="Arial" w:cs="Arial"/>
          <w:sz w:val="24"/>
          <w:szCs w:val="24"/>
          <w:lang w:val="en-BB" w:eastAsia="en-BB"/>
        </w:rPr>
        <w:t>Finally</w:t>
      </w:r>
      <w:proofErr w:type="gramEnd"/>
      <w:r w:rsidRPr="009532D4">
        <w:rPr>
          <w:rFonts w:ascii="Arial" w:eastAsia="Times New Roman" w:hAnsi="Arial" w:cs="Arial"/>
          <w:sz w:val="24"/>
          <w:szCs w:val="24"/>
          <w:lang w:val="en-BB" w:eastAsia="en-BB"/>
        </w:rPr>
        <w:t xml:space="preserve"> I will begin verification sooner and eliminate any evidence that is not supported or redundant before I finesse sentences. These measures should enhance efficiency and safeguard critical depth and academic quality.</w:t>
      </w:r>
    </w:p>
    <w:p w14:paraId="622D708F" w14:textId="77777777" w:rsidR="00CB09CE" w:rsidRDefault="00CB09CE" w:rsidP="00CB09CE">
      <w:pPr>
        <w:spacing w:after="0"/>
        <w:rPr>
          <w:rFonts w:ascii="Arial" w:eastAsia="Times New Roman" w:hAnsi="Arial" w:cs="Arial"/>
          <w:sz w:val="24"/>
          <w:szCs w:val="24"/>
          <w:lang w:val="en-BB" w:eastAsia="en-BB"/>
        </w:rPr>
      </w:pPr>
    </w:p>
    <w:p w14:paraId="0443FCE3" w14:textId="77777777" w:rsidR="00CB09CE" w:rsidRDefault="00CB09CE" w:rsidP="00CB09CE">
      <w:pPr>
        <w:spacing w:after="0"/>
        <w:rPr>
          <w:rFonts w:ascii="Arial" w:eastAsia="Times New Roman" w:hAnsi="Arial" w:cs="Arial"/>
          <w:sz w:val="24"/>
          <w:szCs w:val="24"/>
          <w:lang w:val="en-BB" w:eastAsia="en-BB"/>
        </w:rPr>
      </w:pPr>
    </w:p>
    <w:p w14:paraId="3F494943" w14:textId="77777777" w:rsidR="00CB09CE" w:rsidRPr="009532D4" w:rsidRDefault="00CB09CE" w:rsidP="00CB09CE">
      <w:pPr>
        <w:spacing w:after="0"/>
        <w:rPr>
          <w:rFonts w:ascii="Arial" w:eastAsia="Times New Roman" w:hAnsi="Arial" w:cs="Arial"/>
          <w:sz w:val="24"/>
          <w:szCs w:val="24"/>
          <w:lang w:val="en-BB" w:eastAsia="en-BB"/>
        </w:rPr>
      </w:pPr>
      <w:r>
        <w:rPr>
          <w:rFonts w:ascii="Arial" w:eastAsia="Times New Roman" w:hAnsi="Arial" w:cs="Arial"/>
          <w:b/>
          <w:bCs/>
          <w:sz w:val="24"/>
          <w:szCs w:val="24"/>
          <w:lang w:val="en-BB" w:eastAsia="en-BB"/>
        </w:rPr>
        <w:t>Overall</w:t>
      </w:r>
      <w:r w:rsidRPr="00DF2147">
        <w:rPr>
          <w:rFonts w:ascii="Arial" w:eastAsia="Times New Roman" w:hAnsi="Arial" w:cs="Arial"/>
          <w:b/>
          <w:bCs/>
          <w:sz w:val="24"/>
          <w:szCs w:val="24"/>
          <w:lang w:val="en-BB" w:eastAsia="en-BB"/>
        </w:rPr>
        <w:t xml:space="preserve"> conclusion </w:t>
      </w:r>
      <w:r w:rsidRPr="00DF2147">
        <w:rPr>
          <w:rFonts w:ascii="Arial" w:eastAsia="Times New Roman" w:hAnsi="Arial" w:cs="Arial"/>
          <w:b/>
          <w:bCs/>
          <w:sz w:val="24"/>
          <w:szCs w:val="24"/>
          <w:lang w:val="en-BB" w:eastAsia="en-BB"/>
        </w:rPr>
        <w:br/>
      </w:r>
      <w:r w:rsidRPr="00DF2147">
        <w:rPr>
          <w:rFonts w:ascii="Arial" w:eastAsia="Times New Roman" w:hAnsi="Arial" w:cs="Arial"/>
          <w:sz w:val="24"/>
          <w:szCs w:val="24"/>
          <w:lang w:val="en-BB" w:eastAsia="en-BB"/>
        </w:rPr>
        <w:br/>
        <w:t xml:space="preserve">In sum, this assessment shows that Cadbury's international success is contingent on the blend of global brand consistency with selective local adaptation. The UK-India comparison shows that differences in purchasing power, culture, regulation, retail infrastructure and consumption occasions have a significant impact on marketing decisions. Cadbury’s established identity, purple branding and generosity positioning offer continuity, while local products, pack sizes, pricing structures, distribution arrangements and culturally relevant promotions improve market fit. The gradual move from imports to regulated local production was suitable for India, as it enhanced affordability, quality assurance, local learning and distribution reach. But commercial growth </w:t>
      </w:r>
      <w:proofErr w:type="gramStart"/>
      <w:r w:rsidRPr="00DF2147">
        <w:rPr>
          <w:rFonts w:ascii="Arial" w:eastAsia="Times New Roman" w:hAnsi="Arial" w:cs="Arial"/>
          <w:sz w:val="24"/>
          <w:szCs w:val="24"/>
          <w:lang w:val="en-BB" w:eastAsia="en-BB"/>
        </w:rPr>
        <w:t>has to</w:t>
      </w:r>
      <w:proofErr w:type="gramEnd"/>
      <w:r w:rsidRPr="00DF2147">
        <w:rPr>
          <w:rFonts w:ascii="Arial" w:eastAsia="Times New Roman" w:hAnsi="Arial" w:cs="Arial"/>
          <w:sz w:val="24"/>
          <w:szCs w:val="24"/>
          <w:lang w:val="en-BB" w:eastAsia="en-BB"/>
        </w:rPr>
        <w:t xml:space="preserve"> be weighed against wider stakeholder responsibilities, not least marketing of higher-sugar products to children and the environmental impact of small-format packaging. The proposed approach therefore emphasises responsible portion sizes, increased protection for under-16s, better regional segmentation, integration of traditional retail with digital commerce and measurable packaging results. A reflection on the research process also shows that a critical evaluation of sources, a direct comparison of countries and a careful recognition of the limitations of the framework are necessary for an international marketing analysis to be credible. Cadbury needs to keep its strongest global assets and let the evidence from each market determine where adaptation creates real consumer and societal value.</w:t>
      </w:r>
    </w:p>
    <w:p w14:paraId="798C5D0A" w14:textId="77777777" w:rsidR="00CB09CE" w:rsidRPr="009532D4" w:rsidRDefault="00CB09CE" w:rsidP="00CB09CE">
      <w:pPr>
        <w:spacing w:after="0"/>
        <w:rPr>
          <w:rFonts w:ascii="Arial" w:eastAsia="Times New Roman" w:hAnsi="Arial" w:cs="Arial"/>
          <w:b/>
          <w:bCs/>
          <w:sz w:val="24"/>
          <w:szCs w:val="24"/>
          <w:lang w:val="en-BB" w:eastAsia="en-BB"/>
        </w:rPr>
      </w:pPr>
    </w:p>
    <w:p w14:paraId="18DA3056" w14:textId="77777777" w:rsidR="00CB09CE" w:rsidRPr="009532D4" w:rsidRDefault="00CB09CE" w:rsidP="00CB09CE">
      <w:pPr>
        <w:rPr>
          <w:rFonts w:ascii="Arial" w:hAnsi="Arial" w:cs="Arial"/>
          <w:b/>
          <w:bCs/>
          <w:sz w:val="24"/>
          <w:szCs w:val="24"/>
        </w:rPr>
      </w:pPr>
      <w:r w:rsidRPr="009532D4">
        <w:rPr>
          <w:rFonts w:ascii="Arial" w:hAnsi="Arial" w:cs="Arial"/>
          <w:b/>
          <w:bCs/>
          <w:sz w:val="24"/>
          <w:szCs w:val="24"/>
        </w:rPr>
        <w:lastRenderedPageBreak/>
        <w:t>Reference List:</w:t>
      </w:r>
    </w:p>
    <w:p w14:paraId="057D15B5"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Booms, B.H. and Bitner, M.J. (</w:t>
      </w:r>
      <w:proofErr w:type="gramStart"/>
      <w:r w:rsidRPr="009532D4">
        <w:rPr>
          <w:rFonts w:ascii="Arial" w:hAnsi="Arial" w:cs="Arial"/>
          <w:sz w:val="24"/>
          <w:szCs w:val="24"/>
        </w:rPr>
        <w:t>1981) ‘</w:t>
      </w:r>
      <w:proofErr w:type="gramEnd"/>
      <w:r w:rsidRPr="009532D4">
        <w:rPr>
          <w:rFonts w:ascii="Arial" w:hAnsi="Arial" w:cs="Arial"/>
          <w:sz w:val="24"/>
          <w:szCs w:val="24"/>
        </w:rPr>
        <w:t xml:space="preserve">Marketing strategies and </w:t>
      </w:r>
      <w:proofErr w:type="spellStart"/>
      <w:r w:rsidRPr="009532D4">
        <w:rPr>
          <w:rFonts w:ascii="Arial" w:hAnsi="Arial" w:cs="Arial"/>
          <w:sz w:val="24"/>
          <w:szCs w:val="24"/>
        </w:rPr>
        <w:t>organisation</w:t>
      </w:r>
      <w:proofErr w:type="spellEnd"/>
      <w:r w:rsidRPr="009532D4">
        <w:rPr>
          <w:rFonts w:ascii="Arial" w:hAnsi="Arial" w:cs="Arial"/>
          <w:sz w:val="24"/>
          <w:szCs w:val="24"/>
        </w:rPr>
        <w:t xml:space="preserve"> structures for service firms’, in Donnelly, J.H. and George, W.R. (eds.) Marketing of services. Chicago: American Marketing Association, pp. 47–51.</w:t>
      </w:r>
    </w:p>
    <w:p w14:paraId="2AB678A7"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Cadbury (2026</w:t>
      </w:r>
      <w:proofErr w:type="gramStart"/>
      <w:r w:rsidRPr="009532D4">
        <w:rPr>
          <w:rFonts w:ascii="Arial" w:hAnsi="Arial" w:cs="Arial"/>
          <w:sz w:val="24"/>
          <w:szCs w:val="24"/>
        </w:rPr>
        <w:t>a) ‘</w:t>
      </w:r>
      <w:proofErr w:type="gramEnd"/>
      <w:r w:rsidRPr="009532D4">
        <w:rPr>
          <w:rFonts w:ascii="Arial" w:hAnsi="Arial" w:cs="Arial"/>
          <w:sz w:val="24"/>
          <w:szCs w:val="24"/>
        </w:rPr>
        <w:t>The Cadbury story’. Available at: https://www.cadbury.co.uk/about/history/our-story.</w:t>
      </w:r>
    </w:p>
    <w:p w14:paraId="353F657A"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Cadbury (2026b) ‘Chocolate gifts for all </w:t>
      </w:r>
      <w:proofErr w:type="gramStart"/>
      <w:r w:rsidRPr="009532D4">
        <w:rPr>
          <w:rFonts w:ascii="Arial" w:hAnsi="Arial" w:cs="Arial"/>
          <w:sz w:val="24"/>
          <w:szCs w:val="24"/>
        </w:rPr>
        <w:t>occasions’</w:t>
      </w:r>
      <w:proofErr w:type="gramEnd"/>
      <w:r w:rsidRPr="009532D4">
        <w:rPr>
          <w:rFonts w:ascii="Arial" w:hAnsi="Arial" w:cs="Arial"/>
          <w:sz w:val="24"/>
          <w:szCs w:val="24"/>
        </w:rPr>
        <w:t>. Available at: https://www.cadbury.co.uk/gifting.</w:t>
      </w:r>
    </w:p>
    <w:p w14:paraId="5C24C5BF"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Cadbury (2026</w:t>
      </w:r>
      <w:proofErr w:type="gramStart"/>
      <w:r w:rsidRPr="009532D4">
        <w:rPr>
          <w:rFonts w:ascii="Arial" w:hAnsi="Arial" w:cs="Arial"/>
          <w:sz w:val="24"/>
          <w:szCs w:val="24"/>
        </w:rPr>
        <w:t>c) ‘</w:t>
      </w:r>
      <w:proofErr w:type="gramEnd"/>
      <w:r w:rsidRPr="009532D4">
        <w:rPr>
          <w:rFonts w:ascii="Arial" w:hAnsi="Arial" w:cs="Arial"/>
          <w:sz w:val="24"/>
          <w:szCs w:val="24"/>
        </w:rPr>
        <w:t xml:space="preserve">All Cadbury </w:t>
      </w:r>
      <w:proofErr w:type="gramStart"/>
      <w:r w:rsidRPr="009532D4">
        <w:rPr>
          <w:rFonts w:ascii="Arial" w:hAnsi="Arial" w:cs="Arial"/>
          <w:sz w:val="24"/>
          <w:szCs w:val="24"/>
        </w:rPr>
        <w:t>products’</w:t>
      </w:r>
      <w:proofErr w:type="gramEnd"/>
      <w:r w:rsidRPr="009532D4">
        <w:rPr>
          <w:rFonts w:ascii="Arial" w:hAnsi="Arial" w:cs="Arial"/>
          <w:sz w:val="24"/>
          <w:szCs w:val="24"/>
        </w:rPr>
        <w:t>. Available at: https://www.cadbury.co.uk/products.</w:t>
      </w:r>
    </w:p>
    <w:p w14:paraId="09C314B8"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Cadbury (2026</w:t>
      </w:r>
      <w:proofErr w:type="gramStart"/>
      <w:r w:rsidRPr="009532D4">
        <w:rPr>
          <w:rFonts w:ascii="Arial" w:hAnsi="Arial" w:cs="Arial"/>
          <w:sz w:val="24"/>
          <w:szCs w:val="24"/>
        </w:rPr>
        <w:t>d) ‘</w:t>
      </w:r>
      <w:proofErr w:type="gramEnd"/>
      <w:r w:rsidRPr="009532D4">
        <w:rPr>
          <w:rFonts w:ascii="Arial" w:hAnsi="Arial" w:cs="Arial"/>
          <w:sz w:val="24"/>
          <w:szCs w:val="24"/>
        </w:rPr>
        <w:t xml:space="preserve">Cadbury advertising and </w:t>
      </w:r>
      <w:proofErr w:type="gramStart"/>
      <w:r w:rsidRPr="009532D4">
        <w:rPr>
          <w:rFonts w:ascii="Arial" w:hAnsi="Arial" w:cs="Arial"/>
          <w:sz w:val="24"/>
          <w:szCs w:val="24"/>
        </w:rPr>
        <w:t>campaigns’</w:t>
      </w:r>
      <w:proofErr w:type="gramEnd"/>
      <w:r w:rsidRPr="009532D4">
        <w:rPr>
          <w:rFonts w:ascii="Arial" w:hAnsi="Arial" w:cs="Arial"/>
          <w:sz w:val="24"/>
          <w:szCs w:val="24"/>
        </w:rPr>
        <w:t>. Available at: https://www.cadbury.co.uk/explore/seasonal/lastest-campaigns.</w:t>
      </w:r>
    </w:p>
    <w:p w14:paraId="1BFE92A4"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Department of Health and Social Care (</w:t>
      </w:r>
      <w:proofErr w:type="gramStart"/>
      <w:r w:rsidRPr="009532D4">
        <w:rPr>
          <w:rFonts w:ascii="Arial" w:hAnsi="Arial" w:cs="Arial"/>
          <w:sz w:val="24"/>
          <w:szCs w:val="24"/>
        </w:rPr>
        <w:t>2026) ‘</w:t>
      </w:r>
      <w:proofErr w:type="gramEnd"/>
      <w:r w:rsidRPr="009532D4">
        <w:rPr>
          <w:rFonts w:ascii="Arial" w:hAnsi="Arial" w:cs="Arial"/>
          <w:sz w:val="24"/>
          <w:szCs w:val="24"/>
        </w:rPr>
        <w:t xml:space="preserve">Landmark junk food </w:t>
      </w:r>
      <w:proofErr w:type="gramStart"/>
      <w:r w:rsidRPr="009532D4">
        <w:rPr>
          <w:rFonts w:ascii="Arial" w:hAnsi="Arial" w:cs="Arial"/>
          <w:sz w:val="24"/>
          <w:szCs w:val="24"/>
        </w:rPr>
        <w:t>ad</w:t>
      </w:r>
      <w:proofErr w:type="gramEnd"/>
      <w:r w:rsidRPr="009532D4">
        <w:rPr>
          <w:rFonts w:ascii="Arial" w:hAnsi="Arial" w:cs="Arial"/>
          <w:sz w:val="24"/>
          <w:szCs w:val="24"/>
        </w:rPr>
        <w:t xml:space="preserve"> ban to protect kids’ health’. Available at: https://www.gov.uk/government/news/landmark-junk-food-ad-ban-to-protect-kids-health.</w:t>
      </w:r>
    </w:p>
    <w:p w14:paraId="104C4F1C"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Dunning, J.H. (1988) ‘The eclectic paradigm of international production: A restatement and some possible extensions’, Journal of International Business Studies, 19(1), pp. 1–31.</w:t>
      </w:r>
    </w:p>
    <w:p w14:paraId="5A839B1E"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Food Safety and Standards Authority of India (FSSAI) (2023) Food Safety and Standards (Labelling and Display) Regulations, 2020. Available at: https://fssai.gov.in/upload/uploadfiles/files/Comp_Labelling.pdf </w:t>
      </w:r>
    </w:p>
    <w:p w14:paraId="05E2C5B6"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Freeman, R.E. (1984) Strategic management: A stakeholder approach. Boston: Pitman.</w:t>
      </w:r>
    </w:p>
    <w:p w14:paraId="67C79B99"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Gibbs, G. (1988) Learning by doing: A guide to teaching and learning methods. Oxford: Oxford Polytechnic.</w:t>
      </w:r>
    </w:p>
    <w:p w14:paraId="6FA93D88"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Hofstede, G., Hofstede, G.J. and Minkov, M. (2010) Cultures and organizations: Software of the mind. 3rd </w:t>
      </w:r>
      <w:proofErr w:type="spellStart"/>
      <w:r w:rsidRPr="009532D4">
        <w:rPr>
          <w:rFonts w:ascii="Arial" w:hAnsi="Arial" w:cs="Arial"/>
          <w:sz w:val="24"/>
          <w:szCs w:val="24"/>
        </w:rPr>
        <w:t>edn</w:t>
      </w:r>
      <w:proofErr w:type="spellEnd"/>
      <w:r w:rsidRPr="009532D4">
        <w:rPr>
          <w:rFonts w:ascii="Arial" w:hAnsi="Arial" w:cs="Arial"/>
          <w:sz w:val="24"/>
          <w:szCs w:val="24"/>
        </w:rPr>
        <w:t>. New York: McGraw-Hill.</w:t>
      </w:r>
    </w:p>
    <w:p w14:paraId="4AAA7B66"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Johanson, J. and Vahlne, J.-E. (1977) ‘The internationalization process of the firm’, Journal of International Business Studies, 8(1), pp. 23–32.</w:t>
      </w:r>
    </w:p>
    <w:p w14:paraId="094CCE9A"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Kraft Foods (</w:t>
      </w:r>
      <w:proofErr w:type="gramStart"/>
      <w:r w:rsidRPr="009532D4">
        <w:rPr>
          <w:rFonts w:ascii="Arial" w:hAnsi="Arial" w:cs="Arial"/>
          <w:sz w:val="24"/>
          <w:szCs w:val="24"/>
        </w:rPr>
        <w:t>2010) ‘</w:t>
      </w:r>
      <w:proofErr w:type="gramEnd"/>
      <w:r w:rsidRPr="009532D4">
        <w:rPr>
          <w:rFonts w:ascii="Arial" w:hAnsi="Arial" w:cs="Arial"/>
          <w:sz w:val="24"/>
          <w:szCs w:val="24"/>
        </w:rPr>
        <w:t xml:space="preserve">Kraft Foods succeeds in </w:t>
      </w:r>
      <w:proofErr w:type="gramStart"/>
      <w:r w:rsidRPr="009532D4">
        <w:rPr>
          <w:rFonts w:ascii="Arial" w:hAnsi="Arial" w:cs="Arial"/>
          <w:sz w:val="24"/>
          <w:szCs w:val="24"/>
        </w:rPr>
        <w:t>offer for</w:t>
      </w:r>
      <w:proofErr w:type="gramEnd"/>
      <w:r w:rsidRPr="009532D4">
        <w:rPr>
          <w:rFonts w:ascii="Arial" w:hAnsi="Arial" w:cs="Arial"/>
          <w:sz w:val="24"/>
          <w:szCs w:val="24"/>
        </w:rPr>
        <w:t xml:space="preserve"> Cadbury plc’. Available at: https://ir.mondelezinternational.com/news-releases/news-release-details/kraft-foods-succeeds-offer-cadbury-plc.</w:t>
      </w:r>
    </w:p>
    <w:p w14:paraId="629E958D"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Mandler, T., Bartsch, F. and Han, C.M. (2021) ‘Performance consequences of marketing standardization/adaptation’, Journal of Business Research, 125, pp. 416–435.</w:t>
      </w:r>
    </w:p>
    <w:p w14:paraId="78DC377B"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McCarthy, C.M., de Vries, R., </w:t>
      </w:r>
      <w:proofErr w:type="spellStart"/>
      <w:r w:rsidRPr="009532D4">
        <w:rPr>
          <w:rFonts w:ascii="Arial" w:hAnsi="Arial" w:cs="Arial"/>
          <w:sz w:val="24"/>
          <w:szCs w:val="24"/>
        </w:rPr>
        <w:t>Mackenbach</w:t>
      </w:r>
      <w:proofErr w:type="spellEnd"/>
      <w:r w:rsidRPr="009532D4">
        <w:rPr>
          <w:rFonts w:ascii="Arial" w:hAnsi="Arial" w:cs="Arial"/>
          <w:sz w:val="24"/>
          <w:szCs w:val="24"/>
        </w:rPr>
        <w:t>, J.D. and van den Eijnden, R.J.J.M. (2022) ‘The influence of unhealthy food and beverage marketing through social media and advergaming’, Obesity Reviews, 23(6), e13441.</w:t>
      </w:r>
    </w:p>
    <w:p w14:paraId="33497427"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Ministry of Statistics and </w:t>
      </w:r>
      <w:proofErr w:type="spellStart"/>
      <w:r w:rsidRPr="009532D4">
        <w:rPr>
          <w:rFonts w:ascii="Arial" w:hAnsi="Arial" w:cs="Arial"/>
          <w:sz w:val="24"/>
          <w:szCs w:val="24"/>
        </w:rPr>
        <w:t>Programme</w:t>
      </w:r>
      <w:proofErr w:type="spellEnd"/>
      <w:r w:rsidRPr="009532D4">
        <w:rPr>
          <w:rFonts w:ascii="Arial" w:hAnsi="Arial" w:cs="Arial"/>
          <w:sz w:val="24"/>
          <w:szCs w:val="24"/>
        </w:rPr>
        <w:t xml:space="preserve"> Implementation (</w:t>
      </w:r>
      <w:proofErr w:type="spellStart"/>
      <w:r w:rsidRPr="009532D4">
        <w:rPr>
          <w:rFonts w:ascii="Arial" w:hAnsi="Arial" w:cs="Arial"/>
          <w:sz w:val="24"/>
          <w:szCs w:val="24"/>
        </w:rPr>
        <w:t>MoSPI</w:t>
      </w:r>
      <w:proofErr w:type="spellEnd"/>
      <w:r w:rsidRPr="009532D4">
        <w:rPr>
          <w:rFonts w:ascii="Arial" w:hAnsi="Arial" w:cs="Arial"/>
          <w:sz w:val="24"/>
          <w:szCs w:val="24"/>
        </w:rPr>
        <w:t xml:space="preserve">) (2024) Household Consumption Expenditure Survey 2023–24: Fact sheet. Available at: https://www.mospi.gov.in/sites/default/files/publication_reports/HCES%20FactSheet%202023-24.pdf </w:t>
      </w:r>
    </w:p>
    <w:p w14:paraId="23F9C96C"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lastRenderedPageBreak/>
        <w:t>Mondelēz International (2022) ‘Cadbury Dairy Milk packaging in the UK using certified recycled plastic’. Available at: https://www.mondelezinternational.com/United-Kingdom/News/MDLZ-Launches-Cadbury-Dairy-Milk-Packaging-in-UK-using-Certified-Recycled-Plastic.</w:t>
      </w:r>
    </w:p>
    <w:p w14:paraId="40B0F220"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Mondelēz International (2023) ‘Cadbury Iniya </w:t>
      </w:r>
      <w:proofErr w:type="spellStart"/>
      <w:r w:rsidRPr="009532D4">
        <w:rPr>
          <w:rFonts w:ascii="Arial" w:hAnsi="Arial" w:cs="Arial"/>
          <w:sz w:val="24"/>
          <w:szCs w:val="24"/>
        </w:rPr>
        <w:t>Kondattam</w:t>
      </w:r>
      <w:proofErr w:type="spellEnd"/>
      <w:r w:rsidRPr="009532D4">
        <w:rPr>
          <w:rFonts w:ascii="Arial" w:hAnsi="Arial" w:cs="Arial"/>
          <w:sz w:val="24"/>
          <w:szCs w:val="24"/>
        </w:rPr>
        <w:t>’. Available at: https://www.mondelezinternational.com/India/Press-Releases.</w:t>
      </w:r>
    </w:p>
    <w:p w14:paraId="5F4590D0"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Mondelēz International (2026a) ‘India media </w:t>
      </w:r>
      <w:proofErr w:type="gramStart"/>
      <w:r w:rsidRPr="009532D4">
        <w:rPr>
          <w:rFonts w:ascii="Arial" w:hAnsi="Arial" w:cs="Arial"/>
          <w:sz w:val="24"/>
          <w:szCs w:val="24"/>
        </w:rPr>
        <w:t>releases’</w:t>
      </w:r>
      <w:proofErr w:type="gramEnd"/>
      <w:r w:rsidRPr="009532D4">
        <w:rPr>
          <w:rFonts w:ascii="Arial" w:hAnsi="Arial" w:cs="Arial"/>
          <w:sz w:val="24"/>
          <w:szCs w:val="24"/>
        </w:rPr>
        <w:t>. Available at: https://www.mondelezinternational.com/India/Press-Releases.</w:t>
      </w:r>
    </w:p>
    <w:p w14:paraId="0AD15794"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Mondelēz International (2026b) ‘Responsible marketing’. Available at: https://www.mondelezinternational.com/snacking-made-right/our-positions/responsible-marketing.</w:t>
      </w:r>
    </w:p>
    <w:p w14:paraId="1C197E58"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Office for National Statistics (ONS) (</w:t>
      </w:r>
      <w:proofErr w:type="gramStart"/>
      <w:r w:rsidRPr="009532D4">
        <w:rPr>
          <w:rFonts w:ascii="Arial" w:hAnsi="Arial" w:cs="Arial"/>
          <w:sz w:val="24"/>
          <w:szCs w:val="24"/>
        </w:rPr>
        <w:t>2026) ‘</w:t>
      </w:r>
      <w:proofErr w:type="gramEnd"/>
      <w:r w:rsidRPr="009532D4">
        <w:rPr>
          <w:rFonts w:ascii="Arial" w:hAnsi="Arial" w:cs="Arial"/>
          <w:sz w:val="24"/>
          <w:szCs w:val="24"/>
        </w:rPr>
        <w:t>Consumer price inflation, UK: March 2026’. Available at: https://www.ons.gov.uk/economy/inflationandpriceindices/bulletins/consumerpriceinflation/march2026.</w:t>
      </w:r>
    </w:p>
    <w:p w14:paraId="1910A494"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Poulis, K. (</w:t>
      </w:r>
      <w:proofErr w:type="gramStart"/>
      <w:r w:rsidRPr="009532D4">
        <w:rPr>
          <w:rFonts w:ascii="Arial" w:hAnsi="Arial" w:cs="Arial"/>
          <w:sz w:val="24"/>
          <w:szCs w:val="24"/>
        </w:rPr>
        <w:t>2024) ‘</w:t>
      </w:r>
      <w:proofErr w:type="gramEnd"/>
      <w:r w:rsidRPr="009532D4">
        <w:rPr>
          <w:rFonts w:ascii="Arial" w:hAnsi="Arial" w:cs="Arial"/>
          <w:sz w:val="24"/>
          <w:szCs w:val="24"/>
        </w:rPr>
        <w:t xml:space="preserve">Standardization and adaptation as a </w:t>
      </w:r>
      <w:proofErr w:type="spellStart"/>
      <w:r w:rsidRPr="009532D4">
        <w:rPr>
          <w:rFonts w:ascii="Arial" w:hAnsi="Arial" w:cs="Arial"/>
          <w:sz w:val="24"/>
          <w:szCs w:val="24"/>
        </w:rPr>
        <w:t>coconstituted</w:t>
      </w:r>
      <w:proofErr w:type="spellEnd"/>
      <w:r w:rsidRPr="009532D4">
        <w:rPr>
          <w:rFonts w:ascii="Arial" w:hAnsi="Arial" w:cs="Arial"/>
          <w:sz w:val="24"/>
          <w:szCs w:val="24"/>
        </w:rPr>
        <w:t xml:space="preserve"> process’, Journal of International Marketing, 32(2). </w:t>
      </w:r>
      <w:proofErr w:type="spellStart"/>
      <w:r w:rsidRPr="009532D4">
        <w:rPr>
          <w:rFonts w:ascii="Arial" w:hAnsi="Arial" w:cs="Arial"/>
          <w:sz w:val="24"/>
          <w:szCs w:val="24"/>
        </w:rPr>
        <w:t>doi</w:t>
      </w:r>
      <w:proofErr w:type="spellEnd"/>
      <w:r w:rsidRPr="009532D4">
        <w:rPr>
          <w:rFonts w:ascii="Arial" w:hAnsi="Arial" w:cs="Arial"/>
          <w:sz w:val="24"/>
          <w:szCs w:val="24"/>
        </w:rPr>
        <w:t>: 10.1177/1069031X231212414.</w:t>
      </w:r>
    </w:p>
    <w:p w14:paraId="2E86747E"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 xml:space="preserve">Wallace, M. and Wray, A. (2021) Critical reading and writing for postgraduates. 4th </w:t>
      </w:r>
      <w:proofErr w:type="spellStart"/>
      <w:r w:rsidRPr="009532D4">
        <w:rPr>
          <w:rFonts w:ascii="Arial" w:hAnsi="Arial" w:cs="Arial"/>
          <w:sz w:val="24"/>
          <w:szCs w:val="24"/>
        </w:rPr>
        <w:t>edn</w:t>
      </w:r>
      <w:proofErr w:type="spellEnd"/>
      <w:r w:rsidRPr="009532D4">
        <w:rPr>
          <w:rFonts w:ascii="Arial" w:hAnsi="Arial" w:cs="Arial"/>
          <w:sz w:val="24"/>
          <w:szCs w:val="24"/>
        </w:rPr>
        <w:t>. London: SAGE.</w:t>
      </w:r>
    </w:p>
    <w:p w14:paraId="772FDE7C"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World Bank (2026) ‘United Kingdom’. Available at: https://data.worldbank.org/country/united-kingdom.</w:t>
      </w:r>
    </w:p>
    <w:p w14:paraId="02773DA7" w14:textId="77777777" w:rsidR="00CB09CE" w:rsidRPr="009532D4" w:rsidRDefault="00CB09CE" w:rsidP="00CB09CE">
      <w:pPr>
        <w:pStyle w:val="ListParagraph"/>
        <w:numPr>
          <w:ilvl w:val="0"/>
          <w:numId w:val="2"/>
        </w:numPr>
        <w:spacing w:after="100"/>
        <w:rPr>
          <w:rFonts w:ascii="Arial" w:hAnsi="Arial" w:cs="Arial"/>
          <w:sz w:val="24"/>
          <w:szCs w:val="24"/>
        </w:rPr>
      </w:pPr>
      <w:r w:rsidRPr="009532D4">
        <w:rPr>
          <w:rFonts w:ascii="Arial" w:hAnsi="Arial" w:cs="Arial"/>
          <w:sz w:val="24"/>
          <w:szCs w:val="24"/>
        </w:rPr>
        <w:t>World Health Organization (WHO) (</w:t>
      </w:r>
      <w:proofErr w:type="gramStart"/>
      <w:r w:rsidRPr="009532D4">
        <w:rPr>
          <w:rFonts w:ascii="Arial" w:hAnsi="Arial" w:cs="Arial"/>
          <w:sz w:val="24"/>
          <w:szCs w:val="24"/>
        </w:rPr>
        <w:t>2025) ‘</w:t>
      </w:r>
      <w:proofErr w:type="gramEnd"/>
      <w:r w:rsidRPr="009532D4">
        <w:rPr>
          <w:rFonts w:ascii="Arial" w:hAnsi="Arial" w:cs="Arial"/>
          <w:sz w:val="24"/>
          <w:szCs w:val="24"/>
        </w:rPr>
        <w:t>Childhood overweight and obesity’. Available at: https://www.who.int/news-room/questions-and-answers/item/noncommunicable-diseases-childhood-overweight-and-obesity.</w:t>
      </w:r>
    </w:p>
    <w:p w14:paraId="3384D3DC" w14:textId="77777777" w:rsidR="00CB09CE" w:rsidRPr="009532D4" w:rsidRDefault="00CB09CE" w:rsidP="00CB09CE">
      <w:pPr>
        <w:rPr>
          <w:rFonts w:ascii="Arial" w:hAnsi="Arial" w:cs="Arial"/>
          <w:sz w:val="24"/>
          <w:szCs w:val="24"/>
        </w:rPr>
      </w:pPr>
    </w:p>
    <w:p w14:paraId="62619DF2" w14:textId="77777777" w:rsidR="00CB1635" w:rsidRDefault="00CB1635"/>
    <w:sectPr w:rsidR="00CB1635" w:rsidSect="00CB09CE">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26475" w14:textId="77777777" w:rsidR="00271FF1" w:rsidRDefault="00271FF1">
      <w:pPr>
        <w:spacing w:after="0" w:line="240" w:lineRule="auto"/>
      </w:pPr>
      <w:r>
        <w:separator/>
      </w:r>
    </w:p>
  </w:endnote>
  <w:endnote w:type="continuationSeparator" w:id="0">
    <w:p w14:paraId="3DA17BD6" w14:textId="77777777" w:rsidR="00271FF1" w:rsidRDefault="00271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C2240" w14:textId="77777777" w:rsidR="00CB09CE" w:rsidRDefault="00CB09CE">
    <w:pPr>
      <w:jc w:val="right"/>
    </w:pPr>
    <w:r>
      <w:rPr>
        <w:sz w:val="18"/>
      </w:rPr>
      <w:t xml:space="preserve">Page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9D567" w14:textId="77777777" w:rsidR="00271FF1" w:rsidRDefault="00271FF1">
      <w:pPr>
        <w:spacing w:after="0" w:line="240" w:lineRule="auto"/>
      </w:pPr>
      <w:r>
        <w:separator/>
      </w:r>
    </w:p>
  </w:footnote>
  <w:footnote w:type="continuationSeparator" w:id="0">
    <w:p w14:paraId="41BA7154" w14:textId="77777777" w:rsidR="00271FF1" w:rsidRDefault="00271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83E3B2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7380486"/>
    <w:multiLevelType w:val="hybridMultilevel"/>
    <w:tmpl w:val="94C0FA8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556113566">
    <w:abstractNumId w:val="0"/>
  </w:num>
  <w:num w:numId="2" w16cid:durableId="805047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9CE"/>
    <w:rsid w:val="00252FBB"/>
    <w:rsid w:val="00271FF1"/>
    <w:rsid w:val="00CB09CE"/>
    <w:rsid w:val="00CB1635"/>
    <w:rsid w:val="00CF48E2"/>
    <w:rsid w:val="00E72E0A"/>
  </w:rsids>
  <m:mathPr>
    <m:mathFont m:val="Cambria Math"/>
    <m:brkBin m:val="before"/>
    <m:brkBinSub m:val="--"/>
    <m:smallFrac m:val="0"/>
    <m:dispDef/>
    <m:lMargin m:val="0"/>
    <m:rMargin m:val="0"/>
    <m:defJc m:val="centerGroup"/>
    <m:wrapIndent m:val="1440"/>
    <m:intLim m:val="subSup"/>
    <m:naryLim m:val="undOvr"/>
  </m:mathPr>
  <w:themeFontLang w:val="en-B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8379A"/>
  <w15:chartTrackingRefBased/>
  <w15:docId w15:val="{5D5A2208-8C61-445D-A402-06F88D38B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B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9CE"/>
    <w:pPr>
      <w:spacing w:after="120" w:line="276" w:lineRule="auto"/>
    </w:pPr>
    <w:rPr>
      <w:rFonts w:ascii="Aptos" w:eastAsiaTheme="minorEastAsia" w:hAnsi="Aptos"/>
      <w:kern w:val="0"/>
      <w:sz w:val="21"/>
      <w:szCs w:val="22"/>
      <w:lang w:val="en-US"/>
      <w14:ligatures w14:val="none"/>
    </w:rPr>
  </w:style>
  <w:style w:type="paragraph" w:styleId="Heading1">
    <w:name w:val="heading 1"/>
    <w:basedOn w:val="Normal"/>
    <w:next w:val="Normal"/>
    <w:link w:val="Heading1Char"/>
    <w:uiPriority w:val="9"/>
    <w:qFormat/>
    <w:rsid w:val="00CB0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9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9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9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9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9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9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9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9C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CB09C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CB09C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B09C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B09C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B09C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B09C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B09C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B09C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B0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9C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B09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9C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B09CE"/>
    <w:pPr>
      <w:spacing w:before="160"/>
      <w:jc w:val="center"/>
    </w:pPr>
    <w:rPr>
      <w:i/>
      <w:iCs/>
      <w:color w:val="404040" w:themeColor="text1" w:themeTint="BF"/>
    </w:rPr>
  </w:style>
  <w:style w:type="character" w:customStyle="1" w:styleId="QuoteChar">
    <w:name w:val="Quote Char"/>
    <w:basedOn w:val="DefaultParagraphFont"/>
    <w:link w:val="Quote"/>
    <w:uiPriority w:val="29"/>
    <w:rsid w:val="00CB09CE"/>
    <w:rPr>
      <w:i/>
      <w:iCs/>
      <w:color w:val="404040" w:themeColor="text1" w:themeTint="BF"/>
      <w:lang w:val="en-GB"/>
    </w:rPr>
  </w:style>
  <w:style w:type="paragraph" w:styleId="ListParagraph">
    <w:name w:val="List Paragraph"/>
    <w:basedOn w:val="Normal"/>
    <w:uiPriority w:val="34"/>
    <w:qFormat/>
    <w:rsid w:val="00CB09CE"/>
    <w:pPr>
      <w:ind w:left="720"/>
      <w:contextualSpacing/>
    </w:pPr>
  </w:style>
  <w:style w:type="character" w:styleId="IntenseEmphasis">
    <w:name w:val="Intense Emphasis"/>
    <w:basedOn w:val="DefaultParagraphFont"/>
    <w:uiPriority w:val="21"/>
    <w:qFormat/>
    <w:rsid w:val="00CB09CE"/>
    <w:rPr>
      <w:i/>
      <w:iCs/>
      <w:color w:val="0F4761" w:themeColor="accent1" w:themeShade="BF"/>
    </w:rPr>
  </w:style>
  <w:style w:type="paragraph" w:styleId="IntenseQuote">
    <w:name w:val="Intense Quote"/>
    <w:basedOn w:val="Normal"/>
    <w:next w:val="Normal"/>
    <w:link w:val="IntenseQuoteChar"/>
    <w:uiPriority w:val="30"/>
    <w:qFormat/>
    <w:rsid w:val="00CB0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9CE"/>
    <w:rPr>
      <w:i/>
      <w:iCs/>
      <w:color w:val="0F4761" w:themeColor="accent1" w:themeShade="BF"/>
      <w:lang w:val="en-GB"/>
    </w:rPr>
  </w:style>
  <w:style w:type="character" w:styleId="IntenseReference">
    <w:name w:val="Intense Reference"/>
    <w:basedOn w:val="DefaultParagraphFont"/>
    <w:uiPriority w:val="32"/>
    <w:qFormat/>
    <w:rsid w:val="00CB09CE"/>
    <w:rPr>
      <w:b/>
      <w:bCs/>
      <w:smallCaps/>
      <w:color w:val="0F4761" w:themeColor="accent1" w:themeShade="BF"/>
      <w:spacing w:val="5"/>
    </w:rPr>
  </w:style>
  <w:style w:type="paragraph" w:styleId="ListBullet">
    <w:name w:val="List Bullet"/>
    <w:basedOn w:val="Normal"/>
    <w:uiPriority w:val="99"/>
    <w:unhideWhenUsed/>
    <w:rsid w:val="00CB09CE"/>
    <w:pPr>
      <w:numPr>
        <w:numId w:val="1"/>
      </w:numPr>
      <w:tabs>
        <w:tab w:val="clear" w:pos="360"/>
      </w:tabs>
      <w:ind w:left="0" w:firstLine="0"/>
      <w:contextualSpacing/>
    </w:pPr>
  </w:style>
  <w:style w:type="table" w:styleId="TableGrid">
    <w:name w:val="Table Grid"/>
    <w:basedOn w:val="TableNormal"/>
    <w:uiPriority w:val="59"/>
    <w:rsid w:val="00CB09CE"/>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B09CE"/>
    <w:pPr>
      <w:spacing w:after="0" w:line="240" w:lineRule="auto"/>
    </w:pPr>
    <w:rPr>
      <w:rFonts w:eastAsiaTheme="minorEastAsia"/>
      <w:kern w:val="0"/>
      <w:sz w:val="22"/>
      <w:szCs w:val="22"/>
      <w:lang w:eastAsia="en-BB"/>
      <w14:ligatures w14:val="none"/>
    </w:rPr>
  </w:style>
  <w:style w:type="character" w:customStyle="1" w:styleId="NoSpacingChar">
    <w:name w:val="No Spacing Char"/>
    <w:basedOn w:val="DefaultParagraphFont"/>
    <w:link w:val="NoSpacing"/>
    <w:uiPriority w:val="1"/>
    <w:rsid w:val="00CB09CE"/>
    <w:rPr>
      <w:rFonts w:eastAsiaTheme="minorEastAsia"/>
      <w:kern w:val="0"/>
      <w:sz w:val="22"/>
      <w:szCs w:val="22"/>
      <w:lang w:eastAsia="en-BB"/>
      <w14:ligatures w14:val="none"/>
    </w:rPr>
  </w:style>
  <w:style w:type="table" w:styleId="PlainTable1">
    <w:name w:val="Plain Table 1"/>
    <w:basedOn w:val="TableNormal"/>
    <w:uiPriority w:val="41"/>
    <w:rsid w:val="00CB09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5826</Words>
  <Characters>33210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mahmudul hasan</dc:creator>
  <cp:keywords/>
  <dc:description/>
  <cp:lastModifiedBy>mahmudul hasan</cp:lastModifiedBy>
  <cp:revision>2</cp:revision>
  <dcterms:created xsi:type="dcterms:W3CDTF">2026-07-24T12:50:00Z</dcterms:created>
  <dcterms:modified xsi:type="dcterms:W3CDTF">2026-07-24T12:54:00Z</dcterms:modified>
</cp:coreProperties>
</file>