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75929209"/>
        <w:docPartObj>
          <w:docPartGallery w:val="Cover Pages"/>
          <w:docPartUnique/>
        </w:docPartObj>
      </w:sdtPr>
      <w:sdtEndPr>
        <w:rPr>
          <w:rFonts w:ascii="Arial" w:hAnsi="Arial" w:cs="Arial"/>
        </w:rPr>
      </w:sdtEndPr>
      <w:sdtContent>
        <w:p w14:paraId="59141972" w14:textId="4091391D" w:rsidR="00A12193" w:rsidRDefault="00A12193" w:rsidP="00096CAD">
          <w:pPr>
            <w:spacing w:line="360" w:lineRule="auto"/>
          </w:pPr>
          <w:r>
            <w:rPr>
              <w:noProof/>
            </w:rPr>
            <mc:AlternateContent>
              <mc:Choice Requires="wps">
                <w:drawing>
                  <wp:anchor distT="0" distB="0" distL="114300" distR="114300" simplePos="0" relativeHeight="251658242" behindDoc="0" locked="0" layoutInCell="1" allowOverlap="1" wp14:anchorId="73210E4A" wp14:editId="1E48D611">
                    <wp:simplePos x="0" y="0"/>
                    <wp:positionH relativeFrom="page">
                      <wp:align>left</wp:align>
                    </wp:positionH>
                    <wp:positionV relativeFrom="page">
                      <wp:align>bottom</wp:align>
                    </wp:positionV>
                    <wp:extent cx="5534025" cy="2724912"/>
                    <wp:effectExtent l="0" t="0" r="0" b="0"/>
                    <wp:wrapNone/>
                    <wp:docPr id="36" name="Text Box 135"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bookmarkStart w:id="0" w:name="OLE_LINK33" w:displacedByCustomXml="nex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B5E9372" w14:textId="53B55976" w:rsidR="00A12193" w:rsidRDefault="00A12193">
                                    <w:pPr>
                                      <w:pStyle w:val="NoSpacing"/>
                                      <w:spacing w:after="480"/>
                                      <w:rPr>
                                        <w:i/>
                                        <w:color w:val="262626" w:themeColor="text1" w:themeTint="D9"/>
                                        <w:sz w:val="32"/>
                                        <w:szCs w:val="32"/>
                                      </w:rPr>
                                    </w:pPr>
                                    <w:r>
                                      <w:rPr>
                                        <w:i/>
                                        <w:color w:val="262626" w:themeColor="text1" w:themeTint="D9"/>
                                        <w:sz w:val="32"/>
                                        <w:szCs w:val="32"/>
                                      </w:rPr>
                                      <w:t>Ioan Rhys Lewis (0401890)</w:t>
                                    </w:r>
                                  </w:p>
                                </w:sdtContent>
                              </w:sdt>
                              <w:bookmarkEnd w:id="0"/>
                              <w:p w14:paraId="364B4492" w14:textId="6B800BE1" w:rsidR="00A12193" w:rsidRDefault="00A12193">
                                <w:pPr>
                                  <w:pStyle w:val="NoSpacing"/>
                                  <w:rPr>
                                    <w:i/>
                                    <w:color w:val="262626" w:themeColor="text1" w:themeTint="D9"/>
                                    <w:sz w:val="26"/>
                                    <w:szCs w:val="26"/>
                                  </w:rPr>
                                </w:pPr>
                                <w:r>
                                  <w:rPr>
                                    <w:i/>
                                    <w:color w:val="262626" w:themeColor="text1" w:themeTint="D9"/>
                                    <w:sz w:val="26"/>
                                    <w:szCs w:val="26"/>
                                  </w:rPr>
                                  <w:t xml:space="preserve">University of Wales Trinity St.Davids </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73210E4A" id="_x0000_t202" coordsize="21600,21600" o:spt="202" path="m,l,21600r21600,l21600,xe">
                    <v:stroke joinstyle="miter"/>
                    <v:path gradientshapeok="t" o:connecttype="rect"/>
                  </v:shapetype>
                  <v:shape id="Text Box 135" o:spid="_x0000_s1026" type="#_x0000_t202" alt="Title: Title and subtitle" style="position:absolute;margin-left:0;margin-top:0;width:435.75pt;height:214.55pt;z-index:25165824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bookmarkStart w:id="1" w:name="OLE_LINK33" w:displacedByCustomXml="nex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B5E9372" w14:textId="53B55976" w:rsidR="00A12193" w:rsidRDefault="00A12193">
                              <w:pPr>
                                <w:pStyle w:val="NoSpacing"/>
                                <w:spacing w:after="480"/>
                                <w:rPr>
                                  <w:i/>
                                  <w:color w:val="262626" w:themeColor="text1" w:themeTint="D9"/>
                                  <w:sz w:val="32"/>
                                  <w:szCs w:val="32"/>
                                </w:rPr>
                              </w:pPr>
                              <w:r>
                                <w:rPr>
                                  <w:i/>
                                  <w:color w:val="262626" w:themeColor="text1" w:themeTint="D9"/>
                                  <w:sz w:val="32"/>
                                  <w:szCs w:val="32"/>
                                </w:rPr>
                                <w:t>Ioan Rhys Lewis (0401890)</w:t>
                              </w:r>
                            </w:p>
                          </w:sdtContent>
                        </w:sdt>
                        <w:bookmarkEnd w:id="1"/>
                        <w:p w14:paraId="364B4492" w14:textId="6B800BE1" w:rsidR="00A12193" w:rsidRDefault="00A12193">
                          <w:pPr>
                            <w:pStyle w:val="NoSpacing"/>
                            <w:rPr>
                              <w:i/>
                              <w:color w:val="262626" w:themeColor="text1" w:themeTint="D9"/>
                              <w:sz w:val="26"/>
                              <w:szCs w:val="26"/>
                            </w:rPr>
                          </w:pPr>
                          <w:r>
                            <w:rPr>
                              <w:i/>
                              <w:color w:val="262626" w:themeColor="text1" w:themeTint="D9"/>
                              <w:sz w:val="26"/>
                              <w:szCs w:val="26"/>
                            </w:rPr>
                            <w:t xml:space="preserve">University of Wales Trinity St.Davids </w:t>
                          </w:r>
                        </w:p>
                      </w:txbxContent>
                    </v:textbox>
                    <w10:wrap anchorx="page" anchory="page"/>
                  </v:shape>
                </w:pict>
              </mc:Fallback>
            </mc:AlternateContent>
          </w:r>
          <w:r>
            <w:rPr>
              <w:noProof/>
            </w:rPr>
            <mc:AlternateContent>
              <mc:Choice Requires="wps">
                <w:drawing>
                  <wp:anchor distT="0" distB="0" distL="114300" distR="114300" simplePos="0" relativeHeight="251658241" behindDoc="1" locked="0" layoutInCell="1" allowOverlap="1" wp14:anchorId="453F4E42" wp14:editId="28AA140B">
                    <wp:simplePos x="0" y="0"/>
                    <mc:AlternateContent>
                      <mc:Choice Requires="wp14">
                        <wp:positionH relativeFrom="page">
                          <wp14:pctPosHOffset>10000</wp14:pctPosHOffset>
                        </wp:positionH>
                      </mc:Choice>
                      <mc:Fallback>
                        <wp:positionH relativeFrom="page">
                          <wp:posOffset>777240</wp:posOffset>
                        </wp:positionH>
                      </mc:Fallback>
                    </mc:AlternateContent>
                    <mc:AlternateContent>
                      <mc:Choice Requires="wp14">
                        <wp:positionV relativeFrom="page">
                          <wp14:pctPosVOffset>15000</wp14:pctPosVOffset>
                        </wp:positionV>
                      </mc:Choice>
                      <mc:Fallback>
                        <wp:positionV relativeFrom="page">
                          <wp:posOffset>1508760</wp:posOffset>
                        </wp:positionV>
                      </mc:Fallback>
                    </mc:AlternateContent>
                    <wp:extent cx="0" cy="1543050"/>
                    <wp:effectExtent l="19050" t="0" r="19050" b="23495"/>
                    <wp:wrapNone/>
                    <wp:docPr id="37" name="Straight Connector 1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xmlns:arto="http://schemas.microsoft.com/office/word/2006/arto">
                <w:pict>
                  <v:line w14:anchorId="26A062A2" id="Straight Connector 1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8240" behindDoc="0" locked="0" layoutInCell="1" allowOverlap="1" wp14:anchorId="1FCFAA36" wp14:editId="7CC1A6A4">
                    <wp:simplePos x="0" y="0"/>
                    <wp:positionH relativeFrom="page">
                      <wp:align>left</wp:align>
                    </wp:positionH>
                    <mc:AlternateContent>
                      <mc:Choice Requires="wp14">
                        <wp:positionV relativeFrom="page">
                          <wp14:pctPosVOffset>15000</wp14:pctPosVOffset>
                        </wp:positionV>
                      </mc:Choice>
                      <mc:Fallback>
                        <wp:positionV relativeFrom="page">
                          <wp:posOffset>1508760</wp:posOffset>
                        </wp:positionV>
                      </mc:Fallback>
                    </mc:AlternateContent>
                    <wp:extent cx="5534025" cy="2724912"/>
                    <wp:effectExtent l="0" t="0" r="0" b="2540"/>
                    <wp:wrapNone/>
                    <wp:docPr id="38" name="Text Box 139"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C3EA4B7" w14:textId="02DC8438" w:rsidR="00A12193" w:rsidRDefault="00DD01AA">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dissertation</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5A41C304" w14:textId="37B9E394" w:rsidR="00A12193" w:rsidRDefault="00DD01AA">
                                    <w:pPr>
                                      <w:pStyle w:val="NoSpacing"/>
                                      <w:rPr>
                                        <w:i/>
                                        <w:color w:val="262626" w:themeColor="text1" w:themeTint="D9"/>
                                        <w:sz w:val="36"/>
                                        <w:szCs w:val="36"/>
                                      </w:rPr>
                                    </w:pPr>
                                    <w:r>
                                      <w:rPr>
                                        <w:color w:val="262626" w:themeColor="text1" w:themeTint="D9"/>
                                        <w:sz w:val="36"/>
                                        <w:szCs w:val="36"/>
                                      </w:rPr>
                                      <w:t>MSc Sport and Exercise Nutrition</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1FCFAA36" id="Text Box 139" o:spid="_x0000_s1027" type="#_x0000_t202" alt="Title: Title and subtitle" style="position:absolute;margin-left:0;margin-top:0;width:435.75pt;height:214.55pt;z-index:251658240;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C3EA4B7" w14:textId="02DC8438" w:rsidR="00A12193" w:rsidRDefault="00DD01AA">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dissertation</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5A41C304" w14:textId="37B9E394" w:rsidR="00A12193" w:rsidRDefault="00DD01AA">
                              <w:pPr>
                                <w:pStyle w:val="NoSpacing"/>
                                <w:rPr>
                                  <w:i/>
                                  <w:color w:val="262626" w:themeColor="text1" w:themeTint="D9"/>
                                  <w:sz w:val="36"/>
                                  <w:szCs w:val="36"/>
                                </w:rPr>
                              </w:pPr>
                              <w:r>
                                <w:rPr>
                                  <w:color w:val="262626" w:themeColor="text1" w:themeTint="D9"/>
                                  <w:sz w:val="36"/>
                                  <w:szCs w:val="36"/>
                                </w:rPr>
                                <w:t>MSc Sport and Exercise Nutrition</w:t>
                              </w:r>
                            </w:p>
                          </w:sdtContent>
                        </w:sdt>
                      </w:txbxContent>
                    </v:textbox>
                    <w10:wrap anchorx="page" anchory="page"/>
                  </v:shape>
                </w:pict>
              </mc:Fallback>
            </mc:AlternateContent>
          </w:r>
        </w:p>
        <w:p w14:paraId="2FE566D0" w14:textId="03597F41" w:rsidR="00A12193" w:rsidRDefault="00A12193" w:rsidP="00024A69">
          <w:pPr>
            <w:spacing w:line="360" w:lineRule="auto"/>
            <w:rPr>
              <w:rFonts w:ascii="Arial" w:hAnsi="Arial" w:cs="Arial"/>
              <w:sz w:val="32"/>
              <w:szCs w:val="32"/>
            </w:rPr>
          </w:pPr>
          <w:r w:rsidRPr="001B4461">
            <w:rPr>
              <w:rFonts w:ascii="Arial" w:hAnsi="Arial" w:cs="Arial"/>
            </w:rPr>
            <w:br w:type="page"/>
          </w:r>
        </w:p>
      </w:sdtContent>
    </w:sdt>
    <w:sdt>
      <w:sdtPr>
        <w:rPr>
          <w:rFonts w:asciiTheme="minorHAnsi" w:eastAsiaTheme="minorHAnsi" w:hAnsiTheme="minorHAnsi" w:cstheme="minorBidi"/>
          <w:b w:val="0"/>
          <w:bCs w:val="0"/>
          <w:color w:val="auto"/>
          <w:kern w:val="2"/>
          <w:sz w:val="24"/>
          <w:szCs w:val="24"/>
          <w14:ligatures w14:val="standardContextual"/>
        </w:rPr>
        <w:id w:val="-523020562"/>
        <w:docPartObj>
          <w:docPartGallery w:val="Table of Contents"/>
          <w:docPartUnique/>
        </w:docPartObj>
      </w:sdtPr>
      <w:sdtEndPr>
        <w:rPr>
          <w:noProof/>
        </w:rPr>
      </w:sdtEndPr>
      <w:sdtContent>
        <w:p w14:paraId="75748FB4" w14:textId="77777777" w:rsidR="00C817F7" w:rsidRDefault="00327F6D">
          <w:pPr>
            <w:pStyle w:val="TOCHeading"/>
            <w:rPr>
              <w:noProof/>
            </w:rPr>
          </w:pPr>
          <w:r>
            <w:rPr>
              <w:noProof/>
            </w:rPr>
            <w:drawing>
              <wp:anchor distT="0" distB="0" distL="114300" distR="114300" simplePos="0" relativeHeight="251660340" behindDoc="0" locked="0" layoutInCell="1" allowOverlap="1" wp14:anchorId="6EFA8A81" wp14:editId="25BFA62F">
                <wp:simplePos x="0" y="0"/>
                <wp:positionH relativeFrom="column">
                  <wp:posOffset>-333375</wp:posOffset>
                </wp:positionH>
                <wp:positionV relativeFrom="paragraph">
                  <wp:posOffset>0</wp:posOffset>
                </wp:positionV>
                <wp:extent cx="6478905" cy="8430260"/>
                <wp:effectExtent l="0" t="0" r="0" b="2540"/>
                <wp:wrapTopAndBottom/>
                <wp:docPr id="1203102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102904" name="Picture 1203102904"/>
                        <pic:cNvPicPr/>
                      </pic:nvPicPr>
                      <pic:blipFill>
                        <a:blip r:embed="rId7" cstate="print">
                          <a:extLst>
                            <a:ext uri="{28A0092B-C50C-407E-A947-70E740481C1C}">
                              <a14:useLocalDpi xmlns:a14="http://schemas.microsoft.com/office/drawing/2010/main" val="0"/>
                            </a:ext>
                          </a:extLst>
                        </a:blip>
                        <a:stretch>
                          <a:fillRect/>
                        </a:stretch>
                      </pic:blipFill>
                      <pic:spPr>
                        <a:xfrm>
                          <a:off x="0" y="0"/>
                          <a:ext cx="6478905" cy="8430260"/>
                        </a:xfrm>
                        <a:prstGeom prst="rect">
                          <a:avLst/>
                        </a:prstGeom>
                      </pic:spPr>
                    </pic:pic>
                  </a:graphicData>
                </a:graphic>
                <wp14:sizeRelH relativeFrom="margin">
                  <wp14:pctWidth>0</wp14:pctWidth>
                </wp14:sizeRelH>
                <wp14:sizeRelV relativeFrom="margin">
                  <wp14:pctHeight>0</wp14:pctHeight>
                </wp14:sizeRelV>
              </wp:anchor>
            </w:drawing>
          </w:r>
        </w:p>
        <w:p w14:paraId="35E0BAFB" w14:textId="139FD329" w:rsidR="008E30E4" w:rsidRPr="00C817F7" w:rsidRDefault="008E30E4">
          <w:pPr>
            <w:pStyle w:val="TOCHeading"/>
            <w:rPr>
              <w:noProof/>
            </w:rPr>
          </w:pPr>
          <w:r>
            <w:lastRenderedPageBreak/>
            <w:t>Table of Contents</w:t>
          </w:r>
        </w:p>
        <w:p w14:paraId="0F2598C0" w14:textId="77777777" w:rsidR="004521AC" w:rsidRPr="004521AC" w:rsidRDefault="004521AC" w:rsidP="004521AC"/>
        <w:p w14:paraId="66CE7E3A" w14:textId="71CB8CDA" w:rsidR="001068EF" w:rsidRDefault="008E30E4">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228218250" w:history="1">
            <w:r w:rsidR="001068EF" w:rsidRPr="00C34073">
              <w:rPr>
                <w:rStyle w:val="Hyperlink"/>
                <w:noProof/>
              </w:rPr>
              <w:t>ABSTRACT</w:t>
            </w:r>
            <w:r w:rsidR="001068EF">
              <w:rPr>
                <w:noProof/>
                <w:webHidden/>
              </w:rPr>
              <w:tab/>
            </w:r>
            <w:r w:rsidR="001068EF">
              <w:rPr>
                <w:noProof/>
                <w:webHidden/>
              </w:rPr>
              <w:fldChar w:fldCharType="begin"/>
            </w:r>
            <w:r w:rsidR="001068EF">
              <w:rPr>
                <w:noProof/>
                <w:webHidden/>
              </w:rPr>
              <w:instrText xml:space="preserve"> PAGEREF _Toc228218250 \h </w:instrText>
            </w:r>
            <w:r w:rsidR="001068EF">
              <w:rPr>
                <w:noProof/>
                <w:webHidden/>
              </w:rPr>
            </w:r>
            <w:r w:rsidR="001068EF">
              <w:rPr>
                <w:noProof/>
                <w:webHidden/>
              </w:rPr>
              <w:fldChar w:fldCharType="separate"/>
            </w:r>
            <w:r w:rsidR="001068EF">
              <w:rPr>
                <w:noProof/>
                <w:webHidden/>
              </w:rPr>
              <w:t>1</w:t>
            </w:r>
            <w:r w:rsidR="001068EF">
              <w:rPr>
                <w:noProof/>
                <w:webHidden/>
              </w:rPr>
              <w:fldChar w:fldCharType="end"/>
            </w:r>
          </w:hyperlink>
        </w:p>
        <w:p w14:paraId="1ACD7208" w14:textId="5187D0BD" w:rsidR="001068EF" w:rsidRDefault="001068EF">
          <w:pPr>
            <w:pStyle w:val="TOC1"/>
            <w:tabs>
              <w:tab w:val="right" w:leader="dot" w:pos="9350"/>
            </w:tabs>
            <w:rPr>
              <w:rFonts w:eastAsiaTheme="minorEastAsia"/>
              <w:noProof/>
              <w:lang w:val="en-GB" w:eastAsia="en-GB"/>
            </w:rPr>
          </w:pPr>
          <w:hyperlink w:anchor="_Toc228218251" w:history="1">
            <w:r w:rsidRPr="00C34073">
              <w:rPr>
                <w:rStyle w:val="Hyperlink"/>
                <w:noProof/>
              </w:rPr>
              <w:t>ACKNOWLEDGEMENTS</w:t>
            </w:r>
            <w:r>
              <w:rPr>
                <w:noProof/>
                <w:webHidden/>
              </w:rPr>
              <w:tab/>
            </w:r>
            <w:r>
              <w:rPr>
                <w:noProof/>
                <w:webHidden/>
              </w:rPr>
              <w:fldChar w:fldCharType="begin"/>
            </w:r>
            <w:r>
              <w:rPr>
                <w:noProof/>
                <w:webHidden/>
              </w:rPr>
              <w:instrText xml:space="preserve"> PAGEREF _Toc228218251 \h </w:instrText>
            </w:r>
            <w:r>
              <w:rPr>
                <w:noProof/>
                <w:webHidden/>
              </w:rPr>
            </w:r>
            <w:r>
              <w:rPr>
                <w:noProof/>
                <w:webHidden/>
              </w:rPr>
              <w:fldChar w:fldCharType="separate"/>
            </w:r>
            <w:r>
              <w:rPr>
                <w:noProof/>
                <w:webHidden/>
              </w:rPr>
              <w:t>3</w:t>
            </w:r>
            <w:r>
              <w:rPr>
                <w:noProof/>
                <w:webHidden/>
              </w:rPr>
              <w:fldChar w:fldCharType="end"/>
            </w:r>
          </w:hyperlink>
        </w:p>
        <w:p w14:paraId="569C5327" w14:textId="0CDAF72B" w:rsidR="001068EF" w:rsidRDefault="001068EF">
          <w:pPr>
            <w:pStyle w:val="TOC1"/>
            <w:tabs>
              <w:tab w:val="right" w:leader="dot" w:pos="9350"/>
            </w:tabs>
            <w:rPr>
              <w:rFonts w:eastAsiaTheme="minorEastAsia"/>
              <w:noProof/>
              <w:lang w:val="en-GB" w:eastAsia="en-GB"/>
            </w:rPr>
          </w:pPr>
          <w:hyperlink w:anchor="_Toc228218252" w:history="1">
            <w:r w:rsidRPr="00C34073">
              <w:rPr>
                <w:rStyle w:val="Hyperlink"/>
                <w:noProof/>
              </w:rPr>
              <w:t>GLOSSARY OF TERMS</w:t>
            </w:r>
            <w:r>
              <w:rPr>
                <w:noProof/>
                <w:webHidden/>
              </w:rPr>
              <w:tab/>
            </w:r>
            <w:r>
              <w:rPr>
                <w:noProof/>
                <w:webHidden/>
              </w:rPr>
              <w:fldChar w:fldCharType="begin"/>
            </w:r>
            <w:r>
              <w:rPr>
                <w:noProof/>
                <w:webHidden/>
              </w:rPr>
              <w:instrText xml:space="preserve"> PAGEREF _Toc228218252 \h </w:instrText>
            </w:r>
            <w:r>
              <w:rPr>
                <w:noProof/>
                <w:webHidden/>
              </w:rPr>
            </w:r>
            <w:r>
              <w:rPr>
                <w:noProof/>
                <w:webHidden/>
              </w:rPr>
              <w:fldChar w:fldCharType="separate"/>
            </w:r>
            <w:r>
              <w:rPr>
                <w:noProof/>
                <w:webHidden/>
              </w:rPr>
              <w:t>4</w:t>
            </w:r>
            <w:r>
              <w:rPr>
                <w:noProof/>
                <w:webHidden/>
              </w:rPr>
              <w:fldChar w:fldCharType="end"/>
            </w:r>
          </w:hyperlink>
        </w:p>
        <w:p w14:paraId="462EEC7D" w14:textId="527948DD" w:rsidR="001068EF" w:rsidRDefault="001068EF">
          <w:pPr>
            <w:pStyle w:val="TOC1"/>
            <w:tabs>
              <w:tab w:val="right" w:leader="dot" w:pos="9350"/>
            </w:tabs>
            <w:rPr>
              <w:rFonts w:eastAsiaTheme="minorEastAsia"/>
              <w:noProof/>
              <w:lang w:val="en-GB" w:eastAsia="en-GB"/>
            </w:rPr>
          </w:pPr>
          <w:hyperlink w:anchor="_Toc228218253" w:history="1">
            <w:r w:rsidRPr="00C34073">
              <w:rPr>
                <w:rStyle w:val="Hyperlink"/>
                <w:noProof/>
              </w:rPr>
              <w:t>LIST OF TABLES</w:t>
            </w:r>
            <w:r>
              <w:rPr>
                <w:noProof/>
                <w:webHidden/>
              </w:rPr>
              <w:tab/>
            </w:r>
            <w:r>
              <w:rPr>
                <w:noProof/>
                <w:webHidden/>
              </w:rPr>
              <w:fldChar w:fldCharType="begin"/>
            </w:r>
            <w:r>
              <w:rPr>
                <w:noProof/>
                <w:webHidden/>
              </w:rPr>
              <w:instrText xml:space="preserve"> PAGEREF _Toc228218253 \h </w:instrText>
            </w:r>
            <w:r>
              <w:rPr>
                <w:noProof/>
                <w:webHidden/>
              </w:rPr>
            </w:r>
            <w:r>
              <w:rPr>
                <w:noProof/>
                <w:webHidden/>
              </w:rPr>
              <w:fldChar w:fldCharType="separate"/>
            </w:r>
            <w:r>
              <w:rPr>
                <w:noProof/>
                <w:webHidden/>
              </w:rPr>
              <w:t>8</w:t>
            </w:r>
            <w:r>
              <w:rPr>
                <w:noProof/>
                <w:webHidden/>
              </w:rPr>
              <w:fldChar w:fldCharType="end"/>
            </w:r>
          </w:hyperlink>
        </w:p>
        <w:p w14:paraId="113351C7" w14:textId="53774075" w:rsidR="001068EF" w:rsidRDefault="001068EF">
          <w:pPr>
            <w:pStyle w:val="TOC1"/>
            <w:tabs>
              <w:tab w:val="right" w:leader="dot" w:pos="9350"/>
            </w:tabs>
            <w:rPr>
              <w:rFonts w:eastAsiaTheme="minorEastAsia"/>
              <w:noProof/>
              <w:lang w:val="en-GB" w:eastAsia="en-GB"/>
            </w:rPr>
          </w:pPr>
          <w:hyperlink w:anchor="_Toc228218254" w:history="1">
            <w:r w:rsidRPr="00C34073">
              <w:rPr>
                <w:rStyle w:val="Hyperlink"/>
                <w:noProof/>
              </w:rPr>
              <w:t>LIST OF FIGURES</w:t>
            </w:r>
            <w:r>
              <w:rPr>
                <w:noProof/>
                <w:webHidden/>
              </w:rPr>
              <w:tab/>
            </w:r>
            <w:r>
              <w:rPr>
                <w:noProof/>
                <w:webHidden/>
              </w:rPr>
              <w:fldChar w:fldCharType="begin"/>
            </w:r>
            <w:r>
              <w:rPr>
                <w:noProof/>
                <w:webHidden/>
              </w:rPr>
              <w:instrText xml:space="preserve"> PAGEREF _Toc228218254 \h </w:instrText>
            </w:r>
            <w:r>
              <w:rPr>
                <w:noProof/>
                <w:webHidden/>
              </w:rPr>
            </w:r>
            <w:r>
              <w:rPr>
                <w:noProof/>
                <w:webHidden/>
              </w:rPr>
              <w:fldChar w:fldCharType="separate"/>
            </w:r>
            <w:r>
              <w:rPr>
                <w:noProof/>
                <w:webHidden/>
              </w:rPr>
              <w:t>10</w:t>
            </w:r>
            <w:r>
              <w:rPr>
                <w:noProof/>
                <w:webHidden/>
              </w:rPr>
              <w:fldChar w:fldCharType="end"/>
            </w:r>
          </w:hyperlink>
        </w:p>
        <w:p w14:paraId="78D4F503" w14:textId="4AC1B971" w:rsidR="001068EF" w:rsidRDefault="001068EF">
          <w:pPr>
            <w:pStyle w:val="TOC1"/>
            <w:tabs>
              <w:tab w:val="right" w:leader="dot" w:pos="9350"/>
            </w:tabs>
            <w:rPr>
              <w:rFonts w:eastAsiaTheme="minorEastAsia"/>
              <w:noProof/>
              <w:lang w:val="en-GB" w:eastAsia="en-GB"/>
            </w:rPr>
          </w:pPr>
          <w:hyperlink w:anchor="_Toc228218255" w:history="1">
            <w:r w:rsidRPr="00C34073">
              <w:rPr>
                <w:rStyle w:val="Hyperlink"/>
                <w:noProof/>
              </w:rPr>
              <w:t>CHAPTER 1: INTRODUCTION</w:t>
            </w:r>
            <w:r>
              <w:rPr>
                <w:noProof/>
                <w:webHidden/>
              </w:rPr>
              <w:tab/>
            </w:r>
            <w:r>
              <w:rPr>
                <w:noProof/>
                <w:webHidden/>
              </w:rPr>
              <w:fldChar w:fldCharType="begin"/>
            </w:r>
            <w:r>
              <w:rPr>
                <w:noProof/>
                <w:webHidden/>
              </w:rPr>
              <w:instrText xml:space="preserve"> PAGEREF _Toc228218255 \h </w:instrText>
            </w:r>
            <w:r>
              <w:rPr>
                <w:noProof/>
                <w:webHidden/>
              </w:rPr>
            </w:r>
            <w:r>
              <w:rPr>
                <w:noProof/>
                <w:webHidden/>
              </w:rPr>
              <w:fldChar w:fldCharType="separate"/>
            </w:r>
            <w:r>
              <w:rPr>
                <w:noProof/>
                <w:webHidden/>
              </w:rPr>
              <w:t>11</w:t>
            </w:r>
            <w:r>
              <w:rPr>
                <w:noProof/>
                <w:webHidden/>
              </w:rPr>
              <w:fldChar w:fldCharType="end"/>
            </w:r>
          </w:hyperlink>
        </w:p>
        <w:p w14:paraId="1CC87D5C" w14:textId="204E7AC5" w:rsidR="001068EF" w:rsidRDefault="001068EF">
          <w:pPr>
            <w:pStyle w:val="TOC2"/>
            <w:tabs>
              <w:tab w:val="right" w:leader="dot" w:pos="9350"/>
            </w:tabs>
            <w:rPr>
              <w:rFonts w:eastAsiaTheme="minorEastAsia"/>
              <w:noProof/>
              <w:lang w:val="en-GB" w:eastAsia="en-GB"/>
            </w:rPr>
          </w:pPr>
          <w:hyperlink w:anchor="_Toc228218256" w:history="1">
            <w:r w:rsidRPr="00C34073">
              <w:rPr>
                <w:rStyle w:val="Hyperlink"/>
                <w:rFonts w:ascii="Arial" w:hAnsi="Arial" w:cs="Arial"/>
                <w:noProof/>
                <w:lang w:val="en-GB"/>
              </w:rPr>
              <w:t>1.1 Background and rationale</w:t>
            </w:r>
            <w:r>
              <w:rPr>
                <w:noProof/>
                <w:webHidden/>
              </w:rPr>
              <w:tab/>
            </w:r>
            <w:r>
              <w:rPr>
                <w:noProof/>
                <w:webHidden/>
              </w:rPr>
              <w:fldChar w:fldCharType="begin"/>
            </w:r>
            <w:r>
              <w:rPr>
                <w:noProof/>
                <w:webHidden/>
              </w:rPr>
              <w:instrText xml:space="preserve"> PAGEREF _Toc228218256 \h </w:instrText>
            </w:r>
            <w:r>
              <w:rPr>
                <w:noProof/>
                <w:webHidden/>
              </w:rPr>
            </w:r>
            <w:r>
              <w:rPr>
                <w:noProof/>
                <w:webHidden/>
              </w:rPr>
              <w:fldChar w:fldCharType="separate"/>
            </w:r>
            <w:r>
              <w:rPr>
                <w:noProof/>
                <w:webHidden/>
              </w:rPr>
              <w:t>11</w:t>
            </w:r>
            <w:r>
              <w:rPr>
                <w:noProof/>
                <w:webHidden/>
              </w:rPr>
              <w:fldChar w:fldCharType="end"/>
            </w:r>
          </w:hyperlink>
        </w:p>
        <w:p w14:paraId="527E0345" w14:textId="11F551E3" w:rsidR="001068EF" w:rsidRDefault="001068EF">
          <w:pPr>
            <w:pStyle w:val="TOC2"/>
            <w:tabs>
              <w:tab w:val="right" w:leader="dot" w:pos="9350"/>
            </w:tabs>
            <w:rPr>
              <w:rFonts w:eastAsiaTheme="minorEastAsia"/>
              <w:noProof/>
              <w:lang w:val="en-GB" w:eastAsia="en-GB"/>
            </w:rPr>
          </w:pPr>
          <w:hyperlink w:anchor="_Toc228218257" w:history="1">
            <w:r w:rsidRPr="00C34073">
              <w:rPr>
                <w:rStyle w:val="Hyperlink"/>
                <w:rFonts w:ascii="Arial" w:hAnsi="Arial" w:cs="Arial"/>
                <w:noProof/>
                <w:lang w:val="en-GB"/>
              </w:rPr>
              <w:t>1.2 Problem statement and research gap</w:t>
            </w:r>
            <w:r>
              <w:rPr>
                <w:noProof/>
                <w:webHidden/>
              </w:rPr>
              <w:tab/>
            </w:r>
            <w:r>
              <w:rPr>
                <w:noProof/>
                <w:webHidden/>
              </w:rPr>
              <w:fldChar w:fldCharType="begin"/>
            </w:r>
            <w:r>
              <w:rPr>
                <w:noProof/>
                <w:webHidden/>
              </w:rPr>
              <w:instrText xml:space="preserve"> PAGEREF _Toc228218257 \h </w:instrText>
            </w:r>
            <w:r>
              <w:rPr>
                <w:noProof/>
                <w:webHidden/>
              </w:rPr>
            </w:r>
            <w:r>
              <w:rPr>
                <w:noProof/>
                <w:webHidden/>
              </w:rPr>
              <w:fldChar w:fldCharType="separate"/>
            </w:r>
            <w:r>
              <w:rPr>
                <w:noProof/>
                <w:webHidden/>
              </w:rPr>
              <w:t>13</w:t>
            </w:r>
            <w:r>
              <w:rPr>
                <w:noProof/>
                <w:webHidden/>
              </w:rPr>
              <w:fldChar w:fldCharType="end"/>
            </w:r>
          </w:hyperlink>
        </w:p>
        <w:p w14:paraId="47504788" w14:textId="0FD40231" w:rsidR="001068EF" w:rsidRDefault="001068EF">
          <w:pPr>
            <w:pStyle w:val="TOC2"/>
            <w:tabs>
              <w:tab w:val="right" w:leader="dot" w:pos="9350"/>
            </w:tabs>
            <w:rPr>
              <w:rFonts w:eastAsiaTheme="minorEastAsia"/>
              <w:noProof/>
              <w:lang w:val="en-GB" w:eastAsia="en-GB"/>
            </w:rPr>
          </w:pPr>
          <w:hyperlink w:anchor="_Toc228218258" w:history="1">
            <w:r w:rsidRPr="00C34073">
              <w:rPr>
                <w:rStyle w:val="Hyperlink"/>
                <w:rFonts w:ascii="Arial" w:hAnsi="Arial" w:cs="Arial"/>
                <w:noProof/>
                <w:lang w:val="en-GB"/>
              </w:rPr>
              <w:t>1.3 Aims and objectives</w:t>
            </w:r>
            <w:r>
              <w:rPr>
                <w:noProof/>
                <w:webHidden/>
              </w:rPr>
              <w:tab/>
            </w:r>
            <w:r>
              <w:rPr>
                <w:noProof/>
                <w:webHidden/>
              </w:rPr>
              <w:fldChar w:fldCharType="begin"/>
            </w:r>
            <w:r>
              <w:rPr>
                <w:noProof/>
                <w:webHidden/>
              </w:rPr>
              <w:instrText xml:space="preserve"> PAGEREF _Toc228218258 \h </w:instrText>
            </w:r>
            <w:r>
              <w:rPr>
                <w:noProof/>
                <w:webHidden/>
              </w:rPr>
            </w:r>
            <w:r>
              <w:rPr>
                <w:noProof/>
                <w:webHidden/>
              </w:rPr>
              <w:fldChar w:fldCharType="separate"/>
            </w:r>
            <w:r>
              <w:rPr>
                <w:noProof/>
                <w:webHidden/>
              </w:rPr>
              <w:t>14</w:t>
            </w:r>
            <w:r>
              <w:rPr>
                <w:noProof/>
                <w:webHidden/>
              </w:rPr>
              <w:fldChar w:fldCharType="end"/>
            </w:r>
          </w:hyperlink>
        </w:p>
        <w:p w14:paraId="6DD50199" w14:textId="5CAEBDEE" w:rsidR="001068EF" w:rsidRDefault="001068EF">
          <w:pPr>
            <w:pStyle w:val="TOC2"/>
            <w:tabs>
              <w:tab w:val="right" w:leader="dot" w:pos="9350"/>
            </w:tabs>
            <w:rPr>
              <w:rFonts w:eastAsiaTheme="minorEastAsia"/>
              <w:noProof/>
              <w:lang w:val="en-GB" w:eastAsia="en-GB"/>
            </w:rPr>
          </w:pPr>
          <w:hyperlink w:anchor="_Toc228218259" w:history="1">
            <w:r w:rsidRPr="00C34073">
              <w:rPr>
                <w:rStyle w:val="Hyperlink"/>
                <w:noProof/>
                <w:lang w:val="en-GB"/>
              </w:rPr>
              <w:t>1.4 Research questions, hypothesis and significance</w:t>
            </w:r>
            <w:r>
              <w:rPr>
                <w:noProof/>
                <w:webHidden/>
              </w:rPr>
              <w:tab/>
            </w:r>
            <w:r>
              <w:rPr>
                <w:noProof/>
                <w:webHidden/>
              </w:rPr>
              <w:fldChar w:fldCharType="begin"/>
            </w:r>
            <w:r>
              <w:rPr>
                <w:noProof/>
                <w:webHidden/>
              </w:rPr>
              <w:instrText xml:space="preserve"> PAGEREF _Toc228218259 \h </w:instrText>
            </w:r>
            <w:r>
              <w:rPr>
                <w:noProof/>
                <w:webHidden/>
              </w:rPr>
            </w:r>
            <w:r>
              <w:rPr>
                <w:noProof/>
                <w:webHidden/>
              </w:rPr>
              <w:fldChar w:fldCharType="separate"/>
            </w:r>
            <w:r>
              <w:rPr>
                <w:noProof/>
                <w:webHidden/>
              </w:rPr>
              <w:t>14</w:t>
            </w:r>
            <w:r>
              <w:rPr>
                <w:noProof/>
                <w:webHidden/>
              </w:rPr>
              <w:fldChar w:fldCharType="end"/>
            </w:r>
          </w:hyperlink>
        </w:p>
        <w:p w14:paraId="1FAB3894" w14:textId="78763B5E" w:rsidR="001068EF" w:rsidRDefault="001068EF">
          <w:pPr>
            <w:pStyle w:val="TOC1"/>
            <w:tabs>
              <w:tab w:val="right" w:leader="dot" w:pos="9350"/>
            </w:tabs>
            <w:rPr>
              <w:rFonts w:eastAsiaTheme="minorEastAsia"/>
              <w:noProof/>
              <w:lang w:val="en-GB" w:eastAsia="en-GB"/>
            </w:rPr>
          </w:pPr>
          <w:hyperlink w:anchor="_Toc228218260" w:history="1">
            <w:r w:rsidRPr="00C34073">
              <w:rPr>
                <w:rStyle w:val="Hyperlink"/>
                <w:rFonts w:ascii="Arial" w:hAnsi="Arial" w:cs="Arial"/>
                <w:noProof/>
                <w:lang w:val="en-GB"/>
              </w:rPr>
              <w:t>CHAPTER 2: LITERATURE REVIEW</w:t>
            </w:r>
            <w:r>
              <w:rPr>
                <w:noProof/>
                <w:webHidden/>
              </w:rPr>
              <w:tab/>
            </w:r>
            <w:r>
              <w:rPr>
                <w:noProof/>
                <w:webHidden/>
              </w:rPr>
              <w:fldChar w:fldCharType="begin"/>
            </w:r>
            <w:r>
              <w:rPr>
                <w:noProof/>
                <w:webHidden/>
              </w:rPr>
              <w:instrText xml:space="preserve"> PAGEREF _Toc228218260 \h </w:instrText>
            </w:r>
            <w:r>
              <w:rPr>
                <w:noProof/>
                <w:webHidden/>
              </w:rPr>
            </w:r>
            <w:r>
              <w:rPr>
                <w:noProof/>
                <w:webHidden/>
              </w:rPr>
              <w:fldChar w:fldCharType="separate"/>
            </w:r>
            <w:r>
              <w:rPr>
                <w:noProof/>
                <w:webHidden/>
              </w:rPr>
              <w:t>16</w:t>
            </w:r>
            <w:r>
              <w:rPr>
                <w:noProof/>
                <w:webHidden/>
              </w:rPr>
              <w:fldChar w:fldCharType="end"/>
            </w:r>
          </w:hyperlink>
        </w:p>
        <w:p w14:paraId="06A6521F" w14:textId="5A25FBA2" w:rsidR="001068EF" w:rsidRDefault="001068EF">
          <w:pPr>
            <w:pStyle w:val="TOC2"/>
            <w:tabs>
              <w:tab w:val="right" w:leader="dot" w:pos="9350"/>
            </w:tabs>
            <w:rPr>
              <w:rFonts w:eastAsiaTheme="minorEastAsia"/>
              <w:noProof/>
              <w:lang w:val="en-GB" w:eastAsia="en-GB"/>
            </w:rPr>
          </w:pPr>
          <w:hyperlink w:anchor="_Toc228218261" w:history="1">
            <w:r w:rsidRPr="00C34073">
              <w:rPr>
                <w:rStyle w:val="Hyperlink"/>
                <w:rFonts w:ascii="Arial" w:hAnsi="Arial" w:cs="Arial"/>
                <w:noProof/>
                <w:lang w:val="en-GB"/>
              </w:rPr>
              <w:t>2.0 Review of the literature</w:t>
            </w:r>
            <w:r>
              <w:rPr>
                <w:noProof/>
                <w:webHidden/>
              </w:rPr>
              <w:tab/>
            </w:r>
            <w:r>
              <w:rPr>
                <w:noProof/>
                <w:webHidden/>
              </w:rPr>
              <w:fldChar w:fldCharType="begin"/>
            </w:r>
            <w:r>
              <w:rPr>
                <w:noProof/>
                <w:webHidden/>
              </w:rPr>
              <w:instrText xml:space="preserve"> PAGEREF _Toc228218261 \h </w:instrText>
            </w:r>
            <w:r>
              <w:rPr>
                <w:noProof/>
                <w:webHidden/>
              </w:rPr>
            </w:r>
            <w:r>
              <w:rPr>
                <w:noProof/>
                <w:webHidden/>
              </w:rPr>
              <w:fldChar w:fldCharType="separate"/>
            </w:r>
            <w:r>
              <w:rPr>
                <w:noProof/>
                <w:webHidden/>
              </w:rPr>
              <w:t>16</w:t>
            </w:r>
            <w:r>
              <w:rPr>
                <w:noProof/>
                <w:webHidden/>
              </w:rPr>
              <w:fldChar w:fldCharType="end"/>
            </w:r>
          </w:hyperlink>
        </w:p>
        <w:p w14:paraId="35A92643" w14:textId="14E923EB" w:rsidR="001068EF" w:rsidRDefault="001068EF">
          <w:pPr>
            <w:pStyle w:val="TOC3"/>
            <w:tabs>
              <w:tab w:val="right" w:leader="dot" w:pos="9350"/>
            </w:tabs>
            <w:rPr>
              <w:rFonts w:eastAsiaTheme="minorEastAsia"/>
              <w:noProof/>
              <w:lang w:val="en-GB" w:eastAsia="en-GB"/>
            </w:rPr>
          </w:pPr>
          <w:hyperlink w:anchor="_Toc228218262" w:history="1">
            <w:r w:rsidRPr="00C34073">
              <w:rPr>
                <w:rStyle w:val="Hyperlink"/>
                <w:rFonts w:ascii="Arial" w:hAnsi="Arial" w:cs="Arial"/>
                <w:noProof/>
                <w:lang w:val="en-GB"/>
              </w:rPr>
              <w:t>2.0.1 Search strategy</w:t>
            </w:r>
            <w:r>
              <w:rPr>
                <w:noProof/>
                <w:webHidden/>
              </w:rPr>
              <w:tab/>
            </w:r>
            <w:r>
              <w:rPr>
                <w:noProof/>
                <w:webHidden/>
              </w:rPr>
              <w:fldChar w:fldCharType="begin"/>
            </w:r>
            <w:r>
              <w:rPr>
                <w:noProof/>
                <w:webHidden/>
              </w:rPr>
              <w:instrText xml:space="preserve"> PAGEREF _Toc228218262 \h </w:instrText>
            </w:r>
            <w:r>
              <w:rPr>
                <w:noProof/>
                <w:webHidden/>
              </w:rPr>
            </w:r>
            <w:r>
              <w:rPr>
                <w:noProof/>
                <w:webHidden/>
              </w:rPr>
              <w:fldChar w:fldCharType="separate"/>
            </w:r>
            <w:r>
              <w:rPr>
                <w:noProof/>
                <w:webHidden/>
              </w:rPr>
              <w:t>16</w:t>
            </w:r>
            <w:r>
              <w:rPr>
                <w:noProof/>
                <w:webHidden/>
              </w:rPr>
              <w:fldChar w:fldCharType="end"/>
            </w:r>
          </w:hyperlink>
        </w:p>
        <w:p w14:paraId="352D9841" w14:textId="4259AF4B" w:rsidR="001068EF" w:rsidRDefault="001068EF">
          <w:pPr>
            <w:pStyle w:val="TOC3"/>
            <w:tabs>
              <w:tab w:val="right" w:leader="dot" w:pos="9350"/>
            </w:tabs>
            <w:rPr>
              <w:rFonts w:eastAsiaTheme="minorEastAsia"/>
              <w:noProof/>
              <w:lang w:val="en-GB" w:eastAsia="en-GB"/>
            </w:rPr>
          </w:pPr>
          <w:hyperlink w:anchor="_Toc228218263" w:history="1">
            <w:r w:rsidRPr="00C34073">
              <w:rPr>
                <w:rStyle w:val="Hyperlink"/>
                <w:rFonts w:ascii="Arial" w:hAnsi="Arial" w:cs="Arial"/>
                <w:noProof/>
                <w:lang w:val="en-GB"/>
              </w:rPr>
              <w:t>2.0.2 Study selection</w:t>
            </w:r>
            <w:r>
              <w:rPr>
                <w:noProof/>
                <w:webHidden/>
              </w:rPr>
              <w:tab/>
            </w:r>
            <w:r>
              <w:rPr>
                <w:noProof/>
                <w:webHidden/>
              </w:rPr>
              <w:fldChar w:fldCharType="begin"/>
            </w:r>
            <w:r>
              <w:rPr>
                <w:noProof/>
                <w:webHidden/>
              </w:rPr>
              <w:instrText xml:space="preserve"> PAGEREF _Toc228218263 \h </w:instrText>
            </w:r>
            <w:r>
              <w:rPr>
                <w:noProof/>
                <w:webHidden/>
              </w:rPr>
            </w:r>
            <w:r>
              <w:rPr>
                <w:noProof/>
                <w:webHidden/>
              </w:rPr>
              <w:fldChar w:fldCharType="separate"/>
            </w:r>
            <w:r>
              <w:rPr>
                <w:noProof/>
                <w:webHidden/>
              </w:rPr>
              <w:t>17</w:t>
            </w:r>
            <w:r>
              <w:rPr>
                <w:noProof/>
                <w:webHidden/>
              </w:rPr>
              <w:fldChar w:fldCharType="end"/>
            </w:r>
          </w:hyperlink>
        </w:p>
        <w:p w14:paraId="3136CD21" w14:textId="6553A59C" w:rsidR="001068EF" w:rsidRDefault="001068EF">
          <w:pPr>
            <w:pStyle w:val="TOC3"/>
            <w:tabs>
              <w:tab w:val="right" w:leader="dot" w:pos="9350"/>
            </w:tabs>
            <w:rPr>
              <w:rFonts w:eastAsiaTheme="minorEastAsia"/>
              <w:noProof/>
              <w:lang w:val="en-GB" w:eastAsia="en-GB"/>
            </w:rPr>
          </w:pPr>
          <w:hyperlink w:anchor="_Toc228218264" w:history="1">
            <w:r w:rsidRPr="00C34073">
              <w:rPr>
                <w:rStyle w:val="Hyperlink"/>
                <w:rFonts w:ascii="Arial" w:hAnsi="Arial" w:cs="Arial"/>
                <w:noProof/>
                <w:lang w:val="en-GB"/>
              </w:rPr>
              <w:t>2.0.3 Inclusion and exclusion criteria</w:t>
            </w:r>
            <w:r>
              <w:rPr>
                <w:noProof/>
                <w:webHidden/>
              </w:rPr>
              <w:tab/>
            </w:r>
            <w:r>
              <w:rPr>
                <w:noProof/>
                <w:webHidden/>
              </w:rPr>
              <w:fldChar w:fldCharType="begin"/>
            </w:r>
            <w:r>
              <w:rPr>
                <w:noProof/>
                <w:webHidden/>
              </w:rPr>
              <w:instrText xml:space="preserve"> PAGEREF _Toc228218264 \h </w:instrText>
            </w:r>
            <w:r>
              <w:rPr>
                <w:noProof/>
                <w:webHidden/>
              </w:rPr>
            </w:r>
            <w:r>
              <w:rPr>
                <w:noProof/>
                <w:webHidden/>
              </w:rPr>
              <w:fldChar w:fldCharType="separate"/>
            </w:r>
            <w:r>
              <w:rPr>
                <w:noProof/>
                <w:webHidden/>
              </w:rPr>
              <w:t>17</w:t>
            </w:r>
            <w:r>
              <w:rPr>
                <w:noProof/>
                <w:webHidden/>
              </w:rPr>
              <w:fldChar w:fldCharType="end"/>
            </w:r>
          </w:hyperlink>
        </w:p>
        <w:p w14:paraId="1E684AD3" w14:textId="47BB54B4" w:rsidR="001068EF" w:rsidRDefault="001068EF">
          <w:pPr>
            <w:pStyle w:val="TOC2"/>
            <w:tabs>
              <w:tab w:val="right" w:leader="dot" w:pos="9350"/>
            </w:tabs>
            <w:rPr>
              <w:rFonts w:eastAsiaTheme="minorEastAsia"/>
              <w:noProof/>
              <w:lang w:val="en-GB" w:eastAsia="en-GB"/>
            </w:rPr>
          </w:pPr>
          <w:hyperlink w:anchor="_Toc228218265" w:history="1">
            <w:r w:rsidRPr="00C34073">
              <w:rPr>
                <w:rStyle w:val="Hyperlink"/>
                <w:rFonts w:ascii="Arial" w:hAnsi="Arial" w:cs="Arial"/>
                <w:bCs/>
                <w:noProof/>
                <w:lang w:val="en-GB"/>
              </w:rPr>
              <w:t>2.1 Firefighting as a high-strain occupational environment</w:t>
            </w:r>
            <w:r>
              <w:rPr>
                <w:noProof/>
                <w:webHidden/>
              </w:rPr>
              <w:tab/>
            </w:r>
            <w:r>
              <w:rPr>
                <w:noProof/>
                <w:webHidden/>
              </w:rPr>
              <w:fldChar w:fldCharType="begin"/>
            </w:r>
            <w:r>
              <w:rPr>
                <w:noProof/>
                <w:webHidden/>
              </w:rPr>
              <w:instrText xml:space="preserve"> PAGEREF _Toc228218265 \h </w:instrText>
            </w:r>
            <w:r>
              <w:rPr>
                <w:noProof/>
                <w:webHidden/>
              </w:rPr>
            </w:r>
            <w:r>
              <w:rPr>
                <w:noProof/>
                <w:webHidden/>
              </w:rPr>
              <w:fldChar w:fldCharType="separate"/>
            </w:r>
            <w:r>
              <w:rPr>
                <w:noProof/>
                <w:webHidden/>
              </w:rPr>
              <w:t>17</w:t>
            </w:r>
            <w:r>
              <w:rPr>
                <w:noProof/>
                <w:webHidden/>
              </w:rPr>
              <w:fldChar w:fldCharType="end"/>
            </w:r>
          </w:hyperlink>
        </w:p>
        <w:p w14:paraId="220B4058" w14:textId="2C238DAD" w:rsidR="001068EF" w:rsidRDefault="001068EF">
          <w:pPr>
            <w:pStyle w:val="TOC2"/>
            <w:tabs>
              <w:tab w:val="right" w:leader="dot" w:pos="9350"/>
            </w:tabs>
            <w:rPr>
              <w:rFonts w:eastAsiaTheme="minorEastAsia"/>
              <w:noProof/>
              <w:lang w:val="en-GB" w:eastAsia="en-GB"/>
            </w:rPr>
          </w:pPr>
          <w:hyperlink w:anchor="_Toc228218266" w:history="1">
            <w:r w:rsidRPr="00C34073">
              <w:rPr>
                <w:rStyle w:val="Hyperlink"/>
                <w:rFonts w:ascii="Arial" w:hAnsi="Arial" w:cs="Arial"/>
                <w:bCs/>
                <w:noProof/>
                <w:lang w:val="en-GB"/>
              </w:rPr>
              <w:t>2.2 Physiological demands of firefighting tasks and occupational performance</w:t>
            </w:r>
            <w:r>
              <w:rPr>
                <w:noProof/>
                <w:webHidden/>
              </w:rPr>
              <w:tab/>
            </w:r>
            <w:r>
              <w:rPr>
                <w:noProof/>
                <w:webHidden/>
              </w:rPr>
              <w:fldChar w:fldCharType="begin"/>
            </w:r>
            <w:r>
              <w:rPr>
                <w:noProof/>
                <w:webHidden/>
              </w:rPr>
              <w:instrText xml:space="preserve"> PAGEREF _Toc228218266 \h </w:instrText>
            </w:r>
            <w:r>
              <w:rPr>
                <w:noProof/>
                <w:webHidden/>
              </w:rPr>
            </w:r>
            <w:r>
              <w:rPr>
                <w:noProof/>
                <w:webHidden/>
              </w:rPr>
              <w:fldChar w:fldCharType="separate"/>
            </w:r>
            <w:r>
              <w:rPr>
                <w:noProof/>
                <w:webHidden/>
              </w:rPr>
              <w:t>19</w:t>
            </w:r>
            <w:r>
              <w:rPr>
                <w:noProof/>
                <w:webHidden/>
              </w:rPr>
              <w:fldChar w:fldCharType="end"/>
            </w:r>
          </w:hyperlink>
        </w:p>
        <w:p w14:paraId="24B03295" w14:textId="5347D8BF" w:rsidR="001068EF" w:rsidRDefault="001068EF">
          <w:pPr>
            <w:pStyle w:val="TOC2"/>
            <w:tabs>
              <w:tab w:val="right" w:leader="dot" w:pos="9350"/>
            </w:tabs>
            <w:rPr>
              <w:rFonts w:eastAsiaTheme="minorEastAsia"/>
              <w:noProof/>
              <w:lang w:val="en-GB" w:eastAsia="en-GB"/>
            </w:rPr>
          </w:pPr>
          <w:hyperlink w:anchor="_Toc228218267" w:history="1">
            <w:r w:rsidRPr="00C34073">
              <w:rPr>
                <w:rStyle w:val="Hyperlink"/>
                <w:rFonts w:ascii="Arial" w:hAnsi="Arial" w:cs="Arial"/>
                <w:bCs/>
                <w:noProof/>
                <w:lang w:val="en-GB"/>
              </w:rPr>
              <w:t>2.3 Occupational exposures and cumulative physiological stress</w:t>
            </w:r>
            <w:r>
              <w:rPr>
                <w:noProof/>
                <w:webHidden/>
              </w:rPr>
              <w:tab/>
            </w:r>
            <w:r>
              <w:rPr>
                <w:noProof/>
                <w:webHidden/>
              </w:rPr>
              <w:fldChar w:fldCharType="begin"/>
            </w:r>
            <w:r>
              <w:rPr>
                <w:noProof/>
                <w:webHidden/>
              </w:rPr>
              <w:instrText xml:space="preserve"> PAGEREF _Toc228218267 \h </w:instrText>
            </w:r>
            <w:r>
              <w:rPr>
                <w:noProof/>
                <w:webHidden/>
              </w:rPr>
            </w:r>
            <w:r>
              <w:rPr>
                <w:noProof/>
                <w:webHidden/>
              </w:rPr>
              <w:fldChar w:fldCharType="separate"/>
            </w:r>
            <w:r>
              <w:rPr>
                <w:noProof/>
                <w:webHidden/>
              </w:rPr>
              <w:t>21</w:t>
            </w:r>
            <w:r>
              <w:rPr>
                <w:noProof/>
                <w:webHidden/>
              </w:rPr>
              <w:fldChar w:fldCharType="end"/>
            </w:r>
          </w:hyperlink>
        </w:p>
        <w:p w14:paraId="169143F7" w14:textId="396FB38D" w:rsidR="001068EF" w:rsidRDefault="001068EF">
          <w:pPr>
            <w:pStyle w:val="TOC3"/>
            <w:tabs>
              <w:tab w:val="right" w:leader="dot" w:pos="9350"/>
            </w:tabs>
            <w:rPr>
              <w:rFonts w:eastAsiaTheme="minorEastAsia"/>
              <w:noProof/>
              <w:lang w:val="en-GB" w:eastAsia="en-GB"/>
            </w:rPr>
          </w:pPr>
          <w:hyperlink w:anchor="_Toc228218268" w:history="1">
            <w:r w:rsidRPr="00C34073">
              <w:rPr>
                <w:rStyle w:val="Hyperlink"/>
                <w:rFonts w:ascii="Arial" w:hAnsi="Arial" w:cs="Arial"/>
                <w:noProof/>
                <w:lang w:val="en-GB"/>
              </w:rPr>
              <w:t>2.3.1 Heat exposures</w:t>
            </w:r>
            <w:r>
              <w:rPr>
                <w:noProof/>
                <w:webHidden/>
              </w:rPr>
              <w:tab/>
            </w:r>
            <w:r>
              <w:rPr>
                <w:noProof/>
                <w:webHidden/>
              </w:rPr>
              <w:fldChar w:fldCharType="begin"/>
            </w:r>
            <w:r>
              <w:rPr>
                <w:noProof/>
                <w:webHidden/>
              </w:rPr>
              <w:instrText xml:space="preserve"> PAGEREF _Toc228218268 \h </w:instrText>
            </w:r>
            <w:r>
              <w:rPr>
                <w:noProof/>
                <w:webHidden/>
              </w:rPr>
            </w:r>
            <w:r>
              <w:rPr>
                <w:noProof/>
                <w:webHidden/>
              </w:rPr>
              <w:fldChar w:fldCharType="separate"/>
            </w:r>
            <w:r>
              <w:rPr>
                <w:noProof/>
                <w:webHidden/>
              </w:rPr>
              <w:t>21</w:t>
            </w:r>
            <w:r>
              <w:rPr>
                <w:noProof/>
                <w:webHidden/>
              </w:rPr>
              <w:fldChar w:fldCharType="end"/>
            </w:r>
          </w:hyperlink>
        </w:p>
        <w:p w14:paraId="5DE9194B" w14:textId="1C0B8DF0" w:rsidR="001068EF" w:rsidRDefault="001068EF">
          <w:pPr>
            <w:pStyle w:val="TOC3"/>
            <w:tabs>
              <w:tab w:val="right" w:leader="dot" w:pos="9350"/>
            </w:tabs>
            <w:rPr>
              <w:rFonts w:eastAsiaTheme="minorEastAsia"/>
              <w:noProof/>
              <w:lang w:val="en-GB" w:eastAsia="en-GB"/>
            </w:rPr>
          </w:pPr>
          <w:hyperlink w:anchor="_Toc228218269" w:history="1">
            <w:r w:rsidRPr="00C34073">
              <w:rPr>
                <w:rStyle w:val="Hyperlink"/>
                <w:noProof/>
                <w:lang w:val="en-GB"/>
              </w:rPr>
              <w:t>2.3.2 Smoke and Toxins</w:t>
            </w:r>
            <w:r>
              <w:rPr>
                <w:noProof/>
                <w:webHidden/>
              </w:rPr>
              <w:tab/>
            </w:r>
            <w:r>
              <w:rPr>
                <w:noProof/>
                <w:webHidden/>
              </w:rPr>
              <w:fldChar w:fldCharType="begin"/>
            </w:r>
            <w:r>
              <w:rPr>
                <w:noProof/>
                <w:webHidden/>
              </w:rPr>
              <w:instrText xml:space="preserve"> PAGEREF _Toc228218269 \h </w:instrText>
            </w:r>
            <w:r>
              <w:rPr>
                <w:noProof/>
                <w:webHidden/>
              </w:rPr>
            </w:r>
            <w:r>
              <w:rPr>
                <w:noProof/>
                <w:webHidden/>
              </w:rPr>
              <w:fldChar w:fldCharType="separate"/>
            </w:r>
            <w:r>
              <w:rPr>
                <w:noProof/>
                <w:webHidden/>
              </w:rPr>
              <w:t>22</w:t>
            </w:r>
            <w:r>
              <w:rPr>
                <w:noProof/>
                <w:webHidden/>
              </w:rPr>
              <w:fldChar w:fldCharType="end"/>
            </w:r>
          </w:hyperlink>
        </w:p>
        <w:p w14:paraId="527C45C9" w14:textId="77CCD94D" w:rsidR="001068EF" w:rsidRDefault="001068EF">
          <w:pPr>
            <w:pStyle w:val="TOC3"/>
            <w:tabs>
              <w:tab w:val="right" w:leader="dot" w:pos="9350"/>
            </w:tabs>
            <w:rPr>
              <w:rFonts w:eastAsiaTheme="minorEastAsia"/>
              <w:noProof/>
              <w:lang w:val="en-GB" w:eastAsia="en-GB"/>
            </w:rPr>
          </w:pPr>
          <w:hyperlink w:anchor="_Toc228218270" w:history="1">
            <w:r w:rsidRPr="00C34073">
              <w:rPr>
                <w:rStyle w:val="Hyperlink"/>
                <w:noProof/>
                <w:lang w:val="en-GB"/>
              </w:rPr>
              <w:t>2.3.3 Sleep and recovery</w:t>
            </w:r>
            <w:r>
              <w:rPr>
                <w:noProof/>
                <w:webHidden/>
              </w:rPr>
              <w:tab/>
            </w:r>
            <w:r>
              <w:rPr>
                <w:noProof/>
                <w:webHidden/>
              </w:rPr>
              <w:fldChar w:fldCharType="begin"/>
            </w:r>
            <w:r>
              <w:rPr>
                <w:noProof/>
                <w:webHidden/>
              </w:rPr>
              <w:instrText xml:space="preserve"> PAGEREF _Toc228218270 \h </w:instrText>
            </w:r>
            <w:r>
              <w:rPr>
                <w:noProof/>
                <w:webHidden/>
              </w:rPr>
            </w:r>
            <w:r>
              <w:rPr>
                <w:noProof/>
                <w:webHidden/>
              </w:rPr>
              <w:fldChar w:fldCharType="separate"/>
            </w:r>
            <w:r>
              <w:rPr>
                <w:noProof/>
                <w:webHidden/>
              </w:rPr>
              <w:t>23</w:t>
            </w:r>
            <w:r>
              <w:rPr>
                <w:noProof/>
                <w:webHidden/>
              </w:rPr>
              <w:fldChar w:fldCharType="end"/>
            </w:r>
          </w:hyperlink>
        </w:p>
        <w:p w14:paraId="048E0D4F" w14:textId="49883567" w:rsidR="001068EF" w:rsidRDefault="001068EF">
          <w:pPr>
            <w:pStyle w:val="TOC3"/>
            <w:tabs>
              <w:tab w:val="right" w:leader="dot" w:pos="9350"/>
            </w:tabs>
            <w:rPr>
              <w:rFonts w:eastAsiaTheme="minorEastAsia"/>
              <w:noProof/>
              <w:lang w:val="en-GB" w:eastAsia="en-GB"/>
            </w:rPr>
          </w:pPr>
          <w:hyperlink w:anchor="_Toc228218271" w:history="1">
            <w:r w:rsidRPr="00C34073">
              <w:rPr>
                <w:rStyle w:val="Hyperlink"/>
                <w:rFonts w:ascii="Arial" w:hAnsi="Arial" w:cs="Arial"/>
                <w:noProof/>
                <w:lang w:val="en-GB"/>
              </w:rPr>
              <w:t>2.3.4 Mental Health</w:t>
            </w:r>
            <w:r>
              <w:rPr>
                <w:noProof/>
                <w:webHidden/>
              </w:rPr>
              <w:tab/>
            </w:r>
            <w:r>
              <w:rPr>
                <w:noProof/>
                <w:webHidden/>
              </w:rPr>
              <w:fldChar w:fldCharType="begin"/>
            </w:r>
            <w:r>
              <w:rPr>
                <w:noProof/>
                <w:webHidden/>
              </w:rPr>
              <w:instrText xml:space="preserve"> PAGEREF _Toc228218271 \h </w:instrText>
            </w:r>
            <w:r>
              <w:rPr>
                <w:noProof/>
                <w:webHidden/>
              </w:rPr>
            </w:r>
            <w:r>
              <w:rPr>
                <w:noProof/>
                <w:webHidden/>
              </w:rPr>
              <w:fldChar w:fldCharType="separate"/>
            </w:r>
            <w:r>
              <w:rPr>
                <w:noProof/>
                <w:webHidden/>
              </w:rPr>
              <w:t>25</w:t>
            </w:r>
            <w:r>
              <w:rPr>
                <w:noProof/>
                <w:webHidden/>
              </w:rPr>
              <w:fldChar w:fldCharType="end"/>
            </w:r>
          </w:hyperlink>
        </w:p>
        <w:p w14:paraId="58A148A5" w14:textId="7E73AA11" w:rsidR="001068EF" w:rsidRDefault="001068EF">
          <w:pPr>
            <w:pStyle w:val="TOC3"/>
            <w:tabs>
              <w:tab w:val="right" w:leader="dot" w:pos="9350"/>
            </w:tabs>
            <w:rPr>
              <w:rFonts w:eastAsiaTheme="minorEastAsia"/>
              <w:noProof/>
              <w:lang w:val="en-GB" w:eastAsia="en-GB"/>
            </w:rPr>
          </w:pPr>
          <w:hyperlink w:anchor="_Toc228218272" w:history="1">
            <w:r w:rsidRPr="00C34073">
              <w:rPr>
                <w:rStyle w:val="Hyperlink"/>
                <w:rFonts w:ascii="Arial" w:hAnsi="Arial" w:cs="Arial"/>
                <w:noProof/>
                <w:lang w:val="en-GB"/>
              </w:rPr>
              <w:t>2.3.5 Personal health and cardiovascular health</w:t>
            </w:r>
            <w:r>
              <w:rPr>
                <w:noProof/>
                <w:webHidden/>
              </w:rPr>
              <w:tab/>
            </w:r>
            <w:r>
              <w:rPr>
                <w:noProof/>
                <w:webHidden/>
              </w:rPr>
              <w:fldChar w:fldCharType="begin"/>
            </w:r>
            <w:r>
              <w:rPr>
                <w:noProof/>
                <w:webHidden/>
              </w:rPr>
              <w:instrText xml:space="preserve"> PAGEREF _Toc228218272 \h </w:instrText>
            </w:r>
            <w:r>
              <w:rPr>
                <w:noProof/>
                <w:webHidden/>
              </w:rPr>
            </w:r>
            <w:r>
              <w:rPr>
                <w:noProof/>
                <w:webHidden/>
              </w:rPr>
              <w:fldChar w:fldCharType="separate"/>
            </w:r>
            <w:r>
              <w:rPr>
                <w:noProof/>
                <w:webHidden/>
              </w:rPr>
              <w:t>25</w:t>
            </w:r>
            <w:r>
              <w:rPr>
                <w:noProof/>
                <w:webHidden/>
              </w:rPr>
              <w:fldChar w:fldCharType="end"/>
            </w:r>
          </w:hyperlink>
        </w:p>
        <w:p w14:paraId="3E6CBD94" w14:textId="402F642E" w:rsidR="001068EF" w:rsidRDefault="001068EF">
          <w:pPr>
            <w:pStyle w:val="TOC3"/>
            <w:tabs>
              <w:tab w:val="right" w:leader="dot" w:pos="9350"/>
            </w:tabs>
            <w:rPr>
              <w:rFonts w:eastAsiaTheme="minorEastAsia"/>
              <w:noProof/>
              <w:lang w:val="en-GB" w:eastAsia="en-GB"/>
            </w:rPr>
          </w:pPr>
          <w:hyperlink w:anchor="_Toc228218273" w:history="1">
            <w:r w:rsidRPr="00C34073">
              <w:rPr>
                <w:rStyle w:val="Hyperlink"/>
                <w:rFonts w:ascii="Arial" w:hAnsi="Arial" w:cs="Arial"/>
                <w:noProof/>
                <w:lang w:val="en-GB"/>
              </w:rPr>
              <w:t>2.3.6 Obesity</w:t>
            </w:r>
            <w:r>
              <w:rPr>
                <w:noProof/>
                <w:webHidden/>
              </w:rPr>
              <w:tab/>
            </w:r>
            <w:r>
              <w:rPr>
                <w:noProof/>
                <w:webHidden/>
              </w:rPr>
              <w:fldChar w:fldCharType="begin"/>
            </w:r>
            <w:r>
              <w:rPr>
                <w:noProof/>
                <w:webHidden/>
              </w:rPr>
              <w:instrText xml:space="preserve"> PAGEREF _Toc228218273 \h </w:instrText>
            </w:r>
            <w:r>
              <w:rPr>
                <w:noProof/>
                <w:webHidden/>
              </w:rPr>
            </w:r>
            <w:r>
              <w:rPr>
                <w:noProof/>
                <w:webHidden/>
              </w:rPr>
              <w:fldChar w:fldCharType="separate"/>
            </w:r>
            <w:r>
              <w:rPr>
                <w:noProof/>
                <w:webHidden/>
              </w:rPr>
              <w:t>26</w:t>
            </w:r>
            <w:r>
              <w:rPr>
                <w:noProof/>
                <w:webHidden/>
              </w:rPr>
              <w:fldChar w:fldCharType="end"/>
            </w:r>
          </w:hyperlink>
        </w:p>
        <w:p w14:paraId="6CB1B639" w14:textId="5D82DD48" w:rsidR="001068EF" w:rsidRDefault="001068EF">
          <w:pPr>
            <w:pStyle w:val="TOC2"/>
            <w:tabs>
              <w:tab w:val="right" w:leader="dot" w:pos="9350"/>
            </w:tabs>
            <w:rPr>
              <w:rFonts w:eastAsiaTheme="minorEastAsia"/>
              <w:noProof/>
              <w:lang w:val="en-GB" w:eastAsia="en-GB"/>
            </w:rPr>
          </w:pPr>
          <w:hyperlink w:anchor="_Toc228218274" w:history="1">
            <w:r w:rsidRPr="00C34073">
              <w:rPr>
                <w:rStyle w:val="Hyperlink"/>
                <w:rFonts w:ascii="Arial" w:hAnsi="Arial" w:cs="Arial"/>
                <w:bCs/>
                <w:noProof/>
                <w:lang w:val="en-GB"/>
              </w:rPr>
              <w:t>2.4 Chronic inflammation and Oxidative stress in firefighters</w:t>
            </w:r>
            <w:r>
              <w:rPr>
                <w:noProof/>
                <w:webHidden/>
              </w:rPr>
              <w:tab/>
            </w:r>
            <w:r>
              <w:rPr>
                <w:noProof/>
                <w:webHidden/>
              </w:rPr>
              <w:fldChar w:fldCharType="begin"/>
            </w:r>
            <w:r>
              <w:rPr>
                <w:noProof/>
                <w:webHidden/>
              </w:rPr>
              <w:instrText xml:space="preserve"> PAGEREF _Toc228218274 \h </w:instrText>
            </w:r>
            <w:r>
              <w:rPr>
                <w:noProof/>
                <w:webHidden/>
              </w:rPr>
            </w:r>
            <w:r>
              <w:rPr>
                <w:noProof/>
                <w:webHidden/>
              </w:rPr>
              <w:fldChar w:fldCharType="separate"/>
            </w:r>
            <w:r>
              <w:rPr>
                <w:noProof/>
                <w:webHidden/>
              </w:rPr>
              <w:t>33</w:t>
            </w:r>
            <w:r>
              <w:rPr>
                <w:noProof/>
                <w:webHidden/>
              </w:rPr>
              <w:fldChar w:fldCharType="end"/>
            </w:r>
          </w:hyperlink>
        </w:p>
        <w:p w14:paraId="78A89247" w14:textId="62AFAF9D" w:rsidR="001068EF" w:rsidRDefault="001068EF">
          <w:pPr>
            <w:pStyle w:val="TOC2"/>
            <w:tabs>
              <w:tab w:val="right" w:leader="dot" w:pos="9350"/>
            </w:tabs>
            <w:rPr>
              <w:rFonts w:eastAsiaTheme="minorEastAsia"/>
              <w:noProof/>
              <w:lang w:val="en-GB" w:eastAsia="en-GB"/>
            </w:rPr>
          </w:pPr>
          <w:hyperlink w:anchor="_Toc228218275" w:history="1">
            <w:r w:rsidRPr="00C34073">
              <w:rPr>
                <w:rStyle w:val="Hyperlink"/>
                <w:rFonts w:ascii="Arial" w:hAnsi="Arial" w:cs="Arial"/>
                <w:bCs/>
                <w:noProof/>
                <w:lang w:val="en-GB"/>
              </w:rPr>
              <w:t>2.5 Endothelial dysfunction and vascular consequences</w:t>
            </w:r>
            <w:r>
              <w:rPr>
                <w:noProof/>
                <w:webHidden/>
              </w:rPr>
              <w:tab/>
            </w:r>
            <w:r>
              <w:rPr>
                <w:noProof/>
                <w:webHidden/>
              </w:rPr>
              <w:fldChar w:fldCharType="begin"/>
            </w:r>
            <w:r>
              <w:rPr>
                <w:noProof/>
                <w:webHidden/>
              </w:rPr>
              <w:instrText xml:space="preserve"> PAGEREF _Toc228218275 \h </w:instrText>
            </w:r>
            <w:r>
              <w:rPr>
                <w:noProof/>
                <w:webHidden/>
              </w:rPr>
            </w:r>
            <w:r>
              <w:rPr>
                <w:noProof/>
                <w:webHidden/>
              </w:rPr>
              <w:fldChar w:fldCharType="separate"/>
            </w:r>
            <w:r>
              <w:rPr>
                <w:noProof/>
                <w:webHidden/>
              </w:rPr>
              <w:t>35</w:t>
            </w:r>
            <w:r>
              <w:rPr>
                <w:noProof/>
                <w:webHidden/>
              </w:rPr>
              <w:fldChar w:fldCharType="end"/>
            </w:r>
          </w:hyperlink>
        </w:p>
        <w:p w14:paraId="7600AB72" w14:textId="2363407D" w:rsidR="001068EF" w:rsidRDefault="001068EF">
          <w:pPr>
            <w:pStyle w:val="TOC2"/>
            <w:tabs>
              <w:tab w:val="right" w:leader="dot" w:pos="9350"/>
            </w:tabs>
            <w:rPr>
              <w:rFonts w:eastAsiaTheme="minorEastAsia"/>
              <w:noProof/>
              <w:lang w:val="en-GB" w:eastAsia="en-GB"/>
            </w:rPr>
          </w:pPr>
          <w:hyperlink w:anchor="_Toc228218276" w:history="1">
            <w:r w:rsidRPr="00C34073">
              <w:rPr>
                <w:rStyle w:val="Hyperlink"/>
                <w:rFonts w:ascii="Arial" w:hAnsi="Arial" w:cs="Arial"/>
                <w:bCs/>
                <w:noProof/>
                <w:lang w:val="en-GB"/>
              </w:rPr>
              <w:t>2.6 Blood pressure as a marker of cardiovascular strain</w:t>
            </w:r>
            <w:r>
              <w:rPr>
                <w:noProof/>
                <w:webHidden/>
              </w:rPr>
              <w:tab/>
            </w:r>
            <w:r>
              <w:rPr>
                <w:noProof/>
                <w:webHidden/>
              </w:rPr>
              <w:fldChar w:fldCharType="begin"/>
            </w:r>
            <w:r>
              <w:rPr>
                <w:noProof/>
                <w:webHidden/>
              </w:rPr>
              <w:instrText xml:space="preserve"> PAGEREF _Toc228218276 \h </w:instrText>
            </w:r>
            <w:r>
              <w:rPr>
                <w:noProof/>
                <w:webHidden/>
              </w:rPr>
            </w:r>
            <w:r>
              <w:rPr>
                <w:noProof/>
                <w:webHidden/>
              </w:rPr>
              <w:fldChar w:fldCharType="separate"/>
            </w:r>
            <w:r>
              <w:rPr>
                <w:noProof/>
                <w:webHidden/>
              </w:rPr>
              <w:t>37</w:t>
            </w:r>
            <w:r>
              <w:rPr>
                <w:noProof/>
                <w:webHidden/>
              </w:rPr>
              <w:fldChar w:fldCharType="end"/>
            </w:r>
          </w:hyperlink>
        </w:p>
        <w:p w14:paraId="12BE25C9" w14:textId="7356BB61" w:rsidR="001068EF" w:rsidRDefault="001068EF">
          <w:pPr>
            <w:pStyle w:val="TOC2"/>
            <w:tabs>
              <w:tab w:val="right" w:leader="dot" w:pos="9350"/>
            </w:tabs>
            <w:rPr>
              <w:rFonts w:eastAsiaTheme="minorEastAsia"/>
              <w:noProof/>
              <w:lang w:val="en-GB" w:eastAsia="en-GB"/>
            </w:rPr>
          </w:pPr>
          <w:hyperlink w:anchor="_Toc228218277" w:history="1">
            <w:r w:rsidRPr="00C34073">
              <w:rPr>
                <w:rStyle w:val="Hyperlink"/>
                <w:rFonts w:ascii="Arial" w:hAnsi="Arial" w:cs="Arial"/>
                <w:bCs/>
                <w:noProof/>
                <w:lang w:val="en-GB"/>
              </w:rPr>
              <w:t>2.7 Heart rate responses, cardiovascular efficiency and sustained performance</w:t>
            </w:r>
            <w:r>
              <w:rPr>
                <w:noProof/>
                <w:webHidden/>
              </w:rPr>
              <w:tab/>
            </w:r>
            <w:r>
              <w:rPr>
                <w:noProof/>
                <w:webHidden/>
              </w:rPr>
              <w:fldChar w:fldCharType="begin"/>
            </w:r>
            <w:r>
              <w:rPr>
                <w:noProof/>
                <w:webHidden/>
              </w:rPr>
              <w:instrText xml:space="preserve"> PAGEREF _Toc228218277 \h </w:instrText>
            </w:r>
            <w:r>
              <w:rPr>
                <w:noProof/>
                <w:webHidden/>
              </w:rPr>
            </w:r>
            <w:r>
              <w:rPr>
                <w:noProof/>
                <w:webHidden/>
              </w:rPr>
              <w:fldChar w:fldCharType="separate"/>
            </w:r>
            <w:r>
              <w:rPr>
                <w:noProof/>
                <w:webHidden/>
              </w:rPr>
              <w:t>39</w:t>
            </w:r>
            <w:r>
              <w:rPr>
                <w:noProof/>
                <w:webHidden/>
              </w:rPr>
              <w:fldChar w:fldCharType="end"/>
            </w:r>
          </w:hyperlink>
        </w:p>
        <w:p w14:paraId="23BC3CC1" w14:textId="23AE1A7B" w:rsidR="001068EF" w:rsidRDefault="001068EF">
          <w:pPr>
            <w:pStyle w:val="TOC2"/>
            <w:tabs>
              <w:tab w:val="right" w:leader="dot" w:pos="9350"/>
            </w:tabs>
            <w:rPr>
              <w:rFonts w:eastAsiaTheme="minorEastAsia"/>
              <w:noProof/>
              <w:lang w:val="en-GB" w:eastAsia="en-GB"/>
            </w:rPr>
          </w:pPr>
          <w:hyperlink w:anchor="_Toc228218278" w:history="1">
            <w:r w:rsidRPr="00C34073">
              <w:rPr>
                <w:rStyle w:val="Hyperlink"/>
                <w:rFonts w:ascii="Arial" w:hAnsi="Arial" w:cs="Arial"/>
                <w:bCs/>
                <w:noProof/>
                <w:lang w:val="en-GB"/>
              </w:rPr>
              <w:t>2.8 Performance decline and operational longevity</w:t>
            </w:r>
            <w:r>
              <w:rPr>
                <w:noProof/>
                <w:webHidden/>
              </w:rPr>
              <w:tab/>
            </w:r>
            <w:r>
              <w:rPr>
                <w:noProof/>
                <w:webHidden/>
              </w:rPr>
              <w:fldChar w:fldCharType="begin"/>
            </w:r>
            <w:r>
              <w:rPr>
                <w:noProof/>
                <w:webHidden/>
              </w:rPr>
              <w:instrText xml:space="preserve"> PAGEREF _Toc228218278 \h </w:instrText>
            </w:r>
            <w:r>
              <w:rPr>
                <w:noProof/>
                <w:webHidden/>
              </w:rPr>
            </w:r>
            <w:r>
              <w:rPr>
                <w:noProof/>
                <w:webHidden/>
              </w:rPr>
              <w:fldChar w:fldCharType="separate"/>
            </w:r>
            <w:r>
              <w:rPr>
                <w:noProof/>
                <w:webHidden/>
              </w:rPr>
              <w:t>40</w:t>
            </w:r>
            <w:r>
              <w:rPr>
                <w:noProof/>
                <w:webHidden/>
              </w:rPr>
              <w:fldChar w:fldCharType="end"/>
            </w:r>
          </w:hyperlink>
        </w:p>
        <w:p w14:paraId="07737C74" w14:textId="077818E4" w:rsidR="001068EF" w:rsidRDefault="001068EF">
          <w:pPr>
            <w:pStyle w:val="TOC2"/>
            <w:tabs>
              <w:tab w:val="right" w:leader="dot" w:pos="9350"/>
            </w:tabs>
            <w:rPr>
              <w:rFonts w:eastAsiaTheme="minorEastAsia"/>
              <w:noProof/>
              <w:lang w:val="en-GB" w:eastAsia="en-GB"/>
            </w:rPr>
          </w:pPr>
          <w:hyperlink w:anchor="_Toc228218279" w:history="1">
            <w:r w:rsidRPr="00C34073">
              <w:rPr>
                <w:rStyle w:val="Hyperlink"/>
                <w:rFonts w:ascii="Arial" w:hAnsi="Arial" w:cs="Arial"/>
                <w:bCs/>
                <w:noProof/>
                <w:lang w:val="en-GB"/>
              </w:rPr>
              <w:t>2.9 Nutrition as a modifiable strategy in firefighters</w:t>
            </w:r>
            <w:r>
              <w:rPr>
                <w:noProof/>
                <w:webHidden/>
              </w:rPr>
              <w:tab/>
            </w:r>
            <w:r>
              <w:rPr>
                <w:noProof/>
                <w:webHidden/>
              </w:rPr>
              <w:fldChar w:fldCharType="begin"/>
            </w:r>
            <w:r>
              <w:rPr>
                <w:noProof/>
                <w:webHidden/>
              </w:rPr>
              <w:instrText xml:space="preserve"> PAGEREF _Toc228218279 \h </w:instrText>
            </w:r>
            <w:r>
              <w:rPr>
                <w:noProof/>
                <w:webHidden/>
              </w:rPr>
            </w:r>
            <w:r>
              <w:rPr>
                <w:noProof/>
                <w:webHidden/>
              </w:rPr>
              <w:fldChar w:fldCharType="separate"/>
            </w:r>
            <w:r>
              <w:rPr>
                <w:noProof/>
                <w:webHidden/>
              </w:rPr>
              <w:t>42</w:t>
            </w:r>
            <w:r>
              <w:rPr>
                <w:noProof/>
                <w:webHidden/>
              </w:rPr>
              <w:fldChar w:fldCharType="end"/>
            </w:r>
          </w:hyperlink>
        </w:p>
        <w:p w14:paraId="747A146D" w14:textId="5CBD3B09" w:rsidR="001068EF" w:rsidRDefault="001068EF">
          <w:pPr>
            <w:pStyle w:val="TOC2"/>
            <w:tabs>
              <w:tab w:val="right" w:leader="dot" w:pos="9350"/>
            </w:tabs>
            <w:rPr>
              <w:rFonts w:eastAsiaTheme="minorEastAsia"/>
              <w:noProof/>
              <w:lang w:val="en-GB" w:eastAsia="en-GB"/>
            </w:rPr>
          </w:pPr>
          <w:hyperlink w:anchor="_Toc228218280" w:history="1">
            <w:r w:rsidRPr="00C34073">
              <w:rPr>
                <w:rStyle w:val="Hyperlink"/>
                <w:rFonts w:ascii="Arial" w:hAnsi="Arial" w:cs="Arial"/>
                <w:bCs/>
                <w:noProof/>
                <w:lang w:val="en-GB"/>
              </w:rPr>
              <w:t>2.10 Omega-3 fatty acids: mechanisms and relevance to firefighters</w:t>
            </w:r>
            <w:r>
              <w:rPr>
                <w:noProof/>
                <w:webHidden/>
              </w:rPr>
              <w:tab/>
            </w:r>
            <w:r>
              <w:rPr>
                <w:noProof/>
                <w:webHidden/>
              </w:rPr>
              <w:fldChar w:fldCharType="begin"/>
            </w:r>
            <w:r>
              <w:rPr>
                <w:noProof/>
                <w:webHidden/>
              </w:rPr>
              <w:instrText xml:space="preserve"> PAGEREF _Toc228218280 \h </w:instrText>
            </w:r>
            <w:r>
              <w:rPr>
                <w:noProof/>
                <w:webHidden/>
              </w:rPr>
            </w:r>
            <w:r>
              <w:rPr>
                <w:noProof/>
                <w:webHidden/>
              </w:rPr>
              <w:fldChar w:fldCharType="separate"/>
            </w:r>
            <w:r>
              <w:rPr>
                <w:noProof/>
                <w:webHidden/>
              </w:rPr>
              <w:t>44</w:t>
            </w:r>
            <w:r>
              <w:rPr>
                <w:noProof/>
                <w:webHidden/>
              </w:rPr>
              <w:fldChar w:fldCharType="end"/>
            </w:r>
          </w:hyperlink>
        </w:p>
        <w:p w14:paraId="0A6E92D6" w14:textId="1774A0C0" w:rsidR="001068EF" w:rsidRDefault="001068EF">
          <w:pPr>
            <w:pStyle w:val="TOC1"/>
            <w:tabs>
              <w:tab w:val="right" w:leader="dot" w:pos="9350"/>
            </w:tabs>
            <w:rPr>
              <w:rFonts w:eastAsiaTheme="minorEastAsia"/>
              <w:noProof/>
              <w:lang w:val="en-GB" w:eastAsia="en-GB"/>
            </w:rPr>
          </w:pPr>
          <w:hyperlink w:anchor="_Toc228218281" w:history="1">
            <w:r w:rsidRPr="00C34073">
              <w:rPr>
                <w:rStyle w:val="Hyperlink"/>
                <w:noProof/>
              </w:rPr>
              <w:t>CHAPTER 3: METHODOLOGY</w:t>
            </w:r>
            <w:r>
              <w:rPr>
                <w:noProof/>
                <w:webHidden/>
              </w:rPr>
              <w:tab/>
            </w:r>
            <w:r>
              <w:rPr>
                <w:noProof/>
                <w:webHidden/>
              </w:rPr>
              <w:fldChar w:fldCharType="begin"/>
            </w:r>
            <w:r>
              <w:rPr>
                <w:noProof/>
                <w:webHidden/>
              </w:rPr>
              <w:instrText xml:space="preserve"> PAGEREF _Toc228218281 \h </w:instrText>
            </w:r>
            <w:r>
              <w:rPr>
                <w:noProof/>
                <w:webHidden/>
              </w:rPr>
            </w:r>
            <w:r>
              <w:rPr>
                <w:noProof/>
                <w:webHidden/>
              </w:rPr>
              <w:fldChar w:fldCharType="separate"/>
            </w:r>
            <w:r>
              <w:rPr>
                <w:noProof/>
                <w:webHidden/>
              </w:rPr>
              <w:t>50</w:t>
            </w:r>
            <w:r>
              <w:rPr>
                <w:noProof/>
                <w:webHidden/>
              </w:rPr>
              <w:fldChar w:fldCharType="end"/>
            </w:r>
          </w:hyperlink>
        </w:p>
        <w:p w14:paraId="4F03CB2C" w14:textId="04C2C3C6" w:rsidR="001068EF" w:rsidRDefault="001068EF">
          <w:pPr>
            <w:pStyle w:val="TOC2"/>
            <w:tabs>
              <w:tab w:val="right" w:leader="dot" w:pos="9350"/>
            </w:tabs>
            <w:rPr>
              <w:rFonts w:eastAsiaTheme="minorEastAsia"/>
              <w:noProof/>
              <w:lang w:val="en-GB" w:eastAsia="en-GB"/>
            </w:rPr>
          </w:pPr>
          <w:hyperlink w:anchor="_Toc228218282" w:history="1">
            <w:r w:rsidRPr="00C34073">
              <w:rPr>
                <w:rStyle w:val="Hyperlink"/>
                <w:rFonts w:ascii="Arial" w:eastAsia="Times New Roman" w:hAnsi="Arial" w:cs="Arial"/>
                <w:noProof/>
                <w:kern w:val="0"/>
                <w:lang w:val="en-GB"/>
                <w14:ligatures w14:val="none"/>
              </w:rPr>
              <w:t>3.1 Introduction</w:t>
            </w:r>
            <w:r>
              <w:rPr>
                <w:noProof/>
                <w:webHidden/>
              </w:rPr>
              <w:tab/>
            </w:r>
            <w:r>
              <w:rPr>
                <w:noProof/>
                <w:webHidden/>
              </w:rPr>
              <w:fldChar w:fldCharType="begin"/>
            </w:r>
            <w:r>
              <w:rPr>
                <w:noProof/>
                <w:webHidden/>
              </w:rPr>
              <w:instrText xml:space="preserve"> PAGEREF _Toc228218282 \h </w:instrText>
            </w:r>
            <w:r>
              <w:rPr>
                <w:noProof/>
                <w:webHidden/>
              </w:rPr>
            </w:r>
            <w:r>
              <w:rPr>
                <w:noProof/>
                <w:webHidden/>
              </w:rPr>
              <w:fldChar w:fldCharType="separate"/>
            </w:r>
            <w:r>
              <w:rPr>
                <w:noProof/>
                <w:webHidden/>
              </w:rPr>
              <w:t>50</w:t>
            </w:r>
            <w:r>
              <w:rPr>
                <w:noProof/>
                <w:webHidden/>
              </w:rPr>
              <w:fldChar w:fldCharType="end"/>
            </w:r>
          </w:hyperlink>
        </w:p>
        <w:p w14:paraId="5F962FFF" w14:textId="476046BF" w:rsidR="001068EF" w:rsidRDefault="001068EF">
          <w:pPr>
            <w:pStyle w:val="TOC2"/>
            <w:tabs>
              <w:tab w:val="right" w:leader="dot" w:pos="9350"/>
            </w:tabs>
            <w:rPr>
              <w:rFonts w:eastAsiaTheme="minorEastAsia"/>
              <w:noProof/>
              <w:lang w:val="en-GB" w:eastAsia="en-GB"/>
            </w:rPr>
          </w:pPr>
          <w:hyperlink w:anchor="_Toc228218283" w:history="1">
            <w:r w:rsidRPr="00C34073">
              <w:rPr>
                <w:rStyle w:val="Hyperlink"/>
                <w:rFonts w:ascii="Arial" w:eastAsiaTheme="majorEastAsia" w:hAnsi="Arial" w:cs="Arial"/>
                <w:noProof/>
                <w:lang w:val="en-GB"/>
              </w:rPr>
              <w:t>3.2 Research Philosophy and Paradigm</w:t>
            </w:r>
            <w:r>
              <w:rPr>
                <w:noProof/>
                <w:webHidden/>
              </w:rPr>
              <w:tab/>
            </w:r>
            <w:r>
              <w:rPr>
                <w:noProof/>
                <w:webHidden/>
              </w:rPr>
              <w:fldChar w:fldCharType="begin"/>
            </w:r>
            <w:r>
              <w:rPr>
                <w:noProof/>
                <w:webHidden/>
              </w:rPr>
              <w:instrText xml:space="preserve"> PAGEREF _Toc228218283 \h </w:instrText>
            </w:r>
            <w:r>
              <w:rPr>
                <w:noProof/>
                <w:webHidden/>
              </w:rPr>
            </w:r>
            <w:r>
              <w:rPr>
                <w:noProof/>
                <w:webHidden/>
              </w:rPr>
              <w:fldChar w:fldCharType="separate"/>
            </w:r>
            <w:r>
              <w:rPr>
                <w:noProof/>
                <w:webHidden/>
              </w:rPr>
              <w:t>50</w:t>
            </w:r>
            <w:r>
              <w:rPr>
                <w:noProof/>
                <w:webHidden/>
              </w:rPr>
              <w:fldChar w:fldCharType="end"/>
            </w:r>
          </w:hyperlink>
        </w:p>
        <w:p w14:paraId="1FBC41C0" w14:textId="79BD699A" w:rsidR="001068EF" w:rsidRDefault="001068EF">
          <w:pPr>
            <w:pStyle w:val="TOC2"/>
            <w:tabs>
              <w:tab w:val="right" w:leader="dot" w:pos="9350"/>
            </w:tabs>
            <w:rPr>
              <w:rFonts w:eastAsiaTheme="minorEastAsia"/>
              <w:noProof/>
              <w:lang w:val="en-GB" w:eastAsia="en-GB"/>
            </w:rPr>
          </w:pPr>
          <w:hyperlink w:anchor="_Toc228218284" w:history="1">
            <w:r w:rsidRPr="00C34073">
              <w:rPr>
                <w:rStyle w:val="Hyperlink"/>
                <w:rFonts w:ascii="Arial" w:eastAsiaTheme="majorEastAsia" w:hAnsi="Arial" w:cs="Arial"/>
                <w:noProof/>
                <w:lang w:val="en-GB"/>
              </w:rPr>
              <w:t>3.3 Methodological Approach</w:t>
            </w:r>
            <w:r>
              <w:rPr>
                <w:noProof/>
                <w:webHidden/>
              </w:rPr>
              <w:tab/>
            </w:r>
            <w:r>
              <w:rPr>
                <w:noProof/>
                <w:webHidden/>
              </w:rPr>
              <w:fldChar w:fldCharType="begin"/>
            </w:r>
            <w:r>
              <w:rPr>
                <w:noProof/>
                <w:webHidden/>
              </w:rPr>
              <w:instrText xml:space="preserve"> PAGEREF _Toc228218284 \h </w:instrText>
            </w:r>
            <w:r>
              <w:rPr>
                <w:noProof/>
                <w:webHidden/>
              </w:rPr>
            </w:r>
            <w:r>
              <w:rPr>
                <w:noProof/>
                <w:webHidden/>
              </w:rPr>
              <w:fldChar w:fldCharType="separate"/>
            </w:r>
            <w:r>
              <w:rPr>
                <w:noProof/>
                <w:webHidden/>
              </w:rPr>
              <w:t>51</w:t>
            </w:r>
            <w:r>
              <w:rPr>
                <w:noProof/>
                <w:webHidden/>
              </w:rPr>
              <w:fldChar w:fldCharType="end"/>
            </w:r>
          </w:hyperlink>
        </w:p>
        <w:p w14:paraId="14331CBF" w14:textId="12CD164D" w:rsidR="001068EF" w:rsidRDefault="001068EF">
          <w:pPr>
            <w:pStyle w:val="TOC2"/>
            <w:tabs>
              <w:tab w:val="right" w:leader="dot" w:pos="9350"/>
            </w:tabs>
            <w:rPr>
              <w:rFonts w:eastAsiaTheme="minorEastAsia"/>
              <w:noProof/>
              <w:lang w:val="en-GB" w:eastAsia="en-GB"/>
            </w:rPr>
          </w:pPr>
          <w:hyperlink w:anchor="_Toc228218285" w:history="1">
            <w:r w:rsidRPr="00C34073">
              <w:rPr>
                <w:rStyle w:val="Hyperlink"/>
                <w:rFonts w:ascii="Arial" w:eastAsiaTheme="majorEastAsia" w:hAnsi="Arial" w:cs="Arial"/>
                <w:noProof/>
                <w:lang w:val="en-GB"/>
              </w:rPr>
              <w:t>3.4 Study Design</w:t>
            </w:r>
            <w:r>
              <w:rPr>
                <w:noProof/>
                <w:webHidden/>
              </w:rPr>
              <w:tab/>
            </w:r>
            <w:r>
              <w:rPr>
                <w:noProof/>
                <w:webHidden/>
              </w:rPr>
              <w:fldChar w:fldCharType="begin"/>
            </w:r>
            <w:r>
              <w:rPr>
                <w:noProof/>
                <w:webHidden/>
              </w:rPr>
              <w:instrText xml:space="preserve"> PAGEREF _Toc228218285 \h </w:instrText>
            </w:r>
            <w:r>
              <w:rPr>
                <w:noProof/>
                <w:webHidden/>
              </w:rPr>
            </w:r>
            <w:r>
              <w:rPr>
                <w:noProof/>
                <w:webHidden/>
              </w:rPr>
              <w:fldChar w:fldCharType="separate"/>
            </w:r>
            <w:r>
              <w:rPr>
                <w:noProof/>
                <w:webHidden/>
              </w:rPr>
              <w:t>52</w:t>
            </w:r>
            <w:r>
              <w:rPr>
                <w:noProof/>
                <w:webHidden/>
              </w:rPr>
              <w:fldChar w:fldCharType="end"/>
            </w:r>
          </w:hyperlink>
        </w:p>
        <w:p w14:paraId="07E2957F" w14:textId="218C4478" w:rsidR="001068EF" w:rsidRDefault="001068EF">
          <w:pPr>
            <w:pStyle w:val="TOC2"/>
            <w:tabs>
              <w:tab w:val="right" w:leader="dot" w:pos="9350"/>
            </w:tabs>
            <w:rPr>
              <w:rFonts w:eastAsiaTheme="minorEastAsia"/>
              <w:noProof/>
              <w:lang w:val="en-GB" w:eastAsia="en-GB"/>
            </w:rPr>
          </w:pPr>
          <w:hyperlink w:anchor="_Toc228218286" w:history="1">
            <w:r w:rsidRPr="00C34073">
              <w:rPr>
                <w:rStyle w:val="Hyperlink"/>
                <w:rFonts w:ascii="Arial" w:eastAsiaTheme="majorEastAsia" w:hAnsi="Arial" w:cs="Arial"/>
                <w:noProof/>
                <w:lang w:val="en-GB"/>
              </w:rPr>
              <w:t>3.5 Participants</w:t>
            </w:r>
            <w:r>
              <w:rPr>
                <w:noProof/>
                <w:webHidden/>
              </w:rPr>
              <w:tab/>
            </w:r>
            <w:r>
              <w:rPr>
                <w:noProof/>
                <w:webHidden/>
              </w:rPr>
              <w:fldChar w:fldCharType="begin"/>
            </w:r>
            <w:r>
              <w:rPr>
                <w:noProof/>
                <w:webHidden/>
              </w:rPr>
              <w:instrText xml:space="preserve"> PAGEREF _Toc228218286 \h </w:instrText>
            </w:r>
            <w:r>
              <w:rPr>
                <w:noProof/>
                <w:webHidden/>
              </w:rPr>
            </w:r>
            <w:r>
              <w:rPr>
                <w:noProof/>
                <w:webHidden/>
              </w:rPr>
              <w:fldChar w:fldCharType="separate"/>
            </w:r>
            <w:r>
              <w:rPr>
                <w:noProof/>
                <w:webHidden/>
              </w:rPr>
              <w:t>53</w:t>
            </w:r>
            <w:r>
              <w:rPr>
                <w:noProof/>
                <w:webHidden/>
              </w:rPr>
              <w:fldChar w:fldCharType="end"/>
            </w:r>
          </w:hyperlink>
        </w:p>
        <w:p w14:paraId="1A8DCEE7" w14:textId="283ED047" w:rsidR="001068EF" w:rsidRDefault="001068EF">
          <w:pPr>
            <w:pStyle w:val="TOC2"/>
            <w:tabs>
              <w:tab w:val="right" w:leader="dot" w:pos="9350"/>
            </w:tabs>
            <w:rPr>
              <w:rFonts w:eastAsiaTheme="minorEastAsia"/>
              <w:noProof/>
              <w:lang w:val="en-GB" w:eastAsia="en-GB"/>
            </w:rPr>
          </w:pPr>
          <w:hyperlink w:anchor="_Toc228218287" w:history="1">
            <w:r w:rsidRPr="00C34073">
              <w:rPr>
                <w:rStyle w:val="Hyperlink"/>
                <w:rFonts w:ascii="Arial" w:eastAsiaTheme="majorEastAsia" w:hAnsi="Arial" w:cs="Arial"/>
                <w:noProof/>
                <w:lang w:val="en-GB"/>
              </w:rPr>
              <w:t>3.6 Supplementation Protocol</w:t>
            </w:r>
            <w:r>
              <w:rPr>
                <w:noProof/>
                <w:webHidden/>
              </w:rPr>
              <w:tab/>
            </w:r>
            <w:r>
              <w:rPr>
                <w:noProof/>
                <w:webHidden/>
              </w:rPr>
              <w:fldChar w:fldCharType="begin"/>
            </w:r>
            <w:r>
              <w:rPr>
                <w:noProof/>
                <w:webHidden/>
              </w:rPr>
              <w:instrText xml:space="preserve"> PAGEREF _Toc228218287 \h </w:instrText>
            </w:r>
            <w:r>
              <w:rPr>
                <w:noProof/>
                <w:webHidden/>
              </w:rPr>
            </w:r>
            <w:r>
              <w:rPr>
                <w:noProof/>
                <w:webHidden/>
              </w:rPr>
              <w:fldChar w:fldCharType="separate"/>
            </w:r>
            <w:r>
              <w:rPr>
                <w:noProof/>
                <w:webHidden/>
              </w:rPr>
              <w:t>53</w:t>
            </w:r>
            <w:r>
              <w:rPr>
                <w:noProof/>
                <w:webHidden/>
              </w:rPr>
              <w:fldChar w:fldCharType="end"/>
            </w:r>
          </w:hyperlink>
        </w:p>
        <w:p w14:paraId="4D473C60" w14:textId="143A3E46" w:rsidR="001068EF" w:rsidRDefault="001068EF">
          <w:pPr>
            <w:pStyle w:val="TOC2"/>
            <w:tabs>
              <w:tab w:val="right" w:leader="dot" w:pos="9350"/>
            </w:tabs>
            <w:rPr>
              <w:rFonts w:eastAsiaTheme="minorEastAsia"/>
              <w:noProof/>
              <w:lang w:val="en-GB" w:eastAsia="en-GB"/>
            </w:rPr>
          </w:pPr>
          <w:hyperlink w:anchor="_Toc228218288" w:history="1">
            <w:r w:rsidRPr="00C34073">
              <w:rPr>
                <w:rStyle w:val="Hyperlink"/>
                <w:rFonts w:ascii="Arial" w:eastAsiaTheme="majorEastAsia" w:hAnsi="Arial" w:cs="Arial"/>
                <w:noProof/>
                <w:lang w:val="en-GB"/>
              </w:rPr>
              <w:t>3.7 Testing Procedures</w:t>
            </w:r>
            <w:r>
              <w:rPr>
                <w:noProof/>
                <w:webHidden/>
              </w:rPr>
              <w:tab/>
            </w:r>
            <w:r>
              <w:rPr>
                <w:noProof/>
                <w:webHidden/>
              </w:rPr>
              <w:fldChar w:fldCharType="begin"/>
            </w:r>
            <w:r>
              <w:rPr>
                <w:noProof/>
                <w:webHidden/>
              </w:rPr>
              <w:instrText xml:space="preserve"> PAGEREF _Toc228218288 \h </w:instrText>
            </w:r>
            <w:r>
              <w:rPr>
                <w:noProof/>
                <w:webHidden/>
              </w:rPr>
            </w:r>
            <w:r>
              <w:rPr>
                <w:noProof/>
                <w:webHidden/>
              </w:rPr>
              <w:fldChar w:fldCharType="separate"/>
            </w:r>
            <w:r>
              <w:rPr>
                <w:noProof/>
                <w:webHidden/>
              </w:rPr>
              <w:t>54</w:t>
            </w:r>
            <w:r>
              <w:rPr>
                <w:noProof/>
                <w:webHidden/>
              </w:rPr>
              <w:fldChar w:fldCharType="end"/>
            </w:r>
          </w:hyperlink>
        </w:p>
        <w:p w14:paraId="40E3FB27" w14:textId="0822A99C" w:rsidR="001068EF" w:rsidRDefault="001068EF">
          <w:pPr>
            <w:pStyle w:val="TOC3"/>
            <w:tabs>
              <w:tab w:val="right" w:leader="dot" w:pos="9350"/>
            </w:tabs>
            <w:rPr>
              <w:rFonts w:eastAsiaTheme="minorEastAsia"/>
              <w:noProof/>
              <w:lang w:val="en-GB" w:eastAsia="en-GB"/>
            </w:rPr>
          </w:pPr>
          <w:hyperlink w:anchor="_Toc228218289" w:history="1">
            <w:r w:rsidRPr="00C34073">
              <w:rPr>
                <w:rStyle w:val="Hyperlink"/>
                <w:rFonts w:ascii="Arial" w:eastAsiaTheme="majorEastAsia" w:hAnsi="Arial" w:cs="Arial"/>
                <w:noProof/>
                <w:lang w:val="en-GB"/>
              </w:rPr>
              <w:t>3.7.1 Resting CV Measures</w:t>
            </w:r>
            <w:r>
              <w:rPr>
                <w:noProof/>
                <w:webHidden/>
              </w:rPr>
              <w:tab/>
            </w:r>
            <w:r>
              <w:rPr>
                <w:noProof/>
                <w:webHidden/>
              </w:rPr>
              <w:fldChar w:fldCharType="begin"/>
            </w:r>
            <w:r>
              <w:rPr>
                <w:noProof/>
                <w:webHidden/>
              </w:rPr>
              <w:instrText xml:space="preserve"> PAGEREF _Toc228218289 \h </w:instrText>
            </w:r>
            <w:r>
              <w:rPr>
                <w:noProof/>
                <w:webHidden/>
              </w:rPr>
            </w:r>
            <w:r>
              <w:rPr>
                <w:noProof/>
                <w:webHidden/>
              </w:rPr>
              <w:fldChar w:fldCharType="separate"/>
            </w:r>
            <w:r>
              <w:rPr>
                <w:noProof/>
                <w:webHidden/>
              </w:rPr>
              <w:t>54</w:t>
            </w:r>
            <w:r>
              <w:rPr>
                <w:noProof/>
                <w:webHidden/>
              </w:rPr>
              <w:fldChar w:fldCharType="end"/>
            </w:r>
          </w:hyperlink>
        </w:p>
        <w:p w14:paraId="0526DD90" w14:textId="65661E5A" w:rsidR="001068EF" w:rsidRDefault="001068EF">
          <w:pPr>
            <w:pStyle w:val="TOC3"/>
            <w:tabs>
              <w:tab w:val="right" w:leader="dot" w:pos="9350"/>
            </w:tabs>
            <w:rPr>
              <w:rFonts w:eastAsiaTheme="minorEastAsia"/>
              <w:noProof/>
              <w:lang w:val="en-GB" w:eastAsia="en-GB"/>
            </w:rPr>
          </w:pPr>
          <w:hyperlink w:anchor="_Toc228218290" w:history="1">
            <w:r w:rsidRPr="00C34073">
              <w:rPr>
                <w:rStyle w:val="Hyperlink"/>
                <w:rFonts w:ascii="Arial" w:eastAsiaTheme="majorEastAsia" w:hAnsi="Arial" w:cs="Arial"/>
                <w:noProof/>
                <w:lang w:val="en-GB"/>
              </w:rPr>
              <w:t>3.7.2 Submaximal Exercise Testing</w:t>
            </w:r>
            <w:r>
              <w:rPr>
                <w:noProof/>
                <w:webHidden/>
              </w:rPr>
              <w:tab/>
            </w:r>
            <w:r>
              <w:rPr>
                <w:noProof/>
                <w:webHidden/>
              </w:rPr>
              <w:fldChar w:fldCharType="begin"/>
            </w:r>
            <w:r>
              <w:rPr>
                <w:noProof/>
                <w:webHidden/>
              </w:rPr>
              <w:instrText xml:space="preserve"> PAGEREF _Toc228218290 \h </w:instrText>
            </w:r>
            <w:r>
              <w:rPr>
                <w:noProof/>
                <w:webHidden/>
              </w:rPr>
            </w:r>
            <w:r>
              <w:rPr>
                <w:noProof/>
                <w:webHidden/>
              </w:rPr>
              <w:fldChar w:fldCharType="separate"/>
            </w:r>
            <w:r>
              <w:rPr>
                <w:noProof/>
                <w:webHidden/>
              </w:rPr>
              <w:t>55</w:t>
            </w:r>
            <w:r>
              <w:rPr>
                <w:noProof/>
                <w:webHidden/>
              </w:rPr>
              <w:fldChar w:fldCharType="end"/>
            </w:r>
          </w:hyperlink>
        </w:p>
        <w:p w14:paraId="3F0EA159" w14:textId="4173924D" w:rsidR="001068EF" w:rsidRDefault="001068EF">
          <w:pPr>
            <w:pStyle w:val="TOC2"/>
            <w:tabs>
              <w:tab w:val="right" w:leader="dot" w:pos="9350"/>
            </w:tabs>
            <w:rPr>
              <w:rFonts w:eastAsiaTheme="minorEastAsia"/>
              <w:noProof/>
              <w:lang w:val="en-GB" w:eastAsia="en-GB"/>
            </w:rPr>
          </w:pPr>
          <w:hyperlink w:anchor="_Toc228218291" w:history="1">
            <w:r w:rsidRPr="00C34073">
              <w:rPr>
                <w:rStyle w:val="Hyperlink"/>
                <w:rFonts w:ascii="Arial" w:eastAsiaTheme="majorEastAsia" w:hAnsi="Arial" w:cs="Arial"/>
                <w:noProof/>
                <w:lang w:val="en-GB"/>
              </w:rPr>
              <w:t>3.8 Dietary Monitoring</w:t>
            </w:r>
            <w:r>
              <w:rPr>
                <w:noProof/>
                <w:webHidden/>
              </w:rPr>
              <w:tab/>
            </w:r>
            <w:r>
              <w:rPr>
                <w:noProof/>
                <w:webHidden/>
              </w:rPr>
              <w:fldChar w:fldCharType="begin"/>
            </w:r>
            <w:r>
              <w:rPr>
                <w:noProof/>
                <w:webHidden/>
              </w:rPr>
              <w:instrText xml:space="preserve"> PAGEREF _Toc228218291 \h </w:instrText>
            </w:r>
            <w:r>
              <w:rPr>
                <w:noProof/>
                <w:webHidden/>
              </w:rPr>
            </w:r>
            <w:r>
              <w:rPr>
                <w:noProof/>
                <w:webHidden/>
              </w:rPr>
              <w:fldChar w:fldCharType="separate"/>
            </w:r>
            <w:r>
              <w:rPr>
                <w:noProof/>
                <w:webHidden/>
              </w:rPr>
              <w:t>56</w:t>
            </w:r>
            <w:r>
              <w:rPr>
                <w:noProof/>
                <w:webHidden/>
              </w:rPr>
              <w:fldChar w:fldCharType="end"/>
            </w:r>
          </w:hyperlink>
        </w:p>
        <w:p w14:paraId="2F50AA7A" w14:textId="36C5D049" w:rsidR="001068EF" w:rsidRDefault="001068EF">
          <w:pPr>
            <w:pStyle w:val="TOC2"/>
            <w:tabs>
              <w:tab w:val="right" w:leader="dot" w:pos="9350"/>
            </w:tabs>
            <w:rPr>
              <w:rFonts w:eastAsiaTheme="minorEastAsia"/>
              <w:noProof/>
              <w:lang w:val="en-GB" w:eastAsia="en-GB"/>
            </w:rPr>
          </w:pPr>
          <w:hyperlink w:anchor="_Toc228218292" w:history="1">
            <w:r w:rsidRPr="00C34073">
              <w:rPr>
                <w:rStyle w:val="Hyperlink"/>
                <w:rFonts w:ascii="Arial" w:eastAsiaTheme="majorEastAsia" w:hAnsi="Arial" w:cs="Arial"/>
                <w:noProof/>
                <w:lang w:val="en-GB"/>
              </w:rPr>
              <w:t>3.9 Data Analysis</w:t>
            </w:r>
            <w:r>
              <w:rPr>
                <w:noProof/>
                <w:webHidden/>
              </w:rPr>
              <w:tab/>
            </w:r>
            <w:r>
              <w:rPr>
                <w:noProof/>
                <w:webHidden/>
              </w:rPr>
              <w:fldChar w:fldCharType="begin"/>
            </w:r>
            <w:r>
              <w:rPr>
                <w:noProof/>
                <w:webHidden/>
              </w:rPr>
              <w:instrText xml:space="preserve"> PAGEREF _Toc228218292 \h </w:instrText>
            </w:r>
            <w:r>
              <w:rPr>
                <w:noProof/>
                <w:webHidden/>
              </w:rPr>
            </w:r>
            <w:r>
              <w:rPr>
                <w:noProof/>
                <w:webHidden/>
              </w:rPr>
              <w:fldChar w:fldCharType="separate"/>
            </w:r>
            <w:r>
              <w:rPr>
                <w:noProof/>
                <w:webHidden/>
              </w:rPr>
              <w:t>57</w:t>
            </w:r>
            <w:r>
              <w:rPr>
                <w:noProof/>
                <w:webHidden/>
              </w:rPr>
              <w:fldChar w:fldCharType="end"/>
            </w:r>
          </w:hyperlink>
        </w:p>
        <w:p w14:paraId="44A8C750" w14:textId="36E049FE" w:rsidR="001068EF" w:rsidRDefault="001068EF">
          <w:pPr>
            <w:pStyle w:val="TOC2"/>
            <w:tabs>
              <w:tab w:val="right" w:leader="dot" w:pos="9350"/>
            </w:tabs>
            <w:rPr>
              <w:rFonts w:eastAsiaTheme="minorEastAsia"/>
              <w:noProof/>
              <w:lang w:val="en-GB" w:eastAsia="en-GB"/>
            </w:rPr>
          </w:pPr>
          <w:hyperlink w:anchor="_Toc228218293" w:history="1">
            <w:r w:rsidRPr="00C34073">
              <w:rPr>
                <w:rStyle w:val="Hyperlink"/>
                <w:rFonts w:asciiTheme="majorHAnsi" w:eastAsiaTheme="majorEastAsia" w:hAnsiTheme="majorHAnsi" w:cstheme="majorBidi"/>
                <w:noProof/>
                <w:lang w:val="en-GB"/>
              </w:rPr>
              <w:t>3.10 Timescale</w:t>
            </w:r>
            <w:r>
              <w:rPr>
                <w:noProof/>
                <w:webHidden/>
              </w:rPr>
              <w:tab/>
            </w:r>
            <w:r>
              <w:rPr>
                <w:noProof/>
                <w:webHidden/>
              </w:rPr>
              <w:fldChar w:fldCharType="begin"/>
            </w:r>
            <w:r>
              <w:rPr>
                <w:noProof/>
                <w:webHidden/>
              </w:rPr>
              <w:instrText xml:space="preserve"> PAGEREF _Toc228218293 \h </w:instrText>
            </w:r>
            <w:r>
              <w:rPr>
                <w:noProof/>
                <w:webHidden/>
              </w:rPr>
            </w:r>
            <w:r>
              <w:rPr>
                <w:noProof/>
                <w:webHidden/>
              </w:rPr>
              <w:fldChar w:fldCharType="separate"/>
            </w:r>
            <w:r>
              <w:rPr>
                <w:noProof/>
                <w:webHidden/>
              </w:rPr>
              <w:t>58</w:t>
            </w:r>
            <w:r>
              <w:rPr>
                <w:noProof/>
                <w:webHidden/>
              </w:rPr>
              <w:fldChar w:fldCharType="end"/>
            </w:r>
          </w:hyperlink>
        </w:p>
        <w:p w14:paraId="19F31C5C" w14:textId="2AE66444" w:rsidR="001068EF" w:rsidRDefault="001068EF">
          <w:pPr>
            <w:pStyle w:val="TOC2"/>
            <w:tabs>
              <w:tab w:val="right" w:leader="dot" w:pos="9350"/>
            </w:tabs>
            <w:rPr>
              <w:rFonts w:eastAsiaTheme="minorEastAsia"/>
              <w:noProof/>
              <w:lang w:val="en-GB" w:eastAsia="en-GB"/>
            </w:rPr>
          </w:pPr>
          <w:hyperlink w:anchor="_Toc228218294" w:history="1">
            <w:r w:rsidRPr="00C34073">
              <w:rPr>
                <w:rStyle w:val="Hyperlink"/>
                <w:rFonts w:ascii="Arial" w:eastAsiaTheme="majorEastAsia" w:hAnsi="Arial" w:cs="Arial"/>
                <w:noProof/>
                <w:lang w:val="en-GB"/>
              </w:rPr>
              <w:t>3.11 Ethical Considerations</w:t>
            </w:r>
            <w:r>
              <w:rPr>
                <w:noProof/>
                <w:webHidden/>
              </w:rPr>
              <w:tab/>
            </w:r>
            <w:r>
              <w:rPr>
                <w:noProof/>
                <w:webHidden/>
              </w:rPr>
              <w:fldChar w:fldCharType="begin"/>
            </w:r>
            <w:r>
              <w:rPr>
                <w:noProof/>
                <w:webHidden/>
              </w:rPr>
              <w:instrText xml:space="preserve"> PAGEREF _Toc228218294 \h </w:instrText>
            </w:r>
            <w:r>
              <w:rPr>
                <w:noProof/>
                <w:webHidden/>
              </w:rPr>
            </w:r>
            <w:r>
              <w:rPr>
                <w:noProof/>
                <w:webHidden/>
              </w:rPr>
              <w:fldChar w:fldCharType="separate"/>
            </w:r>
            <w:r>
              <w:rPr>
                <w:noProof/>
                <w:webHidden/>
              </w:rPr>
              <w:t>58</w:t>
            </w:r>
            <w:r>
              <w:rPr>
                <w:noProof/>
                <w:webHidden/>
              </w:rPr>
              <w:fldChar w:fldCharType="end"/>
            </w:r>
          </w:hyperlink>
        </w:p>
        <w:p w14:paraId="1E93B62A" w14:textId="3D6D71EE" w:rsidR="001068EF" w:rsidRDefault="001068EF">
          <w:pPr>
            <w:pStyle w:val="TOC1"/>
            <w:tabs>
              <w:tab w:val="right" w:leader="dot" w:pos="9350"/>
            </w:tabs>
            <w:rPr>
              <w:rFonts w:eastAsiaTheme="minorEastAsia"/>
              <w:noProof/>
              <w:lang w:val="en-GB" w:eastAsia="en-GB"/>
            </w:rPr>
          </w:pPr>
          <w:hyperlink w:anchor="_Toc228218295" w:history="1">
            <w:r w:rsidRPr="00C34073">
              <w:rPr>
                <w:rStyle w:val="Hyperlink"/>
                <w:rFonts w:eastAsia="Times New Roman"/>
                <w:noProof/>
                <w:lang w:val="en-GB"/>
              </w:rPr>
              <w:t>CHAPTER 4: RESULTS</w:t>
            </w:r>
            <w:r>
              <w:rPr>
                <w:noProof/>
                <w:webHidden/>
              </w:rPr>
              <w:tab/>
            </w:r>
            <w:r>
              <w:rPr>
                <w:noProof/>
                <w:webHidden/>
              </w:rPr>
              <w:fldChar w:fldCharType="begin"/>
            </w:r>
            <w:r>
              <w:rPr>
                <w:noProof/>
                <w:webHidden/>
              </w:rPr>
              <w:instrText xml:space="preserve"> PAGEREF _Toc228218295 \h </w:instrText>
            </w:r>
            <w:r>
              <w:rPr>
                <w:noProof/>
                <w:webHidden/>
              </w:rPr>
            </w:r>
            <w:r>
              <w:rPr>
                <w:noProof/>
                <w:webHidden/>
              </w:rPr>
              <w:fldChar w:fldCharType="separate"/>
            </w:r>
            <w:r>
              <w:rPr>
                <w:noProof/>
                <w:webHidden/>
              </w:rPr>
              <w:t>61</w:t>
            </w:r>
            <w:r>
              <w:rPr>
                <w:noProof/>
                <w:webHidden/>
              </w:rPr>
              <w:fldChar w:fldCharType="end"/>
            </w:r>
          </w:hyperlink>
        </w:p>
        <w:p w14:paraId="23C01A57" w14:textId="07B6311C" w:rsidR="001068EF" w:rsidRDefault="001068EF">
          <w:pPr>
            <w:pStyle w:val="TOC2"/>
            <w:tabs>
              <w:tab w:val="right" w:leader="dot" w:pos="9350"/>
            </w:tabs>
            <w:rPr>
              <w:rFonts w:eastAsiaTheme="minorEastAsia"/>
              <w:noProof/>
              <w:lang w:val="en-GB" w:eastAsia="en-GB"/>
            </w:rPr>
          </w:pPr>
          <w:hyperlink w:anchor="_Toc228218296" w:history="1">
            <w:r w:rsidRPr="00C34073">
              <w:rPr>
                <w:rStyle w:val="Hyperlink"/>
                <w:rFonts w:eastAsia="Yu Mincho"/>
                <w:noProof/>
                <w:lang w:val="en-GB"/>
              </w:rPr>
              <w:t>4.1 Baseline characteristics: Anthropometrics and baseline cardiovascular</w:t>
            </w:r>
            <w:r>
              <w:rPr>
                <w:noProof/>
                <w:webHidden/>
              </w:rPr>
              <w:tab/>
            </w:r>
            <w:r>
              <w:rPr>
                <w:noProof/>
                <w:webHidden/>
              </w:rPr>
              <w:fldChar w:fldCharType="begin"/>
            </w:r>
            <w:r>
              <w:rPr>
                <w:noProof/>
                <w:webHidden/>
              </w:rPr>
              <w:instrText xml:space="preserve"> PAGEREF _Toc228218296 \h </w:instrText>
            </w:r>
            <w:r>
              <w:rPr>
                <w:noProof/>
                <w:webHidden/>
              </w:rPr>
            </w:r>
            <w:r>
              <w:rPr>
                <w:noProof/>
                <w:webHidden/>
              </w:rPr>
              <w:fldChar w:fldCharType="separate"/>
            </w:r>
            <w:r>
              <w:rPr>
                <w:noProof/>
                <w:webHidden/>
              </w:rPr>
              <w:t>61</w:t>
            </w:r>
            <w:r>
              <w:rPr>
                <w:noProof/>
                <w:webHidden/>
              </w:rPr>
              <w:fldChar w:fldCharType="end"/>
            </w:r>
          </w:hyperlink>
        </w:p>
        <w:p w14:paraId="1BBF2E1C" w14:textId="14043F03" w:rsidR="001068EF" w:rsidRDefault="001068EF">
          <w:pPr>
            <w:pStyle w:val="TOC2"/>
            <w:tabs>
              <w:tab w:val="right" w:leader="dot" w:pos="9350"/>
            </w:tabs>
            <w:rPr>
              <w:rFonts w:eastAsiaTheme="minorEastAsia"/>
              <w:noProof/>
              <w:lang w:val="en-GB" w:eastAsia="en-GB"/>
            </w:rPr>
          </w:pPr>
          <w:hyperlink w:anchor="_Toc228218297" w:history="1">
            <w:r w:rsidRPr="00C34073">
              <w:rPr>
                <w:rStyle w:val="Hyperlink"/>
                <w:rFonts w:eastAsia="Yu Mincho"/>
                <w:noProof/>
                <w:lang w:val="en-GB"/>
              </w:rPr>
              <w:t>4.2 Primary outcomes</w:t>
            </w:r>
            <w:r>
              <w:rPr>
                <w:noProof/>
                <w:webHidden/>
              </w:rPr>
              <w:tab/>
            </w:r>
            <w:r>
              <w:rPr>
                <w:noProof/>
                <w:webHidden/>
              </w:rPr>
              <w:fldChar w:fldCharType="begin"/>
            </w:r>
            <w:r>
              <w:rPr>
                <w:noProof/>
                <w:webHidden/>
              </w:rPr>
              <w:instrText xml:space="preserve"> PAGEREF _Toc228218297 \h </w:instrText>
            </w:r>
            <w:r>
              <w:rPr>
                <w:noProof/>
                <w:webHidden/>
              </w:rPr>
            </w:r>
            <w:r>
              <w:rPr>
                <w:noProof/>
                <w:webHidden/>
              </w:rPr>
              <w:fldChar w:fldCharType="separate"/>
            </w:r>
            <w:r>
              <w:rPr>
                <w:noProof/>
                <w:webHidden/>
              </w:rPr>
              <w:t>71</w:t>
            </w:r>
            <w:r>
              <w:rPr>
                <w:noProof/>
                <w:webHidden/>
              </w:rPr>
              <w:fldChar w:fldCharType="end"/>
            </w:r>
          </w:hyperlink>
        </w:p>
        <w:p w14:paraId="1058ABFC" w14:textId="3CF89643" w:rsidR="001068EF" w:rsidRDefault="001068EF">
          <w:pPr>
            <w:pStyle w:val="TOC3"/>
            <w:tabs>
              <w:tab w:val="right" w:leader="dot" w:pos="9350"/>
            </w:tabs>
            <w:rPr>
              <w:rFonts w:eastAsiaTheme="minorEastAsia"/>
              <w:noProof/>
              <w:lang w:val="en-GB" w:eastAsia="en-GB"/>
            </w:rPr>
          </w:pPr>
          <w:hyperlink w:anchor="_Toc228218298" w:history="1">
            <w:r w:rsidRPr="00C34073">
              <w:rPr>
                <w:rStyle w:val="Hyperlink"/>
                <w:rFonts w:eastAsia="Times New Roman"/>
                <w:noProof/>
                <w:lang w:val="en-GB"/>
              </w:rPr>
              <w:t>4.2.1 Average Resting Heart Rate (AveRHR)</w:t>
            </w:r>
            <w:r>
              <w:rPr>
                <w:noProof/>
                <w:webHidden/>
              </w:rPr>
              <w:tab/>
            </w:r>
            <w:r>
              <w:rPr>
                <w:noProof/>
                <w:webHidden/>
              </w:rPr>
              <w:fldChar w:fldCharType="begin"/>
            </w:r>
            <w:r>
              <w:rPr>
                <w:noProof/>
                <w:webHidden/>
              </w:rPr>
              <w:instrText xml:space="preserve"> PAGEREF _Toc228218298 \h </w:instrText>
            </w:r>
            <w:r>
              <w:rPr>
                <w:noProof/>
                <w:webHidden/>
              </w:rPr>
            </w:r>
            <w:r>
              <w:rPr>
                <w:noProof/>
                <w:webHidden/>
              </w:rPr>
              <w:fldChar w:fldCharType="separate"/>
            </w:r>
            <w:r>
              <w:rPr>
                <w:noProof/>
                <w:webHidden/>
              </w:rPr>
              <w:t>71</w:t>
            </w:r>
            <w:r>
              <w:rPr>
                <w:noProof/>
                <w:webHidden/>
              </w:rPr>
              <w:fldChar w:fldCharType="end"/>
            </w:r>
          </w:hyperlink>
        </w:p>
        <w:p w14:paraId="34CAA4C9" w14:textId="288FE2BB" w:rsidR="001068EF" w:rsidRDefault="001068EF">
          <w:pPr>
            <w:pStyle w:val="TOC3"/>
            <w:tabs>
              <w:tab w:val="right" w:leader="dot" w:pos="9350"/>
            </w:tabs>
            <w:rPr>
              <w:rFonts w:eastAsiaTheme="minorEastAsia"/>
              <w:noProof/>
              <w:lang w:val="en-GB" w:eastAsia="en-GB"/>
            </w:rPr>
          </w:pPr>
          <w:hyperlink w:anchor="_Toc228218299" w:history="1">
            <w:r w:rsidRPr="00C34073">
              <w:rPr>
                <w:rStyle w:val="Hyperlink"/>
                <w:rFonts w:eastAsia="Yu Mincho"/>
                <w:noProof/>
                <w:lang w:val="en-GB"/>
              </w:rPr>
              <w:t>4.2.2 Systolic blood pressure (SBP)</w:t>
            </w:r>
            <w:r>
              <w:rPr>
                <w:noProof/>
                <w:webHidden/>
              </w:rPr>
              <w:tab/>
            </w:r>
            <w:r>
              <w:rPr>
                <w:noProof/>
                <w:webHidden/>
              </w:rPr>
              <w:fldChar w:fldCharType="begin"/>
            </w:r>
            <w:r>
              <w:rPr>
                <w:noProof/>
                <w:webHidden/>
              </w:rPr>
              <w:instrText xml:space="preserve"> PAGEREF _Toc228218299 \h </w:instrText>
            </w:r>
            <w:r>
              <w:rPr>
                <w:noProof/>
                <w:webHidden/>
              </w:rPr>
            </w:r>
            <w:r>
              <w:rPr>
                <w:noProof/>
                <w:webHidden/>
              </w:rPr>
              <w:fldChar w:fldCharType="separate"/>
            </w:r>
            <w:r>
              <w:rPr>
                <w:noProof/>
                <w:webHidden/>
              </w:rPr>
              <w:t>73</w:t>
            </w:r>
            <w:r>
              <w:rPr>
                <w:noProof/>
                <w:webHidden/>
              </w:rPr>
              <w:fldChar w:fldCharType="end"/>
            </w:r>
          </w:hyperlink>
        </w:p>
        <w:p w14:paraId="5D207C5F" w14:textId="3A465A3C" w:rsidR="001068EF" w:rsidRDefault="001068EF">
          <w:pPr>
            <w:pStyle w:val="TOC3"/>
            <w:tabs>
              <w:tab w:val="right" w:leader="dot" w:pos="9350"/>
            </w:tabs>
            <w:rPr>
              <w:rFonts w:eastAsiaTheme="minorEastAsia"/>
              <w:noProof/>
              <w:lang w:val="en-GB" w:eastAsia="en-GB"/>
            </w:rPr>
          </w:pPr>
          <w:hyperlink w:anchor="_Toc228218300" w:history="1">
            <w:r w:rsidRPr="00C34073">
              <w:rPr>
                <w:rStyle w:val="Hyperlink"/>
                <w:rFonts w:eastAsia="Times New Roman"/>
                <w:noProof/>
                <w:lang w:val="en-GB"/>
              </w:rPr>
              <w:t>4.2.3 Diastolic Blood Pressure (DBP)</w:t>
            </w:r>
            <w:r>
              <w:rPr>
                <w:noProof/>
                <w:webHidden/>
              </w:rPr>
              <w:tab/>
            </w:r>
            <w:r>
              <w:rPr>
                <w:noProof/>
                <w:webHidden/>
              </w:rPr>
              <w:fldChar w:fldCharType="begin"/>
            </w:r>
            <w:r>
              <w:rPr>
                <w:noProof/>
                <w:webHidden/>
              </w:rPr>
              <w:instrText xml:space="preserve"> PAGEREF _Toc228218300 \h </w:instrText>
            </w:r>
            <w:r>
              <w:rPr>
                <w:noProof/>
                <w:webHidden/>
              </w:rPr>
            </w:r>
            <w:r>
              <w:rPr>
                <w:noProof/>
                <w:webHidden/>
              </w:rPr>
              <w:fldChar w:fldCharType="separate"/>
            </w:r>
            <w:r>
              <w:rPr>
                <w:noProof/>
                <w:webHidden/>
              </w:rPr>
              <w:t>75</w:t>
            </w:r>
            <w:r>
              <w:rPr>
                <w:noProof/>
                <w:webHidden/>
              </w:rPr>
              <w:fldChar w:fldCharType="end"/>
            </w:r>
          </w:hyperlink>
        </w:p>
        <w:p w14:paraId="4250420C" w14:textId="03CD5082" w:rsidR="001068EF" w:rsidRDefault="001068EF">
          <w:pPr>
            <w:pStyle w:val="TOC3"/>
            <w:tabs>
              <w:tab w:val="right" w:leader="dot" w:pos="9350"/>
            </w:tabs>
            <w:rPr>
              <w:rFonts w:eastAsiaTheme="minorEastAsia"/>
              <w:noProof/>
              <w:lang w:val="en-GB" w:eastAsia="en-GB"/>
            </w:rPr>
          </w:pPr>
          <w:hyperlink w:anchor="_Toc228218301" w:history="1">
            <w:r w:rsidRPr="00C34073">
              <w:rPr>
                <w:rStyle w:val="Hyperlink"/>
                <w:rFonts w:eastAsia="Yu Mincho"/>
                <w:noProof/>
                <w:lang w:val="en-GB"/>
              </w:rPr>
              <w:t>4.2.4 Chester Treadmill Test Average Heart Rate (CTTAveHR).</w:t>
            </w:r>
            <w:r>
              <w:rPr>
                <w:noProof/>
                <w:webHidden/>
              </w:rPr>
              <w:tab/>
            </w:r>
            <w:r>
              <w:rPr>
                <w:noProof/>
                <w:webHidden/>
              </w:rPr>
              <w:fldChar w:fldCharType="begin"/>
            </w:r>
            <w:r>
              <w:rPr>
                <w:noProof/>
                <w:webHidden/>
              </w:rPr>
              <w:instrText xml:space="preserve"> PAGEREF _Toc228218301 \h </w:instrText>
            </w:r>
            <w:r>
              <w:rPr>
                <w:noProof/>
                <w:webHidden/>
              </w:rPr>
            </w:r>
            <w:r>
              <w:rPr>
                <w:noProof/>
                <w:webHidden/>
              </w:rPr>
              <w:fldChar w:fldCharType="separate"/>
            </w:r>
            <w:r>
              <w:rPr>
                <w:noProof/>
                <w:webHidden/>
              </w:rPr>
              <w:t>77</w:t>
            </w:r>
            <w:r>
              <w:rPr>
                <w:noProof/>
                <w:webHidden/>
              </w:rPr>
              <w:fldChar w:fldCharType="end"/>
            </w:r>
          </w:hyperlink>
        </w:p>
        <w:p w14:paraId="1C0291AA" w14:textId="7D382DD3" w:rsidR="001068EF" w:rsidRDefault="001068EF">
          <w:pPr>
            <w:pStyle w:val="TOC3"/>
            <w:tabs>
              <w:tab w:val="right" w:leader="dot" w:pos="9350"/>
            </w:tabs>
            <w:rPr>
              <w:rFonts w:eastAsiaTheme="minorEastAsia"/>
              <w:noProof/>
              <w:lang w:val="en-GB" w:eastAsia="en-GB"/>
            </w:rPr>
          </w:pPr>
          <w:hyperlink w:anchor="_Toc228218302" w:history="1">
            <w:r w:rsidRPr="00C34073">
              <w:rPr>
                <w:rStyle w:val="Hyperlink"/>
                <w:rFonts w:eastAsia="Times New Roman"/>
                <w:noProof/>
                <w:lang w:val="en-GB"/>
              </w:rPr>
              <w:t>4.2.5 Chester Treadmill Test End Heart Rate</w:t>
            </w:r>
            <w:r>
              <w:rPr>
                <w:noProof/>
                <w:webHidden/>
              </w:rPr>
              <w:tab/>
            </w:r>
            <w:r>
              <w:rPr>
                <w:noProof/>
                <w:webHidden/>
              </w:rPr>
              <w:fldChar w:fldCharType="begin"/>
            </w:r>
            <w:r>
              <w:rPr>
                <w:noProof/>
                <w:webHidden/>
              </w:rPr>
              <w:instrText xml:space="preserve"> PAGEREF _Toc228218302 \h </w:instrText>
            </w:r>
            <w:r>
              <w:rPr>
                <w:noProof/>
                <w:webHidden/>
              </w:rPr>
            </w:r>
            <w:r>
              <w:rPr>
                <w:noProof/>
                <w:webHidden/>
              </w:rPr>
              <w:fldChar w:fldCharType="separate"/>
            </w:r>
            <w:r>
              <w:rPr>
                <w:noProof/>
                <w:webHidden/>
              </w:rPr>
              <w:t>79</w:t>
            </w:r>
            <w:r>
              <w:rPr>
                <w:noProof/>
                <w:webHidden/>
              </w:rPr>
              <w:fldChar w:fldCharType="end"/>
            </w:r>
          </w:hyperlink>
        </w:p>
        <w:p w14:paraId="299AEF4A" w14:textId="78EBCA21" w:rsidR="001068EF" w:rsidRDefault="001068EF">
          <w:pPr>
            <w:pStyle w:val="TOC1"/>
            <w:tabs>
              <w:tab w:val="right" w:leader="dot" w:pos="9350"/>
            </w:tabs>
            <w:rPr>
              <w:rFonts w:eastAsiaTheme="minorEastAsia"/>
              <w:noProof/>
              <w:lang w:val="en-GB" w:eastAsia="en-GB"/>
            </w:rPr>
          </w:pPr>
          <w:hyperlink w:anchor="_Toc228218303" w:history="1">
            <w:r w:rsidRPr="00C34073">
              <w:rPr>
                <w:rStyle w:val="Hyperlink"/>
                <w:noProof/>
                <w:lang w:val="en-GB"/>
              </w:rPr>
              <w:t>Chapter 5: Discussion</w:t>
            </w:r>
            <w:r>
              <w:rPr>
                <w:noProof/>
                <w:webHidden/>
              </w:rPr>
              <w:tab/>
            </w:r>
            <w:r>
              <w:rPr>
                <w:noProof/>
                <w:webHidden/>
              </w:rPr>
              <w:fldChar w:fldCharType="begin"/>
            </w:r>
            <w:r>
              <w:rPr>
                <w:noProof/>
                <w:webHidden/>
              </w:rPr>
              <w:instrText xml:space="preserve"> PAGEREF _Toc228218303 \h </w:instrText>
            </w:r>
            <w:r>
              <w:rPr>
                <w:noProof/>
                <w:webHidden/>
              </w:rPr>
            </w:r>
            <w:r>
              <w:rPr>
                <w:noProof/>
                <w:webHidden/>
              </w:rPr>
              <w:fldChar w:fldCharType="separate"/>
            </w:r>
            <w:r>
              <w:rPr>
                <w:noProof/>
                <w:webHidden/>
              </w:rPr>
              <w:t>82</w:t>
            </w:r>
            <w:r>
              <w:rPr>
                <w:noProof/>
                <w:webHidden/>
              </w:rPr>
              <w:fldChar w:fldCharType="end"/>
            </w:r>
          </w:hyperlink>
        </w:p>
        <w:p w14:paraId="37DABD21" w14:textId="526A5458" w:rsidR="001068EF" w:rsidRDefault="001068EF">
          <w:pPr>
            <w:pStyle w:val="TOC2"/>
            <w:tabs>
              <w:tab w:val="right" w:leader="dot" w:pos="9350"/>
            </w:tabs>
            <w:rPr>
              <w:rFonts w:eastAsiaTheme="minorEastAsia"/>
              <w:noProof/>
              <w:lang w:val="en-GB" w:eastAsia="en-GB"/>
            </w:rPr>
          </w:pPr>
          <w:hyperlink w:anchor="_Toc228218304" w:history="1">
            <w:r w:rsidRPr="00C34073">
              <w:rPr>
                <w:rStyle w:val="Hyperlink"/>
                <w:rFonts w:eastAsia="Times New Roman"/>
                <w:noProof/>
                <w:lang w:val="en-GB"/>
              </w:rPr>
              <w:t>5.1 Exercise HR responses during the CTT (CTTAveHR and CTTEndHR)</w:t>
            </w:r>
            <w:r>
              <w:rPr>
                <w:noProof/>
                <w:webHidden/>
              </w:rPr>
              <w:tab/>
            </w:r>
            <w:r>
              <w:rPr>
                <w:noProof/>
                <w:webHidden/>
              </w:rPr>
              <w:fldChar w:fldCharType="begin"/>
            </w:r>
            <w:r>
              <w:rPr>
                <w:noProof/>
                <w:webHidden/>
              </w:rPr>
              <w:instrText xml:space="preserve"> PAGEREF _Toc228218304 \h </w:instrText>
            </w:r>
            <w:r>
              <w:rPr>
                <w:noProof/>
                <w:webHidden/>
              </w:rPr>
            </w:r>
            <w:r>
              <w:rPr>
                <w:noProof/>
                <w:webHidden/>
              </w:rPr>
              <w:fldChar w:fldCharType="separate"/>
            </w:r>
            <w:r>
              <w:rPr>
                <w:noProof/>
                <w:webHidden/>
              </w:rPr>
              <w:t>82</w:t>
            </w:r>
            <w:r>
              <w:rPr>
                <w:noProof/>
                <w:webHidden/>
              </w:rPr>
              <w:fldChar w:fldCharType="end"/>
            </w:r>
          </w:hyperlink>
        </w:p>
        <w:p w14:paraId="5D966D42" w14:textId="34BE959E" w:rsidR="001068EF" w:rsidRDefault="001068EF">
          <w:pPr>
            <w:pStyle w:val="TOC2"/>
            <w:tabs>
              <w:tab w:val="right" w:leader="dot" w:pos="9350"/>
            </w:tabs>
            <w:rPr>
              <w:rFonts w:eastAsiaTheme="minorEastAsia"/>
              <w:noProof/>
              <w:lang w:val="en-GB" w:eastAsia="en-GB"/>
            </w:rPr>
          </w:pPr>
          <w:hyperlink w:anchor="_Toc228218305" w:history="1">
            <w:r w:rsidRPr="00C34073">
              <w:rPr>
                <w:rStyle w:val="Hyperlink"/>
                <w:rFonts w:eastAsia="Times New Roman"/>
                <w:noProof/>
                <w:lang w:val="en-GB"/>
              </w:rPr>
              <w:t>5.2  Resting HR (AveRHR)</w:t>
            </w:r>
            <w:r>
              <w:rPr>
                <w:noProof/>
                <w:webHidden/>
              </w:rPr>
              <w:tab/>
            </w:r>
            <w:r>
              <w:rPr>
                <w:noProof/>
                <w:webHidden/>
              </w:rPr>
              <w:fldChar w:fldCharType="begin"/>
            </w:r>
            <w:r>
              <w:rPr>
                <w:noProof/>
                <w:webHidden/>
              </w:rPr>
              <w:instrText xml:space="preserve"> PAGEREF _Toc228218305 \h </w:instrText>
            </w:r>
            <w:r>
              <w:rPr>
                <w:noProof/>
                <w:webHidden/>
              </w:rPr>
            </w:r>
            <w:r>
              <w:rPr>
                <w:noProof/>
                <w:webHidden/>
              </w:rPr>
              <w:fldChar w:fldCharType="separate"/>
            </w:r>
            <w:r>
              <w:rPr>
                <w:noProof/>
                <w:webHidden/>
              </w:rPr>
              <w:t>84</w:t>
            </w:r>
            <w:r>
              <w:rPr>
                <w:noProof/>
                <w:webHidden/>
              </w:rPr>
              <w:fldChar w:fldCharType="end"/>
            </w:r>
          </w:hyperlink>
        </w:p>
        <w:p w14:paraId="6EEA67BF" w14:textId="2D1451CE" w:rsidR="001068EF" w:rsidRDefault="001068EF">
          <w:pPr>
            <w:pStyle w:val="TOC2"/>
            <w:tabs>
              <w:tab w:val="right" w:leader="dot" w:pos="9350"/>
            </w:tabs>
            <w:rPr>
              <w:rFonts w:eastAsiaTheme="minorEastAsia"/>
              <w:noProof/>
              <w:lang w:val="en-GB" w:eastAsia="en-GB"/>
            </w:rPr>
          </w:pPr>
          <w:hyperlink w:anchor="_Toc228218306" w:history="1">
            <w:r w:rsidRPr="00C34073">
              <w:rPr>
                <w:rStyle w:val="Hyperlink"/>
                <w:rFonts w:eastAsia="Times New Roman"/>
                <w:noProof/>
                <w:lang w:val="en-GB"/>
              </w:rPr>
              <w:t>5.3 Resting BP (SBP and DBP)</w:t>
            </w:r>
            <w:r>
              <w:rPr>
                <w:noProof/>
                <w:webHidden/>
              </w:rPr>
              <w:tab/>
            </w:r>
            <w:r>
              <w:rPr>
                <w:noProof/>
                <w:webHidden/>
              </w:rPr>
              <w:fldChar w:fldCharType="begin"/>
            </w:r>
            <w:r>
              <w:rPr>
                <w:noProof/>
                <w:webHidden/>
              </w:rPr>
              <w:instrText xml:space="preserve"> PAGEREF _Toc228218306 \h </w:instrText>
            </w:r>
            <w:r>
              <w:rPr>
                <w:noProof/>
                <w:webHidden/>
              </w:rPr>
            </w:r>
            <w:r>
              <w:rPr>
                <w:noProof/>
                <w:webHidden/>
              </w:rPr>
              <w:fldChar w:fldCharType="separate"/>
            </w:r>
            <w:r>
              <w:rPr>
                <w:noProof/>
                <w:webHidden/>
              </w:rPr>
              <w:t>86</w:t>
            </w:r>
            <w:r>
              <w:rPr>
                <w:noProof/>
                <w:webHidden/>
              </w:rPr>
              <w:fldChar w:fldCharType="end"/>
            </w:r>
          </w:hyperlink>
        </w:p>
        <w:p w14:paraId="319B045F" w14:textId="4B164FA6" w:rsidR="001068EF" w:rsidRDefault="001068EF">
          <w:pPr>
            <w:pStyle w:val="TOC2"/>
            <w:tabs>
              <w:tab w:val="right" w:leader="dot" w:pos="9350"/>
            </w:tabs>
            <w:rPr>
              <w:rFonts w:eastAsiaTheme="minorEastAsia"/>
              <w:noProof/>
              <w:lang w:val="en-GB" w:eastAsia="en-GB"/>
            </w:rPr>
          </w:pPr>
          <w:hyperlink w:anchor="_Toc228218307" w:history="1">
            <w:r w:rsidRPr="00C34073">
              <w:rPr>
                <w:rStyle w:val="Hyperlink"/>
                <w:rFonts w:eastAsia="Times New Roman"/>
                <w:noProof/>
                <w:lang w:val="en-GB"/>
              </w:rPr>
              <w:t>5.4 Contextual interpretation using anthropometric and dietary findings</w:t>
            </w:r>
            <w:r>
              <w:rPr>
                <w:noProof/>
                <w:webHidden/>
              </w:rPr>
              <w:tab/>
            </w:r>
            <w:r>
              <w:rPr>
                <w:noProof/>
                <w:webHidden/>
              </w:rPr>
              <w:fldChar w:fldCharType="begin"/>
            </w:r>
            <w:r>
              <w:rPr>
                <w:noProof/>
                <w:webHidden/>
              </w:rPr>
              <w:instrText xml:space="preserve"> PAGEREF _Toc228218307 \h </w:instrText>
            </w:r>
            <w:r>
              <w:rPr>
                <w:noProof/>
                <w:webHidden/>
              </w:rPr>
            </w:r>
            <w:r>
              <w:rPr>
                <w:noProof/>
                <w:webHidden/>
              </w:rPr>
              <w:fldChar w:fldCharType="separate"/>
            </w:r>
            <w:r>
              <w:rPr>
                <w:noProof/>
                <w:webHidden/>
              </w:rPr>
              <w:t>88</w:t>
            </w:r>
            <w:r>
              <w:rPr>
                <w:noProof/>
                <w:webHidden/>
              </w:rPr>
              <w:fldChar w:fldCharType="end"/>
            </w:r>
          </w:hyperlink>
        </w:p>
        <w:p w14:paraId="23037F43" w14:textId="6FC9AFA5" w:rsidR="001068EF" w:rsidRDefault="001068EF">
          <w:pPr>
            <w:pStyle w:val="TOC2"/>
            <w:tabs>
              <w:tab w:val="right" w:leader="dot" w:pos="9350"/>
            </w:tabs>
            <w:rPr>
              <w:rFonts w:eastAsiaTheme="minorEastAsia"/>
              <w:noProof/>
              <w:lang w:val="en-GB" w:eastAsia="en-GB"/>
            </w:rPr>
          </w:pPr>
          <w:hyperlink w:anchor="_Toc228218308" w:history="1">
            <w:r w:rsidRPr="00C34073">
              <w:rPr>
                <w:rStyle w:val="Hyperlink"/>
                <w:rFonts w:eastAsia="Times New Roman"/>
                <w:noProof/>
                <w:lang w:val="en-GB"/>
              </w:rPr>
              <w:t>5.5 Comparison with previous research and methodological context</w:t>
            </w:r>
            <w:r>
              <w:rPr>
                <w:noProof/>
                <w:webHidden/>
              </w:rPr>
              <w:tab/>
            </w:r>
            <w:r>
              <w:rPr>
                <w:noProof/>
                <w:webHidden/>
              </w:rPr>
              <w:fldChar w:fldCharType="begin"/>
            </w:r>
            <w:r>
              <w:rPr>
                <w:noProof/>
                <w:webHidden/>
              </w:rPr>
              <w:instrText xml:space="preserve"> PAGEREF _Toc228218308 \h </w:instrText>
            </w:r>
            <w:r>
              <w:rPr>
                <w:noProof/>
                <w:webHidden/>
              </w:rPr>
            </w:r>
            <w:r>
              <w:rPr>
                <w:noProof/>
                <w:webHidden/>
              </w:rPr>
              <w:fldChar w:fldCharType="separate"/>
            </w:r>
            <w:r>
              <w:rPr>
                <w:noProof/>
                <w:webHidden/>
              </w:rPr>
              <w:t>89</w:t>
            </w:r>
            <w:r>
              <w:rPr>
                <w:noProof/>
                <w:webHidden/>
              </w:rPr>
              <w:fldChar w:fldCharType="end"/>
            </w:r>
          </w:hyperlink>
        </w:p>
        <w:p w14:paraId="58360382" w14:textId="4BBCEF89" w:rsidR="001068EF" w:rsidRDefault="001068EF">
          <w:pPr>
            <w:pStyle w:val="TOC2"/>
            <w:tabs>
              <w:tab w:val="right" w:leader="dot" w:pos="9350"/>
            </w:tabs>
            <w:rPr>
              <w:rFonts w:eastAsiaTheme="minorEastAsia"/>
              <w:noProof/>
              <w:lang w:val="en-GB" w:eastAsia="en-GB"/>
            </w:rPr>
          </w:pPr>
          <w:hyperlink w:anchor="_Toc228218309" w:history="1">
            <w:r w:rsidRPr="00C34073">
              <w:rPr>
                <w:rStyle w:val="Hyperlink"/>
                <w:rFonts w:eastAsia="Times New Roman"/>
                <w:noProof/>
                <w:lang w:val="en-GB"/>
              </w:rPr>
              <w:t>5.6 Methodological strengths and limitations</w:t>
            </w:r>
            <w:r>
              <w:rPr>
                <w:noProof/>
                <w:webHidden/>
              </w:rPr>
              <w:tab/>
            </w:r>
            <w:r>
              <w:rPr>
                <w:noProof/>
                <w:webHidden/>
              </w:rPr>
              <w:fldChar w:fldCharType="begin"/>
            </w:r>
            <w:r>
              <w:rPr>
                <w:noProof/>
                <w:webHidden/>
              </w:rPr>
              <w:instrText xml:space="preserve"> PAGEREF _Toc228218309 \h </w:instrText>
            </w:r>
            <w:r>
              <w:rPr>
                <w:noProof/>
                <w:webHidden/>
              </w:rPr>
            </w:r>
            <w:r>
              <w:rPr>
                <w:noProof/>
                <w:webHidden/>
              </w:rPr>
              <w:fldChar w:fldCharType="separate"/>
            </w:r>
            <w:r>
              <w:rPr>
                <w:noProof/>
                <w:webHidden/>
              </w:rPr>
              <w:t>91</w:t>
            </w:r>
            <w:r>
              <w:rPr>
                <w:noProof/>
                <w:webHidden/>
              </w:rPr>
              <w:fldChar w:fldCharType="end"/>
            </w:r>
          </w:hyperlink>
        </w:p>
        <w:p w14:paraId="2B3167B9" w14:textId="30BFA779" w:rsidR="001068EF" w:rsidRDefault="001068EF">
          <w:pPr>
            <w:pStyle w:val="TOC2"/>
            <w:tabs>
              <w:tab w:val="right" w:leader="dot" w:pos="9350"/>
            </w:tabs>
            <w:rPr>
              <w:rFonts w:eastAsiaTheme="minorEastAsia"/>
              <w:noProof/>
              <w:lang w:val="en-GB" w:eastAsia="en-GB"/>
            </w:rPr>
          </w:pPr>
          <w:hyperlink w:anchor="_Toc228218310" w:history="1">
            <w:r w:rsidRPr="00C34073">
              <w:rPr>
                <w:rStyle w:val="Hyperlink"/>
                <w:rFonts w:eastAsia="Times New Roman"/>
                <w:noProof/>
                <w:lang w:val="en-GB"/>
              </w:rPr>
              <w:t>5.7 Practical implications for FFs as tactical athletes</w:t>
            </w:r>
            <w:r>
              <w:rPr>
                <w:noProof/>
                <w:webHidden/>
              </w:rPr>
              <w:tab/>
            </w:r>
            <w:r>
              <w:rPr>
                <w:noProof/>
                <w:webHidden/>
              </w:rPr>
              <w:fldChar w:fldCharType="begin"/>
            </w:r>
            <w:r>
              <w:rPr>
                <w:noProof/>
                <w:webHidden/>
              </w:rPr>
              <w:instrText xml:space="preserve"> PAGEREF _Toc228218310 \h </w:instrText>
            </w:r>
            <w:r>
              <w:rPr>
                <w:noProof/>
                <w:webHidden/>
              </w:rPr>
            </w:r>
            <w:r>
              <w:rPr>
                <w:noProof/>
                <w:webHidden/>
              </w:rPr>
              <w:fldChar w:fldCharType="separate"/>
            </w:r>
            <w:r>
              <w:rPr>
                <w:noProof/>
                <w:webHidden/>
              </w:rPr>
              <w:t>92</w:t>
            </w:r>
            <w:r>
              <w:rPr>
                <w:noProof/>
                <w:webHidden/>
              </w:rPr>
              <w:fldChar w:fldCharType="end"/>
            </w:r>
          </w:hyperlink>
        </w:p>
        <w:p w14:paraId="2164E15A" w14:textId="6A5A29F7" w:rsidR="001068EF" w:rsidRDefault="001068EF">
          <w:pPr>
            <w:pStyle w:val="TOC1"/>
            <w:tabs>
              <w:tab w:val="right" w:leader="dot" w:pos="9350"/>
            </w:tabs>
            <w:rPr>
              <w:rFonts w:eastAsiaTheme="minorEastAsia"/>
              <w:noProof/>
              <w:lang w:val="en-GB" w:eastAsia="en-GB"/>
            </w:rPr>
          </w:pPr>
          <w:hyperlink w:anchor="_Toc228218311" w:history="1">
            <w:r w:rsidRPr="00C34073">
              <w:rPr>
                <w:rStyle w:val="Hyperlink"/>
                <w:rFonts w:eastAsia="Times New Roman"/>
                <w:noProof/>
                <w:lang w:val="en-GB"/>
              </w:rPr>
              <w:t>CHAPTER 6: CONCLUSION</w:t>
            </w:r>
            <w:r>
              <w:rPr>
                <w:noProof/>
                <w:webHidden/>
              </w:rPr>
              <w:tab/>
            </w:r>
            <w:r>
              <w:rPr>
                <w:noProof/>
                <w:webHidden/>
              </w:rPr>
              <w:fldChar w:fldCharType="begin"/>
            </w:r>
            <w:r>
              <w:rPr>
                <w:noProof/>
                <w:webHidden/>
              </w:rPr>
              <w:instrText xml:space="preserve"> PAGEREF _Toc228218311 \h </w:instrText>
            </w:r>
            <w:r>
              <w:rPr>
                <w:noProof/>
                <w:webHidden/>
              </w:rPr>
            </w:r>
            <w:r>
              <w:rPr>
                <w:noProof/>
                <w:webHidden/>
              </w:rPr>
              <w:fldChar w:fldCharType="separate"/>
            </w:r>
            <w:r>
              <w:rPr>
                <w:noProof/>
                <w:webHidden/>
              </w:rPr>
              <w:t>94</w:t>
            </w:r>
            <w:r>
              <w:rPr>
                <w:noProof/>
                <w:webHidden/>
              </w:rPr>
              <w:fldChar w:fldCharType="end"/>
            </w:r>
          </w:hyperlink>
        </w:p>
        <w:p w14:paraId="3625F590" w14:textId="0B8D47AC" w:rsidR="001068EF" w:rsidRDefault="001068EF">
          <w:pPr>
            <w:pStyle w:val="TOC1"/>
            <w:tabs>
              <w:tab w:val="right" w:leader="dot" w:pos="9350"/>
            </w:tabs>
            <w:rPr>
              <w:rFonts w:eastAsiaTheme="minorEastAsia"/>
              <w:noProof/>
              <w:lang w:val="en-GB" w:eastAsia="en-GB"/>
            </w:rPr>
          </w:pPr>
          <w:hyperlink w:anchor="_Toc228218312" w:history="1">
            <w:r w:rsidRPr="00C34073">
              <w:rPr>
                <w:rStyle w:val="Hyperlink"/>
                <w:noProof/>
                <w:lang w:val="en-GB"/>
              </w:rPr>
              <w:t>REFERENCES</w:t>
            </w:r>
            <w:r>
              <w:rPr>
                <w:noProof/>
                <w:webHidden/>
              </w:rPr>
              <w:tab/>
            </w:r>
            <w:r>
              <w:rPr>
                <w:noProof/>
                <w:webHidden/>
              </w:rPr>
              <w:fldChar w:fldCharType="begin"/>
            </w:r>
            <w:r>
              <w:rPr>
                <w:noProof/>
                <w:webHidden/>
              </w:rPr>
              <w:instrText xml:space="preserve"> PAGEREF _Toc228218312 \h </w:instrText>
            </w:r>
            <w:r>
              <w:rPr>
                <w:noProof/>
                <w:webHidden/>
              </w:rPr>
            </w:r>
            <w:r>
              <w:rPr>
                <w:noProof/>
                <w:webHidden/>
              </w:rPr>
              <w:fldChar w:fldCharType="separate"/>
            </w:r>
            <w:r>
              <w:rPr>
                <w:noProof/>
                <w:webHidden/>
              </w:rPr>
              <w:t>96</w:t>
            </w:r>
            <w:r>
              <w:rPr>
                <w:noProof/>
                <w:webHidden/>
              </w:rPr>
              <w:fldChar w:fldCharType="end"/>
            </w:r>
          </w:hyperlink>
        </w:p>
        <w:p w14:paraId="694A742B" w14:textId="0551505D" w:rsidR="001068EF" w:rsidRDefault="001068EF">
          <w:pPr>
            <w:pStyle w:val="TOC1"/>
            <w:tabs>
              <w:tab w:val="right" w:leader="dot" w:pos="9350"/>
            </w:tabs>
            <w:rPr>
              <w:rFonts w:eastAsiaTheme="minorEastAsia"/>
              <w:noProof/>
              <w:lang w:val="en-GB" w:eastAsia="en-GB"/>
            </w:rPr>
          </w:pPr>
          <w:hyperlink w:anchor="_Toc228218313" w:history="1">
            <w:r w:rsidRPr="00C34073">
              <w:rPr>
                <w:rStyle w:val="Hyperlink"/>
                <w:noProof/>
                <w:lang w:val="en-GB"/>
              </w:rPr>
              <w:t>APPENDIX 1: ETHICAL APPROVAL</w:t>
            </w:r>
            <w:r>
              <w:rPr>
                <w:noProof/>
                <w:webHidden/>
              </w:rPr>
              <w:tab/>
            </w:r>
            <w:r>
              <w:rPr>
                <w:noProof/>
                <w:webHidden/>
              </w:rPr>
              <w:fldChar w:fldCharType="begin"/>
            </w:r>
            <w:r>
              <w:rPr>
                <w:noProof/>
                <w:webHidden/>
              </w:rPr>
              <w:instrText xml:space="preserve"> PAGEREF _Toc228218313 \h </w:instrText>
            </w:r>
            <w:r>
              <w:rPr>
                <w:noProof/>
                <w:webHidden/>
              </w:rPr>
            </w:r>
            <w:r>
              <w:rPr>
                <w:noProof/>
                <w:webHidden/>
              </w:rPr>
              <w:fldChar w:fldCharType="separate"/>
            </w:r>
            <w:r>
              <w:rPr>
                <w:noProof/>
                <w:webHidden/>
              </w:rPr>
              <w:t>145</w:t>
            </w:r>
            <w:r>
              <w:rPr>
                <w:noProof/>
                <w:webHidden/>
              </w:rPr>
              <w:fldChar w:fldCharType="end"/>
            </w:r>
          </w:hyperlink>
        </w:p>
        <w:p w14:paraId="6857942C" w14:textId="4D2B7F85" w:rsidR="001068EF" w:rsidRDefault="001068EF">
          <w:pPr>
            <w:pStyle w:val="TOC1"/>
            <w:tabs>
              <w:tab w:val="right" w:leader="dot" w:pos="9350"/>
            </w:tabs>
            <w:rPr>
              <w:rFonts w:eastAsiaTheme="minorEastAsia"/>
              <w:noProof/>
              <w:lang w:val="en-GB" w:eastAsia="en-GB"/>
            </w:rPr>
          </w:pPr>
          <w:hyperlink w:anchor="_Toc228218314" w:history="1">
            <w:r w:rsidRPr="00C34073">
              <w:rPr>
                <w:rStyle w:val="Hyperlink"/>
                <w:noProof/>
              </w:rPr>
              <w:t>APPENDIX 2: INFORMED CONSENT</w:t>
            </w:r>
            <w:r>
              <w:rPr>
                <w:noProof/>
                <w:webHidden/>
              </w:rPr>
              <w:tab/>
            </w:r>
            <w:r>
              <w:rPr>
                <w:noProof/>
                <w:webHidden/>
              </w:rPr>
              <w:fldChar w:fldCharType="begin"/>
            </w:r>
            <w:r>
              <w:rPr>
                <w:noProof/>
                <w:webHidden/>
              </w:rPr>
              <w:instrText xml:space="preserve"> PAGEREF _Toc228218314 \h </w:instrText>
            </w:r>
            <w:r>
              <w:rPr>
                <w:noProof/>
                <w:webHidden/>
              </w:rPr>
            </w:r>
            <w:r>
              <w:rPr>
                <w:noProof/>
                <w:webHidden/>
              </w:rPr>
              <w:fldChar w:fldCharType="separate"/>
            </w:r>
            <w:r>
              <w:rPr>
                <w:noProof/>
                <w:webHidden/>
              </w:rPr>
              <w:t>158</w:t>
            </w:r>
            <w:r>
              <w:rPr>
                <w:noProof/>
                <w:webHidden/>
              </w:rPr>
              <w:fldChar w:fldCharType="end"/>
            </w:r>
          </w:hyperlink>
        </w:p>
        <w:p w14:paraId="02DC542C" w14:textId="49168962" w:rsidR="001068EF" w:rsidRDefault="001068EF">
          <w:pPr>
            <w:pStyle w:val="TOC1"/>
            <w:tabs>
              <w:tab w:val="right" w:leader="dot" w:pos="9350"/>
            </w:tabs>
            <w:rPr>
              <w:rFonts w:eastAsiaTheme="minorEastAsia"/>
              <w:noProof/>
              <w:lang w:val="en-GB" w:eastAsia="en-GB"/>
            </w:rPr>
          </w:pPr>
          <w:hyperlink w:anchor="_Toc228218315" w:history="1">
            <w:r w:rsidRPr="00C34073">
              <w:rPr>
                <w:rStyle w:val="Hyperlink"/>
                <w:noProof/>
              </w:rPr>
              <w:t>APPENDIX 3: PAR-Q AND HEALTH SCREENING</w:t>
            </w:r>
            <w:r>
              <w:rPr>
                <w:noProof/>
                <w:webHidden/>
              </w:rPr>
              <w:tab/>
            </w:r>
            <w:r>
              <w:rPr>
                <w:noProof/>
                <w:webHidden/>
              </w:rPr>
              <w:fldChar w:fldCharType="begin"/>
            </w:r>
            <w:r>
              <w:rPr>
                <w:noProof/>
                <w:webHidden/>
              </w:rPr>
              <w:instrText xml:space="preserve"> PAGEREF _Toc228218315 \h </w:instrText>
            </w:r>
            <w:r>
              <w:rPr>
                <w:noProof/>
                <w:webHidden/>
              </w:rPr>
            </w:r>
            <w:r>
              <w:rPr>
                <w:noProof/>
                <w:webHidden/>
              </w:rPr>
              <w:fldChar w:fldCharType="separate"/>
            </w:r>
            <w:r>
              <w:rPr>
                <w:noProof/>
                <w:webHidden/>
              </w:rPr>
              <w:t>159</w:t>
            </w:r>
            <w:r>
              <w:rPr>
                <w:noProof/>
                <w:webHidden/>
              </w:rPr>
              <w:fldChar w:fldCharType="end"/>
            </w:r>
          </w:hyperlink>
        </w:p>
        <w:p w14:paraId="5995DCF2" w14:textId="482E2C81" w:rsidR="001068EF" w:rsidRDefault="001068EF">
          <w:pPr>
            <w:pStyle w:val="TOC1"/>
            <w:tabs>
              <w:tab w:val="right" w:leader="dot" w:pos="9350"/>
            </w:tabs>
            <w:rPr>
              <w:rFonts w:eastAsiaTheme="minorEastAsia"/>
              <w:noProof/>
              <w:lang w:val="en-GB" w:eastAsia="en-GB"/>
            </w:rPr>
          </w:pPr>
          <w:hyperlink w:anchor="_Toc228218316" w:history="1">
            <w:r w:rsidRPr="00C34073">
              <w:rPr>
                <w:rStyle w:val="Hyperlink"/>
                <w:noProof/>
              </w:rPr>
              <w:t>APPENDIX 4: PARTICIPANT DATA COLLECTION FORM</w:t>
            </w:r>
            <w:r>
              <w:rPr>
                <w:noProof/>
                <w:webHidden/>
              </w:rPr>
              <w:tab/>
            </w:r>
            <w:r>
              <w:rPr>
                <w:noProof/>
                <w:webHidden/>
              </w:rPr>
              <w:fldChar w:fldCharType="begin"/>
            </w:r>
            <w:r>
              <w:rPr>
                <w:noProof/>
                <w:webHidden/>
              </w:rPr>
              <w:instrText xml:space="preserve"> PAGEREF _Toc228218316 \h </w:instrText>
            </w:r>
            <w:r>
              <w:rPr>
                <w:noProof/>
                <w:webHidden/>
              </w:rPr>
            </w:r>
            <w:r>
              <w:rPr>
                <w:noProof/>
                <w:webHidden/>
              </w:rPr>
              <w:fldChar w:fldCharType="separate"/>
            </w:r>
            <w:r>
              <w:rPr>
                <w:noProof/>
                <w:webHidden/>
              </w:rPr>
              <w:t>171</w:t>
            </w:r>
            <w:r>
              <w:rPr>
                <w:noProof/>
                <w:webHidden/>
              </w:rPr>
              <w:fldChar w:fldCharType="end"/>
            </w:r>
          </w:hyperlink>
        </w:p>
        <w:p w14:paraId="654A1C43" w14:textId="564BD74A" w:rsidR="001068EF" w:rsidRDefault="001068EF">
          <w:pPr>
            <w:pStyle w:val="TOC1"/>
            <w:tabs>
              <w:tab w:val="right" w:leader="dot" w:pos="9350"/>
            </w:tabs>
            <w:rPr>
              <w:rFonts w:eastAsiaTheme="minorEastAsia"/>
              <w:noProof/>
              <w:lang w:val="en-GB" w:eastAsia="en-GB"/>
            </w:rPr>
          </w:pPr>
          <w:hyperlink w:anchor="_Toc228218317" w:history="1">
            <w:r w:rsidRPr="00C34073">
              <w:rPr>
                <w:rStyle w:val="Hyperlink"/>
                <w:noProof/>
              </w:rPr>
              <w:t>APPENDIX 5: NUTRITICS FOOD LOG AND NUTRITION ANALYSIS</w:t>
            </w:r>
            <w:r>
              <w:rPr>
                <w:noProof/>
                <w:webHidden/>
              </w:rPr>
              <w:tab/>
            </w:r>
            <w:r>
              <w:rPr>
                <w:noProof/>
                <w:webHidden/>
              </w:rPr>
              <w:fldChar w:fldCharType="begin"/>
            </w:r>
            <w:r>
              <w:rPr>
                <w:noProof/>
                <w:webHidden/>
              </w:rPr>
              <w:instrText xml:space="preserve"> PAGEREF _Toc228218317 \h </w:instrText>
            </w:r>
            <w:r>
              <w:rPr>
                <w:noProof/>
                <w:webHidden/>
              </w:rPr>
            </w:r>
            <w:r>
              <w:rPr>
                <w:noProof/>
                <w:webHidden/>
              </w:rPr>
              <w:fldChar w:fldCharType="separate"/>
            </w:r>
            <w:r>
              <w:rPr>
                <w:noProof/>
                <w:webHidden/>
              </w:rPr>
              <w:t>183</w:t>
            </w:r>
            <w:r>
              <w:rPr>
                <w:noProof/>
                <w:webHidden/>
              </w:rPr>
              <w:fldChar w:fldCharType="end"/>
            </w:r>
          </w:hyperlink>
        </w:p>
        <w:p w14:paraId="0972111E" w14:textId="672B19D8" w:rsidR="008E30E4" w:rsidRDefault="008E30E4">
          <w:r>
            <w:rPr>
              <w:b/>
              <w:bCs/>
              <w:noProof/>
            </w:rPr>
            <w:fldChar w:fldCharType="end"/>
          </w:r>
        </w:p>
      </w:sdtContent>
    </w:sdt>
    <w:p w14:paraId="31E37CC9" w14:textId="77777777" w:rsidR="008E30E4" w:rsidRPr="008E30E4" w:rsidRDefault="008E30E4" w:rsidP="00096CAD">
      <w:pPr>
        <w:spacing w:line="360" w:lineRule="auto"/>
        <w:rPr>
          <w:rFonts w:ascii="Arial" w:hAnsi="Arial" w:cs="Arial"/>
          <w:sz w:val="32"/>
          <w:szCs w:val="32"/>
        </w:rPr>
      </w:pPr>
    </w:p>
    <w:p w14:paraId="1396AFDA" w14:textId="77777777" w:rsidR="00A12193" w:rsidRDefault="00A12193" w:rsidP="00096CAD">
      <w:pPr>
        <w:spacing w:line="360" w:lineRule="auto"/>
      </w:pPr>
    </w:p>
    <w:p w14:paraId="6A964872" w14:textId="77777777" w:rsidR="00A12193" w:rsidRDefault="00A12193" w:rsidP="00096CAD">
      <w:pPr>
        <w:spacing w:line="360" w:lineRule="auto"/>
      </w:pPr>
    </w:p>
    <w:p w14:paraId="4265E0F9" w14:textId="77777777" w:rsidR="00A12193" w:rsidRDefault="00A12193" w:rsidP="00096CAD">
      <w:pPr>
        <w:spacing w:line="360" w:lineRule="auto"/>
      </w:pPr>
    </w:p>
    <w:p w14:paraId="68600677" w14:textId="77777777" w:rsidR="00A12193" w:rsidRDefault="00A12193" w:rsidP="00096CAD">
      <w:pPr>
        <w:spacing w:line="360" w:lineRule="auto"/>
      </w:pPr>
    </w:p>
    <w:p w14:paraId="5AE40971" w14:textId="77777777" w:rsidR="00A12193" w:rsidRDefault="00A12193" w:rsidP="00096CAD">
      <w:pPr>
        <w:spacing w:line="360" w:lineRule="auto"/>
      </w:pPr>
    </w:p>
    <w:p w14:paraId="5365C733" w14:textId="77777777" w:rsidR="00A12193" w:rsidRDefault="00A12193" w:rsidP="00096CAD">
      <w:pPr>
        <w:spacing w:line="360" w:lineRule="auto"/>
      </w:pPr>
    </w:p>
    <w:p w14:paraId="09B28661" w14:textId="77777777" w:rsidR="00A12193" w:rsidRDefault="00A12193" w:rsidP="00096CAD">
      <w:pPr>
        <w:spacing w:line="360" w:lineRule="auto"/>
      </w:pPr>
    </w:p>
    <w:p w14:paraId="60C0FAAA" w14:textId="2632DE0D" w:rsidR="00A12193" w:rsidRDefault="00A12193" w:rsidP="00096CAD">
      <w:pPr>
        <w:spacing w:line="360" w:lineRule="auto"/>
      </w:pPr>
    </w:p>
    <w:p w14:paraId="54929833" w14:textId="77777777" w:rsidR="004767A2" w:rsidRDefault="004767A2" w:rsidP="00096CAD">
      <w:pPr>
        <w:spacing w:line="360" w:lineRule="auto"/>
        <w:sectPr w:rsidR="004767A2" w:rsidSect="00A12193">
          <w:headerReference w:type="default" r:id="rId8"/>
          <w:footerReference w:type="even" r:id="rId9"/>
          <w:headerReference w:type="first" r:id="rId10"/>
          <w:pgSz w:w="12240" w:h="15840"/>
          <w:pgMar w:top="1440" w:right="1440" w:bottom="1440" w:left="1440" w:header="720" w:footer="720" w:gutter="0"/>
          <w:pgNumType w:start="0"/>
          <w:cols w:space="720"/>
          <w:titlePg/>
          <w:docGrid w:linePitch="360"/>
        </w:sectPr>
      </w:pPr>
    </w:p>
    <w:p w14:paraId="10797129" w14:textId="0FE1BC60" w:rsidR="004D3AAF" w:rsidRPr="0061328C" w:rsidRDefault="00A12193" w:rsidP="00FE0B72">
      <w:pPr>
        <w:pStyle w:val="Heading1"/>
      </w:pPr>
      <w:bookmarkStart w:id="1" w:name="_Toc228218250"/>
      <w:r w:rsidRPr="0061328C">
        <w:lastRenderedPageBreak/>
        <w:t>ABSTRACT</w:t>
      </w:r>
      <w:bookmarkEnd w:id="1"/>
    </w:p>
    <w:p w14:paraId="601AE763" w14:textId="77777777" w:rsidR="00A85139" w:rsidRPr="00A85139" w:rsidRDefault="00A85139" w:rsidP="00A85139">
      <w:pPr>
        <w:spacing w:line="360" w:lineRule="auto"/>
        <w:jc w:val="center"/>
        <w:rPr>
          <w:b/>
          <w:bCs/>
        </w:rPr>
      </w:pPr>
    </w:p>
    <w:p w14:paraId="23740311" w14:textId="2B2ED4BA" w:rsidR="004D3AAF" w:rsidRDefault="004D3AAF" w:rsidP="002756A6">
      <w:pPr>
        <w:spacing w:before="100" w:beforeAutospacing="1" w:after="100" w:afterAutospacing="1" w:line="360" w:lineRule="auto"/>
        <w:rPr>
          <w:rFonts w:ascii="Arial" w:hAnsi="Arial" w:cs="Arial"/>
          <w:kern w:val="0"/>
          <w:lang w:val="en-GB"/>
          <w14:ligatures w14:val="none"/>
        </w:rPr>
      </w:pPr>
      <w:r>
        <w:rPr>
          <w:rFonts w:ascii="Arial" w:hAnsi="Arial" w:cs="Arial"/>
          <w:kern w:val="0"/>
          <w:lang w:val="en-GB"/>
          <w14:ligatures w14:val="none"/>
        </w:rPr>
        <w:t>Background: Firefighting involves repeated bouts of submaximal work performed under heat, load and psychological stress, contributing to elevated CV strain and high rates of duty-related CV events. Omega-3 supplementation is biologically plausible for improving vascular and autonomic function, but firefighter-specific applied trials remain limited.</w:t>
      </w:r>
    </w:p>
    <w:p w14:paraId="6D8D885F" w14:textId="4FB6C1F9" w:rsidR="004D3AAF" w:rsidRDefault="004D3AAF" w:rsidP="002756A6">
      <w:pPr>
        <w:spacing w:before="100" w:beforeAutospacing="1" w:after="100" w:afterAutospacing="1" w:line="360" w:lineRule="auto"/>
        <w:rPr>
          <w:rFonts w:ascii="Arial" w:hAnsi="Arial" w:cs="Arial"/>
          <w:kern w:val="0"/>
          <w:lang w:val="en-GB"/>
          <w14:ligatures w14:val="none"/>
        </w:rPr>
      </w:pPr>
      <w:r>
        <w:rPr>
          <w:rFonts w:ascii="Arial" w:hAnsi="Arial" w:cs="Arial"/>
          <w:kern w:val="0"/>
          <w:lang w:val="en-GB"/>
          <w14:ligatures w14:val="none"/>
        </w:rPr>
        <w:t>Aim: To determine whether eight weeks of omega-3 supplementation (3 g/day EPA+DHA; 1700 mg EPA and 1300 mg DHA) improves resting CV markers and reduces CV strain during standardised submaximal exercise in operational firefighters.</w:t>
      </w:r>
    </w:p>
    <w:p w14:paraId="74F63AD5" w14:textId="28B1DB6B" w:rsidR="004D3AAF" w:rsidRDefault="004D3AAF" w:rsidP="002756A6">
      <w:pPr>
        <w:spacing w:before="100" w:beforeAutospacing="1" w:after="100" w:afterAutospacing="1" w:line="360" w:lineRule="auto"/>
        <w:rPr>
          <w:rFonts w:ascii="Arial" w:hAnsi="Arial" w:cs="Arial"/>
          <w:kern w:val="0"/>
          <w:lang w:val="en-GB"/>
          <w14:ligatures w14:val="none"/>
        </w:rPr>
      </w:pPr>
      <w:r>
        <w:rPr>
          <w:rFonts w:ascii="Arial" w:hAnsi="Arial" w:cs="Arial"/>
          <w:kern w:val="0"/>
          <w:lang w:val="en-GB"/>
          <w14:ligatures w14:val="none"/>
        </w:rPr>
        <w:t>Methods: Twenty male operational firefighters were randomly allocated to omega-3 supplementation (n=10) or no-treatment control (n=10) for eight weeks. Resting HR and BP were measured using repeated home readings (morning and evening across four consecutive days at each time</w:t>
      </w:r>
      <w:r w:rsidR="004A7EE3">
        <w:rPr>
          <w:rFonts w:ascii="Arial" w:hAnsi="Arial" w:cs="Arial"/>
          <w:kern w:val="0"/>
          <w:lang w:val="en-GB"/>
          <w14:ligatures w14:val="none"/>
        </w:rPr>
        <w:t>-</w:t>
      </w:r>
      <w:r>
        <w:rPr>
          <w:rFonts w:ascii="Arial" w:hAnsi="Arial" w:cs="Arial"/>
          <w:kern w:val="0"/>
          <w:lang w:val="en-GB"/>
          <w14:ligatures w14:val="none"/>
        </w:rPr>
        <w:t>point). CV strain was assessed using the Chester Treadmill Test (CTT) with outcomes of average HR (CTTAveHR) and end-stage HR (CTTEndHR). Data were analysed using two-way mixed ANOVA (time × group) with Bonferroni-adjusted simple main effects.</w:t>
      </w:r>
    </w:p>
    <w:p w14:paraId="253BF9C3" w14:textId="77777777" w:rsidR="004D3AAF" w:rsidRDefault="004D3AAF" w:rsidP="002756A6">
      <w:pPr>
        <w:spacing w:before="100" w:beforeAutospacing="1" w:after="100" w:afterAutospacing="1" w:line="360" w:lineRule="auto"/>
        <w:rPr>
          <w:rFonts w:ascii="Arial" w:hAnsi="Arial" w:cs="Arial"/>
          <w:kern w:val="0"/>
          <w:lang w:val="en-GB"/>
          <w14:ligatures w14:val="none"/>
        </w:rPr>
      </w:pPr>
      <w:r>
        <w:rPr>
          <w:rFonts w:ascii="Arial" w:hAnsi="Arial" w:cs="Arial"/>
          <w:kern w:val="0"/>
          <w:lang w:val="en-GB"/>
          <w14:ligatures w14:val="none"/>
        </w:rPr>
        <w:t>Results: Compliance exceeded 95% and no dropouts occurred. Significant time × group interactions were observed for CTTAveHR (p&lt;.001) and CTTEndHR (p=.007), with the omega-3 group demonstrating reductions in exercise HR strain (CTTAveHR: −7.1 bpm; CTTEndHR: −10.8 bpm) and the control group demonstrating small increases. Resting outcomes were less definitive: AveRHR showed a favourable trend but non-significant interaction (p=.072); SBP demonstrated a substantial reduction with significant pairwise effects but a non-significant interaction (p=.080); DBP showed no meaningful change (p=.463). Baseline diet analysis suggested broader nutritional shortfalls which may influence CV strain and recovery capacity.</w:t>
      </w:r>
    </w:p>
    <w:p w14:paraId="08E97566" w14:textId="77777777" w:rsidR="004D3AAF" w:rsidRDefault="004D3AAF" w:rsidP="002756A6">
      <w:pPr>
        <w:spacing w:before="100" w:beforeAutospacing="1" w:after="100" w:afterAutospacing="1" w:line="360" w:lineRule="auto"/>
        <w:rPr>
          <w:rFonts w:ascii="Arial" w:hAnsi="Arial" w:cs="Arial"/>
          <w:kern w:val="0"/>
          <w:lang w:val="en-GB"/>
          <w14:ligatures w14:val="none"/>
        </w:rPr>
      </w:pPr>
    </w:p>
    <w:p w14:paraId="7F498F6F" w14:textId="77777777" w:rsidR="004D3AAF" w:rsidRDefault="004D3AAF" w:rsidP="002756A6">
      <w:pPr>
        <w:spacing w:before="100" w:beforeAutospacing="1" w:after="100" w:afterAutospacing="1" w:line="360" w:lineRule="auto"/>
        <w:rPr>
          <w:rFonts w:ascii="Arial" w:hAnsi="Arial" w:cs="Arial"/>
          <w:kern w:val="0"/>
          <w:lang w:val="en-GB"/>
          <w14:ligatures w14:val="none"/>
        </w:rPr>
      </w:pPr>
      <w:r>
        <w:rPr>
          <w:rFonts w:ascii="Arial" w:hAnsi="Arial" w:cs="Arial"/>
          <w:kern w:val="0"/>
          <w:lang w:val="en-GB"/>
          <w14:ligatures w14:val="none"/>
        </w:rPr>
        <w:lastRenderedPageBreak/>
        <w:t>Conclusion: Eight weeks of 3 g/day EPA+DHA produced clear improvements in submaximal exercise HR strain during the CTT, while resting haemodynamic outcomes were mixed and less statistically robust. Omega-3 supplementation appears most defensible as a low-burden adjunct within a wider FF health and performance strategy. Larger placebo-controlled trials with biomarker confirmation are warranted.</w:t>
      </w:r>
    </w:p>
    <w:p w14:paraId="44109D2B" w14:textId="77777777" w:rsidR="004D3AAF" w:rsidRDefault="004D3AAF" w:rsidP="002756A6">
      <w:pPr>
        <w:pStyle w:val="p1"/>
        <w:spacing w:line="360" w:lineRule="auto"/>
        <w:rPr>
          <w:rFonts w:ascii="Arial" w:hAnsi="Arial" w:cs="Arial"/>
          <w:lang w:val="en-GB"/>
        </w:rPr>
      </w:pPr>
      <w:r>
        <w:rPr>
          <w:rStyle w:val="s1"/>
          <w:rFonts w:ascii="Arial" w:hAnsi="Arial" w:cs="Arial"/>
          <w:b/>
          <w:bCs/>
          <w:lang w:val="en-GB"/>
        </w:rPr>
        <w:t>Keywords:</w:t>
      </w:r>
      <w:r>
        <w:rPr>
          <w:rStyle w:val="s2"/>
          <w:rFonts w:ascii="Arial" w:hAnsi="Arial" w:cs="Arial"/>
          <w:lang w:val="en-GB"/>
        </w:rPr>
        <w:t xml:space="preserve"> firefighters; omega-3 fatty acids; EPA; DHA; cardiovascular strain; heart rate; blood pressure; inflammation; occupational stressors; tactical athlete; submaximal exercise; performance longevity</w:t>
      </w:r>
    </w:p>
    <w:p w14:paraId="4C6A6099" w14:textId="77777777" w:rsidR="004D3AAF" w:rsidRDefault="004D3AAF" w:rsidP="00096CAD">
      <w:pPr>
        <w:spacing w:before="100" w:beforeAutospacing="1" w:after="100" w:afterAutospacing="1" w:line="360" w:lineRule="auto"/>
        <w:rPr>
          <w:rFonts w:ascii="Arial" w:hAnsi="Arial" w:cs="Arial"/>
          <w:kern w:val="0"/>
          <w:lang w:val="en-GB"/>
          <w14:ligatures w14:val="none"/>
        </w:rPr>
      </w:pPr>
    </w:p>
    <w:p w14:paraId="2808AF97" w14:textId="77777777" w:rsidR="004D3AAF" w:rsidRDefault="004D3AAF" w:rsidP="00096CAD">
      <w:pPr>
        <w:spacing w:before="100" w:beforeAutospacing="1" w:after="100" w:afterAutospacing="1" w:line="360" w:lineRule="auto"/>
        <w:rPr>
          <w:rFonts w:ascii="Arial" w:hAnsi="Arial" w:cs="Arial"/>
          <w:kern w:val="0"/>
          <w:lang w:val="en-GB"/>
          <w14:ligatures w14:val="none"/>
        </w:rPr>
      </w:pPr>
    </w:p>
    <w:p w14:paraId="7044FDCF" w14:textId="77777777" w:rsidR="004D3AAF" w:rsidRDefault="004D3AAF" w:rsidP="00096CAD">
      <w:pPr>
        <w:spacing w:before="100" w:beforeAutospacing="1" w:after="100" w:afterAutospacing="1" w:line="360" w:lineRule="auto"/>
        <w:rPr>
          <w:rFonts w:ascii="Arial" w:hAnsi="Arial" w:cs="Arial"/>
          <w:kern w:val="0"/>
          <w:lang w:val="en-GB"/>
          <w14:ligatures w14:val="none"/>
        </w:rPr>
      </w:pPr>
    </w:p>
    <w:p w14:paraId="21C9D2C1" w14:textId="77777777" w:rsidR="004D3AAF" w:rsidRDefault="004D3AAF" w:rsidP="00096CAD">
      <w:pPr>
        <w:spacing w:before="100" w:beforeAutospacing="1" w:after="100" w:afterAutospacing="1" w:line="360" w:lineRule="auto"/>
        <w:rPr>
          <w:rFonts w:ascii="Arial" w:hAnsi="Arial" w:cs="Arial"/>
          <w:kern w:val="0"/>
          <w:lang w:val="en-GB"/>
          <w14:ligatures w14:val="none"/>
        </w:rPr>
      </w:pPr>
    </w:p>
    <w:p w14:paraId="6A6CE7C1" w14:textId="77777777" w:rsidR="004767A2" w:rsidRDefault="004767A2" w:rsidP="00096CAD">
      <w:pPr>
        <w:spacing w:line="360" w:lineRule="auto"/>
      </w:pPr>
    </w:p>
    <w:p w14:paraId="7C29AC7D" w14:textId="77777777" w:rsidR="004767A2" w:rsidRDefault="004767A2" w:rsidP="00096CAD">
      <w:pPr>
        <w:spacing w:line="360" w:lineRule="auto"/>
      </w:pPr>
    </w:p>
    <w:p w14:paraId="41074970" w14:textId="77777777" w:rsidR="004767A2" w:rsidRDefault="004767A2" w:rsidP="00096CAD">
      <w:pPr>
        <w:spacing w:line="360" w:lineRule="auto"/>
      </w:pPr>
    </w:p>
    <w:p w14:paraId="3F1E73C7" w14:textId="77777777" w:rsidR="004767A2" w:rsidRDefault="004767A2" w:rsidP="00096CAD">
      <w:pPr>
        <w:spacing w:line="360" w:lineRule="auto"/>
      </w:pPr>
    </w:p>
    <w:p w14:paraId="27A17D3D" w14:textId="77777777" w:rsidR="004767A2" w:rsidRDefault="004767A2" w:rsidP="00096CAD">
      <w:pPr>
        <w:spacing w:line="360" w:lineRule="auto"/>
      </w:pPr>
    </w:p>
    <w:p w14:paraId="4D3FFA49" w14:textId="77777777" w:rsidR="004767A2" w:rsidRDefault="004767A2" w:rsidP="00096CAD">
      <w:pPr>
        <w:spacing w:line="360" w:lineRule="auto"/>
      </w:pPr>
    </w:p>
    <w:p w14:paraId="66EC6009" w14:textId="77777777" w:rsidR="004767A2" w:rsidRDefault="004767A2" w:rsidP="00096CAD">
      <w:pPr>
        <w:spacing w:line="360" w:lineRule="auto"/>
      </w:pPr>
    </w:p>
    <w:p w14:paraId="54EF4321" w14:textId="0D59A51B" w:rsidR="00A12193" w:rsidRPr="00FE0B72" w:rsidRDefault="004767A2" w:rsidP="008870BA">
      <w:pPr>
        <w:pStyle w:val="Heading1"/>
      </w:pPr>
      <w:bookmarkStart w:id="2" w:name="_Toc228218251"/>
      <w:r w:rsidRPr="00FE0B72">
        <w:lastRenderedPageBreak/>
        <w:t>ACKNOWLEDGEMENTS</w:t>
      </w:r>
      <w:bookmarkEnd w:id="2"/>
    </w:p>
    <w:p w14:paraId="3F0F3A8D" w14:textId="77777777" w:rsidR="00844D23" w:rsidRPr="00A81A3B" w:rsidRDefault="00844D23" w:rsidP="008870BA">
      <w:pPr>
        <w:pStyle w:val="Heading1"/>
        <w:rPr>
          <w:rFonts w:ascii="Arial" w:hAnsi="Arial" w:cs="Arial"/>
        </w:rPr>
      </w:pPr>
    </w:p>
    <w:p w14:paraId="0A755936" w14:textId="5B9AC8E1" w:rsidR="00844D23" w:rsidRPr="00A81A3B" w:rsidRDefault="00844D23" w:rsidP="00826AD7">
      <w:pPr>
        <w:pStyle w:val="p1"/>
        <w:spacing w:line="360" w:lineRule="auto"/>
        <w:rPr>
          <w:rFonts w:ascii="Arial" w:hAnsi="Arial" w:cs="Arial"/>
        </w:rPr>
      </w:pPr>
      <w:r w:rsidRPr="00A81A3B">
        <w:rPr>
          <w:rFonts w:ascii="Arial" w:hAnsi="Arial" w:cs="Arial"/>
        </w:rPr>
        <w:t>I would like to express my sincere thanks to the University of Wales Trinity Saint David for the opportunity to complete this dissertation as part of the MSc Sport and Exercise Nutrition programme.</w:t>
      </w:r>
    </w:p>
    <w:p w14:paraId="45986169" w14:textId="74AE7F06" w:rsidR="00844D23" w:rsidRPr="00A81A3B" w:rsidRDefault="00844D23" w:rsidP="00826AD7">
      <w:pPr>
        <w:pStyle w:val="p1"/>
        <w:spacing w:line="360" w:lineRule="auto"/>
        <w:rPr>
          <w:rFonts w:ascii="Arial" w:hAnsi="Arial" w:cs="Arial"/>
        </w:rPr>
      </w:pPr>
      <w:r w:rsidRPr="00A81A3B">
        <w:rPr>
          <w:rFonts w:ascii="Arial" w:hAnsi="Arial" w:cs="Arial"/>
        </w:rPr>
        <w:t>I am especially grateful to Chris Cashin and Geraint Forster for their guidance, support and feedback throughout this research process. Their time, expertise and encouragement have been greatly appreciated and have helped shape this project from its early development through to final completion.</w:t>
      </w:r>
    </w:p>
    <w:p w14:paraId="3694D7FA" w14:textId="2F092C73" w:rsidR="00844D23" w:rsidRPr="00A81A3B" w:rsidRDefault="00844D23" w:rsidP="00826AD7">
      <w:pPr>
        <w:pStyle w:val="p1"/>
        <w:spacing w:line="360" w:lineRule="auto"/>
        <w:rPr>
          <w:rFonts w:ascii="Arial" w:hAnsi="Arial" w:cs="Arial"/>
        </w:rPr>
      </w:pPr>
      <w:r w:rsidRPr="00A81A3B">
        <w:rPr>
          <w:rFonts w:ascii="Arial" w:hAnsi="Arial" w:cs="Arial"/>
        </w:rPr>
        <w:t>I would also like to thank South Wales Fire and Rescue Service for supporting this study, and in particular the firefighters who took part. Their professionalism, enthusiasm, time and willingness to contribute made this research possible.</w:t>
      </w:r>
    </w:p>
    <w:p w14:paraId="072E6A9E" w14:textId="77777777" w:rsidR="00844D23" w:rsidRPr="00A81A3B" w:rsidRDefault="00844D23" w:rsidP="00826AD7">
      <w:pPr>
        <w:pStyle w:val="p1"/>
        <w:spacing w:line="360" w:lineRule="auto"/>
        <w:rPr>
          <w:rFonts w:ascii="Arial" w:hAnsi="Arial" w:cs="Arial"/>
        </w:rPr>
      </w:pPr>
      <w:r w:rsidRPr="00A81A3B">
        <w:rPr>
          <w:rFonts w:ascii="Arial" w:hAnsi="Arial" w:cs="Arial"/>
        </w:rPr>
        <w:t>Finally, I would like to thank my family for their continued support, patience and encouragement throughout my studies. Their backing has been invaluable throughout the completion of this dissertation.</w:t>
      </w:r>
    </w:p>
    <w:p w14:paraId="7B024E8A" w14:textId="77777777" w:rsidR="004767A2" w:rsidRPr="00A81A3B" w:rsidRDefault="004767A2" w:rsidP="00096CAD">
      <w:pPr>
        <w:spacing w:line="360" w:lineRule="auto"/>
        <w:rPr>
          <w:rFonts w:ascii="Arial" w:hAnsi="Arial" w:cs="Arial"/>
        </w:rPr>
      </w:pPr>
    </w:p>
    <w:p w14:paraId="0441A7D9" w14:textId="77777777" w:rsidR="00A04E72" w:rsidRDefault="00A04E72" w:rsidP="00392E4A">
      <w:pPr>
        <w:pStyle w:val="Heading1"/>
      </w:pPr>
    </w:p>
    <w:p w14:paraId="6748E0EF" w14:textId="77777777" w:rsidR="00A04E72" w:rsidRDefault="00A04E72" w:rsidP="00A04E72"/>
    <w:p w14:paraId="742A68B4" w14:textId="77777777" w:rsidR="00AA6586" w:rsidRDefault="00AA6586" w:rsidP="00A04E72"/>
    <w:p w14:paraId="04D22909" w14:textId="77777777" w:rsidR="00AA6586" w:rsidRDefault="00AA6586" w:rsidP="00A04E72"/>
    <w:p w14:paraId="59DD4357" w14:textId="77777777" w:rsidR="00AA6586" w:rsidRDefault="00AA6586" w:rsidP="00A04E72"/>
    <w:p w14:paraId="0BB85171" w14:textId="77777777" w:rsidR="00AA6586" w:rsidRPr="00A04E72" w:rsidRDefault="00AA6586" w:rsidP="00A04E72"/>
    <w:p w14:paraId="5AB01FDA" w14:textId="7E364D55" w:rsidR="001A2837" w:rsidRPr="00FE0B72" w:rsidRDefault="004767A2" w:rsidP="00392E4A">
      <w:pPr>
        <w:pStyle w:val="Heading1"/>
      </w:pPr>
      <w:bookmarkStart w:id="3" w:name="_Toc228218252"/>
      <w:r w:rsidRPr="00FE0B72">
        <w:lastRenderedPageBreak/>
        <w:t>GLOSSARY OF TERMS</w:t>
      </w:r>
      <w:bookmarkEnd w:id="3"/>
    </w:p>
    <w:p w14:paraId="20A82306" w14:textId="77777777" w:rsidR="003D4CAC" w:rsidRDefault="003D4CAC" w:rsidP="00DA0197">
      <w:pPr>
        <w:spacing w:line="360" w:lineRule="auto"/>
        <w:rPr>
          <w:rFonts w:ascii="Arial" w:hAnsi="Arial" w:cs="Arial"/>
        </w:rPr>
      </w:pPr>
    </w:p>
    <w:p w14:paraId="2290A1DE" w14:textId="2F7117BB" w:rsidR="00DA0197" w:rsidRPr="00A4700A" w:rsidRDefault="00DA0197" w:rsidP="00DA0197">
      <w:pPr>
        <w:spacing w:line="360" w:lineRule="auto"/>
        <w:rPr>
          <w:rFonts w:ascii="Arial" w:hAnsi="Arial" w:cs="Arial"/>
        </w:rPr>
      </w:pPr>
      <w:r w:rsidRPr="00A4700A">
        <w:rPr>
          <w:rFonts w:ascii="Arial" w:hAnsi="Arial" w:cs="Arial"/>
        </w:rPr>
        <w:t>AL – Allostatic load</w:t>
      </w:r>
    </w:p>
    <w:p w14:paraId="219E94D2" w14:textId="77777777" w:rsidR="00DA0197" w:rsidRPr="00A4700A" w:rsidRDefault="00DA0197" w:rsidP="00DA0197">
      <w:pPr>
        <w:spacing w:line="360" w:lineRule="auto"/>
        <w:rPr>
          <w:rFonts w:ascii="Arial" w:hAnsi="Arial" w:cs="Arial"/>
        </w:rPr>
      </w:pPr>
      <w:r w:rsidRPr="00A4700A">
        <w:rPr>
          <w:rFonts w:ascii="Arial" w:hAnsi="Arial" w:cs="Arial"/>
        </w:rPr>
        <w:t>BP – Blood pressure</w:t>
      </w:r>
    </w:p>
    <w:p w14:paraId="5BC00797" w14:textId="77777777" w:rsidR="00DA0197" w:rsidRPr="00A4700A" w:rsidRDefault="00DA0197" w:rsidP="00DA0197">
      <w:pPr>
        <w:spacing w:line="360" w:lineRule="auto"/>
        <w:rPr>
          <w:rFonts w:ascii="Arial" w:hAnsi="Arial" w:cs="Arial"/>
        </w:rPr>
      </w:pPr>
      <w:r w:rsidRPr="00A4700A">
        <w:rPr>
          <w:rFonts w:ascii="Arial" w:hAnsi="Arial" w:cs="Arial"/>
        </w:rPr>
        <w:t>bpm – Beats per minute</w:t>
      </w:r>
    </w:p>
    <w:p w14:paraId="70F01ABF" w14:textId="77777777" w:rsidR="00DA0197" w:rsidRPr="00A4700A" w:rsidRDefault="00DA0197" w:rsidP="00DA0197">
      <w:pPr>
        <w:spacing w:line="360" w:lineRule="auto"/>
        <w:rPr>
          <w:rFonts w:ascii="Arial" w:hAnsi="Arial" w:cs="Arial"/>
        </w:rPr>
      </w:pPr>
      <w:r w:rsidRPr="00A4700A">
        <w:rPr>
          <w:rFonts w:ascii="Arial" w:hAnsi="Arial" w:cs="Arial"/>
        </w:rPr>
        <w:t>CON – Control group</w:t>
      </w:r>
    </w:p>
    <w:p w14:paraId="463F0AFF" w14:textId="77777777" w:rsidR="00DA0197" w:rsidRPr="00A4700A" w:rsidRDefault="00DA0197" w:rsidP="00DA0197">
      <w:pPr>
        <w:spacing w:line="360" w:lineRule="auto"/>
        <w:rPr>
          <w:rFonts w:ascii="Arial" w:hAnsi="Arial" w:cs="Arial"/>
        </w:rPr>
      </w:pPr>
      <w:r w:rsidRPr="00A4700A">
        <w:rPr>
          <w:rFonts w:ascii="Arial" w:hAnsi="Arial" w:cs="Arial"/>
        </w:rPr>
        <w:t>CRP – C-reactive protein</w:t>
      </w:r>
    </w:p>
    <w:p w14:paraId="7B95AAFB" w14:textId="77777777" w:rsidR="00DA0197" w:rsidRPr="00A4700A" w:rsidRDefault="00DA0197" w:rsidP="00DA0197">
      <w:pPr>
        <w:spacing w:line="360" w:lineRule="auto"/>
        <w:rPr>
          <w:rFonts w:ascii="Arial" w:hAnsi="Arial" w:cs="Arial"/>
        </w:rPr>
      </w:pPr>
      <w:r w:rsidRPr="00A4700A">
        <w:rPr>
          <w:rFonts w:ascii="Arial" w:hAnsi="Arial" w:cs="Arial"/>
        </w:rPr>
        <w:t>CTT – Chester Treadmill Test</w:t>
      </w:r>
    </w:p>
    <w:p w14:paraId="37CD50ED" w14:textId="77777777" w:rsidR="00DA0197" w:rsidRPr="00A4700A" w:rsidRDefault="00DA0197" w:rsidP="00DA0197">
      <w:pPr>
        <w:spacing w:line="360" w:lineRule="auto"/>
        <w:rPr>
          <w:rFonts w:ascii="Arial" w:hAnsi="Arial" w:cs="Arial"/>
        </w:rPr>
      </w:pPr>
      <w:r w:rsidRPr="00A4700A">
        <w:rPr>
          <w:rFonts w:ascii="Arial" w:hAnsi="Arial" w:cs="Arial"/>
        </w:rPr>
        <w:t>CTTAveHR – Chester Treadmill Test average heart rate</w:t>
      </w:r>
    </w:p>
    <w:p w14:paraId="5AA66398" w14:textId="77777777" w:rsidR="00DA0197" w:rsidRPr="00A4700A" w:rsidRDefault="00DA0197" w:rsidP="00DA0197">
      <w:pPr>
        <w:spacing w:line="360" w:lineRule="auto"/>
        <w:rPr>
          <w:rFonts w:ascii="Arial" w:hAnsi="Arial" w:cs="Arial"/>
        </w:rPr>
      </w:pPr>
      <w:r w:rsidRPr="00A4700A">
        <w:rPr>
          <w:rFonts w:ascii="Arial" w:hAnsi="Arial" w:cs="Arial"/>
        </w:rPr>
        <w:t>CTTEndHR – Chester Treadmill Test end heart rate</w:t>
      </w:r>
    </w:p>
    <w:p w14:paraId="3C47B3B5" w14:textId="77777777" w:rsidR="00DA0197" w:rsidRPr="00A4700A" w:rsidRDefault="00DA0197" w:rsidP="00DA0197">
      <w:pPr>
        <w:spacing w:line="360" w:lineRule="auto"/>
        <w:rPr>
          <w:rFonts w:ascii="Arial" w:hAnsi="Arial" w:cs="Arial"/>
        </w:rPr>
      </w:pPr>
      <w:r w:rsidRPr="00A4700A">
        <w:rPr>
          <w:rFonts w:ascii="Arial" w:hAnsi="Arial" w:cs="Arial"/>
        </w:rPr>
        <w:t>CV – Cardiovascular</w:t>
      </w:r>
    </w:p>
    <w:p w14:paraId="25C5F967" w14:textId="77777777" w:rsidR="00DA0197" w:rsidRPr="00A4700A" w:rsidRDefault="00DA0197" w:rsidP="00DA0197">
      <w:pPr>
        <w:spacing w:line="360" w:lineRule="auto"/>
        <w:rPr>
          <w:rFonts w:ascii="Arial" w:hAnsi="Arial" w:cs="Arial"/>
        </w:rPr>
      </w:pPr>
      <w:r w:rsidRPr="00A4700A">
        <w:rPr>
          <w:rFonts w:ascii="Arial" w:hAnsi="Arial" w:cs="Arial"/>
        </w:rPr>
        <w:t>CVD – Cardiovascular disease</w:t>
      </w:r>
    </w:p>
    <w:p w14:paraId="36FDA54F" w14:textId="77777777" w:rsidR="00DA0197" w:rsidRPr="00A4700A" w:rsidRDefault="00DA0197" w:rsidP="00DA0197">
      <w:pPr>
        <w:spacing w:line="360" w:lineRule="auto"/>
        <w:rPr>
          <w:rFonts w:ascii="Arial" w:hAnsi="Arial" w:cs="Arial"/>
        </w:rPr>
      </w:pPr>
      <w:r w:rsidRPr="00A4700A">
        <w:rPr>
          <w:rFonts w:ascii="Arial" w:hAnsi="Arial" w:cs="Arial"/>
        </w:rPr>
        <w:t>DBP – Diastolic blood pressure</w:t>
      </w:r>
    </w:p>
    <w:p w14:paraId="3BBB86B7" w14:textId="77777777" w:rsidR="00DA0197" w:rsidRPr="00A4700A" w:rsidRDefault="00DA0197" w:rsidP="00DA0197">
      <w:pPr>
        <w:spacing w:line="360" w:lineRule="auto"/>
        <w:rPr>
          <w:rFonts w:ascii="Arial" w:hAnsi="Arial" w:cs="Arial"/>
        </w:rPr>
      </w:pPr>
      <w:r w:rsidRPr="00A4700A">
        <w:rPr>
          <w:rFonts w:ascii="Arial" w:hAnsi="Arial" w:cs="Arial"/>
        </w:rPr>
        <w:t>DHA – Docosahexaenoic acid</w:t>
      </w:r>
    </w:p>
    <w:p w14:paraId="242BEB1B" w14:textId="77777777" w:rsidR="00DA0197" w:rsidRPr="00A4700A" w:rsidRDefault="00DA0197" w:rsidP="00DA0197">
      <w:pPr>
        <w:spacing w:line="360" w:lineRule="auto"/>
        <w:rPr>
          <w:rFonts w:ascii="Arial" w:hAnsi="Arial" w:cs="Arial"/>
        </w:rPr>
      </w:pPr>
      <w:r w:rsidRPr="00A4700A">
        <w:rPr>
          <w:rFonts w:ascii="Arial" w:hAnsi="Arial" w:cs="Arial"/>
        </w:rPr>
        <w:t>DRV – Dietary Reference Value</w:t>
      </w:r>
    </w:p>
    <w:p w14:paraId="43E72F5E" w14:textId="77777777" w:rsidR="00DA0197" w:rsidRPr="00A4700A" w:rsidRDefault="00DA0197" w:rsidP="00DA0197">
      <w:pPr>
        <w:spacing w:line="360" w:lineRule="auto"/>
        <w:rPr>
          <w:rFonts w:ascii="Arial" w:hAnsi="Arial" w:cs="Arial"/>
        </w:rPr>
      </w:pPr>
      <w:r w:rsidRPr="00A4700A">
        <w:rPr>
          <w:rFonts w:ascii="Arial" w:hAnsi="Arial" w:cs="Arial"/>
        </w:rPr>
        <w:t>EAR – Estimated Average Requirement</w:t>
      </w:r>
    </w:p>
    <w:p w14:paraId="17110AB5" w14:textId="77777777" w:rsidR="00DA0197" w:rsidRPr="00A4700A" w:rsidRDefault="00DA0197" w:rsidP="00DA0197">
      <w:pPr>
        <w:spacing w:line="360" w:lineRule="auto"/>
        <w:rPr>
          <w:rFonts w:ascii="Arial" w:hAnsi="Arial" w:cs="Arial"/>
        </w:rPr>
      </w:pPr>
      <w:r w:rsidRPr="00A4700A">
        <w:rPr>
          <w:rFonts w:ascii="Arial" w:hAnsi="Arial" w:cs="Arial"/>
        </w:rPr>
        <w:t>EPA – Eicosapentaenoic acid</w:t>
      </w:r>
    </w:p>
    <w:p w14:paraId="03D48844" w14:textId="77777777" w:rsidR="00DA0197" w:rsidRPr="00A4700A" w:rsidRDefault="00DA0197" w:rsidP="00DA0197">
      <w:pPr>
        <w:spacing w:line="360" w:lineRule="auto"/>
        <w:rPr>
          <w:rFonts w:ascii="Arial" w:hAnsi="Arial" w:cs="Arial"/>
        </w:rPr>
      </w:pPr>
      <w:r w:rsidRPr="00A4700A">
        <w:rPr>
          <w:rFonts w:ascii="Arial" w:hAnsi="Arial" w:cs="Arial"/>
        </w:rPr>
        <w:t>FF – Firefighter</w:t>
      </w:r>
    </w:p>
    <w:p w14:paraId="0B7C4943" w14:textId="77777777" w:rsidR="00DA0197" w:rsidRPr="00A4700A" w:rsidRDefault="00DA0197" w:rsidP="00DA0197">
      <w:pPr>
        <w:spacing w:line="360" w:lineRule="auto"/>
        <w:rPr>
          <w:rFonts w:ascii="Arial" w:hAnsi="Arial" w:cs="Arial"/>
        </w:rPr>
      </w:pPr>
      <w:r w:rsidRPr="00A4700A">
        <w:rPr>
          <w:rFonts w:ascii="Arial" w:hAnsi="Arial" w:cs="Arial"/>
        </w:rPr>
        <w:t>FFs – Firefighters</w:t>
      </w:r>
    </w:p>
    <w:p w14:paraId="3A13376D" w14:textId="77777777" w:rsidR="00DA0197" w:rsidRPr="00A4700A" w:rsidRDefault="00DA0197" w:rsidP="00DA0197">
      <w:pPr>
        <w:spacing w:line="360" w:lineRule="auto"/>
        <w:rPr>
          <w:rFonts w:ascii="Arial" w:hAnsi="Arial" w:cs="Arial"/>
        </w:rPr>
      </w:pPr>
      <w:r w:rsidRPr="00A4700A">
        <w:rPr>
          <w:rFonts w:ascii="Arial" w:hAnsi="Arial" w:cs="Arial"/>
        </w:rPr>
        <w:t>GDPR – General Data Protection Regulation</w:t>
      </w:r>
    </w:p>
    <w:p w14:paraId="0E423142" w14:textId="77777777" w:rsidR="00DA0197" w:rsidRPr="00A4700A" w:rsidRDefault="00DA0197" w:rsidP="00DA0197">
      <w:pPr>
        <w:spacing w:line="360" w:lineRule="auto"/>
        <w:rPr>
          <w:rFonts w:ascii="Arial" w:hAnsi="Arial" w:cs="Arial"/>
        </w:rPr>
      </w:pPr>
      <w:r w:rsidRPr="00A4700A">
        <w:rPr>
          <w:rFonts w:ascii="Arial" w:hAnsi="Arial" w:cs="Arial"/>
        </w:rPr>
        <w:t>HR – Heart rate</w:t>
      </w:r>
    </w:p>
    <w:p w14:paraId="1C687098" w14:textId="77777777" w:rsidR="00DA0197" w:rsidRPr="00A4700A" w:rsidRDefault="00DA0197" w:rsidP="00DA0197">
      <w:pPr>
        <w:spacing w:line="360" w:lineRule="auto"/>
        <w:rPr>
          <w:rFonts w:ascii="Arial" w:hAnsi="Arial" w:cs="Arial"/>
        </w:rPr>
      </w:pPr>
      <w:r w:rsidRPr="00A4700A">
        <w:rPr>
          <w:rFonts w:ascii="Arial" w:hAnsi="Arial" w:cs="Arial"/>
        </w:rPr>
        <w:t>IL-1β – Interleukin-1 beta</w:t>
      </w:r>
    </w:p>
    <w:p w14:paraId="6DB432DC" w14:textId="77777777" w:rsidR="00DA0197" w:rsidRPr="00A4700A" w:rsidRDefault="00DA0197" w:rsidP="00DA0197">
      <w:pPr>
        <w:spacing w:line="360" w:lineRule="auto"/>
        <w:rPr>
          <w:rFonts w:ascii="Arial" w:hAnsi="Arial" w:cs="Arial"/>
        </w:rPr>
      </w:pPr>
      <w:r w:rsidRPr="00A4700A">
        <w:rPr>
          <w:rFonts w:ascii="Arial" w:hAnsi="Arial" w:cs="Arial"/>
        </w:rPr>
        <w:lastRenderedPageBreak/>
        <w:t>IL-6 – Interleukin-6</w:t>
      </w:r>
    </w:p>
    <w:p w14:paraId="3510123E" w14:textId="77777777" w:rsidR="00DA0197" w:rsidRPr="00A4700A" w:rsidRDefault="00DA0197" w:rsidP="00DA0197">
      <w:pPr>
        <w:spacing w:line="360" w:lineRule="auto"/>
        <w:rPr>
          <w:rFonts w:ascii="Arial" w:hAnsi="Arial" w:cs="Arial"/>
        </w:rPr>
      </w:pPr>
      <w:r w:rsidRPr="00A4700A">
        <w:rPr>
          <w:rFonts w:ascii="Arial" w:hAnsi="Arial" w:cs="Arial"/>
        </w:rPr>
        <w:t>INT O3 – Omega-3 intervention group</w:t>
      </w:r>
    </w:p>
    <w:p w14:paraId="449892CA" w14:textId="77777777" w:rsidR="00DA0197" w:rsidRPr="00A4700A" w:rsidRDefault="00DA0197" w:rsidP="00DA0197">
      <w:pPr>
        <w:spacing w:line="360" w:lineRule="auto"/>
        <w:rPr>
          <w:rFonts w:ascii="Arial" w:hAnsi="Arial" w:cs="Arial"/>
        </w:rPr>
      </w:pPr>
      <w:r w:rsidRPr="00A4700A">
        <w:rPr>
          <w:rFonts w:ascii="Arial" w:hAnsi="Arial" w:cs="Arial"/>
        </w:rPr>
        <w:t>LRNI – Lower Reference Nutrient Intake</w:t>
      </w:r>
    </w:p>
    <w:p w14:paraId="2C44270D" w14:textId="77777777" w:rsidR="00DA0197" w:rsidRPr="00A4700A" w:rsidRDefault="00DA0197" w:rsidP="00DA0197">
      <w:pPr>
        <w:spacing w:line="360" w:lineRule="auto"/>
        <w:rPr>
          <w:rFonts w:ascii="Arial" w:hAnsi="Arial" w:cs="Arial"/>
        </w:rPr>
      </w:pPr>
      <w:r w:rsidRPr="00A4700A">
        <w:rPr>
          <w:rFonts w:ascii="Arial" w:hAnsi="Arial" w:cs="Arial"/>
        </w:rPr>
        <w:t>MaxHR – Maximum heart rate</w:t>
      </w:r>
    </w:p>
    <w:p w14:paraId="4D9AE521" w14:textId="77777777" w:rsidR="00DA0197" w:rsidRPr="00A4700A" w:rsidRDefault="00DA0197" w:rsidP="00DA0197">
      <w:pPr>
        <w:spacing w:line="360" w:lineRule="auto"/>
        <w:rPr>
          <w:rFonts w:ascii="Arial" w:hAnsi="Arial" w:cs="Arial"/>
        </w:rPr>
      </w:pPr>
      <w:r w:rsidRPr="00A4700A">
        <w:rPr>
          <w:rFonts w:ascii="Arial" w:hAnsi="Arial" w:cs="Arial"/>
        </w:rPr>
        <w:t>MD – Mediterranean diet</w:t>
      </w:r>
    </w:p>
    <w:p w14:paraId="4A5500CC" w14:textId="77777777" w:rsidR="00DA0197" w:rsidRPr="00A4700A" w:rsidRDefault="00DA0197" w:rsidP="00DA0197">
      <w:pPr>
        <w:spacing w:line="360" w:lineRule="auto"/>
        <w:rPr>
          <w:rFonts w:ascii="Arial" w:hAnsi="Arial" w:cs="Arial"/>
        </w:rPr>
      </w:pPr>
      <w:r w:rsidRPr="00A4700A">
        <w:rPr>
          <w:rFonts w:ascii="Arial" w:hAnsi="Arial" w:cs="Arial"/>
        </w:rPr>
        <w:t>MH – Mental health</w:t>
      </w:r>
    </w:p>
    <w:p w14:paraId="3A0C7BD5" w14:textId="77777777" w:rsidR="00DA0197" w:rsidRPr="00A4700A" w:rsidRDefault="00DA0197" w:rsidP="00DA0197">
      <w:pPr>
        <w:spacing w:line="360" w:lineRule="auto"/>
        <w:rPr>
          <w:rFonts w:ascii="Arial" w:hAnsi="Arial" w:cs="Arial"/>
        </w:rPr>
      </w:pPr>
      <w:r w:rsidRPr="00A4700A">
        <w:rPr>
          <w:rFonts w:ascii="Arial" w:hAnsi="Arial" w:cs="Arial"/>
        </w:rPr>
        <w:t>NF-κB – Nuclear factor kappa B</w:t>
      </w:r>
    </w:p>
    <w:p w14:paraId="0BF77F89" w14:textId="77777777" w:rsidR="00DA0197" w:rsidRPr="00A4700A" w:rsidRDefault="00DA0197" w:rsidP="00DA0197">
      <w:pPr>
        <w:spacing w:line="360" w:lineRule="auto"/>
        <w:rPr>
          <w:rFonts w:ascii="Arial" w:hAnsi="Arial" w:cs="Arial"/>
        </w:rPr>
      </w:pPr>
      <w:r w:rsidRPr="00A4700A">
        <w:rPr>
          <w:rFonts w:ascii="Arial" w:hAnsi="Arial" w:cs="Arial"/>
        </w:rPr>
        <w:t>NFPA – National Fire Protection Association</w:t>
      </w:r>
    </w:p>
    <w:p w14:paraId="30E4667D" w14:textId="77777777" w:rsidR="00DA0197" w:rsidRPr="00A4700A" w:rsidRDefault="00DA0197" w:rsidP="00DA0197">
      <w:pPr>
        <w:spacing w:line="360" w:lineRule="auto"/>
        <w:rPr>
          <w:rFonts w:ascii="Arial" w:hAnsi="Arial" w:cs="Arial"/>
        </w:rPr>
      </w:pPr>
      <w:r w:rsidRPr="00A4700A">
        <w:rPr>
          <w:rFonts w:ascii="Arial" w:hAnsi="Arial" w:cs="Arial"/>
        </w:rPr>
        <w:t>NO – Nitric oxide</w:t>
      </w:r>
    </w:p>
    <w:p w14:paraId="453C9A55" w14:textId="77777777" w:rsidR="00DA0197" w:rsidRPr="00A4700A" w:rsidRDefault="00DA0197" w:rsidP="00DA0197">
      <w:pPr>
        <w:spacing w:line="360" w:lineRule="auto"/>
        <w:rPr>
          <w:rFonts w:ascii="Arial" w:hAnsi="Arial" w:cs="Arial"/>
        </w:rPr>
      </w:pPr>
      <w:r w:rsidRPr="00A4700A">
        <w:rPr>
          <w:rFonts w:ascii="Arial" w:hAnsi="Arial" w:cs="Arial"/>
        </w:rPr>
        <w:t>O3 – Omega-3</w:t>
      </w:r>
    </w:p>
    <w:p w14:paraId="40F98F50" w14:textId="77777777" w:rsidR="00DA0197" w:rsidRPr="00A4700A" w:rsidRDefault="00DA0197" w:rsidP="00DA0197">
      <w:pPr>
        <w:spacing w:line="360" w:lineRule="auto"/>
        <w:rPr>
          <w:rFonts w:ascii="Arial" w:hAnsi="Arial" w:cs="Arial"/>
        </w:rPr>
      </w:pPr>
      <w:r w:rsidRPr="00A4700A">
        <w:rPr>
          <w:rFonts w:ascii="Arial" w:hAnsi="Arial" w:cs="Arial"/>
        </w:rPr>
        <w:t>OXS – Oxidative stress</w:t>
      </w:r>
    </w:p>
    <w:p w14:paraId="40FBC123" w14:textId="77777777" w:rsidR="00DA0197" w:rsidRPr="00A4700A" w:rsidRDefault="00DA0197" w:rsidP="00DA0197">
      <w:pPr>
        <w:spacing w:line="360" w:lineRule="auto"/>
        <w:rPr>
          <w:rFonts w:ascii="Arial" w:hAnsi="Arial" w:cs="Arial"/>
        </w:rPr>
      </w:pPr>
      <w:r w:rsidRPr="00A4700A">
        <w:rPr>
          <w:rFonts w:ascii="Arial" w:hAnsi="Arial" w:cs="Arial"/>
        </w:rPr>
        <w:t>PAR-Q – Physical Activity Readiness Questionnaire</w:t>
      </w:r>
    </w:p>
    <w:p w14:paraId="152D23B9" w14:textId="77777777" w:rsidR="00DA0197" w:rsidRPr="00A4700A" w:rsidRDefault="00DA0197" w:rsidP="00DA0197">
      <w:pPr>
        <w:spacing w:line="360" w:lineRule="auto"/>
        <w:rPr>
          <w:rFonts w:ascii="Arial" w:hAnsi="Arial" w:cs="Arial"/>
        </w:rPr>
      </w:pPr>
      <w:r w:rsidRPr="00A4700A">
        <w:rPr>
          <w:rFonts w:ascii="Arial" w:hAnsi="Arial" w:cs="Arial"/>
        </w:rPr>
        <w:t>PAT – Physical ability test</w:t>
      </w:r>
    </w:p>
    <w:p w14:paraId="7FC03909" w14:textId="77777777" w:rsidR="00DA0197" w:rsidRPr="00A4700A" w:rsidRDefault="00DA0197" w:rsidP="00DA0197">
      <w:pPr>
        <w:spacing w:line="360" w:lineRule="auto"/>
        <w:rPr>
          <w:rFonts w:ascii="Arial" w:hAnsi="Arial" w:cs="Arial"/>
        </w:rPr>
      </w:pPr>
      <w:r w:rsidRPr="00A4700A">
        <w:rPr>
          <w:rFonts w:ascii="Arial" w:hAnsi="Arial" w:cs="Arial"/>
        </w:rPr>
        <w:t>PPE – Personal protective equipment</w:t>
      </w:r>
    </w:p>
    <w:p w14:paraId="0C58FD64" w14:textId="77777777" w:rsidR="00DA0197" w:rsidRPr="00A4700A" w:rsidRDefault="00DA0197" w:rsidP="00DA0197">
      <w:pPr>
        <w:spacing w:line="360" w:lineRule="auto"/>
        <w:rPr>
          <w:rFonts w:ascii="Arial" w:hAnsi="Arial" w:cs="Arial"/>
        </w:rPr>
      </w:pPr>
      <w:r w:rsidRPr="00A4700A">
        <w:rPr>
          <w:rFonts w:ascii="Arial" w:hAnsi="Arial" w:cs="Arial"/>
        </w:rPr>
        <w:t>PTSD – Post-traumatic stress disorder</w:t>
      </w:r>
    </w:p>
    <w:p w14:paraId="4CFDA731" w14:textId="77777777" w:rsidR="00DA0197" w:rsidRPr="00A4700A" w:rsidRDefault="00DA0197" w:rsidP="00DA0197">
      <w:pPr>
        <w:spacing w:line="360" w:lineRule="auto"/>
        <w:rPr>
          <w:rFonts w:ascii="Arial" w:hAnsi="Arial" w:cs="Arial"/>
        </w:rPr>
      </w:pPr>
      <w:r w:rsidRPr="00A4700A">
        <w:rPr>
          <w:rFonts w:ascii="Arial" w:hAnsi="Arial" w:cs="Arial"/>
        </w:rPr>
        <w:t>PUFA – Polyunsaturated fatty acid</w:t>
      </w:r>
    </w:p>
    <w:p w14:paraId="3A03CFAE" w14:textId="77777777" w:rsidR="00DA0197" w:rsidRPr="00A4700A" w:rsidRDefault="00DA0197" w:rsidP="00DA0197">
      <w:pPr>
        <w:spacing w:line="360" w:lineRule="auto"/>
        <w:rPr>
          <w:rFonts w:ascii="Arial" w:hAnsi="Arial" w:cs="Arial"/>
        </w:rPr>
      </w:pPr>
      <w:r w:rsidRPr="00A4700A">
        <w:rPr>
          <w:rFonts w:ascii="Arial" w:hAnsi="Arial" w:cs="Arial"/>
        </w:rPr>
        <w:t>PUFAs – Polyunsaturated fatty acids</w:t>
      </w:r>
    </w:p>
    <w:p w14:paraId="3F4307A0" w14:textId="77777777" w:rsidR="00DA0197" w:rsidRPr="00A4700A" w:rsidRDefault="00DA0197" w:rsidP="00DA0197">
      <w:pPr>
        <w:spacing w:line="360" w:lineRule="auto"/>
        <w:rPr>
          <w:rFonts w:ascii="Arial" w:hAnsi="Arial" w:cs="Arial"/>
        </w:rPr>
      </w:pPr>
      <w:r w:rsidRPr="00A4700A">
        <w:rPr>
          <w:rFonts w:ascii="Arial" w:hAnsi="Arial" w:cs="Arial"/>
        </w:rPr>
        <w:t>RCT – Randomised controlled trial</w:t>
      </w:r>
    </w:p>
    <w:p w14:paraId="09884E8F" w14:textId="77777777" w:rsidR="00DA0197" w:rsidRPr="00A4700A" w:rsidRDefault="00DA0197" w:rsidP="00DA0197">
      <w:pPr>
        <w:spacing w:line="360" w:lineRule="auto"/>
        <w:rPr>
          <w:rFonts w:ascii="Arial" w:hAnsi="Arial" w:cs="Arial"/>
        </w:rPr>
      </w:pPr>
      <w:r w:rsidRPr="00A4700A">
        <w:rPr>
          <w:rFonts w:ascii="Arial" w:hAnsi="Arial" w:cs="Arial"/>
        </w:rPr>
        <w:t>RHR – Resting heart rate</w:t>
      </w:r>
    </w:p>
    <w:p w14:paraId="4D3A77B9" w14:textId="77777777" w:rsidR="00DA0197" w:rsidRPr="00A4700A" w:rsidRDefault="00DA0197" w:rsidP="00DA0197">
      <w:pPr>
        <w:spacing w:line="360" w:lineRule="auto"/>
        <w:rPr>
          <w:rFonts w:ascii="Arial" w:hAnsi="Arial" w:cs="Arial"/>
        </w:rPr>
      </w:pPr>
      <w:r w:rsidRPr="00A4700A">
        <w:rPr>
          <w:rFonts w:ascii="Arial" w:hAnsi="Arial" w:cs="Arial"/>
        </w:rPr>
        <w:t>RNI – Reference Nutrient Intake</w:t>
      </w:r>
    </w:p>
    <w:p w14:paraId="570FE1C0" w14:textId="77777777" w:rsidR="00DA0197" w:rsidRPr="00A4700A" w:rsidRDefault="00DA0197" w:rsidP="00DA0197">
      <w:pPr>
        <w:spacing w:line="360" w:lineRule="auto"/>
        <w:rPr>
          <w:rFonts w:ascii="Arial" w:hAnsi="Arial" w:cs="Arial"/>
        </w:rPr>
      </w:pPr>
      <w:r w:rsidRPr="00A4700A">
        <w:rPr>
          <w:rFonts w:ascii="Arial" w:hAnsi="Arial" w:cs="Arial"/>
        </w:rPr>
        <w:t>ROS – Reactive oxygen species</w:t>
      </w:r>
    </w:p>
    <w:p w14:paraId="17547205" w14:textId="77777777" w:rsidR="00DA0197" w:rsidRPr="00A4700A" w:rsidRDefault="00DA0197" w:rsidP="00DA0197">
      <w:pPr>
        <w:spacing w:line="360" w:lineRule="auto"/>
        <w:rPr>
          <w:rFonts w:ascii="Arial" w:hAnsi="Arial" w:cs="Arial"/>
        </w:rPr>
      </w:pPr>
      <w:r w:rsidRPr="00A4700A">
        <w:rPr>
          <w:rFonts w:ascii="Arial" w:hAnsi="Arial" w:cs="Arial"/>
        </w:rPr>
        <w:t>rTG – Re-esterified triglyceride</w:t>
      </w:r>
    </w:p>
    <w:p w14:paraId="1DA6F98B" w14:textId="77777777" w:rsidR="00DA0197" w:rsidRPr="00A4700A" w:rsidRDefault="00DA0197" w:rsidP="00DA0197">
      <w:pPr>
        <w:spacing w:line="360" w:lineRule="auto"/>
        <w:rPr>
          <w:rFonts w:ascii="Arial" w:hAnsi="Arial" w:cs="Arial"/>
        </w:rPr>
      </w:pPr>
      <w:r w:rsidRPr="00A4700A">
        <w:rPr>
          <w:rFonts w:ascii="Arial" w:hAnsi="Arial" w:cs="Arial"/>
        </w:rPr>
        <w:t>SBP – Systolic blood pressure</w:t>
      </w:r>
    </w:p>
    <w:p w14:paraId="29C0072A" w14:textId="77777777" w:rsidR="00DA0197" w:rsidRPr="00A4700A" w:rsidRDefault="00DA0197" w:rsidP="00DA0197">
      <w:pPr>
        <w:spacing w:line="360" w:lineRule="auto"/>
        <w:rPr>
          <w:rFonts w:ascii="Arial" w:hAnsi="Arial" w:cs="Arial"/>
        </w:rPr>
      </w:pPr>
      <w:r w:rsidRPr="00A4700A">
        <w:rPr>
          <w:rFonts w:ascii="Arial" w:hAnsi="Arial" w:cs="Arial"/>
        </w:rPr>
        <w:lastRenderedPageBreak/>
        <w:t>SCBA – Self-contained breathing apparatus</w:t>
      </w:r>
    </w:p>
    <w:p w14:paraId="46DF9C8A" w14:textId="77777777" w:rsidR="00DA0197" w:rsidRPr="00A4700A" w:rsidRDefault="00DA0197" w:rsidP="00DA0197">
      <w:pPr>
        <w:spacing w:line="360" w:lineRule="auto"/>
        <w:rPr>
          <w:rFonts w:ascii="Arial" w:hAnsi="Arial" w:cs="Arial"/>
        </w:rPr>
      </w:pPr>
      <w:r w:rsidRPr="00A4700A">
        <w:rPr>
          <w:rFonts w:ascii="Arial" w:hAnsi="Arial" w:cs="Arial"/>
        </w:rPr>
        <w:t>SCE – Sudden cardiac event</w:t>
      </w:r>
    </w:p>
    <w:p w14:paraId="0B854283" w14:textId="77777777" w:rsidR="00DA0197" w:rsidRPr="00A4700A" w:rsidRDefault="00DA0197" w:rsidP="00DA0197">
      <w:pPr>
        <w:spacing w:line="360" w:lineRule="auto"/>
        <w:rPr>
          <w:rFonts w:ascii="Arial" w:hAnsi="Arial" w:cs="Arial"/>
        </w:rPr>
      </w:pPr>
      <w:r w:rsidRPr="00A4700A">
        <w:rPr>
          <w:rFonts w:ascii="Arial" w:hAnsi="Arial" w:cs="Arial"/>
        </w:rPr>
        <w:t>SD – Standard deviation</w:t>
      </w:r>
    </w:p>
    <w:p w14:paraId="1255500B" w14:textId="77777777" w:rsidR="00DA0197" w:rsidRPr="00A4700A" w:rsidRDefault="00DA0197" w:rsidP="00DA0197">
      <w:pPr>
        <w:spacing w:line="360" w:lineRule="auto"/>
        <w:rPr>
          <w:rFonts w:ascii="Arial" w:hAnsi="Arial" w:cs="Arial"/>
        </w:rPr>
      </w:pPr>
      <w:r w:rsidRPr="00A4700A">
        <w:rPr>
          <w:rFonts w:ascii="Arial" w:hAnsi="Arial" w:cs="Arial"/>
        </w:rPr>
        <w:t>SI – Systemic inflammation</w:t>
      </w:r>
    </w:p>
    <w:p w14:paraId="6DEC6F2A" w14:textId="77777777" w:rsidR="00DA0197" w:rsidRPr="00A4700A" w:rsidRDefault="00DA0197" w:rsidP="00DA0197">
      <w:pPr>
        <w:spacing w:line="360" w:lineRule="auto"/>
        <w:rPr>
          <w:rFonts w:ascii="Arial" w:hAnsi="Arial" w:cs="Arial"/>
        </w:rPr>
      </w:pPr>
      <w:r w:rsidRPr="00A4700A">
        <w:rPr>
          <w:rFonts w:ascii="Arial" w:hAnsi="Arial" w:cs="Arial"/>
        </w:rPr>
        <w:t>SPSS – Statistical Package for the Social Sciences</w:t>
      </w:r>
    </w:p>
    <w:p w14:paraId="22718ECD" w14:textId="77777777" w:rsidR="00DA0197" w:rsidRPr="00A4700A" w:rsidRDefault="00DA0197" w:rsidP="00DA0197">
      <w:pPr>
        <w:spacing w:line="360" w:lineRule="auto"/>
        <w:rPr>
          <w:rFonts w:ascii="Arial" w:hAnsi="Arial" w:cs="Arial"/>
        </w:rPr>
      </w:pPr>
      <w:r w:rsidRPr="00A4700A">
        <w:rPr>
          <w:rFonts w:ascii="Arial" w:hAnsi="Arial" w:cs="Arial"/>
        </w:rPr>
        <w:t>TA – Tactical athlete</w:t>
      </w:r>
    </w:p>
    <w:p w14:paraId="79802191" w14:textId="77777777" w:rsidR="00DA0197" w:rsidRPr="00A4700A" w:rsidRDefault="00DA0197" w:rsidP="00DA0197">
      <w:pPr>
        <w:spacing w:line="360" w:lineRule="auto"/>
        <w:rPr>
          <w:rFonts w:ascii="Arial" w:hAnsi="Arial" w:cs="Arial"/>
        </w:rPr>
      </w:pPr>
      <w:r w:rsidRPr="00A4700A">
        <w:rPr>
          <w:rFonts w:ascii="Arial" w:hAnsi="Arial" w:cs="Arial"/>
        </w:rPr>
        <w:t>TNF-α – Tumour necrosis factor alpha</w:t>
      </w:r>
    </w:p>
    <w:p w14:paraId="4394A260" w14:textId="77777777" w:rsidR="00DA0197" w:rsidRPr="00FB2E73" w:rsidRDefault="00DA0197" w:rsidP="00DA0197">
      <w:pPr>
        <w:spacing w:line="360" w:lineRule="auto"/>
        <w:rPr>
          <w:rFonts w:ascii="Arial" w:hAnsi="Arial" w:cs="Arial"/>
          <w:b/>
          <w:bCs/>
        </w:rPr>
      </w:pPr>
    </w:p>
    <w:p w14:paraId="38260987" w14:textId="77777777" w:rsidR="00DA0197" w:rsidRPr="00FB2E73" w:rsidRDefault="00DA0197" w:rsidP="00DA0197">
      <w:pPr>
        <w:spacing w:line="360" w:lineRule="auto"/>
        <w:rPr>
          <w:rFonts w:ascii="Arial" w:hAnsi="Arial" w:cs="Arial"/>
          <w:b/>
          <w:bCs/>
        </w:rPr>
      </w:pPr>
      <w:r w:rsidRPr="00FB2E73">
        <w:rPr>
          <w:rFonts w:ascii="Arial" w:hAnsi="Arial" w:cs="Arial"/>
          <w:b/>
          <w:bCs/>
        </w:rPr>
        <w:t>Dietary Reference Value terminology</w:t>
      </w:r>
    </w:p>
    <w:p w14:paraId="264852EA" w14:textId="77777777" w:rsidR="00DA0197" w:rsidRPr="00A4700A" w:rsidRDefault="00DA0197" w:rsidP="00DA0197">
      <w:pPr>
        <w:spacing w:line="360" w:lineRule="auto"/>
        <w:rPr>
          <w:rFonts w:ascii="Arial" w:hAnsi="Arial" w:cs="Arial"/>
        </w:rPr>
      </w:pPr>
    </w:p>
    <w:p w14:paraId="3FA1B0CD" w14:textId="77777777" w:rsidR="00DA0197" w:rsidRPr="00A4700A" w:rsidRDefault="00DA0197" w:rsidP="00DA0197">
      <w:pPr>
        <w:spacing w:line="360" w:lineRule="auto"/>
        <w:rPr>
          <w:rFonts w:ascii="Arial" w:hAnsi="Arial" w:cs="Arial"/>
        </w:rPr>
      </w:pPr>
      <w:r w:rsidRPr="00A4700A">
        <w:rPr>
          <w:rFonts w:ascii="Arial" w:hAnsi="Arial" w:cs="Arial"/>
        </w:rPr>
        <w:t>DRV – A collective term used to describe a set of dietary reference figures for energy and nutrients for healthy populations. These include the Estimated Average Requirement, Reference Nutrient Intake, Lower Reference Nutrient Intake and safe intake.</w:t>
      </w:r>
    </w:p>
    <w:p w14:paraId="3908817D" w14:textId="77777777" w:rsidR="00DA0197" w:rsidRPr="00A4700A" w:rsidRDefault="00DA0197" w:rsidP="00DA0197">
      <w:pPr>
        <w:spacing w:line="360" w:lineRule="auto"/>
        <w:rPr>
          <w:rFonts w:ascii="Arial" w:hAnsi="Arial" w:cs="Arial"/>
        </w:rPr>
      </w:pPr>
    </w:p>
    <w:p w14:paraId="165C6A29" w14:textId="77777777" w:rsidR="00DA0197" w:rsidRPr="00A4700A" w:rsidRDefault="00DA0197" w:rsidP="00DA0197">
      <w:pPr>
        <w:spacing w:line="360" w:lineRule="auto"/>
        <w:rPr>
          <w:rFonts w:ascii="Arial" w:hAnsi="Arial" w:cs="Arial"/>
        </w:rPr>
      </w:pPr>
      <w:r w:rsidRPr="00A4700A">
        <w:rPr>
          <w:rFonts w:ascii="Arial" w:hAnsi="Arial" w:cs="Arial"/>
        </w:rPr>
        <w:t>EAR – The average requirement for energy or a nutrient estimated to meet the needs of 50% of individuals within a defined population group.</w:t>
      </w:r>
    </w:p>
    <w:p w14:paraId="726160E3" w14:textId="77777777" w:rsidR="00DA0197" w:rsidRPr="00A4700A" w:rsidRDefault="00DA0197" w:rsidP="00DA0197">
      <w:pPr>
        <w:spacing w:line="360" w:lineRule="auto"/>
        <w:rPr>
          <w:rFonts w:ascii="Arial" w:hAnsi="Arial" w:cs="Arial"/>
        </w:rPr>
      </w:pPr>
    </w:p>
    <w:p w14:paraId="1CCED4EF" w14:textId="77777777" w:rsidR="00DA0197" w:rsidRPr="00A4700A" w:rsidRDefault="00DA0197" w:rsidP="00DA0197">
      <w:pPr>
        <w:spacing w:line="360" w:lineRule="auto"/>
        <w:rPr>
          <w:rFonts w:ascii="Arial" w:hAnsi="Arial" w:cs="Arial"/>
        </w:rPr>
      </w:pPr>
      <w:r w:rsidRPr="00A4700A">
        <w:rPr>
          <w:rFonts w:ascii="Arial" w:hAnsi="Arial" w:cs="Arial"/>
        </w:rPr>
        <w:t>RNI – The amount of a nutrient that is sufficient to meet the needs of nearly all individuals in a population group.</w:t>
      </w:r>
    </w:p>
    <w:p w14:paraId="45CBA107" w14:textId="77777777" w:rsidR="00DA0197" w:rsidRPr="00A4700A" w:rsidRDefault="00DA0197" w:rsidP="00DA0197">
      <w:pPr>
        <w:spacing w:line="360" w:lineRule="auto"/>
        <w:rPr>
          <w:rFonts w:ascii="Arial" w:hAnsi="Arial" w:cs="Arial"/>
        </w:rPr>
      </w:pPr>
    </w:p>
    <w:p w14:paraId="2FED58F8" w14:textId="77777777" w:rsidR="00DA0197" w:rsidRPr="00A4700A" w:rsidRDefault="00DA0197" w:rsidP="00DA0197">
      <w:pPr>
        <w:spacing w:line="360" w:lineRule="auto"/>
        <w:rPr>
          <w:rFonts w:ascii="Arial" w:hAnsi="Arial" w:cs="Arial"/>
        </w:rPr>
      </w:pPr>
      <w:r w:rsidRPr="00A4700A">
        <w:rPr>
          <w:rFonts w:ascii="Arial" w:hAnsi="Arial" w:cs="Arial"/>
        </w:rPr>
        <w:t>LRNI – The amount of a nutrient that is enough for only a small proportion of individuals who have low requirements. Habitual intakes below the LRNI are likely to be inadequate for most people.</w:t>
      </w:r>
    </w:p>
    <w:p w14:paraId="3F7AEA40" w14:textId="77777777" w:rsidR="00DA0197" w:rsidRPr="00A4700A" w:rsidRDefault="00DA0197" w:rsidP="00DA0197">
      <w:pPr>
        <w:spacing w:line="360" w:lineRule="auto"/>
        <w:rPr>
          <w:rFonts w:ascii="Arial" w:hAnsi="Arial" w:cs="Arial"/>
        </w:rPr>
      </w:pPr>
    </w:p>
    <w:p w14:paraId="72D25CE6" w14:textId="69797004" w:rsidR="004767A2" w:rsidRPr="00A4700A" w:rsidRDefault="00DA0197" w:rsidP="00096CAD">
      <w:pPr>
        <w:spacing w:line="360" w:lineRule="auto"/>
        <w:rPr>
          <w:rFonts w:ascii="Arial" w:hAnsi="Arial" w:cs="Arial"/>
        </w:rPr>
      </w:pPr>
      <w:r w:rsidRPr="00A4700A">
        <w:rPr>
          <w:rFonts w:ascii="Arial" w:hAnsi="Arial" w:cs="Arial"/>
        </w:rPr>
        <w:lastRenderedPageBreak/>
        <w:t>Safe intake – A value used when there is insufficient evidence to determine an EAR, RNI or LRNI. It refers to an intake judged to be adequate for almost everyone, without known risk of undesirable effects.</w:t>
      </w:r>
    </w:p>
    <w:p w14:paraId="04761849" w14:textId="77777777" w:rsidR="00DA7DBA" w:rsidRDefault="00DA7DBA" w:rsidP="00E707C8">
      <w:pPr>
        <w:spacing w:line="360" w:lineRule="auto"/>
        <w:jc w:val="center"/>
        <w:rPr>
          <w:b/>
          <w:bCs/>
        </w:rPr>
      </w:pPr>
    </w:p>
    <w:p w14:paraId="4906D0FE" w14:textId="77777777" w:rsidR="00A4700A" w:rsidRDefault="00A4700A" w:rsidP="00E707C8">
      <w:pPr>
        <w:spacing w:line="360" w:lineRule="auto"/>
        <w:jc w:val="center"/>
        <w:rPr>
          <w:b/>
          <w:bCs/>
        </w:rPr>
      </w:pPr>
    </w:p>
    <w:p w14:paraId="1A0FF262" w14:textId="77777777" w:rsidR="00A4700A" w:rsidRDefault="00A4700A" w:rsidP="00E707C8">
      <w:pPr>
        <w:spacing w:line="360" w:lineRule="auto"/>
        <w:jc w:val="center"/>
        <w:rPr>
          <w:b/>
          <w:bCs/>
        </w:rPr>
      </w:pPr>
    </w:p>
    <w:p w14:paraId="4DE11594" w14:textId="77777777" w:rsidR="00A4700A" w:rsidRDefault="00A4700A" w:rsidP="00E707C8">
      <w:pPr>
        <w:spacing w:line="360" w:lineRule="auto"/>
        <w:jc w:val="center"/>
        <w:rPr>
          <w:b/>
          <w:bCs/>
        </w:rPr>
      </w:pPr>
    </w:p>
    <w:p w14:paraId="25282ABE" w14:textId="77777777" w:rsidR="00A4700A" w:rsidRDefault="00A4700A" w:rsidP="00E707C8">
      <w:pPr>
        <w:spacing w:line="360" w:lineRule="auto"/>
        <w:jc w:val="center"/>
        <w:rPr>
          <w:b/>
          <w:bCs/>
        </w:rPr>
      </w:pPr>
    </w:p>
    <w:p w14:paraId="444C7AF1" w14:textId="77777777" w:rsidR="00A4700A" w:rsidRDefault="00A4700A" w:rsidP="00E707C8">
      <w:pPr>
        <w:spacing w:line="360" w:lineRule="auto"/>
        <w:jc w:val="center"/>
        <w:rPr>
          <w:b/>
          <w:bCs/>
        </w:rPr>
      </w:pPr>
    </w:p>
    <w:p w14:paraId="5B76E0F7" w14:textId="77777777" w:rsidR="00A4700A" w:rsidRDefault="00A4700A" w:rsidP="00E707C8">
      <w:pPr>
        <w:spacing w:line="360" w:lineRule="auto"/>
        <w:jc w:val="center"/>
        <w:rPr>
          <w:b/>
          <w:bCs/>
        </w:rPr>
      </w:pPr>
    </w:p>
    <w:p w14:paraId="1A27F4A8" w14:textId="77777777" w:rsidR="00A4700A" w:rsidRDefault="00A4700A" w:rsidP="00E707C8">
      <w:pPr>
        <w:spacing w:line="360" w:lineRule="auto"/>
        <w:jc w:val="center"/>
        <w:rPr>
          <w:b/>
          <w:bCs/>
        </w:rPr>
      </w:pPr>
    </w:p>
    <w:p w14:paraId="2ECA1CB0" w14:textId="77777777" w:rsidR="00A4700A" w:rsidRDefault="00A4700A" w:rsidP="00E707C8">
      <w:pPr>
        <w:spacing w:line="360" w:lineRule="auto"/>
        <w:jc w:val="center"/>
        <w:rPr>
          <w:b/>
          <w:bCs/>
        </w:rPr>
      </w:pPr>
    </w:p>
    <w:p w14:paraId="21B81AEA" w14:textId="77777777" w:rsidR="00A4700A" w:rsidRDefault="00A4700A" w:rsidP="00E707C8">
      <w:pPr>
        <w:spacing w:line="360" w:lineRule="auto"/>
        <w:jc w:val="center"/>
        <w:rPr>
          <w:b/>
          <w:bCs/>
        </w:rPr>
      </w:pPr>
    </w:p>
    <w:p w14:paraId="62A84728" w14:textId="77777777" w:rsidR="00A4700A" w:rsidRDefault="00A4700A" w:rsidP="00E707C8">
      <w:pPr>
        <w:spacing w:line="360" w:lineRule="auto"/>
        <w:jc w:val="center"/>
        <w:rPr>
          <w:b/>
          <w:bCs/>
        </w:rPr>
      </w:pPr>
    </w:p>
    <w:p w14:paraId="6D794C89" w14:textId="77777777" w:rsidR="00A4700A" w:rsidRDefault="00A4700A" w:rsidP="00E707C8">
      <w:pPr>
        <w:spacing w:line="360" w:lineRule="auto"/>
        <w:jc w:val="center"/>
        <w:rPr>
          <w:b/>
          <w:bCs/>
        </w:rPr>
      </w:pPr>
    </w:p>
    <w:p w14:paraId="2566DD58" w14:textId="77777777" w:rsidR="00A4700A" w:rsidRDefault="00A4700A" w:rsidP="00E707C8">
      <w:pPr>
        <w:spacing w:line="360" w:lineRule="auto"/>
        <w:jc w:val="center"/>
        <w:rPr>
          <w:b/>
          <w:bCs/>
        </w:rPr>
      </w:pPr>
    </w:p>
    <w:p w14:paraId="00A1DADF" w14:textId="77777777" w:rsidR="00A4700A" w:rsidRDefault="00A4700A" w:rsidP="00E707C8">
      <w:pPr>
        <w:spacing w:line="360" w:lineRule="auto"/>
        <w:jc w:val="center"/>
        <w:rPr>
          <w:b/>
          <w:bCs/>
        </w:rPr>
      </w:pPr>
    </w:p>
    <w:p w14:paraId="73F378C2" w14:textId="77777777" w:rsidR="00A4700A" w:rsidRDefault="00A4700A" w:rsidP="00E707C8">
      <w:pPr>
        <w:spacing w:line="360" w:lineRule="auto"/>
        <w:jc w:val="center"/>
        <w:rPr>
          <w:b/>
          <w:bCs/>
        </w:rPr>
      </w:pPr>
    </w:p>
    <w:p w14:paraId="403D3DD7" w14:textId="77777777" w:rsidR="0032160C" w:rsidRDefault="0032160C" w:rsidP="00E57020">
      <w:pPr>
        <w:pStyle w:val="Heading1"/>
      </w:pPr>
    </w:p>
    <w:p w14:paraId="7441ED6D" w14:textId="77777777" w:rsidR="0032160C" w:rsidRPr="0032160C" w:rsidRDefault="0032160C" w:rsidP="0032160C"/>
    <w:p w14:paraId="0C07D8EA" w14:textId="087A3F72" w:rsidR="004767A2" w:rsidRDefault="004767A2" w:rsidP="00E57020">
      <w:pPr>
        <w:pStyle w:val="Heading1"/>
      </w:pPr>
      <w:bookmarkStart w:id="4" w:name="_Toc228218253"/>
      <w:r w:rsidRPr="00E707C8">
        <w:lastRenderedPageBreak/>
        <w:t>LIST OF TABLES</w:t>
      </w:r>
      <w:bookmarkEnd w:id="4"/>
      <w:r w:rsidRPr="00E707C8">
        <w:t xml:space="preserve"> </w:t>
      </w:r>
    </w:p>
    <w:p w14:paraId="0EFF97BD" w14:textId="77777777" w:rsidR="00B953B1" w:rsidRDefault="00B953B1" w:rsidP="00125FF2">
      <w:pPr>
        <w:pStyle w:val="p1"/>
        <w:spacing w:line="360" w:lineRule="auto"/>
        <w:rPr>
          <w:rFonts w:ascii="Arial" w:hAnsi="Arial" w:cs="Arial"/>
        </w:rPr>
      </w:pPr>
    </w:p>
    <w:p w14:paraId="2012A8B2" w14:textId="59C341E1" w:rsidR="00867D46" w:rsidRDefault="00867D46" w:rsidP="00125FF2">
      <w:pPr>
        <w:pStyle w:val="p1"/>
        <w:spacing w:line="360" w:lineRule="auto"/>
        <w:rPr>
          <w:rFonts w:ascii="Arial" w:hAnsi="Arial" w:cs="Arial"/>
        </w:rPr>
      </w:pPr>
      <w:r w:rsidRPr="005D2D87">
        <w:rPr>
          <w:rFonts w:ascii="Arial" w:hAnsi="Arial" w:cs="Arial"/>
        </w:rPr>
        <w:t xml:space="preserve">Table </w:t>
      </w:r>
      <w:r w:rsidR="00722280">
        <w:rPr>
          <w:rFonts w:ascii="Arial" w:hAnsi="Arial" w:cs="Arial"/>
        </w:rPr>
        <w:t>2</w:t>
      </w:r>
      <w:r w:rsidRPr="005D2D87">
        <w:rPr>
          <w:rFonts w:ascii="Arial" w:hAnsi="Arial" w:cs="Arial"/>
        </w:rPr>
        <w:t>.1. Firefighter occupational stressors, associated mechanisms and relevance to cardiovascular strain</w:t>
      </w:r>
    </w:p>
    <w:p w14:paraId="039E79FF" w14:textId="77777777" w:rsidR="00885591" w:rsidRPr="005D2D87" w:rsidRDefault="00885591" w:rsidP="00125FF2">
      <w:pPr>
        <w:pStyle w:val="p1"/>
        <w:spacing w:line="360" w:lineRule="auto"/>
        <w:rPr>
          <w:rFonts w:ascii="Arial" w:hAnsi="Arial" w:cs="Arial"/>
        </w:rPr>
      </w:pPr>
    </w:p>
    <w:p w14:paraId="538A9CC1" w14:textId="6653C2F4" w:rsidR="00B953B1" w:rsidRDefault="00867D46" w:rsidP="00125FF2">
      <w:pPr>
        <w:pStyle w:val="p1"/>
        <w:spacing w:line="360" w:lineRule="auto"/>
        <w:rPr>
          <w:rFonts w:ascii="Arial" w:hAnsi="Arial" w:cs="Arial"/>
        </w:rPr>
      </w:pPr>
      <w:r w:rsidRPr="005D2D87">
        <w:rPr>
          <w:rFonts w:ascii="Arial" w:hAnsi="Arial" w:cs="Arial"/>
        </w:rPr>
        <w:t>Table</w:t>
      </w:r>
      <w:r w:rsidR="00722280">
        <w:rPr>
          <w:rFonts w:ascii="Arial" w:hAnsi="Arial" w:cs="Arial"/>
        </w:rPr>
        <w:t xml:space="preserve"> 2</w:t>
      </w:r>
      <w:r w:rsidRPr="005D2D87">
        <w:rPr>
          <w:rFonts w:ascii="Arial" w:hAnsi="Arial" w:cs="Arial"/>
        </w:rPr>
        <w:t>.2. Key omega-3 evidence relevant to inflammatory, vascular and cardiovascular strain pathways</w:t>
      </w:r>
    </w:p>
    <w:p w14:paraId="27CC3BB1" w14:textId="77777777" w:rsidR="00885591" w:rsidRPr="005D2D87" w:rsidRDefault="00885591" w:rsidP="00125FF2">
      <w:pPr>
        <w:pStyle w:val="p1"/>
        <w:spacing w:line="360" w:lineRule="auto"/>
        <w:rPr>
          <w:rFonts w:ascii="Arial" w:hAnsi="Arial" w:cs="Arial"/>
        </w:rPr>
      </w:pPr>
    </w:p>
    <w:p w14:paraId="331F80B7" w14:textId="4ACD7E0A" w:rsidR="00B953B1" w:rsidRDefault="00B953B1" w:rsidP="00885591">
      <w:pPr>
        <w:pStyle w:val="p1"/>
        <w:rPr>
          <w:rFonts w:ascii="Arial" w:hAnsi="Arial" w:cs="Arial"/>
        </w:rPr>
      </w:pPr>
      <w:r>
        <w:rPr>
          <w:rFonts w:ascii="Arial" w:hAnsi="Arial" w:cs="Arial"/>
        </w:rPr>
        <w:t>Table 3.1. Study timescale</w:t>
      </w:r>
    </w:p>
    <w:p w14:paraId="5CA62875" w14:textId="77777777" w:rsidR="00885591" w:rsidRDefault="00885591" w:rsidP="00885591">
      <w:pPr>
        <w:pStyle w:val="p1"/>
        <w:rPr>
          <w:rFonts w:ascii="Arial" w:hAnsi="Arial" w:cs="Arial"/>
        </w:rPr>
      </w:pPr>
    </w:p>
    <w:p w14:paraId="5A99B1A3" w14:textId="77777777" w:rsidR="00B953B1" w:rsidRPr="005D2D87" w:rsidRDefault="00B953B1" w:rsidP="00E715D6">
      <w:pPr>
        <w:pStyle w:val="p1"/>
        <w:spacing w:line="360" w:lineRule="auto"/>
        <w:rPr>
          <w:rFonts w:ascii="Arial" w:hAnsi="Arial" w:cs="Arial"/>
        </w:rPr>
      </w:pPr>
      <w:r w:rsidRPr="005D2D87">
        <w:rPr>
          <w:rFonts w:ascii="Arial" w:hAnsi="Arial" w:cs="Arial"/>
        </w:rPr>
        <w:t xml:space="preserve">Table </w:t>
      </w:r>
      <w:r>
        <w:rPr>
          <w:rFonts w:ascii="Arial" w:hAnsi="Arial" w:cs="Arial"/>
        </w:rPr>
        <w:t>3</w:t>
      </w:r>
      <w:r w:rsidRPr="005D2D87">
        <w:rPr>
          <w:rFonts w:ascii="Arial" w:hAnsi="Arial" w:cs="Arial"/>
        </w:rPr>
        <w:t>.</w:t>
      </w:r>
      <w:r>
        <w:rPr>
          <w:rFonts w:ascii="Arial" w:hAnsi="Arial" w:cs="Arial"/>
        </w:rPr>
        <w:t>2</w:t>
      </w:r>
      <w:r w:rsidRPr="005D2D87">
        <w:rPr>
          <w:rFonts w:ascii="Arial" w:hAnsi="Arial" w:cs="Arial"/>
        </w:rPr>
        <w:t>. Definitions of key Dietary Reference Value terminology used in dietary analysis</w:t>
      </w:r>
    </w:p>
    <w:p w14:paraId="1F6D464F" w14:textId="77777777" w:rsidR="00867D46" w:rsidRPr="005D2D87" w:rsidRDefault="00867D46" w:rsidP="00125FF2">
      <w:pPr>
        <w:pStyle w:val="p1"/>
        <w:spacing w:line="360" w:lineRule="auto"/>
        <w:rPr>
          <w:rFonts w:ascii="Arial" w:hAnsi="Arial" w:cs="Arial"/>
        </w:rPr>
      </w:pPr>
    </w:p>
    <w:p w14:paraId="3E2F127A" w14:textId="77777777" w:rsidR="00867D46" w:rsidRPr="005D2D87" w:rsidRDefault="00867D46" w:rsidP="00125FF2">
      <w:pPr>
        <w:pStyle w:val="p1"/>
        <w:spacing w:line="360" w:lineRule="auto"/>
        <w:rPr>
          <w:rFonts w:ascii="Arial" w:hAnsi="Arial" w:cs="Arial"/>
        </w:rPr>
      </w:pPr>
      <w:r w:rsidRPr="005D2D87">
        <w:rPr>
          <w:rFonts w:ascii="Arial" w:hAnsi="Arial" w:cs="Arial"/>
        </w:rPr>
        <w:t>Table 4.1. Baseline participant characteristics and between-group comparisons (n = 10 per group)</w:t>
      </w:r>
    </w:p>
    <w:p w14:paraId="2EE49AA1" w14:textId="77777777" w:rsidR="00867D46" w:rsidRPr="005D2D87" w:rsidRDefault="00867D46" w:rsidP="00125FF2">
      <w:pPr>
        <w:pStyle w:val="p1"/>
        <w:spacing w:line="360" w:lineRule="auto"/>
        <w:rPr>
          <w:rFonts w:ascii="Arial" w:hAnsi="Arial" w:cs="Arial"/>
        </w:rPr>
      </w:pPr>
    </w:p>
    <w:p w14:paraId="130CD0D5" w14:textId="77777777" w:rsidR="00867D46" w:rsidRPr="005D2D87" w:rsidRDefault="00867D46" w:rsidP="00125FF2">
      <w:pPr>
        <w:pStyle w:val="p1"/>
        <w:spacing w:line="360" w:lineRule="auto"/>
        <w:rPr>
          <w:rFonts w:ascii="Arial" w:hAnsi="Arial" w:cs="Arial"/>
        </w:rPr>
      </w:pPr>
      <w:r w:rsidRPr="005D2D87">
        <w:rPr>
          <w:rFonts w:ascii="Arial" w:hAnsi="Arial" w:cs="Arial"/>
        </w:rPr>
        <w:t>Table 4.2. Baseline values compared with healthy/reference ranges (adult males aged 20–59 years)</w:t>
      </w:r>
    </w:p>
    <w:p w14:paraId="6DB433A6" w14:textId="77777777" w:rsidR="00867D46" w:rsidRPr="005D2D87" w:rsidRDefault="00867D46" w:rsidP="00125FF2">
      <w:pPr>
        <w:pStyle w:val="p1"/>
        <w:spacing w:line="360" w:lineRule="auto"/>
        <w:rPr>
          <w:rFonts w:ascii="Arial" w:hAnsi="Arial" w:cs="Arial"/>
        </w:rPr>
      </w:pPr>
    </w:p>
    <w:p w14:paraId="352E50F4" w14:textId="77777777" w:rsidR="00867D46" w:rsidRPr="005D2D87" w:rsidRDefault="00867D46" w:rsidP="00125FF2">
      <w:pPr>
        <w:pStyle w:val="p1"/>
        <w:spacing w:line="360" w:lineRule="auto"/>
        <w:rPr>
          <w:rFonts w:ascii="Arial" w:hAnsi="Arial" w:cs="Arial"/>
        </w:rPr>
      </w:pPr>
      <w:r w:rsidRPr="005D2D87">
        <w:rPr>
          <w:rFonts w:ascii="Arial" w:hAnsi="Arial" w:cs="Arial"/>
        </w:rPr>
        <w:t>Table 4.3. Baseline dietary intake of participants (n = 20) compared with UK Dietary Reference Values (DRV/RNI) and athlete guidance nutrition targets</w:t>
      </w:r>
    </w:p>
    <w:p w14:paraId="4CE47ED3" w14:textId="77777777" w:rsidR="00867D46" w:rsidRPr="005D2D87" w:rsidRDefault="00867D46" w:rsidP="00125FF2">
      <w:pPr>
        <w:pStyle w:val="p1"/>
        <w:spacing w:line="360" w:lineRule="auto"/>
        <w:rPr>
          <w:rFonts w:ascii="Arial" w:hAnsi="Arial" w:cs="Arial"/>
        </w:rPr>
      </w:pPr>
    </w:p>
    <w:p w14:paraId="74E24ADA" w14:textId="77777777" w:rsidR="00867D46" w:rsidRPr="005D2D87" w:rsidRDefault="00867D46" w:rsidP="00125FF2">
      <w:pPr>
        <w:pStyle w:val="p1"/>
        <w:spacing w:line="360" w:lineRule="auto"/>
        <w:rPr>
          <w:rFonts w:ascii="Arial" w:hAnsi="Arial" w:cs="Arial"/>
        </w:rPr>
      </w:pPr>
      <w:r w:rsidRPr="005D2D87">
        <w:rPr>
          <w:rFonts w:ascii="Arial" w:hAnsi="Arial" w:cs="Arial"/>
        </w:rPr>
        <w:t>Table 4.4. Baseline dietary intake: between-group comparison (omega-3 vs control, n = 10 per group)</w:t>
      </w:r>
    </w:p>
    <w:p w14:paraId="285E841C" w14:textId="77777777" w:rsidR="00867D46" w:rsidRPr="005D2D87" w:rsidRDefault="00867D46" w:rsidP="00125FF2">
      <w:pPr>
        <w:pStyle w:val="p1"/>
        <w:spacing w:line="360" w:lineRule="auto"/>
        <w:rPr>
          <w:rFonts w:ascii="Arial" w:hAnsi="Arial" w:cs="Arial"/>
        </w:rPr>
      </w:pPr>
    </w:p>
    <w:p w14:paraId="4CFEE3D6" w14:textId="77777777" w:rsidR="00867D46" w:rsidRPr="005D2D87" w:rsidRDefault="00867D46" w:rsidP="00125FF2">
      <w:pPr>
        <w:pStyle w:val="p1"/>
        <w:spacing w:line="360" w:lineRule="auto"/>
        <w:rPr>
          <w:rFonts w:ascii="Arial" w:hAnsi="Arial" w:cs="Arial"/>
        </w:rPr>
      </w:pPr>
      <w:r w:rsidRPr="005D2D87">
        <w:rPr>
          <w:rFonts w:ascii="Arial" w:hAnsi="Arial" w:cs="Arial"/>
        </w:rPr>
        <w:t>Table 4.5. Descriptive statistics for average resting heart rate (bpm) at pre- and post-intervention in the omega-3 (INT O3) and control (CON) groups (n = 10 per group)</w:t>
      </w:r>
    </w:p>
    <w:p w14:paraId="69777563" w14:textId="77777777" w:rsidR="00867D46" w:rsidRPr="005D2D87" w:rsidRDefault="00867D46" w:rsidP="00125FF2">
      <w:pPr>
        <w:pStyle w:val="p1"/>
        <w:spacing w:line="360" w:lineRule="auto"/>
        <w:rPr>
          <w:rFonts w:ascii="Arial" w:hAnsi="Arial" w:cs="Arial"/>
        </w:rPr>
      </w:pPr>
    </w:p>
    <w:p w14:paraId="26DF3F58" w14:textId="77777777" w:rsidR="00867D46" w:rsidRPr="005D2D87" w:rsidRDefault="00867D46" w:rsidP="00125FF2">
      <w:pPr>
        <w:pStyle w:val="p1"/>
        <w:spacing w:line="360" w:lineRule="auto"/>
        <w:rPr>
          <w:rFonts w:ascii="Arial" w:hAnsi="Arial" w:cs="Arial"/>
        </w:rPr>
      </w:pPr>
      <w:r w:rsidRPr="005D2D87">
        <w:rPr>
          <w:rFonts w:ascii="Arial" w:hAnsi="Arial" w:cs="Arial"/>
        </w:rPr>
        <w:t>Table 4.6. Descriptive statistics for systolic blood pressure (mmHg) at pre- and post-intervention in the omega-3 (INT O3) and control (CON) groups (n = 10 per group)</w:t>
      </w:r>
    </w:p>
    <w:p w14:paraId="5D8DC76B" w14:textId="77777777" w:rsidR="00867D46" w:rsidRPr="005D2D87" w:rsidRDefault="00867D46" w:rsidP="00125FF2">
      <w:pPr>
        <w:pStyle w:val="p1"/>
        <w:spacing w:line="360" w:lineRule="auto"/>
        <w:rPr>
          <w:rFonts w:ascii="Arial" w:hAnsi="Arial" w:cs="Arial"/>
        </w:rPr>
      </w:pPr>
    </w:p>
    <w:p w14:paraId="23283368" w14:textId="77777777" w:rsidR="00867D46" w:rsidRPr="005D2D87" w:rsidRDefault="00867D46" w:rsidP="00125FF2">
      <w:pPr>
        <w:pStyle w:val="p1"/>
        <w:spacing w:line="360" w:lineRule="auto"/>
        <w:rPr>
          <w:rFonts w:ascii="Arial" w:hAnsi="Arial" w:cs="Arial"/>
        </w:rPr>
      </w:pPr>
      <w:r w:rsidRPr="005D2D87">
        <w:rPr>
          <w:rFonts w:ascii="Arial" w:hAnsi="Arial" w:cs="Arial"/>
        </w:rPr>
        <w:t>Table 4.7. Descriptive statistics for diastolic blood pressure (DBP, mmHg) at pre- and post-intervention in the omega-3 (INT O3) and control (CON) groups (n = 10 per group)</w:t>
      </w:r>
    </w:p>
    <w:p w14:paraId="5848E6F6" w14:textId="77777777" w:rsidR="00867D46" w:rsidRPr="005D2D87" w:rsidRDefault="00867D46" w:rsidP="00125FF2">
      <w:pPr>
        <w:pStyle w:val="p1"/>
        <w:spacing w:line="360" w:lineRule="auto"/>
        <w:rPr>
          <w:rFonts w:ascii="Arial" w:hAnsi="Arial" w:cs="Arial"/>
        </w:rPr>
      </w:pPr>
    </w:p>
    <w:p w14:paraId="7FD13E76" w14:textId="77777777" w:rsidR="00867D46" w:rsidRPr="005D2D87" w:rsidRDefault="00867D46" w:rsidP="00125FF2">
      <w:pPr>
        <w:pStyle w:val="p1"/>
        <w:spacing w:line="360" w:lineRule="auto"/>
        <w:rPr>
          <w:rFonts w:ascii="Arial" w:hAnsi="Arial" w:cs="Arial"/>
        </w:rPr>
      </w:pPr>
      <w:r w:rsidRPr="005D2D87">
        <w:rPr>
          <w:rFonts w:ascii="Arial" w:hAnsi="Arial" w:cs="Arial"/>
        </w:rPr>
        <w:t>Table 4.8. CTT average heart rate (bpm) at baseline and post-intervention by group (n = 10 per group)</w:t>
      </w:r>
    </w:p>
    <w:p w14:paraId="19561F91" w14:textId="77777777" w:rsidR="00867D46" w:rsidRPr="005D2D87" w:rsidRDefault="00867D46" w:rsidP="00125FF2">
      <w:pPr>
        <w:pStyle w:val="p1"/>
        <w:spacing w:line="360" w:lineRule="auto"/>
        <w:rPr>
          <w:rFonts w:ascii="Arial" w:hAnsi="Arial" w:cs="Arial"/>
        </w:rPr>
      </w:pPr>
    </w:p>
    <w:p w14:paraId="1805CA55" w14:textId="77777777" w:rsidR="00867D46" w:rsidRPr="005D2D87" w:rsidRDefault="00867D46" w:rsidP="00125FF2">
      <w:pPr>
        <w:pStyle w:val="p1"/>
        <w:spacing w:line="360" w:lineRule="auto"/>
        <w:rPr>
          <w:rFonts w:ascii="Arial" w:hAnsi="Arial" w:cs="Arial"/>
        </w:rPr>
      </w:pPr>
      <w:r w:rsidRPr="005D2D87">
        <w:rPr>
          <w:rFonts w:ascii="Arial" w:hAnsi="Arial" w:cs="Arial"/>
        </w:rPr>
        <w:t>Table 4.9. Chester Treadmill Test end heart rate (bpm) at baseline and post-intervention by group (n = 10 per group)</w:t>
      </w:r>
    </w:p>
    <w:p w14:paraId="312FCB63" w14:textId="77777777" w:rsidR="00867D46" w:rsidRDefault="00867D46" w:rsidP="00125FF2">
      <w:pPr>
        <w:pStyle w:val="p1"/>
        <w:spacing w:line="360" w:lineRule="auto"/>
      </w:pPr>
    </w:p>
    <w:p w14:paraId="0D88EA96" w14:textId="2664C10C" w:rsidR="00867D46" w:rsidRDefault="00867D46" w:rsidP="00125FF2">
      <w:pPr>
        <w:pStyle w:val="p1"/>
        <w:spacing w:line="360" w:lineRule="auto"/>
      </w:pPr>
    </w:p>
    <w:p w14:paraId="589C3D61" w14:textId="77777777" w:rsidR="00867D46" w:rsidRDefault="00867D46" w:rsidP="00125FF2">
      <w:pPr>
        <w:pStyle w:val="p1"/>
        <w:spacing w:line="360" w:lineRule="auto"/>
      </w:pPr>
    </w:p>
    <w:p w14:paraId="75245905" w14:textId="69716387" w:rsidR="00867D46" w:rsidRDefault="00867D46" w:rsidP="00125FF2">
      <w:pPr>
        <w:pStyle w:val="Heading1"/>
        <w:spacing w:line="360" w:lineRule="auto"/>
      </w:pPr>
      <w:bookmarkStart w:id="5" w:name="_Toc228218254"/>
      <w:r w:rsidRPr="00763E6A">
        <w:lastRenderedPageBreak/>
        <w:t>LIST OF FIGURES</w:t>
      </w:r>
      <w:bookmarkEnd w:id="5"/>
    </w:p>
    <w:p w14:paraId="3D6821D7" w14:textId="77777777" w:rsidR="00830CE6" w:rsidRPr="00830CE6" w:rsidRDefault="00830CE6" w:rsidP="00830CE6"/>
    <w:p w14:paraId="0E77FFBE" w14:textId="77777777" w:rsidR="00867D46" w:rsidRPr="00763E6A" w:rsidRDefault="00867D46" w:rsidP="00125FF2">
      <w:pPr>
        <w:pStyle w:val="p1"/>
        <w:spacing w:line="360" w:lineRule="auto"/>
        <w:rPr>
          <w:rFonts w:ascii="Arial" w:hAnsi="Arial" w:cs="Arial"/>
        </w:rPr>
      </w:pPr>
      <w:r w:rsidRPr="00763E6A">
        <w:rPr>
          <w:rFonts w:ascii="Arial" w:hAnsi="Arial" w:cs="Arial"/>
        </w:rPr>
        <w:t>Figure 4.1. Resting heart rate (bpm) at baseline and post-intervention in the omega-3 and control groups</w:t>
      </w:r>
    </w:p>
    <w:p w14:paraId="2C9AD74B" w14:textId="77777777" w:rsidR="00867D46" w:rsidRPr="00763E6A" w:rsidRDefault="00867D46" w:rsidP="00125FF2">
      <w:pPr>
        <w:pStyle w:val="p1"/>
        <w:spacing w:line="360" w:lineRule="auto"/>
        <w:rPr>
          <w:rFonts w:ascii="Arial" w:hAnsi="Arial" w:cs="Arial"/>
        </w:rPr>
      </w:pPr>
    </w:p>
    <w:p w14:paraId="4B4225B9" w14:textId="77777777" w:rsidR="00867D46" w:rsidRPr="00763E6A" w:rsidRDefault="00867D46" w:rsidP="00125FF2">
      <w:pPr>
        <w:pStyle w:val="p1"/>
        <w:spacing w:line="360" w:lineRule="auto"/>
        <w:rPr>
          <w:rFonts w:ascii="Arial" w:hAnsi="Arial" w:cs="Arial"/>
        </w:rPr>
      </w:pPr>
      <w:r w:rsidRPr="00763E6A">
        <w:rPr>
          <w:rFonts w:ascii="Arial" w:hAnsi="Arial" w:cs="Arial"/>
        </w:rPr>
        <w:t>Figure 4.2. Systolic blood pressure (mmHg) at baseline and post-intervention in the omega-3 (INT O3) and control (CON) groups</w:t>
      </w:r>
    </w:p>
    <w:p w14:paraId="43ADFD01" w14:textId="77777777" w:rsidR="00867D46" w:rsidRPr="00763E6A" w:rsidRDefault="00867D46" w:rsidP="00125FF2">
      <w:pPr>
        <w:pStyle w:val="p1"/>
        <w:spacing w:line="360" w:lineRule="auto"/>
        <w:rPr>
          <w:rFonts w:ascii="Arial" w:hAnsi="Arial" w:cs="Arial"/>
        </w:rPr>
      </w:pPr>
    </w:p>
    <w:p w14:paraId="04CFDE31" w14:textId="77777777" w:rsidR="00867D46" w:rsidRPr="00763E6A" w:rsidRDefault="00867D46" w:rsidP="00125FF2">
      <w:pPr>
        <w:pStyle w:val="p1"/>
        <w:spacing w:line="360" w:lineRule="auto"/>
        <w:rPr>
          <w:rFonts w:ascii="Arial" w:hAnsi="Arial" w:cs="Arial"/>
        </w:rPr>
      </w:pPr>
      <w:r w:rsidRPr="00763E6A">
        <w:rPr>
          <w:rFonts w:ascii="Arial" w:hAnsi="Arial" w:cs="Arial"/>
        </w:rPr>
        <w:t>Figure 4.3. Diastolic blood pressure (mmHg) at baseline and post-intervention in the omega-3 (INT O3) and control (CON) groups</w:t>
      </w:r>
    </w:p>
    <w:p w14:paraId="358BB493" w14:textId="77777777" w:rsidR="00867D46" w:rsidRPr="00763E6A" w:rsidRDefault="00867D46" w:rsidP="00125FF2">
      <w:pPr>
        <w:pStyle w:val="p1"/>
        <w:spacing w:line="360" w:lineRule="auto"/>
        <w:rPr>
          <w:rFonts w:ascii="Arial" w:hAnsi="Arial" w:cs="Arial"/>
        </w:rPr>
      </w:pPr>
    </w:p>
    <w:p w14:paraId="4B9B3CC6" w14:textId="77777777" w:rsidR="00867D46" w:rsidRPr="00763E6A" w:rsidRDefault="00867D46" w:rsidP="00125FF2">
      <w:pPr>
        <w:pStyle w:val="p1"/>
        <w:spacing w:line="360" w:lineRule="auto"/>
        <w:rPr>
          <w:rFonts w:ascii="Arial" w:hAnsi="Arial" w:cs="Arial"/>
        </w:rPr>
      </w:pPr>
      <w:r w:rsidRPr="00763E6A">
        <w:rPr>
          <w:rFonts w:ascii="Arial" w:hAnsi="Arial" w:cs="Arial"/>
        </w:rPr>
        <w:t>Figure 4.4. Average heart rate during the Chester Treadmill Test (bpm) at baseline and post-intervention in the omega-3 (INT O3) and control (CON) groups</w:t>
      </w:r>
    </w:p>
    <w:p w14:paraId="1D775BD0" w14:textId="77777777" w:rsidR="00867D46" w:rsidRPr="00763E6A" w:rsidRDefault="00867D46" w:rsidP="00125FF2">
      <w:pPr>
        <w:pStyle w:val="p1"/>
        <w:spacing w:line="360" w:lineRule="auto"/>
        <w:rPr>
          <w:rFonts w:ascii="Arial" w:hAnsi="Arial" w:cs="Arial"/>
        </w:rPr>
      </w:pPr>
    </w:p>
    <w:p w14:paraId="0709F2EA" w14:textId="77777777" w:rsidR="00867D46" w:rsidRPr="00763E6A" w:rsidRDefault="00867D46" w:rsidP="00125FF2">
      <w:pPr>
        <w:pStyle w:val="p1"/>
        <w:spacing w:line="360" w:lineRule="auto"/>
        <w:rPr>
          <w:rFonts w:ascii="Arial" w:hAnsi="Arial" w:cs="Arial"/>
        </w:rPr>
      </w:pPr>
      <w:r w:rsidRPr="00763E6A">
        <w:rPr>
          <w:rFonts w:ascii="Arial" w:hAnsi="Arial" w:cs="Arial"/>
        </w:rPr>
        <w:t>Figure 4.5. End-stage heart rate during the Chester Treadmill Test (bpm) at baseline and post-intervention in the omega-3 (INT O3) and control (CON) groups</w:t>
      </w:r>
    </w:p>
    <w:p w14:paraId="4FF33CC9" w14:textId="77777777" w:rsidR="00867D46" w:rsidRPr="00763E6A" w:rsidRDefault="00867D46" w:rsidP="00125FF2">
      <w:pPr>
        <w:spacing w:line="360" w:lineRule="auto"/>
        <w:rPr>
          <w:rFonts w:ascii="Arial" w:hAnsi="Arial" w:cs="Arial"/>
          <w:b/>
          <w:bCs/>
        </w:rPr>
      </w:pPr>
    </w:p>
    <w:p w14:paraId="6EC5EFBD" w14:textId="77777777" w:rsidR="004767A2" w:rsidRPr="00763E6A" w:rsidRDefault="004767A2" w:rsidP="00125FF2">
      <w:pPr>
        <w:spacing w:line="360" w:lineRule="auto"/>
        <w:rPr>
          <w:rFonts w:ascii="Arial" w:hAnsi="Arial" w:cs="Arial"/>
        </w:rPr>
      </w:pPr>
    </w:p>
    <w:p w14:paraId="072441DE" w14:textId="77777777" w:rsidR="004767A2" w:rsidRPr="00763E6A" w:rsidRDefault="004767A2" w:rsidP="00125FF2">
      <w:pPr>
        <w:spacing w:line="360" w:lineRule="auto"/>
        <w:rPr>
          <w:rFonts w:ascii="Arial" w:hAnsi="Arial" w:cs="Arial"/>
        </w:rPr>
      </w:pPr>
    </w:p>
    <w:p w14:paraId="2A8A6F80" w14:textId="77777777" w:rsidR="004767A2" w:rsidRDefault="004767A2" w:rsidP="00125FF2">
      <w:pPr>
        <w:spacing w:line="360" w:lineRule="auto"/>
      </w:pPr>
    </w:p>
    <w:p w14:paraId="7EC6D5F1" w14:textId="2E647173" w:rsidR="00A12193" w:rsidRDefault="00211DB3" w:rsidP="00046D2A">
      <w:pPr>
        <w:pStyle w:val="Heading1"/>
        <w:spacing w:line="360" w:lineRule="auto"/>
      </w:pPr>
      <w:bookmarkStart w:id="6" w:name="_Toc228218255"/>
      <w:r w:rsidRPr="00210749">
        <w:lastRenderedPageBreak/>
        <w:t>CHAPTER 1: INTRODUCTION</w:t>
      </w:r>
      <w:bookmarkEnd w:id="6"/>
    </w:p>
    <w:p w14:paraId="65B1BA48" w14:textId="77777777" w:rsidR="00F729B5" w:rsidRDefault="00F729B5" w:rsidP="00046D2A">
      <w:pPr>
        <w:spacing w:line="360" w:lineRule="auto"/>
      </w:pPr>
    </w:p>
    <w:p w14:paraId="742DB49E" w14:textId="10ECC0EB" w:rsidR="003D4CAC" w:rsidRDefault="00C85F64" w:rsidP="00046D2A">
      <w:pPr>
        <w:spacing w:line="360" w:lineRule="auto"/>
        <w:rPr>
          <w:rStyle w:val="s1"/>
          <w:rFonts w:ascii="Arial" w:hAnsi="Arial" w:cs="Arial"/>
          <w:color w:val="000000" w:themeColor="text1"/>
          <w:lang w:val="en-GB"/>
        </w:rPr>
      </w:pPr>
      <w:r w:rsidRPr="009B6B2C">
        <w:rPr>
          <w:rStyle w:val="s1"/>
          <w:rFonts w:ascii="Arial" w:hAnsi="Arial" w:cs="Arial"/>
          <w:color w:val="000000" w:themeColor="text1"/>
          <w:lang w:val="en-GB"/>
        </w:rPr>
        <w:t>This chapter introduces the study by outlining the occupational and nutritional context, establishing the rationale and research gap, and presenting the aim, objectives, research question and significance of the investigation.</w:t>
      </w:r>
    </w:p>
    <w:p w14:paraId="7DDE154F" w14:textId="77777777" w:rsidR="00F729B5" w:rsidRPr="00F729B5" w:rsidRDefault="00F729B5" w:rsidP="00046D2A">
      <w:pPr>
        <w:spacing w:line="360" w:lineRule="auto"/>
        <w:rPr>
          <w:lang w:val="en-GB"/>
        </w:rPr>
      </w:pPr>
    </w:p>
    <w:p w14:paraId="256EF5E5" w14:textId="3636ECF8" w:rsidR="008A3D77" w:rsidRPr="000C2658" w:rsidRDefault="008A3D77" w:rsidP="00046D2A">
      <w:pPr>
        <w:pStyle w:val="Heading2"/>
        <w:spacing w:line="360" w:lineRule="auto"/>
        <w:rPr>
          <w:rStyle w:val="s1"/>
          <w:rFonts w:ascii="Arial" w:hAnsi="Arial" w:cs="Arial"/>
          <w:lang w:val="en-GB"/>
        </w:rPr>
      </w:pPr>
      <w:bookmarkStart w:id="7" w:name="_Toc228218256"/>
      <w:r w:rsidRPr="000C2658">
        <w:rPr>
          <w:rStyle w:val="s1"/>
          <w:rFonts w:ascii="Arial" w:hAnsi="Arial" w:cs="Arial"/>
          <w:lang w:val="en-GB"/>
        </w:rPr>
        <w:t>1.1 Background and rationale</w:t>
      </w:r>
      <w:bookmarkEnd w:id="7"/>
    </w:p>
    <w:p w14:paraId="2CD1F520" w14:textId="77777777" w:rsidR="00210749" w:rsidRDefault="00210749" w:rsidP="00046D2A">
      <w:pPr>
        <w:pStyle w:val="p1"/>
        <w:spacing w:line="360" w:lineRule="auto"/>
        <w:ind w:left="400"/>
        <w:rPr>
          <w:rFonts w:ascii="Arial" w:hAnsi="Arial" w:cs="Arial"/>
          <w:lang w:val="en-GB"/>
        </w:rPr>
      </w:pPr>
    </w:p>
    <w:p w14:paraId="703016EF" w14:textId="134AB33F" w:rsidR="00210749" w:rsidRDefault="00211DB3" w:rsidP="00046D2A">
      <w:pPr>
        <w:pStyle w:val="p1"/>
        <w:spacing w:line="360" w:lineRule="auto"/>
        <w:rPr>
          <w:rFonts w:ascii="Arial" w:hAnsi="Arial" w:cs="Arial"/>
          <w:lang w:val="en-GB"/>
        </w:rPr>
      </w:pPr>
      <w:r>
        <w:rPr>
          <w:rStyle w:val="s1"/>
          <w:rFonts w:ascii="Arial" w:hAnsi="Arial" w:cs="Arial"/>
          <w:lang w:val="en-GB"/>
        </w:rPr>
        <w:t xml:space="preserve">Firefighting is a physically and psychologically demanding occupation requiring repeated performance under hazardous, unpredictable, and pressured conditions (Lye and Lee, 2025; Romero and Alvar, 2021; Gonzalez </w:t>
      </w:r>
      <w:r w:rsidRPr="00A7058C">
        <w:rPr>
          <w:rStyle w:val="s1"/>
          <w:rFonts w:ascii="Arial" w:hAnsi="Arial" w:cs="Arial"/>
          <w:i/>
          <w:lang w:val="en-GB"/>
        </w:rPr>
        <w:t>et al.</w:t>
      </w:r>
      <w:r>
        <w:rPr>
          <w:rStyle w:val="s1"/>
          <w:rFonts w:ascii="Arial" w:hAnsi="Arial" w:cs="Arial"/>
          <w:lang w:val="en-GB"/>
        </w:rPr>
        <w:t xml:space="preserve">, 2022; 2024; Dos Santos </w:t>
      </w:r>
      <w:r w:rsidRPr="00A7058C">
        <w:rPr>
          <w:rStyle w:val="s1"/>
          <w:rFonts w:ascii="Arial" w:hAnsi="Arial" w:cs="Arial"/>
          <w:i/>
          <w:lang w:val="en-GB"/>
        </w:rPr>
        <w:t>et al.</w:t>
      </w:r>
      <w:r>
        <w:rPr>
          <w:rStyle w:val="s1"/>
          <w:rFonts w:ascii="Arial" w:hAnsi="Arial" w:cs="Arial"/>
          <w:lang w:val="en-GB"/>
        </w:rPr>
        <w:t xml:space="preserve">, 2025). Tasks impose high physiological and cardiovascular (CV) strain, particularly in personal protective equipment (PPE) and self-contained breathing apparatus (SCBA) (Smith, 2011; Abel </w:t>
      </w:r>
      <w:r w:rsidRPr="00A7058C">
        <w:rPr>
          <w:rStyle w:val="s1"/>
          <w:rFonts w:ascii="Arial" w:hAnsi="Arial" w:cs="Arial"/>
          <w:i/>
          <w:lang w:val="en-GB"/>
        </w:rPr>
        <w:t>et al.</w:t>
      </w:r>
      <w:r>
        <w:rPr>
          <w:rStyle w:val="s1"/>
          <w:rFonts w:ascii="Arial" w:hAnsi="Arial" w:cs="Arial"/>
          <w:lang w:val="en-GB"/>
        </w:rPr>
        <w:t xml:space="preserve">, 2015; Williams-Bell </w:t>
      </w:r>
      <w:r w:rsidRPr="00A7058C">
        <w:rPr>
          <w:rStyle w:val="s1"/>
          <w:rFonts w:ascii="Arial" w:hAnsi="Arial" w:cs="Arial"/>
          <w:i/>
          <w:lang w:val="en-GB"/>
        </w:rPr>
        <w:t>et al.</w:t>
      </w:r>
      <w:r>
        <w:rPr>
          <w:rStyle w:val="s1"/>
          <w:rFonts w:ascii="Arial" w:hAnsi="Arial" w:cs="Arial"/>
          <w:lang w:val="en-GB"/>
        </w:rPr>
        <w:t xml:space="preserve">, 2009; Gledhill and Jamnik, 1992; Gonzalez </w:t>
      </w:r>
      <w:r w:rsidRPr="00A7058C">
        <w:rPr>
          <w:rStyle w:val="s1"/>
          <w:rFonts w:ascii="Arial" w:hAnsi="Arial" w:cs="Arial"/>
          <w:i/>
          <w:lang w:val="en-GB"/>
        </w:rPr>
        <w:t>et al.</w:t>
      </w:r>
      <w:r>
        <w:rPr>
          <w:rStyle w:val="s1"/>
          <w:rFonts w:ascii="Arial" w:hAnsi="Arial" w:cs="Arial"/>
          <w:lang w:val="en-GB"/>
        </w:rPr>
        <w:t>, 2023a).</w:t>
      </w:r>
    </w:p>
    <w:p w14:paraId="0D96EC5D" w14:textId="77777777" w:rsidR="00211DB3" w:rsidRDefault="00211DB3" w:rsidP="00046D2A">
      <w:pPr>
        <w:pStyle w:val="p1"/>
        <w:spacing w:line="360" w:lineRule="auto"/>
        <w:rPr>
          <w:rStyle w:val="s1"/>
          <w:rFonts w:ascii="Arial" w:hAnsi="Arial" w:cs="Arial"/>
          <w:lang w:val="en-GB"/>
        </w:rPr>
      </w:pPr>
      <w:r>
        <w:rPr>
          <w:rStyle w:val="s1"/>
          <w:rFonts w:ascii="Arial" w:hAnsi="Arial" w:cs="Arial"/>
          <w:lang w:val="en-GB"/>
        </w:rPr>
        <w:t xml:space="preserve">Accordingly, firefighters (FFs) are conceptualised as tactical athletes (TA), whose performance depends on physical readiness, cognitive function, and resilience under emergency conditions (Scofield and Kardouni, 2015; Romero and Alvar, 2021; Gonzalez </w:t>
      </w:r>
      <w:r w:rsidRPr="00A7058C">
        <w:rPr>
          <w:rStyle w:val="s1"/>
          <w:rFonts w:ascii="Arial" w:hAnsi="Arial" w:cs="Arial"/>
          <w:i/>
          <w:lang w:val="en-GB"/>
        </w:rPr>
        <w:t>et al.</w:t>
      </w:r>
      <w:r>
        <w:rPr>
          <w:rStyle w:val="s1"/>
          <w:rFonts w:ascii="Arial" w:hAnsi="Arial" w:cs="Arial"/>
          <w:lang w:val="en-GB"/>
        </w:rPr>
        <w:t xml:space="preserve">, 2022; Xu </w:t>
      </w:r>
      <w:r w:rsidRPr="00A7058C">
        <w:rPr>
          <w:rStyle w:val="s1"/>
          <w:rFonts w:ascii="Arial" w:hAnsi="Arial" w:cs="Arial"/>
          <w:i/>
          <w:lang w:val="en-GB"/>
        </w:rPr>
        <w:t>et al.</w:t>
      </w:r>
      <w:r>
        <w:rPr>
          <w:rStyle w:val="s1"/>
          <w:rFonts w:ascii="Arial" w:hAnsi="Arial" w:cs="Arial"/>
          <w:lang w:val="en-GB"/>
        </w:rPr>
        <w:t xml:space="preserve">, 2024). Unlike traditional athletes, FFs operate in uncontrolled environments with irregular workloads, limited recovery, and repeated career-long stressors (Lye and Lee, 2025; Xu </w:t>
      </w:r>
      <w:r w:rsidRPr="00A7058C">
        <w:rPr>
          <w:rStyle w:val="s1"/>
          <w:rFonts w:ascii="Arial" w:hAnsi="Arial" w:cs="Arial"/>
          <w:i/>
          <w:lang w:val="en-GB"/>
        </w:rPr>
        <w:t>et al.</w:t>
      </w:r>
      <w:r>
        <w:rPr>
          <w:rStyle w:val="s1"/>
          <w:rFonts w:ascii="Arial" w:hAnsi="Arial" w:cs="Arial"/>
          <w:lang w:val="en-GB"/>
        </w:rPr>
        <w:t>, 2024).</w:t>
      </w:r>
      <w:r>
        <w:rPr>
          <w:rFonts w:ascii="Arial" w:hAnsi="Arial" w:cs="Arial"/>
          <w:lang w:val="en-GB"/>
        </w:rPr>
        <w:t xml:space="preserve"> Performance depends not only on maximal output, but on sustaining physiological function under repeated stress, better framed as performance longevity</w:t>
      </w:r>
      <w:r>
        <w:rPr>
          <w:rStyle w:val="apple-converted-space"/>
          <w:rFonts w:ascii="Arial" w:hAnsi="Arial" w:cs="Arial"/>
          <w:lang w:val="en-GB"/>
        </w:rPr>
        <w:t> </w:t>
      </w:r>
      <w:r>
        <w:rPr>
          <w:rStyle w:val="s1"/>
          <w:rFonts w:ascii="Arial" w:hAnsi="Arial" w:cs="Arial"/>
          <w:lang w:val="en-GB"/>
        </w:rPr>
        <w:t xml:space="preserve">(Martinescu-Bădălan and Macovei, 2023; Romero and Alvas, 2023; Gonzalez </w:t>
      </w:r>
      <w:r w:rsidRPr="00A7058C">
        <w:rPr>
          <w:rStyle w:val="s1"/>
          <w:rFonts w:ascii="Arial" w:hAnsi="Arial" w:cs="Arial"/>
          <w:i/>
          <w:lang w:val="en-GB"/>
        </w:rPr>
        <w:t>et al.</w:t>
      </w:r>
      <w:r>
        <w:rPr>
          <w:rStyle w:val="s1"/>
          <w:rFonts w:ascii="Arial" w:hAnsi="Arial" w:cs="Arial"/>
          <w:lang w:val="en-GB"/>
        </w:rPr>
        <w:t>, 2022).</w:t>
      </w:r>
    </w:p>
    <w:p w14:paraId="3A9E336A" w14:textId="77777777" w:rsidR="00210749" w:rsidRDefault="00210749" w:rsidP="00046D2A">
      <w:pPr>
        <w:pStyle w:val="p1"/>
        <w:spacing w:line="360" w:lineRule="auto"/>
        <w:rPr>
          <w:rFonts w:ascii="Arial" w:hAnsi="Arial" w:cs="Arial"/>
          <w:lang w:val="en-GB"/>
        </w:rPr>
      </w:pPr>
    </w:p>
    <w:p w14:paraId="16414B2A" w14:textId="319A3936" w:rsidR="00210749" w:rsidRDefault="00211DB3" w:rsidP="00046D2A">
      <w:pPr>
        <w:pStyle w:val="p1"/>
        <w:spacing w:line="360" w:lineRule="auto"/>
        <w:rPr>
          <w:rFonts w:ascii="Arial" w:hAnsi="Arial" w:cs="Arial"/>
          <w:lang w:val="en-GB"/>
        </w:rPr>
      </w:pPr>
      <w:r>
        <w:rPr>
          <w:rFonts w:ascii="Arial" w:hAnsi="Arial" w:cs="Arial"/>
          <w:lang w:val="en-GB"/>
        </w:rPr>
        <w:lastRenderedPageBreak/>
        <w:t>Emergency tasks frequently elicit heart rate (HR) responses of 80-100% of maximum, even when work is submaximal, because heat, load carriage, dehydration, and psychological arousal increase physiological cost</w:t>
      </w:r>
      <w:r>
        <w:rPr>
          <w:rStyle w:val="s1"/>
          <w:rFonts w:ascii="Arial" w:hAnsi="Arial" w:cs="Arial"/>
          <w:lang w:val="en-GB"/>
        </w:rPr>
        <w:t xml:space="preserve"> (Sothmann </w:t>
      </w:r>
      <w:r w:rsidRPr="00A7058C">
        <w:rPr>
          <w:rStyle w:val="s1"/>
          <w:rFonts w:ascii="Arial" w:hAnsi="Arial" w:cs="Arial"/>
          <w:i/>
          <w:lang w:val="en-GB"/>
        </w:rPr>
        <w:t>et al.</w:t>
      </w:r>
      <w:r>
        <w:rPr>
          <w:rStyle w:val="s1"/>
          <w:rFonts w:ascii="Arial" w:hAnsi="Arial" w:cs="Arial"/>
          <w:lang w:val="en-GB"/>
        </w:rPr>
        <w:t xml:space="preserve">, 1992; Barr </w:t>
      </w:r>
      <w:r w:rsidRPr="00A7058C">
        <w:rPr>
          <w:rStyle w:val="s1"/>
          <w:rFonts w:ascii="Arial" w:hAnsi="Arial" w:cs="Arial"/>
          <w:i/>
          <w:lang w:val="en-GB"/>
        </w:rPr>
        <w:t>et al.</w:t>
      </w:r>
      <w:r>
        <w:rPr>
          <w:rStyle w:val="s1"/>
          <w:rFonts w:ascii="Arial" w:hAnsi="Arial" w:cs="Arial"/>
          <w:lang w:val="en-GB"/>
        </w:rPr>
        <w:t xml:space="preserve">, 2010; Perroni </w:t>
      </w:r>
      <w:r w:rsidRPr="00A7058C">
        <w:rPr>
          <w:rStyle w:val="s1"/>
          <w:rFonts w:ascii="Arial" w:hAnsi="Arial" w:cs="Arial"/>
          <w:i/>
          <w:lang w:val="en-GB"/>
        </w:rPr>
        <w:t>et al.</w:t>
      </w:r>
      <w:r>
        <w:rPr>
          <w:rStyle w:val="s1"/>
          <w:rFonts w:ascii="Arial" w:hAnsi="Arial" w:cs="Arial"/>
          <w:lang w:val="en-GB"/>
        </w:rPr>
        <w:t xml:space="preserve">, 2010; Windisch </w:t>
      </w:r>
      <w:r w:rsidRPr="00A7058C">
        <w:rPr>
          <w:rStyle w:val="s1"/>
          <w:rFonts w:ascii="Arial" w:hAnsi="Arial" w:cs="Arial"/>
          <w:i/>
          <w:lang w:val="en-GB"/>
        </w:rPr>
        <w:t>et al.</w:t>
      </w:r>
      <w:r>
        <w:rPr>
          <w:rStyle w:val="s1"/>
          <w:rFonts w:ascii="Arial" w:hAnsi="Arial" w:cs="Arial"/>
          <w:lang w:val="en-GB"/>
        </w:rPr>
        <w:t xml:space="preserve">, 2017; Holland-Winkler </w:t>
      </w:r>
      <w:r w:rsidRPr="00A7058C">
        <w:rPr>
          <w:rStyle w:val="s1"/>
          <w:rFonts w:ascii="Arial" w:hAnsi="Arial" w:cs="Arial"/>
          <w:i/>
          <w:lang w:val="en-GB"/>
        </w:rPr>
        <w:t>et al.</w:t>
      </w:r>
      <w:r>
        <w:rPr>
          <w:rStyle w:val="s1"/>
          <w:rFonts w:ascii="Arial" w:hAnsi="Arial" w:cs="Arial"/>
          <w:lang w:val="en-GB"/>
        </w:rPr>
        <w:t xml:space="preserve">, 2024). Many duties are performed at moderate relative intensities yet still impose substantial CV demand (Gledhill and Jamnik, 1992; Elsner and Kolkhorst, 2008). </w:t>
      </w:r>
      <w:r>
        <w:rPr>
          <w:rFonts w:ascii="Arial" w:hAnsi="Arial" w:cs="Arial"/>
          <w:lang w:val="en-GB"/>
        </w:rPr>
        <w:t>Thus, performance depends not only on maximal capacity, but on CV efficiency during repeated work.</w:t>
      </w:r>
    </w:p>
    <w:p w14:paraId="65E4A147" w14:textId="76188A62" w:rsidR="00210749" w:rsidRDefault="00211DB3" w:rsidP="00046D2A">
      <w:pPr>
        <w:pStyle w:val="p1"/>
        <w:spacing w:line="360" w:lineRule="auto"/>
        <w:rPr>
          <w:rFonts w:ascii="Arial" w:hAnsi="Arial" w:cs="Arial"/>
          <w:lang w:val="en-GB"/>
        </w:rPr>
      </w:pPr>
      <w:r>
        <w:rPr>
          <w:rFonts w:ascii="Arial" w:hAnsi="Arial" w:cs="Arial"/>
          <w:lang w:val="en-GB"/>
        </w:rPr>
        <w:t xml:space="preserve">FFs are also exposed to heat, smoke toxicants, sleep disruption, shift work, and psychological strain, which may contribute to oxidative stress, inflammation, impaired recovery, and adverse CV responses </w:t>
      </w:r>
      <w:r>
        <w:rPr>
          <w:rStyle w:val="s1"/>
          <w:rFonts w:ascii="Arial" w:hAnsi="Arial" w:cs="Arial"/>
          <w:lang w:val="en-GB"/>
        </w:rPr>
        <w:t xml:space="preserve">(Adetona </w:t>
      </w:r>
      <w:r w:rsidRPr="00A7058C">
        <w:rPr>
          <w:rStyle w:val="s1"/>
          <w:rFonts w:ascii="Arial" w:hAnsi="Arial" w:cs="Arial"/>
          <w:i/>
          <w:lang w:val="en-GB"/>
        </w:rPr>
        <w:t>et al.</w:t>
      </w:r>
      <w:r>
        <w:rPr>
          <w:rStyle w:val="s1"/>
          <w:rFonts w:ascii="Arial" w:hAnsi="Arial" w:cs="Arial"/>
          <w:lang w:val="en-GB"/>
        </w:rPr>
        <w:t xml:space="preserve">, 2013; Main </w:t>
      </w:r>
      <w:r w:rsidRPr="00A7058C">
        <w:rPr>
          <w:rStyle w:val="s1"/>
          <w:rFonts w:ascii="Arial" w:hAnsi="Arial" w:cs="Arial"/>
          <w:i/>
          <w:lang w:val="en-GB"/>
        </w:rPr>
        <w:t>et al.</w:t>
      </w:r>
      <w:r>
        <w:rPr>
          <w:rStyle w:val="s1"/>
          <w:rFonts w:ascii="Arial" w:hAnsi="Arial" w:cs="Arial"/>
          <w:lang w:val="en-GB"/>
        </w:rPr>
        <w:t xml:space="preserve">, 2020; Smith </w:t>
      </w:r>
      <w:r w:rsidRPr="00A7058C">
        <w:rPr>
          <w:rStyle w:val="s1"/>
          <w:rFonts w:ascii="Arial" w:hAnsi="Arial" w:cs="Arial"/>
          <w:i/>
          <w:lang w:val="en-GB"/>
        </w:rPr>
        <w:t>et al.</w:t>
      </w:r>
      <w:r>
        <w:rPr>
          <w:rStyle w:val="s1"/>
          <w:rFonts w:ascii="Arial" w:hAnsi="Arial" w:cs="Arial"/>
          <w:lang w:val="en-GB"/>
        </w:rPr>
        <w:t xml:space="preserve">, 2019; Gonzalez </w:t>
      </w:r>
      <w:r w:rsidRPr="00A7058C">
        <w:rPr>
          <w:rStyle w:val="s1"/>
          <w:rFonts w:ascii="Arial" w:hAnsi="Arial" w:cs="Arial"/>
          <w:i/>
          <w:lang w:val="en-GB"/>
        </w:rPr>
        <w:t>et al.</w:t>
      </w:r>
      <w:r>
        <w:rPr>
          <w:rStyle w:val="s1"/>
          <w:rFonts w:ascii="Arial" w:hAnsi="Arial" w:cs="Arial"/>
          <w:lang w:val="en-GB"/>
        </w:rPr>
        <w:t xml:space="preserve">, 2024). Cardiovascular disease (CVD) remains the leading cause of duty-related mortality in FFs, with sudden cardiac events (SCE) accounting for a substantial proportion of on-duty deaths (Kales </w:t>
      </w:r>
      <w:r w:rsidRPr="00A7058C">
        <w:rPr>
          <w:rStyle w:val="s1"/>
          <w:rFonts w:ascii="Arial" w:hAnsi="Arial" w:cs="Arial"/>
          <w:i/>
          <w:lang w:val="en-GB"/>
        </w:rPr>
        <w:t>et al.</w:t>
      </w:r>
      <w:r>
        <w:rPr>
          <w:rStyle w:val="s1"/>
          <w:rFonts w:ascii="Arial" w:hAnsi="Arial" w:cs="Arial"/>
          <w:lang w:val="en-GB"/>
        </w:rPr>
        <w:t xml:space="preserve">, 2009; Jeung </w:t>
      </w:r>
      <w:r w:rsidRPr="00A7058C">
        <w:rPr>
          <w:rStyle w:val="s1"/>
          <w:rFonts w:ascii="Arial" w:hAnsi="Arial" w:cs="Arial"/>
          <w:i/>
          <w:lang w:val="en-GB"/>
        </w:rPr>
        <w:t>et al.</w:t>
      </w:r>
      <w:r>
        <w:rPr>
          <w:rStyle w:val="s1"/>
          <w:rFonts w:ascii="Arial" w:hAnsi="Arial" w:cs="Arial"/>
          <w:lang w:val="en-GB"/>
        </w:rPr>
        <w:t xml:space="preserve">, 2022; Fahy </w:t>
      </w:r>
      <w:r w:rsidRPr="00A7058C">
        <w:rPr>
          <w:rStyle w:val="s1"/>
          <w:rFonts w:ascii="Arial" w:hAnsi="Arial" w:cs="Arial"/>
          <w:i/>
          <w:lang w:val="en-GB"/>
        </w:rPr>
        <w:t>et al.</w:t>
      </w:r>
      <w:r>
        <w:rPr>
          <w:rStyle w:val="s1"/>
          <w:rFonts w:ascii="Arial" w:hAnsi="Arial" w:cs="Arial"/>
          <w:lang w:val="en-GB"/>
        </w:rPr>
        <w:t xml:space="preserve">, 2021; Gonzalez </w:t>
      </w:r>
      <w:r w:rsidRPr="00A7058C">
        <w:rPr>
          <w:rStyle w:val="s1"/>
          <w:rFonts w:ascii="Arial" w:hAnsi="Arial" w:cs="Arial"/>
          <w:i/>
          <w:lang w:val="en-GB"/>
        </w:rPr>
        <w:t>et al.</w:t>
      </w:r>
      <w:r>
        <w:rPr>
          <w:rStyle w:val="s1"/>
          <w:rFonts w:ascii="Arial" w:hAnsi="Arial" w:cs="Arial"/>
          <w:lang w:val="en-GB"/>
        </w:rPr>
        <w:t xml:space="preserve">, 2024). These patterns are consistent with allostatic load (AL), whereby repeated stressors result in cumulative physiological wear and dysregulation (McEwen and Stellar, 1993; Gonzalez </w:t>
      </w:r>
      <w:r w:rsidRPr="00A7058C">
        <w:rPr>
          <w:rStyle w:val="s1"/>
          <w:rFonts w:ascii="Arial" w:hAnsi="Arial" w:cs="Arial"/>
          <w:i/>
          <w:lang w:val="en-GB"/>
        </w:rPr>
        <w:t>et al.</w:t>
      </w:r>
      <w:r>
        <w:rPr>
          <w:rStyle w:val="s1"/>
          <w:rFonts w:ascii="Arial" w:hAnsi="Arial" w:cs="Arial"/>
          <w:lang w:val="en-GB"/>
        </w:rPr>
        <w:t>, 2024).</w:t>
      </w:r>
    </w:p>
    <w:p w14:paraId="497F5693" w14:textId="77777777" w:rsidR="00211DB3" w:rsidRDefault="00211DB3" w:rsidP="00046D2A">
      <w:pPr>
        <w:pStyle w:val="p1"/>
        <w:spacing w:line="360" w:lineRule="auto"/>
        <w:rPr>
          <w:rFonts w:ascii="Arial" w:hAnsi="Arial" w:cs="Arial"/>
          <w:lang w:val="en-GB"/>
        </w:rPr>
      </w:pPr>
      <w:r>
        <w:rPr>
          <w:rFonts w:ascii="Arial" w:hAnsi="Arial" w:cs="Arial"/>
          <w:lang w:val="en-GB"/>
        </w:rPr>
        <w:t>Higher resting heart rate (RHR), blood pressure (BP), or HR responses at a given submaximal workload may indicate greater CV strain and reduced physiological reserve for repeated work</w:t>
      </w:r>
      <w:r>
        <w:rPr>
          <w:rStyle w:val="apple-converted-space"/>
          <w:rFonts w:ascii="Arial" w:hAnsi="Arial" w:cs="Arial"/>
          <w:lang w:val="en-GB"/>
        </w:rPr>
        <w:t> </w:t>
      </w:r>
      <w:r>
        <w:rPr>
          <w:rStyle w:val="s1"/>
          <w:rFonts w:ascii="Arial" w:hAnsi="Arial" w:cs="Arial"/>
          <w:lang w:val="en-GB"/>
        </w:rPr>
        <w:t xml:space="preserve">(Olshansky </w:t>
      </w:r>
      <w:r w:rsidRPr="00A7058C">
        <w:rPr>
          <w:rStyle w:val="s1"/>
          <w:rFonts w:ascii="Arial" w:hAnsi="Arial" w:cs="Arial"/>
          <w:i/>
          <w:lang w:val="en-GB"/>
        </w:rPr>
        <w:t>et al.</w:t>
      </w:r>
      <w:r>
        <w:rPr>
          <w:rStyle w:val="s1"/>
          <w:rFonts w:ascii="Arial" w:hAnsi="Arial" w:cs="Arial"/>
          <w:lang w:val="en-GB"/>
        </w:rPr>
        <w:t xml:space="preserve">, 2023; Ras </w:t>
      </w:r>
      <w:r w:rsidRPr="00A7058C">
        <w:rPr>
          <w:rStyle w:val="s1"/>
          <w:rFonts w:ascii="Arial" w:hAnsi="Arial" w:cs="Arial"/>
          <w:i/>
          <w:lang w:val="en-GB"/>
        </w:rPr>
        <w:t>et al.</w:t>
      </w:r>
      <w:r>
        <w:rPr>
          <w:rStyle w:val="s1"/>
          <w:rFonts w:ascii="Arial" w:hAnsi="Arial" w:cs="Arial"/>
          <w:lang w:val="en-GB"/>
        </w:rPr>
        <w:t xml:space="preserve">, 2025). Emerging evidence suggests FF performance declines with age and accumulated service exposure. </w:t>
      </w:r>
      <w:r>
        <w:rPr>
          <w:rFonts w:ascii="Arial" w:hAnsi="Arial" w:cs="Arial"/>
          <w:lang w:val="en-GB"/>
        </w:rPr>
        <w:t xml:space="preserve">Cameron </w:t>
      </w:r>
      <w:r w:rsidRPr="00A7058C">
        <w:rPr>
          <w:rFonts w:ascii="Arial" w:hAnsi="Arial" w:cs="Arial"/>
          <w:i/>
          <w:lang w:val="en-GB"/>
        </w:rPr>
        <w:t>et al.</w:t>
      </w:r>
      <w:r>
        <w:rPr>
          <w:rFonts w:ascii="Arial" w:hAnsi="Arial" w:cs="Arial"/>
          <w:lang w:val="en-GB"/>
        </w:rPr>
        <w:t xml:space="preserve"> (2018) reported age-related decline in cardiorespiratory performance over ten years, while Martin </w:t>
      </w:r>
      <w:r w:rsidRPr="00A7058C">
        <w:rPr>
          <w:rFonts w:ascii="Arial" w:hAnsi="Arial" w:cs="Arial"/>
          <w:i/>
          <w:lang w:val="en-GB"/>
        </w:rPr>
        <w:t>et al.</w:t>
      </w:r>
      <w:r>
        <w:rPr>
          <w:rFonts w:ascii="Arial" w:hAnsi="Arial" w:cs="Arial"/>
          <w:lang w:val="en-GB"/>
        </w:rPr>
        <w:t xml:space="preserve"> (2025a), Jeung </w:t>
      </w:r>
      <w:r w:rsidRPr="00A7058C">
        <w:rPr>
          <w:rFonts w:ascii="Arial" w:hAnsi="Arial" w:cs="Arial"/>
          <w:i/>
          <w:lang w:val="en-GB"/>
        </w:rPr>
        <w:t>et al.</w:t>
      </w:r>
      <w:r>
        <w:rPr>
          <w:rFonts w:ascii="Arial" w:hAnsi="Arial" w:cs="Arial"/>
          <w:lang w:val="en-GB"/>
        </w:rPr>
        <w:t xml:space="preserve"> (2022), and Chun </w:t>
      </w:r>
      <w:r w:rsidRPr="00A7058C">
        <w:rPr>
          <w:rFonts w:ascii="Arial" w:hAnsi="Arial" w:cs="Arial"/>
          <w:i/>
          <w:lang w:val="en-GB"/>
        </w:rPr>
        <w:t>et al.</w:t>
      </w:r>
      <w:r>
        <w:rPr>
          <w:rFonts w:ascii="Arial" w:hAnsi="Arial" w:cs="Arial"/>
          <w:lang w:val="en-GB"/>
        </w:rPr>
        <w:t xml:space="preserve"> (2025) suggest longer service and cumulative burden may exacerbate declines in health and performance across a career. Although largely observational, this evidence supports concern that repeated stress may progressively erode physiological efficiency and sustained work capacity. Accordingly, resting BP, RHR, and HR responses during the Chester Treadmill Test (CTT) were selected as practical indicators of CV strain.</w:t>
      </w:r>
    </w:p>
    <w:p w14:paraId="5B1C1931" w14:textId="77777777" w:rsidR="00210749" w:rsidRDefault="00210749" w:rsidP="00046D2A">
      <w:pPr>
        <w:pStyle w:val="p1"/>
        <w:spacing w:line="360" w:lineRule="auto"/>
        <w:rPr>
          <w:rFonts w:ascii="Arial" w:hAnsi="Arial" w:cs="Arial"/>
          <w:lang w:val="en-GB"/>
        </w:rPr>
      </w:pPr>
    </w:p>
    <w:p w14:paraId="2E3B13DB" w14:textId="352A902C" w:rsidR="00A319FF" w:rsidRDefault="00211DB3" w:rsidP="00046D2A">
      <w:pPr>
        <w:pStyle w:val="p1"/>
        <w:spacing w:line="360" w:lineRule="auto"/>
        <w:rPr>
          <w:rFonts w:ascii="Arial" w:hAnsi="Arial" w:cs="Arial"/>
          <w:lang w:val="en-GB"/>
        </w:rPr>
      </w:pPr>
      <w:r>
        <w:rPr>
          <w:rFonts w:ascii="Arial" w:hAnsi="Arial" w:cs="Arial"/>
          <w:lang w:val="en-GB"/>
        </w:rPr>
        <w:lastRenderedPageBreak/>
        <w:t xml:space="preserve">Evidence suggests FFs often display suboptimal dietary patterns, including low intake of nutrient-dense foods and omega-3 (O3) polyunsaturated fatty (PUFAs), alongside higher intake of energy-dense and pro-inflammatory foods </w:t>
      </w:r>
      <w:r>
        <w:rPr>
          <w:rStyle w:val="s1"/>
          <w:rFonts w:ascii="Arial" w:hAnsi="Arial" w:cs="Arial"/>
          <w:lang w:val="en-GB"/>
        </w:rPr>
        <w:t xml:space="preserve">(Joe </w:t>
      </w:r>
      <w:r w:rsidRPr="00A7058C">
        <w:rPr>
          <w:rStyle w:val="s1"/>
          <w:rFonts w:ascii="Arial" w:hAnsi="Arial" w:cs="Arial"/>
          <w:i/>
          <w:lang w:val="en-GB"/>
        </w:rPr>
        <w:t>et al.</w:t>
      </w:r>
      <w:r>
        <w:rPr>
          <w:rStyle w:val="s1"/>
          <w:rFonts w:ascii="Arial" w:hAnsi="Arial" w:cs="Arial"/>
          <w:lang w:val="en-GB"/>
        </w:rPr>
        <w:t xml:space="preserve">, 2022; Della Torre </w:t>
      </w:r>
      <w:r w:rsidRPr="00A7058C">
        <w:rPr>
          <w:rStyle w:val="s1"/>
          <w:rFonts w:ascii="Arial" w:hAnsi="Arial" w:cs="Arial"/>
          <w:i/>
          <w:lang w:val="en-GB"/>
        </w:rPr>
        <w:t>et al.</w:t>
      </w:r>
      <w:r>
        <w:rPr>
          <w:rStyle w:val="s1"/>
          <w:rFonts w:ascii="Arial" w:hAnsi="Arial" w:cs="Arial"/>
          <w:lang w:val="en-GB"/>
        </w:rPr>
        <w:t xml:space="preserve">, 2019; Sidossis </w:t>
      </w:r>
      <w:r w:rsidRPr="00A7058C">
        <w:rPr>
          <w:rStyle w:val="s1"/>
          <w:rFonts w:ascii="Arial" w:hAnsi="Arial" w:cs="Arial"/>
          <w:i/>
          <w:lang w:val="en-GB"/>
        </w:rPr>
        <w:t>et al.</w:t>
      </w:r>
      <w:r>
        <w:rPr>
          <w:rStyle w:val="s1"/>
          <w:rFonts w:ascii="Arial" w:hAnsi="Arial" w:cs="Arial"/>
          <w:lang w:val="en-GB"/>
        </w:rPr>
        <w:t xml:space="preserve">, 2023). These behaviours may exacerbate cardiometabolic and inflammatory burden rather than buffer occupational stressors (Minihane </w:t>
      </w:r>
      <w:r w:rsidRPr="00A7058C">
        <w:rPr>
          <w:rStyle w:val="s1"/>
          <w:rFonts w:ascii="Arial" w:hAnsi="Arial" w:cs="Arial"/>
          <w:i/>
          <w:lang w:val="en-GB"/>
        </w:rPr>
        <w:t>et al.</w:t>
      </w:r>
      <w:r>
        <w:rPr>
          <w:rStyle w:val="s1"/>
          <w:rFonts w:ascii="Arial" w:hAnsi="Arial" w:cs="Arial"/>
          <w:lang w:val="en-GB"/>
        </w:rPr>
        <w:t xml:space="preserve">, 2015; Clemente-Suárez </w:t>
      </w:r>
      <w:r w:rsidRPr="00A7058C">
        <w:rPr>
          <w:rStyle w:val="s1"/>
          <w:rFonts w:ascii="Arial" w:hAnsi="Arial" w:cs="Arial"/>
          <w:i/>
          <w:lang w:val="en-GB"/>
        </w:rPr>
        <w:t>et al.</w:t>
      </w:r>
      <w:r>
        <w:rPr>
          <w:rStyle w:val="s1"/>
          <w:rFonts w:ascii="Arial" w:hAnsi="Arial" w:cs="Arial"/>
          <w:lang w:val="en-GB"/>
        </w:rPr>
        <w:t>, 2022).</w:t>
      </w:r>
    </w:p>
    <w:p w14:paraId="033C1ABF" w14:textId="77777777" w:rsidR="00211DB3" w:rsidRDefault="00211DB3" w:rsidP="00046D2A">
      <w:pPr>
        <w:pStyle w:val="p1"/>
        <w:spacing w:line="360" w:lineRule="auto"/>
        <w:rPr>
          <w:rStyle w:val="s1"/>
          <w:rFonts w:ascii="Arial" w:hAnsi="Arial" w:cs="Arial"/>
          <w:lang w:val="en-GB"/>
        </w:rPr>
      </w:pPr>
      <w:r>
        <w:rPr>
          <w:rFonts w:ascii="Arial" w:hAnsi="Arial" w:cs="Arial"/>
          <w:lang w:val="en-GB"/>
        </w:rPr>
        <w:t>O3 PUFAs, particularly eicosapentaenoic acid (EPA) and docosahexaenoic acid (DHA), are of interest because of their anti-inflammatory and cardioprotective properties</w:t>
      </w:r>
      <w:r>
        <w:rPr>
          <w:rStyle w:val="s1"/>
          <w:rFonts w:ascii="Arial" w:hAnsi="Arial" w:cs="Arial"/>
          <w:lang w:val="en-GB"/>
        </w:rPr>
        <w:t xml:space="preserve"> (Calder, 2017; Tomczyk </w:t>
      </w:r>
      <w:r w:rsidRPr="00A7058C">
        <w:rPr>
          <w:rStyle w:val="s1"/>
          <w:rFonts w:ascii="Arial" w:hAnsi="Arial" w:cs="Arial"/>
          <w:i/>
          <w:lang w:val="en-GB"/>
        </w:rPr>
        <w:t>et al.</w:t>
      </w:r>
      <w:r>
        <w:rPr>
          <w:rStyle w:val="s1"/>
          <w:rFonts w:ascii="Arial" w:hAnsi="Arial" w:cs="Arial"/>
          <w:lang w:val="en-GB"/>
        </w:rPr>
        <w:t xml:space="preserve">, 2023; Medoro </w:t>
      </w:r>
      <w:r w:rsidRPr="00A7058C">
        <w:rPr>
          <w:rStyle w:val="s1"/>
          <w:rFonts w:ascii="Arial" w:hAnsi="Arial" w:cs="Arial"/>
          <w:i/>
          <w:lang w:val="en-GB"/>
        </w:rPr>
        <w:t>et al.</w:t>
      </w:r>
      <w:r>
        <w:rPr>
          <w:rStyle w:val="s1"/>
          <w:rFonts w:ascii="Arial" w:hAnsi="Arial" w:cs="Arial"/>
          <w:lang w:val="en-GB"/>
        </w:rPr>
        <w:t xml:space="preserve">, 2024; Jäger </w:t>
      </w:r>
      <w:r w:rsidRPr="00A7058C">
        <w:rPr>
          <w:rStyle w:val="s1"/>
          <w:rFonts w:ascii="Arial" w:hAnsi="Arial" w:cs="Arial"/>
          <w:i/>
          <w:lang w:val="en-GB"/>
        </w:rPr>
        <w:t>et al.</w:t>
      </w:r>
      <w:r>
        <w:rPr>
          <w:rStyle w:val="s1"/>
          <w:rFonts w:ascii="Arial" w:hAnsi="Arial" w:cs="Arial"/>
          <w:lang w:val="en-GB"/>
        </w:rPr>
        <w:t xml:space="preserve">, 2025). EPA and DHA have been associated with improved vascular function and more favourable HR and BP regulation, making them mechanistically relevant to populations exposed to repeated physiological stress (Mozaffarian </w:t>
      </w:r>
      <w:r w:rsidRPr="00A7058C">
        <w:rPr>
          <w:rStyle w:val="s1"/>
          <w:rFonts w:ascii="Arial" w:hAnsi="Arial" w:cs="Arial"/>
          <w:i/>
          <w:lang w:val="en-GB"/>
        </w:rPr>
        <w:t>et al.</w:t>
      </w:r>
      <w:r>
        <w:rPr>
          <w:rStyle w:val="s1"/>
          <w:rFonts w:ascii="Arial" w:hAnsi="Arial" w:cs="Arial"/>
          <w:lang w:val="en-GB"/>
        </w:rPr>
        <w:t xml:space="preserve">, 2005; Miller </w:t>
      </w:r>
      <w:r w:rsidRPr="00A7058C">
        <w:rPr>
          <w:rStyle w:val="s1"/>
          <w:rFonts w:ascii="Arial" w:hAnsi="Arial" w:cs="Arial"/>
          <w:i/>
          <w:lang w:val="en-GB"/>
        </w:rPr>
        <w:t>et al.</w:t>
      </w:r>
      <w:r>
        <w:rPr>
          <w:rStyle w:val="s1"/>
          <w:rFonts w:ascii="Arial" w:hAnsi="Arial" w:cs="Arial"/>
          <w:lang w:val="en-GB"/>
        </w:rPr>
        <w:t xml:space="preserve">, 2014; Zhang </w:t>
      </w:r>
      <w:r w:rsidRPr="00A7058C">
        <w:rPr>
          <w:rStyle w:val="s1"/>
          <w:rFonts w:ascii="Arial" w:hAnsi="Arial" w:cs="Arial"/>
          <w:i/>
          <w:lang w:val="en-GB"/>
        </w:rPr>
        <w:t>et al.</w:t>
      </w:r>
      <w:r>
        <w:rPr>
          <w:rStyle w:val="s1"/>
          <w:rFonts w:ascii="Arial" w:hAnsi="Arial" w:cs="Arial"/>
          <w:lang w:val="en-GB"/>
        </w:rPr>
        <w:t xml:space="preserve">, 2022; Jäger </w:t>
      </w:r>
      <w:r w:rsidRPr="00A7058C">
        <w:rPr>
          <w:rStyle w:val="s1"/>
          <w:rFonts w:ascii="Arial" w:hAnsi="Arial" w:cs="Arial"/>
          <w:i/>
          <w:lang w:val="en-GB"/>
        </w:rPr>
        <w:t>et al.</w:t>
      </w:r>
      <w:r>
        <w:rPr>
          <w:rStyle w:val="s1"/>
          <w:rFonts w:ascii="Arial" w:hAnsi="Arial" w:cs="Arial"/>
          <w:lang w:val="en-GB"/>
        </w:rPr>
        <w:t>, 2025). O3 supplementation may therefore represent a feasible strategy to help mitigate the long-term physiological burden of firefighting.</w:t>
      </w:r>
    </w:p>
    <w:p w14:paraId="69C974A3" w14:textId="77777777" w:rsidR="00A92499" w:rsidRDefault="00A92499" w:rsidP="00046D2A">
      <w:pPr>
        <w:pStyle w:val="Heading2"/>
        <w:spacing w:line="360" w:lineRule="auto"/>
        <w:rPr>
          <w:rStyle w:val="s1"/>
          <w:rFonts w:ascii="Arial" w:hAnsi="Arial" w:cs="Arial"/>
          <w:b/>
          <w:bCs/>
          <w:lang w:val="en-GB"/>
        </w:rPr>
      </w:pPr>
    </w:p>
    <w:p w14:paraId="1B38A15D" w14:textId="454B0346" w:rsidR="007F4953" w:rsidRPr="000C2658" w:rsidRDefault="007C5FBA" w:rsidP="00046D2A">
      <w:pPr>
        <w:pStyle w:val="Heading2"/>
        <w:spacing w:line="360" w:lineRule="auto"/>
        <w:rPr>
          <w:rStyle w:val="s1"/>
          <w:rFonts w:ascii="Arial" w:hAnsi="Arial" w:cs="Arial"/>
          <w:lang w:val="en-GB"/>
        </w:rPr>
      </w:pPr>
      <w:bookmarkStart w:id="8" w:name="_Toc228218257"/>
      <w:r w:rsidRPr="000C2658">
        <w:rPr>
          <w:rStyle w:val="s1"/>
          <w:rFonts w:ascii="Arial" w:hAnsi="Arial" w:cs="Arial"/>
          <w:lang w:val="en-GB"/>
        </w:rPr>
        <w:t xml:space="preserve">1.2 </w:t>
      </w:r>
      <w:r w:rsidR="007F4953" w:rsidRPr="000C2658">
        <w:rPr>
          <w:rStyle w:val="s1"/>
          <w:rFonts w:ascii="Arial" w:hAnsi="Arial" w:cs="Arial"/>
          <w:lang w:val="en-GB"/>
        </w:rPr>
        <w:t>Problem statement and research gap</w:t>
      </w:r>
      <w:bookmarkEnd w:id="8"/>
      <w:r w:rsidR="007F4953" w:rsidRPr="000C2658">
        <w:rPr>
          <w:rStyle w:val="s1"/>
          <w:rFonts w:ascii="Arial" w:hAnsi="Arial" w:cs="Arial"/>
          <w:lang w:val="en-GB"/>
        </w:rPr>
        <w:t xml:space="preserve"> </w:t>
      </w:r>
    </w:p>
    <w:p w14:paraId="2DAE259C" w14:textId="77777777" w:rsidR="00A319FF" w:rsidRDefault="00A319FF" w:rsidP="00046D2A">
      <w:pPr>
        <w:pStyle w:val="p1"/>
        <w:spacing w:line="360" w:lineRule="auto"/>
        <w:ind w:left="400"/>
        <w:rPr>
          <w:rFonts w:ascii="Arial" w:hAnsi="Arial" w:cs="Arial"/>
          <w:b/>
          <w:bCs/>
          <w:lang w:val="en-GB"/>
        </w:rPr>
      </w:pPr>
    </w:p>
    <w:p w14:paraId="69FE8C9F" w14:textId="77777777" w:rsidR="00211DB3" w:rsidRDefault="00211DB3" w:rsidP="00046D2A">
      <w:pPr>
        <w:pStyle w:val="p1"/>
        <w:spacing w:line="360" w:lineRule="auto"/>
        <w:rPr>
          <w:rFonts w:ascii="Arial" w:hAnsi="Arial" w:cs="Arial"/>
          <w:lang w:val="en-GB"/>
        </w:rPr>
      </w:pPr>
      <w:r>
        <w:rPr>
          <w:rFonts w:ascii="Arial" w:hAnsi="Arial" w:cs="Arial"/>
          <w:lang w:val="en-GB"/>
        </w:rPr>
        <w:t>FFs are exposed to repeated stressors that may increase inflammation, elevate BP and HR, and reduce CV efficiency, contributing to declining performance and health risk across career span</w:t>
      </w:r>
      <w:r>
        <w:rPr>
          <w:rStyle w:val="s1"/>
          <w:rFonts w:ascii="Arial" w:hAnsi="Arial" w:cs="Arial"/>
          <w:lang w:val="en-GB"/>
        </w:rPr>
        <w:t xml:space="preserve"> (Singh </w:t>
      </w:r>
      <w:r w:rsidRPr="00A7058C">
        <w:rPr>
          <w:rStyle w:val="s1"/>
          <w:rFonts w:ascii="Arial" w:hAnsi="Arial" w:cs="Arial"/>
          <w:i/>
          <w:lang w:val="en-GB"/>
        </w:rPr>
        <w:t>et al.</w:t>
      </w:r>
      <w:r>
        <w:rPr>
          <w:rStyle w:val="s1"/>
          <w:rFonts w:ascii="Arial" w:hAnsi="Arial" w:cs="Arial"/>
          <w:lang w:val="en-GB"/>
        </w:rPr>
        <w:t xml:space="preserve">, 2019; Pacinella </w:t>
      </w:r>
      <w:r w:rsidRPr="00A7058C">
        <w:rPr>
          <w:rStyle w:val="s1"/>
          <w:rFonts w:ascii="Arial" w:hAnsi="Arial" w:cs="Arial"/>
          <w:i/>
          <w:lang w:val="en-GB"/>
        </w:rPr>
        <w:t>et al.</w:t>
      </w:r>
      <w:r>
        <w:rPr>
          <w:rStyle w:val="s1"/>
          <w:rFonts w:ascii="Arial" w:hAnsi="Arial" w:cs="Arial"/>
          <w:lang w:val="en-GB"/>
        </w:rPr>
        <w:t xml:space="preserve">, 2022; Allsopp and Main, 2025). Although these mechanisms are increasingly recognised, practical interventions remain limited. O3 supplementation is a plausible candidate because it is accessible, low burden, and supported by wider literature relating to vascular function, BP and HR regulation (Mozaffarian </w:t>
      </w:r>
      <w:r w:rsidRPr="00A7058C">
        <w:rPr>
          <w:rStyle w:val="s1"/>
          <w:rFonts w:ascii="Arial" w:hAnsi="Arial" w:cs="Arial"/>
          <w:i/>
          <w:lang w:val="en-GB"/>
        </w:rPr>
        <w:t>et al.</w:t>
      </w:r>
      <w:r>
        <w:rPr>
          <w:rStyle w:val="s1"/>
          <w:rFonts w:ascii="Arial" w:hAnsi="Arial" w:cs="Arial"/>
          <w:lang w:val="en-GB"/>
        </w:rPr>
        <w:t xml:space="preserve">, 2005; Miller </w:t>
      </w:r>
      <w:r w:rsidRPr="00A7058C">
        <w:rPr>
          <w:rStyle w:val="s1"/>
          <w:rFonts w:ascii="Arial" w:hAnsi="Arial" w:cs="Arial"/>
          <w:i/>
          <w:lang w:val="en-GB"/>
        </w:rPr>
        <w:t>et al.</w:t>
      </w:r>
      <w:r>
        <w:rPr>
          <w:rStyle w:val="s1"/>
          <w:rFonts w:ascii="Arial" w:hAnsi="Arial" w:cs="Arial"/>
          <w:lang w:val="en-GB"/>
        </w:rPr>
        <w:t xml:space="preserve">, 2014; Zhang </w:t>
      </w:r>
      <w:r w:rsidRPr="00A7058C">
        <w:rPr>
          <w:rStyle w:val="s1"/>
          <w:rFonts w:ascii="Arial" w:hAnsi="Arial" w:cs="Arial"/>
          <w:i/>
          <w:lang w:val="en-GB"/>
        </w:rPr>
        <w:t>et al.</w:t>
      </w:r>
      <w:r>
        <w:rPr>
          <w:rStyle w:val="s1"/>
          <w:rFonts w:ascii="Arial" w:hAnsi="Arial" w:cs="Arial"/>
          <w:lang w:val="en-GB"/>
        </w:rPr>
        <w:t>, 2022). However, findings are heterogeneous and largely derived from clinical or athletic populations, limiting direct applicability to FFs.</w:t>
      </w:r>
    </w:p>
    <w:p w14:paraId="6565A7B8" w14:textId="77777777" w:rsidR="00211DB3" w:rsidRDefault="00211DB3" w:rsidP="00046D2A">
      <w:pPr>
        <w:pStyle w:val="p1"/>
        <w:spacing w:line="360" w:lineRule="auto"/>
        <w:rPr>
          <w:rFonts w:ascii="Arial" w:hAnsi="Arial" w:cs="Arial"/>
          <w:lang w:val="en-GB"/>
        </w:rPr>
      </w:pPr>
      <w:r>
        <w:rPr>
          <w:rFonts w:ascii="Arial" w:hAnsi="Arial" w:cs="Arial"/>
          <w:lang w:val="en-GB"/>
        </w:rPr>
        <w:lastRenderedPageBreak/>
        <w:t>Critically, FF-specific intervention research examining whether daily high-dose O3 supplementation can reduce resting CV strain or attenuate HR responses during standardised exercise remains limited. This gap matters because lower CV strain at rest and during submaximal work may indicate improved physiological efficiency, greater tolerance to occupational demand, and better maintenance of performance and health across a career, particularly in later service.</w:t>
      </w:r>
    </w:p>
    <w:p w14:paraId="7A170BA7" w14:textId="77777777" w:rsidR="00CA6839" w:rsidRDefault="00CA6839" w:rsidP="00046D2A">
      <w:pPr>
        <w:pStyle w:val="p1"/>
        <w:spacing w:line="360" w:lineRule="auto"/>
        <w:rPr>
          <w:rFonts w:ascii="Arial" w:hAnsi="Arial" w:cs="Arial"/>
          <w:lang w:val="en-GB"/>
        </w:rPr>
      </w:pPr>
    </w:p>
    <w:p w14:paraId="490903CC" w14:textId="69334A8C" w:rsidR="00942134" w:rsidRDefault="00A92499" w:rsidP="00046D2A">
      <w:pPr>
        <w:pStyle w:val="Heading2"/>
        <w:spacing w:line="360" w:lineRule="auto"/>
        <w:rPr>
          <w:rStyle w:val="s1"/>
          <w:rFonts w:ascii="Arial" w:hAnsi="Arial" w:cs="Arial"/>
          <w:lang w:val="en-GB"/>
        </w:rPr>
      </w:pPr>
      <w:bookmarkStart w:id="9" w:name="_Toc228218258"/>
      <w:r w:rsidRPr="000C2658">
        <w:rPr>
          <w:rStyle w:val="s1"/>
          <w:rFonts w:ascii="Arial" w:hAnsi="Arial" w:cs="Arial"/>
          <w:lang w:val="en-GB"/>
        </w:rPr>
        <w:t>1.3 Aims and objectives</w:t>
      </w:r>
      <w:bookmarkEnd w:id="9"/>
    </w:p>
    <w:p w14:paraId="5096EE5B" w14:textId="77777777" w:rsidR="00672382" w:rsidRPr="00672382" w:rsidRDefault="00672382" w:rsidP="00672382">
      <w:pPr>
        <w:rPr>
          <w:lang w:val="en-GB"/>
        </w:rPr>
      </w:pPr>
    </w:p>
    <w:p w14:paraId="3F9C90D6" w14:textId="77777777" w:rsidR="00211DB3" w:rsidRDefault="00211DB3" w:rsidP="00046D2A">
      <w:pPr>
        <w:pStyle w:val="p1"/>
        <w:spacing w:line="360" w:lineRule="auto"/>
        <w:rPr>
          <w:rFonts w:ascii="Arial" w:hAnsi="Arial" w:cs="Arial"/>
          <w:lang w:val="en-GB"/>
        </w:rPr>
      </w:pPr>
      <w:r>
        <w:rPr>
          <w:rStyle w:val="s1"/>
          <w:rFonts w:ascii="Arial" w:hAnsi="Arial" w:cs="Arial"/>
          <w:lang w:val="en-GB"/>
        </w:rPr>
        <w:t>The aim of this study was to investigate whether eight weeks of O3 supplementation, providing 3000 mg/day and comprising of 1700 mg EPA and 1300 mg DHA, could improve CV markers and reduce CV strain during standardised exercise in operational FFs.</w:t>
      </w:r>
    </w:p>
    <w:p w14:paraId="746D2D1E" w14:textId="77777777" w:rsidR="00211DB3" w:rsidRDefault="00211DB3" w:rsidP="00046D2A">
      <w:pPr>
        <w:pStyle w:val="p1"/>
        <w:spacing w:line="360" w:lineRule="auto"/>
        <w:rPr>
          <w:rFonts w:ascii="Arial" w:hAnsi="Arial" w:cs="Arial"/>
          <w:lang w:val="en-GB"/>
        </w:rPr>
      </w:pPr>
      <w:r>
        <w:rPr>
          <w:rFonts w:ascii="Arial" w:hAnsi="Arial" w:cs="Arial"/>
          <w:lang w:val="en-GB"/>
        </w:rPr>
        <w:t>The objectives were to assess changes in RHR, systolic BP (SBP), diastolic BP (DBP), HR responses during CTT, and the feasibility of implementing this O3 protocol in an operational firefighter context.</w:t>
      </w:r>
    </w:p>
    <w:p w14:paraId="25FFC7E9" w14:textId="77777777" w:rsidR="007053D3" w:rsidRDefault="007053D3" w:rsidP="00046D2A">
      <w:pPr>
        <w:pStyle w:val="p1"/>
        <w:spacing w:line="360" w:lineRule="auto"/>
        <w:rPr>
          <w:rFonts w:ascii="Arial" w:hAnsi="Arial" w:cs="Arial"/>
          <w:lang w:val="en-GB"/>
        </w:rPr>
      </w:pPr>
    </w:p>
    <w:p w14:paraId="3F1C224F" w14:textId="42BDCEBE" w:rsidR="00942134" w:rsidRDefault="0093197D" w:rsidP="00046D2A">
      <w:pPr>
        <w:pStyle w:val="Heading2"/>
        <w:spacing w:line="360" w:lineRule="auto"/>
        <w:rPr>
          <w:lang w:val="en-GB"/>
        </w:rPr>
      </w:pPr>
      <w:bookmarkStart w:id="10" w:name="_Toc228218259"/>
      <w:r>
        <w:rPr>
          <w:lang w:val="en-GB"/>
        </w:rPr>
        <w:t>1.4 Research questions, hypothesis and significance</w:t>
      </w:r>
      <w:bookmarkEnd w:id="10"/>
    </w:p>
    <w:p w14:paraId="14DEDE13" w14:textId="77777777" w:rsidR="00FF4ECB" w:rsidRPr="00FF4ECB" w:rsidRDefault="00FF4ECB" w:rsidP="00046D2A">
      <w:pPr>
        <w:spacing w:line="360" w:lineRule="auto"/>
        <w:rPr>
          <w:lang w:val="en-GB"/>
        </w:rPr>
      </w:pPr>
    </w:p>
    <w:p w14:paraId="4F3A5017" w14:textId="67EC20D7" w:rsidR="00FF4ECB" w:rsidRDefault="00211DB3" w:rsidP="00046D2A">
      <w:pPr>
        <w:pStyle w:val="p1"/>
        <w:spacing w:line="360" w:lineRule="auto"/>
        <w:rPr>
          <w:rFonts w:ascii="Arial" w:hAnsi="Arial" w:cs="Arial"/>
          <w:lang w:val="en-GB"/>
        </w:rPr>
      </w:pPr>
      <w:r>
        <w:rPr>
          <w:rStyle w:val="s1"/>
          <w:rFonts w:ascii="Arial" w:hAnsi="Arial" w:cs="Arial"/>
          <w:lang w:val="en-GB"/>
        </w:rPr>
        <w:t>Does eight weeks of this O3 protocol improve CV markers and reduce exercise HR strain in operational FFs?</w:t>
      </w:r>
    </w:p>
    <w:p w14:paraId="0E253640" w14:textId="77777777" w:rsidR="00211DB3" w:rsidRDefault="00211DB3" w:rsidP="00046D2A">
      <w:pPr>
        <w:pStyle w:val="p1"/>
        <w:spacing w:line="360" w:lineRule="auto"/>
        <w:rPr>
          <w:rFonts w:ascii="Arial" w:hAnsi="Arial" w:cs="Arial"/>
          <w:lang w:val="en-GB"/>
        </w:rPr>
      </w:pPr>
      <w:r>
        <w:rPr>
          <w:rStyle w:val="s1"/>
          <w:rFonts w:ascii="Arial" w:hAnsi="Arial" w:cs="Arial"/>
          <w:lang w:val="en-GB"/>
        </w:rPr>
        <w:t xml:space="preserve">It was hypothesised that eight weeks of O3 protocol would reduce resting HR and BP, and attenuate HR responses during the CTT, indicating reduced CV strain and improved physiological efficiency in operational FFs. </w:t>
      </w:r>
      <w:r>
        <w:rPr>
          <w:rFonts w:ascii="Arial" w:hAnsi="Arial" w:cs="Arial"/>
          <w:lang w:val="en-GB"/>
        </w:rPr>
        <w:t xml:space="preserve">It was further hypothesised that these effects may support occupational performance and health over time, particularly </w:t>
      </w:r>
      <w:r>
        <w:rPr>
          <w:rFonts w:ascii="Arial" w:hAnsi="Arial" w:cs="Arial"/>
          <w:lang w:val="en-GB"/>
        </w:rPr>
        <w:lastRenderedPageBreak/>
        <w:t>later in career, by reducing cumulative CV stress associated with repeated occupational exposure.</w:t>
      </w:r>
    </w:p>
    <w:p w14:paraId="6F0E79A0" w14:textId="0D163737" w:rsidR="006752FD" w:rsidRPr="002F2EE6" w:rsidRDefault="00211DB3" w:rsidP="000C672E">
      <w:pPr>
        <w:pStyle w:val="p1"/>
        <w:spacing w:line="360" w:lineRule="auto"/>
        <w:rPr>
          <w:rFonts w:ascii="Arial" w:hAnsi="Arial" w:cs="Arial"/>
        </w:rPr>
      </w:pPr>
      <w:r>
        <w:rPr>
          <w:rStyle w:val="s1"/>
          <w:rFonts w:ascii="Arial" w:hAnsi="Arial" w:cs="Arial"/>
          <w:lang w:val="en-GB"/>
        </w:rPr>
        <w:t xml:space="preserve">This question addresses a recognised gap in firefighter-specific nutrition research by examining a practical intervention rather than describing risk. It also aligns with the tactical athlete framework by focusing on physiological resilience and performance longevity, rather than solely disease prevention. </w:t>
      </w:r>
      <w:r>
        <w:rPr>
          <w:rFonts w:ascii="Arial" w:hAnsi="Arial" w:cs="Arial"/>
          <w:lang w:val="en-GB"/>
        </w:rPr>
        <w:t>If this O3 protocol can reduce resting BP or HR strain during standardised exercise, even modestly, it may have practical relevance for occupational readiness, recovery, and long-term health.</w:t>
      </w:r>
      <w:r>
        <w:rPr>
          <w:rStyle w:val="s1"/>
          <w:rFonts w:ascii="Arial" w:hAnsi="Arial" w:cs="Arial"/>
          <w:lang w:val="en-GB"/>
        </w:rPr>
        <w:t xml:space="preserve"> </w:t>
      </w:r>
      <w:r>
        <w:rPr>
          <w:rFonts w:ascii="Arial" w:hAnsi="Arial" w:cs="Arial"/>
          <w:lang w:val="en-GB"/>
        </w:rPr>
        <w:t>More broadly, the study contributes applied evidence to firefighter human performance nutrition and may help clarify whether a simple nutritional strategy can mitigate gradual decline in CV efficiency and performance associated with cumulative occupational exposure.</w:t>
      </w:r>
    </w:p>
    <w:p w14:paraId="49AE9E25" w14:textId="77777777" w:rsidR="00AF3C45" w:rsidRDefault="00AF3C45" w:rsidP="00046D2A">
      <w:pPr>
        <w:pStyle w:val="p1"/>
        <w:spacing w:line="360" w:lineRule="auto"/>
        <w:rPr>
          <w:rFonts w:ascii="Arial" w:hAnsi="Arial" w:cs="Arial"/>
          <w:lang w:val="en-GB"/>
        </w:rPr>
      </w:pPr>
    </w:p>
    <w:p w14:paraId="52BA3D23" w14:textId="34E9F152" w:rsidR="00183EA1" w:rsidRDefault="00183EA1" w:rsidP="00046D2A">
      <w:pPr>
        <w:pStyle w:val="p1"/>
        <w:spacing w:line="360" w:lineRule="auto"/>
        <w:rPr>
          <w:rFonts w:ascii="Arial" w:hAnsi="Arial" w:cs="Arial"/>
          <w:lang w:val="en-GB"/>
        </w:rPr>
      </w:pPr>
    </w:p>
    <w:p w14:paraId="3F61AA2E" w14:textId="77777777" w:rsidR="003C3F0F" w:rsidRDefault="003C3F0F" w:rsidP="00046D2A">
      <w:pPr>
        <w:pStyle w:val="p1"/>
        <w:spacing w:line="360" w:lineRule="auto"/>
        <w:rPr>
          <w:rFonts w:ascii="Arial" w:hAnsi="Arial" w:cs="Arial"/>
          <w:lang w:val="en-GB"/>
        </w:rPr>
      </w:pPr>
    </w:p>
    <w:p w14:paraId="20B76935" w14:textId="77777777" w:rsidR="00211DB3" w:rsidRDefault="00211DB3" w:rsidP="00046D2A">
      <w:pPr>
        <w:pStyle w:val="p1"/>
        <w:spacing w:line="360" w:lineRule="auto"/>
        <w:rPr>
          <w:rFonts w:ascii="Arial" w:hAnsi="Arial" w:cs="Arial"/>
          <w:lang w:val="en-GB"/>
        </w:rPr>
      </w:pPr>
    </w:p>
    <w:p w14:paraId="303685BB" w14:textId="183BF0FF" w:rsidR="00211DB3" w:rsidRPr="00211DB3" w:rsidRDefault="00211DB3" w:rsidP="00046D2A">
      <w:pPr>
        <w:spacing w:line="360" w:lineRule="auto"/>
        <w:rPr>
          <w:rFonts w:ascii="Arial" w:hAnsi="Arial" w:cs="Arial"/>
        </w:rPr>
      </w:pPr>
    </w:p>
    <w:p w14:paraId="047FDCF4" w14:textId="77777777" w:rsidR="00A12193" w:rsidRDefault="00A12193" w:rsidP="00046D2A">
      <w:pPr>
        <w:spacing w:line="360" w:lineRule="auto"/>
      </w:pPr>
    </w:p>
    <w:p w14:paraId="5DED1FEC" w14:textId="77777777" w:rsidR="00A12193" w:rsidRDefault="00A12193" w:rsidP="00046D2A">
      <w:pPr>
        <w:spacing w:line="360" w:lineRule="auto"/>
      </w:pPr>
    </w:p>
    <w:p w14:paraId="16792D34" w14:textId="77777777" w:rsidR="00A12193" w:rsidRDefault="00A12193" w:rsidP="00046D2A">
      <w:pPr>
        <w:spacing w:line="360" w:lineRule="auto"/>
      </w:pPr>
    </w:p>
    <w:p w14:paraId="2BA0B72F" w14:textId="77777777" w:rsidR="00A12193" w:rsidRDefault="00A12193" w:rsidP="00046D2A">
      <w:pPr>
        <w:spacing w:line="360" w:lineRule="auto"/>
      </w:pPr>
    </w:p>
    <w:p w14:paraId="667FEDD5" w14:textId="77777777" w:rsidR="003447FB" w:rsidRDefault="003447FB" w:rsidP="00046D2A">
      <w:pPr>
        <w:spacing w:line="360" w:lineRule="auto"/>
      </w:pPr>
    </w:p>
    <w:p w14:paraId="64D1D906" w14:textId="77777777" w:rsidR="003447FB" w:rsidRDefault="003447FB" w:rsidP="00046D2A">
      <w:pPr>
        <w:spacing w:line="360" w:lineRule="auto"/>
      </w:pPr>
    </w:p>
    <w:p w14:paraId="2BD41CE7" w14:textId="0197D488" w:rsidR="00C51A2D" w:rsidRPr="00BE222B" w:rsidRDefault="00C51A2D" w:rsidP="00D23AD8">
      <w:pPr>
        <w:pStyle w:val="Heading1"/>
        <w:rPr>
          <w:rStyle w:val="s2"/>
          <w:rFonts w:ascii="Arial" w:hAnsi="Arial" w:cs="Arial"/>
          <w:lang w:val="en-GB"/>
        </w:rPr>
      </w:pPr>
      <w:bookmarkStart w:id="11" w:name="_Toc228218260"/>
      <w:r w:rsidRPr="00BE222B">
        <w:rPr>
          <w:rStyle w:val="s2"/>
          <w:rFonts w:ascii="Arial" w:hAnsi="Arial" w:cs="Arial"/>
          <w:sz w:val="28"/>
          <w:szCs w:val="28"/>
          <w:lang w:val="en-GB"/>
        </w:rPr>
        <w:lastRenderedPageBreak/>
        <w:t xml:space="preserve">CHAPTER </w:t>
      </w:r>
      <w:r w:rsidR="000C672E">
        <w:rPr>
          <w:rStyle w:val="s2"/>
          <w:rFonts w:ascii="Arial" w:hAnsi="Arial" w:cs="Arial"/>
          <w:sz w:val="28"/>
          <w:szCs w:val="28"/>
          <w:lang w:val="en-GB"/>
        </w:rPr>
        <w:t>2</w:t>
      </w:r>
      <w:r w:rsidRPr="00BE222B">
        <w:rPr>
          <w:rStyle w:val="s2"/>
          <w:rFonts w:ascii="Arial" w:hAnsi="Arial" w:cs="Arial"/>
          <w:sz w:val="28"/>
          <w:szCs w:val="28"/>
          <w:lang w:val="en-GB"/>
        </w:rPr>
        <w:t>: LITERATURE REVIEW</w:t>
      </w:r>
      <w:bookmarkEnd w:id="11"/>
    </w:p>
    <w:p w14:paraId="45FD5247" w14:textId="77777777" w:rsidR="00C51A2D" w:rsidRPr="00BE222B" w:rsidRDefault="00C51A2D" w:rsidP="00096CAD">
      <w:pPr>
        <w:pStyle w:val="p1"/>
        <w:spacing w:line="360" w:lineRule="auto"/>
        <w:rPr>
          <w:rStyle w:val="s2"/>
          <w:rFonts w:ascii="Arial" w:hAnsi="Arial" w:cs="Arial"/>
          <w:lang w:val="en-GB"/>
        </w:rPr>
      </w:pPr>
    </w:p>
    <w:p w14:paraId="0D18D9CF" w14:textId="608BA2CD" w:rsidR="00C51A2D" w:rsidRPr="00BE222B" w:rsidRDefault="000C672E" w:rsidP="002A4BFF">
      <w:pPr>
        <w:pStyle w:val="Heading2"/>
        <w:rPr>
          <w:rStyle w:val="s2"/>
          <w:rFonts w:ascii="Arial" w:hAnsi="Arial" w:cs="Arial"/>
          <w:lang w:val="en-GB"/>
        </w:rPr>
      </w:pPr>
      <w:bookmarkStart w:id="12" w:name="_Toc228218261"/>
      <w:r>
        <w:rPr>
          <w:rStyle w:val="s2"/>
          <w:rFonts w:ascii="Arial" w:hAnsi="Arial" w:cs="Arial"/>
          <w:lang w:val="en-GB"/>
        </w:rPr>
        <w:t>2</w:t>
      </w:r>
      <w:r w:rsidR="00C51A2D" w:rsidRPr="00BE222B">
        <w:rPr>
          <w:rStyle w:val="s2"/>
          <w:rFonts w:ascii="Arial" w:hAnsi="Arial" w:cs="Arial"/>
          <w:lang w:val="en-GB"/>
        </w:rPr>
        <w:t>.0 Review of the literature</w:t>
      </w:r>
      <w:bookmarkEnd w:id="12"/>
    </w:p>
    <w:p w14:paraId="380D7E0F" w14:textId="77777777" w:rsidR="00D65700" w:rsidRDefault="00D65700" w:rsidP="00096CAD">
      <w:pPr>
        <w:pStyle w:val="p1"/>
        <w:spacing w:line="360" w:lineRule="auto"/>
        <w:rPr>
          <w:rFonts w:ascii="Arial" w:hAnsi="Arial" w:cs="Arial"/>
          <w:b/>
          <w:lang w:val="en-GB"/>
        </w:rPr>
      </w:pPr>
    </w:p>
    <w:p w14:paraId="0D68806B" w14:textId="498A97FC" w:rsidR="00C51A2D" w:rsidRDefault="00C51A2D" w:rsidP="00825C6A">
      <w:pPr>
        <w:pStyle w:val="p1"/>
        <w:spacing w:line="360" w:lineRule="auto"/>
        <w:rPr>
          <w:rStyle w:val="s1"/>
          <w:rFonts w:ascii="Arial" w:hAnsi="Arial" w:cs="Arial"/>
          <w:lang w:val="en-GB"/>
        </w:rPr>
      </w:pPr>
      <w:r>
        <w:rPr>
          <w:rStyle w:val="s1"/>
          <w:rFonts w:ascii="Arial" w:hAnsi="Arial" w:cs="Arial"/>
          <w:lang w:val="en-GB"/>
        </w:rPr>
        <w:t xml:space="preserve">This chapter reviews whether O3 supplementation, specifically 3000mg/day providing 1700mg EPA and 1300mg DHA, may mitigate cumulative occupational stressors and toxic exposures affecting </w:t>
      </w:r>
      <w:r w:rsidR="00EA4B51">
        <w:rPr>
          <w:rStyle w:val="s1"/>
          <w:rFonts w:ascii="Arial" w:hAnsi="Arial" w:cs="Arial"/>
          <w:lang w:val="en-GB"/>
        </w:rPr>
        <w:t>CV</w:t>
      </w:r>
      <w:r>
        <w:rPr>
          <w:rStyle w:val="s1"/>
          <w:rFonts w:ascii="Arial" w:hAnsi="Arial" w:cs="Arial"/>
          <w:lang w:val="en-GB"/>
        </w:rPr>
        <w:t xml:space="preserve"> health, physical performance, and operational capacity in FFs. As direct Firefighter (FF) intervention evidence is limited, relevant TA, CV, occupational health, and sport and exercise nutrition literature is also included.</w:t>
      </w:r>
    </w:p>
    <w:p w14:paraId="24CBAF61" w14:textId="77777777" w:rsidR="00D65700" w:rsidRDefault="00D65700" w:rsidP="00825C6A">
      <w:pPr>
        <w:pStyle w:val="p1"/>
        <w:spacing w:line="360" w:lineRule="auto"/>
        <w:rPr>
          <w:rFonts w:ascii="Arial" w:hAnsi="Arial" w:cs="Arial"/>
          <w:lang w:val="en-GB"/>
        </w:rPr>
      </w:pPr>
    </w:p>
    <w:p w14:paraId="7D132E68" w14:textId="381399DA" w:rsidR="00C51A2D" w:rsidRPr="00BE222B" w:rsidRDefault="000C672E" w:rsidP="00825C6A">
      <w:pPr>
        <w:pStyle w:val="Heading3"/>
        <w:spacing w:line="360" w:lineRule="auto"/>
        <w:rPr>
          <w:rStyle w:val="s1"/>
          <w:rFonts w:ascii="Arial" w:hAnsi="Arial" w:cs="Arial"/>
          <w:lang w:val="en-GB"/>
        </w:rPr>
      </w:pPr>
      <w:bookmarkStart w:id="13" w:name="_Toc228218262"/>
      <w:r>
        <w:rPr>
          <w:rStyle w:val="s1"/>
          <w:rFonts w:ascii="Arial" w:hAnsi="Arial" w:cs="Arial"/>
          <w:lang w:val="en-GB"/>
        </w:rPr>
        <w:t>2</w:t>
      </w:r>
      <w:r w:rsidR="00C51A2D" w:rsidRPr="00BE222B">
        <w:rPr>
          <w:rStyle w:val="s1"/>
          <w:rFonts w:ascii="Arial" w:hAnsi="Arial" w:cs="Arial"/>
          <w:lang w:val="en-GB"/>
        </w:rPr>
        <w:t>.0.1 Search strategy</w:t>
      </w:r>
      <w:bookmarkEnd w:id="13"/>
      <w:r w:rsidR="00D65700" w:rsidRPr="00BE222B">
        <w:rPr>
          <w:rStyle w:val="s1"/>
          <w:rFonts w:ascii="Arial" w:hAnsi="Arial" w:cs="Arial"/>
          <w:lang w:val="en-GB"/>
        </w:rPr>
        <w:t xml:space="preserve"> </w:t>
      </w:r>
    </w:p>
    <w:p w14:paraId="3C57C0CB" w14:textId="77777777" w:rsidR="00D65700" w:rsidRDefault="00D65700" w:rsidP="00825C6A">
      <w:pPr>
        <w:pStyle w:val="p1"/>
        <w:spacing w:line="360" w:lineRule="auto"/>
        <w:rPr>
          <w:rFonts w:ascii="Arial" w:hAnsi="Arial" w:cs="Arial"/>
          <w:b/>
          <w:bCs/>
          <w:lang w:val="en-GB"/>
        </w:rPr>
      </w:pPr>
    </w:p>
    <w:p w14:paraId="61BAB416" w14:textId="00B2A00B" w:rsidR="00C51A2D" w:rsidRDefault="00C51A2D" w:rsidP="00825C6A">
      <w:pPr>
        <w:pStyle w:val="p1"/>
        <w:spacing w:line="360" w:lineRule="auto"/>
        <w:rPr>
          <w:rStyle w:val="s1"/>
          <w:rFonts w:ascii="Arial" w:hAnsi="Arial" w:cs="Arial"/>
          <w:lang w:val="en-GB"/>
        </w:rPr>
      </w:pPr>
      <w:r>
        <w:rPr>
          <w:rStyle w:val="s1"/>
          <w:rFonts w:ascii="Arial" w:hAnsi="Arial" w:cs="Arial"/>
          <w:lang w:val="en-GB"/>
        </w:rPr>
        <w:t>A structured literature search identified sources relevant to FFs, occupational exposures, cardiovascular strain, inflammation, oxidative stress (OXS), performance, recovery, wellbeing, and O3 supplementation. Searches were conducted using Google Scholar, the University of Wales Trinity Saint David library search system, SPORTDiscus with Full Text, and relevant academic books. Additional sources were identified through reference list screening.</w:t>
      </w:r>
      <w:r w:rsidR="00E00711">
        <w:rPr>
          <w:rFonts w:ascii="Arial" w:hAnsi="Arial" w:cs="Arial"/>
          <w:lang w:val="en-GB"/>
        </w:rPr>
        <w:t xml:space="preserve"> </w:t>
      </w:r>
      <w:r>
        <w:rPr>
          <w:rStyle w:val="s1"/>
          <w:rFonts w:ascii="Arial" w:hAnsi="Arial" w:cs="Arial"/>
          <w:lang w:val="en-GB"/>
        </w:rPr>
        <w:t>Search terms were used alone and in combination with Boolean operators, including AND, OR, and NOT. Terms included firefighter, firefighters, tactical athlete, O3, fish oil, EPA, DHA, cardiovascular health, BP, HR, inflammation, OXS, performance, recovery, mental health (MH), wellbeing, sleep, smoke exposure, and occupational stress. Priority was given to English-language sources relevant to the dissertation aims, with emphasis on contemporary and seminal literature.</w:t>
      </w:r>
    </w:p>
    <w:p w14:paraId="3E11BFA5" w14:textId="77777777" w:rsidR="00727A20" w:rsidRPr="00727A20" w:rsidRDefault="00727A20" w:rsidP="00825C6A">
      <w:pPr>
        <w:pStyle w:val="p1"/>
        <w:spacing w:line="360" w:lineRule="auto"/>
        <w:rPr>
          <w:rFonts w:ascii="Arial" w:hAnsi="Arial" w:cs="Arial"/>
          <w:b/>
          <w:bCs/>
          <w:lang w:val="en-GB"/>
        </w:rPr>
      </w:pPr>
    </w:p>
    <w:p w14:paraId="529BABA0" w14:textId="5F2145CF" w:rsidR="00C51A2D" w:rsidRPr="00BE222B" w:rsidRDefault="000C672E" w:rsidP="00825C6A">
      <w:pPr>
        <w:pStyle w:val="Heading3"/>
        <w:spacing w:line="360" w:lineRule="auto"/>
        <w:rPr>
          <w:rStyle w:val="s1"/>
          <w:rFonts w:ascii="Arial" w:hAnsi="Arial" w:cs="Arial"/>
          <w:lang w:val="en-GB"/>
        </w:rPr>
      </w:pPr>
      <w:bookmarkStart w:id="14" w:name="_Toc228218263"/>
      <w:r>
        <w:rPr>
          <w:rStyle w:val="s1"/>
          <w:rFonts w:ascii="Arial" w:hAnsi="Arial" w:cs="Arial"/>
          <w:lang w:val="en-GB"/>
        </w:rPr>
        <w:lastRenderedPageBreak/>
        <w:t>2</w:t>
      </w:r>
      <w:r w:rsidR="00C51A2D" w:rsidRPr="00BE222B">
        <w:rPr>
          <w:rStyle w:val="s1"/>
          <w:rFonts w:ascii="Arial" w:hAnsi="Arial" w:cs="Arial"/>
          <w:lang w:val="en-GB"/>
        </w:rPr>
        <w:t>.0.2 Study selection</w:t>
      </w:r>
      <w:bookmarkEnd w:id="14"/>
      <w:r w:rsidR="00727A20" w:rsidRPr="00BE222B">
        <w:rPr>
          <w:rStyle w:val="s1"/>
          <w:rFonts w:ascii="Arial" w:hAnsi="Arial" w:cs="Arial"/>
          <w:lang w:val="en-GB"/>
        </w:rPr>
        <w:t xml:space="preserve"> </w:t>
      </w:r>
    </w:p>
    <w:p w14:paraId="7B987DBB" w14:textId="77777777" w:rsidR="00727A20" w:rsidRPr="00727A20" w:rsidRDefault="00727A20" w:rsidP="00825C6A">
      <w:pPr>
        <w:pStyle w:val="p1"/>
        <w:spacing w:line="360" w:lineRule="auto"/>
        <w:rPr>
          <w:rFonts w:ascii="Arial" w:hAnsi="Arial" w:cs="Arial"/>
          <w:b/>
          <w:bCs/>
          <w:lang w:val="en-GB"/>
        </w:rPr>
      </w:pPr>
    </w:p>
    <w:p w14:paraId="3913E7BA" w14:textId="77777777" w:rsidR="00C51A2D" w:rsidRDefault="00C51A2D" w:rsidP="00825C6A">
      <w:pPr>
        <w:pStyle w:val="p1"/>
        <w:spacing w:line="360" w:lineRule="auto"/>
        <w:rPr>
          <w:rStyle w:val="s1"/>
          <w:rFonts w:ascii="Arial" w:hAnsi="Arial" w:cs="Arial"/>
          <w:lang w:val="en-GB"/>
        </w:rPr>
      </w:pPr>
      <w:r>
        <w:rPr>
          <w:rStyle w:val="s1"/>
          <w:rFonts w:ascii="Arial" w:hAnsi="Arial" w:cs="Arial"/>
          <w:lang w:val="en-GB"/>
        </w:rPr>
        <w:t>Sources were screened by title and abstract, or by chapter and content for books, for relevance to the dissertation aims. Full texts were reviewed where appropriate. Firefighter-specific studies were prioritised. Where limited, tactical athlete, athletic, clinical, and general adult literature was included where it offered relevant mechanistic or applied insight. Reference lists were also screened for additional sources.</w:t>
      </w:r>
    </w:p>
    <w:p w14:paraId="6E2BCE23" w14:textId="77777777" w:rsidR="00727A20" w:rsidRPr="00727A20" w:rsidRDefault="00727A20" w:rsidP="00825C6A">
      <w:pPr>
        <w:pStyle w:val="p1"/>
        <w:spacing w:line="360" w:lineRule="auto"/>
        <w:rPr>
          <w:rFonts w:ascii="Arial" w:hAnsi="Arial" w:cs="Arial"/>
          <w:b/>
          <w:bCs/>
          <w:lang w:val="en-GB"/>
        </w:rPr>
      </w:pPr>
    </w:p>
    <w:p w14:paraId="4BAD92CD" w14:textId="38C6C5B4" w:rsidR="00C51A2D" w:rsidRPr="00BE222B" w:rsidRDefault="000C672E" w:rsidP="00825C6A">
      <w:pPr>
        <w:pStyle w:val="Heading3"/>
        <w:spacing w:line="360" w:lineRule="auto"/>
        <w:rPr>
          <w:rStyle w:val="s1"/>
          <w:rFonts w:ascii="Arial" w:hAnsi="Arial" w:cs="Arial"/>
          <w:lang w:val="en-GB"/>
        </w:rPr>
      </w:pPr>
      <w:bookmarkStart w:id="15" w:name="_Toc228218264"/>
      <w:r>
        <w:rPr>
          <w:rStyle w:val="s1"/>
          <w:rFonts w:ascii="Arial" w:hAnsi="Arial" w:cs="Arial"/>
          <w:lang w:val="en-GB"/>
        </w:rPr>
        <w:t>2</w:t>
      </w:r>
      <w:r w:rsidR="00C51A2D" w:rsidRPr="00BE222B">
        <w:rPr>
          <w:rStyle w:val="s1"/>
          <w:rFonts w:ascii="Arial" w:hAnsi="Arial" w:cs="Arial"/>
          <w:lang w:val="en-GB"/>
        </w:rPr>
        <w:t>.0.3 Inclusion and exclusion criteria</w:t>
      </w:r>
      <w:bookmarkEnd w:id="15"/>
      <w:r w:rsidR="00727A20" w:rsidRPr="00BE222B">
        <w:rPr>
          <w:rStyle w:val="s1"/>
          <w:rFonts w:ascii="Arial" w:hAnsi="Arial" w:cs="Arial"/>
          <w:lang w:val="en-GB"/>
        </w:rPr>
        <w:t xml:space="preserve"> </w:t>
      </w:r>
    </w:p>
    <w:p w14:paraId="4218CFB5" w14:textId="77777777" w:rsidR="00727A20" w:rsidRPr="00727A20" w:rsidRDefault="00727A20" w:rsidP="00825C6A">
      <w:pPr>
        <w:pStyle w:val="p1"/>
        <w:spacing w:line="360" w:lineRule="auto"/>
        <w:rPr>
          <w:rFonts w:ascii="Arial" w:hAnsi="Arial" w:cs="Arial"/>
          <w:b/>
          <w:bCs/>
          <w:lang w:val="en-GB"/>
        </w:rPr>
      </w:pPr>
    </w:p>
    <w:p w14:paraId="4306B035" w14:textId="263B8C78" w:rsidR="00745C59" w:rsidRDefault="00C51A2D" w:rsidP="00745C59">
      <w:pPr>
        <w:pStyle w:val="p1"/>
        <w:spacing w:line="360" w:lineRule="auto"/>
        <w:rPr>
          <w:rFonts w:ascii="Arial" w:hAnsi="Arial" w:cs="Arial"/>
          <w:lang w:val="en-GB"/>
        </w:rPr>
      </w:pPr>
      <w:r>
        <w:rPr>
          <w:rFonts w:ascii="Arial" w:hAnsi="Arial" w:cs="Arial"/>
          <w:lang w:val="en-GB"/>
        </w:rPr>
        <w:t>Sources were included if published in English and relevant to firefighting demands, occupational stress and toxic exposure, cardiovascular strain, inflammation, OXS, nutrition, O3 supplementation, or outcomes related to performance, recovery, and wellbeing. Peer-reviewed journal articles were prioritised, although relevant academic books and professional position stands were included where appropriate; sources were excluded if not published in English, not relevant to the review aims, or focused on outcomes of limited relevance to firefighter health, performance, recovery, or O3-related mechanisms.</w:t>
      </w:r>
      <w:bookmarkStart w:id="16" w:name="OLE_LINK17"/>
    </w:p>
    <w:p w14:paraId="75683F62" w14:textId="77777777" w:rsidR="00745C59" w:rsidRPr="00745C59" w:rsidRDefault="00745C59" w:rsidP="00745C59">
      <w:pPr>
        <w:pStyle w:val="p1"/>
        <w:spacing w:line="360" w:lineRule="auto"/>
        <w:rPr>
          <w:rStyle w:val="s1"/>
          <w:rFonts w:ascii="Arial" w:hAnsi="Arial" w:cs="Arial"/>
          <w:lang w:val="en-GB"/>
        </w:rPr>
      </w:pPr>
    </w:p>
    <w:p w14:paraId="2E246C18" w14:textId="2E5014E7" w:rsidR="00C51A2D" w:rsidRPr="00BE222B" w:rsidRDefault="000C672E" w:rsidP="00825C6A">
      <w:pPr>
        <w:pStyle w:val="Heading2"/>
        <w:spacing w:line="360" w:lineRule="auto"/>
        <w:rPr>
          <w:rStyle w:val="s1"/>
          <w:rFonts w:ascii="Arial" w:hAnsi="Arial" w:cs="Arial"/>
          <w:bCs/>
          <w:lang w:val="en-GB"/>
        </w:rPr>
      </w:pPr>
      <w:bookmarkStart w:id="17" w:name="_Toc228218265"/>
      <w:r>
        <w:rPr>
          <w:rStyle w:val="s1"/>
          <w:rFonts w:ascii="Arial" w:hAnsi="Arial" w:cs="Arial"/>
          <w:bCs/>
          <w:lang w:val="en-GB"/>
        </w:rPr>
        <w:t>2</w:t>
      </w:r>
      <w:r w:rsidR="00C51A2D" w:rsidRPr="00BE222B">
        <w:rPr>
          <w:rStyle w:val="s1"/>
          <w:rFonts w:ascii="Arial" w:hAnsi="Arial" w:cs="Arial"/>
          <w:bCs/>
          <w:lang w:val="en-GB"/>
        </w:rPr>
        <w:t>.1 Firefighting as a high-strain occupational environment</w:t>
      </w:r>
      <w:bookmarkEnd w:id="17"/>
      <w:r w:rsidR="00727A20" w:rsidRPr="00BE222B">
        <w:rPr>
          <w:rStyle w:val="s1"/>
          <w:rFonts w:ascii="Arial" w:hAnsi="Arial" w:cs="Arial"/>
          <w:bCs/>
          <w:lang w:val="en-GB"/>
        </w:rPr>
        <w:t xml:space="preserve"> </w:t>
      </w:r>
    </w:p>
    <w:p w14:paraId="7BF0EFCE" w14:textId="77777777" w:rsidR="00727A20" w:rsidRDefault="00727A20" w:rsidP="00825C6A">
      <w:pPr>
        <w:pStyle w:val="p1"/>
        <w:spacing w:line="360" w:lineRule="auto"/>
      </w:pPr>
    </w:p>
    <w:p w14:paraId="36D052B8" w14:textId="46C916AD" w:rsidR="00727A20" w:rsidRDefault="00C51A2D" w:rsidP="00825C6A">
      <w:pPr>
        <w:pStyle w:val="p1"/>
        <w:spacing w:line="360" w:lineRule="auto"/>
        <w:rPr>
          <w:rFonts w:ascii="Arial" w:hAnsi="Arial" w:cs="Arial"/>
          <w:lang w:val="en-GB"/>
        </w:rPr>
      </w:pPr>
      <w:r>
        <w:rPr>
          <w:rStyle w:val="s1"/>
          <w:rFonts w:ascii="Arial" w:hAnsi="Arial" w:cs="Arial"/>
          <w:lang w:val="en-GB"/>
        </w:rPr>
        <w:t xml:space="preserve">FFs face demanding environments characterised by sudden, high-intensity exertion requiring, optimal physical conditioning to meet occupational demands (Lye and Lee, 2025; Gonzalez </w:t>
      </w:r>
      <w:r w:rsidRPr="00A7058C">
        <w:rPr>
          <w:rStyle w:val="s1"/>
          <w:rFonts w:ascii="Arial" w:hAnsi="Arial" w:cs="Arial"/>
          <w:i/>
          <w:lang w:val="en-GB"/>
        </w:rPr>
        <w:t>et al.</w:t>
      </w:r>
      <w:r>
        <w:rPr>
          <w:rStyle w:val="s1"/>
          <w:rFonts w:ascii="Arial" w:hAnsi="Arial" w:cs="Arial"/>
          <w:lang w:val="en-GB"/>
        </w:rPr>
        <w:t xml:space="preserve">, 2022; 2024; Romero and Alvar, 2021; Dos Santos </w:t>
      </w:r>
      <w:r w:rsidRPr="00A7058C">
        <w:rPr>
          <w:rStyle w:val="s1"/>
          <w:rFonts w:ascii="Arial" w:hAnsi="Arial" w:cs="Arial"/>
          <w:i/>
          <w:lang w:val="en-GB"/>
        </w:rPr>
        <w:t>et al.</w:t>
      </w:r>
      <w:r>
        <w:rPr>
          <w:rStyle w:val="s1"/>
          <w:rFonts w:ascii="Arial" w:hAnsi="Arial" w:cs="Arial"/>
          <w:lang w:val="en-GB"/>
        </w:rPr>
        <w:t xml:space="preserve">, 2025; </w:t>
      </w:r>
      <w:r>
        <w:rPr>
          <w:rStyle w:val="s1"/>
          <w:rFonts w:ascii="Arial" w:hAnsi="Arial" w:cs="Arial"/>
          <w:lang w:val="en-GB"/>
        </w:rPr>
        <w:lastRenderedPageBreak/>
        <w:t xml:space="preserve">Abel </w:t>
      </w:r>
      <w:r w:rsidRPr="00A7058C">
        <w:rPr>
          <w:rStyle w:val="s1"/>
          <w:rFonts w:ascii="Arial" w:hAnsi="Arial" w:cs="Arial"/>
          <w:i/>
          <w:lang w:val="en-GB"/>
        </w:rPr>
        <w:t>et al.</w:t>
      </w:r>
      <w:r>
        <w:rPr>
          <w:rStyle w:val="s1"/>
          <w:rFonts w:ascii="Arial" w:hAnsi="Arial" w:cs="Arial"/>
          <w:lang w:val="en-GB"/>
        </w:rPr>
        <w:t xml:space="preserve">, 2011; 2015; Dennison </w:t>
      </w:r>
      <w:r w:rsidRPr="00A7058C">
        <w:rPr>
          <w:rStyle w:val="s1"/>
          <w:rFonts w:ascii="Arial" w:hAnsi="Arial" w:cs="Arial"/>
          <w:i/>
          <w:lang w:val="en-GB"/>
        </w:rPr>
        <w:t>et al.</w:t>
      </w:r>
      <w:r>
        <w:rPr>
          <w:rStyle w:val="s1"/>
          <w:rFonts w:ascii="Arial" w:hAnsi="Arial" w:cs="Arial"/>
          <w:lang w:val="en-GB"/>
        </w:rPr>
        <w:t>, 2012).</w:t>
      </w:r>
      <w:r w:rsidR="00445E57">
        <w:rPr>
          <w:rStyle w:val="s1"/>
          <w:rFonts w:ascii="Arial" w:hAnsi="Arial" w:cs="Arial"/>
          <w:lang w:val="en-GB"/>
        </w:rPr>
        <w:t xml:space="preserve"> </w:t>
      </w:r>
      <w:r>
        <w:rPr>
          <w:rStyle w:val="s1"/>
          <w:rFonts w:ascii="Arial" w:hAnsi="Arial" w:cs="Arial"/>
          <w:lang w:val="en-GB"/>
        </w:rPr>
        <w:t xml:space="preserve">Tasks vary, requiring repeated maximal and sub-maximal efforts (Abel </w:t>
      </w:r>
      <w:r w:rsidRPr="00A7058C">
        <w:rPr>
          <w:rStyle w:val="s1"/>
          <w:rFonts w:ascii="Arial" w:hAnsi="Arial" w:cs="Arial"/>
          <w:i/>
          <w:lang w:val="en-GB"/>
        </w:rPr>
        <w:t>et al.</w:t>
      </w:r>
      <w:r>
        <w:rPr>
          <w:rStyle w:val="s1"/>
          <w:rFonts w:ascii="Arial" w:hAnsi="Arial" w:cs="Arial"/>
          <w:lang w:val="en-GB"/>
        </w:rPr>
        <w:t xml:space="preserve">, 2015; Nazari </w:t>
      </w:r>
      <w:r w:rsidRPr="00A7058C">
        <w:rPr>
          <w:rStyle w:val="s1"/>
          <w:rFonts w:ascii="Arial" w:hAnsi="Arial" w:cs="Arial"/>
          <w:i/>
          <w:lang w:val="en-GB"/>
        </w:rPr>
        <w:t>et al.</w:t>
      </w:r>
      <w:r>
        <w:rPr>
          <w:rStyle w:val="s1"/>
          <w:rFonts w:ascii="Arial" w:hAnsi="Arial" w:cs="Arial"/>
          <w:lang w:val="en-GB"/>
        </w:rPr>
        <w:t xml:space="preserve">, 2018; Jahnke </w:t>
      </w:r>
      <w:r w:rsidRPr="00A7058C">
        <w:rPr>
          <w:rStyle w:val="s1"/>
          <w:rFonts w:ascii="Arial" w:hAnsi="Arial" w:cs="Arial"/>
          <w:i/>
          <w:lang w:val="en-GB"/>
        </w:rPr>
        <w:t>et al.</w:t>
      </w:r>
      <w:r>
        <w:rPr>
          <w:rStyle w:val="s1"/>
          <w:rFonts w:ascii="Arial" w:hAnsi="Arial" w:cs="Arial"/>
          <w:lang w:val="en-GB"/>
        </w:rPr>
        <w:t xml:space="preserve">, 2012; Joe </w:t>
      </w:r>
      <w:r w:rsidRPr="00A7058C">
        <w:rPr>
          <w:rStyle w:val="s1"/>
          <w:rFonts w:ascii="Arial" w:hAnsi="Arial" w:cs="Arial"/>
          <w:i/>
          <w:lang w:val="en-GB"/>
        </w:rPr>
        <w:t>et al.</w:t>
      </w:r>
      <w:r>
        <w:rPr>
          <w:rStyle w:val="s1"/>
          <w:rFonts w:ascii="Arial" w:hAnsi="Arial" w:cs="Arial"/>
          <w:lang w:val="en-GB"/>
        </w:rPr>
        <w:t xml:space="preserve">, 2022; Smith, 2011; Elsner and Kolkhorst, 2008), often wearing  </w:t>
      </w:r>
      <w:r w:rsidR="007304C0">
        <w:rPr>
          <w:rStyle w:val="s1"/>
          <w:rFonts w:ascii="Arial" w:hAnsi="Arial" w:cs="Arial"/>
          <w:lang w:val="en-GB"/>
        </w:rPr>
        <w:t>≤</w:t>
      </w:r>
      <w:r>
        <w:rPr>
          <w:rStyle w:val="s1"/>
          <w:rFonts w:ascii="Arial" w:hAnsi="Arial" w:cs="Arial"/>
          <w:lang w:val="en-GB"/>
        </w:rPr>
        <w:t xml:space="preserve">22 kg of PPE and SCBA, potentially managing loads </w:t>
      </w:r>
      <w:r w:rsidR="00E22D2B">
        <w:rPr>
          <w:rStyle w:val="s1"/>
          <w:rFonts w:ascii="Arial" w:hAnsi="Arial" w:cs="Arial"/>
          <w:lang w:val="en-GB"/>
        </w:rPr>
        <w:t>≈</w:t>
      </w:r>
      <w:r>
        <w:rPr>
          <w:rStyle w:val="s1"/>
          <w:rFonts w:ascii="Arial" w:hAnsi="Arial" w:cs="Arial"/>
          <w:lang w:val="en-GB"/>
        </w:rPr>
        <w:t xml:space="preserve">90kg (Smith, 2011; Gonzalez </w:t>
      </w:r>
      <w:r w:rsidRPr="00A7058C">
        <w:rPr>
          <w:rStyle w:val="s1"/>
          <w:rFonts w:ascii="Arial" w:hAnsi="Arial" w:cs="Arial"/>
          <w:i/>
          <w:lang w:val="en-GB"/>
        </w:rPr>
        <w:t>et al.</w:t>
      </w:r>
      <w:r>
        <w:rPr>
          <w:rStyle w:val="s1"/>
          <w:rFonts w:ascii="Arial" w:hAnsi="Arial" w:cs="Arial"/>
          <w:lang w:val="en-GB"/>
        </w:rPr>
        <w:t xml:space="preserve">, 2023a; Abel </w:t>
      </w:r>
      <w:r w:rsidRPr="00A7058C">
        <w:rPr>
          <w:rStyle w:val="s1"/>
          <w:rFonts w:ascii="Arial" w:hAnsi="Arial" w:cs="Arial"/>
          <w:i/>
          <w:lang w:val="en-GB"/>
        </w:rPr>
        <w:t>et al.</w:t>
      </w:r>
      <w:r>
        <w:rPr>
          <w:rStyle w:val="s1"/>
          <w:rFonts w:ascii="Arial" w:hAnsi="Arial" w:cs="Arial"/>
          <w:lang w:val="en-GB"/>
        </w:rPr>
        <w:t xml:space="preserve">, 2015; Dos Santos </w:t>
      </w:r>
      <w:r w:rsidRPr="00A7058C">
        <w:rPr>
          <w:rStyle w:val="s1"/>
          <w:rFonts w:ascii="Arial" w:hAnsi="Arial" w:cs="Arial"/>
          <w:i/>
          <w:lang w:val="en-GB"/>
        </w:rPr>
        <w:t>et al.</w:t>
      </w:r>
      <w:r>
        <w:rPr>
          <w:rStyle w:val="s1"/>
          <w:rFonts w:ascii="Arial" w:hAnsi="Arial" w:cs="Arial"/>
          <w:lang w:val="en-GB"/>
        </w:rPr>
        <w:t xml:space="preserve">, 2025; Elsner and Kolkhorst, 2008; Louhevaara </w:t>
      </w:r>
      <w:r w:rsidRPr="00A7058C">
        <w:rPr>
          <w:rStyle w:val="s1"/>
          <w:rFonts w:ascii="Arial" w:hAnsi="Arial" w:cs="Arial"/>
          <w:i/>
          <w:lang w:val="en-GB"/>
        </w:rPr>
        <w:t>et al.</w:t>
      </w:r>
      <w:r>
        <w:rPr>
          <w:rStyle w:val="s1"/>
          <w:rFonts w:ascii="Arial" w:hAnsi="Arial" w:cs="Arial"/>
          <w:lang w:val="en-GB"/>
        </w:rPr>
        <w:t xml:space="preserve">, 1995; Williams-Bell </w:t>
      </w:r>
      <w:r w:rsidRPr="00A7058C">
        <w:rPr>
          <w:rStyle w:val="s1"/>
          <w:rFonts w:ascii="Arial" w:hAnsi="Arial" w:cs="Arial"/>
          <w:i/>
          <w:lang w:val="en-GB"/>
        </w:rPr>
        <w:t>et al.</w:t>
      </w:r>
      <w:r>
        <w:rPr>
          <w:rStyle w:val="s1"/>
          <w:rFonts w:ascii="Arial" w:hAnsi="Arial" w:cs="Arial"/>
          <w:lang w:val="en-GB"/>
        </w:rPr>
        <w:t xml:space="preserve">, 2009; Gledhill and Jamnik, 1992). FFs work in high-heat, reduced-visibility and hazardous environments, impairing thermoregulation and increasing metabolic and CV strain (Sandsund </w:t>
      </w:r>
      <w:r w:rsidRPr="00A7058C">
        <w:rPr>
          <w:rStyle w:val="s1"/>
          <w:rFonts w:ascii="Arial" w:hAnsi="Arial" w:cs="Arial"/>
          <w:i/>
          <w:lang w:val="en-GB"/>
        </w:rPr>
        <w:t>et al.</w:t>
      </w:r>
      <w:r>
        <w:rPr>
          <w:rStyle w:val="s1"/>
          <w:rFonts w:ascii="Arial" w:hAnsi="Arial" w:cs="Arial"/>
          <w:lang w:val="en-GB"/>
        </w:rPr>
        <w:t xml:space="preserve">, 2024; Horn </w:t>
      </w:r>
      <w:r w:rsidRPr="00A7058C">
        <w:rPr>
          <w:rStyle w:val="s1"/>
          <w:rFonts w:ascii="Arial" w:hAnsi="Arial" w:cs="Arial"/>
          <w:i/>
          <w:lang w:val="en-GB"/>
        </w:rPr>
        <w:t>et al.</w:t>
      </w:r>
      <w:r>
        <w:rPr>
          <w:rStyle w:val="s1"/>
          <w:rFonts w:ascii="Arial" w:hAnsi="Arial" w:cs="Arial"/>
          <w:lang w:val="en-GB"/>
        </w:rPr>
        <w:t xml:space="preserve">, 2013; Elsner and Kolkhorst, 2008; Bruce-Low </w:t>
      </w:r>
      <w:r w:rsidRPr="00A7058C">
        <w:rPr>
          <w:rStyle w:val="s1"/>
          <w:rFonts w:ascii="Arial" w:hAnsi="Arial" w:cs="Arial"/>
          <w:i/>
          <w:lang w:val="en-GB"/>
        </w:rPr>
        <w:t>et al.</w:t>
      </w:r>
      <w:r>
        <w:rPr>
          <w:rStyle w:val="s1"/>
          <w:rFonts w:ascii="Arial" w:hAnsi="Arial" w:cs="Arial"/>
          <w:lang w:val="en-GB"/>
        </w:rPr>
        <w:t xml:space="preserve">, 2007), impairing occupational performance, contributing to repeated physiological strain and inflammatory responses (Richardson </w:t>
      </w:r>
      <w:r w:rsidRPr="00A7058C">
        <w:rPr>
          <w:rStyle w:val="s1"/>
          <w:rFonts w:ascii="Arial" w:hAnsi="Arial" w:cs="Arial"/>
          <w:i/>
          <w:lang w:val="en-GB"/>
        </w:rPr>
        <w:t>et al.</w:t>
      </w:r>
      <w:r>
        <w:rPr>
          <w:rStyle w:val="s1"/>
          <w:rFonts w:ascii="Arial" w:hAnsi="Arial" w:cs="Arial"/>
          <w:lang w:val="en-GB"/>
        </w:rPr>
        <w:t xml:space="preserve">, 2023; Main </w:t>
      </w:r>
      <w:r w:rsidRPr="00A7058C">
        <w:rPr>
          <w:rStyle w:val="s1"/>
          <w:rFonts w:ascii="Arial" w:hAnsi="Arial" w:cs="Arial"/>
          <w:i/>
          <w:lang w:val="en-GB"/>
        </w:rPr>
        <w:t>et al.</w:t>
      </w:r>
      <w:r>
        <w:rPr>
          <w:rStyle w:val="s1"/>
          <w:rFonts w:ascii="Arial" w:hAnsi="Arial" w:cs="Arial"/>
          <w:lang w:val="en-GB"/>
        </w:rPr>
        <w:t xml:space="preserve">, 2020; Smith </w:t>
      </w:r>
      <w:r w:rsidRPr="00A7058C">
        <w:rPr>
          <w:rStyle w:val="s1"/>
          <w:rFonts w:ascii="Arial" w:hAnsi="Arial" w:cs="Arial"/>
          <w:i/>
          <w:lang w:val="en-GB"/>
        </w:rPr>
        <w:t>et al.</w:t>
      </w:r>
      <w:r>
        <w:rPr>
          <w:rStyle w:val="s1"/>
          <w:rFonts w:ascii="Arial" w:hAnsi="Arial" w:cs="Arial"/>
          <w:lang w:val="en-GB"/>
        </w:rPr>
        <w:t xml:space="preserve">, 2019; Louhevaara </w:t>
      </w:r>
      <w:r w:rsidRPr="00A7058C">
        <w:rPr>
          <w:rStyle w:val="s1"/>
          <w:rFonts w:ascii="Arial" w:hAnsi="Arial" w:cs="Arial"/>
          <w:i/>
          <w:lang w:val="en-GB"/>
        </w:rPr>
        <w:t>et al.</w:t>
      </w:r>
      <w:r>
        <w:rPr>
          <w:rStyle w:val="s1"/>
          <w:rFonts w:ascii="Arial" w:hAnsi="Arial" w:cs="Arial"/>
          <w:lang w:val="en-GB"/>
        </w:rPr>
        <w:t xml:space="preserve">, 1984; Dos Santos </w:t>
      </w:r>
      <w:r w:rsidRPr="00A7058C">
        <w:rPr>
          <w:rStyle w:val="s1"/>
          <w:rFonts w:ascii="Arial" w:hAnsi="Arial" w:cs="Arial"/>
          <w:i/>
          <w:lang w:val="en-GB"/>
        </w:rPr>
        <w:t>et al.</w:t>
      </w:r>
      <w:r>
        <w:rPr>
          <w:rStyle w:val="s1"/>
          <w:rFonts w:ascii="Arial" w:hAnsi="Arial" w:cs="Arial"/>
          <w:lang w:val="en-GB"/>
        </w:rPr>
        <w:t xml:space="preserve">, 2025; Lee </w:t>
      </w:r>
      <w:r w:rsidRPr="00A7058C">
        <w:rPr>
          <w:rStyle w:val="s1"/>
          <w:rFonts w:ascii="Arial" w:hAnsi="Arial" w:cs="Arial"/>
          <w:i/>
          <w:lang w:val="en-GB"/>
        </w:rPr>
        <w:t>et al.</w:t>
      </w:r>
      <w:r>
        <w:rPr>
          <w:rStyle w:val="s1"/>
          <w:rFonts w:ascii="Arial" w:hAnsi="Arial" w:cs="Arial"/>
          <w:lang w:val="en-GB"/>
        </w:rPr>
        <w:t xml:space="preserve">, 2013). </w:t>
      </w:r>
    </w:p>
    <w:p w14:paraId="56F6E279" w14:textId="51707907" w:rsidR="00727A20" w:rsidRDefault="00C51A2D" w:rsidP="00825C6A">
      <w:pPr>
        <w:pStyle w:val="p1"/>
        <w:spacing w:line="360" w:lineRule="auto"/>
        <w:rPr>
          <w:rFonts w:ascii="Arial" w:hAnsi="Arial" w:cs="Arial"/>
          <w:lang w:val="en-GB"/>
        </w:rPr>
      </w:pPr>
      <w:r>
        <w:rPr>
          <w:rStyle w:val="s1"/>
          <w:rFonts w:ascii="Arial" w:hAnsi="Arial" w:cs="Arial"/>
          <w:lang w:val="en-GB"/>
        </w:rPr>
        <w:t xml:space="preserve">FFs experience high proportions of SCE, estimated at </w:t>
      </w:r>
      <w:r w:rsidR="00F75623">
        <w:rPr>
          <w:rStyle w:val="s1"/>
          <w:rFonts w:ascii="Arial" w:hAnsi="Arial" w:cs="Arial"/>
          <w:lang w:val="en-GB"/>
        </w:rPr>
        <w:t>≈</w:t>
      </w:r>
      <w:r>
        <w:rPr>
          <w:rStyle w:val="s1"/>
          <w:rFonts w:ascii="Arial" w:hAnsi="Arial" w:cs="Arial"/>
          <w:lang w:val="en-GB"/>
        </w:rPr>
        <w:t xml:space="preserve">45% (Fahy </w:t>
      </w:r>
      <w:r w:rsidRPr="00A7058C">
        <w:rPr>
          <w:rStyle w:val="s1"/>
          <w:rFonts w:ascii="Arial" w:hAnsi="Arial" w:cs="Arial"/>
          <w:i/>
          <w:lang w:val="en-GB"/>
        </w:rPr>
        <w:t>et al.</w:t>
      </w:r>
      <w:r>
        <w:rPr>
          <w:rStyle w:val="s1"/>
          <w:rFonts w:ascii="Arial" w:hAnsi="Arial" w:cs="Arial"/>
          <w:lang w:val="en-GB"/>
        </w:rPr>
        <w:t xml:space="preserve">, 2021; Kales </w:t>
      </w:r>
      <w:r w:rsidRPr="00A7058C">
        <w:rPr>
          <w:rStyle w:val="s1"/>
          <w:rFonts w:ascii="Arial" w:hAnsi="Arial" w:cs="Arial"/>
          <w:i/>
          <w:lang w:val="en-GB"/>
        </w:rPr>
        <w:t>et al.</w:t>
      </w:r>
      <w:r>
        <w:rPr>
          <w:rStyle w:val="s1"/>
          <w:rFonts w:ascii="Arial" w:hAnsi="Arial" w:cs="Arial"/>
          <w:lang w:val="en-GB"/>
        </w:rPr>
        <w:t xml:space="preserve">, 2009; </w:t>
      </w:r>
      <w:bookmarkStart w:id="18" w:name="OLE_LINK5"/>
      <w:r>
        <w:rPr>
          <w:rStyle w:val="s1"/>
          <w:rFonts w:ascii="Arial" w:hAnsi="Arial" w:cs="Arial"/>
          <w:lang w:val="en-GB"/>
        </w:rPr>
        <w:t xml:space="preserve">Smith </w:t>
      </w:r>
      <w:r w:rsidRPr="00A7058C">
        <w:rPr>
          <w:rStyle w:val="s1"/>
          <w:rFonts w:ascii="Arial" w:hAnsi="Arial" w:cs="Arial"/>
          <w:i/>
          <w:lang w:val="en-GB"/>
        </w:rPr>
        <w:t>et al.</w:t>
      </w:r>
      <w:r>
        <w:rPr>
          <w:rStyle w:val="s1"/>
          <w:rFonts w:ascii="Arial" w:hAnsi="Arial" w:cs="Arial"/>
          <w:lang w:val="en-GB"/>
        </w:rPr>
        <w:t xml:space="preserve">, 2013; Gonzalez </w:t>
      </w:r>
      <w:r w:rsidRPr="00A7058C">
        <w:rPr>
          <w:rStyle w:val="s1"/>
          <w:rFonts w:ascii="Arial" w:hAnsi="Arial" w:cs="Arial"/>
          <w:i/>
          <w:lang w:val="en-GB"/>
        </w:rPr>
        <w:t>et al.</w:t>
      </w:r>
      <w:r>
        <w:rPr>
          <w:rStyle w:val="s1"/>
          <w:rFonts w:ascii="Arial" w:hAnsi="Arial" w:cs="Arial"/>
          <w:lang w:val="en-GB"/>
        </w:rPr>
        <w:t>, 2024</w:t>
      </w:r>
      <w:bookmarkEnd w:id="18"/>
      <w:r>
        <w:rPr>
          <w:rStyle w:val="s1"/>
          <w:rFonts w:ascii="Arial" w:hAnsi="Arial" w:cs="Arial"/>
          <w:lang w:val="en-GB"/>
        </w:rPr>
        <w:t xml:space="preserve">), exceeding rates in police, paramedics and non-emergency occupations, 22%, 11% and 15%, respectively (Kales </w:t>
      </w:r>
      <w:r w:rsidRPr="00A7058C">
        <w:rPr>
          <w:rStyle w:val="s1"/>
          <w:rFonts w:ascii="Arial" w:hAnsi="Arial" w:cs="Arial"/>
          <w:i/>
          <w:lang w:val="en-GB"/>
        </w:rPr>
        <w:t>et al.</w:t>
      </w:r>
      <w:r>
        <w:rPr>
          <w:rStyle w:val="s1"/>
          <w:rFonts w:ascii="Arial" w:hAnsi="Arial" w:cs="Arial"/>
          <w:lang w:val="en-GB"/>
        </w:rPr>
        <w:t>, 2009; 2007).</w:t>
      </w:r>
      <w:r w:rsidR="00445E57">
        <w:rPr>
          <w:rStyle w:val="s1"/>
          <w:rFonts w:ascii="Arial" w:hAnsi="Arial" w:cs="Arial"/>
          <w:lang w:val="en-GB"/>
        </w:rPr>
        <w:t xml:space="preserve"> </w:t>
      </w:r>
      <w:r>
        <w:rPr>
          <w:rFonts w:ascii="Arial" w:hAnsi="Arial" w:cs="Arial"/>
          <w:lang w:val="en-GB"/>
        </w:rPr>
        <w:t>W</w:t>
      </w:r>
      <w:r>
        <w:rPr>
          <w:rStyle w:val="s1"/>
          <w:rFonts w:ascii="Arial" w:hAnsi="Arial" w:cs="Arial"/>
          <w:lang w:val="en-GB"/>
        </w:rPr>
        <w:t xml:space="preserve">orkloads require rapid decision making, situational awareness and psychological resilience, integrating endurance, strength, agility and cognitive function under threat conditions (Agostinelli </w:t>
      </w:r>
      <w:r w:rsidRPr="00A7058C">
        <w:rPr>
          <w:rStyle w:val="s1"/>
          <w:rFonts w:ascii="Arial" w:hAnsi="Arial" w:cs="Arial"/>
          <w:i/>
          <w:lang w:val="en-GB"/>
        </w:rPr>
        <w:t>et al.</w:t>
      </w:r>
      <w:r>
        <w:rPr>
          <w:rStyle w:val="s1"/>
          <w:rFonts w:ascii="Arial" w:hAnsi="Arial" w:cs="Arial"/>
          <w:lang w:val="en-GB"/>
        </w:rPr>
        <w:t xml:space="preserve">, 2025; Gonzalez </w:t>
      </w:r>
      <w:r w:rsidRPr="00A7058C">
        <w:rPr>
          <w:rStyle w:val="s1"/>
          <w:rFonts w:ascii="Arial" w:hAnsi="Arial" w:cs="Arial"/>
          <w:i/>
          <w:lang w:val="en-GB"/>
        </w:rPr>
        <w:t>et al.</w:t>
      </w:r>
      <w:r>
        <w:rPr>
          <w:rStyle w:val="s1"/>
          <w:rFonts w:ascii="Arial" w:hAnsi="Arial" w:cs="Arial"/>
          <w:lang w:val="en-GB"/>
        </w:rPr>
        <w:t xml:space="preserve">, 2023a; Lye and Lee, 2025; Reale </w:t>
      </w:r>
      <w:r w:rsidRPr="00A7058C">
        <w:rPr>
          <w:rStyle w:val="s1"/>
          <w:rFonts w:ascii="Arial" w:hAnsi="Arial" w:cs="Arial"/>
          <w:i/>
          <w:lang w:val="en-GB"/>
        </w:rPr>
        <w:t>et al.</w:t>
      </w:r>
      <w:r>
        <w:rPr>
          <w:rStyle w:val="s1"/>
          <w:rFonts w:ascii="Arial" w:hAnsi="Arial" w:cs="Arial"/>
          <w:lang w:val="en-GB"/>
        </w:rPr>
        <w:t>, 2023; Romero and Alvar, 2021).</w:t>
      </w:r>
    </w:p>
    <w:p w14:paraId="2B2E18E5" w14:textId="11EA007B" w:rsidR="00C51A2D" w:rsidRDefault="00C51A2D" w:rsidP="00825C6A">
      <w:pPr>
        <w:pStyle w:val="p1"/>
        <w:spacing w:line="360" w:lineRule="auto"/>
        <w:rPr>
          <w:rStyle w:val="s1"/>
          <w:rFonts w:ascii="Arial" w:hAnsi="Arial" w:cs="Arial"/>
          <w:lang w:val="en-GB"/>
        </w:rPr>
      </w:pPr>
      <w:r>
        <w:rPr>
          <w:rStyle w:val="s1"/>
          <w:rFonts w:ascii="Arial" w:hAnsi="Arial" w:cs="Arial"/>
          <w:lang w:val="en-GB"/>
        </w:rPr>
        <w:t xml:space="preserve">These combined demands support classifying FFs as TA, whose performance relies on physical capacity, cognitive function and stress tolerance in emergency environments (Lye and Lee, 2025; Wohlgemuth </w:t>
      </w:r>
      <w:r w:rsidRPr="00A7058C">
        <w:rPr>
          <w:rStyle w:val="s1"/>
          <w:rFonts w:ascii="Arial" w:hAnsi="Arial" w:cs="Arial"/>
          <w:i/>
          <w:lang w:val="en-GB"/>
        </w:rPr>
        <w:t>et al.</w:t>
      </w:r>
      <w:r>
        <w:rPr>
          <w:rStyle w:val="s1"/>
          <w:rFonts w:ascii="Arial" w:hAnsi="Arial" w:cs="Arial"/>
          <w:lang w:val="en-GB"/>
        </w:rPr>
        <w:t xml:space="preserve">, 2024; Gonzalez </w:t>
      </w:r>
      <w:r w:rsidRPr="00A7058C">
        <w:rPr>
          <w:rStyle w:val="s1"/>
          <w:rFonts w:ascii="Arial" w:hAnsi="Arial" w:cs="Arial"/>
          <w:i/>
          <w:lang w:val="en-GB"/>
        </w:rPr>
        <w:t>et al.</w:t>
      </w:r>
      <w:r>
        <w:rPr>
          <w:rStyle w:val="s1"/>
          <w:rFonts w:ascii="Arial" w:hAnsi="Arial" w:cs="Arial"/>
          <w:lang w:val="en-GB"/>
        </w:rPr>
        <w:t xml:space="preserve">, 2022; </w:t>
      </w:r>
      <w:r w:rsidR="00D65013">
        <w:rPr>
          <w:rStyle w:val="s1"/>
          <w:rFonts w:ascii="Arial" w:hAnsi="Arial" w:cs="Arial"/>
          <w:lang w:val="en-GB"/>
        </w:rPr>
        <w:t>2024</w:t>
      </w:r>
      <w:r>
        <w:rPr>
          <w:rStyle w:val="s1"/>
          <w:rFonts w:ascii="Arial" w:hAnsi="Arial" w:cs="Arial"/>
          <w:lang w:val="en-GB"/>
        </w:rPr>
        <w:t xml:space="preserve">; Romero and Alvar, 2021; Scofield and Kardouni, 2015; Xu </w:t>
      </w:r>
      <w:r w:rsidRPr="00A7058C">
        <w:rPr>
          <w:rStyle w:val="s1"/>
          <w:rFonts w:ascii="Arial" w:hAnsi="Arial" w:cs="Arial"/>
          <w:i/>
          <w:lang w:val="en-GB"/>
        </w:rPr>
        <w:t>et al.</w:t>
      </w:r>
      <w:r>
        <w:rPr>
          <w:rStyle w:val="s1"/>
          <w:rFonts w:ascii="Arial" w:hAnsi="Arial" w:cs="Arial"/>
          <w:lang w:val="en-GB"/>
        </w:rPr>
        <w:t xml:space="preserve">, 2024). However, firefighting differs from sport because performance is externally driven, unpredictable and repeated across careers rather than scheduled events (Xu </w:t>
      </w:r>
      <w:r w:rsidRPr="00A7058C">
        <w:rPr>
          <w:rStyle w:val="s1"/>
          <w:rFonts w:ascii="Arial" w:hAnsi="Arial" w:cs="Arial"/>
          <w:i/>
          <w:lang w:val="en-GB"/>
        </w:rPr>
        <w:t>et al.</w:t>
      </w:r>
      <w:r>
        <w:rPr>
          <w:rStyle w:val="s1"/>
          <w:rFonts w:ascii="Arial" w:hAnsi="Arial" w:cs="Arial"/>
          <w:lang w:val="en-GB"/>
        </w:rPr>
        <w:t xml:space="preserve">, 2024; Lye and Lee, 2025). Thus, the TA framework does not equate FFs with elite athletes, but emphasises broad physical preparedness for repeated stress while maintaining functional performance (Xu </w:t>
      </w:r>
      <w:r w:rsidRPr="00A7058C">
        <w:rPr>
          <w:rStyle w:val="s1"/>
          <w:rFonts w:ascii="Arial" w:hAnsi="Arial" w:cs="Arial"/>
          <w:i/>
          <w:lang w:val="en-GB"/>
        </w:rPr>
        <w:t>et al.</w:t>
      </w:r>
      <w:r>
        <w:rPr>
          <w:rStyle w:val="s1"/>
          <w:rFonts w:ascii="Arial" w:hAnsi="Arial" w:cs="Arial"/>
          <w:lang w:val="en-GB"/>
        </w:rPr>
        <w:t xml:space="preserve">, 2024; Scofield and Kardouni, 2015; Romero and Alvar, 2021; Wohlgemuth </w:t>
      </w:r>
      <w:r w:rsidRPr="00A7058C">
        <w:rPr>
          <w:rStyle w:val="s1"/>
          <w:rFonts w:ascii="Arial" w:hAnsi="Arial" w:cs="Arial"/>
          <w:i/>
          <w:lang w:val="en-GB"/>
        </w:rPr>
        <w:t>et al.</w:t>
      </w:r>
      <w:r>
        <w:rPr>
          <w:rStyle w:val="s1"/>
          <w:rFonts w:ascii="Arial" w:hAnsi="Arial" w:cs="Arial"/>
          <w:lang w:val="en-GB"/>
        </w:rPr>
        <w:t>, 2024).</w:t>
      </w:r>
    </w:p>
    <w:p w14:paraId="3EB09473" w14:textId="77777777" w:rsidR="00313C12" w:rsidRDefault="00313C12" w:rsidP="00825C6A">
      <w:pPr>
        <w:pStyle w:val="p1"/>
        <w:spacing w:line="360" w:lineRule="auto"/>
        <w:rPr>
          <w:rFonts w:ascii="Arial" w:hAnsi="Arial" w:cs="Arial"/>
          <w:lang w:val="en-GB"/>
        </w:rPr>
      </w:pPr>
    </w:p>
    <w:p w14:paraId="74C815AB" w14:textId="0B6D4893" w:rsidR="00C51A2D" w:rsidRPr="004B2E1C" w:rsidRDefault="00C51A2D" w:rsidP="00825C6A">
      <w:pPr>
        <w:pStyle w:val="p1"/>
        <w:spacing w:line="360" w:lineRule="auto"/>
        <w:rPr>
          <w:rStyle w:val="s1"/>
          <w:rFonts w:ascii="Arial" w:hAnsi="Arial" w:cs="Arial"/>
          <w:lang w:val="en-GB"/>
        </w:rPr>
      </w:pPr>
      <w:r>
        <w:rPr>
          <w:rStyle w:val="s1"/>
          <w:rFonts w:ascii="Arial" w:hAnsi="Arial" w:cs="Arial"/>
          <w:lang w:val="en-GB"/>
        </w:rPr>
        <w:lastRenderedPageBreak/>
        <w:t xml:space="preserve">Accordingly, performance longevity, rather than peak-output, becomes the central operational objective, defined as repeatedly meeting occupational demands with minimal long-term decline across careers (Martinescu-Bădălan and Macovei, 2023; Romero and Alvar, 2023), aligning with sport nutrition aims to sustain CV and physiological readiness (Martinescu-Bădălan and Macovei, 2023; Romero and Alvar, 2023; Gonzalez </w:t>
      </w:r>
      <w:r w:rsidRPr="00A7058C">
        <w:rPr>
          <w:rStyle w:val="s1"/>
          <w:rFonts w:ascii="Arial" w:hAnsi="Arial" w:cs="Arial"/>
          <w:i/>
          <w:lang w:val="en-GB"/>
        </w:rPr>
        <w:t>et al.</w:t>
      </w:r>
      <w:r>
        <w:rPr>
          <w:rStyle w:val="s1"/>
          <w:rFonts w:ascii="Arial" w:hAnsi="Arial" w:cs="Arial"/>
          <w:lang w:val="en-GB"/>
        </w:rPr>
        <w:t xml:space="preserve">, 2022; Gonzalez </w:t>
      </w:r>
      <w:r w:rsidRPr="00A7058C">
        <w:rPr>
          <w:rStyle w:val="s1"/>
          <w:rFonts w:ascii="Arial" w:hAnsi="Arial" w:cs="Arial"/>
          <w:i/>
          <w:lang w:val="en-GB"/>
        </w:rPr>
        <w:t>et al.</w:t>
      </w:r>
      <w:r>
        <w:rPr>
          <w:rStyle w:val="s1"/>
          <w:rFonts w:ascii="Arial" w:hAnsi="Arial" w:cs="Arial"/>
          <w:lang w:val="en-GB"/>
        </w:rPr>
        <w:t xml:space="preserve">, </w:t>
      </w:r>
      <w:r w:rsidR="00D93BFC">
        <w:rPr>
          <w:rStyle w:val="s1"/>
          <w:rFonts w:ascii="Arial" w:hAnsi="Arial" w:cs="Arial"/>
          <w:lang w:val="en-GB"/>
        </w:rPr>
        <w:t>2024</w:t>
      </w:r>
      <w:r>
        <w:rPr>
          <w:rStyle w:val="s1"/>
          <w:rFonts w:ascii="Arial" w:hAnsi="Arial" w:cs="Arial"/>
          <w:lang w:val="en-GB"/>
        </w:rPr>
        <w:t>).</w:t>
      </w:r>
      <w:r w:rsidR="00E15CA4">
        <w:rPr>
          <w:rStyle w:val="s1"/>
          <w:rFonts w:ascii="Arial" w:hAnsi="Arial" w:cs="Arial"/>
          <w:lang w:val="en-GB"/>
        </w:rPr>
        <w:t xml:space="preserve"> </w:t>
      </w:r>
      <w:r>
        <w:rPr>
          <w:rStyle w:val="s1"/>
          <w:rFonts w:ascii="Arial" w:hAnsi="Arial" w:cs="Arial"/>
          <w:lang w:val="en-GB"/>
        </w:rPr>
        <w:t xml:space="preserve">Although incidents are intermittent, stress responses recur (Cherry </w:t>
      </w:r>
      <w:r w:rsidRPr="00A7058C">
        <w:rPr>
          <w:rStyle w:val="s1"/>
          <w:rFonts w:ascii="Arial" w:hAnsi="Arial" w:cs="Arial"/>
          <w:i/>
          <w:lang w:val="en-GB"/>
        </w:rPr>
        <w:t>et al.</w:t>
      </w:r>
      <w:r>
        <w:rPr>
          <w:rStyle w:val="s1"/>
          <w:rFonts w:ascii="Arial" w:hAnsi="Arial" w:cs="Arial"/>
          <w:lang w:val="en-GB"/>
        </w:rPr>
        <w:t xml:space="preserve">, 2025), consistent with AL, the accumulation of repeated stress, into long-term physiological strain (McEwen and Stellar, 1993; McEwen, 1998; Gonzalez </w:t>
      </w:r>
      <w:r w:rsidRPr="00A7058C">
        <w:rPr>
          <w:rStyle w:val="s1"/>
          <w:rFonts w:ascii="Arial" w:hAnsi="Arial" w:cs="Arial"/>
          <w:i/>
          <w:lang w:val="en-GB"/>
        </w:rPr>
        <w:t>et al.</w:t>
      </w:r>
      <w:r>
        <w:rPr>
          <w:rStyle w:val="s1"/>
          <w:rFonts w:ascii="Arial" w:hAnsi="Arial" w:cs="Arial"/>
          <w:lang w:val="en-GB"/>
        </w:rPr>
        <w:t xml:space="preserve">, </w:t>
      </w:r>
      <w:r w:rsidR="00D93BFC">
        <w:rPr>
          <w:rStyle w:val="s1"/>
          <w:rFonts w:ascii="Arial" w:hAnsi="Arial" w:cs="Arial"/>
          <w:lang w:val="en-GB"/>
        </w:rPr>
        <w:t>2024</w:t>
      </w:r>
      <w:r>
        <w:rPr>
          <w:rStyle w:val="s1"/>
          <w:rFonts w:ascii="Arial" w:hAnsi="Arial" w:cs="Arial"/>
          <w:lang w:val="en-GB"/>
        </w:rPr>
        <w:t>).</w:t>
      </w:r>
      <w:r w:rsidR="004B2E1C">
        <w:rPr>
          <w:rFonts w:ascii="Arial" w:hAnsi="Arial" w:cs="Arial"/>
          <w:lang w:val="en-GB"/>
        </w:rPr>
        <w:t xml:space="preserve"> </w:t>
      </w:r>
      <w:r>
        <w:rPr>
          <w:rStyle w:val="s1"/>
          <w:rFonts w:ascii="Arial" w:hAnsi="Arial" w:cs="Arial"/>
          <w:lang w:val="en-GB"/>
        </w:rPr>
        <w:t xml:space="preserve">Health and wellness considerations, including MH, underpin FF performance and  longevity, supporting an integrated health-performance model, where nutrition should be viewed as a core </w:t>
      </w:r>
      <w:r w:rsidR="00355F18">
        <w:rPr>
          <w:rStyle w:val="s1"/>
          <w:rFonts w:ascii="Arial" w:hAnsi="Arial" w:cs="Arial"/>
          <w:lang w:val="en-GB"/>
        </w:rPr>
        <w:t xml:space="preserve">supporting </w:t>
      </w:r>
      <w:r>
        <w:rPr>
          <w:rStyle w:val="s1"/>
          <w:rFonts w:ascii="Arial" w:hAnsi="Arial" w:cs="Arial"/>
          <w:lang w:val="en-GB"/>
        </w:rPr>
        <w:t>strategy</w:t>
      </w:r>
      <w:r w:rsidR="00355F18">
        <w:rPr>
          <w:rStyle w:val="s1"/>
          <w:rFonts w:ascii="Arial" w:hAnsi="Arial" w:cs="Arial"/>
          <w:lang w:val="en-GB"/>
        </w:rPr>
        <w:t xml:space="preserve"> </w:t>
      </w:r>
      <w:r>
        <w:rPr>
          <w:rStyle w:val="s1"/>
          <w:rFonts w:ascii="Arial" w:hAnsi="Arial" w:cs="Arial"/>
          <w:lang w:val="en-GB"/>
        </w:rPr>
        <w:t xml:space="preserve">(Wohlgemuth </w:t>
      </w:r>
      <w:r w:rsidRPr="00A7058C">
        <w:rPr>
          <w:rStyle w:val="s1"/>
          <w:rFonts w:ascii="Arial" w:hAnsi="Arial" w:cs="Arial"/>
          <w:i/>
          <w:lang w:val="en-GB"/>
        </w:rPr>
        <w:t>et al.</w:t>
      </w:r>
      <w:r>
        <w:rPr>
          <w:rStyle w:val="s1"/>
          <w:rFonts w:ascii="Arial" w:hAnsi="Arial" w:cs="Arial"/>
          <w:lang w:val="en-GB"/>
        </w:rPr>
        <w:t xml:space="preserve">, 2024; Abel </w:t>
      </w:r>
      <w:r w:rsidRPr="00A7058C">
        <w:rPr>
          <w:rStyle w:val="s1"/>
          <w:rFonts w:ascii="Arial" w:hAnsi="Arial" w:cs="Arial"/>
          <w:i/>
          <w:lang w:val="en-GB"/>
        </w:rPr>
        <w:t>et al.</w:t>
      </w:r>
      <w:r>
        <w:rPr>
          <w:rStyle w:val="s1"/>
          <w:rFonts w:ascii="Arial" w:hAnsi="Arial" w:cs="Arial"/>
          <w:lang w:val="en-GB"/>
        </w:rPr>
        <w:t xml:space="preserve">, 2011; Romero and Alvar, 2021; Gonzalez </w:t>
      </w:r>
      <w:r w:rsidRPr="00A7058C">
        <w:rPr>
          <w:rStyle w:val="s1"/>
          <w:rFonts w:ascii="Arial" w:hAnsi="Arial" w:cs="Arial"/>
          <w:i/>
          <w:lang w:val="en-GB"/>
        </w:rPr>
        <w:t>et al.</w:t>
      </w:r>
      <w:r>
        <w:rPr>
          <w:rStyle w:val="s1"/>
          <w:rFonts w:ascii="Arial" w:hAnsi="Arial" w:cs="Arial"/>
          <w:lang w:val="en-GB"/>
        </w:rPr>
        <w:t xml:space="preserve">, 2022; </w:t>
      </w:r>
      <w:r w:rsidR="00D93BFC">
        <w:rPr>
          <w:rStyle w:val="s1"/>
          <w:rFonts w:ascii="Arial" w:hAnsi="Arial" w:cs="Arial"/>
          <w:lang w:val="en-GB"/>
        </w:rPr>
        <w:t>2024</w:t>
      </w:r>
      <w:r>
        <w:rPr>
          <w:rStyle w:val="s1"/>
          <w:rFonts w:ascii="Arial" w:hAnsi="Arial" w:cs="Arial"/>
          <w:lang w:val="en-GB"/>
        </w:rPr>
        <w:t xml:space="preserve">; Hofman, 2015; Scofield and Kardouni, 2019; Thomas </w:t>
      </w:r>
      <w:r w:rsidRPr="00A7058C">
        <w:rPr>
          <w:rStyle w:val="s1"/>
          <w:rFonts w:ascii="Arial" w:hAnsi="Arial" w:cs="Arial"/>
          <w:i/>
          <w:lang w:val="en-GB"/>
        </w:rPr>
        <w:t>et al.</w:t>
      </w:r>
      <w:r>
        <w:rPr>
          <w:rStyle w:val="s1"/>
          <w:rFonts w:ascii="Arial" w:hAnsi="Arial" w:cs="Arial"/>
          <w:lang w:val="en-GB"/>
        </w:rPr>
        <w:t>, 2016; Spriet</w:t>
      </w:r>
      <w:r>
        <w:rPr>
          <w:rStyle w:val="s1"/>
          <w:rFonts w:ascii="Arial" w:hAnsi="Arial" w:cs="Arial"/>
          <w:b/>
          <w:lang w:val="en-GB"/>
        </w:rPr>
        <w:t xml:space="preserve">, </w:t>
      </w:r>
      <w:r>
        <w:rPr>
          <w:rStyle w:val="s1"/>
          <w:rFonts w:ascii="Arial" w:hAnsi="Arial" w:cs="Arial"/>
          <w:lang w:val="en-GB"/>
        </w:rPr>
        <w:t>2019</w:t>
      </w:r>
      <w:r w:rsidRPr="008F5923">
        <w:rPr>
          <w:rStyle w:val="s1"/>
          <w:rFonts w:ascii="Arial" w:hAnsi="Arial" w:cs="Arial"/>
          <w:bCs/>
          <w:lang w:val="en-GB"/>
        </w:rPr>
        <w:t>).</w:t>
      </w:r>
      <w:bookmarkEnd w:id="16"/>
    </w:p>
    <w:p w14:paraId="1B65400A" w14:textId="77777777" w:rsidR="00313C12" w:rsidRDefault="00313C12" w:rsidP="00825C6A">
      <w:pPr>
        <w:pStyle w:val="p1"/>
        <w:spacing w:line="360" w:lineRule="auto"/>
        <w:rPr>
          <w:rStyle w:val="s1"/>
          <w:b/>
        </w:rPr>
      </w:pPr>
    </w:p>
    <w:p w14:paraId="3AF43A0E" w14:textId="6D4BA371" w:rsidR="00C51A2D" w:rsidRPr="00BE222B" w:rsidRDefault="000C672E" w:rsidP="00825C6A">
      <w:pPr>
        <w:pStyle w:val="Heading2"/>
        <w:spacing w:line="360" w:lineRule="auto"/>
        <w:rPr>
          <w:rStyle w:val="s1"/>
          <w:rFonts w:ascii="Arial" w:hAnsi="Arial" w:cs="Arial"/>
          <w:bCs/>
          <w:lang w:val="en-GB"/>
        </w:rPr>
      </w:pPr>
      <w:bookmarkStart w:id="19" w:name="_Toc228218266"/>
      <w:r>
        <w:rPr>
          <w:rStyle w:val="s1"/>
          <w:rFonts w:ascii="Arial" w:hAnsi="Arial" w:cs="Arial"/>
          <w:bCs/>
          <w:lang w:val="en-GB"/>
        </w:rPr>
        <w:t>2</w:t>
      </w:r>
      <w:r w:rsidR="00C51A2D" w:rsidRPr="00BE222B">
        <w:rPr>
          <w:rStyle w:val="s1"/>
          <w:rFonts w:ascii="Arial" w:hAnsi="Arial" w:cs="Arial"/>
          <w:bCs/>
          <w:lang w:val="en-GB"/>
        </w:rPr>
        <w:t>.2 Physiological demands of firefighting tasks and occupational performance</w:t>
      </w:r>
      <w:bookmarkEnd w:id="19"/>
      <w:r w:rsidR="00313C12" w:rsidRPr="00BE222B">
        <w:rPr>
          <w:rStyle w:val="s1"/>
          <w:rFonts w:ascii="Arial" w:hAnsi="Arial" w:cs="Arial"/>
          <w:bCs/>
          <w:lang w:val="en-GB"/>
        </w:rPr>
        <w:t xml:space="preserve"> </w:t>
      </w:r>
    </w:p>
    <w:p w14:paraId="1FF90853" w14:textId="77777777" w:rsidR="00313C12" w:rsidRDefault="00313C12" w:rsidP="00825C6A">
      <w:pPr>
        <w:pStyle w:val="p1"/>
        <w:spacing w:line="360" w:lineRule="auto"/>
      </w:pPr>
    </w:p>
    <w:p w14:paraId="24727E36" w14:textId="581D97A0" w:rsidR="00313C12" w:rsidRPr="001100FE" w:rsidRDefault="00C51A2D" w:rsidP="00825C6A">
      <w:pPr>
        <w:pStyle w:val="p1"/>
        <w:spacing w:line="360" w:lineRule="auto"/>
        <w:rPr>
          <w:rFonts w:ascii="Arial" w:hAnsi="Arial" w:cs="Arial"/>
          <w:lang w:val="en-GB"/>
        </w:rPr>
      </w:pPr>
      <w:r>
        <w:rPr>
          <w:rStyle w:val="s1"/>
          <w:rFonts w:ascii="Arial" w:hAnsi="Arial" w:cs="Arial"/>
          <w:lang w:val="en-GB"/>
        </w:rPr>
        <w:t xml:space="preserve">FF performance requires continual transitions between strength, power, agility and sustained aerobic work, reflecting complex physiological demands (Lye and Lee, 2025; Smith, 2011; Gonzalez </w:t>
      </w:r>
      <w:r w:rsidRPr="00A7058C">
        <w:rPr>
          <w:rStyle w:val="s1"/>
          <w:rFonts w:ascii="Arial" w:hAnsi="Arial" w:cs="Arial"/>
          <w:i/>
          <w:lang w:val="en-GB"/>
        </w:rPr>
        <w:t>et al.</w:t>
      </w:r>
      <w:r>
        <w:rPr>
          <w:rStyle w:val="s1"/>
          <w:rFonts w:ascii="Arial" w:hAnsi="Arial" w:cs="Arial"/>
          <w:lang w:val="en-GB"/>
        </w:rPr>
        <w:t>, 2023a; 2023b; Romero and Alvar, 2021).</w:t>
      </w:r>
      <w:r w:rsidR="00313C12">
        <w:rPr>
          <w:rFonts w:ascii="Arial" w:hAnsi="Arial" w:cs="Arial"/>
          <w:lang w:val="en-GB"/>
        </w:rPr>
        <w:t xml:space="preserve"> </w:t>
      </w:r>
      <w:r>
        <w:rPr>
          <w:rStyle w:val="s1"/>
          <w:rFonts w:ascii="Arial" w:hAnsi="Arial" w:cs="Arial"/>
          <w:lang w:val="en-GB"/>
        </w:rPr>
        <w:t xml:space="preserve">HR monitoring demonstrates sustained CV strain during fire suppression. Early field recordings show FFs operating near maximal HR (MaxHR) for 15-minutes (Barnard and Duncan, 1975; Sothmann </w:t>
      </w:r>
      <w:r w:rsidRPr="00A7058C">
        <w:rPr>
          <w:rStyle w:val="s1"/>
          <w:rFonts w:ascii="Arial" w:hAnsi="Arial" w:cs="Arial"/>
          <w:i/>
          <w:lang w:val="en-GB"/>
        </w:rPr>
        <w:t>et al.</w:t>
      </w:r>
      <w:r>
        <w:rPr>
          <w:rStyle w:val="s1"/>
          <w:rFonts w:ascii="Arial" w:hAnsi="Arial" w:cs="Arial"/>
          <w:lang w:val="en-GB"/>
        </w:rPr>
        <w:t xml:space="preserve">, 1992). Simulated tasks typically elicit ≈80% MaxHR, compared with ≈85% in live-fires (Windisch </w:t>
      </w:r>
      <w:r w:rsidRPr="00A7058C">
        <w:rPr>
          <w:rStyle w:val="s1"/>
          <w:rFonts w:ascii="Arial" w:hAnsi="Arial" w:cs="Arial"/>
          <w:i/>
          <w:lang w:val="en-GB"/>
        </w:rPr>
        <w:t>et al.</w:t>
      </w:r>
      <w:r>
        <w:rPr>
          <w:rStyle w:val="s1"/>
          <w:rFonts w:ascii="Arial" w:hAnsi="Arial" w:cs="Arial"/>
          <w:lang w:val="en-GB"/>
        </w:rPr>
        <w:t xml:space="preserve">, 2017), with ranges of 60-100% MaxHR (von Heimburg </w:t>
      </w:r>
      <w:r w:rsidRPr="00A7058C">
        <w:rPr>
          <w:rStyle w:val="s1"/>
          <w:rFonts w:ascii="Arial" w:hAnsi="Arial" w:cs="Arial"/>
          <w:i/>
          <w:lang w:val="en-GB"/>
        </w:rPr>
        <w:t>et al.</w:t>
      </w:r>
      <w:r>
        <w:rPr>
          <w:rStyle w:val="s1"/>
          <w:rFonts w:ascii="Arial" w:hAnsi="Arial" w:cs="Arial"/>
          <w:lang w:val="en-GB"/>
        </w:rPr>
        <w:t xml:space="preserve">, 2006; Del Sal </w:t>
      </w:r>
      <w:r w:rsidRPr="00A7058C">
        <w:rPr>
          <w:rStyle w:val="s1"/>
          <w:rFonts w:ascii="Arial" w:hAnsi="Arial" w:cs="Arial"/>
          <w:i/>
          <w:lang w:val="en-GB"/>
        </w:rPr>
        <w:t>et al.</w:t>
      </w:r>
      <w:r>
        <w:rPr>
          <w:rStyle w:val="s1"/>
          <w:rFonts w:ascii="Arial" w:hAnsi="Arial" w:cs="Arial"/>
          <w:lang w:val="en-GB"/>
        </w:rPr>
        <w:t xml:space="preserve">, 2009; Williams-Bell </w:t>
      </w:r>
      <w:r w:rsidRPr="00A7058C">
        <w:rPr>
          <w:rStyle w:val="s1"/>
          <w:rFonts w:ascii="Arial" w:hAnsi="Arial" w:cs="Arial"/>
          <w:i/>
          <w:lang w:val="en-GB"/>
        </w:rPr>
        <w:t>et al.</w:t>
      </w:r>
      <w:r>
        <w:rPr>
          <w:rStyle w:val="s1"/>
          <w:rFonts w:ascii="Arial" w:hAnsi="Arial" w:cs="Arial"/>
          <w:lang w:val="en-GB"/>
        </w:rPr>
        <w:t xml:space="preserve">, 2009; Perroni </w:t>
      </w:r>
      <w:r w:rsidRPr="00A7058C">
        <w:rPr>
          <w:rStyle w:val="s1"/>
          <w:rFonts w:ascii="Arial" w:hAnsi="Arial" w:cs="Arial"/>
          <w:i/>
          <w:lang w:val="en-GB"/>
        </w:rPr>
        <w:t>et al.</w:t>
      </w:r>
      <w:r>
        <w:rPr>
          <w:rStyle w:val="s1"/>
          <w:rFonts w:ascii="Arial" w:hAnsi="Arial" w:cs="Arial"/>
          <w:lang w:val="en-GB"/>
        </w:rPr>
        <w:t>, 2010). However, simulated protocols may not fully capture live operational stress</w:t>
      </w:r>
      <w:r w:rsidR="00840577">
        <w:rPr>
          <w:rStyle w:val="s1"/>
          <w:rFonts w:ascii="Arial" w:hAnsi="Arial" w:cs="Arial"/>
          <w:lang w:val="en-GB"/>
        </w:rPr>
        <w:t>ors</w:t>
      </w:r>
      <w:r>
        <w:rPr>
          <w:rStyle w:val="s1"/>
          <w:rFonts w:ascii="Arial" w:hAnsi="Arial" w:cs="Arial"/>
          <w:lang w:val="en-GB"/>
        </w:rPr>
        <w:t xml:space="preserve">. Live-fire suppression has recorded mean HR of 157bpm (88% MaxHR), alongside </w:t>
      </w:r>
      <w:r>
        <w:rPr>
          <w:rStyle w:val="s1"/>
          <w:rFonts w:ascii="Arial" w:hAnsi="Arial" w:cs="Arial"/>
          <w:lang w:val="en-GB"/>
        </w:rPr>
        <w:lastRenderedPageBreak/>
        <w:t>VO</w:t>
      </w:r>
      <w:r>
        <w:rPr>
          <w:rStyle w:val="s1"/>
          <w:rFonts w:ascii="Cambria Math" w:hAnsi="Cambria Math" w:cs="Cambria Math"/>
          <w:lang w:val="en-GB"/>
        </w:rPr>
        <w:t>₂</w:t>
      </w:r>
      <w:r>
        <w:rPr>
          <w:rStyle w:val="s1"/>
          <w:rFonts w:ascii="Arial" w:hAnsi="Arial" w:cs="Arial"/>
          <w:lang w:val="en-GB"/>
        </w:rPr>
        <w:t>max of 33.5-46.5 mL·kg</w:t>
      </w:r>
      <w:r>
        <w:rPr>
          <w:rStyle w:val="s1"/>
          <w:rFonts w:ascii="Cambria Math" w:hAnsi="Cambria Math" w:cs="Cambria Math"/>
          <w:lang w:val="en-GB"/>
        </w:rPr>
        <w:t>⁻</w:t>
      </w:r>
      <w:r>
        <w:rPr>
          <w:rStyle w:val="s1"/>
          <w:rFonts w:ascii="Arial" w:hAnsi="Arial" w:cs="Arial"/>
          <w:lang w:val="en-GB"/>
        </w:rPr>
        <w:t>¹·min</w:t>
      </w:r>
      <w:r>
        <w:rPr>
          <w:rStyle w:val="s1"/>
          <w:rFonts w:ascii="Cambria Math" w:hAnsi="Cambria Math" w:cs="Cambria Math"/>
          <w:lang w:val="en-GB"/>
        </w:rPr>
        <w:t>⁻</w:t>
      </w:r>
      <w:r>
        <w:rPr>
          <w:rStyle w:val="s1"/>
          <w:rFonts w:ascii="Arial" w:hAnsi="Arial" w:cs="Arial"/>
          <w:lang w:val="en-GB"/>
        </w:rPr>
        <w:t xml:space="preserve">¹, indicating pronounced CV strain (Gledhill and Jamnik, 1992; Sothmann </w:t>
      </w:r>
      <w:r w:rsidRPr="00A7058C">
        <w:rPr>
          <w:rStyle w:val="s1"/>
          <w:rFonts w:ascii="Arial" w:hAnsi="Arial" w:cs="Arial"/>
          <w:i/>
          <w:lang w:val="en-GB"/>
        </w:rPr>
        <w:t>et al.</w:t>
      </w:r>
      <w:r>
        <w:rPr>
          <w:rStyle w:val="s1"/>
          <w:rFonts w:ascii="Arial" w:hAnsi="Arial" w:cs="Arial"/>
          <w:lang w:val="en-GB"/>
        </w:rPr>
        <w:t>, 1992). These findings align with meta-analyses, citing VO</w:t>
      </w:r>
      <w:r>
        <w:rPr>
          <w:rStyle w:val="s1"/>
          <w:rFonts w:ascii="Cambria Math" w:hAnsi="Cambria Math" w:cs="Cambria Math"/>
          <w:lang w:val="en-GB"/>
        </w:rPr>
        <w:t>₂</w:t>
      </w:r>
      <w:r>
        <w:rPr>
          <w:rStyle w:val="s1"/>
          <w:rFonts w:ascii="Arial" w:hAnsi="Arial" w:cs="Arial"/>
          <w:lang w:val="en-GB"/>
        </w:rPr>
        <w:t>max demands of 39-45 mL·kg</w:t>
      </w:r>
      <w:r>
        <w:rPr>
          <w:rStyle w:val="s1"/>
          <w:rFonts w:ascii="Cambria Math" w:hAnsi="Cambria Math" w:cs="Cambria Math"/>
          <w:lang w:val="en-GB"/>
        </w:rPr>
        <w:t>⁻</w:t>
      </w:r>
      <w:r>
        <w:rPr>
          <w:rStyle w:val="s1"/>
          <w:rFonts w:ascii="Arial" w:hAnsi="Arial" w:cs="Arial"/>
          <w:lang w:val="en-GB"/>
        </w:rPr>
        <w:t>¹·min</w:t>
      </w:r>
      <w:r>
        <w:rPr>
          <w:rStyle w:val="s1"/>
          <w:rFonts w:ascii="Cambria Math" w:hAnsi="Cambria Math" w:cs="Cambria Math"/>
          <w:lang w:val="en-GB"/>
        </w:rPr>
        <w:t>⁻</w:t>
      </w:r>
      <w:r>
        <w:rPr>
          <w:rStyle w:val="s1"/>
          <w:rFonts w:ascii="Arial" w:hAnsi="Arial" w:cs="Arial"/>
          <w:lang w:val="en-GB"/>
        </w:rPr>
        <w:t xml:space="preserve">¹ (Martin </w:t>
      </w:r>
      <w:r w:rsidRPr="00A7058C">
        <w:rPr>
          <w:rStyle w:val="s1"/>
          <w:rFonts w:ascii="Arial" w:hAnsi="Arial" w:cs="Arial"/>
          <w:i/>
          <w:lang w:val="en-GB"/>
        </w:rPr>
        <w:t>et al.</w:t>
      </w:r>
      <w:r>
        <w:rPr>
          <w:rStyle w:val="s1"/>
          <w:rFonts w:ascii="Arial" w:hAnsi="Arial" w:cs="Arial"/>
          <w:lang w:val="en-GB"/>
        </w:rPr>
        <w:t>, 2025</w:t>
      </w:r>
      <w:r w:rsidR="00070EDD">
        <w:rPr>
          <w:rStyle w:val="s1"/>
          <w:rFonts w:ascii="Arial" w:hAnsi="Arial" w:cs="Arial"/>
          <w:lang w:val="en-GB"/>
        </w:rPr>
        <w:t>b</w:t>
      </w:r>
      <w:r>
        <w:rPr>
          <w:rStyle w:val="s1"/>
          <w:rFonts w:ascii="Arial" w:hAnsi="Arial" w:cs="Arial"/>
          <w:lang w:val="en-GB"/>
        </w:rPr>
        <w:t xml:space="preserve">; Bilzon </w:t>
      </w:r>
      <w:r w:rsidRPr="00A7058C">
        <w:rPr>
          <w:rStyle w:val="s1"/>
          <w:rFonts w:ascii="Arial" w:hAnsi="Arial" w:cs="Arial"/>
          <w:i/>
          <w:lang w:val="en-GB"/>
        </w:rPr>
        <w:t>et al.</w:t>
      </w:r>
      <w:r>
        <w:rPr>
          <w:rStyle w:val="s1"/>
          <w:rFonts w:ascii="Arial" w:hAnsi="Arial" w:cs="Arial"/>
          <w:lang w:val="en-GB"/>
        </w:rPr>
        <w:t xml:space="preserve"> 2001; Dreger and Petersen, 2007; Gledhill and Jamnik, 1992), whilst National Fire Protection Association (NFPA), supported by Siddal </w:t>
      </w:r>
      <w:r w:rsidRPr="00A7058C">
        <w:rPr>
          <w:rStyle w:val="s1"/>
          <w:rFonts w:ascii="Arial" w:hAnsi="Arial" w:cs="Arial"/>
          <w:i/>
          <w:lang w:val="en-GB"/>
        </w:rPr>
        <w:t>et al.</w:t>
      </w:r>
      <w:r>
        <w:rPr>
          <w:rStyle w:val="s1"/>
          <w:rFonts w:ascii="Arial" w:hAnsi="Arial" w:cs="Arial"/>
          <w:lang w:val="en-GB"/>
        </w:rPr>
        <w:t xml:space="preserve"> (2016), specifies 42 mL·kg</w:t>
      </w:r>
      <w:r>
        <w:rPr>
          <w:rStyle w:val="s1"/>
          <w:rFonts w:ascii="Cambria Math" w:hAnsi="Cambria Math" w:cs="Cambria Math"/>
          <w:lang w:val="en-GB"/>
        </w:rPr>
        <w:t>⁻</w:t>
      </w:r>
      <w:r>
        <w:rPr>
          <w:rStyle w:val="s1"/>
          <w:rFonts w:ascii="Arial" w:hAnsi="Arial" w:cs="Arial"/>
          <w:lang w:val="en-GB"/>
        </w:rPr>
        <w:t>¹·min</w:t>
      </w:r>
      <w:r>
        <w:rPr>
          <w:rStyle w:val="s1"/>
          <w:rFonts w:ascii="Cambria Math" w:hAnsi="Cambria Math" w:cs="Cambria Math"/>
          <w:lang w:val="en-GB"/>
        </w:rPr>
        <w:t>⁻</w:t>
      </w:r>
      <w:r>
        <w:rPr>
          <w:rStyle w:val="s1"/>
          <w:rFonts w:ascii="Arial" w:hAnsi="Arial" w:cs="Arial"/>
          <w:lang w:val="en-GB"/>
        </w:rPr>
        <w:t xml:space="preserve">¹, and used as a UK benchmark (NFPA 1582, 2018; Martin </w:t>
      </w:r>
      <w:r w:rsidRPr="00A7058C">
        <w:rPr>
          <w:rStyle w:val="s1"/>
          <w:rFonts w:ascii="Arial" w:hAnsi="Arial" w:cs="Arial"/>
          <w:i/>
          <w:lang w:val="en-GB"/>
        </w:rPr>
        <w:t>et al.</w:t>
      </w:r>
      <w:r>
        <w:rPr>
          <w:rStyle w:val="s1"/>
          <w:rFonts w:ascii="Arial" w:hAnsi="Arial" w:cs="Arial"/>
          <w:lang w:val="en-GB"/>
        </w:rPr>
        <w:t>, 2025</w:t>
      </w:r>
      <w:r w:rsidR="004E3955">
        <w:rPr>
          <w:rStyle w:val="s1"/>
          <w:rFonts w:ascii="Arial" w:hAnsi="Arial" w:cs="Arial"/>
          <w:lang w:val="en-GB"/>
        </w:rPr>
        <w:t>b</w:t>
      </w:r>
      <w:r>
        <w:rPr>
          <w:rStyle w:val="s1"/>
          <w:rFonts w:ascii="Arial" w:hAnsi="Arial" w:cs="Arial"/>
          <w:lang w:val="en-GB"/>
        </w:rPr>
        <w:t xml:space="preserve">; Gonzalez </w:t>
      </w:r>
      <w:r w:rsidRPr="00A7058C">
        <w:rPr>
          <w:rStyle w:val="s1"/>
          <w:rFonts w:ascii="Arial" w:hAnsi="Arial" w:cs="Arial"/>
          <w:i/>
          <w:lang w:val="en-GB"/>
        </w:rPr>
        <w:t>et al.</w:t>
      </w:r>
      <w:r>
        <w:rPr>
          <w:rStyle w:val="s1"/>
          <w:rFonts w:ascii="Arial" w:hAnsi="Arial" w:cs="Arial"/>
          <w:lang w:val="en-GB"/>
        </w:rPr>
        <w:t xml:space="preserve">, 2022). Treadmill testing, is commonly recommended for FFs (Gonzalez </w:t>
      </w:r>
      <w:r w:rsidRPr="00A7058C">
        <w:rPr>
          <w:rStyle w:val="s1"/>
          <w:rFonts w:ascii="Arial" w:hAnsi="Arial" w:cs="Arial"/>
          <w:i/>
          <w:lang w:val="en-GB"/>
        </w:rPr>
        <w:t>et al.</w:t>
      </w:r>
      <w:r>
        <w:rPr>
          <w:rStyle w:val="s1"/>
          <w:rFonts w:ascii="Arial" w:hAnsi="Arial" w:cs="Arial"/>
          <w:lang w:val="en-GB"/>
        </w:rPr>
        <w:t xml:space="preserve">, 2024; Vandersmissen </w:t>
      </w:r>
      <w:r w:rsidRPr="00A7058C">
        <w:rPr>
          <w:rStyle w:val="s1"/>
          <w:rFonts w:ascii="Arial" w:hAnsi="Arial" w:cs="Arial"/>
          <w:i/>
          <w:lang w:val="en-GB"/>
        </w:rPr>
        <w:t>et al.</w:t>
      </w:r>
      <w:r>
        <w:rPr>
          <w:rStyle w:val="s1"/>
          <w:rFonts w:ascii="Arial" w:hAnsi="Arial" w:cs="Arial"/>
          <w:lang w:val="en-GB"/>
        </w:rPr>
        <w:t xml:space="preserve">, 2014; Ben-Ezra and Verstraete, 1988; IAFF, 2008). UK benchmarks are often operationalised using CTT, providing service-feasible estimates of aerobic fitness and HR strain under standardised sub-maximal workloads (Hart </w:t>
      </w:r>
      <w:r w:rsidRPr="00A7058C">
        <w:rPr>
          <w:rStyle w:val="s1"/>
          <w:rFonts w:ascii="Arial" w:hAnsi="Arial" w:cs="Arial"/>
          <w:i/>
          <w:lang w:val="en-GB"/>
        </w:rPr>
        <w:t>et al.</w:t>
      </w:r>
      <w:r>
        <w:rPr>
          <w:rStyle w:val="s1"/>
          <w:rFonts w:ascii="Arial" w:hAnsi="Arial" w:cs="Arial"/>
          <w:lang w:val="en-GB"/>
        </w:rPr>
        <w:t xml:space="preserve">, 2024; Barr </w:t>
      </w:r>
      <w:r w:rsidRPr="00A7058C">
        <w:rPr>
          <w:rStyle w:val="s1"/>
          <w:rFonts w:ascii="Arial" w:hAnsi="Arial" w:cs="Arial"/>
          <w:i/>
          <w:lang w:val="en-GB"/>
        </w:rPr>
        <w:t>et al.</w:t>
      </w:r>
      <w:r>
        <w:rPr>
          <w:rStyle w:val="s1"/>
          <w:rFonts w:ascii="Arial" w:hAnsi="Arial" w:cs="Arial"/>
          <w:lang w:val="en-GB"/>
        </w:rPr>
        <w:t>, 2010).</w:t>
      </w:r>
    </w:p>
    <w:p w14:paraId="64CF902E" w14:textId="4CF9CEC1" w:rsidR="00C51A2D" w:rsidRDefault="00C51A2D" w:rsidP="001100FE">
      <w:pPr>
        <w:pStyle w:val="p1"/>
        <w:spacing w:line="360" w:lineRule="auto"/>
        <w:rPr>
          <w:rFonts w:ascii="Arial" w:hAnsi="Arial" w:cs="Arial"/>
          <w:lang w:val="en-GB"/>
        </w:rPr>
      </w:pPr>
      <w:r>
        <w:rPr>
          <w:rStyle w:val="s1"/>
          <w:rFonts w:ascii="Arial" w:hAnsi="Arial" w:cs="Arial"/>
          <w:lang w:val="en-GB"/>
        </w:rPr>
        <w:t>Although peak demands are substantial, approximately 90% of tasks are reportedly performed at sub-maximal intensities, ≈50% VO</w:t>
      </w:r>
      <w:r>
        <w:rPr>
          <w:rStyle w:val="s1"/>
          <w:rFonts w:ascii="Cambria Math" w:hAnsi="Cambria Math" w:cs="Cambria Math"/>
          <w:lang w:val="en-GB"/>
        </w:rPr>
        <w:t>₂</w:t>
      </w:r>
      <w:r>
        <w:rPr>
          <w:rStyle w:val="s1"/>
          <w:rFonts w:ascii="Arial" w:hAnsi="Arial" w:cs="Arial"/>
          <w:lang w:val="en-GB"/>
        </w:rPr>
        <w:t>max/23 mL·kg</w:t>
      </w:r>
      <w:r>
        <w:rPr>
          <w:rStyle w:val="s1"/>
          <w:rFonts w:ascii="Cambria Math" w:hAnsi="Cambria Math" w:cs="Cambria Math"/>
          <w:lang w:val="en-GB"/>
        </w:rPr>
        <w:t>⁻</w:t>
      </w:r>
      <w:r>
        <w:rPr>
          <w:rStyle w:val="s1"/>
          <w:rFonts w:ascii="Arial" w:hAnsi="Arial" w:cs="Arial"/>
          <w:lang w:val="en-GB"/>
        </w:rPr>
        <w:t>¹·min</w:t>
      </w:r>
      <w:r>
        <w:rPr>
          <w:rStyle w:val="s1"/>
          <w:rFonts w:ascii="Cambria Math" w:hAnsi="Cambria Math" w:cs="Cambria Math"/>
          <w:lang w:val="en-GB"/>
        </w:rPr>
        <w:t>⁻</w:t>
      </w:r>
      <w:r>
        <w:rPr>
          <w:rStyle w:val="s1"/>
          <w:rFonts w:ascii="Arial" w:hAnsi="Arial" w:cs="Arial"/>
          <w:lang w:val="en-GB"/>
        </w:rPr>
        <w:t>¹, with only the most strenuous approaching 85% VO</w:t>
      </w:r>
      <w:r>
        <w:rPr>
          <w:rStyle w:val="s1"/>
          <w:rFonts w:ascii="Cambria Math" w:hAnsi="Cambria Math" w:cs="Cambria Math"/>
          <w:lang w:val="en-GB"/>
        </w:rPr>
        <w:t>₂</w:t>
      </w:r>
      <w:r>
        <w:rPr>
          <w:rStyle w:val="s1"/>
          <w:rFonts w:ascii="Arial" w:hAnsi="Arial" w:cs="Arial"/>
          <w:lang w:val="en-GB"/>
        </w:rPr>
        <w:t>max (Gledhill and Jamnik, 1992). Elsner and Kolkhorst (2008) similarly found live-fire tasks averaged 62% VO</w:t>
      </w:r>
      <w:r>
        <w:rPr>
          <w:rStyle w:val="s1"/>
          <w:rFonts w:ascii="Cambria Math" w:hAnsi="Cambria Math" w:cs="Cambria Math"/>
          <w:lang w:val="en-GB"/>
        </w:rPr>
        <w:t>₂</w:t>
      </w:r>
      <w:r>
        <w:rPr>
          <w:rStyle w:val="s1"/>
          <w:rFonts w:ascii="Arial" w:hAnsi="Arial" w:cs="Arial"/>
          <w:lang w:val="en-GB"/>
        </w:rPr>
        <w:t>max (</w:t>
      </w:r>
      <w:bookmarkStart w:id="20" w:name="OLE_LINK1"/>
      <w:r>
        <w:rPr>
          <w:rStyle w:val="s1"/>
          <w:rFonts w:ascii="Arial" w:hAnsi="Arial" w:cs="Arial"/>
          <w:lang w:val="en-GB"/>
        </w:rPr>
        <w:t xml:space="preserve">Vandersmissen </w:t>
      </w:r>
      <w:r w:rsidRPr="00A7058C">
        <w:rPr>
          <w:rStyle w:val="s1"/>
          <w:rFonts w:ascii="Arial" w:hAnsi="Arial" w:cs="Arial"/>
          <w:i/>
          <w:lang w:val="en-GB"/>
        </w:rPr>
        <w:t>et al.</w:t>
      </w:r>
      <w:r>
        <w:rPr>
          <w:rStyle w:val="s1"/>
          <w:rFonts w:ascii="Arial" w:hAnsi="Arial" w:cs="Arial"/>
          <w:lang w:val="en-GB"/>
        </w:rPr>
        <w:t>, 2014; Elsner and Kolkhorst, 2008</w:t>
      </w:r>
      <w:bookmarkEnd w:id="20"/>
      <w:r>
        <w:rPr>
          <w:rStyle w:val="s1"/>
          <w:rFonts w:ascii="Arial" w:hAnsi="Arial" w:cs="Arial"/>
          <w:lang w:val="en-GB"/>
        </w:rPr>
        <w:t xml:space="preserve">), suggesting occupational performance depends on maximal aerobic capacity, and the ability to sustain prolonged sub-maximal work with elevated HR. </w:t>
      </w:r>
      <w:r>
        <w:rPr>
          <w:rFonts w:ascii="Arial" w:hAnsi="Arial" w:cs="Arial"/>
          <w:lang w:val="en-GB"/>
        </w:rPr>
        <w:t xml:space="preserve">These estimates </w:t>
      </w:r>
      <w:r w:rsidR="00CF798E">
        <w:rPr>
          <w:rFonts w:ascii="Arial" w:hAnsi="Arial" w:cs="Arial"/>
          <w:lang w:val="en-GB"/>
        </w:rPr>
        <w:t xml:space="preserve">vary by task definition and measurement conditions, and </w:t>
      </w:r>
      <w:r w:rsidR="00280AC3">
        <w:rPr>
          <w:rFonts w:ascii="Arial" w:hAnsi="Arial" w:cs="Arial"/>
          <w:lang w:val="en-GB"/>
        </w:rPr>
        <w:t xml:space="preserve">long-term career effects on HR strain remain unclear. </w:t>
      </w:r>
    </w:p>
    <w:p w14:paraId="09DB20FC" w14:textId="70189B52" w:rsidR="00C51A2D" w:rsidRDefault="00C51A2D" w:rsidP="00825C6A">
      <w:pPr>
        <w:pStyle w:val="p1"/>
        <w:spacing w:line="360" w:lineRule="auto"/>
        <w:rPr>
          <w:rStyle w:val="s1"/>
          <w:rFonts w:ascii="Arial" w:hAnsi="Arial" w:cs="Arial"/>
          <w:lang w:val="en-GB"/>
        </w:rPr>
      </w:pPr>
      <w:r>
        <w:rPr>
          <w:rStyle w:val="s1"/>
          <w:rFonts w:ascii="Arial" w:hAnsi="Arial" w:cs="Arial"/>
          <w:lang w:val="en-GB"/>
        </w:rPr>
        <w:t>Direct VO</w:t>
      </w:r>
      <w:r>
        <w:rPr>
          <w:rStyle w:val="s1"/>
          <w:rFonts w:ascii="Cambria Math" w:hAnsi="Cambria Math" w:cs="Cambria Math"/>
          <w:lang w:val="en-GB"/>
        </w:rPr>
        <w:t>₂</w:t>
      </w:r>
      <w:r>
        <w:rPr>
          <w:rStyle w:val="s1"/>
          <w:rFonts w:ascii="Arial" w:hAnsi="Arial" w:cs="Arial"/>
          <w:lang w:val="en-GB"/>
        </w:rPr>
        <w:t xml:space="preserve">max measurement remains the most accurate assessment of aerobic fitness (Tierney </w:t>
      </w:r>
      <w:r w:rsidRPr="00A7058C">
        <w:rPr>
          <w:rStyle w:val="s1"/>
          <w:rFonts w:ascii="Arial" w:hAnsi="Arial" w:cs="Arial"/>
          <w:i/>
          <w:lang w:val="en-GB"/>
        </w:rPr>
        <w:t>et al.</w:t>
      </w:r>
      <w:r>
        <w:rPr>
          <w:rStyle w:val="s1"/>
          <w:rFonts w:ascii="Arial" w:hAnsi="Arial" w:cs="Arial"/>
          <w:lang w:val="en-GB"/>
        </w:rPr>
        <w:t xml:space="preserve">, 2010; Perroni </w:t>
      </w:r>
      <w:r w:rsidRPr="00A7058C">
        <w:rPr>
          <w:rStyle w:val="s1"/>
          <w:rFonts w:ascii="Arial" w:hAnsi="Arial" w:cs="Arial"/>
          <w:i/>
          <w:lang w:val="en-GB"/>
        </w:rPr>
        <w:t>et al.</w:t>
      </w:r>
      <w:r>
        <w:rPr>
          <w:rStyle w:val="s1"/>
          <w:rFonts w:ascii="Arial" w:hAnsi="Arial" w:cs="Arial"/>
          <w:lang w:val="en-GB"/>
        </w:rPr>
        <w:t xml:space="preserve">, 2015), with maximal treadmill testing considered gold standard (Van Kieu </w:t>
      </w:r>
      <w:r w:rsidRPr="00A7058C">
        <w:rPr>
          <w:rStyle w:val="s1"/>
          <w:rFonts w:ascii="Arial" w:hAnsi="Arial" w:cs="Arial"/>
          <w:i/>
          <w:lang w:val="en-GB"/>
        </w:rPr>
        <w:t>et al.</w:t>
      </w:r>
      <w:r>
        <w:rPr>
          <w:rStyle w:val="s1"/>
          <w:rFonts w:ascii="Arial" w:hAnsi="Arial" w:cs="Arial"/>
          <w:lang w:val="en-GB"/>
        </w:rPr>
        <w:t xml:space="preserve">, 2020; Lipscomb </w:t>
      </w:r>
      <w:r w:rsidRPr="00A7058C">
        <w:rPr>
          <w:rStyle w:val="s1"/>
          <w:rFonts w:ascii="Arial" w:hAnsi="Arial" w:cs="Arial"/>
          <w:i/>
          <w:lang w:val="en-GB"/>
        </w:rPr>
        <w:t>et al.</w:t>
      </w:r>
      <w:r>
        <w:rPr>
          <w:rStyle w:val="s1"/>
          <w:rFonts w:ascii="Arial" w:hAnsi="Arial" w:cs="Arial"/>
          <w:lang w:val="en-GB"/>
        </w:rPr>
        <w:t>, 2024). Higher VO</w:t>
      </w:r>
      <w:r>
        <w:rPr>
          <w:rStyle w:val="s1"/>
          <w:rFonts w:ascii="Cambria Math" w:hAnsi="Cambria Math" w:cs="Cambria Math"/>
          <w:lang w:val="en-GB"/>
        </w:rPr>
        <w:t>₂</w:t>
      </w:r>
      <w:r>
        <w:rPr>
          <w:rStyle w:val="s1"/>
          <w:rFonts w:ascii="Arial" w:hAnsi="Arial" w:cs="Arial"/>
          <w:lang w:val="en-GB"/>
        </w:rPr>
        <w:t xml:space="preserve">max,  is associated with FF health </w:t>
      </w:r>
      <w:r w:rsidR="008B4DDD">
        <w:rPr>
          <w:rStyle w:val="s1"/>
          <w:rFonts w:ascii="Arial" w:hAnsi="Arial" w:cs="Arial"/>
          <w:lang w:val="en-GB"/>
        </w:rPr>
        <w:t>and performance</w:t>
      </w:r>
      <w:r>
        <w:rPr>
          <w:rStyle w:val="s1"/>
          <w:rFonts w:ascii="Arial" w:hAnsi="Arial" w:cs="Arial"/>
          <w:lang w:val="en-GB"/>
        </w:rPr>
        <w:t xml:space="preserve"> (Martin </w:t>
      </w:r>
      <w:r w:rsidRPr="00A7058C">
        <w:rPr>
          <w:rStyle w:val="s1"/>
          <w:rFonts w:ascii="Arial" w:hAnsi="Arial" w:cs="Arial"/>
          <w:i/>
          <w:lang w:val="en-GB"/>
        </w:rPr>
        <w:t>et al.</w:t>
      </w:r>
      <w:r>
        <w:rPr>
          <w:rStyle w:val="s1"/>
          <w:rFonts w:ascii="Arial" w:hAnsi="Arial" w:cs="Arial"/>
          <w:lang w:val="en-GB"/>
        </w:rPr>
        <w:t>, 2025</w:t>
      </w:r>
      <w:r w:rsidR="004E3955">
        <w:rPr>
          <w:rStyle w:val="s1"/>
          <w:rFonts w:ascii="Arial" w:hAnsi="Arial" w:cs="Arial"/>
          <w:lang w:val="en-GB"/>
        </w:rPr>
        <w:t>b</w:t>
      </w:r>
      <w:r>
        <w:rPr>
          <w:rStyle w:val="s1"/>
          <w:rFonts w:ascii="Arial" w:hAnsi="Arial" w:cs="Arial"/>
          <w:lang w:val="en-GB"/>
        </w:rPr>
        <w:t xml:space="preserve">; Siddall </w:t>
      </w:r>
      <w:r w:rsidRPr="00A7058C">
        <w:rPr>
          <w:rStyle w:val="s1"/>
          <w:rFonts w:ascii="Arial" w:hAnsi="Arial" w:cs="Arial"/>
          <w:i/>
          <w:lang w:val="en-GB"/>
        </w:rPr>
        <w:t>et al.</w:t>
      </w:r>
      <w:r>
        <w:rPr>
          <w:rStyle w:val="s1"/>
          <w:rFonts w:ascii="Arial" w:hAnsi="Arial" w:cs="Arial"/>
          <w:lang w:val="en-GB"/>
        </w:rPr>
        <w:t xml:space="preserve">, 2018). Because operational demands depend on sustaining sub-maximal intensities, sub-maximal field tests can capture functional capacity through HR responses and recovery during prolonged workloads rather than maximal output alone (Tierney </w:t>
      </w:r>
      <w:r w:rsidRPr="00A7058C">
        <w:rPr>
          <w:rStyle w:val="s1"/>
          <w:rFonts w:ascii="Arial" w:hAnsi="Arial" w:cs="Arial"/>
          <w:i/>
          <w:lang w:val="en-GB"/>
        </w:rPr>
        <w:t>et al.</w:t>
      </w:r>
      <w:r>
        <w:rPr>
          <w:rStyle w:val="s1"/>
          <w:rFonts w:ascii="Arial" w:hAnsi="Arial" w:cs="Arial"/>
          <w:lang w:val="en-GB"/>
        </w:rPr>
        <w:t xml:space="preserve">, 2010; Hart </w:t>
      </w:r>
      <w:r w:rsidRPr="00A7058C">
        <w:rPr>
          <w:rStyle w:val="s1"/>
          <w:rFonts w:ascii="Arial" w:hAnsi="Arial" w:cs="Arial"/>
          <w:i/>
          <w:lang w:val="en-GB"/>
        </w:rPr>
        <w:t>et al.</w:t>
      </w:r>
      <w:r>
        <w:rPr>
          <w:rStyle w:val="s1"/>
          <w:rFonts w:ascii="Arial" w:hAnsi="Arial" w:cs="Arial"/>
          <w:lang w:val="en-GB"/>
        </w:rPr>
        <w:t xml:space="preserve">, 2024; Luke </w:t>
      </w:r>
      <w:r w:rsidRPr="00A7058C">
        <w:rPr>
          <w:rStyle w:val="s1"/>
          <w:rFonts w:ascii="Arial" w:hAnsi="Arial" w:cs="Arial"/>
          <w:i/>
          <w:lang w:val="en-GB"/>
        </w:rPr>
        <w:t>et al.</w:t>
      </w:r>
      <w:r>
        <w:rPr>
          <w:rStyle w:val="s1"/>
          <w:rFonts w:ascii="Arial" w:hAnsi="Arial" w:cs="Arial"/>
          <w:lang w:val="en-GB"/>
        </w:rPr>
        <w:t xml:space="preserve">, 1997), reinforcing that firefighting involves extended aerobic strain punctuated by occasional maximal efforts rather than continuous maximal exertion (Windisch </w:t>
      </w:r>
      <w:r w:rsidRPr="00A7058C">
        <w:rPr>
          <w:rStyle w:val="s1"/>
          <w:rFonts w:ascii="Arial" w:hAnsi="Arial" w:cs="Arial"/>
          <w:i/>
          <w:lang w:val="en-GB"/>
        </w:rPr>
        <w:t>et al.</w:t>
      </w:r>
      <w:r>
        <w:rPr>
          <w:rStyle w:val="s1"/>
          <w:rFonts w:ascii="Arial" w:hAnsi="Arial" w:cs="Arial"/>
          <w:lang w:val="en-GB"/>
        </w:rPr>
        <w:t>, 2017).</w:t>
      </w:r>
    </w:p>
    <w:p w14:paraId="2DDAA07B" w14:textId="77777777" w:rsidR="00313C12" w:rsidRDefault="00313C12" w:rsidP="00825C6A">
      <w:pPr>
        <w:pStyle w:val="p1"/>
        <w:spacing w:line="360" w:lineRule="auto"/>
        <w:rPr>
          <w:rFonts w:ascii="Arial" w:hAnsi="Arial" w:cs="Arial"/>
          <w:lang w:val="en-GB"/>
        </w:rPr>
      </w:pPr>
    </w:p>
    <w:p w14:paraId="368D2915" w14:textId="75527585" w:rsidR="00C51A2D" w:rsidRDefault="00C51A2D" w:rsidP="00825C6A">
      <w:pPr>
        <w:pStyle w:val="p1"/>
        <w:spacing w:line="360" w:lineRule="auto"/>
        <w:rPr>
          <w:rStyle w:val="s1"/>
          <w:rFonts w:ascii="Arial" w:hAnsi="Arial" w:cs="Arial"/>
          <w:lang w:val="en-GB"/>
        </w:rPr>
      </w:pPr>
      <w:r>
        <w:rPr>
          <w:rStyle w:val="s1"/>
          <w:rFonts w:ascii="Arial" w:hAnsi="Arial" w:cs="Arial"/>
          <w:lang w:val="en-GB"/>
        </w:rPr>
        <w:t xml:space="preserve">PPE and SCBA exacerbate physiological strain. Perroni </w:t>
      </w:r>
      <w:r w:rsidRPr="00A7058C">
        <w:rPr>
          <w:rStyle w:val="s1"/>
          <w:rFonts w:ascii="Arial" w:hAnsi="Arial" w:cs="Arial"/>
          <w:i/>
          <w:lang w:val="en-GB"/>
        </w:rPr>
        <w:t>et al.</w:t>
      </w:r>
      <w:r>
        <w:rPr>
          <w:rStyle w:val="s1"/>
          <w:rFonts w:ascii="Arial" w:hAnsi="Arial" w:cs="Arial"/>
          <w:lang w:val="en-GB"/>
        </w:rPr>
        <w:t xml:space="preserve"> (2008; 2015) reported 20% VO</w:t>
      </w:r>
      <w:r>
        <w:rPr>
          <w:rStyle w:val="s1"/>
          <w:rFonts w:ascii="Cambria Math" w:hAnsi="Cambria Math" w:cs="Cambria Math"/>
          <w:lang w:val="en-GB"/>
        </w:rPr>
        <w:t>₂</w:t>
      </w:r>
      <w:r>
        <w:rPr>
          <w:rStyle w:val="s1"/>
          <w:rFonts w:ascii="Arial" w:hAnsi="Arial" w:cs="Arial"/>
          <w:lang w:val="en-GB"/>
        </w:rPr>
        <w:t xml:space="preserve">max reduction during sub-maximal testing with and without PPE/SCBA, while Dreger </w:t>
      </w:r>
      <w:r w:rsidRPr="00A7058C">
        <w:rPr>
          <w:rStyle w:val="s1"/>
          <w:rFonts w:ascii="Arial" w:hAnsi="Arial" w:cs="Arial"/>
          <w:i/>
          <w:lang w:val="en-GB"/>
        </w:rPr>
        <w:t>et al.</w:t>
      </w:r>
      <w:r>
        <w:rPr>
          <w:rStyle w:val="s1"/>
          <w:rFonts w:ascii="Arial" w:hAnsi="Arial" w:cs="Arial"/>
          <w:lang w:val="en-GB"/>
        </w:rPr>
        <w:t xml:space="preserve"> (2006) reported 17.3% reduction and Lee </w:t>
      </w:r>
      <w:r w:rsidRPr="00A7058C">
        <w:rPr>
          <w:rStyle w:val="s1"/>
          <w:rFonts w:ascii="Arial" w:hAnsi="Arial" w:cs="Arial"/>
          <w:i/>
          <w:lang w:val="en-GB"/>
        </w:rPr>
        <w:t>et al.</w:t>
      </w:r>
      <w:r>
        <w:rPr>
          <w:rStyle w:val="s1"/>
          <w:rFonts w:ascii="Arial" w:hAnsi="Arial" w:cs="Arial"/>
          <w:lang w:val="en-GB"/>
        </w:rPr>
        <w:t xml:space="preserve"> (2013)  ≈10%. Adding 20 kg may increase locomotion metabolic cost  ≈11–21% and reduce VO</w:t>
      </w:r>
      <w:r>
        <w:rPr>
          <w:rStyle w:val="s1"/>
          <w:rFonts w:ascii="Cambria Math" w:hAnsi="Cambria Math" w:cs="Cambria Math"/>
          <w:lang w:val="en-GB"/>
        </w:rPr>
        <w:t>₂</w:t>
      </w:r>
      <w:r>
        <w:rPr>
          <w:rStyle w:val="s1"/>
          <w:rFonts w:ascii="Arial" w:hAnsi="Arial" w:cs="Arial"/>
          <w:lang w:val="en-GB"/>
        </w:rPr>
        <w:t xml:space="preserve">max by ≈17–20% versus light clothing, increasing HR during sub-maximal work (Lee </w:t>
      </w:r>
      <w:r w:rsidRPr="00A7058C">
        <w:rPr>
          <w:rStyle w:val="s1"/>
          <w:rFonts w:ascii="Arial" w:hAnsi="Arial" w:cs="Arial"/>
          <w:i/>
          <w:lang w:val="en-GB"/>
        </w:rPr>
        <w:t>et al.</w:t>
      </w:r>
      <w:r>
        <w:rPr>
          <w:rStyle w:val="s1"/>
          <w:rFonts w:ascii="Arial" w:hAnsi="Arial" w:cs="Arial"/>
          <w:lang w:val="en-GB"/>
        </w:rPr>
        <w:t xml:space="preserve">, 2013; Dos Santos </w:t>
      </w:r>
      <w:r w:rsidRPr="00A7058C">
        <w:rPr>
          <w:rStyle w:val="s1"/>
          <w:rFonts w:ascii="Arial" w:hAnsi="Arial" w:cs="Arial"/>
          <w:i/>
          <w:lang w:val="en-GB"/>
        </w:rPr>
        <w:t>et al.</w:t>
      </w:r>
      <w:r>
        <w:rPr>
          <w:rStyle w:val="s1"/>
          <w:rFonts w:ascii="Arial" w:hAnsi="Arial" w:cs="Arial"/>
          <w:lang w:val="en-GB"/>
        </w:rPr>
        <w:t xml:space="preserve">, 2025; Perroni </w:t>
      </w:r>
      <w:r w:rsidRPr="00A7058C">
        <w:rPr>
          <w:rStyle w:val="s1"/>
          <w:rFonts w:ascii="Arial" w:hAnsi="Arial" w:cs="Arial"/>
          <w:i/>
          <w:lang w:val="en-GB"/>
        </w:rPr>
        <w:t>et al.</w:t>
      </w:r>
      <w:r>
        <w:rPr>
          <w:rStyle w:val="s1"/>
          <w:rFonts w:ascii="Arial" w:hAnsi="Arial" w:cs="Arial"/>
          <w:lang w:val="en-GB"/>
        </w:rPr>
        <w:t>, 2015; 2009). Therefore, lab-based VO</w:t>
      </w:r>
      <w:r>
        <w:rPr>
          <w:rStyle w:val="s1"/>
          <w:rFonts w:ascii="Cambria Math" w:hAnsi="Cambria Math" w:cs="Cambria Math"/>
          <w:lang w:val="en-GB"/>
        </w:rPr>
        <w:t>₂</w:t>
      </w:r>
      <w:r>
        <w:rPr>
          <w:rStyle w:val="s1"/>
          <w:rFonts w:ascii="Arial" w:hAnsi="Arial" w:cs="Arial"/>
          <w:lang w:val="en-GB"/>
        </w:rPr>
        <w:t xml:space="preserve">max thresholds should be interpreted in context of added stressors (Elsner and Kolkhorst, 2008; Ensari </w:t>
      </w:r>
      <w:r w:rsidRPr="00A7058C">
        <w:rPr>
          <w:rStyle w:val="s1"/>
          <w:rFonts w:ascii="Arial" w:hAnsi="Arial" w:cs="Arial"/>
          <w:i/>
          <w:lang w:val="en-GB"/>
        </w:rPr>
        <w:t>et al.</w:t>
      </w:r>
      <w:r>
        <w:rPr>
          <w:rStyle w:val="s1"/>
          <w:rFonts w:ascii="Arial" w:hAnsi="Arial" w:cs="Arial"/>
          <w:lang w:val="en-GB"/>
        </w:rPr>
        <w:t xml:space="preserve">, 2017; Dos Santos </w:t>
      </w:r>
      <w:r w:rsidRPr="00A7058C">
        <w:rPr>
          <w:rStyle w:val="s1"/>
          <w:rFonts w:ascii="Arial" w:hAnsi="Arial" w:cs="Arial"/>
          <w:i/>
          <w:lang w:val="en-GB"/>
        </w:rPr>
        <w:t>et al.</w:t>
      </w:r>
      <w:r>
        <w:rPr>
          <w:rStyle w:val="s1"/>
          <w:rFonts w:ascii="Arial" w:hAnsi="Arial" w:cs="Arial"/>
          <w:lang w:val="en-GB"/>
        </w:rPr>
        <w:t>, 2025), while HR monitoring remains practical, but context-dependent marker of physiological strain in field testing.</w:t>
      </w:r>
    </w:p>
    <w:p w14:paraId="60FBC51C" w14:textId="77777777" w:rsidR="00313C12" w:rsidRDefault="00313C12" w:rsidP="00825C6A">
      <w:pPr>
        <w:pStyle w:val="p1"/>
        <w:spacing w:line="360" w:lineRule="auto"/>
        <w:rPr>
          <w:rFonts w:ascii="Arial" w:hAnsi="Arial" w:cs="Arial"/>
          <w:lang w:val="en-GB"/>
        </w:rPr>
      </w:pPr>
    </w:p>
    <w:p w14:paraId="606DD3AF" w14:textId="286CFCEB" w:rsidR="00C51A2D" w:rsidRPr="00BE222B" w:rsidRDefault="000C672E" w:rsidP="00825C6A">
      <w:pPr>
        <w:pStyle w:val="Heading2"/>
        <w:spacing w:line="360" w:lineRule="auto"/>
        <w:rPr>
          <w:rStyle w:val="s1"/>
          <w:rFonts w:ascii="Arial" w:hAnsi="Arial" w:cs="Arial"/>
          <w:bCs/>
          <w:lang w:val="en-GB"/>
        </w:rPr>
      </w:pPr>
      <w:bookmarkStart w:id="21" w:name="_Toc228218267"/>
      <w:r>
        <w:rPr>
          <w:rStyle w:val="s1"/>
          <w:rFonts w:ascii="Arial" w:hAnsi="Arial" w:cs="Arial"/>
          <w:bCs/>
          <w:lang w:val="en-GB"/>
        </w:rPr>
        <w:t>2</w:t>
      </w:r>
      <w:r w:rsidR="00C51A2D" w:rsidRPr="00BE222B">
        <w:rPr>
          <w:rStyle w:val="s1"/>
          <w:rFonts w:ascii="Arial" w:hAnsi="Arial" w:cs="Arial"/>
          <w:bCs/>
          <w:lang w:val="en-GB"/>
        </w:rPr>
        <w:t>.3 Occupational exposures and cumulative physiological stress</w:t>
      </w:r>
      <w:bookmarkEnd w:id="21"/>
    </w:p>
    <w:p w14:paraId="7E49D287" w14:textId="77777777" w:rsidR="00313C12" w:rsidRDefault="00313C12" w:rsidP="00825C6A">
      <w:pPr>
        <w:pStyle w:val="p1"/>
        <w:spacing w:line="360" w:lineRule="auto"/>
        <w:rPr>
          <w:rFonts w:ascii="Arial" w:hAnsi="Arial" w:cs="Arial"/>
          <w:b/>
          <w:lang w:val="en-GB"/>
        </w:rPr>
      </w:pPr>
    </w:p>
    <w:p w14:paraId="705EBE3B" w14:textId="443772D1" w:rsidR="00C51A2D" w:rsidRDefault="00C51A2D" w:rsidP="00825C6A">
      <w:pPr>
        <w:pStyle w:val="p1"/>
        <w:spacing w:line="360" w:lineRule="auto"/>
        <w:rPr>
          <w:rFonts w:ascii="Arial" w:hAnsi="Arial" w:cs="Arial"/>
          <w:lang w:val="en-GB"/>
        </w:rPr>
      </w:pPr>
      <w:r>
        <w:rPr>
          <w:rStyle w:val="s1"/>
          <w:rFonts w:ascii="Arial" w:hAnsi="Arial" w:cs="Arial"/>
          <w:lang w:val="en-GB"/>
        </w:rPr>
        <w:t>Beyond physical demands, FFs face occupational stressors that impose oxidative</w:t>
      </w:r>
      <w:r w:rsidR="00284DD4">
        <w:rPr>
          <w:rStyle w:val="s1"/>
          <w:rFonts w:ascii="Arial" w:hAnsi="Arial" w:cs="Arial"/>
          <w:lang w:val="en-GB"/>
        </w:rPr>
        <w:t>,</w:t>
      </w:r>
      <w:r>
        <w:rPr>
          <w:rStyle w:val="s1"/>
          <w:rFonts w:ascii="Arial" w:hAnsi="Arial" w:cs="Arial"/>
          <w:lang w:val="en-GB"/>
        </w:rPr>
        <w:t xml:space="preserve"> </w:t>
      </w:r>
      <w:r w:rsidR="00BB46C1">
        <w:rPr>
          <w:rStyle w:val="s1"/>
          <w:rFonts w:ascii="Arial" w:hAnsi="Arial" w:cs="Arial"/>
          <w:lang w:val="en-GB"/>
        </w:rPr>
        <w:t xml:space="preserve"> </w:t>
      </w:r>
      <w:r>
        <w:rPr>
          <w:rStyle w:val="s1"/>
          <w:rFonts w:ascii="Arial" w:hAnsi="Arial" w:cs="Arial"/>
          <w:lang w:val="en-GB"/>
        </w:rPr>
        <w:t xml:space="preserve">inflammatory and cumulative physiological strain (Smith </w:t>
      </w:r>
      <w:r w:rsidRPr="00A7058C">
        <w:rPr>
          <w:rStyle w:val="s1"/>
          <w:rFonts w:ascii="Arial" w:hAnsi="Arial" w:cs="Arial"/>
          <w:i/>
          <w:lang w:val="en-GB"/>
        </w:rPr>
        <w:t>et al.</w:t>
      </w:r>
      <w:r>
        <w:rPr>
          <w:rStyle w:val="s1"/>
          <w:rFonts w:ascii="Arial" w:hAnsi="Arial" w:cs="Arial"/>
          <w:lang w:val="en-GB"/>
        </w:rPr>
        <w:t xml:space="preserve">, 2011; Choudhury </w:t>
      </w:r>
      <w:r w:rsidRPr="00A7058C">
        <w:rPr>
          <w:rStyle w:val="s1"/>
          <w:rFonts w:ascii="Arial" w:hAnsi="Arial" w:cs="Arial"/>
          <w:i/>
          <w:lang w:val="en-GB"/>
        </w:rPr>
        <w:t>et al.</w:t>
      </w:r>
      <w:r>
        <w:rPr>
          <w:rStyle w:val="s1"/>
          <w:rFonts w:ascii="Arial" w:hAnsi="Arial" w:cs="Arial"/>
          <w:lang w:val="en-GB"/>
        </w:rPr>
        <w:t xml:space="preserve">, 2025; Gonzalez </w:t>
      </w:r>
      <w:r w:rsidRPr="00A7058C">
        <w:rPr>
          <w:rStyle w:val="s1"/>
          <w:rFonts w:ascii="Arial" w:hAnsi="Arial" w:cs="Arial"/>
          <w:i/>
          <w:lang w:val="en-GB"/>
        </w:rPr>
        <w:t>et al.</w:t>
      </w:r>
      <w:r>
        <w:rPr>
          <w:rStyle w:val="s1"/>
          <w:rFonts w:ascii="Arial" w:hAnsi="Arial" w:cs="Arial"/>
          <w:lang w:val="en-GB"/>
        </w:rPr>
        <w:t xml:space="preserve">, 2024). </w:t>
      </w:r>
    </w:p>
    <w:p w14:paraId="2595A80F" w14:textId="77777777" w:rsidR="00C51A2D" w:rsidRDefault="00C51A2D" w:rsidP="00825C6A">
      <w:pPr>
        <w:pStyle w:val="p1"/>
        <w:spacing w:line="360" w:lineRule="auto"/>
        <w:rPr>
          <w:rStyle w:val="s1"/>
          <w:rFonts w:ascii="Arial" w:hAnsi="Arial" w:cs="Arial"/>
          <w:b/>
          <w:bCs/>
          <w:lang w:val="en-GB"/>
        </w:rPr>
      </w:pPr>
    </w:p>
    <w:p w14:paraId="7DB4DF95" w14:textId="521FBB49" w:rsidR="00C51A2D" w:rsidRPr="00BE222B" w:rsidRDefault="000C672E" w:rsidP="00825C6A">
      <w:pPr>
        <w:pStyle w:val="Heading3"/>
        <w:spacing w:line="360" w:lineRule="auto"/>
        <w:rPr>
          <w:rStyle w:val="s1"/>
          <w:rFonts w:ascii="Arial" w:hAnsi="Arial" w:cs="Arial"/>
          <w:lang w:val="en-GB"/>
        </w:rPr>
      </w:pPr>
      <w:bookmarkStart w:id="22" w:name="_Toc228218268"/>
      <w:r>
        <w:rPr>
          <w:rStyle w:val="s1"/>
          <w:rFonts w:ascii="Arial" w:hAnsi="Arial" w:cs="Arial"/>
          <w:lang w:val="en-GB"/>
        </w:rPr>
        <w:t>2</w:t>
      </w:r>
      <w:r w:rsidR="00C51A2D" w:rsidRPr="00BE222B">
        <w:rPr>
          <w:rStyle w:val="s1"/>
          <w:rFonts w:ascii="Arial" w:hAnsi="Arial" w:cs="Arial"/>
          <w:lang w:val="en-GB"/>
        </w:rPr>
        <w:t>.3.1 Heat exposures</w:t>
      </w:r>
      <w:bookmarkEnd w:id="22"/>
    </w:p>
    <w:p w14:paraId="458115EF" w14:textId="77777777" w:rsidR="00AC4415" w:rsidRDefault="00AC4415" w:rsidP="00825C6A">
      <w:pPr>
        <w:pStyle w:val="p1"/>
        <w:spacing w:line="360" w:lineRule="auto"/>
        <w:rPr>
          <w:rFonts w:ascii="Arial" w:hAnsi="Arial" w:cs="Arial"/>
          <w:b/>
          <w:bCs/>
          <w:lang w:val="en-GB"/>
        </w:rPr>
      </w:pPr>
    </w:p>
    <w:p w14:paraId="3E665061" w14:textId="48551583" w:rsidR="00AC4415" w:rsidRDefault="00C51A2D" w:rsidP="00825C6A">
      <w:pPr>
        <w:pStyle w:val="p1"/>
        <w:spacing w:line="360" w:lineRule="auto"/>
        <w:rPr>
          <w:rFonts w:ascii="Arial" w:hAnsi="Arial" w:cs="Arial"/>
          <w:lang w:val="en-GB"/>
        </w:rPr>
      </w:pPr>
      <w:r>
        <w:rPr>
          <w:rStyle w:val="s1"/>
          <w:rFonts w:ascii="Arial" w:hAnsi="Arial" w:cs="Arial"/>
          <w:lang w:val="en-GB"/>
        </w:rPr>
        <w:t xml:space="preserve">High ambient temperatures, insulated PPE, and repeated work bouts elevate core temperature and HR, while dehydration may further increase cardiac strain, systemic inflammation (SI), and impair performance (Smith and Petruzzello, 1998; Horn </w:t>
      </w:r>
      <w:r w:rsidRPr="00A7058C">
        <w:rPr>
          <w:rStyle w:val="s1"/>
          <w:rFonts w:ascii="Arial" w:hAnsi="Arial" w:cs="Arial"/>
          <w:i/>
          <w:lang w:val="en-GB"/>
        </w:rPr>
        <w:t>et al.</w:t>
      </w:r>
      <w:r>
        <w:rPr>
          <w:rStyle w:val="s1"/>
          <w:rFonts w:ascii="Arial" w:hAnsi="Arial" w:cs="Arial"/>
          <w:lang w:val="en-GB"/>
        </w:rPr>
        <w:t xml:space="preserve">, 2013; Barr </w:t>
      </w:r>
      <w:r w:rsidRPr="00A7058C">
        <w:rPr>
          <w:rStyle w:val="s1"/>
          <w:rFonts w:ascii="Arial" w:hAnsi="Arial" w:cs="Arial"/>
          <w:i/>
          <w:lang w:val="en-GB"/>
        </w:rPr>
        <w:t>et al.</w:t>
      </w:r>
      <w:r>
        <w:rPr>
          <w:rStyle w:val="s1"/>
          <w:rFonts w:ascii="Arial" w:hAnsi="Arial" w:cs="Arial"/>
          <w:lang w:val="en-GB"/>
        </w:rPr>
        <w:t xml:space="preserve">, 2010; Fernhall </w:t>
      </w:r>
      <w:r w:rsidRPr="00A7058C">
        <w:rPr>
          <w:rStyle w:val="s1"/>
          <w:rFonts w:ascii="Arial" w:hAnsi="Arial" w:cs="Arial"/>
          <w:i/>
          <w:lang w:val="en-GB"/>
        </w:rPr>
        <w:t>et al.</w:t>
      </w:r>
      <w:r>
        <w:rPr>
          <w:rStyle w:val="s1"/>
          <w:rFonts w:ascii="Arial" w:hAnsi="Arial" w:cs="Arial"/>
          <w:lang w:val="en-GB"/>
        </w:rPr>
        <w:t xml:space="preserve">, 2012; Houser </w:t>
      </w:r>
      <w:r w:rsidRPr="00A7058C">
        <w:rPr>
          <w:rStyle w:val="s1"/>
          <w:rFonts w:ascii="Arial" w:hAnsi="Arial" w:cs="Arial"/>
          <w:i/>
          <w:lang w:val="en-GB"/>
        </w:rPr>
        <w:t>et al.</w:t>
      </w:r>
      <w:r>
        <w:rPr>
          <w:rStyle w:val="s1"/>
          <w:rFonts w:ascii="Arial" w:hAnsi="Arial" w:cs="Arial"/>
          <w:lang w:val="en-GB"/>
        </w:rPr>
        <w:t xml:space="preserve">, 2023). Repeated thermal loads report increases of ≤1.8°C in ≤20 min (Horn </w:t>
      </w:r>
      <w:r w:rsidRPr="00A7058C">
        <w:rPr>
          <w:rStyle w:val="s1"/>
          <w:rFonts w:ascii="Arial" w:hAnsi="Arial" w:cs="Arial"/>
          <w:i/>
          <w:lang w:val="en-GB"/>
        </w:rPr>
        <w:t>et al.</w:t>
      </w:r>
      <w:r>
        <w:rPr>
          <w:rStyle w:val="s1"/>
          <w:rFonts w:ascii="Arial" w:hAnsi="Arial" w:cs="Arial"/>
          <w:lang w:val="en-GB"/>
        </w:rPr>
        <w:t xml:space="preserve">, 2013), while 90% of FFs show </w:t>
      </w:r>
      <w:r>
        <w:rPr>
          <w:rStyle w:val="s1"/>
          <w:rFonts w:ascii="Arial" w:hAnsi="Arial" w:cs="Arial"/>
          <w:lang w:val="en-GB"/>
        </w:rPr>
        <w:lastRenderedPageBreak/>
        <w:t xml:space="preserve">dehydration, with 1.1% loss reported, although pre-test hydration was unknown (Holland-Winkler </w:t>
      </w:r>
      <w:r w:rsidRPr="00A7058C">
        <w:rPr>
          <w:rStyle w:val="s1"/>
          <w:rFonts w:ascii="Arial" w:hAnsi="Arial" w:cs="Arial"/>
          <w:i/>
          <w:lang w:val="en-GB"/>
        </w:rPr>
        <w:t>et al.</w:t>
      </w:r>
      <w:r>
        <w:rPr>
          <w:rStyle w:val="s1"/>
          <w:rFonts w:ascii="Arial" w:hAnsi="Arial" w:cs="Arial"/>
          <w:lang w:val="en-GB"/>
        </w:rPr>
        <w:t xml:space="preserve">, 2024; Suminski </w:t>
      </w:r>
      <w:r w:rsidRPr="00A7058C">
        <w:rPr>
          <w:rStyle w:val="s1"/>
          <w:rFonts w:ascii="Arial" w:hAnsi="Arial" w:cs="Arial"/>
          <w:i/>
          <w:lang w:val="en-GB"/>
        </w:rPr>
        <w:t>et al.</w:t>
      </w:r>
      <w:r>
        <w:rPr>
          <w:rStyle w:val="s1"/>
          <w:rFonts w:ascii="Arial" w:hAnsi="Arial" w:cs="Arial"/>
          <w:lang w:val="en-GB"/>
        </w:rPr>
        <w:t xml:space="preserve">, 2019; Fernhall </w:t>
      </w:r>
      <w:r w:rsidRPr="00A7058C">
        <w:rPr>
          <w:rStyle w:val="s1"/>
          <w:rFonts w:ascii="Arial" w:hAnsi="Arial" w:cs="Arial"/>
          <w:i/>
          <w:lang w:val="en-GB"/>
        </w:rPr>
        <w:t>et al.</w:t>
      </w:r>
      <w:r>
        <w:rPr>
          <w:rStyle w:val="s1"/>
          <w:rFonts w:ascii="Arial" w:hAnsi="Arial" w:cs="Arial"/>
          <w:lang w:val="en-GB"/>
        </w:rPr>
        <w:t xml:space="preserve">, 2012) (Table </w:t>
      </w:r>
      <w:r w:rsidR="00722280">
        <w:rPr>
          <w:rStyle w:val="s1"/>
          <w:rFonts w:ascii="Arial" w:hAnsi="Arial" w:cs="Arial"/>
          <w:lang w:val="en-GB"/>
        </w:rPr>
        <w:t>2</w:t>
      </w:r>
      <w:r>
        <w:rPr>
          <w:rStyle w:val="s1"/>
          <w:rFonts w:ascii="Arial" w:hAnsi="Arial" w:cs="Arial"/>
          <w:lang w:val="en-GB"/>
        </w:rPr>
        <w:t>.1).</w:t>
      </w:r>
    </w:p>
    <w:p w14:paraId="04916672" w14:textId="2D447A82" w:rsidR="00AC4415" w:rsidRDefault="00C51A2D" w:rsidP="00825C6A">
      <w:pPr>
        <w:pStyle w:val="p1"/>
        <w:spacing w:line="360" w:lineRule="auto"/>
        <w:rPr>
          <w:rFonts w:ascii="Arial" w:hAnsi="Arial" w:cs="Arial"/>
          <w:lang w:val="en-GB"/>
        </w:rPr>
      </w:pPr>
      <w:r>
        <w:rPr>
          <w:rStyle w:val="s1"/>
          <w:rFonts w:ascii="Arial" w:hAnsi="Arial" w:cs="Arial"/>
          <w:lang w:val="en-GB"/>
        </w:rPr>
        <w:t xml:space="preserve">FF-specific studies show reduced cardiac efficiency, including reduced arterial compliance, altered ventricular filling, and increased arterial stiffness, BP, and haemodynamic disturbance (Fernhall </w:t>
      </w:r>
      <w:r w:rsidRPr="00A7058C">
        <w:rPr>
          <w:rStyle w:val="s1"/>
          <w:rFonts w:ascii="Arial" w:hAnsi="Arial" w:cs="Arial"/>
          <w:i/>
          <w:lang w:val="en-GB"/>
        </w:rPr>
        <w:t>et al.</w:t>
      </w:r>
      <w:r>
        <w:rPr>
          <w:rStyle w:val="s1"/>
          <w:rFonts w:ascii="Arial" w:hAnsi="Arial" w:cs="Arial"/>
          <w:lang w:val="en-GB"/>
        </w:rPr>
        <w:t xml:space="preserve">, 2012; Fahs </w:t>
      </w:r>
      <w:r w:rsidRPr="00A7058C">
        <w:rPr>
          <w:rStyle w:val="s1"/>
          <w:rFonts w:ascii="Arial" w:hAnsi="Arial" w:cs="Arial"/>
          <w:i/>
          <w:lang w:val="en-GB"/>
        </w:rPr>
        <w:t>et al.</w:t>
      </w:r>
      <w:r>
        <w:rPr>
          <w:rStyle w:val="s1"/>
          <w:rFonts w:ascii="Arial" w:hAnsi="Arial" w:cs="Arial"/>
          <w:lang w:val="en-GB"/>
        </w:rPr>
        <w:t xml:space="preserve">, 2011), although some peripheral pressure measures fell, suggesting a complex response driven by concurrent vasodilation, dehydration, and thermal strain (Fahs </w:t>
      </w:r>
      <w:r w:rsidRPr="00A7058C">
        <w:rPr>
          <w:rStyle w:val="s1"/>
          <w:rFonts w:ascii="Arial" w:hAnsi="Arial" w:cs="Arial"/>
          <w:i/>
          <w:lang w:val="en-GB"/>
        </w:rPr>
        <w:t>et al.</w:t>
      </w:r>
      <w:r>
        <w:rPr>
          <w:rStyle w:val="s1"/>
          <w:rFonts w:ascii="Arial" w:hAnsi="Arial" w:cs="Arial"/>
          <w:lang w:val="en-GB"/>
        </w:rPr>
        <w:t xml:space="preserve">, 2011). Together, studies provide mechanistic evidence that heat contributes to acute CV strain, although mainly short-term designs limit inference on longer-term clinical consequences and separation of heat from exertion and dehydration (Fahs </w:t>
      </w:r>
      <w:r w:rsidRPr="00A7058C">
        <w:rPr>
          <w:rStyle w:val="s1"/>
          <w:rFonts w:ascii="Arial" w:hAnsi="Arial" w:cs="Arial"/>
          <w:i/>
          <w:lang w:val="en-GB"/>
        </w:rPr>
        <w:t>et al.</w:t>
      </w:r>
      <w:r>
        <w:rPr>
          <w:rStyle w:val="s1"/>
          <w:rFonts w:ascii="Arial" w:hAnsi="Arial" w:cs="Arial"/>
          <w:lang w:val="en-GB"/>
        </w:rPr>
        <w:t xml:space="preserve">, 2011; Fernhall </w:t>
      </w:r>
      <w:r w:rsidRPr="00A7058C">
        <w:rPr>
          <w:rStyle w:val="s1"/>
          <w:rFonts w:ascii="Arial" w:hAnsi="Arial" w:cs="Arial"/>
          <w:i/>
          <w:lang w:val="en-GB"/>
        </w:rPr>
        <w:t>et al.</w:t>
      </w:r>
      <w:r>
        <w:rPr>
          <w:rStyle w:val="s1"/>
          <w:rFonts w:ascii="Arial" w:hAnsi="Arial" w:cs="Arial"/>
          <w:lang w:val="en-GB"/>
        </w:rPr>
        <w:t>, 2012).</w:t>
      </w:r>
    </w:p>
    <w:p w14:paraId="07BD94E8" w14:textId="5EEF2347" w:rsidR="000917D5" w:rsidRDefault="00C51A2D" w:rsidP="00825C6A">
      <w:pPr>
        <w:pStyle w:val="p1"/>
        <w:spacing w:line="360" w:lineRule="auto"/>
        <w:rPr>
          <w:rStyle w:val="s1"/>
          <w:rFonts w:ascii="Arial" w:hAnsi="Arial" w:cs="Arial"/>
          <w:lang w:val="en-GB"/>
        </w:rPr>
      </w:pPr>
      <w:r>
        <w:rPr>
          <w:rStyle w:val="s1"/>
          <w:rFonts w:ascii="Arial" w:hAnsi="Arial" w:cs="Arial"/>
          <w:lang w:val="en-GB"/>
        </w:rPr>
        <w:t xml:space="preserve">Heat exposure is also linked with inflammatory activation, including elevations in leukocytes, platelets, and cytokines such as IL-6, IL-8, IL-1β, TNF-α, and CRP, suggesting repetition may elevate SCE risk, although findings are not fully consistent across age groups and exposure contexts (Walker </w:t>
      </w:r>
      <w:r w:rsidRPr="00A7058C">
        <w:rPr>
          <w:rStyle w:val="s1"/>
          <w:rFonts w:ascii="Arial" w:hAnsi="Arial" w:cs="Arial"/>
          <w:i/>
          <w:lang w:val="en-GB"/>
        </w:rPr>
        <w:t>et al.</w:t>
      </w:r>
      <w:r>
        <w:rPr>
          <w:rStyle w:val="s1"/>
          <w:rFonts w:ascii="Arial" w:hAnsi="Arial" w:cs="Arial"/>
          <w:lang w:val="en-GB"/>
        </w:rPr>
        <w:t xml:space="preserve">, 2015; Wright-Beatty </w:t>
      </w:r>
      <w:r w:rsidRPr="00A7058C">
        <w:rPr>
          <w:rStyle w:val="s1"/>
          <w:rFonts w:ascii="Arial" w:hAnsi="Arial" w:cs="Arial"/>
          <w:i/>
          <w:lang w:val="en-GB"/>
        </w:rPr>
        <w:t>et al.</w:t>
      </w:r>
      <w:r>
        <w:rPr>
          <w:rStyle w:val="s1"/>
          <w:rFonts w:ascii="Arial" w:hAnsi="Arial" w:cs="Arial"/>
          <w:lang w:val="en-GB"/>
        </w:rPr>
        <w:t xml:space="preserve">, 2014; Watkins </w:t>
      </w:r>
      <w:r w:rsidRPr="00A7058C">
        <w:rPr>
          <w:rStyle w:val="s1"/>
          <w:rFonts w:ascii="Arial" w:hAnsi="Arial" w:cs="Arial"/>
          <w:i/>
          <w:lang w:val="en-GB"/>
        </w:rPr>
        <w:t>et al.</w:t>
      </w:r>
      <w:r>
        <w:rPr>
          <w:rStyle w:val="s1"/>
          <w:rFonts w:ascii="Arial" w:hAnsi="Arial" w:cs="Arial"/>
          <w:lang w:val="en-GB"/>
        </w:rPr>
        <w:t xml:space="preserve">, 2021; 2024). Evidence suggests ageing FFs show attenuated thermal responses, implying heat adaptation (Wright </w:t>
      </w:r>
      <w:r w:rsidRPr="00A7058C">
        <w:rPr>
          <w:rStyle w:val="s1"/>
          <w:rFonts w:ascii="Arial" w:hAnsi="Arial" w:cs="Arial"/>
          <w:i/>
          <w:lang w:val="en-GB"/>
        </w:rPr>
        <w:t>et al.</w:t>
      </w:r>
      <w:r>
        <w:rPr>
          <w:rStyle w:val="s1"/>
          <w:rFonts w:ascii="Arial" w:hAnsi="Arial" w:cs="Arial"/>
          <w:lang w:val="en-GB"/>
        </w:rPr>
        <w:t xml:space="preserve">, 2013; Wright-Beatty </w:t>
      </w:r>
      <w:r w:rsidRPr="00A7058C">
        <w:rPr>
          <w:rStyle w:val="s1"/>
          <w:rFonts w:ascii="Arial" w:hAnsi="Arial" w:cs="Arial"/>
          <w:i/>
          <w:lang w:val="en-GB"/>
        </w:rPr>
        <w:t>et al.</w:t>
      </w:r>
      <w:r>
        <w:rPr>
          <w:rStyle w:val="s1"/>
          <w:rFonts w:ascii="Arial" w:hAnsi="Arial" w:cs="Arial"/>
          <w:lang w:val="en-GB"/>
        </w:rPr>
        <w:t xml:space="preserve">, 2014), however, </w:t>
      </w:r>
      <w:r w:rsidR="004E04F4">
        <w:rPr>
          <w:rStyle w:val="s1"/>
          <w:rFonts w:ascii="Arial" w:hAnsi="Arial" w:cs="Arial"/>
          <w:lang w:val="en-GB"/>
        </w:rPr>
        <w:t>protective adaptation remains uncertain.</w:t>
      </w:r>
    </w:p>
    <w:p w14:paraId="74BA1DC7" w14:textId="77777777" w:rsidR="00AD1360" w:rsidRDefault="00AD1360" w:rsidP="00825C6A">
      <w:pPr>
        <w:spacing w:before="100" w:beforeAutospacing="1" w:after="100" w:afterAutospacing="1" w:line="360" w:lineRule="auto"/>
        <w:rPr>
          <w:rFonts w:ascii="Arial" w:hAnsi="Arial" w:cs="Arial"/>
          <w:b/>
          <w:bCs/>
          <w:kern w:val="0"/>
          <w:lang w:val="en-GB"/>
          <w14:ligatures w14:val="none"/>
        </w:rPr>
      </w:pPr>
    </w:p>
    <w:p w14:paraId="037FEF9D" w14:textId="67F30D3F" w:rsidR="004B0DAC" w:rsidRDefault="000C672E" w:rsidP="00825C6A">
      <w:pPr>
        <w:pStyle w:val="Heading3"/>
        <w:spacing w:line="360" w:lineRule="auto"/>
        <w:rPr>
          <w:lang w:val="en-GB"/>
        </w:rPr>
      </w:pPr>
      <w:bookmarkStart w:id="23" w:name="_Toc228218269"/>
      <w:r>
        <w:rPr>
          <w:lang w:val="en-GB"/>
        </w:rPr>
        <w:t>2</w:t>
      </w:r>
      <w:r w:rsidR="00C51A2D">
        <w:rPr>
          <w:lang w:val="en-GB"/>
        </w:rPr>
        <w:t>.3.2 Smoke and Toxins</w:t>
      </w:r>
      <w:bookmarkEnd w:id="23"/>
      <w:r w:rsidR="00C51A2D">
        <w:rPr>
          <w:lang w:val="en-GB"/>
        </w:rPr>
        <w:t xml:space="preserve"> </w:t>
      </w:r>
    </w:p>
    <w:p w14:paraId="4869CCB4" w14:textId="77777777" w:rsidR="00AD1360" w:rsidRDefault="00AD1360" w:rsidP="00825C6A">
      <w:pPr>
        <w:spacing w:before="100" w:beforeAutospacing="1" w:after="100" w:afterAutospacing="1" w:line="360" w:lineRule="auto"/>
        <w:rPr>
          <w:rFonts w:ascii="Arial" w:hAnsi="Arial" w:cs="Arial"/>
          <w:b/>
          <w:bCs/>
          <w:kern w:val="0"/>
          <w:lang w:val="en-GB"/>
          <w14:ligatures w14:val="none"/>
        </w:rPr>
      </w:pPr>
    </w:p>
    <w:p w14:paraId="25038CC6" w14:textId="42E08CA7" w:rsidR="00AC4415" w:rsidRDefault="00C51A2D" w:rsidP="00F65C6B">
      <w:pPr>
        <w:spacing w:before="100" w:beforeAutospacing="1" w:after="100" w:afterAutospacing="1" w:line="360" w:lineRule="auto"/>
        <w:rPr>
          <w:rFonts w:ascii="Arial" w:hAnsi="Arial" w:cs="Arial"/>
          <w:color w:val="000000"/>
          <w:lang w:val="en-GB"/>
        </w:rPr>
      </w:pPr>
      <w:r>
        <w:rPr>
          <w:rFonts w:ascii="Arial" w:hAnsi="Arial" w:cs="Arial"/>
          <w:color w:val="000000"/>
          <w:lang w:val="en-GB"/>
        </w:rPr>
        <w:t xml:space="preserve">FFs inhale and absorb hazardous compounds during fire suppression, </w:t>
      </w:r>
      <w:r>
        <w:rPr>
          <w:rFonts w:ascii="Arial" w:hAnsi="Arial" w:cs="Arial"/>
          <w:lang w:val="en-GB"/>
        </w:rPr>
        <w:t xml:space="preserve">associated with OXS, inflammatory biomarker elevation and prolonged recovery disruption </w:t>
      </w:r>
      <w:r>
        <w:rPr>
          <w:rFonts w:ascii="Arial" w:hAnsi="Arial" w:cs="Arial"/>
          <w:color w:val="000000"/>
          <w:lang w:val="en-GB"/>
        </w:rPr>
        <w:t xml:space="preserve">(Fent </w:t>
      </w:r>
      <w:r w:rsidRPr="00A7058C">
        <w:rPr>
          <w:rFonts w:ascii="Arial" w:hAnsi="Arial" w:cs="Arial"/>
          <w:i/>
          <w:color w:val="000000"/>
          <w:lang w:val="en-GB"/>
        </w:rPr>
        <w:t>et al.</w:t>
      </w:r>
      <w:r>
        <w:rPr>
          <w:rFonts w:ascii="Arial" w:hAnsi="Arial" w:cs="Arial"/>
          <w:color w:val="000000"/>
          <w:lang w:val="en-GB"/>
        </w:rPr>
        <w:t xml:space="preserve">, 2014: 2020; Baxter </w:t>
      </w:r>
      <w:r w:rsidRPr="00A7058C">
        <w:rPr>
          <w:rFonts w:ascii="Arial" w:hAnsi="Arial" w:cs="Arial"/>
          <w:i/>
          <w:color w:val="000000"/>
          <w:lang w:val="en-GB"/>
        </w:rPr>
        <w:t>et al.</w:t>
      </w:r>
      <w:r>
        <w:rPr>
          <w:rFonts w:ascii="Arial" w:hAnsi="Arial" w:cs="Arial"/>
          <w:color w:val="000000"/>
          <w:lang w:val="en-GB"/>
        </w:rPr>
        <w:t xml:space="preserve">, 2014; Engelsman </w:t>
      </w:r>
      <w:r w:rsidRPr="00A7058C">
        <w:rPr>
          <w:rFonts w:ascii="Arial" w:hAnsi="Arial" w:cs="Arial"/>
          <w:i/>
          <w:color w:val="000000"/>
          <w:lang w:val="en-GB"/>
        </w:rPr>
        <w:t>et al.</w:t>
      </w:r>
      <w:r>
        <w:rPr>
          <w:rFonts w:ascii="Arial" w:hAnsi="Arial" w:cs="Arial"/>
          <w:color w:val="000000"/>
          <w:lang w:val="en-GB"/>
        </w:rPr>
        <w:t xml:space="preserve">, 2020; Young </w:t>
      </w:r>
      <w:r w:rsidRPr="00A7058C">
        <w:rPr>
          <w:rFonts w:ascii="Arial" w:hAnsi="Arial" w:cs="Arial"/>
          <w:i/>
          <w:color w:val="000000"/>
          <w:lang w:val="en-GB"/>
        </w:rPr>
        <w:t>et al.</w:t>
      </w:r>
      <w:r>
        <w:rPr>
          <w:rFonts w:ascii="Arial" w:hAnsi="Arial" w:cs="Arial"/>
          <w:color w:val="000000"/>
          <w:lang w:val="en-GB"/>
        </w:rPr>
        <w:t xml:space="preserve">, 2021; Gonzalez </w:t>
      </w:r>
      <w:r w:rsidRPr="00A7058C">
        <w:rPr>
          <w:rFonts w:ascii="Arial" w:hAnsi="Arial" w:cs="Arial"/>
          <w:i/>
          <w:color w:val="000000"/>
          <w:lang w:val="en-GB"/>
        </w:rPr>
        <w:t>et al.</w:t>
      </w:r>
      <w:r>
        <w:rPr>
          <w:rFonts w:ascii="Arial" w:hAnsi="Arial" w:cs="Arial"/>
          <w:color w:val="000000"/>
          <w:lang w:val="en-GB"/>
        </w:rPr>
        <w:t xml:space="preserve">, </w:t>
      </w:r>
      <w:r w:rsidR="00D93BFC">
        <w:rPr>
          <w:rFonts w:ascii="Arial" w:hAnsi="Arial" w:cs="Arial"/>
          <w:color w:val="000000"/>
          <w:lang w:val="en-GB"/>
        </w:rPr>
        <w:t>2024</w:t>
      </w:r>
      <w:r>
        <w:rPr>
          <w:rFonts w:ascii="Arial" w:hAnsi="Arial" w:cs="Arial"/>
          <w:color w:val="000000"/>
          <w:lang w:val="en-GB"/>
        </w:rPr>
        <w:t>)</w:t>
      </w:r>
      <w:r>
        <w:rPr>
          <w:rFonts w:ascii="Arial" w:hAnsi="Arial" w:cs="Arial"/>
          <w:lang w:val="en-GB"/>
        </w:rPr>
        <w:t>. Toxicants activate redox-sensitive pathways, namely NF-κB and increase mediators including IL-6, TNF-α and CRP, cumulating inflammatory load (</w:t>
      </w:r>
      <w:r>
        <w:rPr>
          <w:rFonts w:ascii="Arial" w:hAnsi="Arial" w:cs="Arial"/>
          <w:color w:val="000000"/>
          <w:lang w:val="en-GB"/>
        </w:rPr>
        <w:t xml:space="preserve">Shukla </w:t>
      </w:r>
      <w:r w:rsidRPr="00A7058C">
        <w:rPr>
          <w:rFonts w:ascii="Arial" w:hAnsi="Arial" w:cs="Arial"/>
          <w:i/>
          <w:color w:val="000000"/>
          <w:lang w:val="en-GB"/>
        </w:rPr>
        <w:t>et al.</w:t>
      </w:r>
      <w:r>
        <w:rPr>
          <w:rFonts w:ascii="Arial" w:hAnsi="Arial" w:cs="Arial"/>
          <w:color w:val="000000"/>
          <w:lang w:val="en-GB"/>
        </w:rPr>
        <w:t xml:space="preserve">, 2000; Swiston </w:t>
      </w:r>
      <w:r w:rsidRPr="00A7058C">
        <w:rPr>
          <w:rFonts w:ascii="Arial" w:hAnsi="Arial" w:cs="Arial"/>
          <w:i/>
          <w:color w:val="000000"/>
          <w:lang w:val="en-GB"/>
        </w:rPr>
        <w:t>et al.</w:t>
      </w:r>
      <w:r>
        <w:rPr>
          <w:rFonts w:ascii="Arial" w:hAnsi="Arial" w:cs="Arial"/>
          <w:color w:val="000000"/>
          <w:lang w:val="en-GB"/>
        </w:rPr>
        <w:t xml:space="preserve">, 2008; Adetona </w:t>
      </w:r>
      <w:r w:rsidRPr="00A7058C">
        <w:rPr>
          <w:rFonts w:ascii="Arial" w:hAnsi="Arial" w:cs="Arial"/>
          <w:i/>
          <w:color w:val="000000"/>
          <w:lang w:val="en-GB"/>
        </w:rPr>
        <w:t>et al.</w:t>
      </w:r>
      <w:r>
        <w:rPr>
          <w:rFonts w:ascii="Arial" w:hAnsi="Arial" w:cs="Arial"/>
          <w:color w:val="000000"/>
          <w:lang w:val="en-GB"/>
        </w:rPr>
        <w:t xml:space="preserve">, 2013; 2016; Wang </w:t>
      </w:r>
      <w:r w:rsidRPr="00A7058C">
        <w:rPr>
          <w:rFonts w:ascii="Arial" w:hAnsi="Arial" w:cs="Arial"/>
          <w:i/>
          <w:color w:val="000000"/>
          <w:lang w:val="en-GB"/>
        </w:rPr>
        <w:t>et al.</w:t>
      </w:r>
      <w:r>
        <w:rPr>
          <w:rFonts w:ascii="Arial" w:hAnsi="Arial" w:cs="Arial"/>
          <w:color w:val="000000"/>
          <w:lang w:val="en-GB"/>
        </w:rPr>
        <w:t xml:space="preserve">, 2017; Frumento and Tãlu, 2024; Ha </w:t>
      </w:r>
      <w:r w:rsidRPr="00A7058C">
        <w:rPr>
          <w:rFonts w:ascii="Arial" w:hAnsi="Arial" w:cs="Arial"/>
          <w:i/>
          <w:color w:val="000000"/>
          <w:lang w:val="en-GB"/>
        </w:rPr>
        <w:t>et al.</w:t>
      </w:r>
      <w:r>
        <w:rPr>
          <w:rFonts w:ascii="Arial" w:hAnsi="Arial" w:cs="Arial"/>
          <w:color w:val="000000"/>
          <w:lang w:val="en-GB"/>
        </w:rPr>
        <w:t xml:space="preserve">, 2024; Cui </w:t>
      </w:r>
      <w:r w:rsidRPr="00A7058C">
        <w:rPr>
          <w:rFonts w:ascii="Arial" w:hAnsi="Arial" w:cs="Arial"/>
          <w:i/>
          <w:color w:val="000000"/>
          <w:lang w:val="en-GB"/>
        </w:rPr>
        <w:t>et al.</w:t>
      </w:r>
      <w:r>
        <w:rPr>
          <w:rFonts w:ascii="Arial" w:hAnsi="Arial" w:cs="Arial"/>
          <w:color w:val="000000"/>
          <w:lang w:val="en-GB"/>
        </w:rPr>
        <w:t>, 2025)</w:t>
      </w:r>
    </w:p>
    <w:p w14:paraId="5678E5A1" w14:textId="77777777" w:rsidR="00F65C6B" w:rsidRPr="00F65C6B" w:rsidRDefault="00F65C6B" w:rsidP="00F65C6B">
      <w:pPr>
        <w:spacing w:before="100" w:beforeAutospacing="1" w:after="100" w:afterAutospacing="1" w:line="360" w:lineRule="auto"/>
        <w:rPr>
          <w:rFonts w:ascii="Arial" w:hAnsi="Arial" w:cs="Arial"/>
          <w:b/>
          <w:bCs/>
          <w:kern w:val="0"/>
          <w:lang w:val="en-GB"/>
          <w14:ligatures w14:val="none"/>
        </w:rPr>
      </w:pPr>
    </w:p>
    <w:p w14:paraId="6A744043" w14:textId="69B2BDCF" w:rsidR="00AC4415" w:rsidRDefault="00C51A2D" w:rsidP="00825C6A">
      <w:pPr>
        <w:pStyle w:val="p1"/>
        <w:spacing w:line="360" w:lineRule="auto"/>
        <w:rPr>
          <w:rFonts w:ascii="Arial" w:hAnsi="Arial" w:cs="Arial"/>
          <w:color w:val="000000"/>
          <w:lang w:val="en-GB"/>
        </w:rPr>
      </w:pPr>
      <w:r>
        <w:rPr>
          <w:rFonts w:ascii="Arial" w:hAnsi="Arial" w:cs="Arial"/>
          <w:lang w:val="en-GB"/>
        </w:rPr>
        <w:t xml:space="preserve">Observational and biomonitoring shows increased inflammatory markers 8-oxo-dG and 8-isoprostane following fires, </w:t>
      </w:r>
      <w:r>
        <w:rPr>
          <w:rFonts w:ascii="Arial" w:hAnsi="Arial" w:cs="Arial"/>
          <w:color w:val="000000"/>
          <w:lang w:val="en-GB"/>
        </w:rPr>
        <w:t xml:space="preserve">extending into recovery and appearing greater with longer service duration, supporting interpretation of AL  (Swiston </w:t>
      </w:r>
      <w:r w:rsidRPr="00A7058C">
        <w:rPr>
          <w:rFonts w:ascii="Arial" w:hAnsi="Arial" w:cs="Arial"/>
          <w:i/>
          <w:color w:val="000000"/>
          <w:lang w:val="en-GB"/>
        </w:rPr>
        <w:t>et al.</w:t>
      </w:r>
      <w:r>
        <w:rPr>
          <w:rFonts w:ascii="Arial" w:hAnsi="Arial" w:cs="Arial"/>
          <w:color w:val="000000"/>
          <w:lang w:val="en-GB"/>
        </w:rPr>
        <w:t xml:space="preserve">, 2008; Adetona </w:t>
      </w:r>
      <w:r w:rsidRPr="00A7058C">
        <w:rPr>
          <w:rFonts w:ascii="Arial" w:hAnsi="Arial" w:cs="Arial"/>
          <w:i/>
          <w:color w:val="000000"/>
          <w:lang w:val="en-GB"/>
        </w:rPr>
        <w:t>et al.</w:t>
      </w:r>
      <w:r>
        <w:rPr>
          <w:rFonts w:ascii="Arial" w:hAnsi="Arial" w:cs="Arial"/>
          <w:color w:val="000000"/>
          <w:lang w:val="en-GB"/>
        </w:rPr>
        <w:t xml:space="preserve">, 2013; Gaughan </w:t>
      </w:r>
      <w:r w:rsidRPr="00A7058C">
        <w:rPr>
          <w:rFonts w:ascii="Arial" w:hAnsi="Arial" w:cs="Arial"/>
          <w:i/>
          <w:color w:val="000000"/>
          <w:lang w:val="en-GB"/>
        </w:rPr>
        <w:t>et al.</w:t>
      </w:r>
      <w:r>
        <w:rPr>
          <w:rFonts w:ascii="Arial" w:hAnsi="Arial" w:cs="Arial"/>
          <w:color w:val="000000"/>
          <w:lang w:val="en-GB"/>
        </w:rPr>
        <w:t>, 2014</w:t>
      </w:r>
      <w:r w:rsidR="00AD7E9F">
        <w:rPr>
          <w:rFonts w:ascii="Arial" w:hAnsi="Arial" w:cs="Arial"/>
          <w:color w:val="000000"/>
          <w:lang w:val="en-GB"/>
        </w:rPr>
        <w:t>b</w:t>
      </w:r>
      <w:r>
        <w:rPr>
          <w:rFonts w:ascii="Arial" w:hAnsi="Arial" w:cs="Arial"/>
          <w:color w:val="000000"/>
          <w:lang w:val="en-GB"/>
        </w:rPr>
        <w:t xml:space="preserve">; Smith </w:t>
      </w:r>
      <w:r w:rsidRPr="00A7058C">
        <w:rPr>
          <w:rFonts w:ascii="Arial" w:hAnsi="Arial" w:cs="Arial"/>
          <w:i/>
          <w:color w:val="000000"/>
          <w:lang w:val="en-GB"/>
        </w:rPr>
        <w:t>et al.</w:t>
      </w:r>
      <w:r>
        <w:rPr>
          <w:rFonts w:ascii="Arial" w:hAnsi="Arial" w:cs="Arial"/>
          <w:color w:val="000000"/>
          <w:lang w:val="en-GB"/>
        </w:rPr>
        <w:t xml:space="preserve">, 2019; Main </w:t>
      </w:r>
      <w:r w:rsidRPr="00A7058C">
        <w:rPr>
          <w:rFonts w:ascii="Arial" w:hAnsi="Arial" w:cs="Arial"/>
          <w:i/>
          <w:color w:val="000000"/>
          <w:lang w:val="en-GB"/>
        </w:rPr>
        <w:t>et al.</w:t>
      </w:r>
      <w:r>
        <w:rPr>
          <w:rFonts w:ascii="Arial" w:hAnsi="Arial" w:cs="Arial"/>
          <w:color w:val="000000"/>
          <w:lang w:val="en-GB"/>
        </w:rPr>
        <w:t xml:space="preserve">, 2020; Navarro </w:t>
      </w:r>
      <w:r w:rsidRPr="00A7058C">
        <w:rPr>
          <w:rFonts w:ascii="Arial" w:hAnsi="Arial" w:cs="Arial"/>
          <w:i/>
          <w:color w:val="000000"/>
          <w:lang w:val="en-GB"/>
        </w:rPr>
        <w:t>et al.</w:t>
      </w:r>
      <w:r>
        <w:rPr>
          <w:rFonts w:ascii="Arial" w:hAnsi="Arial" w:cs="Arial"/>
          <w:color w:val="000000"/>
          <w:lang w:val="en-GB"/>
        </w:rPr>
        <w:t xml:space="preserve">, 2022; Richardson </w:t>
      </w:r>
      <w:r w:rsidRPr="00A7058C">
        <w:rPr>
          <w:rFonts w:ascii="Arial" w:hAnsi="Arial" w:cs="Arial"/>
          <w:i/>
          <w:color w:val="000000"/>
          <w:lang w:val="en-GB"/>
        </w:rPr>
        <w:t>et al.</w:t>
      </w:r>
      <w:r>
        <w:rPr>
          <w:rFonts w:ascii="Arial" w:hAnsi="Arial" w:cs="Arial"/>
          <w:color w:val="000000"/>
          <w:lang w:val="en-GB"/>
        </w:rPr>
        <w:t xml:space="preserve">, 2023a) (Table </w:t>
      </w:r>
      <w:r w:rsidR="000B54A9">
        <w:rPr>
          <w:rFonts w:ascii="Arial" w:hAnsi="Arial" w:cs="Arial"/>
          <w:color w:val="000000"/>
          <w:lang w:val="en-GB"/>
        </w:rPr>
        <w:t>2</w:t>
      </w:r>
      <w:r>
        <w:rPr>
          <w:rFonts w:ascii="Arial" w:hAnsi="Arial" w:cs="Arial"/>
          <w:color w:val="000000"/>
          <w:lang w:val="en-GB"/>
        </w:rPr>
        <w:t xml:space="preserve">.1). </w:t>
      </w:r>
      <w:r>
        <w:rPr>
          <w:rFonts w:ascii="Arial" w:hAnsi="Arial" w:cs="Arial"/>
          <w:lang w:val="en-GB"/>
        </w:rPr>
        <w:t xml:space="preserve">However, </w:t>
      </w:r>
      <w:r w:rsidR="00275D67">
        <w:rPr>
          <w:rFonts w:ascii="Arial" w:hAnsi="Arial" w:cs="Arial"/>
          <w:lang w:val="en-GB"/>
        </w:rPr>
        <w:t>interpretation</w:t>
      </w:r>
      <w:r w:rsidR="000151C1">
        <w:rPr>
          <w:rFonts w:ascii="Arial" w:hAnsi="Arial" w:cs="Arial"/>
          <w:lang w:val="en-GB"/>
        </w:rPr>
        <w:t xml:space="preserve"> is limited by variability in </w:t>
      </w:r>
      <w:r>
        <w:rPr>
          <w:rFonts w:ascii="Arial" w:hAnsi="Arial" w:cs="Arial"/>
          <w:color w:val="000000"/>
          <w:lang w:val="en-GB"/>
        </w:rPr>
        <w:t xml:space="preserve">PPE use, task intensity and sampling timing, </w:t>
      </w:r>
      <w:r w:rsidR="00616FC7">
        <w:rPr>
          <w:rFonts w:ascii="Arial" w:hAnsi="Arial" w:cs="Arial"/>
          <w:color w:val="000000"/>
          <w:lang w:val="en-GB"/>
        </w:rPr>
        <w:t xml:space="preserve">as </w:t>
      </w:r>
      <w:r>
        <w:rPr>
          <w:rFonts w:ascii="Arial" w:hAnsi="Arial" w:cs="Arial"/>
          <w:color w:val="000000"/>
          <w:lang w:val="en-GB"/>
        </w:rPr>
        <w:t xml:space="preserve">respiratory protection is inconsistent (Domitrovich </w:t>
      </w:r>
      <w:r w:rsidRPr="00A7058C">
        <w:rPr>
          <w:rFonts w:ascii="Arial" w:hAnsi="Arial" w:cs="Arial"/>
          <w:i/>
          <w:color w:val="000000"/>
          <w:lang w:val="en-GB"/>
        </w:rPr>
        <w:t>et al.</w:t>
      </w:r>
      <w:r>
        <w:rPr>
          <w:rFonts w:ascii="Arial" w:hAnsi="Arial" w:cs="Arial"/>
          <w:color w:val="000000"/>
          <w:lang w:val="en-GB"/>
        </w:rPr>
        <w:t xml:space="preserve">, 2017; Navarro </w:t>
      </w:r>
      <w:r w:rsidRPr="00A7058C">
        <w:rPr>
          <w:rFonts w:ascii="Arial" w:hAnsi="Arial" w:cs="Arial"/>
          <w:i/>
          <w:color w:val="000000"/>
          <w:lang w:val="en-GB"/>
        </w:rPr>
        <w:t>et al.</w:t>
      </w:r>
      <w:r>
        <w:rPr>
          <w:rFonts w:ascii="Arial" w:hAnsi="Arial" w:cs="Arial"/>
          <w:color w:val="000000"/>
          <w:lang w:val="en-GB"/>
        </w:rPr>
        <w:t xml:space="preserve">, 2022). PPE does not fully prevent absorption, potentially being a secondary exposure source itself, while increased </w:t>
      </w:r>
      <w:r w:rsidR="006A1934">
        <w:rPr>
          <w:rFonts w:ascii="Arial" w:hAnsi="Arial" w:cs="Arial"/>
          <w:color w:val="000000"/>
          <w:lang w:val="en-GB"/>
        </w:rPr>
        <w:t xml:space="preserve">effort </w:t>
      </w:r>
      <w:r>
        <w:rPr>
          <w:rFonts w:ascii="Arial" w:hAnsi="Arial" w:cs="Arial"/>
          <w:color w:val="000000"/>
          <w:lang w:val="en-GB"/>
        </w:rPr>
        <w:t>ventilation</w:t>
      </w:r>
      <w:r w:rsidR="006A1934">
        <w:rPr>
          <w:rFonts w:ascii="Arial" w:hAnsi="Arial" w:cs="Arial"/>
          <w:color w:val="000000"/>
          <w:lang w:val="en-GB"/>
        </w:rPr>
        <w:t xml:space="preserve"> </w:t>
      </w:r>
      <w:r>
        <w:rPr>
          <w:rFonts w:ascii="Arial" w:hAnsi="Arial" w:cs="Arial"/>
          <w:color w:val="000000"/>
          <w:lang w:val="en-GB"/>
        </w:rPr>
        <w:t>may increase inhal</w:t>
      </w:r>
      <w:r w:rsidR="006A1934">
        <w:rPr>
          <w:rFonts w:ascii="Arial" w:hAnsi="Arial" w:cs="Arial"/>
          <w:color w:val="000000"/>
          <w:lang w:val="en-GB"/>
        </w:rPr>
        <w:t>ation</w:t>
      </w:r>
      <w:r>
        <w:rPr>
          <w:rFonts w:ascii="Arial" w:hAnsi="Arial" w:cs="Arial"/>
          <w:color w:val="000000"/>
          <w:lang w:val="en-GB"/>
        </w:rPr>
        <w:t xml:space="preserve"> (Fent </w:t>
      </w:r>
      <w:r w:rsidRPr="00A7058C">
        <w:rPr>
          <w:rFonts w:ascii="Arial" w:hAnsi="Arial" w:cs="Arial"/>
          <w:i/>
          <w:color w:val="000000"/>
          <w:lang w:val="en-GB"/>
        </w:rPr>
        <w:t>et al.</w:t>
      </w:r>
      <w:r>
        <w:rPr>
          <w:rFonts w:ascii="Arial" w:hAnsi="Arial" w:cs="Arial"/>
          <w:color w:val="000000"/>
          <w:lang w:val="en-GB"/>
        </w:rPr>
        <w:t xml:space="preserve">, 2020; Sousa </w:t>
      </w:r>
      <w:r w:rsidRPr="00A7058C">
        <w:rPr>
          <w:rFonts w:ascii="Arial" w:hAnsi="Arial" w:cs="Arial"/>
          <w:i/>
          <w:color w:val="000000"/>
          <w:lang w:val="en-GB"/>
        </w:rPr>
        <w:t>et al.</w:t>
      </w:r>
      <w:r>
        <w:rPr>
          <w:rFonts w:ascii="Arial" w:hAnsi="Arial" w:cs="Arial"/>
          <w:color w:val="000000"/>
          <w:lang w:val="en-GB"/>
        </w:rPr>
        <w:t xml:space="preserve">, 2022; Araviiskaia </w:t>
      </w:r>
      <w:r w:rsidRPr="00A7058C">
        <w:rPr>
          <w:rFonts w:ascii="Arial" w:hAnsi="Arial" w:cs="Arial"/>
          <w:i/>
          <w:color w:val="000000"/>
          <w:lang w:val="en-GB"/>
        </w:rPr>
        <w:t>et al.</w:t>
      </w:r>
      <w:r>
        <w:rPr>
          <w:rFonts w:ascii="Arial" w:hAnsi="Arial" w:cs="Arial"/>
          <w:color w:val="000000"/>
          <w:lang w:val="en-GB"/>
        </w:rPr>
        <w:t xml:space="preserve">, 2019; Gonzalez </w:t>
      </w:r>
      <w:r w:rsidRPr="00A7058C">
        <w:rPr>
          <w:rFonts w:ascii="Arial" w:hAnsi="Arial" w:cs="Arial"/>
          <w:i/>
          <w:color w:val="000000"/>
          <w:lang w:val="en-GB"/>
        </w:rPr>
        <w:t>et al.</w:t>
      </w:r>
      <w:r>
        <w:rPr>
          <w:rFonts w:ascii="Arial" w:hAnsi="Arial" w:cs="Arial"/>
          <w:color w:val="000000"/>
          <w:lang w:val="en-GB"/>
        </w:rPr>
        <w:t xml:space="preserve">, </w:t>
      </w:r>
      <w:r w:rsidR="00D65013">
        <w:rPr>
          <w:rFonts w:ascii="Arial" w:hAnsi="Arial" w:cs="Arial"/>
          <w:color w:val="000000"/>
          <w:lang w:val="en-GB"/>
        </w:rPr>
        <w:t>2024</w:t>
      </w:r>
      <w:r>
        <w:rPr>
          <w:rFonts w:ascii="Arial" w:hAnsi="Arial" w:cs="Arial"/>
          <w:color w:val="000000"/>
          <w:lang w:val="en-GB"/>
        </w:rPr>
        <w:t xml:space="preserve">). </w:t>
      </w:r>
    </w:p>
    <w:p w14:paraId="1CCED616" w14:textId="77777777" w:rsidR="00AC4415" w:rsidRDefault="00C51A2D" w:rsidP="00825C6A">
      <w:pPr>
        <w:pStyle w:val="p1"/>
        <w:spacing w:line="360" w:lineRule="auto"/>
        <w:rPr>
          <w:rFonts w:ascii="Arial" w:hAnsi="Arial" w:cs="Arial"/>
          <w:lang w:val="en-GB"/>
        </w:rPr>
      </w:pPr>
      <w:r>
        <w:rPr>
          <w:rFonts w:ascii="Arial" w:hAnsi="Arial" w:cs="Arial"/>
          <w:color w:val="000000"/>
          <w:lang w:val="en-GB"/>
        </w:rPr>
        <w:t xml:space="preserve">Firefighting has been classified as carcinogenic by the International Agency for Research on Cancer (IARC, 2010; Demers </w:t>
      </w:r>
      <w:r w:rsidRPr="00A7058C">
        <w:rPr>
          <w:rFonts w:ascii="Arial" w:hAnsi="Arial" w:cs="Arial"/>
          <w:i/>
          <w:color w:val="000000"/>
          <w:lang w:val="en-GB"/>
        </w:rPr>
        <w:t>et al.</w:t>
      </w:r>
      <w:r>
        <w:rPr>
          <w:rFonts w:ascii="Arial" w:hAnsi="Arial" w:cs="Arial"/>
          <w:color w:val="000000"/>
          <w:lang w:val="en-GB"/>
        </w:rPr>
        <w:t xml:space="preserve">, 2022; I.W.G., 2023; Barros </w:t>
      </w:r>
      <w:r w:rsidRPr="00A7058C">
        <w:rPr>
          <w:rFonts w:ascii="Arial" w:hAnsi="Arial" w:cs="Arial"/>
          <w:i/>
          <w:color w:val="000000"/>
          <w:lang w:val="en-GB"/>
        </w:rPr>
        <w:t>et al.</w:t>
      </w:r>
      <w:r>
        <w:rPr>
          <w:rFonts w:ascii="Arial" w:hAnsi="Arial" w:cs="Arial"/>
          <w:color w:val="000000"/>
          <w:lang w:val="en-GB"/>
        </w:rPr>
        <w:t>, 2023), and</w:t>
      </w:r>
      <w:r>
        <w:rPr>
          <w:rFonts w:ascii="Arial" w:hAnsi="Arial" w:cs="Arial"/>
          <w:lang w:val="en-GB"/>
        </w:rPr>
        <w:t xml:space="preserve"> evidence supports smoke as a plausible contributor to endothelial dysfunction, autonomic disturbance and elevated BP (Dockery, 2001; Smith </w:t>
      </w:r>
      <w:r w:rsidRPr="00A7058C">
        <w:rPr>
          <w:rFonts w:ascii="Arial" w:hAnsi="Arial" w:cs="Arial"/>
          <w:i/>
          <w:lang w:val="en-GB"/>
        </w:rPr>
        <w:t>et al.</w:t>
      </w:r>
      <w:r>
        <w:rPr>
          <w:rFonts w:ascii="Arial" w:hAnsi="Arial" w:cs="Arial"/>
          <w:lang w:val="en-GB"/>
        </w:rPr>
        <w:t xml:space="preserve">, 2013; Goldberg </w:t>
      </w:r>
      <w:r w:rsidRPr="00A7058C">
        <w:rPr>
          <w:rFonts w:ascii="Arial" w:hAnsi="Arial" w:cs="Arial"/>
          <w:i/>
          <w:lang w:val="en-GB"/>
        </w:rPr>
        <w:t>et al.</w:t>
      </w:r>
      <w:r>
        <w:rPr>
          <w:rFonts w:ascii="Arial" w:hAnsi="Arial" w:cs="Arial"/>
          <w:lang w:val="en-GB"/>
        </w:rPr>
        <w:t xml:space="preserve">, 2001; Mittleman, 2007; Simkhovich </w:t>
      </w:r>
      <w:r w:rsidRPr="00A7058C">
        <w:rPr>
          <w:rFonts w:ascii="Arial" w:hAnsi="Arial" w:cs="Arial"/>
          <w:i/>
          <w:lang w:val="en-GB"/>
        </w:rPr>
        <w:t>et al.</w:t>
      </w:r>
      <w:r>
        <w:rPr>
          <w:rFonts w:ascii="Arial" w:hAnsi="Arial" w:cs="Arial"/>
          <w:lang w:val="en-GB"/>
        </w:rPr>
        <w:t>, 2009).</w:t>
      </w:r>
    </w:p>
    <w:p w14:paraId="7EF96B4D" w14:textId="7C976464" w:rsidR="00B953B1" w:rsidRPr="00B953B1" w:rsidRDefault="00C51A2D" w:rsidP="00825C6A">
      <w:pPr>
        <w:pStyle w:val="p1"/>
        <w:spacing w:line="360" w:lineRule="auto"/>
        <w:rPr>
          <w:rFonts w:ascii="Arial" w:hAnsi="Arial" w:cs="Arial"/>
          <w:lang w:val="en-GB"/>
        </w:rPr>
      </w:pPr>
      <w:r>
        <w:rPr>
          <w:rFonts w:ascii="Arial" w:hAnsi="Arial" w:cs="Arial"/>
          <w:lang w:val="en-GB"/>
        </w:rPr>
        <w:t xml:space="preserve"> </w:t>
      </w:r>
    </w:p>
    <w:p w14:paraId="7AE6B6A4" w14:textId="49B84B29" w:rsidR="00C51A2D" w:rsidRDefault="000C672E" w:rsidP="00825C6A">
      <w:pPr>
        <w:pStyle w:val="Heading3"/>
        <w:spacing w:line="360" w:lineRule="auto"/>
        <w:rPr>
          <w:lang w:val="en-GB"/>
        </w:rPr>
      </w:pPr>
      <w:bookmarkStart w:id="24" w:name="_Toc228218270"/>
      <w:r>
        <w:rPr>
          <w:lang w:val="en-GB"/>
        </w:rPr>
        <w:t>2</w:t>
      </w:r>
      <w:r w:rsidR="00C51A2D">
        <w:rPr>
          <w:lang w:val="en-GB"/>
        </w:rPr>
        <w:t>.3.3 Sleep and recovery</w:t>
      </w:r>
      <w:bookmarkEnd w:id="24"/>
    </w:p>
    <w:p w14:paraId="0C3BC960" w14:textId="77777777" w:rsidR="00B953B1" w:rsidRDefault="00B953B1" w:rsidP="00825C6A">
      <w:pPr>
        <w:pStyle w:val="p1"/>
        <w:spacing w:line="360" w:lineRule="auto"/>
        <w:rPr>
          <w:rFonts w:ascii="Arial" w:hAnsi="Arial" w:cs="Arial"/>
          <w:lang w:val="en-GB"/>
        </w:rPr>
      </w:pPr>
    </w:p>
    <w:p w14:paraId="278DE9C5" w14:textId="1C7694EB" w:rsidR="00C51A2D" w:rsidRDefault="00C51A2D" w:rsidP="00825C6A">
      <w:pPr>
        <w:pStyle w:val="p1"/>
        <w:spacing w:line="360" w:lineRule="auto"/>
      </w:pPr>
      <w:r>
        <w:rPr>
          <w:rFonts w:ascii="Arial" w:hAnsi="Arial" w:cs="Arial"/>
          <w:lang w:val="en-GB"/>
        </w:rPr>
        <w:t xml:space="preserve">FFs report disrupted sleep </w:t>
      </w:r>
      <w:r>
        <w:rPr>
          <w:rFonts w:ascii="Arial" w:hAnsi="Arial" w:cs="Arial"/>
          <w:color w:val="000000"/>
          <w:lang w:val="en-GB"/>
        </w:rPr>
        <w:t>≈5h.21-min</w:t>
      </w:r>
      <w:r>
        <w:rPr>
          <w:rFonts w:ascii="Arial" w:hAnsi="Arial" w:cs="Arial"/>
          <w:lang w:val="en-GB"/>
        </w:rPr>
        <w:t xml:space="preserve"> (Stout </w:t>
      </w:r>
      <w:r w:rsidRPr="00A7058C">
        <w:rPr>
          <w:rFonts w:ascii="Arial" w:hAnsi="Arial" w:cs="Arial"/>
          <w:i/>
          <w:lang w:val="en-GB"/>
        </w:rPr>
        <w:t>et al.</w:t>
      </w:r>
      <w:r>
        <w:rPr>
          <w:rFonts w:ascii="Arial" w:hAnsi="Arial" w:cs="Arial"/>
          <w:lang w:val="en-GB"/>
        </w:rPr>
        <w:t xml:space="preserve">, 2021). Epidemiological evidence consistently associates curtailed sleep </w:t>
      </w:r>
      <w:r>
        <w:rPr>
          <w:rFonts w:ascii="Arial" w:hAnsi="Arial" w:cs="Arial"/>
          <w:color w:val="000000"/>
          <w:lang w:val="en-GB"/>
        </w:rPr>
        <w:t xml:space="preserve">&lt;6h with hypertension, SCE,  </w:t>
      </w:r>
      <w:r>
        <w:rPr>
          <w:rFonts w:ascii="Arial" w:hAnsi="Arial" w:cs="Arial"/>
          <w:lang w:val="en-GB"/>
        </w:rPr>
        <w:t xml:space="preserve">impaired alertness, and performance,  (Stout </w:t>
      </w:r>
      <w:r w:rsidRPr="00A7058C">
        <w:rPr>
          <w:rFonts w:ascii="Arial" w:hAnsi="Arial" w:cs="Arial"/>
          <w:i/>
          <w:lang w:val="en-GB"/>
        </w:rPr>
        <w:t>et al.</w:t>
      </w:r>
      <w:r>
        <w:rPr>
          <w:rFonts w:ascii="Arial" w:hAnsi="Arial" w:cs="Arial"/>
          <w:lang w:val="en-GB"/>
        </w:rPr>
        <w:t xml:space="preserve">, 2021; Rosekind </w:t>
      </w:r>
      <w:r w:rsidRPr="00A7058C">
        <w:rPr>
          <w:rFonts w:ascii="Arial" w:hAnsi="Arial" w:cs="Arial"/>
          <w:i/>
          <w:lang w:val="en-GB"/>
        </w:rPr>
        <w:t>et al.</w:t>
      </w:r>
      <w:r>
        <w:rPr>
          <w:rFonts w:ascii="Arial" w:hAnsi="Arial" w:cs="Arial"/>
          <w:lang w:val="en-GB"/>
        </w:rPr>
        <w:t xml:space="preserve">, 1997; Scott </w:t>
      </w:r>
      <w:r w:rsidRPr="00A7058C">
        <w:rPr>
          <w:rFonts w:ascii="Arial" w:hAnsi="Arial" w:cs="Arial"/>
          <w:i/>
          <w:lang w:val="en-GB"/>
        </w:rPr>
        <w:t>et al.</w:t>
      </w:r>
      <w:r>
        <w:rPr>
          <w:rFonts w:ascii="Arial" w:hAnsi="Arial" w:cs="Arial"/>
          <w:lang w:val="en-GB"/>
        </w:rPr>
        <w:t xml:space="preserve">, 2024; Liu and Tanaka, 2002; Abdelmoaty </w:t>
      </w:r>
      <w:r w:rsidRPr="00A7058C">
        <w:rPr>
          <w:rFonts w:ascii="Arial" w:hAnsi="Arial" w:cs="Arial"/>
          <w:i/>
          <w:lang w:val="en-GB"/>
        </w:rPr>
        <w:t>et al.</w:t>
      </w:r>
      <w:r>
        <w:rPr>
          <w:rFonts w:ascii="Arial" w:hAnsi="Arial" w:cs="Arial"/>
          <w:lang w:val="en-GB"/>
        </w:rPr>
        <w:t xml:space="preserve">, 2025; </w:t>
      </w:r>
      <w:r>
        <w:rPr>
          <w:rStyle w:val="s1"/>
          <w:rFonts w:ascii="Arial" w:hAnsi="Arial" w:cs="Arial"/>
          <w:lang w:val="en-GB"/>
        </w:rPr>
        <w:t xml:space="preserve">Gottileb </w:t>
      </w:r>
      <w:r w:rsidRPr="00A7058C">
        <w:rPr>
          <w:rStyle w:val="s1"/>
          <w:rFonts w:ascii="Arial" w:hAnsi="Arial" w:cs="Arial"/>
          <w:i/>
          <w:lang w:val="en-GB"/>
        </w:rPr>
        <w:t>et al.</w:t>
      </w:r>
      <w:r>
        <w:rPr>
          <w:rStyle w:val="s1"/>
          <w:rFonts w:ascii="Arial" w:hAnsi="Arial" w:cs="Arial"/>
          <w:lang w:val="en-GB"/>
        </w:rPr>
        <w:t>, 2006; Li and Shang, 2021</w:t>
      </w:r>
      <w:r>
        <w:rPr>
          <w:rFonts w:ascii="Arial" w:hAnsi="Arial" w:cs="Arial"/>
          <w:lang w:val="en-GB"/>
        </w:rPr>
        <w:t xml:space="preserve">), with cross sectional evidence adding impaired body-composition, BMI, and obesity, although causal direction cannot be determined (Romero Cabrera </w:t>
      </w:r>
      <w:r w:rsidRPr="00A7058C">
        <w:rPr>
          <w:rFonts w:ascii="Arial" w:hAnsi="Arial" w:cs="Arial"/>
          <w:i/>
          <w:lang w:val="en-GB"/>
        </w:rPr>
        <w:t>et al.</w:t>
      </w:r>
      <w:r>
        <w:rPr>
          <w:rFonts w:ascii="Arial" w:hAnsi="Arial" w:cs="Arial"/>
          <w:lang w:val="en-GB"/>
        </w:rPr>
        <w:t xml:space="preserve">, 2021). Less than 7h-sleep reports similar findings </w:t>
      </w:r>
      <w:r>
        <w:rPr>
          <w:rStyle w:val="s1"/>
          <w:rFonts w:ascii="Arial" w:hAnsi="Arial" w:cs="Arial"/>
          <w:lang w:val="en-GB"/>
        </w:rPr>
        <w:t xml:space="preserve">(Abdelmoaty </w:t>
      </w:r>
      <w:r w:rsidRPr="00A7058C">
        <w:rPr>
          <w:rStyle w:val="s1"/>
          <w:rFonts w:ascii="Arial" w:hAnsi="Arial" w:cs="Arial"/>
          <w:i/>
          <w:lang w:val="en-GB"/>
        </w:rPr>
        <w:t>et al.</w:t>
      </w:r>
      <w:r>
        <w:rPr>
          <w:rStyle w:val="s1"/>
          <w:rFonts w:ascii="Arial" w:hAnsi="Arial" w:cs="Arial"/>
          <w:lang w:val="en-GB"/>
        </w:rPr>
        <w:t xml:space="preserve">, 2025; Lao </w:t>
      </w:r>
      <w:r w:rsidRPr="00A7058C">
        <w:rPr>
          <w:rStyle w:val="s1"/>
          <w:rFonts w:ascii="Arial" w:hAnsi="Arial" w:cs="Arial"/>
          <w:i/>
          <w:lang w:val="en-GB"/>
        </w:rPr>
        <w:t>et al.</w:t>
      </w:r>
      <w:r>
        <w:rPr>
          <w:rStyle w:val="s1"/>
          <w:rFonts w:ascii="Arial" w:hAnsi="Arial" w:cs="Arial"/>
          <w:lang w:val="en-GB"/>
        </w:rPr>
        <w:t xml:space="preserve">, 2018; Buxton and Marcelli, 2010; Palagini </w:t>
      </w:r>
      <w:r w:rsidRPr="00A7058C">
        <w:rPr>
          <w:rStyle w:val="s1"/>
          <w:rFonts w:ascii="Arial" w:hAnsi="Arial" w:cs="Arial"/>
          <w:i/>
          <w:lang w:val="en-GB"/>
        </w:rPr>
        <w:t>et al.</w:t>
      </w:r>
      <w:r>
        <w:rPr>
          <w:rStyle w:val="s1"/>
          <w:rFonts w:ascii="Arial" w:hAnsi="Arial" w:cs="Arial"/>
          <w:lang w:val="en-GB"/>
        </w:rPr>
        <w:t xml:space="preserve">, 2013). Unpredictable call-outs and sustained alertness </w:t>
      </w:r>
      <w:r>
        <w:rPr>
          <w:rStyle w:val="s1"/>
          <w:rFonts w:ascii="Arial" w:hAnsi="Arial" w:cs="Arial"/>
          <w:lang w:val="en-GB"/>
        </w:rPr>
        <w:lastRenderedPageBreak/>
        <w:t xml:space="preserve">may further limit restorative down-regulation during shifts (Abdelmoaty </w:t>
      </w:r>
      <w:r w:rsidRPr="00A7058C">
        <w:rPr>
          <w:rStyle w:val="s1"/>
          <w:rFonts w:ascii="Arial" w:hAnsi="Arial" w:cs="Arial"/>
          <w:i/>
          <w:lang w:val="en-GB"/>
        </w:rPr>
        <w:t>et al.</w:t>
      </w:r>
      <w:r>
        <w:rPr>
          <w:rStyle w:val="s1"/>
          <w:rFonts w:ascii="Arial" w:hAnsi="Arial" w:cs="Arial"/>
          <w:lang w:val="en-GB"/>
        </w:rPr>
        <w:t xml:space="preserve">, 2025; Shin </w:t>
      </w:r>
      <w:r w:rsidRPr="00A7058C">
        <w:rPr>
          <w:rStyle w:val="s1"/>
          <w:rFonts w:ascii="Arial" w:hAnsi="Arial" w:cs="Arial"/>
          <w:i/>
          <w:lang w:val="en-GB"/>
        </w:rPr>
        <w:t>et al.</w:t>
      </w:r>
      <w:r>
        <w:rPr>
          <w:rStyle w:val="s1"/>
          <w:rFonts w:ascii="Arial" w:hAnsi="Arial" w:cs="Arial"/>
          <w:lang w:val="en-GB"/>
        </w:rPr>
        <w:t xml:space="preserve">, 2016; Saijo </w:t>
      </w:r>
      <w:r w:rsidRPr="00A7058C">
        <w:rPr>
          <w:rStyle w:val="s1"/>
          <w:rFonts w:ascii="Arial" w:hAnsi="Arial" w:cs="Arial"/>
          <w:i/>
          <w:lang w:val="en-GB"/>
        </w:rPr>
        <w:t>et al.</w:t>
      </w:r>
      <w:r>
        <w:rPr>
          <w:rStyle w:val="s1"/>
          <w:rFonts w:ascii="Arial" w:hAnsi="Arial" w:cs="Arial"/>
          <w:lang w:val="en-GB"/>
        </w:rPr>
        <w:t xml:space="preserve">, 2008; Wolk </w:t>
      </w:r>
      <w:r w:rsidRPr="00A7058C">
        <w:rPr>
          <w:rStyle w:val="s1"/>
          <w:rFonts w:ascii="Arial" w:hAnsi="Arial" w:cs="Arial"/>
          <w:i/>
          <w:lang w:val="en-GB"/>
        </w:rPr>
        <w:t>et al.</w:t>
      </w:r>
      <w:r>
        <w:rPr>
          <w:rStyle w:val="s1"/>
          <w:rFonts w:ascii="Arial" w:hAnsi="Arial" w:cs="Arial"/>
          <w:lang w:val="en-GB"/>
        </w:rPr>
        <w:t xml:space="preserve">, 2005; Fialho </w:t>
      </w:r>
      <w:r w:rsidRPr="00A7058C">
        <w:rPr>
          <w:rStyle w:val="s1"/>
          <w:rFonts w:ascii="Arial" w:hAnsi="Arial" w:cs="Arial"/>
          <w:i/>
          <w:lang w:val="en-GB"/>
        </w:rPr>
        <w:t>et al.</w:t>
      </w:r>
      <w:r>
        <w:rPr>
          <w:rStyle w:val="s1"/>
          <w:rFonts w:ascii="Arial" w:hAnsi="Arial" w:cs="Arial"/>
          <w:lang w:val="en-GB"/>
        </w:rPr>
        <w:t>, 2006).</w:t>
      </w:r>
    </w:p>
    <w:p w14:paraId="1C860E12" w14:textId="1C8DB75E" w:rsidR="00AC4415" w:rsidRDefault="00C51A2D" w:rsidP="00825C6A">
      <w:pPr>
        <w:pStyle w:val="p1"/>
        <w:spacing w:line="360" w:lineRule="auto"/>
        <w:rPr>
          <w:rFonts w:ascii="Arial" w:hAnsi="Arial" w:cs="Arial"/>
          <w:lang w:val="en-GB"/>
        </w:rPr>
      </w:pPr>
      <w:r>
        <w:rPr>
          <w:rFonts w:ascii="Arial" w:hAnsi="Arial" w:cs="Arial"/>
          <w:lang w:val="en-GB"/>
        </w:rPr>
        <w:t xml:space="preserve">Mechanistically, </w:t>
      </w:r>
      <w:r>
        <w:rPr>
          <w:rStyle w:val="s1"/>
          <w:rFonts w:ascii="Arial" w:hAnsi="Arial" w:cs="Arial"/>
          <w:lang w:val="en-GB"/>
        </w:rPr>
        <w:t xml:space="preserve">restricted sleep may increase CV strain through persistent sympathetic activation, impaired autonomic recovery and poorer regulation of HR and BP, with psychosocial stress and secondary employment further constraining recovery (Yamasaki </w:t>
      </w:r>
      <w:r w:rsidRPr="00A7058C">
        <w:rPr>
          <w:rStyle w:val="s1"/>
          <w:rFonts w:ascii="Arial" w:hAnsi="Arial" w:cs="Arial"/>
          <w:i/>
          <w:lang w:val="en-GB"/>
        </w:rPr>
        <w:t>et al.</w:t>
      </w:r>
      <w:r>
        <w:rPr>
          <w:rStyle w:val="s1"/>
          <w:rFonts w:ascii="Arial" w:hAnsi="Arial" w:cs="Arial"/>
          <w:lang w:val="en-GB"/>
        </w:rPr>
        <w:t xml:space="preserve">, 1998; Van Amelsvoort </w:t>
      </w:r>
      <w:r w:rsidRPr="00A7058C">
        <w:rPr>
          <w:rStyle w:val="s1"/>
          <w:rFonts w:ascii="Arial" w:hAnsi="Arial" w:cs="Arial"/>
          <w:i/>
          <w:lang w:val="en-GB"/>
        </w:rPr>
        <w:t>et al.</w:t>
      </w:r>
      <w:r>
        <w:rPr>
          <w:rStyle w:val="s1"/>
          <w:rFonts w:ascii="Arial" w:hAnsi="Arial" w:cs="Arial"/>
          <w:lang w:val="en-GB"/>
        </w:rPr>
        <w:t xml:space="preserve">, 2000; Wolk </w:t>
      </w:r>
      <w:r w:rsidRPr="00A7058C">
        <w:rPr>
          <w:rStyle w:val="s1"/>
          <w:rFonts w:ascii="Arial" w:hAnsi="Arial" w:cs="Arial"/>
          <w:i/>
          <w:lang w:val="en-GB"/>
        </w:rPr>
        <w:t>et al.</w:t>
      </w:r>
      <w:r>
        <w:rPr>
          <w:rStyle w:val="s1"/>
          <w:rFonts w:ascii="Arial" w:hAnsi="Arial" w:cs="Arial"/>
          <w:lang w:val="en-GB"/>
        </w:rPr>
        <w:t xml:space="preserve">, 2005; Kales </w:t>
      </w:r>
      <w:r w:rsidRPr="00A7058C">
        <w:rPr>
          <w:rStyle w:val="s1"/>
          <w:rFonts w:ascii="Arial" w:hAnsi="Arial" w:cs="Arial"/>
          <w:i/>
          <w:lang w:val="en-GB"/>
        </w:rPr>
        <w:t>et al.</w:t>
      </w:r>
      <w:r>
        <w:rPr>
          <w:rStyle w:val="s1"/>
          <w:rFonts w:ascii="Arial" w:hAnsi="Arial" w:cs="Arial"/>
          <w:lang w:val="en-GB"/>
        </w:rPr>
        <w:t xml:space="preserve">, 2009). Broader evidence links restricted sleep to hypertension, obesity and depression, albeit with small to medium correlations (Carey </w:t>
      </w:r>
      <w:r w:rsidRPr="00A7058C">
        <w:rPr>
          <w:rStyle w:val="s1"/>
          <w:rFonts w:ascii="Arial" w:hAnsi="Arial" w:cs="Arial"/>
          <w:i/>
          <w:lang w:val="en-GB"/>
        </w:rPr>
        <w:t>et al.</w:t>
      </w:r>
      <w:r>
        <w:rPr>
          <w:rStyle w:val="s1"/>
          <w:rFonts w:ascii="Arial" w:hAnsi="Arial" w:cs="Arial"/>
          <w:lang w:val="en-GB"/>
        </w:rPr>
        <w:t xml:space="preserve">, 2011). </w:t>
      </w:r>
    </w:p>
    <w:p w14:paraId="6ABEC179" w14:textId="1E1664EC" w:rsidR="00C51A2D" w:rsidRDefault="00C51A2D" w:rsidP="00825C6A">
      <w:pPr>
        <w:pStyle w:val="p1"/>
        <w:spacing w:line="360" w:lineRule="auto"/>
        <w:rPr>
          <w:rStyle w:val="s1"/>
          <w:rFonts w:ascii="Arial" w:hAnsi="Arial" w:cs="Arial"/>
          <w:lang w:val="en-GB"/>
        </w:rPr>
      </w:pPr>
      <w:r>
        <w:rPr>
          <w:rStyle w:val="s1"/>
          <w:rFonts w:ascii="Arial" w:hAnsi="Arial" w:cs="Arial"/>
          <w:lang w:val="en-GB"/>
        </w:rPr>
        <w:t xml:space="preserve">Sleep loss may raise inflammation, though findings are mixed. TNF-α increased after 7-nights at 2h/night (Vgontzas </w:t>
      </w:r>
      <w:r w:rsidRPr="00A7058C">
        <w:rPr>
          <w:rStyle w:val="s1"/>
          <w:rFonts w:ascii="Arial" w:hAnsi="Arial" w:cs="Arial"/>
          <w:i/>
          <w:lang w:val="en-GB"/>
        </w:rPr>
        <w:t>et al.</w:t>
      </w:r>
      <w:r>
        <w:rPr>
          <w:rStyle w:val="s1"/>
          <w:rFonts w:ascii="Arial" w:hAnsi="Arial" w:cs="Arial"/>
          <w:lang w:val="en-GB"/>
        </w:rPr>
        <w:t xml:space="preserve">, 2004), but not after 4-days of 2h daytime naps (Shearer </w:t>
      </w:r>
      <w:r w:rsidRPr="00A7058C">
        <w:rPr>
          <w:rStyle w:val="s1"/>
          <w:rFonts w:ascii="Arial" w:hAnsi="Arial" w:cs="Arial"/>
          <w:i/>
          <w:lang w:val="en-GB"/>
        </w:rPr>
        <w:t>et al.</w:t>
      </w:r>
      <w:r>
        <w:rPr>
          <w:rStyle w:val="s1"/>
          <w:rFonts w:ascii="Arial" w:hAnsi="Arial" w:cs="Arial"/>
          <w:lang w:val="en-GB"/>
        </w:rPr>
        <w:t xml:space="preserve">, 2001). However, acute total sleep loss was linked to inflammation (Shearer </w:t>
      </w:r>
      <w:r w:rsidRPr="00A7058C">
        <w:rPr>
          <w:rStyle w:val="s1"/>
          <w:rFonts w:ascii="Arial" w:hAnsi="Arial" w:cs="Arial"/>
          <w:i/>
          <w:lang w:val="en-GB"/>
        </w:rPr>
        <w:t>et al.</w:t>
      </w:r>
      <w:r>
        <w:rPr>
          <w:rStyle w:val="s1"/>
          <w:rFonts w:ascii="Arial" w:hAnsi="Arial" w:cs="Arial"/>
          <w:lang w:val="en-GB"/>
        </w:rPr>
        <w:t xml:space="preserve">, 2001), and one night of 50% sleep restriction increased IL-6 and TNF-α mRNA (Irwin </w:t>
      </w:r>
      <w:r w:rsidRPr="00A7058C">
        <w:rPr>
          <w:rStyle w:val="s1"/>
          <w:rFonts w:ascii="Arial" w:hAnsi="Arial" w:cs="Arial"/>
          <w:i/>
          <w:lang w:val="en-GB"/>
        </w:rPr>
        <w:t>et al.</w:t>
      </w:r>
      <w:r>
        <w:rPr>
          <w:rStyle w:val="s1"/>
          <w:rFonts w:ascii="Arial" w:hAnsi="Arial" w:cs="Arial"/>
          <w:lang w:val="en-GB"/>
        </w:rPr>
        <w:t xml:space="preserve">, 2006). Elevated BP may increase endothelial stress and inflammatory marker production (Chae </w:t>
      </w:r>
      <w:r w:rsidRPr="00A7058C">
        <w:rPr>
          <w:rStyle w:val="s1"/>
          <w:rFonts w:ascii="Arial" w:hAnsi="Arial" w:cs="Arial"/>
          <w:i/>
          <w:lang w:val="en-GB"/>
        </w:rPr>
        <w:t>et al.</w:t>
      </w:r>
      <w:r>
        <w:rPr>
          <w:rStyle w:val="s1"/>
          <w:rFonts w:ascii="Arial" w:hAnsi="Arial" w:cs="Arial"/>
          <w:lang w:val="en-GB"/>
        </w:rPr>
        <w:t xml:space="preserve">, 2001). Sleep typically lowers endothelial markers with nocturnal BP dipping, insufficient sleep may sustain inflammation, BP, CV strain, and stress-system overactivity, consistent with AL (Mullington </w:t>
      </w:r>
      <w:r w:rsidRPr="00A7058C">
        <w:rPr>
          <w:rStyle w:val="s1"/>
          <w:rFonts w:ascii="Arial" w:hAnsi="Arial" w:cs="Arial"/>
          <w:i/>
          <w:lang w:val="en-GB"/>
        </w:rPr>
        <w:t>et al.</w:t>
      </w:r>
      <w:r>
        <w:rPr>
          <w:rStyle w:val="s1"/>
          <w:rFonts w:ascii="Arial" w:hAnsi="Arial" w:cs="Arial"/>
          <w:lang w:val="en-GB"/>
        </w:rPr>
        <w:t xml:space="preserve">, 2004; 2009; Broussard </w:t>
      </w:r>
      <w:r w:rsidRPr="00A7058C">
        <w:rPr>
          <w:rStyle w:val="s1"/>
          <w:rFonts w:ascii="Arial" w:hAnsi="Arial" w:cs="Arial"/>
          <w:i/>
          <w:lang w:val="en-GB"/>
        </w:rPr>
        <w:t>et al.</w:t>
      </w:r>
      <w:r>
        <w:rPr>
          <w:rStyle w:val="s1"/>
          <w:rFonts w:ascii="Arial" w:hAnsi="Arial" w:cs="Arial"/>
          <w:lang w:val="en-GB"/>
        </w:rPr>
        <w:t xml:space="preserve">, 2004; Palagini </w:t>
      </w:r>
      <w:r w:rsidRPr="00A7058C">
        <w:rPr>
          <w:rStyle w:val="s1"/>
          <w:rFonts w:ascii="Arial" w:hAnsi="Arial" w:cs="Arial"/>
          <w:i/>
          <w:lang w:val="en-GB"/>
        </w:rPr>
        <w:t>et al.</w:t>
      </w:r>
      <w:r>
        <w:rPr>
          <w:rStyle w:val="s1"/>
          <w:rFonts w:ascii="Arial" w:hAnsi="Arial" w:cs="Arial"/>
          <w:lang w:val="en-GB"/>
        </w:rPr>
        <w:t xml:space="preserve">, 2013). However, 4h sleep across 2-nights in simulated wildfire model did not worsen inflammatory responses versus 8h. IL-6 rose in both conditions and IL-10 was unchanged, suggesting short-term restriction may not always amplify acute cytokine disturbance under controlled conditions (Wolkow </w:t>
      </w:r>
      <w:r w:rsidRPr="00A7058C">
        <w:rPr>
          <w:rStyle w:val="s1"/>
          <w:rFonts w:ascii="Arial" w:hAnsi="Arial" w:cs="Arial"/>
          <w:i/>
          <w:lang w:val="en-GB"/>
        </w:rPr>
        <w:t>et al.</w:t>
      </w:r>
      <w:r>
        <w:rPr>
          <w:rStyle w:val="s1"/>
          <w:rFonts w:ascii="Arial" w:hAnsi="Arial" w:cs="Arial"/>
          <w:lang w:val="en-GB"/>
        </w:rPr>
        <w:t>, 2015), prov</w:t>
      </w:r>
      <w:r w:rsidR="002F309C">
        <w:rPr>
          <w:rStyle w:val="s1"/>
          <w:rFonts w:ascii="Arial" w:hAnsi="Arial" w:cs="Arial"/>
          <w:lang w:val="en-GB"/>
        </w:rPr>
        <w:t>i</w:t>
      </w:r>
      <w:r>
        <w:rPr>
          <w:rStyle w:val="s1"/>
          <w:rFonts w:ascii="Arial" w:hAnsi="Arial" w:cs="Arial"/>
          <w:lang w:val="en-GB"/>
        </w:rPr>
        <w:t xml:space="preserve">ding stronger mechanistic insight through repeated blood sampling, whereas larger occupational studies offer more ecological relevance but more self-report bias and confounding. Reviews further suggest disrupted sleep, circadian disturbance, and prolonged shifts may interact with inflammatory, neuroendocrine, and cognitive stress pathways to prolong systemic strain beyond duty periods, though they support synthesis more than causality (Orysiak </w:t>
      </w:r>
      <w:r w:rsidRPr="00A7058C">
        <w:rPr>
          <w:rStyle w:val="s1"/>
          <w:rFonts w:ascii="Arial" w:hAnsi="Arial" w:cs="Arial"/>
          <w:i/>
          <w:lang w:val="en-GB"/>
        </w:rPr>
        <w:t>et al.</w:t>
      </w:r>
      <w:r>
        <w:rPr>
          <w:rStyle w:val="s1"/>
          <w:rFonts w:ascii="Arial" w:hAnsi="Arial" w:cs="Arial"/>
          <w:lang w:val="en-GB"/>
        </w:rPr>
        <w:t>, 2022; White, 2025).</w:t>
      </w:r>
    </w:p>
    <w:p w14:paraId="7BF036B3" w14:textId="77777777" w:rsidR="00161129" w:rsidRDefault="00161129" w:rsidP="00825C6A">
      <w:pPr>
        <w:pStyle w:val="p1"/>
        <w:spacing w:line="360" w:lineRule="auto"/>
        <w:rPr>
          <w:rStyle w:val="s1"/>
        </w:rPr>
      </w:pPr>
    </w:p>
    <w:p w14:paraId="33112EAD" w14:textId="7E58DF1D" w:rsidR="00C51A2D" w:rsidRPr="00812235" w:rsidRDefault="000C672E" w:rsidP="00825C6A">
      <w:pPr>
        <w:pStyle w:val="Heading3"/>
        <w:spacing w:line="360" w:lineRule="auto"/>
        <w:rPr>
          <w:rStyle w:val="s1"/>
          <w:rFonts w:ascii="Arial" w:hAnsi="Arial" w:cs="Arial"/>
          <w:lang w:val="en-GB"/>
        </w:rPr>
      </w:pPr>
      <w:bookmarkStart w:id="25" w:name="_Toc228218271"/>
      <w:r>
        <w:rPr>
          <w:rStyle w:val="s1"/>
          <w:rFonts w:ascii="Arial" w:hAnsi="Arial" w:cs="Arial"/>
          <w:lang w:val="en-GB"/>
        </w:rPr>
        <w:lastRenderedPageBreak/>
        <w:t>2</w:t>
      </w:r>
      <w:r w:rsidR="00C51A2D" w:rsidRPr="00812235">
        <w:rPr>
          <w:rStyle w:val="s1"/>
          <w:rFonts w:ascii="Arial" w:hAnsi="Arial" w:cs="Arial"/>
          <w:lang w:val="en-GB"/>
        </w:rPr>
        <w:t>.3.4 Mental Health</w:t>
      </w:r>
      <w:bookmarkEnd w:id="25"/>
      <w:r w:rsidR="00C51A2D" w:rsidRPr="00812235">
        <w:rPr>
          <w:rStyle w:val="s1"/>
          <w:rFonts w:ascii="Arial" w:hAnsi="Arial" w:cs="Arial"/>
          <w:lang w:val="en-GB"/>
        </w:rPr>
        <w:t xml:space="preserve"> </w:t>
      </w:r>
    </w:p>
    <w:p w14:paraId="546E898F" w14:textId="77777777" w:rsidR="00161129" w:rsidRDefault="00161129" w:rsidP="00825C6A">
      <w:pPr>
        <w:pStyle w:val="p1"/>
        <w:spacing w:line="360" w:lineRule="auto"/>
        <w:rPr>
          <w:rStyle w:val="s1"/>
          <w:rFonts w:ascii="Arial" w:hAnsi="Arial" w:cs="Arial"/>
          <w:b/>
          <w:bCs/>
          <w:lang w:val="en-GB"/>
        </w:rPr>
      </w:pPr>
    </w:p>
    <w:p w14:paraId="35387605" w14:textId="6E3E7246" w:rsidR="00C51A2D" w:rsidRDefault="00C51A2D" w:rsidP="00825C6A">
      <w:pPr>
        <w:pStyle w:val="p1"/>
        <w:spacing w:line="360" w:lineRule="auto"/>
        <w:rPr>
          <w:rStyle w:val="s1"/>
          <w:rFonts w:ascii="Arial" w:hAnsi="Arial" w:cs="Arial"/>
          <w:lang w:val="en-GB"/>
        </w:rPr>
      </w:pPr>
      <w:r>
        <w:rPr>
          <w:rStyle w:val="s1"/>
          <w:rFonts w:ascii="Arial" w:hAnsi="Arial" w:cs="Arial"/>
          <w:lang w:val="en-GB"/>
        </w:rPr>
        <w:t xml:space="preserve">Psychological stress from trauma exposure and organisational strain is associated with impaired MH and operational performance, (McGilloway, 2007; Igboanugo </w:t>
      </w:r>
      <w:r w:rsidRPr="00A7058C">
        <w:rPr>
          <w:rStyle w:val="s1"/>
          <w:rFonts w:ascii="Arial" w:hAnsi="Arial" w:cs="Arial"/>
          <w:i/>
          <w:lang w:val="en-GB"/>
        </w:rPr>
        <w:t>et al.</w:t>
      </w:r>
      <w:r>
        <w:rPr>
          <w:rStyle w:val="s1"/>
          <w:rFonts w:ascii="Arial" w:hAnsi="Arial" w:cs="Arial"/>
          <w:lang w:val="en-GB"/>
        </w:rPr>
        <w:t xml:space="preserve">, 2021; Smith </w:t>
      </w:r>
      <w:r w:rsidRPr="00A7058C">
        <w:rPr>
          <w:rStyle w:val="s1"/>
          <w:rFonts w:ascii="Arial" w:hAnsi="Arial" w:cs="Arial"/>
          <w:i/>
          <w:lang w:val="en-GB"/>
        </w:rPr>
        <w:t>et al.</w:t>
      </w:r>
      <w:r>
        <w:rPr>
          <w:rStyle w:val="s1"/>
          <w:rFonts w:ascii="Arial" w:hAnsi="Arial" w:cs="Arial"/>
          <w:lang w:val="en-GB"/>
        </w:rPr>
        <w:t xml:space="preserve">, 2023; Verble </w:t>
      </w:r>
      <w:r w:rsidRPr="00A7058C">
        <w:rPr>
          <w:rStyle w:val="s1"/>
          <w:rFonts w:ascii="Arial" w:hAnsi="Arial" w:cs="Arial"/>
          <w:i/>
          <w:lang w:val="en-GB"/>
        </w:rPr>
        <w:t>et al.</w:t>
      </w:r>
      <w:r>
        <w:rPr>
          <w:rStyle w:val="s1"/>
          <w:rFonts w:ascii="Arial" w:hAnsi="Arial" w:cs="Arial"/>
          <w:lang w:val="en-GB"/>
        </w:rPr>
        <w:t xml:space="preserve">, 2024; Lee </w:t>
      </w:r>
      <w:r w:rsidRPr="00A7058C">
        <w:rPr>
          <w:rStyle w:val="s1"/>
          <w:rFonts w:ascii="Arial" w:hAnsi="Arial" w:cs="Arial"/>
          <w:i/>
          <w:lang w:val="en-GB"/>
        </w:rPr>
        <w:t>et al.</w:t>
      </w:r>
      <w:r>
        <w:rPr>
          <w:rStyle w:val="s1"/>
          <w:rFonts w:ascii="Arial" w:hAnsi="Arial" w:cs="Arial"/>
          <w:lang w:val="en-GB"/>
        </w:rPr>
        <w:t xml:space="preserve">, 2017; Van Hasselt </w:t>
      </w:r>
      <w:r w:rsidRPr="00A7058C">
        <w:rPr>
          <w:rStyle w:val="s1"/>
          <w:rFonts w:ascii="Arial" w:hAnsi="Arial" w:cs="Arial"/>
          <w:i/>
          <w:lang w:val="en-GB"/>
        </w:rPr>
        <w:t>et al.</w:t>
      </w:r>
      <w:r>
        <w:rPr>
          <w:rStyle w:val="s1"/>
          <w:rFonts w:ascii="Arial" w:hAnsi="Arial" w:cs="Arial"/>
          <w:lang w:val="en-GB"/>
        </w:rPr>
        <w:t xml:space="preserve">, 2022; Park </w:t>
      </w:r>
      <w:r w:rsidRPr="00A7058C">
        <w:rPr>
          <w:rStyle w:val="s1"/>
          <w:rFonts w:ascii="Arial" w:hAnsi="Arial" w:cs="Arial"/>
          <w:i/>
          <w:lang w:val="en-GB"/>
        </w:rPr>
        <w:t>et al.</w:t>
      </w:r>
      <w:r>
        <w:rPr>
          <w:rStyle w:val="s1"/>
          <w:rFonts w:ascii="Arial" w:hAnsi="Arial" w:cs="Arial"/>
          <w:lang w:val="en-GB"/>
        </w:rPr>
        <w:t xml:space="preserve">, 2024; Afonso </w:t>
      </w:r>
      <w:r w:rsidRPr="00A7058C">
        <w:rPr>
          <w:rStyle w:val="s1"/>
          <w:rFonts w:ascii="Arial" w:hAnsi="Arial" w:cs="Arial"/>
          <w:i/>
          <w:lang w:val="en-GB"/>
        </w:rPr>
        <w:t>et al.</w:t>
      </w:r>
      <w:r>
        <w:rPr>
          <w:rStyle w:val="s1"/>
          <w:rFonts w:ascii="Arial" w:hAnsi="Arial" w:cs="Arial"/>
          <w:lang w:val="en-GB"/>
        </w:rPr>
        <w:t xml:space="preserve">, 2019; Sindhu </w:t>
      </w:r>
      <w:r w:rsidRPr="00A7058C">
        <w:rPr>
          <w:rStyle w:val="s1"/>
          <w:rFonts w:ascii="Arial" w:hAnsi="Arial" w:cs="Arial"/>
          <w:i/>
          <w:lang w:val="en-GB"/>
        </w:rPr>
        <w:t>et al.</w:t>
      </w:r>
      <w:r>
        <w:rPr>
          <w:rStyle w:val="s1"/>
          <w:rFonts w:ascii="Arial" w:hAnsi="Arial" w:cs="Arial"/>
          <w:lang w:val="en-GB"/>
        </w:rPr>
        <w:t xml:space="preserve">, 2020; Wagner </w:t>
      </w:r>
      <w:r w:rsidRPr="00A7058C">
        <w:rPr>
          <w:rStyle w:val="s1"/>
          <w:rFonts w:ascii="Arial" w:hAnsi="Arial" w:cs="Arial"/>
          <w:i/>
          <w:lang w:val="en-GB"/>
        </w:rPr>
        <w:t>et al.</w:t>
      </w:r>
      <w:r>
        <w:rPr>
          <w:rStyle w:val="s1"/>
          <w:rFonts w:ascii="Arial" w:hAnsi="Arial" w:cs="Arial"/>
          <w:lang w:val="en-GB"/>
        </w:rPr>
        <w:t xml:space="preserve">, 2021; Oliveira </w:t>
      </w:r>
      <w:r w:rsidRPr="00A7058C">
        <w:rPr>
          <w:rStyle w:val="s1"/>
          <w:rFonts w:ascii="Arial" w:hAnsi="Arial" w:cs="Arial"/>
          <w:i/>
          <w:lang w:val="en-GB"/>
        </w:rPr>
        <w:t>et al.</w:t>
      </w:r>
      <w:r>
        <w:rPr>
          <w:rStyle w:val="s1"/>
          <w:rFonts w:ascii="Arial" w:hAnsi="Arial" w:cs="Arial"/>
          <w:lang w:val="en-GB"/>
        </w:rPr>
        <w:t xml:space="preserve">, 2022; Becker </w:t>
      </w:r>
      <w:r w:rsidRPr="00A7058C">
        <w:rPr>
          <w:rStyle w:val="s1"/>
          <w:rFonts w:ascii="Arial" w:hAnsi="Arial" w:cs="Arial"/>
          <w:i/>
          <w:lang w:val="en-GB"/>
        </w:rPr>
        <w:t>et al.</w:t>
      </w:r>
      <w:r>
        <w:rPr>
          <w:rStyle w:val="s1"/>
          <w:rFonts w:ascii="Arial" w:hAnsi="Arial" w:cs="Arial"/>
          <w:lang w:val="en-GB"/>
        </w:rPr>
        <w:t xml:space="preserve">, 2022). In a UK study of 1300 FFs, 5.62% reported PTSD and 18.23% complex-PTSD (Langtry </w:t>
      </w:r>
      <w:r w:rsidRPr="00A7058C">
        <w:rPr>
          <w:rStyle w:val="s1"/>
          <w:rFonts w:ascii="Arial" w:hAnsi="Arial" w:cs="Arial"/>
          <w:i/>
          <w:lang w:val="en-GB"/>
        </w:rPr>
        <w:t>et al.</w:t>
      </w:r>
      <w:r>
        <w:rPr>
          <w:rStyle w:val="s1"/>
          <w:rFonts w:ascii="Arial" w:hAnsi="Arial" w:cs="Arial"/>
          <w:lang w:val="en-GB"/>
        </w:rPr>
        <w:t xml:space="preserve">, 2021). Chronic stress is associated with inflammatory activation, impaired recovery, increased HR and BP via sympathetic-adrenal-medullary activation and catecholamine release, and reduced HRV (Huang </w:t>
      </w:r>
      <w:r w:rsidRPr="00A7058C">
        <w:rPr>
          <w:rStyle w:val="s1"/>
          <w:rFonts w:ascii="Arial" w:hAnsi="Arial" w:cs="Arial"/>
          <w:i/>
          <w:lang w:val="en-GB"/>
        </w:rPr>
        <w:t>et al.</w:t>
      </w:r>
      <w:r>
        <w:rPr>
          <w:rStyle w:val="s1"/>
          <w:rFonts w:ascii="Arial" w:hAnsi="Arial" w:cs="Arial"/>
          <w:lang w:val="en-GB"/>
        </w:rPr>
        <w:t xml:space="preserve">, 2013; Hinton </w:t>
      </w:r>
      <w:r w:rsidRPr="00A7058C">
        <w:rPr>
          <w:rStyle w:val="s1"/>
          <w:rFonts w:ascii="Arial" w:hAnsi="Arial" w:cs="Arial"/>
          <w:i/>
          <w:lang w:val="en-GB"/>
        </w:rPr>
        <w:t>et al.</w:t>
      </w:r>
      <w:r>
        <w:rPr>
          <w:rStyle w:val="s1"/>
          <w:rFonts w:ascii="Arial" w:hAnsi="Arial" w:cs="Arial"/>
          <w:lang w:val="en-GB"/>
        </w:rPr>
        <w:t xml:space="preserve">, 1991; Frankenhaeuser, 1991; Gonzalez </w:t>
      </w:r>
      <w:r w:rsidRPr="00A7058C">
        <w:rPr>
          <w:rStyle w:val="s1"/>
          <w:rFonts w:ascii="Arial" w:hAnsi="Arial" w:cs="Arial"/>
          <w:i/>
          <w:lang w:val="en-GB"/>
        </w:rPr>
        <w:t>et al.</w:t>
      </w:r>
      <w:r>
        <w:rPr>
          <w:rStyle w:val="s1"/>
          <w:rFonts w:ascii="Arial" w:hAnsi="Arial" w:cs="Arial"/>
          <w:lang w:val="en-GB"/>
        </w:rPr>
        <w:t xml:space="preserve">, 2024; Stults-Kolehmainen </w:t>
      </w:r>
      <w:r w:rsidRPr="00A7058C">
        <w:rPr>
          <w:rStyle w:val="s1"/>
          <w:rFonts w:ascii="Arial" w:hAnsi="Arial" w:cs="Arial"/>
          <w:i/>
          <w:lang w:val="en-GB"/>
        </w:rPr>
        <w:t>et al.</w:t>
      </w:r>
      <w:r>
        <w:rPr>
          <w:rStyle w:val="s1"/>
          <w:rFonts w:ascii="Arial" w:hAnsi="Arial" w:cs="Arial"/>
          <w:lang w:val="en-GB"/>
        </w:rPr>
        <w:t xml:space="preserve">, 2014; Thayer </w:t>
      </w:r>
      <w:r w:rsidRPr="00A7058C">
        <w:rPr>
          <w:rStyle w:val="s1"/>
          <w:rFonts w:ascii="Arial" w:hAnsi="Arial" w:cs="Arial"/>
          <w:i/>
          <w:lang w:val="en-GB"/>
        </w:rPr>
        <w:t>et al.</w:t>
      </w:r>
      <w:r>
        <w:rPr>
          <w:rStyle w:val="s1"/>
          <w:rFonts w:ascii="Arial" w:hAnsi="Arial" w:cs="Arial"/>
          <w:lang w:val="en-GB"/>
        </w:rPr>
        <w:t xml:space="preserve">, 2009; Schneider and Schwerdtfeger, 2020). Lower HRV is prospectively linked with hypertension and inversely associated with SI, supporting a pathway by which psychological health may influence CV risk (Singh </w:t>
      </w:r>
      <w:r w:rsidRPr="00A7058C">
        <w:rPr>
          <w:rStyle w:val="s1"/>
          <w:rFonts w:ascii="Arial" w:hAnsi="Arial" w:cs="Arial"/>
          <w:i/>
          <w:lang w:val="en-GB"/>
        </w:rPr>
        <w:t>et al.</w:t>
      </w:r>
      <w:r>
        <w:rPr>
          <w:rStyle w:val="s1"/>
          <w:rFonts w:ascii="Arial" w:hAnsi="Arial" w:cs="Arial"/>
          <w:lang w:val="en-GB"/>
        </w:rPr>
        <w:t xml:space="preserve">, 1998; Williams </w:t>
      </w:r>
      <w:r w:rsidRPr="00A7058C">
        <w:rPr>
          <w:rStyle w:val="s1"/>
          <w:rFonts w:ascii="Arial" w:hAnsi="Arial" w:cs="Arial"/>
          <w:i/>
          <w:lang w:val="en-GB"/>
        </w:rPr>
        <w:t>et al.</w:t>
      </w:r>
      <w:r>
        <w:rPr>
          <w:rStyle w:val="s1"/>
          <w:rFonts w:ascii="Arial" w:hAnsi="Arial" w:cs="Arial"/>
          <w:lang w:val="en-GB"/>
        </w:rPr>
        <w:t xml:space="preserve">, 2019). Meta-analyses also link PTSD with elevated RHR and BP (Buckley and Kaloupek, 2001; Morris </w:t>
      </w:r>
      <w:r w:rsidRPr="00A7058C">
        <w:rPr>
          <w:rStyle w:val="s1"/>
          <w:rFonts w:ascii="Arial" w:hAnsi="Arial" w:cs="Arial"/>
          <w:i/>
          <w:lang w:val="en-GB"/>
        </w:rPr>
        <w:t>et al.</w:t>
      </w:r>
      <w:r>
        <w:rPr>
          <w:rStyle w:val="s1"/>
          <w:rFonts w:ascii="Arial" w:hAnsi="Arial" w:cs="Arial"/>
          <w:lang w:val="en-GB"/>
        </w:rPr>
        <w:t xml:space="preserve">, 2016). HRV reductions have also been linked with poorer physical and cognitive performance, although not in FF-specific studies (Thompson </w:t>
      </w:r>
      <w:r w:rsidRPr="00A7058C">
        <w:rPr>
          <w:rStyle w:val="s1"/>
          <w:rFonts w:ascii="Arial" w:hAnsi="Arial" w:cs="Arial"/>
          <w:i/>
          <w:lang w:val="en-GB"/>
        </w:rPr>
        <w:t>et al.</w:t>
      </w:r>
      <w:r>
        <w:rPr>
          <w:rStyle w:val="s1"/>
          <w:rFonts w:ascii="Arial" w:hAnsi="Arial" w:cs="Arial"/>
          <w:lang w:val="en-GB"/>
        </w:rPr>
        <w:t xml:space="preserve">, 2015; de Visser </w:t>
      </w:r>
      <w:r w:rsidRPr="00A7058C">
        <w:rPr>
          <w:rStyle w:val="s1"/>
          <w:rFonts w:ascii="Arial" w:hAnsi="Arial" w:cs="Arial"/>
          <w:i/>
          <w:lang w:val="en-GB"/>
        </w:rPr>
        <w:t>et al.</w:t>
      </w:r>
      <w:r>
        <w:rPr>
          <w:rStyle w:val="s1"/>
          <w:rFonts w:ascii="Arial" w:hAnsi="Arial" w:cs="Arial"/>
          <w:lang w:val="en-GB"/>
        </w:rPr>
        <w:t xml:space="preserve">, 2016; Stephenson </w:t>
      </w:r>
      <w:r w:rsidRPr="00A7058C">
        <w:rPr>
          <w:rStyle w:val="s1"/>
          <w:rFonts w:ascii="Arial" w:hAnsi="Arial" w:cs="Arial"/>
          <w:i/>
          <w:lang w:val="en-GB"/>
        </w:rPr>
        <w:t>et al.</w:t>
      </w:r>
      <w:r>
        <w:rPr>
          <w:rStyle w:val="s1"/>
          <w:rFonts w:ascii="Arial" w:hAnsi="Arial" w:cs="Arial"/>
          <w:lang w:val="en-GB"/>
        </w:rPr>
        <w:t xml:space="preserve">, 2021; Elliot </w:t>
      </w:r>
      <w:r w:rsidRPr="00A7058C">
        <w:rPr>
          <w:rStyle w:val="s1"/>
          <w:rFonts w:ascii="Arial" w:hAnsi="Arial" w:cs="Arial"/>
          <w:i/>
          <w:lang w:val="en-GB"/>
        </w:rPr>
        <w:t>et al.</w:t>
      </w:r>
      <w:r>
        <w:rPr>
          <w:rStyle w:val="s1"/>
          <w:rFonts w:ascii="Arial" w:hAnsi="Arial" w:cs="Arial"/>
          <w:lang w:val="en-GB"/>
        </w:rPr>
        <w:t xml:space="preserve">, 2021). Repeated psychological arousal may compound CV strain, while greater reactivity to acute mental stress predicts poorer future CV </w:t>
      </w:r>
      <w:r w:rsidR="00A41889">
        <w:rPr>
          <w:rStyle w:val="s1"/>
          <w:rFonts w:ascii="Arial" w:hAnsi="Arial" w:cs="Arial"/>
          <w:lang w:val="en-GB"/>
        </w:rPr>
        <w:t>and</w:t>
      </w:r>
      <w:r>
        <w:rPr>
          <w:rStyle w:val="s1"/>
          <w:rFonts w:ascii="Arial" w:hAnsi="Arial" w:cs="Arial"/>
          <w:lang w:val="en-GB"/>
        </w:rPr>
        <w:t xml:space="preserve"> BP outcomes (Chida and Steptoe, 2010; Yuenyongchaiwat </w:t>
      </w:r>
      <w:r w:rsidRPr="00A7058C">
        <w:rPr>
          <w:rStyle w:val="s1"/>
          <w:rFonts w:ascii="Arial" w:hAnsi="Arial" w:cs="Arial"/>
          <w:i/>
          <w:lang w:val="en-GB"/>
        </w:rPr>
        <w:t>et al.</w:t>
      </w:r>
      <w:r>
        <w:rPr>
          <w:rStyle w:val="s1"/>
          <w:rFonts w:ascii="Arial" w:hAnsi="Arial" w:cs="Arial"/>
          <w:lang w:val="en-GB"/>
        </w:rPr>
        <w:t xml:space="preserve">, 2017). Where heat and dehydration already promote CV drift, poorer psychological health may plausibly increase resting CV load, amplify HR strain, and reduce performance longevity (Buckley and Kaloupek, 2001; Morris </w:t>
      </w:r>
      <w:r w:rsidRPr="00A7058C">
        <w:rPr>
          <w:rStyle w:val="s1"/>
          <w:rFonts w:ascii="Arial" w:hAnsi="Arial" w:cs="Arial"/>
          <w:i/>
          <w:lang w:val="en-GB"/>
        </w:rPr>
        <w:t>et al.</w:t>
      </w:r>
      <w:r>
        <w:rPr>
          <w:rStyle w:val="s1"/>
          <w:rFonts w:ascii="Arial" w:hAnsi="Arial" w:cs="Arial"/>
          <w:lang w:val="en-GB"/>
        </w:rPr>
        <w:t xml:space="preserve">, 2016; Périard </w:t>
      </w:r>
      <w:r w:rsidRPr="00A7058C">
        <w:rPr>
          <w:rStyle w:val="s1"/>
          <w:rFonts w:ascii="Arial" w:hAnsi="Arial" w:cs="Arial"/>
          <w:i/>
          <w:lang w:val="en-GB"/>
        </w:rPr>
        <w:t>et al.</w:t>
      </w:r>
      <w:r>
        <w:rPr>
          <w:rStyle w:val="s1"/>
          <w:rFonts w:ascii="Arial" w:hAnsi="Arial" w:cs="Arial"/>
          <w:lang w:val="en-GB"/>
        </w:rPr>
        <w:t xml:space="preserve">, 2021; Walker </w:t>
      </w:r>
      <w:r w:rsidRPr="00A7058C">
        <w:rPr>
          <w:rStyle w:val="s1"/>
          <w:rFonts w:ascii="Arial" w:hAnsi="Arial" w:cs="Arial"/>
          <w:i/>
          <w:lang w:val="en-GB"/>
        </w:rPr>
        <w:t>et al.</w:t>
      </w:r>
      <w:r>
        <w:rPr>
          <w:rStyle w:val="s1"/>
          <w:rFonts w:ascii="Arial" w:hAnsi="Arial" w:cs="Arial"/>
          <w:lang w:val="en-GB"/>
        </w:rPr>
        <w:t xml:space="preserve">, 2019; Sandsund </w:t>
      </w:r>
      <w:r w:rsidRPr="00A7058C">
        <w:rPr>
          <w:rStyle w:val="s1"/>
          <w:rFonts w:ascii="Arial" w:hAnsi="Arial" w:cs="Arial"/>
          <w:i/>
          <w:lang w:val="en-GB"/>
        </w:rPr>
        <w:t>et al.</w:t>
      </w:r>
      <w:r>
        <w:rPr>
          <w:rStyle w:val="s1"/>
          <w:rFonts w:ascii="Arial" w:hAnsi="Arial" w:cs="Arial"/>
          <w:lang w:val="en-GB"/>
        </w:rPr>
        <w:t>, 2024).</w:t>
      </w:r>
    </w:p>
    <w:p w14:paraId="2D5BED6C" w14:textId="77777777" w:rsidR="00161129" w:rsidRDefault="00161129" w:rsidP="00825C6A">
      <w:pPr>
        <w:pStyle w:val="p1"/>
        <w:spacing w:line="360" w:lineRule="auto"/>
      </w:pPr>
    </w:p>
    <w:p w14:paraId="5214691E" w14:textId="366BA256" w:rsidR="00C51A2D" w:rsidRPr="00812235" w:rsidRDefault="000C672E" w:rsidP="00825C6A">
      <w:pPr>
        <w:pStyle w:val="Heading3"/>
        <w:spacing w:line="360" w:lineRule="auto"/>
        <w:rPr>
          <w:rStyle w:val="s1"/>
          <w:rFonts w:ascii="Arial" w:hAnsi="Arial" w:cs="Arial"/>
          <w:lang w:val="en-GB"/>
        </w:rPr>
      </w:pPr>
      <w:bookmarkStart w:id="26" w:name="_Toc228218272"/>
      <w:r>
        <w:rPr>
          <w:rStyle w:val="s1"/>
          <w:rFonts w:ascii="Arial" w:hAnsi="Arial" w:cs="Arial"/>
          <w:lang w:val="en-GB"/>
        </w:rPr>
        <w:t>2</w:t>
      </w:r>
      <w:r w:rsidR="00C51A2D" w:rsidRPr="00812235">
        <w:rPr>
          <w:rStyle w:val="s1"/>
          <w:rFonts w:ascii="Arial" w:hAnsi="Arial" w:cs="Arial"/>
          <w:lang w:val="en-GB"/>
        </w:rPr>
        <w:t>.3.5 Personal health and cardiovascular health</w:t>
      </w:r>
      <w:bookmarkEnd w:id="26"/>
    </w:p>
    <w:p w14:paraId="1088768E" w14:textId="77777777" w:rsidR="00161129" w:rsidRDefault="00161129" w:rsidP="00825C6A">
      <w:pPr>
        <w:pStyle w:val="p1"/>
        <w:spacing w:line="360" w:lineRule="auto"/>
        <w:rPr>
          <w:rFonts w:ascii="Arial" w:hAnsi="Arial" w:cs="Arial"/>
          <w:b/>
          <w:bCs/>
          <w:lang w:val="en-GB"/>
        </w:rPr>
      </w:pPr>
    </w:p>
    <w:p w14:paraId="741192CA" w14:textId="38B86136" w:rsidR="00C51A2D" w:rsidRDefault="00C51A2D" w:rsidP="00825C6A">
      <w:pPr>
        <w:pStyle w:val="p1"/>
        <w:spacing w:line="360" w:lineRule="auto"/>
        <w:rPr>
          <w:rStyle w:val="s1"/>
          <w:rFonts w:ascii="Arial" w:hAnsi="Arial" w:cs="Arial"/>
          <w:lang w:val="en-GB"/>
        </w:rPr>
      </w:pPr>
      <w:r>
        <w:rPr>
          <w:rStyle w:val="s1"/>
          <w:rFonts w:ascii="Arial" w:hAnsi="Arial" w:cs="Arial"/>
          <w:lang w:val="en-GB"/>
        </w:rPr>
        <w:lastRenderedPageBreak/>
        <w:t xml:space="preserve">Survey data shows ~68% FFs report ≥2 lifestyle risks, including obesity, hypertension, or hypercholesterolaemia, potentially amplifying occupational strain (Jeung </w:t>
      </w:r>
      <w:r w:rsidRPr="00A7058C">
        <w:rPr>
          <w:rStyle w:val="s1"/>
          <w:rFonts w:ascii="Arial" w:hAnsi="Arial" w:cs="Arial"/>
          <w:i/>
          <w:lang w:val="en-GB"/>
        </w:rPr>
        <w:t>et al.</w:t>
      </w:r>
      <w:r>
        <w:rPr>
          <w:rStyle w:val="s1"/>
          <w:rFonts w:ascii="Arial" w:hAnsi="Arial" w:cs="Arial"/>
          <w:lang w:val="en-GB"/>
        </w:rPr>
        <w:t>, 2022). Longer service and greater smoke exposure associate with higher CV risk, with each additional year linked to greater hypertension prevalence, and an ≈16</w:t>
      </w:r>
      <w:r w:rsidR="005A4807">
        <w:rPr>
          <w:rStyle w:val="s1"/>
          <w:rFonts w:ascii="Arial" w:hAnsi="Arial" w:cs="Arial"/>
          <w:lang w:val="en-GB"/>
        </w:rPr>
        <w:t>-</w:t>
      </w:r>
      <w:r>
        <w:rPr>
          <w:rStyle w:val="s1"/>
          <w:rFonts w:ascii="Arial" w:hAnsi="Arial" w:cs="Arial"/>
          <w:lang w:val="en-GB"/>
        </w:rPr>
        <w:t xml:space="preserve">30% increase in CVD risk in a 13-year follow-up of 363,137 FFs, although estimates were based on field measurement and exposure modelling rather than direct long-term clinical outcomes (Navarro, 2020; Navarro </w:t>
      </w:r>
      <w:r w:rsidRPr="00A7058C">
        <w:rPr>
          <w:rStyle w:val="s1"/>
          <w:rFonts w:ascii="Arial" w:hAnsi="Arial" w:cs="Arial"/>
          <w:i/>
          <w:lang w:val="en-GB"/>
        </w:rPr>
        <w:t>et al.</w:t>
      </w:r>
      <w:r>
        <w:rPr>
          <w:rStyle w:val="s1"/>
          <w:rFonts w:ascii="Arial" w:hAnsi="Arial" w:cs="Arial"/>
          <w:lang w:val="en-GB"/>
        </w:rPr>
        <w:t>, 2019). Likewise, in 499 FFs, 10</w:t>
      </w:r>
      <w:r w:rsidR="000D61C6">
        <w:rPr>
          <w:rStyle w:val="s1"/>
          <w:rFonts w:ascii="Arial" w:hAnsi="Arial" w:cs="Arial"/>
          <w:lang w:val="en-GB"/>
        </w:rPr>
        <w:t>-</w:t>
      </w:r>
      <w:r>
        <w:rPr>
          <w:rStyle w:val="s1"/>
          <w:rFonts w:ascii="Arial" w:hAnsi="Arial" w:cs="Arial"/>
          <w:lang w:val="en-GB"/>
        </w:rPr>
        <w:t xml:space="preserve">19 and ≥20-years service were associated with greater odds of hypertension than &lt;10 years, although the cross-sectional self-reported design limits causal inference and introduces recall bias (Semmens </w:t>
      </w:r>
      <w:r w:rsidRPr="00A7058C">
        <w:rPr>
          <w:rStyle w:val="s1"/>
          <w:rFonts w:ascii="Arial" w:hAnsi="Arial" w:cs="Arial"/>
          <w:i/>
          <w:lang w:val="en-GB"/>
        </w:rPr>
        <w:t>et al.</w:t>
      </w:r>
      <w:r>
        <w:rPr>
          <w:rStyle w:val="s1"/>
          <w:rFonts w:ascii="Arial" w:hAnsi="Arial" w:cs="Arial"/>
          <w:lang w:val="en-GB"/>
        </w:rPr>
        <w:t>, 2016).</w:t>
      </w:r>
    </w:p>
    <w:p w14:paraId="5BD56000" w14:textId="77777777" w:rsidR="00513AF9" w:rsidRPr="00812235" w:rsidRDefault="00513AF9" w:rsidP="00825C6A">
      <w:pPr>
        <w:pStyle w:val="p1"/>
        <w:spacing w:line="360" w:lineRule="auto"/>
        <w:rPr>
          <w:rStyle w:val="s1"/>
          <w:rFonts w:ascii="Arial" w:hAnsi="Arial" w:cs="Arial"/>
          <w:lang w:val="en-GB"/>
        </w:rPr>
      </w:pPr>
    </w:p>
    <w:p w14:paraId="0EEDCB71" w14:textId="548572F2" w:rsidR="00096CAD" w:rsidRPr="00812235" w:rsidRDefault="000C672E" w:rsidP="00825C6A">
      <w:pPr>
        <w:pStyle w:val="Heading3"/>
        <w:spacing w:line="360" w:lineRule="auto"/>
        <w:rPr>
          <w:rStyle w:val="s1"/>
          <w:rFonts w:ascii="Arial" w:hAnsi="Arial" w:cs="Arial"/>
          <w:lang w:val="en-GB"/>
        </w:rPr>
      </w:pPr>
      <w:bookmarkStart w:id="27" w:name="_Toc228218273"/>
      <w:r>
        <w:rPr>
          <w:rStyle w:val="s1"/>
          <w:rFonts w:ascii="Arial" w:hAnsi="Arial" w:cs="Arial"/>
          <w:lang w:val="en-GB"/>
        </w:rPr>
        <w:t>2</w:t>
      </w:r>
      <w:r w:rsidR="00C51A2D" w:rsidRPr="00812235">
        <w:rPr>
          <w:rStyle w:val="s1"/>
          <w:rFonts w:ascii="Arial" w:hAnsi="Arial" w:cs="Arial"/>
          <w:lang w:val="en-GB"/>
        </w:rPr>
        <w:t>.3.6 Obesity</w:t>
      </w:r>
      <w:bookmarkEnd w:id="27"/>
    </w:p>
    <w:p w14:paraId="17E04594" w14:textId="77777777" w:rsidR="00096CAD" w:rsidRDefault="00096CAD" w:rsidP="00825C6A">
      <w:pPr>
        <w:pStyle w:val="p1"/>
        <w:spacing w:line="360" w:lineRule="auto"/>
        <w:rPr>
          <w:rStyle w:val="s1"/>
          <w:rFonts w:ascii="Arial" w:hAnsi="Arial" w:cs="Arial"/>
          <w:b/>
          <w:bCs/>
          <w:lang w:val="en-GB"/>
        </w:rPr>
      </w:pPr>
    </w:p>
    <w:p w14:paraId="6884F525" w14:textId="6F6F2739" w:rsidR="00DE0A1D" w:rsidRPr="00F678A0" w:rsidRDefault="00C51A2D" w:rsidP="00825C6A">
      <w:pPr>
        <w:pStyle w:val="p1"/>
        <w:spacing w:line="360" w:lineRule="auto"/>
        <w:rPr>
          <w:rStyle w:val="s1"/>
          <w:rFonts w:ascii="Arial" w:hAnsi="Arial" w:cs="Arial"/>
          <w:lang w:val="en-GB"/>
        </w:rPr>
      </w:pPr>
      <w:r>
        <w:rPr>
          <w:rStyle w:val="s1"/>
          <w:rFonts w:ascii="Arial" w:hAnsi="Arial" w:cs="Arial"/>
          <w:lang w:val="en-GB"/>
        </w:rPr>
        <w:t xml:space="preserve">Obesity and metabolic syndrome are prevalent and impair long-term health, CV fitness, CVD burden, and performance (Tsismenakis </w:t>
      </w:r>
      <w:r w:rsidRPr="00A7058C">
        <w:rPr>
          <w:rStyle w:val="s1"/>
          <w:rFonts w:ascii="Arial" w:hAnsi="Arial" w:cs="Arial"/>
          <w:i/>
          <w:lang w:val="en-GB"/>
        </w:rPr>
        <w:t>et al.</w:t>
      </w:r>
      <w:r>
        <w:rPr>
          <w:rStyle w:val="s1"/>
          <w:rFonts w:ascii="Arial" w:hAnsi="Arial" w:cs="Arial"/>
          <w:lang w:val="en-GB"/>
        </w:rPr>
        <w:t xml:space="preserve">, 2009; Poston </w:t>
      </w:r>
      <w:r w:rsidRPr="00A7058C">
        <w:rPr>
          <w:rStyle w:val="s1"/>
          <w:rFonts w:ascii="Arial" w:hAnsi="Arial" w:cs="Arial"/>
          <w:i/>
          <w:lang w:val="en-GB"/>
        </w:rPr>
        <w:t>et al.</w:t>
      </w:r>
      <w:r>
        <w:rPr>
          <w:rStyle w:val="s1"/>
          <w:rFonts w:ascii="Arial" w:hAnsi="Arial" w:cs="Arial"/>
          <w:lang w:val="en-GB"/>
        </w:rPr>
        <w:t xml:space="preserve">, 2011; Yoo and Franke, 2009; McAllister </w:t>
      </w:r>
      <w:r w:rsidRPr="00A7058C">
        <w:rPr>
          <w:rStyle w:val="s1"/>
          <w:rFonts w:ascii="Arial" w:hAnsi="Arial" w:cs="Arial"/>
          <w:i/>
          <w:lang w:val="en-GB"/>
        </w:rPr>
        <w:t>et al.</w:t>
      </w:r>
      <w:r>
        <w:rPr>
          <w:rStyle w:val="s1"/>
          <w:rFonts w:ascii="Arial" w:hAnsi="Arial" w:cs="Arial"/>
          <w:lang w:val="en-GB"/>
        </w:rPr>
        <w:t xml:space="preserve">, 2022; 2023; Mayer </w:t>
      </w:r>
      <w:r w:rsidRPr="00A7058C">
        <w:rPr>
          <w:rStyle w:val="s1"/>
          <w:rFonts w:ascii="Arial" w:hAnsi="Arial" w:cs="Arial"/>
          <w:i/>
          <w:lang w:val="en-GB"/>
        </w:rPr>
        <w:t>et al.</w:t>
      </w:r>
      <w:r>
        <w:rPr>
          <w:rStyle w:val="s1"/>
          <w:rFonts w:ascii="Arial" w:hAnsi="Arial" w:cs="Arial"/>
          <w:lang w:val="en-GB"/>
        </w:rPr>
        <w:t xml:space="preserve">, 2012; Jahnke </w:t>
      </w:r>
      <w:r w:rsidRPr="00A7058C">
        <w:rPr>
          <w:rStyle w:val="s1"/>
          <w:rFonts w:ascii="Arial" w:hAnsi="Arial" w:cs="Arial"/>
          <w:i/>
          <w:lang w:val="en-GB"/>
        </w:rPr>
        <w:t>et al.</w:t>
      </w:r>
      <w:r>
        <w:rPr>
          <w:rStyle w:val="s1"/>
          <w:rFonts w:ascii="Arial" w:hAnsi="Arial" w:cs="Arial"/>
          <w:lang w:val="en-GB"/>
        </w:rPr>
        <w:t xml:space="preserve">, 2013; Soteriades </w:t>
      </w:r>
      <w:r w:rsidRPr="00A7058C">
        <w:rPr>
          <w:rStyle w:val="s1"/>
          <w:rFonts w:ascii="Arial" w:hAnsi="Arial" w:cs="Arial"/>
          <w:i/>
          <w:lang w:val="en-GB"/>
        </w:rPr>
        <w:t>et al.</w:t>
      </w:r>
      <w:r>
        <w:rPr>
          <w:rStyle w:val="s1"/>
          <w:rFonts w:ascii="Arial" w:hAnsi="Arial" w:cs="Arial"/>
          <w:lang w:val="en-GB"/>
        </w:rPr>
        <w:t xml:space="preserve">, 2011). Around 40% FFs are obese (Soteriades </w:t>
      </w:r>
      <w:r w:rsidRPr="00A7058C">
        <w:rPr>
          <w:rStyle w:val="s1"/>
          <w:rFonts w:ascii="Arial" w:hAnsi="Arial" w:cs="Arial"/>
          <w:i/>
          <w:lang w:val="en-GB"/>
        </w:rPr>
        <w:t>et al.</w:t>
      </w:r>
      <w:r>
        <w:rPr>
          <w:rStyle w:val="s1"/>
          <w:rFonts w:ascii="Arial" w:hAnsi="Arial" w:cs="Arial"/>
          <w:lang w:val="en-GB"/>
        </w:rPr>
        <w:t xml:space="preserve">, 2005; Yoo and Franke, 2009), with 33% reported in 370 FFs (Tsismenakis </w:t>
      </w:r>
      <w:r w:rsidRPr="00A7058C">
        <w:rPr>
          <w:rStyle w:val="s1"/>
          <w:rFonts w:ascii="Arial" w:hAnsi="Arial" w:cs="Arial"/>
          <w:i/>
          <w:lang w:val="en-GB"/>
        </w:rPr>
        <w:t>et al.</w:t>
      </w:r>
      <w:r>
        <w:rPr>
          <w:rStyle w:val="s1"/>
          <w:rFonts w:ascii="Arial" w:hAnsi="Arial" w:cs="Arial"/>
          <w:lang w:val="en-GB"/>
        </w:rPr>
        <w:t xml:space="preserve">, 2009). Meta-analytic data from 31,309 FFs reported overweight and obesity rates of 44.1% and 35.6%, with combined BMI-defined prevalence approaching 80%, while ~9% had BP </w:t>
      </w:r>
      <w:r w:rsidR="00651629">
        <w:rPr>
          <w:rStyle w:val="s1"/>
          <w:rFonts w:ascii="Arial" w:hAnsi="Arial" w:cs="Arial"/>
          <w:lang w:val="en-GB"/>
        </w:rPr>
        <w:t>&gt;</w:t>
      </w:r>
      <w:r>
        <w:rPr>
          <w:rStyle w:val="s1"/>
          <w:rFonts w:ascii="Arial" w:hAnsi="Arial" w:cs="Arial"/>
          <w:lang w:val="en-GB"/>
        </w:rPr>
        <w:t xml:space="preserve">130/85, although activity, culture, schedules, diet, and activity trends were not accounted for (Beckett </w:t>
      </w:r>
      <w:r w:rsidRPr="00A7058C">
        <w:rPr>
          <w:rStyle w:val="s1"/>
          <w:rFonts w:ascii="Arial" w:hAnsi="Arial" w:cs="Arial"/>
          <w:i/>
          <w:lang w:val="en-GB"/>
        </w:rPr>
        <w:t>et al.</w:t>
      </w:r>
      <w:r>
        <w:rPr>
          <w:rStyle w:val="s1"/>
          <w:rFonts w:ascii="Arial" w:hAnsi="Arial" w:cs="Arial"/>
          <w:lang w:val="en-GB"/>
        </w:rPr>
        <w:t xml:space="preserve">, 2023). Other studies report &gt;80% of US and ~66%  UK FFs are overweight or obese (Poston </w:t>
      </w:r>
      <w:r w:rsidRPr="00A7058C">
        <w:rPr>
          <w:rStyle w:val="s1"/>
          <w:rFonts w:ascii="Arial" w:hAnsi="Arial" w:cs="Arial"/>
          <w:i/>
          <w:lang w:val="en-GB"/>
        </w:rPr>
        <w:t>et al.</w:t>
      </w:r>
      <w:r>
        <w:rPr>
          <w:rStyle w:val="s1"/>
          <w:rFonts w:ascii="Arial" w:hAnsi="Arial" w:cs="Arial"/>
          <w:lang w:val="en-GB"/>
        </w:rPr>
        <w:t xml:space="preserve">, 2011; Munir </w:t>
      </w:r>
      <w:r w:rsidRPr="00A7058C">
        <w:rPr>
          <w:rStyle w:val="s1"/>
          <w:rFonts w:ascii="Arial" w:hAnsi="Arial" w:cs="Arial"/>
          <w:i/>
          <w:lang w:val="en-GB"/>
        </w:rPr>
        <w:t>et al.</w:t>
      </w:r>
      <w:r>
        <w:rPr>
          <w:rStyle w:val="s1"/>
          <w:rFonts w:ascii="Arial" w:hAnsi="Arial" w:cs="Arial"/>
          <w:lang w:val="en-GB"/>
        </w:rPr>
        <w:t xml:space="preserve">, 2012). </w:t>
      </w:r>
      <w:r w:rsidR="00361365">
        <w:rPr>
          <w:rStyle w:val="s1"/>
          <w:rFonts w:ascii="Arial" w:hAnsi="Arial" w:cs="Arial"/>
          <w:lang w:val="en-GB"/>
        </w:rPr>
        <w:t>S</w:t>
      </w:r>
      <w:r>
        <w:rPr>
          <w:rStyle w:val="s1"/>
          <w:rFonts w:ascii="Arial" w:hAnsi="Arial" w:cs="Arial"/>
          <w:lang w:val="en-GB"/>
        </w:rPr>
        <w:t xml:space="preserve">edentary time between call-outs, shift-related meal timing, energy-dense communal meals, and limited nutrition </w:t>
      </w:r>
      <w:r w:rsidR="009747CB">
        <w:rPr>
          <w:rStyle w:val="s1"/>
          <w:rFonts w:ascii="Arial" w:hAnsi="Arial" w:cs="Arial"/>
          <w:lang w:val="en-GB"/>
        </w:rPr>
        <w:t>support may contribute to obesity and chronic physiological strain</w:t>
      </w:r>
      <w:r w:rsidR="0038598F">
        <w:rPr>
          <w:rStyle w:val="s1"/>
          <w:rFonts w:ascii="Arial" w:hAnsi="Arial" w:cs="Arial"/>
          <w:lang w:val="en-GB"/>
        </w:rPr>
        <w:t xml:space="preserve">, </w:t>
      </w:r>
      <w:r>
        <w:rPr>
          <w:rStyle w:val="s1"/>
          <w:rFonts w:ascii="Arial" w:hAnsi="Arial" w:cs="Arial"/>
          <w:lang w:val="en-GB"/>
        </w:rPr>
        <w:t xml:space="preserve"> (Gonzalez </w:t>
      </w:r>
      <w:r w:rsidRPr="00A7058C">
        <w:rPr>
          <w:rStyle w:val="s1"/>
          <w:rFonts w:ascii="Arial" w:hAnsi="Arial" w:cs="Arial"/>
          <w:i/>
          <w:lang w:val="en-GB"/>
        </w:rPr>
        <w:t>et al.</w:t>
      </w:r>
      <w:r>
        <w:rPr>
          <w:rStyle w:val="s1"/>
          <w:rFonts w:ascii="Arial" w:hAnsi="Arial" w:cs="Arial"/>
          <w:lang w:val="en-GB"/>
        </w:rPr>
        <w:t xml:space="preserve">, 2022; Soteriades </w:t>
      </w:r>
      <w:r w:rsidRPr="00A7058C">
        <w:rPr>
          <w:rStyle w:val="s1"/>
          <w:rFonts w:ascii="Arial" w:hAnsi="Arial" w:cs="Arial"/>
          <w:i/>
          <w:lang w:val="en-GB"/>
        </w:rPr>
        <w:t>et al.</w:t>
      </w:r>
      <w:r>
        <w:rPr>
          <w:rStyle w:val="s1"/>
          <w:rFonts w:ascii="Arial" w:hAnsi="Arial" w:cs="Arial"/>
          <w:lang w:val="en-GB"/>
        </w:rPr>
        <w:t xml:space="preserve">, 2005; Smith, 2011; Bucala and Sweet, 2019; Ras </w:t>
      </w:r>
      <w:r w:rsidRPr="00A7058C">
        <w:rPr>
          <w:rStyle w:val="s1"/>
          <w:rFonts w:ascii="Arial" w:hAnsi="Arial" w:cs="Arial"/>
          <w:i/>
          <w:lang w:val="en-GB"/>
        </w:rPr>
        <w:t>et al.</w:t>
      </w:r>
      <w:r>
        <w:rPr>
          <w:rStyle w:val="s1"/>
          <w:rFonts w:ascii="Arial" w:hAnsi="Arial" w:cs="Arial"/>
          <w:lang w:val="en-GB"/>
        </w:rPr>
        <w:t>, 2023</w:t>
      </w:r>
      <w:r w:rsidR="00605FF3">
        <w:rPr>
          <w:rStyle w:val="s1"/>
          <w:rFonts w:ascii="Arial" w:hAnsi="Arial" w:cs="Arial"/>
          <w:lang w:val="en-GB"/>
        </w:rPr>
        <w:t>b</w:t>
      </w:r>
      <w:r>
        <w:rPr>
          <w:rStyle w:val="s1"/>
          <w:rFonts w:ascii="Arial" w:hAnsi="Arial" w:cs="Arial"/>
          <w:lang w:val="en-GB"/>
        </w:rPr>
        <w:t xml:space="preserve">; Wohlgemuth </w:t>
      </w:r>
      <w:r w:rsidRPr="00A7058C">
        <w:rPr>
          <w:rStyle w:val="s1"/>
          <w:rFonts w:ascii="Arial" w:hAnsi="Arial" w:cs="Arial"/>
          <w:i/>
          <w:lang w:val="en-GB"/>
        </w:rPr>
        <w:t>et al.</w:t>
      </w:r>
      <w:r>
        <w:rPr>
          <w:rStyle w:val="s1"/>
          <w:rFonts w:ascii="Arial" w:hAnsi="Arial" w:cs="Arial"/>
          <w:lang w:val="en-GB"/>
        </w:rPr>
        <w:t>, 2024)</w:t>
      </w:r>
      <w:r w:rsidR="0038598F">
        <w:rPr>
          <w:rStyle w:val="s1"/>
          <w:rFonts w:ascii="Arial" w:hAnsi="Arial" w:cs="Arial"/>
          <w:lang w:val="en-GB"/>
        </w:rPr>
        <w:t xml:space="preserve">, which may interact </w:t>
      </w:r>
      <w:r w:rsidR="003909F3">
        <w:rPr>
          <w:rStyle w:val="s1"/>
          <w:rFonts w:ascii="Arial" w:hAnsi="Arial" w:cs="Arial"/>
          <w:lang w:val="en-GB"/>
        </w:rPr>
        <w:t>with o</w:t>
      </w:r>
      <w:r>
        <w:rPr>
          <w:rStyle w:val="s1"/>
          <w:rFonts w:ascii="Arial" w:hAnsi="Arial" w:cs="Arial"/>
          <w:lang w:val="en-GB"/>
        </w:rPr>
        <w:t xml:space="preserve">ccupational exposures </w:t>
      </w:r>
      <w:r w:rsidR="00A236A6">
        <w:rPr>
          <w:rStyle w:val="s1"/>
          <w:rFonts w:ascii="Arial" w:hAnsi="Arial" w:cs="Arial"/>
          <w:lang w:val="en-GB"/>
        </w:rPr>
        <w:t xml:space="preserve">and </w:t>
      </w:r>
      <w:r>
        <w:rPr>
          <w:rStyle w:val="s1"/>
          <w:rFonts w:ascii="Arial" w:hAnsi="Arial" w:cs="Arial"/>
          <w:lang w:val="en-GB"/>
        </w:rPr>
        <w:t xml:space="preserve">personal </w:t>
      </w:r>
      <w:r>
        <w:rPr>
          <w:rStyle w:val="s1"/>
          <w:rFonts w:ascii="Arial" w:hAnsi="Arial" w:cs="Arial"/>
          <w:lang w:val="en-GB"/>
        </w:rPr>
        <w:lastRenderedPageBreak/>
        <w:t>health factors</w:t>
      </w:r>
      <w:r w:rsidR="009E301C">
        <w:rPr>
          <w:rStyle w:val="s1"/>
          <w:rFonts w:ascii="Arial" w:hAnsi="Arial" w:cs="Arial"/>
          <w:lang w:val="en-GB"/>
        </w:rPr>
        <w:t xml:space="preserve"> to </w:t>
      </w:r>
      <w:r>
        <w:rPr>
          <w:rStyle w:val="s1"/>
          <w:rFonts w:ascii="Arial" w:hAnsi="Arial" w:cs="Arial"/>
          <w:lang w:val="en-GB"/>
        </w:rPr>
        <w:t xml:space="preserve">promote chronic low-grade SI and OXS (Swiston </w:t>
      </w:r>
      <w:r w:rsidRPr="00A7058C">
        <w:rPr>
          <w:rStyle w:val="s1"/>
          <w:rFonts w:ascii="Arial" w:hAnsi="Arial" w:cs="Arial"/>
          <w:i/>
          <w:lang w:val="en-GB"/>
        </w:rPr>
        <w:t>et al.</w:t>
      </w:r>
      <w:r>
        <w:rPr>
          <w:rStyle w:val="s1"/>
          <w:rFonts w:ascii="Arial" w:hAnsi="Arial" w:cs="Arial"/>
          <w:lang w:val="en-GB"/>
        </w:rPr>
        <w:t xml:space="preserve">, 2008; Hejl </w:t>
      </w:r>
      <w:r w:rsidRPr="00A7058C">
        <w:rPr>
          <w:rStyle w:val="s1"/>
          <w:rFonts w:ascii="Arial" w:hAnsi="Arial" w:cs="Arial"/>
          <w:i/>
          <w:lang w:val="en-GB"/>
        </w:rPr>
        <w:t>et al.</w:t>
      </w:r>
      <w:r>
        <w:rPr>
          <w:rStyle w:val="s1"/>
          <w:rFonts w:ascii="Arial" w:hAnsi="Arial" w:cs="Arial"/>
          <w:lang w:val="en-GB"/>
        </w:rPr>
        <w:t xml:space="preserve">, 2013; Main </w:t>
      </w:r>
      <w:r w:rsidRPr="00A7058C">
        <w:rPr>
          <w:rStyle w:val="s1"/>
          <w:rFonts w:ascii="Arial" w:hAnsi="Arial" w:cs="Arial"/>
          <w:i/>
          <w:lang w:val="en-GB"/>
        </w:rPr>
        <w:t>et al.</w:t>
      </w:r>
      <w:r>
        <w:rPr>
          <w:rStyle w:val="s1"/>
          <w:rFonts w:ascii="Arial" w:hAnsi="Arial" w:cs="Arial"/>
          <w:lang w:val="en-GB"/>
        </w:rPr>
        <w:t xml:space="preserve">, 2020; Soteriades </w:t>
      </w:r>
      <w:r w:rsidRPr="00A7058C">
        <w:rPr>
          <w:rStyle w:val="s1"/>
          <w:rFonts w:ascii="Arial" w:hAnsi="Arial" w:cs="Arial"/>
          <w:i/>
          <w:lang w:val="en-GB"/>
        </w:rPr>
        <w:t>et al.</w:t>
      </w:r>
      <w:r>
        <w:rPr>
          <w:rStyle w:val="s1"/>
          <w:rFonts w:ascii="Arial" w:hAnsi="Arial" w:cs="Arial"/>
          <w:lang w:val="en-GB"/>
        </w:rPr>
        <w:t>, 2011).</w:t>
      </w:r>
    </w:p>
    <w:p w14:paraId="624E4123" w14:textId="77777777" w:rsidR="00C51A2D" w:rsidRDefault="00C51A2D" w:rsidP="00096CAD">
      <w:pPr>
        <w:pStyle w:val="p1"/>
        <w:spacing w:line="360" w:lineRule="auto"/>
      </w:pPr>
    </w:p>
    <w:p w14:paraId="273B58D9" w14:textId="394505FF" w:rsidR="009C7781" w:rsidRPr="00583F78" w:rsidRDefault="00C51A2D" w:rsidP="00583F78">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b/>
          <w:bCs/>
          <w:kern w:val="0"/>
          <w14:ligatures w14:val="none"/>
        </w:rPr>
        <w:t xml:space="preserve">Table </w:t>
      </w:r>
      <w:r w:rsidR="000C672E">
        <w:rPr>
          <w:rFonts w:ascii="Arial" w:eastAsia="Times New Roman" w:hAnsi="Arial" w:cs="Arial"/>
          <w:b/>
          <w:bCs/>
          <w:kern w:val="0"/>
          <w14:ligatures w14:val="none"/>
        </w:rPr>
        <w:t>2</w:t>
      </w:r>
      <w:r>
        <w:rPr>
          <w:rFonts w:ascii="Arial" w:eastAsia="Times New Roman" w:hAnsi="Arial" w:cs="Arial"/>
          <w:b/>
          <w:bCs/>
          <w:kern w:val="0"/>
          <w14:ligatures w14:val="none"/>
        </w:rPr>
        <w:t xml:space="preserve">.1. </w:t>
      </w:r>
      <w:r w:rsidRPr="00F17CD8">
        <w:rPr>
          <w:rFonts w:ascii="Arial" w:eastAsia="Times New Roman" w:hAnsi="Arial" w:cs="Arial"/>
          <w:kern w:val="0"/>
          <w14:ligatures w14:val="none"/>
        </w:rPr>
        <w:t>Firefighter occupational stressors, associated mechanisms and relevance to cardiovascular strain</w:t>
      </w:r>
    </w:p>
    <w:tbl>
      <w:tblPr>
        <w:tblW w:w="5000" w:type="pct"/>
        <w:tblBorders>
          <w:top w:val="single" w:sz="6" w:space="0" w:color="auto"/>
          <w:left w:val="single" w:sz="6" w:space="0" w:color="auto"/>
          <w:bottom w:val="single" w:sz="6" w:space="0" w:color="auto"/>
          <w:right w:val="single" w:sz="6" w:space="0" w:color="auto"/>
        </w:tblBorders>
        <w:tblLayout w:type="fixed"/>
        <w:tblCellMar>
          <w:top w:w="160" w:type="dxa"/>
          <w:left w:w="160" w:type="dxa"/>
          <w:bottom w:w="160" w:type="dxa"/>
          <w:right w:w="160" w:type="dxa"/>
        </w:tblCellMar>
        <w:tblLook w:val="04A0" w:firstRow="1" w:lastRow="0" w:firstColumn="1" w:lastColumn="0" w:noHBand="0" w:noVBand="1"/>
      </w:tblPr>
      <w:tblGrid>
        <w:gridCol w:w="986"/>
        <w:gridCol w:w="1134"/>
        <w:gridCol w:w="1559"/>
        <w:gridCol w:w="1417"/>
        <w:gridCol w:w="1276"/>
        <w:gridCol w:w="1417"/>
        <w:gridCol w:w="1555"/>
      </w:tblGrid>
      <w:tr w:rsidR="0069530D" w:rsidRPr="00AF1BD2" w14:paraId="1EFEE1D8" w14:textId="77777777" w:rsidTr="00D86B6E">
        <w:trPr>
          <w:tblHeader/>
        </w:trPr>
        <w:tc>
          <w:tcPr>
            <w:tcW w:w="52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6BCC0F0" w14:textId="77777777" w:rsidR="0069530D" w:rsidRPr="00AF1BD2" w:rsidRDefault="0069530D" w:rsidP="0069530D">
            <w:pPr>
              <w:spacing w:before="100" w:beforeAutospacing="1" w:after="100" w:afterAutospacing="1" w:line="240" w:lineRule="auto"/>
              <w:jc w:val="center"/>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Stressor</w:t>
            </w:r>
          </w:p>
        </w:tc>
        <w:tc>
          <w:tcPr>
            <w:tcW w:w="60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2427A8D" w14:textId="77777777" w:rsidR="0069530D" w:rsidRPr="00AF1BD2" w:rsidRDefault="0069530D" w:rsidP="0069530D">
            <w:pPr>
              <w:spacing w:before="100" w:beforeAutospacing="1" w:after="100" w:afterAutospacing="1" w:line="240" w:lineRule="auto"/>
              <w:jc w:val="center"/>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Exposure / trigger</w:t>
            </w:r>
          </w:p>
        </w:tc>
        <w:tc>
          <w:tcPr>
            <w:tcW w:w="83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B643203" w14:textId="77777777" w:rsidR="0069530D" w:rsidRPr="00AF1BD2" w:rsidRDefault="0069530D" w:rsidP="0069530D">
            <w:pPr>
              <w:spacing w:before="100" w:beforeAutospacing="1" w:after="100" w:afterAutospacing="1" w:line="240" w:lineRule="auto"/>
              <w:jc w:val="center"/>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Key findings and detail</w:t>
            </w:r>
          </w:p>
        </w:tc>
        <w:tc>
          <w:tcPr>
            <w:tcW w:w="7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DDF7F2C" w14:textId="77777777" w:rsidR="0069530D" w:rsidRPr="00AF1BD2" w:rsidRDefault="0069530D" w:rsidP="0069530D">
            <w:pPr>
              <w:spacing w:before="100" w:beforeAutospacing="1" w:after="100" w:afterAutospacing="1" w:line="240" w:lineRule="auto"/>
              <w:jc w:val="center"/>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Associated mechanism(s)</w:t>
            </w:r>
          </w:p>
        </w:tc>
        <w:tc>
          <w:tcPr>
            <w:tcW w:w="68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21EA2E8" w14:textId="77777777" w:rsidR="0069530D" w:rsidRPr="00AF1BD2" w:rsidRDefault="0069530D" w:rsidP="0069530D">
            <w:pPr>
              <w:spacing w:before="100" w:beforeAutospacing="1" w:after="100" w:afterAutospacing="1" w:line="240" w:lineRule="auto"/>
              <w:jc w:val="center"/>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Potential relevance to CV strain and occupational performance</w:t>
            </w:r>
          </w:p>
        </w:tc>
        <w:tc>
          <w:tcPr>
            <w:tcW w:w="7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C5C9C03" w14:textId="77777777" w:rsidR="0069530D" w:rsidRPr="00AF1BD2" w:rsidRDefault="0069530D" w:rsidP="0069530D">
            <w:pPr>
              <w:spacing w:before="100" w:beforeAutospacing="1" w:after="100" w:afterAutospacing="1" w:line="240" w:lineRule="auto"/>
              <w:jc w:val="center"/>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Critical appraisal</w:t>
            </w:r>
          </w:p>
        </w:tc>
        <w:tc>
          <w:tcPr>
            <w:tcW w:w="83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7D9F0FD" w14:textId="77777777" w:rsidR="0069530D" w:rsidRPr="00AF1BD2" w:rsidRDefault="0069530D" w:rsidP="0069530D">
            <w:pPr>
              <w:spacing w:before="100" w:beforeAutospacing="1" w:after="100" w:afterAutospacing="1" w:line="240" w:lineRule="auto"/>
              <w:jc w:val="center"/>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Key supporting sources</w:t>
            </w:r>
          </w:p>
        </w:tc>
      </w:tr>
      <w:tr w:rsidR="0069530D" w:rsidRPr="00AF1BD2" w14:paraId="4911867E" w14:textId="77777777" w:rsidTr="00D86B6E">
        <w:tc>
          <w:tcPr>
            <w:tcW w:w="52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32ADD55"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Cumulative occupational strain</w:t>
            </w:r>
          </w:p>
        </w:tc>
        <w:tc>
          <w:tcPr>
            <w:tcW w:w="60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E79D2C2"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FFs experience multiple interacting stressors across service.</w:t>
            </w:r>
          </w:p>
        </w:tc>
        <w:tc>
          <w:tcPr>
            <w:tcW w:w="83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2971DE3"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Heat, smoke, sleep disruption, inadequate recovery, psychological strain, obesity and poorer diet may collectively impose oxidative and inflammatory load over time.</w:t>
            </w:r>
          </w:p>
        </w:tc>
        <w:tc>
          <w:tcPr>
            <w:tcW w:w="7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A627D42"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Repeated exposure may promote cumulative physiological strain consistent with allostatic load models.</w:t>
            </w:r>
          </w:p>
        </w:tc>
        <w:tc>
          <w:tcPr>
            <w:tcW w:w="68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F6C271E"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May contribute to progressive CV burden, impaired recovery and reduced occupational longevity.</w:t>
            </w:r>
          </w:p>
        </w:tc>
        <w:tc>
          <w:tcPr>
            <w:tcW w:w="7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3257115"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Useful integrative framework, but cumulative strain is inferred from converging evidence rather than directly measured.</w:t>
            </w:r>
          </w:p>
        </w:tc>
        <w:tc>
          <w:tcPr>
            <w:tcW w:w="83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E6FFB89"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Smith et al., 2011; Choudhury et al., 2025; Gonzalez et al., 2024</w:t>
            </w:r>
          </w:p>
        </w:tc>
      </w:tr>
      <w:tr w:rsidR="0069530D" w:rsidRPr="00AF1BD2" w14:paraId="0BF9FF33" w14:textId="77777777" w:rsidTr="00D86B6E">
        <w:tc>
          <w:tcPr>
            <w:tcW w:w="52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06173CE"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Heat stress and PPE / SCBA load</w:t>
            </w:r>
          </w:p>
        </w:tc>
        <w:tc>
          <w:tcPr>
            <w:tcW w:w="60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5A46C1E"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Fire suppression exposes FFs to high temperatures, insulated PPE, SCBA and repeated work bouts.</w:t>
            </w:r>
          </w:p>
        </w:tc>
        <w:tc>
          <w:tcPr>
            <w:tcW w:w="83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FD4A346"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Core temperature can rise by &gt;1.5°C to 1.8°C during repeated tasks; dehydration is common, with 1.1% body mass loss reported after live-fire activity and continual dehydration reported in many FFs.</w:t>
            </w:r>
          </w:p>
        </w:tc>
        <w:tc>
          <w:tcPr>
            <w:tcW w:w="7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B888F51"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Thermal strain, dehydration and repeated exertion elevate HR and haemodynamic load and may contribute to inflammation.</w:t>
            </w:r>
          </w:p>
        </w:tc>
        <w:tc>
          <w:tcPr>
            <w:tcW w:w="68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0EEFCEE"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May increase tachycardia, reduce work tolerance and impair recovery.</w:t>
            </w:r>
          </w:p>
        </w:tc>
        <w:tc>
          <w:tcPr>
            <w:tcW w:w="7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B69FC86"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Strong FF-specific acute evidence, but studies are mainly short-term and cannot fully separate heat from exertion and dehydration.</w:t>
            </w:r>
          </w:p>
        </w:tc>
        <w:tc>
          <w:tcPr>
            <w:tcW w:w="83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C094DC8"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Smith and Petruzzello, 1998; Horn et al., 2013; Barr et al., 2010; Fernhall et al., 2012; Holland-Winkler et al., 2024; Suminski et al., 2019; Houser et al., 2023</w:t>
            </w:r>
          </w:p>
        </w:tc>
      </w:tr>
      <w:tr w:rsidR="0069530D" w:rsidRPr="00AF1BD2" w14:paraId="4F70F4B8" w14:textId="77777777" w:rsidTr="00D86B6E">
        <w:tc>
          <w:tcPr>
            <w:tcW w:w="52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0BFFFA7"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Heat adaptation / counterargument</w:t>
            </w:r>
          </w:p>
        </w:tc>
        <w:tc>
          <w:tcPr>
            <w:tcW w:w="60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0BF5F05"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Older or more experienced FFs may show attenuated thermal responses.</w:t>
            </w:r>
          </w:p>
        </w:tc>
        <w:tc>
          <w:tcPr>
            <w:tcW w:w="83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8AD02E2"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Some studies report less thermal reaction in ageing FFs, although FF and non-FF groups showed similar CV and hydration responses.</w:t>
            </w:r>
          </w:p>
        </w:tc>
        <w:tc>
          <w:tcPr>
            <w:tcW w:w="7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0545731"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Possible partial occupational adaptation to heat.</w:t>
            </w:r>
          </w:p>
        </w:tc>
        <w:tc>
          <w:tcPr>
            <w:tcW w:w="68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EA1CA65"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May attenuate some acute responses, but does not clearly remove CV or inflammatory burden.</w:t>
            </w:r>
          </w:p>
        </w:tc>
        <w:tc>
          <w:tcPr>
            <w:tcW w:w="7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FDE4521"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Important counterpoint, but evidence does not establish robust protective adaptation.</w:t>
            </w:r>
          </w:p>
        </w:tc>
        <w:tc>
          <w:tcPr>
            <w:tcW w:w="83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D0EE4EB"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Wright et al., 2013; Wright-Beatty et al., 2014</w:t>
            </w:r>
          </w:p>
        </w:tc>
      </w:tr>
      <w:tr w:rsidR="0069530D" w:rsidRPr="00AF1BD2" w14:paraId="12544B8A" w14:textId="77777777" w:rsidTr="00D86B6E">
        <w:tc>
          <w:tcPr>
            <w:tcW w:w="52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B691F85"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 xml:space="preserve">Heat-related acute cardiac </w:t>
            </w:r>
            <w:r w:rsidRPr="00AF1BD2">
              <w:rPr>
                <w:rFonts w:ascii="Arial" w:eastAsiaTheme="minorEastAsia" w:hAnsi="Arial" w:cs="Arial"/>
                <w:kern w:val="0"/>
                <w:sz w:val="16"/>
                <w:szCs w:val="16"/>
                <w:lang w:val="en-GB" w:eastAsia="en-GB"/>
                <w14:ligatures w14:val="none"/>
              </w:rPr>
              <w:lastRenderedPageBreak/>
              <w:t>and vascular effects</w:t>
            </w:r>
          </w:p>
        </w:tc>
        <w:tc>
          <w:tcPr>
            <w:tcW w:w="60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AEB01A4"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lastRenderedPageBreak/>
              <w:t xml:space="preserve">Live-firefighting and acute tasks </w:t>
            </w:r>
            <w:r w:rsidRPr="00AF1BD2">
              <w:rPr>
                <w:rFonts w:ascii="Arial" w:eastAsiaTheme="minorEastAsia" w:hAnsi="Arial" w:cs="Arial"/>
                <w:kern w:val="0"/>
                <w:sz w:val="16"/>
                <w:szCs w:val="16"/>
                <w:lang w:val="en-GB" w:eastAsia="en-GB"/>
                <w14:ligatures w14:val="none"/>
              </w:rPr>
              <w:lastRenderedPageBreak/>
              <w:t>under heat load.</w:t>
            </w:r>
          </w:p>
        </w:tc>
        <w:tc>
          <w:tcPr>
            <w:tcW w:w="83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4AABFA1"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lastRenderedPageBreak/>
              <w:t xml:space="preserve">Live-firefighting has been associated with reduced </w:t>
            </w:r>
            <w:r w:rsidRPr="00AF1BD2">
              <w:rPr>
                <w:rFonts w:ascii="Arial" w:eastAsiaTheme="minorEastAsia" w:hAnsi="Arial" w:cs="Arial"/>
                <w:kern w:val="0"/>
                <w:sz w:val="16"/>
                <w:szCs w:val="16"/>
                <w:lang w:val="en-GB" w:eastAsia="en-GB"/>
                <w14:ligatures w14:val="none"/>
              </w:rPr>
              <w:lastRenderedPageBreak/>
              <w:t>diastolic dimension, stroke volume and arterial compliance, alongside tachycardia. Acute activity also increased aortic diastolic BP, augmentation index and pulse wave velocity.</w:t>
            </w:r>
          </w:p>
        </w:tc>
        <w:tc>
          <w:tcPr>
            <w:tcW w:w="7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5864F2B"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lastRenderedPageBreak/>
              <w:t xml:space="preserve">Thermal strain, dehydration, vasodilation </w:t>
            </w:r>
            <w:r w:rsidRPr="00AF1BD2">
              <w:rPr>
                <w:rFonts w:ascii="Arial" w:eastAsiaTheme="minorEastAsia" w:hAnsi="Arial" w:cs="Arial"/>
                <w:kern w:val="0"/>
                <w:sz w:val="16"/>
                <w:szCs w:val="16"/>
                <w:lang w:val="en-GB" w:eastAsia="en-GB"/>
                <w14:ligatures w14:val="none"/>
              </w:rPr>
              <w:lastRenderedPageBreak/>
              <w:t>and workload may impair transient cardiac efficiency and alter arterial function.</w:t>
            </w:r>
          </w:p>
        </w:tc>
        <w:tc>
          <w:tcPr>
            <w:tcW w:w="68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C97E9A1"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lastRenderedPageBreak/>
              <w:t xml:space="preserve">May contribute to tachycardia, increased </w:t>
            </w:r>
            <w:r w:rsidRPr="00AF1BD2">
              <w:rPr>
                <w:rFonts w:ascii="Arial" w:eastAsiaTheme="minorEastAsia" w:hAnsi="Arial" w:cs="Arial"/>
                <w:kern w:val="0"/>
                <w:sz w:val="16"/>
                <w:szCs w:val="16"/>
                <w:lang w:val="en-GB" w:eastAsia="en-GB"/>
                <w14:ligatures w14:val="none"/>
              </w:rPr>
              <w:lastRenderedPageBreak/>
              <w:t>arterial stiffness, altered haemodynamics and transient reductions in cardiac efficiency during FF activity.</w:t>
            </w:r>
          </w:p>
        </w:tc>
        <w:tc>
          <w:tcPr>
            <w:tcW w:w="7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AEAAA7E"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lastRenderedPageBreak/>
              <w:t xml:space="preserve">Mechanistically strong, but limited to acute </w:t>
            </w:r>
            <w:r w:rsidRPr="00AF1BD2">
              <w:rPr>
                <w:rFonts w:ascii="Arial" w:eastAsiaTheme="minorEastAsia" w:hAnsi="Arial" w:cs="Arial"/>
                <w:kern w:val="0"/>
                <w:sz w:val="16"/>
                <w:szCs w:val="16"/>
                <w:lang w:val="en-GB" w:eastAsia="en-GB"/>
                <w14:ligatures w14:val="none"/>
              </w:rPr>
              <w:lastRenderedPageBreak/>
              <w:t>physiological inference; long-term significance remains uncertain.</w:t>
            </w:r>
          </w:p>
        </w:tc>
        <w:tc>
          <w:tcPr>
            <w:tcW w:w="83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79B77EB"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lastRenderedPageBreak/>
              <w:t>Fernhall et al., 2012; Fahs et al., 2011</w:t>
            </w:r>
          </w:p>
        </w:tc>
      </w:tr>
      <w:tr w:rsidR="0069530D" w:rsidRPr="00AF1BD2" w14:paraId="09659D01" w14:textId="77777777" w:rsidTr="00D86B6E">
        <w:tc>
          <w:tcPr>
            <w:tcW w:w="52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6E2A674"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Heat-related inflammatory activation</w:t>
            </w:r>
          </w:p>
        </w:tc>
        <w:tc>
          <w:tcPr>
            <w:tcW w:w="60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0188843"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Repeated or extreme heat exposure in FFs and FF instructors.</w:t>
            </w:r>
          </w:p>
        </w:tc>
        <w:tc>
          <w:tcPr>
            <w:tcW w:w="83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83016D4"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Heat exposure has been associated with elevations in leukocytes, platelets, IL-6, IL-8, IL-1β, TNF-α and CRP, with some markers remaining elevated ≥24 h.</w:t>
            </w:r>
          </w:p>
        </w:tc>
        <w:tc>
          <w:tcPr>
            <w:tcW w:w="7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7E8AE76"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Proposed mechanisms include thermal strain and possible gut-derived lipopolysaccharide translocation stimulating cytokine release.</w:t>
            </w:r>
          </w:p>
        </w:tc>
        <w:tc>
          <w:tcPr>
            <w:tcW w:w="68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479DE7A"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Suggests heat contributes to both haemodynamic strain and inflammatory load relevant to CV risk and performance.</w:t>
            </w:r>
          </w:p>
        </w:tc>
        <w:tc>
          <w:tcPr>
            <w:tcW w:w="7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258C0AB"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Findings are mixed; differences in age, adaptation and protocol limit consistency.</w:t>
            </w:r>
          </w:p>
        </w:tc>
        <w:tc>
          <w:tcPr>
            <w:tcW w:w="83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1E42B7F"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Walker et al., 2015; Wright-Beatty et al., 2014; Watkins et al., 2021; Watkins et al., 2024</w:t>
            </w:r>
          </w:p>
        </w:tc>
      </w:tr>
      <w:tr w:rsidR="0069530D" w:rsidRPr="00AF1BD2" w14:paraId="30558A0A" w14:textId="77777777" w:rsidTr="00D86B6E">
        <w:tc>
          <w:tcPr>
            <w:tcW w:w="52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A44D820"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Smoke toxicants and combustion products</w:t>
            </w:r>
          </w:p>
        </w:tc>
        <w:tc>
          <w:tcPr>
            <w:tcW w:w="60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E241645"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FFs inhale and absorb PAHs, benzene, formaldehyde and VOCs during fire suppression.</w:t>
            </w:r>
          </w:p>
        </w:tc>
        <w:tc>
          <w:tcPr>
            <w:tcW w:w="83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9773C52" w14:textId="7F9E890B"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 xml:space="preserve">Fire suppression exposes FFs to multiple toxicants through </w:t>
            </w:r>
            <w:r w:rsidR="00BD62DA" w:rsidRPr="00AF1BD2">
              <w:rPr>
                <w:rFonts w:ascii="Arial" w:eastAsiaTheme="minorEastAsia" w:hAnsi="Arial" w:cs="Arial"/>
                <w:kern w:val="0"/>
                <w:sz w:val="16"/>
                <w:szCs w:val="16"/>
                <w:lang w:val="en-GB" w:eastAsia="en-GB"/>
                <w14:ligatures w14:val="none"/>
              </w:rPr>
              <w:t>inhalation</w:t>
            </w:r>
            <w:r w:rsidRPr="00AF1BD2">
              <w:rPr>
                <w:rFonts w:ascii="Arial" w:eastAsiaTheme="minorEastAsia" w:hAnsi="Arial" w:cs="Arial"/>
                <w:kern w:val="0"/>
                <w:sz w:val="16"/>
                <w:szCs w:val="16"/>
                <w:lang w:val="en-GB" w:eastAsia="en-GB"/>
                <w14:ligatures w14:val="none"/>
              </w:rPr>
              <w:t xml:space="preserve"> and dermal routes.</w:t>
            </w:r>
          </w:p>
        </w:tc>
        <w:tc>
          <w:tcPr>
            <w:tcW w:w="7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E51D4CD"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Toxicants can activate redox-sensitive and inflammatory pathways, including NF-κB, promoting IL-6, TNF-α and CRP.</w:t>
            </w:r>
          </w:p>
        </w:tc>
        <w:tc>
          <w:tcPr>
            <w:tcW w:w="68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45DB376"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Supports a plausible pathway towards endothelial dysfunction, vascular strain and cumulative CV burden.</w:t>
            </w:r>
          </w:p>
        </w:tc>
        <w:tc>
          <w:tcPr>
            <w:tcW w:w="7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9BA7A6E"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Strong occupational relevance and biological plausibility, but exposure intensity varies by incident, task and protection.</w:t>
            </w:r>
          </w:p>
        </w:tc>
        <w:tc>
          <w:tcPr>
            <w:tcW w:w="83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1F78928" w14:textId="61971F33"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 xml:space="preserve">Fent et al., 2014; Fent et al., 2020; Gonzalez et al., </w:t>
            </w:r>
            <w:r w:rsidR="00D65013">
              <w:rPr>
                <w:rFonts w:ascii="Arial" w:eastAsiaTheme="minorEastAsia" w:hAnsi="Arial" w:cs="Arial"/>
                <w:kern w:val="0"/>
                <w:sz w:val="16"/>
                <w:szCs w:val="16"/>
                <w:lang w:val="en-GB" w:eastAsia="en-GB"/>
                <w14:ligatures w14:val="none"/>
              </w:rPr>
              <w:t>2024</w:t>
            </w:r>
            <w:r w:rsidRPr="00AF1BD2">
              <w:rPr>
                <w:rFonts w:ascii="Arial" w:eastAsiaTheme="minorEastAsia" w:hAnsi="Arial" w:cs="Arial"/>
                <w:kern w:val="0"/>
                <w:sz w:val="16"/>
                <w:szCs w:val="16"/>
                <w:lang w:val="en-GB" w:eastAsia="en-GB"/>
                <w14:ligatures w14:val="none"/>
              </w:rPr>
              <w:t>; Young et al., 2021; Engelsman et al., 2020; Baxter et al., 2014; Shukla et al., 2000; Wang et al., 2017; Swiston et al., 2008; Adetona et al., 2013; Adetona et al., 2016; Frumento and Tãlu, 2024; Cui et al., 2025; Ha et al., 2024</w:t>
            </w:r>
          </w:p>
        </w:tc>
      </w:tr>
      <w:tr w:rsidR="0069530D" w:rsidRPr="00AF1BD2" w14:paraId="594ACB95" w14:textId="77777777" w:rsidTr="00D86B6E">
        <w:tc>
          <w:tcPr>
            <w:tcW w:w="52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C9D788C"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Oxidative stress and inflammatory biomarkers after smoke exposure</w:t>
            </w:r>
          </w:p>
        </w:tc>
        <w:tc>
          <w:tcPr>
            <w:tcW w:w="60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02687AD"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Live incidents, controlled burns and wildfire deployment.</w:t>
            </w:r>
          </w:p>
        </w:tc>
        <w:tc>
          <w:tcPr>
            <w:tcW w:w="83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12FB225"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 xml:space="preserve">Urinary 8-oxo-dG and 8-isoprostane increase after fire exposure and may persist into recovery. Higher oxidative stress has also been reported </w:t>
            </w:r>
            <w:r w:rsidRPr="00AF1BD2">
              <w:rPr>
                <w:rFonts w:ascii="Arial" w:eastAsiaTheme="minorEastAsia" w:hAnsi="Arial" w:cs="Arial"/>
                <w:kern w:val="0"/>
                <w:sz w:val="16"/>
                <w:szCs w:val="16"/>
                <w:lang w:val="en-GB" w:eastAsia="en-GB"/>
                <w14:ligatures w14:val="none"/>
              </w:rPr>
              <w:lastRenderedPageBreak/>
              <w:t>with longer service duration.</w:t>
            </w:r>
          </w:p>
        </w:tc>
        <w:tc>
          <w:tcPr>
            <w:tcW w:w="7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DD1F50F"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lastRenderedPageBreak/>
              <w:t>Oxidative and inflammatory perturbation may extend beyond the immediate incident.</w:t>
            </w:r>
          </w:p>
        </w:tc>
        <w:tc>
          <w:tcPr>
            <w:tcW w:w="68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AB2FC19"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May contribute to repeated vascular insult and incomplete recovery across shifts.</w:t>
            </w:r>
          </w:p>
        </w:tc>
        <w:tc>
          <w:tcPr>
            <w:tcW w:w="7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F7DFA2C"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 xml:space="preserve">Repeated-measures biomonitoring strengthens the evidence, but short-term biomarker change alone cannot confirm </w:t>
            </w:r>
            <w:r w:rsidRPr="00AF1BD2">
              <w:rPr>
                <w:rFonts w:ascii="Arial" w:eastAsiaTheme="minorEastAsia" w:hAnsi="Arial" w:cs="Arial"/>
                <w:kern w:val="0"/>
                <w:sz w:val="16"/>
                <w:szCs w:val="16"/>
                <w:lang w:val="en-GB" w:eastAsia="en-GB"/>
                <w14:ligatures w14:val="none"/>
              </w:rPr>
              <w:lastRenderedPageBreak/>
              <w:t>long-term disease.</w:t>
            </w:r>
          </w:p>
        </w:tc>
        <w:tc>
          <w:tcPr>
            <w:tcW w:w="83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EF35D2F" w14:textId="08373386"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lastRenderedPageBreak/>
              <w:t>Swiston et al., 2008; Adetona et al., 2013; Gaughan et al., 2014</w:t>
            </w:r>
            <w:r w:rsidR="004F798F">
              <w:rPr>
                <w:rFonts w:ascii="Arial" w:eastAsiaTheme="minorEastAsia" w:hAnsi="Arial" w:cs="Arial"/>
                <w:kern w:val="0"/>
                <w:sz w:val="16"/>
                <w:szCs w:val="16"/>
                <w:lang w:val="en-GB" w:eastAsia="en-GB"/>
                <w14:ligatures w14:val="none"/>
              </w:rPr>
              <w:t>b</w:t>
            </w:r>
            <w:r w:rsidRPr="00AF1BD2">
              <w:rPr>
                <w:rFonts w:ascii="Arial" w:eastAsiaTheme="minorEastAsia" w:hAnsi="Arial" w:cs="Arial"/>
                <w:kern w:val="0"/>
                <w:sz w:val="16"/>
                <w:szCs w:val="16"/>
                <w:lang w:val="en-GB" w:eastAsia="en-GB"/>
                <w14:ligatures w14:val="none"/>
              </w:rPr>
              <w:t xml:space="preserve">; Main et al., 2020; Smith et al., 2019; Navarro et al., 2022; </w:t>
            </w:r>
            <w:r w:rsidRPr="00AF1BD2">
              <w:rPr>
                <w:rFonts w:ascii="Arial" w:eastAsiaTheme="minorEastAsia" w:hAnsi="Arial" w:cs="Arial"/>
                <w:kern w:val="0"/>
                <w:sz w:val="16"/>
                <w:szCs w:val="16"/>
                <w:lang w:val="en-GB" w:eastAsia="en-GB"/>
                <w14:ligatures w14:val="none"/>
              </w:rPr>
              <w:lastRenderedPageBreak/>
              <w:t>Richardson et al., 2023a</w:t>
            </w:r>
          </w:p>
        </w:tc>
      </w:tr>
      <w:tr w:rsidR="0069530D" w:rsidRPr="00AF1BD2" w14:paraId="667DA7BF" w14:textId="77777777" w:rsidTr="00D86B6E">
        <w:tc>
          <w:tcPr>
            <w:tcW w:w="52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571088B"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lastRenderedPageBreak/>
              <w:t>Exposure variability and PPE limits</w:t>
            </w:r>
          </w:p>
        </w:tc>
        <w:tc>
          <w:tcPr>
            <w:tcW w:w="60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C61882C"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Exposure varies by PPE use, respiratory protection, task intensity, sampling timing and wildfire deployment.</w:t>
            </w:r>
          </w:p>
        </w:tc>
        <w:tc>
          <w:tcPr>
            <w:tcW w:w="83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4B1EB5B"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Wildfire deployment may involve inconsistent respiratory protection. PPE does not fully prevent dermal absorption and contaminated gear may act as a secondary exposure source.</w:t>
            </w:r>
          </w:p>
        </w:tc>
        <w:tc>
          <w:tcPr>
            <w:tcW w:w="7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89EE722" w14:textId="099735B7" w:rsidR="0069530D" w:rsidRPr="00AF1BD2" w:rsidRDefault="009524B6"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Inhalation</w:t>
            </w:r>
            <w:r w:rsidR="0069530D" w:rsidRPr="00AF1BD2">
              <w:rPr>
                <w:rFonts w:ascii="Arial" w:eastAsiaTheme="minorEastAsia" w:hAnsi="Arial" w:cs="Arial"/>
                <w:kern w:val="0"/>
                <w:sz w:val="16"/>
                <w:szCs w:val="16"/>
                <w:lang w:val="en-GB" w:eastAsia="en-GB"/>
                <w14:ligatures w14:val="none"/>
              </w:rPr>
              <w:t xml:space="preserve"> and dermal routes likely both contribute to toxicant dose.</w:t>
            </w:r>
          </w:p>
        </w:tc>
        <w:tc>
          <w:tcPr>
            <w:tcW w:w="68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31604D5"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May amplify oxidative and inflammatory burden even when PPE is used.</w:t>
            </w:r>
          </w:p>
        </w:tc>
        <w:tc>
          <w:tcPr>
            <w:tcW w:w="7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EC40E0E"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Occupationally important, but exposure quantification remains difficult and heterogeneous.</w:t>
            </w:r>
          </w:p>
        </w:tc>
        <w:tc>
          <w:tcPr>
            <w:tcW w:w="83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25C3583"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Domitrovich et al., 2017; Navarro et al., 2022; Fent et al., 2020; Sousa et al., 2022; Araviiskaia et al., 2019; Gonzalez et al., 2024</w:t>
            </w:r>
          </w:p>
        </w:tc>
      </w:tr>
      <w:tr w:rsidR="0069530D" w:rsidRPr="00AF1BD2" w14:paraId="5C84BFE1" w14:textId="77777777" w:rsidTr="00D86B6E">
        <w:tc>
          <w:tcPr>
            <w:tcW w:w="52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D993D53"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Carcinogenicity and acute CV implications of smoke</w:t>
            </w:r>
          </w:p>
        </w:tc>
        <w:tc>
          <w:tcPr>
            <w:tcW w:w="60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AD28B6A"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Firefighting and smoke exposure are associated with cancer risk and acute CV disturbance.</w:t>
            </w:r>
          </w:p>
        </w:tc>
        <w:tc>
          <w:tcPr>
            <w:tcW w:w="83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A3B61DB"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Firefighting has been classified as carcinogenic. Smoke exposure is also associated with arrhythmias, reduced HRV and elevated BP.</w:t>
            </w:r>
          </w:p>
        </w:tc>
        <w:tc>
          <w:tcPr>
            <w:tcW w:w="7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326149B"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Proposed pathways include oxidative stress, endothelial dysfunction, pro-inflammatory and pro-thrombotic signalling, increased coagulability and accelerated atherosclerosis.</w:t>
            </w:r>
          </w:p>
        </w:tc>
        <w:tc>
          <w:tcPr>
            <w:tcW w:w="68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6F1567F"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May compound acute CV strain and longer-term vascular burden.</w:t>
            </w:r>
          </w:p>
        </w:tc>
        <w:tc>
          <w:tcPr>
            <w:tcW w:w="7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3903E53"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Strong mechanistic rationale, but long-term causality remains difficult to isolate in FF cohorts.</w:t>
            </w:r>
          </w:p>
        </w:tc>
        <w:tc>
          <w:tcPr>
            <w:tcW w:w="83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FB3B71D"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IARC, 2010; I.W.G., 2023; Demers et al., 2022; Barros et al., 2023; Dockery, 2001; Goldberg et al., 2001; Mittleman, 2007; Smith et al., 2013; Simkhovich et al., 2009</w:t>
            </w:r>
          </w:p>
        </w:tc>
      </w:tr>
      <w:tr w:rsidR="0069530D" w:rsidRPr="00AF1BD2" w14:paraId="77C685DC" w14:textId="77777777" w:rsidTr="00D86B6E">
        <w:tc>
          <w:tcPr>
            <w:tcW w:w="52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BC20D9A"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Sleep disruption and inadequate recovery</w:t>
            </w:r>
          </w:p>
        </w:tc>
        <w:tc>
          <w:tcPr>
            <w:tcW w:w="60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E90B83F"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Fragmented sleep due to shift work, call-outs and sustained alertness.</w:t>
            </w:r>
          </w:p>
        </w:tc>
        <w:tc>
          <w:tcPr>
            <w:tcW w:w="83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0F9008F"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FFs report short sleep duration, around 5 h 21 min. Broader epidemiology links short sleep with hypertension, CV issues and cardiometabolic risk.</w:t>
            </w:r>
          </w:p>
        </w:tc>
        <w:tc>
          <w:tcPr>
            <w:tcW w:w="7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B974637"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Restricted sleep may increase sympathetic activity, impair autonomic recovery and worsen HR/BP regulation.</w:t>
            </w:r>
          </w:p>
        </w:tc>
        <w:tc>
          <w:tcPr>
            <w:tcW w:w="68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56D84C6"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May elevate resting CV load, reduce readiness and impair performance.</w:t>
            </w:r>
          </w:p>
        </w:tc>
        <w:tc>
          <w:tcPr>
            <w:tcW w:w="7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58B5CC5"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Occupationally relevant, but many studies rely on self-report and are confounded by adiposity, fitness and psychosocial stress.</w:t>
            </w:r>
          </w:p>
        </w:tc>
        <w:tc>
          <w:tcPr>
            <w:tcW w:w="83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E72DE49"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Stout et al., 2021; Rosekind et al., 1997; Scott et al., 2024; Gottlieb et al., 2006; Li and Shang, 2021; Abdelmoaty et al., 2025; Lao et al., 2018; Buxton and Marcelli, 2010; Palagini et al., 2013; Liu and Tanaka, 2002; Yamasaki et al., 1998; Van Amelsvoort et al., 2000; Wolk et al., 2005; Kales et al., 2009</w:t>
            </w:r>
          </w:p>
        </w:tc>
      </w:tr>
      <w:tr w:rsidR="0069530D" w:rsidRPr="00AF1BD2" w14:paraId="2FDB6E6B" w14:textId="77777777" w:rsidTr="00D86B6E">
        <w:tc>
          <w:tcPr>
            <w:tcW w:w="52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60A45FB"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lastRenderedPageBreak/>
              <w:t>FF-specific sleep associations</w:t>
            </w:r>
          </w:p>
        </w:tc>
        <w:tc>
          <w:tcPr>
            <w:tcW w:w="60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32B67CE"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Cross-sectional occupational data in FFs.</w:t>
            </w:r>
          </w:p>
        </w:tc>
        <w:tc>
          <w:tcPr>
            <w:tcW w:w="83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33A1776"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Poor sleepers and FFs sleeping ≤6 h/night had higher body mass, BMI, body fat, obesity prevalence and hypertension than better sleepers.</w:t>
            </w:r>
          </w:p>
        </w:tc>
        <w:tc>
          <w:tcPr>
            <w:tcW w:w="7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6A2EA99"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Suggests restricted sleep coexists with poorer cardiometabolic profile.</w:t>
            </w:r>
          </w:p>
        </w:tc>
        <w:tc>
          <w:tcPr>
            <w:tcW w:w="68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30EDC87"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Supports sleep as a plausible contributor to cumulative CV strain in FFs.</w:t>
            </w:r>
          </w:p>
        </w:tc>
        <w:tc>
          <w:tcPr>
            <w:tcW w:w="7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C2F04ED"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Useful occupational signal, but cross-sectional design cannot establish causality.</w:t>
            </w:r>
          </w:p>
        </w:tc>
        <w:tc>
          <w:tcPr>
            <w:tcW w:w="83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2DCE8CA"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Romero Cabrera et al., 2021</w:t>
            </w:r>
          </w:p>
        </w:tc>
      </w:tr>
      <w:tr w:rsidR="0069530D" w:rsidRPr="00AF1BD2" w14:paraId="12C5F3DE" w14:textId="77777777" w:rsidTr="00D86B6E">
        <w:tc>
          <w:tcPr>
            <w:tcW w:w="52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027BAF8"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Sleep loss and inflammation</w:t>
            </w:r>
          </w:p>
        </w:tc>
        <w:tc>
          <w:tcPr>
            <w:tcW w:w="60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F3C6321"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Acute and repeated sleep restriction.</w:t>
            </w:r>
          </w:p>
        </w:tc>
        <w:tc>
          <w:tcPr>
            <w:tcW w:w="83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AB3DB2E"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Sleep restriction has been linked with higher TNF-α and IL-6 in some models, although findings are inconsistent.</w:t>
            </w:r>
          </w:p>
        </w:tc>
        <w:tc>
          <w:tcPr>
            <w:tcW w:w="7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0EC46A8"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Sleep loss may increase inflammatory signalling, endothelial stress and sustained BP dysregulation.</w:t>
            </w:r>
          </w:p>
        </w:tc>
        <w:tc>
          <w:tcPr>
            <w:tcW w:w="68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35F77CC"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May prolong CV load and impair recovery between duties.</w:t>
            </w:r>
          </w:p>
        </w:tc>
        <w:tc>
          <w:tcPr>
            <w:tcW w:w="7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0837BA4"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Findings are mixed, suggesting responses depend on severity and context of sleep loss.</w:t>
            </w:r>
          </w:p>
        </w:tc>
        <w:tc>
          <w:tcPr>
            <w:tcW w:w="83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F2B14B3"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Vgontzas et al., 2004; Shearer et al., 2001; Irwin et al., 2006; Chae et al., 2001; Mullington et al., 2004; Broussard et al., 2004; Mullington et al., 2009; Palagini et al., 2013</w:t>
            </w:r>
          </w:p>
        </w:tc>
      </w:tr>
      <w:tr w:rsidR="0069530D" w:rsidRPr="00AF1BD2" w14:paraId="2D748658" w14:textId="77777777" w:rsidTr="00D86B6E">
        <w:tc>
          <w:tcPr>
            <w:tcW w:w="52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F294126"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Sleep counterargument / controlled simulation</w:t>
            </w:r>
          </w:p>
        </w:tc>
        <w:tc>
          <w:tcPr>
            <w:tcW w:w="60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CB51CCD"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Simulated wildfire suppression with partial sleep restriction.</w:t>
            </w:r>
          </w:p>
        </w:tc>
        <w:tc>
          <w:tcPr>
            <w:tcW w:w="83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B1EE80C"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Four-hour sleep restriction across 2 nights did not uniformly worsen inflammatory responses relative to 8 h sleep.</w:t>
            </w:r>
          </w:p>
        </w:tc>
        <w:tc>
          <w:tcPr>
            <w:tcW w:w="7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BB8ECB2"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Suggests short-term sleep restriction may not always amplify cytokine disturbance.</w:t>
            </w:r>
          </w:p>
        </w:tc>
        <w:tc>
          <w:tcPr>
            <w:tcW w:w="68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05D6ECA"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Refines the argument by showing not all restricted sleep models produce the same inflammatory effect.</w:t>
            </w:r>
          </w:p>
        </w:tc>
        <w:tc>
          <w:tcPr>
            <w:tcW w:w="7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B6FF41B"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Stronger mechanistic design, but reduced ecological generalisability.</w:t>
            </w:r>
          </w:p>
        </w:tc>
        <w:tc>
          <w:tcPr>
            <w:tcW w:w="83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0F4768B"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Wolkow et al., 2015</w:t>
            </w:r>
          </w:p>
        </w:tc>
      </w:tr>
      <w:tr w:rsidR="0069530D" w:rsidRPr="00AF1BD2" w14:paraId="74EA16E2" w14:textId="77777777" w:rsidTr="00D86B6E">
        <w:tc>
          <w:tcPr>
            <w:tcW w:w="52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A529B42"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Review-level sleep synthesis</w:t>
            </w:r>
          </w:p>
        </w:tc>
        <w:tc>
          <w:tcPr>
            <w:tcW w:w="60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E1B2324"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Review-level FF literature.</w:t>
            </w:r>
          </w:p>
        </w:tc>
        <w:tc>
          <w:tcPr>
            <w:tcW w:w="83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220190E"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Reviews suggest disrupted sleep, circadian disturbance and prolonged shifts may interact with inflammatory, neuroendocrine and cognitive stress pathways beyond the immediate duty period.</w:t>
            </w:r>
          </w:p>
        </w:tc>
        <w:tc>
          <w:tcPr>
            <w:tcW w:w="7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46E2D63"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Supports a broader systems interpretation of sleep-related strain.</w:t>
            </w:r>
          </w:p>
        </w:tc>
        <w:tc>
          <w:tcPr>
            <w:tcW w:w="68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1D0202F"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Reinforces relevance of recovery failure to cumulative burden.</w:t>
            </w:r>
          </w:p>
        </w:tc>
        <w:tc>
          <w:tcPr>
            <w:tcW w:w="7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86F7028"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Reviews are useful for synthesis, not direct causal proof.</w:t>
            </w:r>
          </w:p>
        </w:tc>
        <w:tc>
          <w:tcPr>
            <w:tcW w:w="83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62E9A80"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Orysiak et al., 2022; White, 2025</w:t>
            </w:r>
          </w:p>
        </w:tc>
      </w:tr>
      <w:tr w:rsidR="0069530D" w:rsidRPr="00AF1BD2" w14:paraId="2F033E23" w14:textId="77777777" w:rsidTr="00D86B6E">
        <w:tc>
          <w:tcPr>
            <w:tcW w:w="52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37CDC01"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Psychological trauma and organisational stress</w:t>
            </w:r>
          </w:p>
        </w:tc>
        <w:tc>
          <w:tcPr>
            <w:tcW w:w="60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810EE99"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Trauma exposure and organisational strain in FFs.</w:t>
            </w:r>
          </w:p>
        </w:tc>
        <w:tc>
          <w:tcPr>
            <w:tcW w:w="83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C9E546D"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 xml:space="preserve">Psychological strain is associated with emotional exhaustion, anxiety, depression and cognitive </w:t>
            </w:r>
            <w:r w:rsidRPr="00AF1BD2">
              <w:rPr>
                <w:rFonts w:ascii="Arial" w:eastAsiaTheme="minorEastAsia" w:hAnsi="Arial" w:cs="Arial"/>
                <w:kern w:val="0"/>
                <w:sz w:val="16"/>
                <w:szCs w:val="16"/>
                <w:lang w:val="en-GB" w:eastAsia="en-GB"/>
                <w14:ligatures w14:val="none"/>
              </w:rPr>
              <w:lastRenderedPageBreak/>
              <w:t>impairment. In a UK study, 5.62% reported PTSD and 18.23% complex PTSD.</w:t>
            </w:r>
          </w:p>
        </w:tc>
        <w:tc>
          <w:tcPr>
            <w:tcW w:w="7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119A235"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lastRenderedPageBreak/>
              <w:t>Chronic stress may activate the SAM axis, elevate catecholamines and increase HR/BP.</w:t>
            </w:r>
          </w:p>
        </w:tc>
        <w:tc>
          <w:tcPr>
            <w:tcW w:w="68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F707F1A"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 xml:space="preserve">May contribute to elevated CV strain and reduced cognitive and physical </w:t>
            </w:r>
            <w:r w:rsidRPr="00AF1BD2">
              <w:rPr>
                <w:rFonts w:ascii="Arial" w:eastAsiaTheme="minorEastAsia" w:hAnsi="Arial" w:cs="Arial"/>
                <w:kern w:val="0"/>
                <w:sz w:val="16"/>
                <w:szCs w:val="16"/>
                <w:lang w:val="en-GB" w:eastAsia="en-GB"/>
                <w14:ligatures w14:val="none"/>
              </w:rPr>
              <w:lastRenderedPageBreak/>
              <w:t>performance.</w:t>
            </w:r>
          </w:p>
        </w:tc>
        <w:tc>
          <w:tcPr>
            <w:tcW w:w="7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9C8FCF5"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lastRenderedPageBreak/>
              <w:t>Strong conceptual and occupational relevance, though outcomes are heterogeneou</w:t>
            </w:r>
            <w:r w:rsidRPr="00AF1BD2">
              <w:rPr>
                <w:rFonts w:ascii="Arial" w:eastAsiaTheme="minorEastAsia" w:hAnsi="Arial" w:cs="Arial"/>
                <w:kern w:val="0"/>
                <w:sz w:val="16"/>
                <w:szCs w:val="16"/>
                <w:lang w:val="en-GB" w:eastAsia="en-GB"/>
                <w14:ligatures w14:val="none"/>
              </w:rPr>
              <w:lastRenderedPageBreak/>
              <w:t>s across settings and measures.</w:t>
            </w:r>
          </w:p>
        </w:tc>
        <w:tc>
          <w:tcPr>
            <w:tcW w:w="83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E9D2E3A"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lastRenderedPageBreak/>
              <w:t xml:space="preserve">McGilloway, 2007; Igboanugo et al., 2021; Smith et al., 2023; Verble et al., 2024; Lee et al., 2017; Van Hasselt et al., </w:t>
            </w:r>
            <w:r w:rsidRPr="00AF1BD2">
              <w:rPr>
                <w:rFonts w:ascii="Arial" w:eastAsiaTheme="minorEastAsia" w:hAnsi="Arial" w:cs="Arial"/>
                <w:kern w:val="0"/>
                <w:sz w:val="16"/>
                <w:szCs w:val="16"/>
                <w:lang w:val="en-GB" w:eastAsia="en-GB"/>
                <w14:ligatures w14:val="none"/>
              </w:rPr>
              <w:lastRenderedPageBreak/>
              <w:t>2022; Park et al., 2024; Afonso et al., 2019; Sindhu et al., 2020; Wagner et al., 2021; Oliveira et al., 2022; Becker et al., 2022; Langtry et al., 2021; Huang et al., 2013; Hinton et al., 1991; Frankenhaeuser, 1991; Gonzalez et al., 2024; Stults-Kolehmainen et al., 2014</w:t>
            </w:r>
          </w:p>
        </w:tc>
      </w:tr>
      <w:tr w:rsidR="0069530D" w:rsidRPr="00AF1BD2" w14:paraId="006EF872" w14:textId="77777777" w:rsidTr="00D86B6E">
        <w:tc>
          <w:tcPr>
            <w:tcW w:w="52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A73A11A"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lastRenderedPageBreak/>
              <w:t>HRV, BP and performance links in psychological stress</w:t>
            </w:r>
          </w:p>
        </w:tc>
        <w:tc>
          <w:tcPr>
            <w:tcW w:w="60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0F83ADD"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Trauma-related and chronic psychological stress.</w:t>
            </w:r>
          </w:p>
        </w:tc>
        <w:tc>
          <w:tcPr>
            <w:tcW w:w="83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DF6F0A6"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Psychological stress is associated with reduced HRV. Lower HRV is prospectively linked with hypertension and inversely associated with inflammation. PTSD is also associated with higher resting HR and BP.</w:t>
            </w:r>
          </w:p>
        </w:tc>
        <w:tc>
          <w:tcPr>
            <w:tcW w:w="7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57AEB45"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Diminished parasympathetic modulation may link psychological strain to CV risk and impaired performance.</w:t>
            </w:r>
          </w:p>
        </w:tc>
        <w:tc>
          <w:tcPr>
            <w:tcW w:w="68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7A07D2D"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Supports the plausibility that poorer mental health amplifies strain in operational settings.</w:t>
            </w:r>
          </w:p>
        </w:tc>
        <w:tc>
          <w:tcPr>
            <w:tcW w:w="7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2EEE94A"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Some mechanistic and performance evidence is non-FF-specific, but remains relevant.</w:t>
            </w:r>
          </w:p>
        </w:tc>
        <w:tc>
          <w:tcPr>
            <w:tcW w:w="83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278695E"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Thayer et al., 2009; Schneider and Schwerdtfeger, 2020; Singh et al., 1998; Williams et al., 2019; Buckley and Kaloupek, 2001; Morris et al., 2016; Thompson et al., 2015; de Visser et al., 2016; Stephenson et al., 2021; Elliot et al., 2021</w:t>
            </w:r>
          </w:p>
        </w:tc>
      </w:tr>
      <w:tr w:rsidR="0069530D" w:rsidRPr="00AF1BD2" w14:paraId="6339CAA4" w14:textId="77777777" w:rsidTr="00D86B6E">
        <w:tc>
          <w:tcPr>
            <w:tcW w:w="52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C3DE7DC"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Psychological strain in operational context</w:t>
            </w:r>
          </w:p>
        </w:tc>
        <w:tc>
          <w:tcPr>
            <w:tcW w:w="60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DF4B07A"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Interaction with existing physiological stressors.</w:t>
            </w:r>
          </w:p>
        </w:tc>
        <w:tc>
          <w:tcPr>
            <w:tcW w:w="83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F22F730"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Greater reactivity to acute mental stress predicts poorer future CV outcomes. In settings where heat and dehydration already promote CV drift, poorer psychological health may plausibly amplify resting CV load and HR strain.</w:t>
            </w:r>
          </w:p>
        </w:tc>
        <w:tc>
          <w:tcPr>
            <w:tcW w:w="7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B71AF20"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Psychological and physiological stressors may interact rather than operate independently.</w:t>
            </w:r>
          </w:p>
        </w:tc>
        <w:tc>
          <w:tcPr>
            <w:tcW w:w="68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3582B6C"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May reduce capacity to sustain occupational performance longevity.</w:t>
            </w:r>
          </w:p>
        </w:tc>
        <w:tc>
          <w:tcPr>
            <w:tcW w:w="7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886D568"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Interaction effects are plausible and indirectly supported, but difficult to isolate experimentally.</w:t>
            </w:r>
          </w:p>
        </w:tc>
        <w:tc>
          <w:tcPr>
            <w:tcW w:w="83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7B5C456"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Chida and Steptoe, 2010; Yuenyongchaiwat et al., 2017; Buckley and Kaloupek, 2001; Morris et al., 2016; Périard et al., 2021; Walker et al., 2019; Sandsund et al., 2024</w:t>
            </w:r>
          </w:p>
        </w:tc>
      </w:tr>
      <w:tr w:rsidR="0069530D" w:rsidRPr="00AF1BD2" w14:paraId="42099C58" w14:textId="77777777" w:rsidTr="00D86B6E">
        <w:tc>
          <w:tcPr>
            <w:tcW w:w="52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B1FE6A5"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Personal health risk clusterin</w:t>
            </w:r>
            <w:r w:rsidRPr="00AF1BD2">
              <w:rPr>
                <w:rFonts w:ascii="Arial" w:eastAsiaTheme="minorEastAsia" w:hAnsi="Arial" w:cs="Arial"/>
                <w:kern w:val="0"/>
                <w:sz w:val="16"/>
                <w:szCs w:val="16"/>
                <w:lang w:val="en-GB" w:eastAsia="en-GB"/>
                <w14:ligatures w14:val="none"/>
              </w:rPr>
              <w:lastRenderedPageBreak/>
              <w:t>g and years of service</w:t>
            </w:r>
          </w:p>
        </w:tc>
        <w:tc>
          <w:tcPr>
            <w:tcW w:w="60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1E02573"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lastRenderedPageBreak/>
              <w:t xml:space="preserve">Lifestyle and cardiometabolic risk </w:t>
            </w:r>
            <w:r w:rsidRPr="00AF1BD2">
              <w:rPr>
                <w:rFonts w:ascii="Arial" w:eastAsiaTheme="minorEastAsia" w:hAnsi="Arial" w:cs="Arial"/>
                <w:kern w:val="0"/>
                <w:sz w:val="16"/>
                <w:szCs w:val="16"/>
                <w:lang w:val="en-GB" w:eastAsia="en-GB"/>
                <w14:ligatures w14:val="none"/>
              </w:rPr>
              <w:lastRenderedPageBreak/>
              <w:t>factors across service duration.</w:t>
            </w:r>
          </w:p>
        </w:tc>
        <w:tc>
          <w:tcPr>
            <w:tcW w:w="83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F09A0FE"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lastRenderedPageBreak/>
              <w:t xml:space="preserve">Around 68% reported two or more risk factors such as obesity, </w:t>
            </w:r>
            <w:r w:rsidRPr="00AF1BD2">
              <w:rPr>
                <w:rFonts w:ascii="Arial" w:eastAsiaTheme="minorEastAsia" w:hAnsi="Arial" w:cs="Arial"/>
                <w:kern w:val="0"/>
                <w:sz w:val="16"/>
                <w:szCs w:val="16"/>
                <w:lang w:val="en-GB" w:eastAsia="en-GB"/>
                <w14:ligatures w14:val="none"/>
              </w:rPr>
              <w:lastRenderedPageBreak/>
              <w:t>hypertension or hypercholesterolaemia. Longer service and greater fire/smoke exposure were associated with greater hypertension prevalence and an estimated ≈16–30% increase in CVD risk.</w:t>
            </w:r>
          </w:p>
        </w:tc>
        <w:tc>
          <w:tcPr>
            <w:tcW w:w="7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F71FF8C"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lastRenderedPageBreak/>
              <w:t xml:space="preserve">Repeated occupational and personal stressors may </w:t>
            </w:r>
            <w:r w:rsidRPr="00AF1BD2">
              <w:rPr>
                <w:rFonts w:ascii="Arial" w:eastAsiaTheme="minorEastAsia" w:hAnsi="Arial" w:cs="Arial"/>
                <w:kern w:val="0"/>
                <w:sz w:val="16"/>
                <w:szCs w:val="16"/>
                <w:lang w:val="en-GB" w:eastAsia="en-GB"/>
                <w14:ligatures w14:val="none"/>
              </w:rPr>
              <w:lastRenderedPageBreak/>
              <w:t>compound vascular and cardiometabolic burden over time.</w:t>
            </w:r>
          </w:p>
        </w:tc>
        <w:tc>
          <w:tcPr>
            <w:tcW w:w="68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3657E71"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lastRenderedPageBreak/>
              <w:t xml:space="preserve">May raise baseline CV strain and reduce </w:t>
            </w:r>
            <w:r w:rsidRPr="00AF1BD2">
              <w:rPr>
                <w:rFonts w:ascii="Arial" w:eastAsiaTheme="minorEastAsia" w:hAnsi="Arial" w:cs="Arial"/>
                <w:kern w:val="0"/>
                <w:sz w:val="16"/>
                <w:szCs w:val="16"/>
                <w:lang w:val="en-GB" w:eastAsia="en-GB"/>
                <w14:ligatures w14:val="none"/>
              </w:rPr>
              <w:lastRenderedPageBreak/>
              <w:t>resilience to acute duties.</w:t>
            </w:r>
          </w:p>
        </w:tc>
        <w:tc>
          <w:tcPr>
            <w:tcW w:w="7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7B0940F"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lastRenderedPageBreak/>
              <w:t xml:space="preserve">Useful occupational patterning, but some </w:t>
            </w:r>
            <w:r w:rsidRPr="00AF1BD2">
              <w:rPr>
                <w:rFonts w:ascii="Arial" w:eastAsiaTheme="minorEastAsia" w:hAnsi="Arial" w:cs="Arial"/>
                <w:kern w:val="0"/>
                <w:sz w:val="16"/>
                <w:szCs w:val="16"/>
                <w:lang w:val="en-GB" w:eastAsia="en-GB"/>
                <w14:ligatures w14:val="none"/>
              </w:rPr>
              <w:lastRenderedPageBreak/>
              <w:t>estimates derive from modelling or cross-sectional self-report rather than direct long-term clinical outcomes.</w:t>
            </w:r>
          </w:p>
        </w:tc>
        <w:tc>
          <w:tcPr>
            <w:tcW w:w="83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C2CE993"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lastRenderedPageBreak/>
              <w:t xml:space="preserve">Jeung et al., 2022; Navarro, 2020; Navarro et al., 2019; </w:t>
            </w:r>
            <w:r w:rsidRPr="00AF1BD2">
              <w:rPr>
                <w:rFonts w:ascii="Arial" w:eastAsiaTheme="minorEastAsia" w:hAnsi="Arial" w:cs="Arial"/>
                <w:kern w:val="0"/>
                <w:sz w:val="16"/>
                <w:szCs w:val="16"/>
                <w:lang w:val="en-GB" w:eastAsia="en-GB"/>
                <w14:ligatures w14:val="none"/>
              </w:rPr>
              <w:lastRenderedPageBreak/>
              <w:t>Semmens et al., 2016</w:t>
            </w:r>
          </w:p>
        </w:tc>
      </w:tr>
      <w:tr w:rsidR="0069530D" w:rsidRPr="00AF1BD2" w14:paraId="3FE74FC7" w14:textId="77777777" w:rsidTr="00D86B6E">
        <w:tc>
          <w:tcPr>
            <w:tcW w:w="52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5BFC40C"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lastRenderedPageBreak/>
              <w:t>Obesity and adverse metabolic profile</w:t>
            </w:r>
          </w:p>
        </w:tc>
        <w:tc>
          <w:tcPr>
            <w:tcW w:w="60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8D0BF4D"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High prevalence of overweight and obesity in FFs.</w:t>
            </w:r>
          </w:p>
        </w:tc>
        <w:tc>
          <w:tcPr>
            <w:tcW w:w="83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B47B6A0"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Earlier studies reported obesity around 33–40%. Meta-analysis reported overweight and obesity rates of 44.1% and 35.6%, with combined BMI-defined prevalence approaching 80%.</w:t>
            </w:r>
          </w:p>
        </w:tc>
        <w:tc>
          <w:tcPr>
            <w:tcW w:w="7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936072B"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Obesity is associated with low-grade inflammation, lower CV fitness and increased cardiometabolic risk.</w:t>
            </w:r>
          </w:p>
        </w:tc>
        <w:tc>
          <w:tcPr>
            <w:tcW w:w="68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8BDDDCD"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May contribute to increased CV strain, reduced work capacity and poorer long-term health.</w:t>
            </w:r>
          </w:p>
        </w:tc>
        <w:tc>
          <w:tcPr>
            <w:tcW w:w="7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6F2F1DD"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Strong prevalence evidence, but interpretation varies by cohort, country and body composition method.</w:t>
            </w:r>
          </w:p>
        </w:tc>
        <w:tc>
          <w:tcPr>
            <w:tcW w:w="83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13596CF"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Soteriades et al., 2005; Yoo and Franke, 2009; Tsismenakis et al., 2009; Beckett et al., 2023; Poston et al., 2011; Munir et al., 2012; McAllister et al., 2022; McAllister et al., 2023; Mayer et al., 2012; Jahnke et al., 2013; Soteriades et al., 2011</w:t>
            </w:r>
          </w:p>
        </w:tc>
      </w:tr>
      <w:tr w:rsidR="0069530D" w:rsidRPr="00AF1BD2" w14:paraId="0B4BD580" w14:textId="77777777" w:rsidTr="00D86B6E">
        <w:tc>
          <w:tcPr>
            <w:tcW w:w="52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7EC5132"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Lifestyle and dietary contributors to obesity / chronic strain</w:t>
            </w:r>
          </w:p>
        </w:tc>
        <w:tc>
          <w:tcPr>
            <w:tcW w:w="60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FF3C514"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Sedentary periods, meal timing, communal eating culture and poorer diet quality.</w:t>
            </w:r>
          </w:p>
        </w:tc>
        <w:tc>
          <w:tcPr>
            <w:tcW w:w="83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5DC68E8"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Sedentary periods between call-outs, shift-related meal timing, energy-dense communal meals and limited access to nutrition education may contribute to chronic strain.</w:t>
            </w:r>
          </w:p>
        </w:tc>
        <w:tc>
          <w:tcPr>
            <w:tcW w:w="7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3B1618C"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These factors may interact with occupational exposures to promote chronic physiological stress.</w:t>
            </w:r>
          </w:p>
        </w:tc>
        <w:tc>
          <w:tcPr>
            <w:tcW w:w="68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6F82CD3"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May support long-term systemic inflammation and poorer recovery.</w:t>
            </w:r>
          </w:p>
        </w:tc>
        <w:tc>
          <w:tcPr>
            <w:tcW w:w="7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9DC62E3"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Strong contextual relevance, though much evidence is observational and service-specific.</w:t>
            </w:r>
          </w:p>
        </w:tc>
        <w:tc>
          <w:tcPr>
            <w:tcW w:w="83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6CA55D6" w14:textId="406B4CD4"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Gonzalez et al., 2022; Soteriades et al., 2005; Smith, 2011; Bucala and Sweet, 2019; Ras et al., 2023</w:t>
            </w:r>
            <w:r w:rsidR="00605FF3">
              <w:rPr>
                <w:rFonts w:ascii="Arial" w:eastAsiaTheme="minorEastAsia" w:hAnsi="Arial" w:cs="Arial"/>
                <w:kern w:val="0"/>
                <w:sz w:val="16"/>
                <w:szCs w:val="16"/>
                <w:lang w:val="en-GB" w:eastAsia="en-GB"/>
                <w14:ligatures w14:val="none"/>
              </w:rPr>
              <w:t>b</w:t>
            </w:r>
            <w:r w:rsidRPr="00AF1BD2">
              <w:rPr>
                <w:rFonts w:ascii="Arial" w:eastAsiaTheme="minorEastAsia" w:hAnsi="Arial" w:cs="Arial"/>
                <w:kern w:val="0"/>
                <w:sz w:val="16"/>
                <w:szCs w:val="16"/>
                <w:lang w:val="en-GB" w:eastAsia="en-GB"/>
                <w14:ligatures w14:val="none"/>
              </w:rPr>
              <w:t>; Wohlgemuth et al., 2024</w:t>
            </w:r>
          </w:p>
        </w:tc>
      </w:tr>
      <w:tr w:rsidR="0069530D" w:rsidRPr="00AF1BD2" w14:paraId="01F0CF72" w14:textId="77777777" w:rsidTr="00D86B6E">
        <w:tc>
          <w:tcPr>
            <w:tcW w:w="52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74A5268"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Occupational exposure interacting with personal health</w:t>
            </w:r>
          </w:p>
        </w:tc>
        <w:tc>
          <w:tcPr>
            <w:tcW w:w="60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94867D9"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Personal health factors interact with occupational stressors.</w:t>
            </w:r>
          </w:p>
        </w:tc>
        <w:tc>
          <w:tcPr>
            <w:tcW w:w="834"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9C4EAA3"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 xml:space="preserve">Occupational exposures interacting with obesity and related personal health factors may promote chronic physiological stress linked to low-grade </w:t>
            </w:r>
            <w:r w:rsidRPr="00AF1BD2">
              <w:rPr>
                <w:rFonts w:ascii="Arial" w:eastAsiaTheme="minorEastAsia" w:hAnsi="Arial" w:cs="Arial"/>
                <w:kern w:val="0"/>
                <w:sz w:val="16"/>
                <w:szCs w:val="16"/>
                <w:lang w:val="en-GB" w:eastAsia="en-GB"/>
                <w14:ligatures w14:val="none"/>
              </w:rPr>
              <w:lastRenderedPageBreak/>
              <w:t>inflammation and oxidative stress over time.</w:t>
            </w:r>
          </w:p>
        </w:tc>
        <w:tc>
          <w:tcPr>
            <w:tcW w:w="7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26A6454"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lastRenderedPageBreak/>
              <w:t>Interaction of metabolic risk with inflammatory and oxidative exposures.</w:t>
            </w:r>
          </w:p>
        </w:tc>
        <w:tc>
          <w:tcPr>
            <w:tcW w:w="68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697C0B0"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Suggests obesity is not merely a background characteristic, but a potential amplifier of occupational strain.</w:t>
            </w:r>
          </w:p>
        </w:tc>
        <w:tc>
          <w:tcPr>
            <w:tcW w:w="7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6C7CF12"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Interaction effects are plausible and indirectly supported, but difficult to isolate experimentally.</w:t>
            </w:r>
          </w:p>
        </w:tc>
        <w:tc>
          <w:tcPr>
            <w:tcW w:w="83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A5FA2AE" w14:textId="77777777" w:rsidR="0069530D" w:rsidRPr="00AF1BD2" w:rsidRDefault="0069530D" w:rsidP="0069530D">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AF1BD2">
              <w:rPr>
                <w:rFonts w:ascii="Arial" w:eastAsiaTheme="minorEastAsia" w:hAnsi="Arial" w:cs="Arial"/>
                <w:kern w:val="0"/>
                <w:sz w:val="16"/>
                <w:szCs w:val="16"/>
                <w:lang w:val="en-GB" w:eastAsia="en-GB"/>
                <w14:ligatures w14:val="none"/>
              </w:rPr>
              <w:t>Swiston et al., 2008; Hejl et al., 2013; Main et al., 2020; Soteriades et al., 2011</w:t>
            </w:r>
          </w:p>
        </w:tc>
      </w:tr>
    </w:tbl>
    <w:p w14:paraId="086AF89A" w14:textId="77777777" w:rsidR="00B2353F" w:rsidRDefault="00B2353F" w:rsidP="00096CAD">
      <w:pPr>
        <w:spacing w:before="100" w:beforeAutospacing="1" w:after="100" w:afterAutospacing="1" w:line="360" w:lineRule="auto"/>
        <w:rPr>
          <w:rFonts w:ascii="Arial" w:eastAsia="Times New Roman" w:hAnsi="Arial" w:cs="Arial"/>
          <w:b/>
          <w:bCs/>
          <w:kern w:val="0"/>
          <w14:ligatures w14:val="none"/>
        </w:rPr>
      </w:pPr>
    </w:p>
    <w:p w14:paraId="2F4C9F9A" w14:textId="3874F0EA" w:rsidR="00C51A2D" w:rsidRPr="00F17CD8" w:rsidRDefault="000C672E" w:rsidP="00C604F6">
      <w:pPr>
        <w:pStyle w:val="Heading2"/>
        <w:rPr>
          <w:rStyle w:val="s1"/>
          <w:rFonts w:ascii="Arial" w:hAnsi="Arial" w:cs="Arial"/>
          <w:bCs/>
          <w:lang w:val="en-GB"/>
        </w:rPr>
      </w:pPr>
      <w:bookmarkStart w:id="28" w:name="_Toc228218274"/>
      <w:bookmarkStart w:id="29" w:name="OLE_LINK29"/>
      <w:r>
        <w:rPr>
          <w:rStyle w:val="s1"/>
          <w:rFonts w:ascii="Arial" w:hAnsi="Arial" w:cs="Arial"/>
          <w:bCs/>
          <w:lang w:val="en-GB"/>
        </w:rPr>
        <w:t>2</w:t>
      </w:r>
      <w:r w:rsidR="00C51A2D" w:rsidRPr="00F17CD8">
        <w:rPr>
          <w:rStyle w:val="s1"/>
          <w:rFonts w:ascii="Arial" w:hAnsi="Arial" w:cs="Arial"/>
          <w:bCs/>
          <w:lang w:val="en-GB"/>
        </w:rPr>
        <w:t>.4 Chronic inflammation and Oxidative stress in firefighters</w:t>
      </w:r>
      <w:bookmarkEnd w:id="28"/>
    </w:p>
    <w:p w14:paraId="5F3615DE" w14:textId="77777777" w:rsidR="000456FC" w:rsidRDefault="000456FC" w:rsidP="00096CAD">
      <w:pPr>
        <w:pStyle w:val="p1"/>
        <w:spacing w:line="360" w:lineRule="auto"/>
        <w:rPr>
          <w:rFonts w:ascii="Arial" w:hAnsi="Arial" w:cs="Arial"/>
          <w:b/>
          <w:lang w:val="en-GB"/>
        </w:rPr>
      </w:pPr>
    </w:p>
    <w:bookmarkEnd w:id="29"/>
    <w:p w14:paraId="6C4EDAE7" w14:textId="197E62A1" w:rsidR="000456FC" w:rsidRDefault="00C51A2D" w:rsidP="00F22892">
      <w:pPr>
        <w:pStyle w:val="p1"/>
        <w:spacing w:line="360" w:lineRule="auto"/>
        <w:rPr>
          <w:rFonts w:ascii="Arial" w:hAnsi="Arial" w:cs="Arial"/>
          <w:lang w:val="en-GB"/>
        </w:rPr>
      </w:pPr>
      <w:r>
        <w:rPr>
          <w:rStyle w:val="s1"/>
          <w:rFonts w:ascii="Arial" w:hAnsi="Arial" w:cs="Arial"/>
          <w:lang w:val="en-GB"/>
        </w:rPr>
        <w:t xml:space="preserve">Chronic low-grade inflammation </w:t>
      </w:r>
      <w:r w:rsidR="00811B81">
        <w:rPr>
          <w:rStyle w:val="s1"/>
          <w:rFonts w:ascii="Arial" w:hAnsi="Arial" w:cs="Arial"/>
          <w:lang w:val="en-GB"/>
        </w:rPr>
        <w:t>is</w:t>
      </w:r>
      <w:r>
        <w:rPr>
          <w:rStyle w:val="s1"/>
          <w:rFonts w:ascii="Arial" w:hAnsi="Arial" w:cs="Arial"/>
          <w:lang w:val="en-GB"/>
        </w:rPr>
        <w:t xml:space="preserve"> a central mechanism linking repeated FF exposures to adverse health (Allsopp and Main, 2025; Gonzalez </w:t>
      </w:r>
      <w:r w:rsidRPr="00A7058C">
        <w:rPr>
          <w:rStyle w:val="s1"/>
          <w:rFonts w:ascii="Arial" w:hAnsi="Arial" w:cs="Arial"/>
          <w:i/>
          <w:lang w:val="en-GB"/>
        </w:rPr>
        <w:t>et al.</w:t>
      </w:r>
      <w:r>
        <w:rPr>
          <w:rStyle w:val="s1"/>
          <w:rFonts w:ascii="Arial" w:hAnsi="Arial" w:cs="Arial"/>
          <w:lang w:val="en-GB"/>
        </w:rPr>
        <w:t>, 2024)</w:t>
      </w:r>
      <w:r w:rsidR="00745F46">
        <w:rPr>
          <w:rStyle w:val="s1"/>
          <w:rFonts w:ascii="Arial" w:hAnsi="Arial" w:cs="Arial"/>
          <w:lang w:val="en-GB"/>
        </w:rPr>
        <w:t>.  Whereas acute</w:t>
      </w:r>
      <w:r>
        <w:rPr>
          <w:rStyle w:val="s1"/>
          <w:rFonts w:ascii="Arial" w:hAnsi="Arial" w:cs="Arial"/>
          <w:lang w:val="en-GB"/>
        </w:rPr>
        <w:t xml:space="preserve"> inflammatory responses are typically adaptive, resolving quickly to restore homeostasis (Gonzalez </w:t>
      </w:r>
      <w:r w:rsidRPr="00A7058C">
        <w:rPr>
          <w:rStyle w:val="s1"/>
          <w:rFonts w:ascii="Arial" w:hAnsi="Arial" w:cs="Arial"/>
          <w:i/>
          <w:lang w:val="en-GB"/>
        </w:rPr>
        <w:t>et al.</w:t>
      </w:r>
      <w:r>
        <w:rPr>
          <w:rStyle w:val="s1"/>
          <w:rFonts w:ascii="Arial" w:hAnsi="Arial" w:cs="Arial"/>
          <w:lang w:val="en-GB"/>
        </w:rPr>
        <w:t xml:space="preserve">, 2024; </w:t>
      </w:r>
      <w:proofErr w:type="spellStart"/>
      <w:r>
        <w:rPr>
          <w:rStyle w:val="s1"/>
          <w:rFonts w:ascii="Arial" w:hAnsi="Arial" w:cs="Arial"/>
          <w:lang w:val="en-GB"/>
        </w:rPr>
        <w:t>Pahwa</w:t>
      </w:r>
      <w:proofErr w:type="spellEnd"/>
      <w:r>
        <w:rPr>
          <w:rStyle w:val="s1"/>
          <w:rFonts w:ascii="Arial" w:hAnsi="Arial" w:cs="Arial"/>
          <w:lang w:val="en-GB"/>
        </w:rPr>
        <w:t xml:space="preserve"> </w:t>
      </w:r>
      <w:r w:rsidRPr="00A7058C">
        <w:rPr>
          <w:rStyle w:val="s1"/>
          <w:rFonts w:ascii="Arial" w:hAnsi="Arial" w:cs="Arial"/>
          <w:i/>
          <w:lang w:val="en-GB"/>
        </w:rPr>
        <w:t>et al.</w:t>
      </w:r>
      <w:r>
        <w:rPr>
          <w:rStyle w:val="s1"/>
          <w:rFonts w:ascii="Arial" w:hAnsi="Arial" w:cs="Arial"/>
          <w:lang w:val="en-GB"/>
        </w:rPr>
        <w:t xml:space="preserve">, 2023). Contrastingly, chronic inflammation persistently elevates inflammatory mediators, including IL-1β, IL-6, TNF-α and CRP, and is associated with cumulative tissue damage and disease risk (Liberale </w:t>
      </w:r>
      <w:r w:rsidRPr="00A7058C">
        <w:rPr>
          <w:rStyle w:val="s1"/>
          <w:rFonts w:ascii="Arial" w:hAnsi="Arial" w:cs="Arial"/>
          <w:i/>
          <w:lang w:val="en-GB"/>
        </w:rPr>
        <w:t>et al.</w:t>
      </w:r>
      <w:r>
        <w:rPr>
          <w:rStyle w:val="s1"/>
          <w:rFonts w:ascii="Arial" w:hAnsi="Arial" w:cs="Arial"/>
          <w:lang w:val="en-GB"/>
        </w:rPr>
        <w:t xml:space="preserve">, 2020; Pacinella </w:t>
      </w:r>
      <w:r w:rsidRPr="00A7058C">
        <w:rPr>
          <w:rStyle w:val="s1"/>
          <w:rFonts w:ascii="Arial" w:hAnsi="Arial" w:cs="Arial"/>
          <w:i/>
          <w:lang w:val="en-GB"/>
        </w:rPr>
        <w:t>et al.</w:t>
      </w:r>
      <w:r>
        <w:rPr>
          <w:rStyle w:val="s1"/>
          <w:rFonts w:ascii="Arial" w:hAnsi="Arial" w:cs="Arial"/>
          <w:lang w:val="en-GB"/>
        </w:rPr>
        <w:t>, 2023).</w:t>
      </w:r>
    </w:p>
    <w:p w14:paraId="2977941C" w14:textId="6CD4F446" w:rsidR="000456FC" w:rsidRDefault="00C51A2D" w:rsidP="00F22892">
      <w:pPr>
        <w:pStyle w:val="p1"/>
        <w:spacing w:line="360" w:lineRule="auto"/>
        <w:rPr>
          <w:rFonts w:ascii="Arial" w:hAnsi="Arial" w:cs="Arial"/>
          <w:lang w:val="en-GB"/>
        </w:rPr>
      </w:pPr>
      <w:r>
        <w:rPr>
          <w:rStyle w:val="s1"/>
          <w:rFonts w:ascii="Arial" w:hAnsi="Arial" w:cs="Arial"/>
          <w:lang w:val="en-GB"/>
        </w:rPr>
        <w:t xml:space="preserve">Overlapping occupational stressors may trigger repeated inflammatory responses before prior episodes resolve, promoting sustained low-grade SI (Gianniou </w:t>
      </w:r>
      <w:r w:rsidRPr="00A7058C">
        <w:rPr>
          <w:rStyle w:val="s1"/>
          <w:rFonts w:ascii="Arial" w:hAnsi="Arial" w:cs="Arial"/>
          <w:i/>
          <w:lang w:val="en-GB"/>
        </w:rPr>
        <w:t>et al.</w:t>
      </w:r>
      <w:r>
        <w:rPr>
          <w:rStyle w:val="s1"/>
          <w:rFonts w:ascii="Arial" w:hAnsi="Arial" w:cs="Arial"/>
          <w:lang w:val="en-GB"/>
        </w:rPr>
        <w:t xml:space="preserve">, 2016; Esteves </w:t>
      </w:r>
      <w:r w:rsidRPr="00A7058C">
        <w:rPr>
          <w:rStyle w:val="s1"/>
          <w:rFonts w:ascii="Arial" w:hAnsi="Arial" w:cs="Arial"/>
          <w:i/>
          <w:lang w:val="en-GB"/>
        </w:rPr>
        <w:t>et al.</w:t>
      </w:r>
      <w:r>
        <w:rPr>
          <w:rStyle w:val="s1"/>
          <w:rFonts w:ascii="Arial" w:hAnsi="Arial" w:cs="Arial"/>
          <w:lang w:val="en-GB"/>
        </w:rPr>
        <w:t xml:space="preserve">, 2025; Orysiak </w:t>
      </w:r>
      <w:r w:rsidRPr="00A7058C">
        <w:rPr>
          <w:rStyle w:val="s1"/>
          <w:rFonts w:ascii="Arial" w:hAnsi="Arial" w:cs="Arial"/>
          <w:i/>
          <w:lang w:val="en-GB"/>
        </w:rPr>
        <w:t>et al.</w:t>
      </w:r>
      <w:r>
        <w:rPr>
          <w:rStyle w:val="s1"/>
          <w:rFonts w:ascii="Arial" w:hAnsi="Arial" w:cs="Arial"/>
          <w:lang w:val="en-GB"/>
        </w:rPr>
        <w:t xml:space="preserve">, 2022). In observational work assessing inflammatory markers in 63 FFs and 29 trainees, FFs showed higher pro-inflammatory markers, including IL-8 and TNF-α, than trainees, and the reported linear association between years of service and airway and SI supports a possible dose-response effect of chronic exposure (Gianniou </w:t>
      </w:r>
      <w:r w:rsidRPr="00A7058C">
        <w:rPr>
          <w:rStyle w:val="s1"/>
          <w:rFonts w:ascii="Arial" w:hAnsi="Arial" w:cs="Arial"/>
          <w:i/>
          <w:lang w:val="en-GB"/>
        </w:rPr>
        <w:t>et al.</w:t>
      </w:r>
      <w:r>
        <w:rPr>
          <w:rStyle w:val="s1"/>
          <w:rFonts w:ascii="Arial" w:hAnsi="Arial" w:cs="Arial"/>
          <w:lang w:val="en-GB"/>
        </w:rPr>
        <w:t xml:space="preserve">, 2016). Similarly, a pre-post shift biomarker study in 38 FFs demonstrated rises in IL-6 and IL-8 alongside reduced anti-inflammatory signalling across a 12-hour wildfire suppression shift, consistent with cumulative occupational strain (Main </w:t>
      </w:r>
      <w:r w:rsidRPr="00A7058C">
        <w:rPr>
          <w:rStyle w:val="s1"/>
          <w:rFonts w:ascii="Arial" w:hAnsi="Arial" w:cs="Arial"/>
          <w:i/>
          <w:lang w:val="en-GB"/>
        </w:rPr>
        <w:t>et al.</w:t>
      </w:r>
      <w:r>
        <w:rPr>
          <w:rStyle w:val="s1"/>
          <w:rFonts w:ascii="Arial" w:hAnsi="Arial" w:cs="Arial"/>
          <w:lang w:val="en-GB"/>
        </w:rPr>
        <w:t xml:space="preserve">, 2020). However, these studies differ in design and timescale. Gianniou </w:t>
      </w:r>
      <w:r w:rsidRPr="00A7058C">
        <w:rPr>
          <w:rStyle w:val="s1"/>
          <w:rFonts w:ascii="Arial" w:hAnsi="Arial" w:cs="Arial"/>
          <w:i/>
          <w:lang w:val="en-GB"/>
        </w:rPr>
        <w:t>et al.</w:t>
      </w:r>
      <w:r>
        <w:rPr>
          <w:rStyle w:val="s1"/>
          <w:rFonts w:ascii="Arial" w:hAnsi="Arial" w:cs="Arial"/>
          <w:lang w:val="en-GB"/>
        </w:rPr>
        <w:t xml:space="preserve"> (2016) </w:t>
      </w:r>
      <w:r w:rsidR="00857829">
        <w:rPr>
          <w:rStyle w:val="s1"/>
          <w:rFonts w:ascii="Arial" w:hAnsi="Arial" w:cs="Arial"/>
          <w:lang w:val="en-GB"/>
        </w:rPr>
        <w:t>better reflects</w:t>
      </w:r>
      <w:r>
        <w:rPr>
          <w:rStyle w:val="s1"/>
          <w:rFonts w:ascii="Arial" w:hAnsi="Arial" w:cs="Arial"/>
          <w:lang w:val="en-GB"/>
        </w:rPr>
        <w:t xml:space="preserve"> longer-term exposure burden through comparison of FFs and trainees, whereas Main </w:t>
      </w:r>
      <w:r w:rsidRPr="00A7058C">
        <w:rPr>
          <w:rStyle w:val="s1"/>
          <w:rFonts w:ascii="Arial" w:hAnsi="Arial" w:cs="Arial"/>
          <w:i/>
          <w:lang w:val="en-GB"/>
        </w:rPr>
        <w:t>et al.</w:t>
      </w:r>
      <w:r>
        <w:rPr>
          <w:rStyle w:val="s1"/>
          <w:rFonts w:ascii="Arial" w:hAnsi="Arial" w:cs="Arial"/>
          <w:lang w:val="en-GB"/>
        </w:rPr>
        <w:t xml:space="preserve"> (2020) offers stronger acute </w:t>
      </w:r>
      <w:r>
        <w:rPr>
          <w:rStyle w:val="s1"/>
          <w:rFonts w:ascii="Arial" w:hAnsi="Arial" w:cs="Arial"/>
          <w:lang w:val="en-GB"/>
        </w:rPr>
        <w:lastRenderedPageBreak/>
        <w:t>mechanistic relevance through repeated within-shift blood sampling</w:t>
      </w:r>
      <w:r w:rsidR="005E2BB7">
        <w:rPr>
          <w:rStyle w:val="s1"/>
          <w:rFonts w:ascii="Arial" w:hAnsi="Arial" w:cs="Arial"/>
          <w:lang w:val="en-GB"/>
        </w:rPr>
        <w:t>, although</w:t>
      </w:r>
      <w:r>
        <w:rPr>
          <w:rStyle w:val="s1"/>
          <w:rFonts w:ascii="Arial" w:hAnsi="Arial" w:cs="Arial"/>
          <w:lang w:val="en-GB"/>
        </w:rPr>
        <w:t>,</w:t>
      </w:r>
      <w:r w:rsidR="005E2BB7">
        <w:rPr>
          <w:rStyle w:val="s1"/>
          <w:rFonts w:ascii="Arial" w:hAnsi="Arial" w:cs="Arial"/>
          <w:lang w:val="en-GB"/>
        </w:rPr>
        <w:t xml:space="preserve"> neither can </w:t>
      </w:r>
      <w:r>
        <w:rPr>
          <w:rStyle w:val="s1"/>
          <w:rFonts w:ascii="Arial" w:hAnsi="Arial" w:cs="Arial"/>
          <w:lang w:val="en-GB"/>
        </w:rPr>
        <w:t xml:space="preserve">determining whether </w:t>
      </w:r>
      <w:r w:rsidR="00E568AA">
        <w:rPr>
          <w:rStyle w:val="s1"/>
          <w:rFonts w:ascii="Arial" w:hAnsi="Arial" w:cs="Arial"/>
          <w:lang w:val="en-GB"/>
        </w:rPr>
        <w:t>observed</w:t>
      </w:r>
      <w:r>
        <w:rPr>
          <w:rStyle w:val="s1"/>
          <w:rFonts w:ascii="Arial" w:hAnsi="Arial" w:cs="Arial"/>
          <w:lang w:val="en-GB"/>
        </w:rPr>
        <w:t xml:space="preserve"> responses reflect beneficial adaptation, maladaptive persistence, or both.</w:t>
      </w:r>
    </w:p>
    <w:p w14:paraId="374581C5" w14:textId="397CEA59" w:rsidR="000456FC" w:rsidRDefault="00C51A2D" w:rsidP="00F22892">
      <w:pPr>
        <w:pStyle w:val="p1"/>
        <w:spacing w:line="360" w:lineRule="auto"/>
        <w:rPr>
          <w:rFonts w:ascii="Arial" w:hAnsi="Arial" w:cs="Arial"/>
          <w:lang w:val="en-GB"/>
        </w:rPr>
      </w:pPr>
      <w:r>
        <w:rPr>
          <w:rStyle w:val="s1"/>
          <w:rFonts w:ascii="Arial" w:hAnsi="Arial" w:cs="Arial"/>
          <w:lang w:val="en-GB"/>
        </w:rPr>
        <w:t>Further evidence reports elevated baseline inflammatory markers in FF cohorts,</w:t>
      </w:r>
      <w:r w:rsidR="0028266D">
        <w:rPr>
          <w:rStyle w:val="s1"/>
          <w:rFonts w:ascii="Arial" w:hAnsi="Arial" w:cs="Arial"/>
          <w:lang w:val="en-GB"/>
        </w:rPr>
        <w:t xml:space="preserve"> </w:t>
      </w:r>
      <w:r>
        <w:rPr>
          <w:rStyle w:val="s1"/>
          <w:rFonts w:ascii="Arial" w:hAnsi="Arial" w:cs="Arial"/>
          <w:lang w:val="en-GB"/>
        </w:rPr>
        <w:t xml:space="preserve">associated with increased risk of metabolic syndrome, insulin resistance and CVD (Oberther </w:t>
      </w:r>
      <w:r w:rsidRPr="00A7058C">
        <w:rPr>
          <w:rStyle w:val="s1"/>
          <w:rFonts w:ascii="Arial" w:hAnsi="Arial" w:cs="Arial"/>
          <w:i/>
          <w:lang w:val="en-GB"/>
        </w:rPr>
        <w:t>et al.</w:t>
      </w:r>
      <w:r>
        <w:rPr>
          <w:rStyle w:val="s1"/>
          <w:rFonts w:ascii="Arial" w:hAnsi="Arial" w:cs="Arial"/>
          <w:lang w:val="en-GB"/>
        </w:rPr>
        <w:t xml:space="preserve">, 2025; Richardson </w:t>
      </w:r>
      <w:r w:rsidRPr="00A7058C">
        <w:rPr>
          <w:rStyle w:val="s1"/>
          <w:rFonts w:ascii="Arial" w:hAnsi="Arial" w:cs="Arial"/>
          <w:i/>
          <w:lang w:val="en-GB"/>
        </w:rPr>
        <w:t>et al.</w:t>
      </w:r>
      <w:r>
        <w:rPr>
          <w:rStyle w:val="s1"/>
          <w:rFonts w:ascii="Arial" w:hAnsi="Arial" w:cs="Arial"/>
          <w:lang w:val="en-GB"/>
        </w:rPr>
        <w:t xml:space="preserve">, 2023b; Ridker </w:t>
      </w:r>
      <w:r w:rsidRPr="00A7058C">
        <w:rPr>
          <w:rStyle w:val="s1"/>
          <w:rFonts w:ascii="Arial" w:hAnsi="Arial" w:cs="Arial"/>
          <w:i/>
          <w:lang w:val="en-GB"/>
        </w:rPr>
        <w:t>et al.</w:t>
      </w:r>
      <w:r>
        <w:rPr>
          <w:rStyle w:val="s1"/>
          <w:rFonts w:ascii="Arial" w:hAnsi="Arial" w:cs="Arial"/>
          <w:lang w:val="en-GB"/>
        </w:rPr>
        <w:t xml:space="preserve">, 2000; 2003; Daniele </w:t>
      </w:r>
      <w:r w:rsidRPr="00A7058C">
        <w:rPr>
          <w:rStyle w:val="s1"/>
          <w:rFonts w:ascii="Arial" w:hAnsi="Arial" w:cs="Arial"/>
          <w:i/>
          <w:lang w:val="en-GB"/>
        </w:rPr>
        <w:t>et al.</w:t>
      </w:r>
      <w:r>
        <w:rPr>
          <w:rStyle w:val="s1"/>
          <w:rFonts w:ascii="Arial" w:hAnsi="Arial" w:cs="Arial"/>
          <w:lang w:val="en-GB"/>
        </w:rPr>
        <w:t xml:space="preserve">, 2014). Acute post-incident cytokine responses, including CRP, are also documented, and insufficient recovery may contribute to a shift from transient inflammation towards sustained inflammatory load (Orysiak </w:t>
      </w:r>
      <w:r w:rsidRPr="00A7058C">
        <w:rPr>
          <w:rStyle w:val="s1"/>
          <w:rFonts w:ascii="Arial" w:hAnsi="Arial" w:cs="Arial"/>
          <w:i/>
          <w:lang w:val="en-GB"/>
        </w:rPr>
        <w:t>et al.</w:t>
      </w:r>
      <w:r>
        <w:rPr>
          <w:rStyle w:val="s1"/>
          <w:rFonts w:ascii="Arial" w:hAnsi="Arial" w:cs="Arial"/>
          <w:lang w:val="en-GB"/>
        </w:rPr>
        <w:t xml:space="preserve">, 2022; Allsopp and Main, 2025; McEwen, 1998; Abdelmoaty </w:t>
      </w:r>
      <w:r w:rsidRPr="00A7058C">
        <w:rPr>
          <w:rStyle w:val="s1"/>
          <w:rFonts w:ascii="Arial" w:hAnsi="Arial" w:cs="Arial"/>
          <w:i/>
          <w:lang w:val="en-GB"/>
        </w:rPr>
        <w:t>et al.</w:t>
      </w:r>
      <w:r>
        <w:rPr>
          <w:rStyle w:val="s1"/>
          <w:rFonts w:ascii="Arial" w:hAnsi="Arial" w:cs="Arial"/>
          <w:lang w:val="en-GB"/>
        </w:rPr>
        <w:t xml:space="preserve">, 2025; Taylor </w:t>
      </w:r>
      <w:r w:rsidRPr="00A7058C">
        <w:rPr>
          <w:rStyle w:val="s1"/>
          <w:rFonts w:ascii="Arial" w:hAnsi="Arial" w:cs="Arial"/>
          <w:i/>
          <w:lang w:val="en-GB"/>
        </w:rPr>
        <w:t>et al.</w:t>
      </w:r>
      <w:r>
        <w:rPr>
          <w:rStyle w:val="s1"/>
          <w:rFonts w:ascii="Arial" w:hAnsi="Arial" w:cs="Arial"/>
          <w:lang w:val="en-GB"/>
        </w:rPr>
        <w:t xml:space="preserve">, 2022; Guida </w:t>
      </w:r>
      <w:r w:rsidRPr="00A7058C">
        <w:rPr>
          <w:rStyle w:val="s1"/>
          <w:rFonts w:ascii="Arial" w:hAnsi="Arial" w:cs="Arial"/>
          <w:i/>
          <w:lang w:val="en-GB"/>
        </w:rPr>
        <w:t>et al.</w:t>
      </w:r>
      <w:r>
        <w:rPr>
          <w:rStyle w:val="s1"/>
          <w:rFonts w:ascii="Arial" w:hAnsi="Arial" w:cs="Arial"/>
          <w:lang w:val="en-GB"/>
        </w:rPr>
        <w:t xml:space="preserve">, 2023). However, CRP findings are mixed. Several studies report no acute change following </w:t>
      </w:r>
      <w:r w:rsidR="00255937">
        <w:rPr>
          <w:rStyle w:val="s1"/>
          <w:rFonts w:ascii="Arial" w:hAnsi="Arial" w:cs="Arial"/>
          <w:lang w:val="en-GB"/>
        </w:rPr>
        <w:t>exposure</w:t>
      </w:r>
      <w:r>
        <w:rPr>
          <w:rStyle w:val="s1"/>
          <w:rFonts w:ascii="Arial" w:hAnsi="Arial" w:cs="Arial"/>
          <w:lang w:val="en-GB"/>
        </w:rPr>
        <w:t xml:space="preserve">, </w:t>
      </w:r>
      <w:r w:rsidR="00F63225">
        <w:rPr>
          <w:rStyle w:val="s1"/>
          <w:rFonts w:ascii="Arial" w:hAnsi="Arial" w:cs="Arial"/>
          <w:lang w:val="en-GB"/>
        </w:rPr>
        <w:t>and other</w:t>
      </w:r>
      <w:r>
        <w:rPr>
          <w:rStyle w:val="s1"/>
          <w:rFonts w:ascii="Arial" w:hAnsi="Arial" w:cs="Arial"/>
          <w:lang w:val="en-GB"/>
        </w:rPr>
        <w:t>s</w:t>
      </w:r>
      <w:r w:rsidR="00F63225">
        <w:rPr>
          <w:rStyle w:val="s1"/>
          <w:rFonts w:ascii="Arial" w:hAnsi="Arial" w:cs="Arial"/>
          <w:lang w:val="en-GB"/>
        </w:rPr>
        <w:t xml:space="preserve"> reporting increases </w:t>
      </w:r>
      <w:r w:rsidR="007A2369">
        <w:rPr>
          <w:rStyle w:val="s1"/>
          <w:rFonts w:ascii="Arial" w:hAnsi="Arial" w:cs="Arial"/>
          <w:lang w:val="en-GB"/>
        </w:rPr>
        <w:t>after longer or complex exposures</w:t>
      </w:r>
      <w:r>
        <w:rPr>
          <w:rStyle w:val="s1"/>
          <w:rFonts w:ascii="Arial" w:hAnsi="Arial" w:cs="Arial"/>
          <w:lang w:val="en-GB"/>
        </w:rPr>
        <w:t xml:space="preserve"> (Allsopp and Main, 2025; Gurney </w:t>
      </w:r>
      <w:r w:rsidRPr="00A7058C">
        <w:rPr>
          <w:rStyle w:val="s1"/>
          <w:rFonts w:ascii="Arial" w:hAnsi="Arial" w:cs="Arial"/>
          <w:i/>
          <w:lang w:val="en-GB"/>
        </w:rPr>
        <w:t>et al.</w:t>
      </w:r>
      <w:r>
        <w:rPr>
          <w:rStyle w:val="s1"/>
          <w:rFonts w:ascii="Arial" w:hAnsi="Arial" w:cs="Arial"/>
          <w:lang w:val="en-GB"/>
        </w:rPr>
        <w:t xml:space="preserve">, 2021; Hejl </w:t>
      </w:r>
      <w:r w:rsidRPr="00A7058C">
        <w:rPr>
          <w:rStyle w:val="s1"/>
          <w:rFonts w:ascii="Arial" w:hAnsi="Arial" w:cs="Arial"/>
          <w:i/>
          <w:lang w:val="en-GB"/>
        </w:rPr>
        <w:t>et al.</w:t>
      </w:r>
      <w:r>
        <w:rPr>
          <w:rStyle w:val="s1"/>
          <w:rFonts w:ascii="Arial" w:hAnsi="Arial" w:cs="Arial"/>
          <w:lang w:val="en-GB"/>
        </w:rPr>
        <w:t xml:space="preserve">, 2013; Niyatiwatchanchai </w:t>
      </w:r>
      <w:r w:rsidRPr="00A7058C">
        <w:rPr>
          <w:rStyle w:val="s1"/>
          <w:rFonts w:ascii="Arial" w:hAnsi="Arial" w:cs="Arial"/>
          <w:i/>
          <w:lang w:val="en-GB"/>
        </w:rPr>
        <w:t>et al.</w:t>
      </w:r>
      <w:r>
        <w:rPr>
          <w:rStyle w:val="s1"/>
          <w:rFonts w:ascii="Arial" w:hAnsi="Arial" w:cs="Arial"/>
          <w:lang w:val="en-GB"/>
        </w:rPr>
        <w:t xml:space="preserve">, 2023; Andersen </w:t>
      </w:r>
      <w:r w:rsidRPr="00A7058C">
        <w:rPr>
          <w:rStyle w:val="s1"/>
          <w:rFonts w:ascii="Arial" w:hAnsi="Arial" w:cs="Arial"/>
          <w:i/>
          <w:lang w:val="en-GB"/>
        </w:rPr>
        <w:t>et al.</w:t>
      </w:r>
      <w:r>
        <w:rPr>
          <w:rStyle w:val="s1"/>
          <w:rFonts w:ascii="Arial" w:hAnsi="Arial" w:cs="Arial"/>
          <w:lang w:val="en-GB"/>
        </w:rPr>
        <w:t xml:space="preserve">, 2018; Smith </w:t>
      </w:r>
      <w:r w:rsidRPr="00A7058C">
        <w:rPr>
          <w:rStyle w:val="s1"/>
          <w:rFonts w:ascii="Arial" w:hAnsi="Arial" w:cs="Arial"/>
          <w:i/>
          <w:lang w:val="en-GB"/>
        </w:rPr>
        <w:t>et al.</w:t>
      </w:r>
      <w:r>
        <w:rPr>
          <w:rStyle w:val="s1"/>
          <w:rFonts w:ascii="Arial" w:hAnsi="Arial" w:cs="Arial"/>
          <w:lang w:val="en-GB"/>
        </w:rPr>
        <w:t xml:space="preserve">, 2019; Houser </w:t>
      </w:r>
      <w:r w:rsidRPr="00A7058C">
        <w:rPr>
          <w:rStyle w:val="s1"/>
          <w:rFonts w:ascii="Arial" w:hAnsi="Arial" w:cs="Arial"/>
          <w:i/>
          <w:lang w:val="en-GB"/>
        </w:rPr>
        <w:t>et al.</w:t>
      </w:r>
      <w:r>
        <w:rPr>
          <w:rStyle w:val="s1"/>
          <w:rFonts w:ascii="Arial" w:hAnsi="Arial" w:cs="Arial"/>
          <w:lang w:val="en-GB"/>
        </w:rPr>
        <w:t xml:space="preserve">, 2023). Some studies also report acute CRP reductions despite IL-6 increases, which may reflect delayed hepatic CRP synthesis rather than inflammatory response absence (Kramer </w:t>
      </w:r>
      <w:r w:rsidRPr="00A7058C">
        <w:rPr>
          <w:rStyle w:val="s1"/>
          <w:rFonts w:ascii="Arial" w:hAnsi="Arial" w:cs="Arial"/>
          <w:i/>
          <w:lang w:val="en-GB"/>
        </w:rPr>
        <w:t>et al.</w:t>
      </w:r>
      <w:r>
        <w:rPr>
          <w:rStyle w:val="s1"/>
          <w:rFonts w:ascii="Arial" w:hAnsi="Arial" w:cs="Arial"/>
          <w:lang w:val="en-GB"/>
        </w:rPr>
        <w:t xml:space="preserve">, 2008). By contrast, chronically elevated CRP has been reported in FFs, with 21% of 401 </w:t>
      </w:r>
      <w:r w:rsidR="008857E6">
        <w:rPr>
          <w:rStyle w:val="s1"/>
          <w:rFonts w:ascii="Arial" w:hAnsi="Arial" w:cs="Arial"/>
          <w:lang w:val="en-GB"/>
        </w:rPr>
        <w:t>FFs</w:t>
      </w:r>
      <w:r>
        <w:rPr>
          <w:rStyle w:val="s1"/>
          <w:rFonts w:ascii="Arial" w:hAnsi="Arial" w:cs="Arial"/>
          <w:lang w:val="en-GB"/>
        </w:rPr>
        <w:t xml:space="preserve"> exceeding 3 mg/L in one cohort (Allsopp and Main, 2025; Gaughan </w:t>
      </w:r>
      <w:r w:rsidRPr="00A7058C">
        <w:rPr>
          <w:rStyle w:val="s1"/>
          <w:rFonts w:ascii="Arial" w:hAnsi="Arial" w:cs="Arial"/>
          <w:i/>
          <w:lang w:val="en-GB"/>
        </w:rPr>
        <w:t>et al.</w:t>
      </w:r>
      <w:r>
        <w:rPr>
          <w:rStyle w:val="s1"/>
          <w:rFonts w:ascii="Arial" w:hAnsi="Arial" w:cs="Arial"/>
          <w:lang w:val="en-GB"/>
        </w:rPr>
        <w:t>, 2014</w:t>
      </w:r>
      <w:r w:rsidR="004F798F">
        <w:rPr>
          <w:rStyle w:val="s1"/>
          <w:rFonts w:ascii="Arial" w:hAnsi="Arial" w:cs="Arial"/>
          <w:lang w:val="en-GB"/>
        </w:rPr>
        <w:t>a</w:t>
      </w:r>
      <w:r>
        <w:rPr>
          <w:rStyle w:val="s1"/>
          <w:rFonts w:ascii="Arial" w:hAnsi="Arial" w:cs="Arial"/>
          <w:lang w:val="en-GB"/>
        </w:rPr>
        <w:t xml:space="preserve">). Clinically, values ≥10 mg/L suggest an inflammatory condition (Dhingra </w:t>
      </w:r>
      <w:r w:rsidRPr="00A7058C">
        <w:rPr>
          <w:rStyle w:val="s1"/>
          <w:rFonts w:ascii="Arial" w:hAnsi="Arial" w:cs="Arial"/>
          <w:i/>
          <w:lang w:val="en-GB"/>
        </w:rPr>
        <w:t>et al.</w:t>
      </w:r>
      <w:r>
        <w:rPr>
          <w:rStyle w:val="s1"/>
          <w:rFonts w:ascii="Arial" w:hAnsi="Arial" w:cs="Arial"/>
          <w:lang w:val="en-GB"/>
        </w:rPr>
        <w:t xml:space="preserve">, 2007), while 1-10.0 mg/L is considered moderate risk and commonly associated with SI (Singh </w:t>
      </w:r>
      <w:r w:rsidRPr="00A7058C">
        <w:rPr>
          <w:rStyle w:val="s1"/>
          <w:rFonts w:ascii="Arial" w:hAnsi="Arial" w:cs="Arial"/>
          <w:i/>
          <w:lang w:val="en-GB"/>
        </w:rPr>
        <w:t>et al.</w:t>
      </w:r>
      <w:r>
        <w:rPr>
          <w:rStyle w:val="s1"/>
          <w:rFonts w:ascii="Arial" w:hAnsi="Arial" w:cs="Arial"/>
          <w:lang w:val="en-GB"/>
        </w:rPr>
        <w:t>, 2025). Overall,</w:t>
      </w:r>
      <w:r w:rsidR="00B44925">
        <w:rPr>
          <w:rStyle w:val="s1"/>
          <w:rFonts w:ascii="Arial" w:hAnsi="Arial" w:cs="Arial"/>
          <w:lang w:val="en-GB"/>
        </w:rPr>
        <w:t xml:space="preserve"> repeated unresolved</w:t>
      </w:r>
      <w:r w:rsidR="008C0CDD">
        <w:rPr>
          <w:rStyle w:val="s1"/>
          <w:rFonts w:ascii="Arial" w:hAnsi="Arial" w:cs="Arial"/>
          <w:lang w:val="en-GB"/>
        </w:rPr>
        <w:t>, and duration of</w:t>
      </w:r>
      <w:r>
        <w:rPr>
          <w:rStyle w:val="s1"/>
          <w:rFonts w:ascii="Arial" w:hAnsi="Arial" w:cs="Arial"/>
          <w:lang w:val="en-GB"/>
        </w:rPr>
        <w:t xml:space="preserve"> exposure</w:t>
      </w:r>
      <w:r w:rsidR="008C0CDD">
        <w:rPr>
          <w:rStyle w:val="s1"/>
          <w:rFonts w:ascii="Arial" w:hAnsi="Arial" w:cs="Arial"/>
          <w:lang w:val="en-GB"/>
        </w:rPr>
        <w:t xml:space="preserve">s appear more </w:t>
      </w:r>
      <w:r w:rsidR="00D2058B">
        <w:rPr>
          <w:rStyle w:val="s1"/>
          <w:rFonts w:ascii="Arial" w:hAnsi="Arial" w:cs="Arial"/>
          <w:lang w:val="en-GB"/>
        </w:rPr>
        <w:t>relevant</w:t>
      </w:r>
      <w:r w:rsidR="008C0CDD">
        <w:rPr>
          <w:rStyle w:val="s1"/>
          <w:rFonts w:ascii="Arial" w:hAnsi="Arial" w:cs="Arial"/>
          <w:lang w:val="en-GB"/>
        </w:rPr>
        <w:t xml:space="preserve"> to chronic inflammatory burden than </w:t>
      </w:r>
      <w:r w:rsidR="00D2058B">
        <w:rPr>
          <w:rStyle w:val="s1"/>
          <w:rFonts w:ascii="Arial" w:hAnsi="Arial" w:cs="Arial"/>
          <w:lang w:val="en-GB"/>
        </w:rPr>
        <w:t>isolated acute responses.</w:t>
      </w:r>
    </w:p>
    <w:p w14:paraId="34CC9D19" w14:textId="7A8530F1" w:rsidR="000456FC" w:rsidRDefault="00C51A2D" w:rsidP="00F22892">
      <w:pPr>
        <w:pStyle w:val="p1"/>
        <w:spacing w:line="360" w:lineRule="auto"/>
        <w:rPr>
          <w:rFonts w:ascii="Arial" w:hAnsi="Arial" w:cs="Arial"/>
          <w:lang w:val="en-GB"/>
        </w:rPr>
      </w:pPr>
      <w:r>
        <w:rPr>
          <w:rStyle w:val="s1"/>
          <w:rFonts w:ascii="Arial" w:hAnsi="Arial" w:cs="Arial"/>
          <w:lang w:val="en-GB"/>
        </w:rPr>
        <w:t xml:space="preserve">OXS occurs when reactive oxygen species (ROS) exceed antioxidant capacity, damaging lipids, proteins and DNA (Birben </w:t>
      </w:r>
      <w:r w:rsidRPr="00A7058C">
        <w:rPr>
          <w:rStyle w:val="s1"/>
          <w:rFonts w:ascii="Arial" w:hAnsi="Arial" w:cs="Arial"/>
          <w:i/>
          <w:lang w:val="en-GB"/>
        </w:rPr>
        <w:t>et al.</w:t>
      </w:r>
      <w:r>
        <w:rPr>
          <w:rStyle w:val="s1"/>
          <w:rFonts w:ascii="Arial" w:hAnsi="Arial" w:cs="Arial"/>
          <w:lang w:val="en-GB"/>
        </w:rPr>
        <w:t xml:space="preserve">, 2012; </w:t>
      </w:r>
      <w:proofErr w:type="spellStart"/>
      <w:r>
        <w:rPr>
          <w:rStyle w:val="s1"/>
          <w:rFonts w:ascii="Arial" w:hAnsi="Arial" w:cs="Arial"/>
          <w:lang w:val="en-GB"/>
        </w:rPr>
        <w:t>Demirci-Cekic</w:t>
      </w:r>
      <w:proofErr w:type="spellEnd"/>
      <w:r>
        <w:rPr>
          <w:rStyle w:val="s1"/>
          <w:rFonts w:ascii="Arial" w:hAnsi="Arial" w:cs="Arial"/>
          <w:lang w:val="en-GB"/>
        </w:rPr>
        <w:t xml:space="preserve"> </w:t>
      </w:r>
      <w:r w:rsidRPr="00A7058C">
        <w:rPr>
          <w:rStyle w:val="s1"/>
          <w:rFonts w:ascii="Arial" w:hAnsi="Arial" w:cs="Arial"/>
          <w:i/>
          <w:lang w:val="en-GB"/>
        </w:rPr>
        <w:t>et al.</w:t>
      </w:r>
      <w:r>
        <w:rPr>
          <w:rStyle w:val="s1"/>
          <w:rFonts w:ascii="Arial" w:hAnsi="Arial" w:cs="Arial"/>
          <w:lang w:val="en-GB"/>
        </w:rPr>
        <w:t>, 2022; Powers and Jackson, 2008). While low-to-moderate oxidative stimuli may support adapti</w:t>
      </w:r>
      <w:r w:rsidR="00FA1D7D">
        <w:rPr>
          <w:rStyle w:val="s1"/>
          <w:rFonts w:ascii="Arial" w:hAnsi="Arial" w:cs="Arial"/>
          <w:lang w:val="en-GB"/>
        </w:rPr>
        <w:t xml:space="preserve">on </w:t>
      </w:r>
      <w:r>
        <w:rPr>
          <w:rStyle w:val="s1"/>
          <w:rFonts w:ascii="Arial" w:hAnsi="Arial" w:cs="Arial"/>
          <w:lang w:val="en-GB"/>
        </w:rPr>
        <w:t>in athletes, repeated FF</w:t>
      </w:r>
      <w:r w:rsidR="00476FD7">
        <w:rPr>
          <w:rStyle w:val="s1"/>
          <w:rFonts w:ascii="Arial" w:hAnsi="Arial" w:cs="Arial"/>
          <w:lang w:val="en-GB"/>
        </w:rPr>
        <w:t xml:space="preserve"> exposures</w:t>
      </w:r>
      <w:r>
        <w:rPr>
          <w:rStyle w:val="s1"/>
          <w:rFonts w:ascii="Arial" w:hAnsi="Arial" w:cs="Arial"/>
          <w:lang w:val="en-GB"/>
        </w:rPr>
        <w:t xml:space="preserve"> are </w:t>
      </w:r>
      <w:r w:rsidR="00476FD7">
        <w:rPr>
          <w:rStyle w:val="s1"/>
          <w:rFonts w:ascii="Arial" w:hAnsi="Arial" w:cs="Arial"/>
          <w:lang w:val="en-GB"/>
        </w:rPr>
        <w:t xml:space="preserve">consistently </w:t>
      </w:r>
      <w:r>
        <w:rPr>
          <w:rStyle w:val="s1"/>
          <w:rFonts w:ascii="Arial" w:hAnsi="Arial" w:cs="Arial"/>
          <w:lang w:val="en-GB"/>
        </w:rPr>
        <w:t xml:space="preserve">associated with oxidative DNA damage and sustained inflammation, </w:t>
      </w:r>
      <w:r w:rsidR="00E30A3B">
        <w:rPr>
          <w:rStyle w:val="s1"/>
          <w:rFonts w:ascii="Arial" w:hAnsi="Arial" w:cs="Arial"/>
          <w:lang w:val="en-GB"/>
        </w:rPr>
        <w:t>suggesting</w:t>
      </w:r>
      <w:r>
        <w:rPr>
          <w:rStyle w:val="s1"/>
          <w:rFonts w:ascii="Arial" w:hAnsi="Arial" w:cs="Arial"/>
          <w:lang w:val="en-GB"/>
        </w:rPr>
        <w:t xml:space="preserve"> net physiological harm rather than beneficial adaptation (</w:t>
      </w:r>
      <w:proofErr w:type="spellStart"/>
      <w:r>
        <w:rPr>
          <w:rStyle w:val="s1"/>
          <w:rFonts w:ascii="Arial" w:hAnsi="Arial" w:cs="Arial"/>
          <w:lang w:val="en-GB"/>
        </w:rPr>
        <w:t>Radak</w:t>
      </w:r>
      <w:proofErr w:type="spellEnd"/>
      <w:r>
        <w:rPr>
          <w:rStyle w:val="s1"/>
          <w:rFonts w:ascii="Arial" w:hAnsi="Arial" w:cs="Arial"/>
          <w:lang w:val="en-GB"/>
        </w:rPr>
        <w:t xml:space="preserve"> </w:t>
      </w:r>
      <w:r w:rsidRPr="00A7058C">
        <w:rPr>
          <w:rStyle w:val="s1"/>
          <w:rFonts w:ascii="Arial" w:hAnsi="Arial" w:cs="Arial"/>
          <w:i/>
          <w:lang w:val="en-GB"/>
        </w:rPr>
        <w:t>et al.</w:t>
      </w:r>
      <w:r>
        <w:rPr>
          <w:rStyle w:val="s1"/>
          <w:rFonts w:ascii="Arial" w:hAnsi="Arial" w:cs="Arial"/>
          <w:lang w:val="en-GB"/>
        </w:rPr>
        <w:t xml:space="preserve">, 2008; Ji </w:t>
      </w:r>
      <w:r w:rsidRPr="00A7058C">
        <w:rPr>
          <w:rStyle w:val="s1"/>
          <w:rFonts w:ascii="Arial" w:hAnsi="Arial" w:cs="Arial"/>
          <w:i/>
          <w:lang w:val="en-GB"/>
        </w:rPr>
        <w:t>et al.</w:t>
      </w:r>
      <w:r>
        <w:rPr>
          <w:rStyle w:val="s1"/>
          <w:rFonts w:ascii="Arial" w:hAnsi="Arial" w:cs="Arial"/>
          <w:lang w:val="en-GB"/>
        </w:rPr>
        <w:t xml:space="preserve">, 2008; Merry and Ristow, 2016; Adetona </w:t>
      </w:r>
      <w:r w:rsidRPr="00A7058C">
        <w:rPr>
          <w:rStyle w:val="s1"/>
          <w:rFonts w:ascii="Arial" w:hAnsi="Arial" w:cs="Arial"/>
          <w:i/>
          <w:lang w:val="en-GB"/>
        </w:rPr>
        <w:t>et al.</w:t>
      </w:r>
      <w:r>
        <w:rPr>
          <w:rStyle w:val="s1"/>
          <w:rFonts w:ascii="Arial" w:hAnsi="Arial" w:cs="Arial"/>
          <w:lang w:val="en-GB"/>
        </w:rPr>
        <w:t xml:space="preserve">, 2013; Wolkow </w:t>
      </w:r>
      <w:r w:rsidRPr="00A7058C">
        <w:rPr>
          <w:rStyle w:val="s1"/>
          <w:rFonts w:ascii="Arial" w:hAnsi="Arial" w:cs="Arial"/>
          <w:i/>
          <w:lang w:val="en-GB"/>
        </w:rPr>
        <w:t>et al.</w:t>
      </w:r>
      <w:r>
        <w:rPr>
          <w:rStyle w:val="s1"/>
          <w:rFonts w:ascii="Arial" w:hAnsi="Arial" w:cs="Arial"/>
          <w:lang w:val="en-GB"/>
        </w:rPr>
        <w:t xml:space="preserve">, 2017; Smith </w:t>
      </w:r>
      <w:r w:rsidRPr="00A7058C">
        <w:rPr>
          <w:rStyle w:val="s1"/>
          <w:rFonts w:ascii="Arial" w:hAnsi="Arial" w:cs="Arial"/>
          <w:i/>
          <w:lang w:val="en-GB"/>
        </w:rPr>
        <w:t>et al.</w:t>
      </w:r>
      <w:r>
        <w:rPr>
          <w:rStyle w:val="s1"/>
          <w:rFonts w:ascii="Arial" w:hAnsi="Arial" w:cs="Arial"/>
          <w:lang w:val="en-GB"/>
        </w:rPr>
        <w:t xml:space="preserve">, 2019; </w:t>
      </w:r>
      <w:proofErr w:type="spellStart"/>
      <w:r>
        <w:rPr>
          <w:rStyle w:val="s1"/>
          <w:rFonts w:ascii="Arial" w:hAnsi="Arial" w:cs="Arial"/>
          <w:lang w:val="en-GB"/>
        </w:rPr>
        <w:t>Stec</w:t>
      </w:r>
      <w:proofErr w:type="spellEnd"/>
      <w:r>
        <w:rPr>
          <w:rStyle w:val="s1"/>
          <w:rFonts w:ascii="Arial" w:hAnsi="Arial" w:cs="Arial"/>
          <w:lang w:val="en-GB"/>
        </w:rPr>
        <w:t xml:space="preserve"> </w:t>
      </w:r>
      <w:r w:rsidRPr="00A7058C">
        <w:rPr>
          <w:rStyle w:val="s1"/>
          <w:rFonts w:ascii="Arial" w:hAnsi="Arial" w:cs="Arial"/>
          <w:i/>
          <w:lang w:val="en-GB"/>
        </w:rPr>
        <w:t>et al.</w:t>
      </w:r>
      <w:r>
        <w:rPr>
          <w:rStyle w:val="s1"/>
          <w:rFonts w:ascii="Arial" w:hAnsi="Arial" w:cs="Arial"/>
          <w:lang w:val="en-GB"/>
        </w:rPr>
        <w:t xml:space="preserve">, 2018; Demers </w:t>
      </w:r>
      <w:r w:rsidRPr="00A7058C">
        <w:rPr>
          <w:rStyle w:val="s1"/>
          <w:rFonts w:ascii="Arial" w:hAnsi="Arial" w:cs="Arial"/>
          <w:i/>
          <w:lang w:val="en-GB"/>
        </w:rPr>
        <w:t>et al.</w:t>
      </w:r>
      <w:r>
        <w:rPr>
          <w:rStyle w:val="s1"/>
          <w:rFonts w:ascii="Arial" w:hAnsi="Arial" w:cs="Arial"/>
          <w:lang w:val="en-GB"/>
        </w:rPr>
        <w:t xml:space="preserve">, 2022; </w:t>
      </w:r>
      <w:proofErr w:type="spellStart"/>
      <w:r>
        <w:rPr>
          <w:rStyle w:val="s1"/>
          <w:rFonts w:ascii="Arial" w:hAnsi="Arial" w:cs="Arial"/>
          <w:lang w:val="en-GB"/>
        </w:rPr>
        <w:t>Hwang</w:t>
      </w:r>
      <w:proofErr w:type="spellEnd"/>
      <w:r>
        <w:rPr>
          <w:rStyle w:val="s1"/>
          <w:rFonts w:ascii="Arial" w:hAnsi="Arial" w:cs="Arial"/>
          <w:lang w:val="en-GB"/>
        </w:rPr>
        <w:t xml:space="preserve"> and </w:t>
      </w:r>
      <w:proofErr w:type="spellStart"/>
      <w:r>
        <w:rPr>
          <w:rStyle w:val="s1"/>
          <w:rFonts w:ascii="Arial" w:hAnsi="Arial" w:cs="Arial"/>
          <w:lang w:val="en-GB"/>
        </w:rPr>
        <w:t>Jeong</w:t>
      </w:r>
      <w:proofErr w:type="spellEnd"/>
      <w:r>
        <w:rPr>
          <w:rStyle w:val="s1"/>
          <w:rFonts w:ascii="Arial" w:hAnsi="Arial" w:cs="Arial"/>
          <w:lang w:val="en-GB"/>
        </w:rPr>
        <w:t xml:space="preserve">, 2021). </w:t>
      </w:r>
      <w:r w:rsidR="003E16B2">
        <w:rPr>
          <w:rStyle w:val="s1"/>
          <w:rFonts w:ascii="Arial" w:hAnsi="Arial" w:cs="Arial"/>
          <w:lang w:val="en-GB"/>
        </w:rPr>
        <w:t xml:space="preserve">FF biomonitoring studies support this </w:t>
      </w:r>
      <w:r w:rsidR="003E16B2">
        <w:rPr>
          <w:rStyle w:val="s1"/>
          <w:rFonts w:ascii="Arial" w:hAnsi="Arial" w:cs="Arial"/>
          <w:lang w:val="en-GB"/>
        </w:rPr>
        <w:lastRenderedPageBreak/>
        <w:t>interpretation, although many remain vulnerable to confounding from heat strain, dehydration</w:t>
      </w:r>
      <w:r w:rsidR="007849A5">
        <w:rPr>
          <w:rStyle w:val="s1"/>
          <w:rFonts w:ascii="Arial" w:hAnsi="Arial" w:cs="Arial"/>
          <w:lang w:val="en-GB"/>
        </w:rPr>
        <w:t xml:space="preserve"> workload and PPE use</w:t>
      </w:r>
      <w:r>
        <w:rPr>
          <w:rStyle w:val="s1"/>
          <w:rFonts w:ascii="Arial" w:hAnsi="Arial" w:cs="Arial"/>
          <w:lang w:val="en-GB"/>
        </w:rPr>
        <w:t xml:space="preserve"> (Adetona </w:t>
      </w:r>
      <w:r w:rsidRPr="00A7058C">
        <w:rPr>
          <w:rStyle w:val="s1"/>
          <w:rFonts w:ascii="Arial" w:hAnsi="Arial" w:cs="Arial"/>
          <w:i/>
          <w:lang w:val="en-GB"/>
        </w:rPr>
        <w:t>et al.</w:t>
      </w:r>
      <w:r>
        <w:rPr>
          <w:rStyle w:val="s1"/>
          <w:rFonts w:ascii="Arial" w:hAnsi="Arial" w:cs="Arial"/>
          <w:lang w:val="en-GB"/>
        </w:rPr>
        <w:t xml:space="preserve">, 2013; Wolkow </w:t>
      </w:r>
      <w:r w:rsidRPr="00A7058C">
        <w:rPr>
          <w:rStyle w:val="s1"/>
          <w:rFonts w:ascii="Arial" w:hAnsi="Arial" w:cs="Arial"/>
          <w:i/>
          <w:lang w:val="en-GB"/>
        </w:rPr>
        <w:t>et al.</w:t>
      </w:r>
      <w:r>
        <w:rPr>
          <w:rStyle w:val="s1"/>
          <w:rFonts w:ascii="Arial" w:hAnsi="Arial" w:cs="Arial"/>
          <w:lang w:val="en-GB"/>
        </w:rPr>
        <w:t xml:space="preserve">, 2017; Smith </w:t>
      </w:r>
      <w:r w:rsidRPr="00A7058C">
        <w:rPr>
          <w:rStyle w:val="s1"/>
          <w:rFonts w:ascii="Arial" w:hAnsi="Arial" w:cs="Arial"/>
          <w:i/>
          <w:lang w:val="en-GB"/>
        </w:rPr>
        <w:t>et al.</w:t>
      </w:r>
      <w:r>
        <w:rPr>
          <w:rStyle w:val="s1"/>
          <w:rFonts w:ascii="Arial" w:hAnsi="Arial" w:cs="Arial"/>
          <w:lang w:val="en-GB"/>
        </w:rPr>
        <w:t xml:space="preserve">, 2019; Esteves </w:t>
      </w:r>
      <w:r w:rsidRPr="00A7058C">
        <w:rPr>
          <w:rStyle w:val="s1"/>
          <w:rFonts w:ascii="Arial" w:hAnsi="Arial" w:cs="Arial"/>
          <w:i/>
          <w:lang w:val="en-GB"/>
        </w:rPr>
        <w:t>et al.</w:t>
      </w:r>
      <w:r>
        <w:rPr>
          <w:rStyle w:val="s1"/>
          <w:rFonts w:ascii="Arial" w:hAnsi="Arial" w:cs="Arial"/>
          <w:lang w:val="en-GB"/>
        </w:rPr>
        <w:t>, 2025).</w:t>
      </w:r>
    </w:p>
    <w:p w14:paraId="753D821D" w14:textId="77777777" w:rsidR="00C51A2D" w:rsidRDefault="00C51A2D" w:rsidP="00F22892">
      <w:pPr>
        <w:pStyle w:val="p1"/>
        <w:spacing w:line="360" w:lineRule="auto"/>
        <w:rPr>
          <w:rStyle w:val="s1"/>
          <w:rFonts w:ascii="Arial" w:hAnsi="Arial" w:cs="Arial"/>
          <w:lang w:val="en-GB"/>
        </w:rPr>
      </w:pPr>
      <w:r>
        <w:rPr>
          <w:rStyle w:val="s1"/>
          <w:rFonts w:ascii="Arial" w:hAnsi="Arial" w:cs="Arial"/>
          <w:lang w:val="en-GB"/>
        </w:rPr>
        <w:t xml:space="preserve">The cumulative interaction of inflammation and OXS contributes to elevated AL, reflecting progressive physiological wear-and-tear arising from repeated stress exposure (McEwen and Stellar, 1993; Gonzalez </w:t>
      </w:r>
      <w:r w:rsidRPr="00A7058C">
        <w:rPr>
          <w:rStyle w:val="s1"/>
          <w:rFonts w:ascii="Arial" w:hAnsi="Arial" w:cs="Arial"/>
          <w:i/>
          <w:lang w:val="en-GB"/>
        </w:rPr>
        <w:t>et al.</w:t>
      </w:r>
      <w:r>
        <w:rPr>
          <w:rStyle w:val="s1"/>
          <w:rFonts w:ascii="Arial" w:hAnsi="Arial" w:cs="Arial"/>
          <w:lang w:val="en-GB"/>
        </w:rPr>
        <w:t xml:space="preserve">, 2024). Over time, persistent cytokine exposure and ROS impair endothelial cell function and reduce nitric oxide (NO) bioavailability, promoting endothelial dysfunction as an early precursor to hypertension and atherosclerosis (Pacinella </w:t>
      </w:r>
      <w:r w:rsidRPr="00A7058C">
        <w:rPr>
          <w:rStyle w:val="s1"/>
          <w:rFonts w:ascii="Arial" w:hAnsi="Arial" w:cs="Arial"/>
          <w:i/>
          <w:lang w:val="en-GB"/>
        </w:rPr>
        <w:t>et al.</w:t>
      </w:r>
      <w:r>
        <w:rPr>
          <w:rStyle w:val="s1"/>
          <w:rFonts w:ascii="Arial" w:hAnsi="Arial" w:cs="Arial"/>
          <w:lang w:val="en-GB"/>
        </w:rPr>
        <w:t xml:space="preserve">, 2022; Ataei </w:t>
      </w:r>
      <w:r w:rsidRPr="00A7058C">
        <w:rPr>
          <w:rStyle w:val="s1"/>
          <w:rFonts w:ascii="Arial" w:hAnsi="Arial" w:cs="Arial"/>
          <w:i/>
          <w:lang w:val="en-GB"/>
        </w:rPr>
        <w:t>et al.</w:t>
      </w:r>
      <w:r>
        <w:rPr>
          <w:rStyle w:val="s1"/>
          <w:rFonts w:ascii="Arial" w:hAnsi="Arial" w:cs="Arial"/>
          <w:lang w:val="en-GB"/>
        </w:rPr>
        <w:t xml:space="preserve">, 2022; Golshiri </w:t>
      </w:r>
      <w:r w:rsidRPr="00A7058C">
        <w:rPr>
          <w:rStyle w:val="s1"/>
          <w:rFonts w:ascii="Arial" w:hAnsi="Arial" w:cs="Arial"/>
          <w:i/>
          <w:lang w:val="en-GB"/>
        </w:rPr>
        <w:t>et al.</w:t>
      </w:r>
      <w:r>
        <w:rPr>
          <w:rStyle w:val="s1"/>
          <w:rFonts w:ascii="Arial" w:hAnsi="Arial" w:cs="Arial"/>
          <w:lang w:val="en-GB"/>
        </w:rPr>
        <w:t>, 2021).</w:t>
      </w:r>
    </w:p>
    <w:p w14:paraId="548897A1" w14:textId="77777777" w:rsidR="000456FC" w:rsidRDefault="000456FC" w:rsidP="00F22892">
      <w:pPr>
        <w:pStyle w:val="p1"/>
        <w:spacing w:line="360" w:lineRule="auto"/>
        <w:rPr>
          <w:rFonts w:ascii="Arial" w:hAnsi="Arial" w:cs="Arial"/>
          <w:lang w:val="en-GB"/>
        </w:rPr>
      </w:pPr>
    </w:p>
    <w:p w14:paraId="53B59223" w14:textId="50F8AC83" w:rsidR="00C51A2D" w:rsidRPr="00F17CD8" w:rsidRDefault="000C672E" w:rsidP="00F22892">
      <w:pPr>
        <w:pStyle w:val="Heading2"/>
        <w:spacing w:line="360" w:lineRule="auto"/>
        <w:rPr>
          <w:rStyle w:val="s1"/>
          <w:rFonts w:ascii="Arial" w:hAnsi="Arial" w:cs="Arial"/>
          <w:bCs/>
          <w:lang w:val="en-GB"/>
        </w:rPr>
      </w:pPr>
      <w:bookmarkStart w:id="30" w:name="_Toc228218275"/>
      <w:r>
        <w:rPr>
          <w:rStyle w:val="s1"/>
          <w:rFonts w:ascii="Arial" w:hAnsi="Arial" w:cs="Arial"/>
          <w:bCs/>
          <w:lang w:val="en-GB"/>
        </w:rPr>
        <w:t>2</w:t>
      </w:r>
      <w:r w:rsidR="00C51A2D" w:rsidRPr="00F17CD8">
        <w:rPr>
          <w:rStyle w:val="s1"/>
          <w:rFonts w:ascii="Arial" w:hAnsi="Arial" w:cs="Arial"/>
          <w:bCs/>
          <w:lang w:val="en-GB"/>
        </w:rPr>
        <w:t>.5 Endothelial dysfunction and vascular consequences</w:t>
      </w:r>
      <w:bookmarkEnd w:id="30"/>
    </w:p>
    <w:p w14:paraId="54244BC6" w14:textId="77777777" w:rsidR="000456FC" w:rsidRDefault="000456FC" w:rsidP="00F22892">
      <w:pPr>
        <w:pStyle w:val="p1"/>
        <w:spacing w:line="360" w:lineRule="auto"/>
        <w:rPr>
          <w:rFonts w:ascii="Arial" w:hAnsi="Arial" w:cs="Arial"/>
          <w:b/>
          <w:lang w:val="en-GB"/>
        </w:rPr>
      </w:pPr>
    </w:p>
    <w:p w14:paraId="1B01C230" w14:textId="088E0C76" w:rsidR="000456FC" w:rsidRDefault="00C51A2D" w:rsidP="00F22892">
      <w:pPr>
        <w:pStyle w:val="p1"/>
        <w:spacing w:line="360" w:lineRule="auto"/>
        <w:rPr>
          <w:rFonts w:ascii="Arial" w:hAnsi="Arial" w:cs="Arial"/>
          <w:lang w:val="en-GB"/>
        </w:rPr>
      </w:pPr>
      <w:r>
        <w:rPr>
          <w:rStyle w:val="s1"/>
          <w:rFonts w:ascii="Arial" w:hAnsi="Arial" w:cs="Arial"/>
          <w:lang w:val="en-GB"/>
        </w:rPr>
        <w:t xml:space="preserve">The vascular endothelium regulates blood flow largely through NO, a key vasodilator essential for vascular homeostasis (Cyr </w:t>
      </w:r>
      <w:r w:rsidRPr="00A7058C">
        <w:rPr>
          <w:rStyle w:val="s1"/>
          <w:rFonts w:ascii="Arial" w:hAnsi="Arial" w:cs="Arial"/>
          <w:i/>
          <w:lang w:val="en-GB"/>
        </w:rPr>
        <w:t>et al.</w:t>
      </w:r>
      <w:r>
        <w:rPr>
          <w:rStyle w:val="s1"/>
          <w:rFonts w:ascii="Arial" w:hAnsi="Arial" w:cs="Arial"/>
          <w:lang w:val="en-GB"/>
        </w:rPr>
        <w:t xml:space="preserve">, 2020; Incalza </w:t>
      </w:r>
      <w:r w:rsidRPr="00A7058C">
        <w:rPr>
          <w:rStyle w:val="s1"/>
          <w:rFonts w:ascii="Arial" w:hAnsi="Arial" w:cs="Arial"/>
          <w:i/>
          <w:lang w:val="en-GB"/>
        </w:rPr>
        <w:t>et al.</w:t>
      </w:r>
      <w:r>
        <w:rPr>
          <w:rStyle w:val="s1"/>
          <w:rFonts w:ascii="Arial" w:hAnsi="Arial" w:cs="Arial"/>
          <w:lang w:val="en-GB"/>
        </w:rPr>
        <w:t xml:space="preserve">, 2018; Tousoulis </w:t>
      </w:r>
      <w:r w:rsidRPr="00A7058C">
        <w:rPr>
          <w:rStyle w:val="s1"/>
          <w:rFonts w:ascii="Arial" w:hAnsi="Arial" w:cs="Arial"/>
          <w:i/>
          <w:lang w:val="en-GB"/>
        </w:rPr>
        <w:t>et al.</w:t>
      </w:r>
      <w:r>
        <w:rPr>
          <w:rStyle w:val="s1"/>
          <w:rFonts w:ascii="Arial" w:hAnsi="Arial" w:cs="Arial"/>
          <w:lang w:val="en-GB"/>
        </w:rPr>
        <w:t xml:space="preserve">, 2012). Inflammation </w:t>
      </w:r>
      <w:r w:rsidR="003C4498">
        <w:rPr>
          <w:rStyle w:val="s1"/>
          <w:rFonts w:ascii="Arial" w:hAnsi="Arial" w:cs="Arial"/>
          <w:lang w:val="en-GB"/>
        </w:rPr>
        <w:t>may increase</w:t>
      </w:r>
      <w:r>
        <w:rPr>
          <w:rStyle w:val="s1"/>
          <w:rFonts w:ascii="Arial" w:hAnsi="Arial" w:cs="Arial"/>
          <w:lang w:val="en-GB"/>
        </w:rPr>
        <w:t xml:space="preserve"> CV strain </w:t>
      </w:r>
      <w:r w:rsidR="003C4498">
        <w:rPr>
          <w:rStyle w:val="s1"/>
          <w:rFonts w:ascii="Arial" w:hAnsi="Arial" w:cs="Arial"/>
          <w:lang w:val="en-GB"/>
        </w:rPr>
        <w:t>through</w:t>
      </w:r>
      <w:r>
        <w:rPr>
          <w:rStyle w:val="s1"/>
          <w:rFonts w:ascii="Arial" w:hAnsi="Arial" w:cs="Arial"/>
          <w:lang w:val="en-GB"/>
        </w:rPr>
        <w:t xml:space="preserve"> endothelial dysfunction, arterial stiffening, renal sodium retention and altered angiotensin sensitivity (Gallo </w:t>
      </w:r>
      <w:r w:rsidRPr="00A7058C">
        <w:rPr>
          <w:rStyle w:val="s1"/>
          <w:rFonts w:ascii="Arial" w:hAnsi="Arial" w:cs="Arial"/>
          <w:i/>
          <w:lang w:val="en-GB"/>
        </w:rPr>
        <w:t>et al.</w:t>
      </w:r>
      <w:r>
        <w:rPr>
          <w:rStyle w:val="s1"/>
          <w:rFonts w:ascii="Arial" w:hAnsi="Arial" w:cs="Arial"/>
          <w:lang w:val="en-GB"/>
        </w:rPr>
        <w:t xml:space="preserve">, 2022; Zanoli </w:t>
      </w:r>
      <w:r w:rsidRPr="00A7058C">
        <w:rPr>
          <w:rStyle w:val="s1"/>
          <w:rFonts w:ascii="Arial" w:hAnsi="Arial" w:cs="Arial"/>
          <w:i/>
          <w:lang w:val="en-GB"/>
        </w:rPr>
        <w:t>et al.</w:t>
      </w:r>
      <w:r>
        <w:rPr>
          <w:rStyle w:val="s1"/>
          <w:rFonts w:ascii="Arial" w:hAnsi="Arial" w:cs="Arial"/>
          <w:lang w:val="en-GB"/>
        </w:rPr>
        <w:t xml:space="preserve">, 2020; Cau </w:t>
      </w:r>
      <w:r w:rsidRPr="00A7058C">
        <w:rPr>
          <w:rStyle w:val="s1"/>
          <w:rFonts w:ascii="Arial" w:hAnsi="Arial" w:cs="Arial"/>
          <w:i/>
          <w:lang w:val="en-GB"/>
        </w:rPr>
        <w:t>et al.</w:t>
      </w:r>
      <w:r>
        <w:rPr>
          <w:rStyle w:val="s1"/>
          <w:rFonts w:ascii="Arial" w:hAnsi="Arial" w:cs="Arial"/>
          <w:lang w:val="en-GB"/>
        </w:rPr>
        <w:t xml:space="preserve">, 2021). A key pathway linking inflammation to elevated BP is reduced NO bioavailability alongside increased vasoconstrictors such as endothelin-1 (Singh </w:t>
      </w:r>
      <w:r w:rsidRPr="00A7058C">
        <w:rPr>
          <w:rStyle w:val="s1"/>
          <w:rFonts w:ascii="Arial" w:hAnsi="Arial" w:cs="Arial"/>
          <w:i/>
          <w:lang w:val="en-GB"/>
        </w:rPr>
        <w:t>et al.</w:t>
      </w:r>
      <w:r>
        <w:rPr>
          <w:rStyle w:val="s1"/>
          <w:rFonts w:ascii="Arial" w:hAnsi="Arial" w:cs="Arial"/>
          <w:lang w:val="en-GB"/>
        </w:rPr>
        <w:t xml:space="preserve">, 2007). CRP can suppress endothelial NO synthase, while inflammatory cell activity and ROS reduce arterial compliance and promote stiffness, increasing peripheral resistance and BP (Singh </w:t>
      </w:r>
      <w:r w:rsidRPr="00A7058C">
        <w:rPr>
          <w:rStyle w:val="s1"/>
          <w:rFonts w:ascii="Arial" w:hAnsi="Arial" w:cs="Arial"/>
          <w:i/>
          <w:lang w:val="en-GB"/>
        </w:rPr>
        <w:t>et al.</w:t>
      </w:r>
      <w:r>
        <w:rPr>
          <w:rStyle w:val="s1"/>
          <w:rFonts w:ascii="Arial" w:hAnsi="Arial" w:cs="Arial"/>
          <w:lang w:val="en-GB"/>
        </w:rPr>
        <w:t xml:space="preserve">, 2007; Subodh and Chao-HW, 2002; Ling </w:t>
      </w:r>
      <w:r w:rsidRPr="00A7058C">
        <w:rPr>
          <w:rStyle w:val="s1"/>
          <w:rFonts w:ascii="Arial" w:hAnsi="Arial" w:cs="Arial"/>
          <w:i/>
          <w:lang w:val="en-GB"/>
        </w:rPr>
        <w:t>et al.</w:t>
      </w:r>
      <w:r>
        <w:rPr>
          <w:rStyle w:val="s1"/>
          <w:rFonts w:ascii="Arial" w:hAnsi="Arial" w:cs="Arial"/>
          <w:lang w:val="en-GB"/>
        </w:rPr>
        <w:t xml:space="preserve">, 2021; Sharma </w:t>
      </w:r>
      <w:r w:rsidRPr="00A7058C">
        <w:rPr>
          <w:rStyle w:val="s1"/>
          <w:rFonts w:ascii="Arial" w:hAnsi="Arial" w:cs="Arial"/>
          <w:i/>
          <w:lang w:val="en-GB"/>
        </w:rPr>
        <w:t>et al.</w:t>
      </w:r>
      <w:r>
        <w:rPr>
          <w:rStyle w:val="s1"/>
          <w:rFonts w:ascii="Arial" w:hAnsi="Arial" w:cs="Arial"/>
          <w:lang w:val="en-GB"/>
        </w:rPr>
        <w:t xml:space="preserve">, 2013; Gallo </w:t>
      </w:r>
      <w:r w:rsidRPr="00A7058C">
        <w:rPr>
          <w:rStyle w:val="s1"/>
          <w:rFonts w:ascii="Arial" w:hAnsi="Arial" w:cs="Arial"/>
          <w:i/>
          <w:lang w:val="en-GB"/>
        </w:rPr>
        <w:t>et al.</w:t>
      </w:r>
      <w:r>
        <w:rPr>
          <w:rStyle w:val="s1"/>
          <w:rFonts w:ascii="Arial" w:hAnsi="Arial" w:cs="Arial"/>
          <w:lang w:val="en-GB"/>
        </w:rPr>
        <w:t xml:space="preserve">, 2022; Kim, 2023; Cai </w:t>
      </w:r>
      <w:r w:rsidRPr="00A7058C">
        <w:rPr>
          <w:rStyle w:val="s1"/>
          <w:rFonts w:ascii="Arial" w:hAnsi="Arial" w:cs="Arial"/>
          <w:i/>
          <w:lang w:val="en-GB"/>
        </w:rPr>
        <w:t>et al.</w:t>
      </w:r>
      <w:r>
        <w:rPr>
          <w:rStyle w:val="s1"/>
          <w:rFonts w:ascii="Arial" w:hAnsi="Arial" w:cs="Arial"/>
          <w:lang w:val="en-GB"/>
        </w:rPr>
        <w:t xml:space="preserve">, 2021; Biogni </w:t>
      </w:r>
      <w:r w:rsidRPr="00A7058C">
        <w:rPr>
          <w:rStyle w:val="s1"/>
          <w:rFonts w:ascii="Arial" w:hAnsi="Arial" w:cs="Arial"/>
          <w:i/>
          <w:lang w:val="en-GB"/>
        </w:rPr>
        <w:t>et al.</w:t>
      </w:r>
      <w:r>
        <w:rPr>
          <w:rStyle w:val="s1"/>
          <w:rFonts w:ascii="Arial" w:hAnsi="Arial" w:cs="Arial"/>
          <w:lang w:val="en-GB"/>
        </w:rPr>
        <w:t xml:space="preserve">, 2020). As dysfunction progresses, vascular homeostasis is disrupted and becomes more pro-inflammatory and pro-thrombotic, accelerating arterial stiffening (Vallet </w:t>
      </w:r>
      <w:r w:rsidRPr="00A7058C">
        <w:rPr>
          <w:rStyle w:val="s1"/>
          <w:rFonts w:ascii="Arial" w:hAnsi="Arial" w:cs="Arial"/>
          <w:i/>
          <w:lang w:val="en-GB"/>
        </w:rPr>
        <w:t>et al.</w:t>
      </w:r>
      <w:r>
        <w:rPr>
          <w:rStyle w:val="s1"/>
          <w:rFonts w:ascii="Arial" w:hAnsi="Arial" w:cs="Arial"/>
          <w:lang w:val="en-GB"/>
        </w:rPr>
        <w:t xml:space="preserve">, 2003; Incalza </w:t>
      </w:r>
      <w:r w:rsidRPr="00A7058C">
        <w:rPr>
          <w:rStyle w:val="s1"/>
          <w:rFonts w:ascii="Arial" w:hAnsi="Arial" w:cs="Arial"/>
          <w:i/>
          <w:lang w:val="en-GB"/>
        </w:rPr>
        <w:t>et al.</w:t>
      </w:r>
      <w:r>
        <w:rPr>
          <w:rStyle w:val="s1"/>
          <w:rFonts w:ascii="Arial" w:hAnsi="Arial" w:cs="Arial"/>
          <w:lang w:val="en-GB"/>
        </w:rPr>
        <w:t xml:space="preserve">, 2018; Barbu </w:t>
      </w:r>
      <w:r w:rsidRPr="00A7058C">
        <w:rPr>
          <w:rStyle w:val="s1"/>
          <w:rFonts w:ascii="Arial" w:hAnsi="Arial" w:cs="Arial"/>
          <w:i/>
          <w:lang w:val="en-GB"/>
        </w:rPr>
        <w:t>et al.</w:t>
      </w:r>
      <w:r>
        <w:rPr>
          <w:rStyle w:val="s1"/>
          <w:rFonts w:ascii="Arial" w:hAnsi="Arial" w:cs="Arial"/>
          <w:lang w:val="en-GB"/>
        </w:rPr>
        <w:t>, 2022).</w:t>
      </w:r>
    </w:p>
    <w:p w14:paraId="268EE9A5" w14:textId="6C3EA1DF" w:rsidR="000456FC" w:rsidRDefault="00C51A2D" w:rsidP="00F22892">
      <w:pPr>
        <w:pStyle w:val="p1"/>
        <w:spacing w:line="360" w:lineRule="auto"/>
        <w:rPr>
          <w:rFonts w:ascii="Arial" w:hAnsi="Arial" w:cs="Arial"/>
          <w:lang w:val="en-GB"/>
        </w:rPr>
      </w:pPr>
      <w:r>
        <w:rPr>
          <w:rStyle w:val="s1"/>
          <w:rFonts w:ascii="Arial" w:hAnsi="Arial" w:cs="Arial"/>
          <w:lang w:val="en-GB"/>
        </w:rPr>
        <w:t xml:space="preserve">In FFs, repeated occupational stressors may exacerbate these pathways. Greater arterial stiffness is reflected by increased pulse wave velocity, a marker of vascular </w:t>
      </w:r>
      <w:r>
        <w:rPr>
          <w:rStyle w:val="s1"/>
          <w:rFonts w:ascii="Arial" w:hAnsi="Arial" w:cs="Arial"/>
          <w:lang w:val="en-GB"/>
        </w:rPr>
        <w:lastRenderedPageBreak/>
        <w:t xml:space="preserve">ageing associated with higher CV risk and cardiac workload (Yook, 2019). Watkins </w:t>
      </w:r>
      <w:r w:rsidRPr="00A7058C">
        <w:rPr>
          <w:rStyle w:val="s1"/>
          <w:rFonts w:ascii="Arial" w:hAnsi="Arial" w:cs="Arial"/>
          <w:i/>
          <w:lang w:val="en-GB"/>
        </w:rPr>
        <w:t>et al.</w:t>
      </w:r>
      <w:r>
        <w:rPr>
          <w:rStyle w:val="s1"/>
          <w:rFonts w:ascii="Arial" w:hAnsi="Arial" w:cs="Arial"/>
          <w:lang w:val="en-GB"/>
        </w:rPr>
        <w:t xml:space="preserve"> (2021) reported FFs exposed to repeated heat stress showed elevated inflammatory markers, including CRP and IL-1β, alongside higher hypertension prevalence, consistent with occupational inflammation contributing to vascular strain. This aligns with evidence that a substantial proportion of U.S. FFs meet criteria for hypertension (Kales and Smith, 2017; Kales </w:t>
      </w:r>
      <w:r w:rsidRPr="00A7058C">
        <w:rPr>
          <w:rStyle w:val="s1"/>
          <w:rFonts w:ascii="Arial" w:hAnsi="Arial" w:cs="Arial"/>
          <w:i/>
          <w:lang w:val="en-GB"/>
        </w:rPr>
        <w:t>et al.</w:t>
      </w:r>
      <w:r>
        <w:rPr>
          <w:rStyle w:val="s1"/>
          <w:rFonts w:ascii="Arial" w:hAnsi="Arial" w:cs="Arial"/>
          <w:lang w:val="en-GB"/>
        </w:rPr>
        <w:t xml:space="preserve">, 2009). Although discussed lifestyle factors influence BP, recurrent high-heat exertion and inflammatory load may be additional occupational drivers of vascular dysfunction (Patterson </w:t>
      </w:r>
      <w:r w:rsidRPr="00A7058C">
        <w:rPr>
          <w:rStyle w:val="s1"/>
          <w:rFonts w:ascii="Arial" w:hAnsi="Arial" w:cs="Arial"/>
          <w:i/>
          <w:lang w:val="en-GB"/>
        </w:rPr>
        <w:t>et al.</w:t>
      </w:r>
      <w:r>
        <w:rPr>
          <w:rStyle w:val="s1"/>
          <w:rFonts w:ascii="Arial" w:hAnsi="Arial" w:cs="Arial"/>
          <w:lang w:val="en-GB"/>
        </w:rPr>
        <w:t xml:space="preserve">, 2020; Chen </w:t>
      </w:r>
      <w:r w:rsidRPr="00A7058C">
        <w:rPr>
          <w:rStyle w:val="s1"/>
          <w:rFonts w:ascii="Arial" w:hAnsi="Arial" w:cs="Arial"/>
          <w:i/>
          <w:lang w:val="en-GB"/>
        </w:rPr>
        <w:t>et al.</w:t>
      </w:r>
      <w:r>
        <w:rPr>
          <w:rStyle w:val="s1"/>
          <w:rFonts w:ascii="Arial" w:hAnsi="Arial" w:cs="Arial"/>
          <w:lang w:val="en-GB"/>
        </w:rPr>
        <w:t xml:space="preserve">, 2021; Romero Cabrera </w:t>
      </w:r>
      <w:r w:rsidRPr="00A7058C">
        <w:rPr>
          <w:rStyle w:val="s1"/>
          <w:rFonts w:ascii="Arial" w:hAnsi="Arial" w:cs="Arial"/>
          <w:i/>
          <w:lang w:val="en-GB"/>
        </w:rPr>
        <w:t>et al.</w:t>
      </w:r>
      <w:r>
        <w:rPr>
          <w:rStyle w:val="s1"/>
          <w:rFonts w:ascii="Arial" w:hAnsi="Arial" w:cs="Arial"/>
          <w:lang w:val="en-GB"/>
        </w:rPr>
        <w:t xml:space="preserve">, 2021; Joe </w:t>
      </w:r>
      <w:r w:rsidRPr="00A7058C">
        <w:rPr>
          <w:rStyle w:val="s1"/>
          <w:rFonts w:ascii="Arial" w:hAnsi="Arial" w:cs="Arial"/>
          <w:i/>
          <w:lang w:val="en-GB"/>
        </w:rPr>
        <w:t>et al.</w:t>
      </w:r>
      <w:r>
        <w:rPr>
          <w:rStyle w:val="s1"/>
          <w:rFonts w:ascii="Arial" w:hAnsi="Arial" w:cs="Arial"/>
          <w:lang w:val="en-GB"/>
        </w:rPr>
        <w:t xml:space="preserve">, 2022; </w:t>
      </w:r>
      <w:proofErr w:type="spellStart"/>
      <w:r>
        <w:rPr>
          <w:rStyle w:val="s1"/>
          <w:rFonts w:ascii="Arial" w:hAnsi="Arial" w:cs="Arial"/>
          <w:lang w:val="en-GB"/>
        </w:rPr>
        <w:t>Simonson</w:t>
      </w:r>
      <w:proofErr w:type="spellEnd"/>
      <w:r>
        <w:rPr>
          <w:rStyle w:val="s1"/>
          <w:rFonts w:ascii="Arial" w:hAnsi="Arial" w:cs="Arial"/>
          <w:lang w:val="en-GB"/>
        </w:rPr>
        <w:t xml:space="preserve"> </w:t>
      </w:r>
      <w:r w:rsidRPr="00A7058C">
        <w:rPr>
          <w:rStyle w:val="s1"/>
          <w:rFonts w:ascii="Arial" w:hAnsi="Arial" w:cs="Arial"/>
          <w:i/>
          <w:lang w:val="en-GB"/>
        </w:rPr>
        <w:t>et al.</w:t>
      </w:r>
      <w:r>
        <w:rPr>
          <w:rStyle w:val="s1"/>
          <w:rFonts w:ascii="Arial" w:hAnsi="Arial" w:cs="Arial"/>
          <w:lang w:val="en-GB"/>
        </w:rPr>
        <w:t xml:space="preserve">, 2024). Yook (2019) strengthens occupational relevance through a large cross-sectional sample linking occupational stress with arterial stiffness, cardiorespiratory fitness and sleep quality, but cannot establish causality. Likewise, Watkins </w:t>
      </w:r>
      <w:r w:rsidRPr="00A7058C">
        <w:rPr>
          <w:rStyle w:val="s1"/>
          <w:rFonts w:ascii="Arial" w:hAnsi="Arial" w:cs="Arial"/>
          <w:i/>
          <w:lang w:val="en-GB"/>
        </w:rPr>
        <w:t>et al.</w:t>
      </w:r>
      <w:r>
        <w:rPr>
          <w:rStyle w:val="s1"/>
          <w:rFonts w:ascii="Arial" w:hAnsi="Arial" w:cs="Arial"/>
          <w:lang w:val="en-GB"/>
        </w:rPr>
        <w:t xml:space="preserve"> (2021) compares highly exposed FF-instructors with FFs and links exposure frequency to inflammatory and hypertension-related risk markers, yet remains observational and cannot fully separate heat exposure from other occupational or lifestyle influences.</w:t>
      </w:r>
    </w:p>
    <w:p w14:paraId="264E16D6" w14:textId="5FF9BFB2" w:rsidR="000456FC" w:rsidRDefault="00C51A2D" w:rsidP="00F22892">
      <w:pPr>
        <w:pStyle w:val="p1"/>
        <w:spacing w:line="360" w:lineRule="auto"/>
        <w:rPr>
          <w:rFonts w:ascii="Arial" w:hAnsi="Arial" w:cs="Arial"/>
          <w:lang w:val="en-GB"/>
        </w:rPr>
      </w:pPr>
      <w:r>
        <w:rPr>
          <w:rStyle w:val="s1"/>
          <w:rFonts w:ascii="Arial" w:hAnsi="Arial" w:cs="Arial"/>
          <w:lang w:val="en-GB"/>
        </w:rPr>
        <w:t xml:space="preserve">FF-specific mechanistic evidence remains limited, and much causal inference is drawn from other populations. Translation to FFs is therefore based on biological plausibility rather than direct confirmation, supporting the use of pragmatic outcomes such as BP (Manoogian </w:t>
      </w:r>
      <w:r w:rsidRPr="00A7058C">
        <w:rPr>
          <w:rStyle w:val="s1"/>
          <w:rFonts w:ascii="Arial" w:hAnsi="Arial" w:cs="Arial"/>
          <w:i/>
          <w:lang w:val="en-GB"/>
        </w:rPr>
        <w:t>et al.</w:t>
      </w:r>
      <w:r>
        <w:rPr>
          <w:rStyle w:val="s1"/>
          <w:rFonts w:ascii="Arial" w:hAnsi="Arial" w:cs="Arial"/>
          <w:lang w:val="en-GB"/>
        </w:rPr>
        <w:t xml:space="preserve">, 2022; Zhang </w:t>
      </w:r>
      <w:r w:rsidRPr="00A7058C">
        <w:rPr>
          <w:rStyle w:val="s1"/>
          <w:rFonts w:ascii="Arial" w:hAnsi="Arial" w:cs="Arial"/>
          <w:i/>
          <w:lang w:val="en-GB"/>
        </w:rPr>
        <w:t>et al.</w:t>
      </w:r>
      <w:r>
        <w:rPr>
          <w:rStyle w:val="s1"/>
          <w:rFonts w:ascii="Arial" w:hAnsi="Arial" w:cs="Arial"/>
          <w:lang w:val="en-GB"/>
        </w:rPr>
        <w:t xml:space="preserve">, 2022; Rothman </w:t>
      </w:r>
      <w:r w:rsidRPr="00A7058C">
        <w:rPr>
          <w:rStyle w:val="s1"/>
          <w:rFonts w:ascii="Arial" w:hAnsi="Arial" w:cs="Arial"/>
          <w:i/>
          <w:lang w:val="en-GB"/>
        </w:rPr>
        <w:t>et al.</w:t>
      </w:r>
      <w:r>
        <w:rPr>
          <w:rStyle w:val="s1"/>
          <w:rFonts w:ascii="Arial" w:hAnsi="Arial" w:cs="Arial"/>
          <w:lang w:val="en-GB"/>
        </w:rPr>
        <w:t xml:space="preserve">, 2019; Dixon </w:t>
      </w:r>
      <w:r w:rsidRPr="00A7058C">
        <w:rPr>
          <w:rStyle w:val="s1"/>
          <w:rFonts w:ascii="Arial" w:hAnsi="Arial" w:cs="Arial"/>
          <w:i/>
          <w:lang w:val="en-GB"/>
        </w:rPr>
        <w:t>et al.</w:t>
      </w:r>
      <w:r>
        <w:rPr>
          <w:rStyle w:val="s1"/>
          <w:rFonts w:ascii="Arial" w:hAnsi="Arial" w:cs="Arial"/>
          <w:lang w:val="en-GB"/>
        </w:rPr>
        <w:t xml:space="preserve">, 2020). Manoogian </w:t>
      </w:r>
      <w:r w:rsidRPr="00A7058C">
        <w:rPr>
          <w:rStyle w:val="s1"/>
          <w:rFonts w:ascii="Arial" w:hAnsi="Arial" w:cs="Arial"/>
          <w:i/>
          <w:lang w:val="en-GB"/>
        </w:rPr>
        <w:t>et al.</w:t>
      </w:r>
      <w:r>
        <w:rPr>
          <w:rStyle w:val="s1"/>
          <w:rFonts w:ascii="Arial" w:hAnsi="Arial" w:cs="Arial"/>
          <w:lang w:val="en-GB"/>
        </w:rPr>
        <w:t xml:space="preserve"> (2022) showed in a randomised controlled trial (RCT) of 24-h shift workers, including FFs, that time-restricted eating improved cardiometabolic markers and reduced </w:t>
      </w:r>
      <w:r w:rsidR="004D5D24">
        <w:rPr>
          <w:rStyle w:val="s1"/>
          <w:rFonts w:ascii="Arial" w:hAnsi="Arial" w:cs="Arial"/>
          <w:lang w:val="en-GB"/>
        </w:rPr>
        <w:t>D</w:t>
      </w:r>
      <w:r>
        <w:rPr>
          <w:rStyle w:val="s1"/>
          <w:rFonts w:ascii="Arial" w:hAnsi="Arial" w:cs="Arial"/>
          <w:lang w:val="en-GB"/>
        </w:rPr>
        <w:t>BP in those with elevated baseline risk</w:t>
      </w:r>
      <w:r w:rsidR="002A4F92">
        <w:rPr>
          <w:rStyle w:val="s1"/>
          <w:rFonts w:ascii="Arial" w:hAnsi="Arial" w:cs="Arial"/>
          <w:lang w:val="en-GB"/>
        </w:rPr>
        <w:t xml:space="preserve">, while </w:t>
      </w:r>
      <w:r>
        <w:rPr>
          <w:rStyle w:val="s1"/>
          <w:rFonts w:ascii="Arial" w:hAnsi="Arial" w:cs="Arial"/>
          <w:lang w:val="en-GB"/>
        </w:rPr>
        <w:t xml:space="preserve">Zhang </w:t>
      </w:r>
      <w:r w:rsidRPr="00A7058C">
        <w:rPr>
          <w:rStyle w:val="s1"/>
          <w:rFonts w:ascii="Arial" w:hAnsi="Arial" w:cs="Arial"/>
          <w:i/>
          <w:lang w:val="en-GB"/>
        </w:rPr>
        <w:t>et al.</w:t>
      </w:r>
      <w:r>
        <w:rPr>
          <w:rStyle w:val="s1"/>
          <w:rFonts w:ascii="Arial" w:hAnsi="Arial" w:cs="Arial"/>
          <w:lang w:val="en-GB"/>
        </w:rPr>
        <w:t xml:space="preserve"> (2022) </w:t>
      </w:r>
      <w:r w:rsidR="00AA1CB8">
        <w:rPr>
          <w:rStyle w:val="s1"/>
          <w:rFonts w:ascii="Arial" w:hAnsi="Arial" w:cs="Arial"/>
          <w:lang w:val="en-GB"/>
        </w:rPr>
        <w:t>supports</w:t>
      </w:r>
      <w:r>
        <w:rPr>
          <w:rStyle w:val="s1"/>
          <w:rFonts w:ascii="Arial" w:hAnsi="Arial" w:cs="Arial"/>
          <w:lang w:val="en-GB"/>
        </w:rPr>
        <w:t xml:space="preserve"> that O3 int</w:t>
      </w:r>
      <w:r w:rsidR="00AA1CB8">
        <w:rPr>
          <w:rStyle w:val="s1"/>
          <w:rFonts w:ascii="Arial" w:hAnsi="Arial" w:cs="Arial"/>
          <w:lang w:val="en-GB"/>
        </w:rPr>
        <w:t>ervention</w:t>
      </w:r>
      <w:r>
        <w:rPr>
          <w:rStyle w:val="s1"/>
          <w:rFonts w:ascii="Arial" w:hAnsi="Arial" w:cs="Arial"/>
          <w:lang w:val="en-GB"/>
        </w:rPr>
        <w:t xml:space="preserve"> can reduce BP in a dose-response manner. </w:t>
      </w:r>
      <w:r w:rsidR="00DE3674">
        <w:rPr>
          <w:rStyle w:val="s1"/>
          <w:rFonts w:ascii="Arial" w:hAnsi="Arial" w:cs="Arial"/>
          <w:lang w:val="en-GB"/>
        </w:rPr>
        <w:t>Contrastingly</w:t>
      </w:r>
      <w:r>
        <w:rPr>
          <w:rStyle w:val="s1"/>
          <w:rFonts w:ascii="Arial" w:hAnsi="Arial" w:cs="Arial"/>
          <w:lang w:val="en-GB"/>
        </w:rPr>
        <w:t xml:space="preserve">, Rothman </w:t>
      </w:r>
      <w:r w:rsidRPr="00A7058C">
        <w:rPr>
          <w:rStyle w:val="s1"/>
          <w:rFonts w:ascii="Arial" w:hAnsi="Arial" w:cs="Arial"/>
          <w:i/>
          <w:lang w:val="en-GB"/>
        </w:rPr>
        <w:t>et al.</w:t>
      </w:r>
      <w:r>
        <w:rPr>
          <w:rStyle w:val="s1"/>
          <w:rFonts w:ascii="Arial" w:hAnsi="Arial" w:cs="Arial"/>
          <w:lang w:val="en-GB"/>
        </w:rPr>
        <w:t xml:space="preserve"> (2019) and Dixon </w:t>
      </w:r>
      <w:r w:rsidRPr="00A7058C">
        <w:rPr>
          <w:rStyle w:val="s1"/>
          <w:rFonts w:ascii="Arial" w:hAnsi="Arial" w:cs="Arial"/>
          <w:i/>
          <w:lang w:val="en-GB"/>
        </w:rPr>
        <w:t>et al.</w:t>
      </w:r>
      <w:r>
        <w:rPr>
          <w:rStyle w:val="s1"/>
          <w:rFonts w:ascii="Arial" w:hAnsi="Arial" w:cs="Arial"/>
          <w:lang w:val="en-GB"/>
        </w:rPr>
        <w:t xml:space="preserve"> (2020) add nuance. Although inflammation and hypertension are mechanistically linked, targeted IL-1β inhibition in the secondary CANTOS analysis did not reduce BP or incident hypertension, indicating inflammatory vascular pathways are </w:t>
      </w:r>
      <w:r w:rsidR="008E05F8">
        <w:rPr>
          <w:rStyle w:val="s1"/>
          <w:rFonts w:ascii="Arial" w:hAnsi="Arial" w:cs="Arial"/>
          <w:lang w:val="en-GB"/>
        </w:rPr>
        <w:t xml:space="preserve">not </w:t>
      </w:r>
      <w:r>
        <w:rPr>
          <w:rStyle w:val="s1"/>
          <w:rFonts w:ascii="Arial" w:hAnsi="Arial" w:cs="Arial"/>
          <w:lang w:val="en-GB"/>
        </w:rPr>
        <w:t>always reflected in BP lowering</w:t>
      </w:r>
      <w:r w:rsidR="00B373DB">
        <w:rPr>
          <w:rStyle w:val="s1"/>
          <w:rFonts w:ascii="Arial" w:hAnsi="Arial" w:cs="Arial"/>
          <w:lang w:val="en-GB"/>
        </w:rPr>
        <w:t>, supporting</w:t>
      </w:r>
      <w:r>
        <w:rPr>
          <w:rStyle w:val="s1"/>
          <w:rFonts w:ascii="Arial" w:hAnsi="Arial" w:cs="Arial"/>
          <w:lang w:val="en-GB"/>
        </w:rPr>
        <w:t xml:space="preserve"> BP as a pragmatic </w:t>
      </w:r>
      <w:r w:rsidR="001B409E">
        <w:rPr>
          <w:rStyle w:val="s1"/>
          <w:rFonts w:ascii="Arial" w:hAnsi="Arial" w:cs="Arial"/>
          <w:lang w:val="en-GB"/>
        </w:rPr>
        <w:t>but incomplete outcome.</w:t>
      </w:r>
    </w:p>
    <w:p w14:paraId="42067AFE" w14:textId="5E2CF846" w:rsidR="00C51A2D" w:rsidRDefault="00C51A2D" w:rsidP="00F22892">
      <w:pPr>
        <w:pStyle w:val="p1"/>
        <w:spacing w:line="360" w:lineRule="auto"/>
        <w:rPr>
          <w:rStyle w:val="s1"/>
          <w:rFonts w:ascii="Arial" w:hAnsi="Arial" w:cs="Arial"/>
          <w:lang w:val="en-GB"/>
        </w:rPr>
      </w:pPr>
      <w:r>
        <w:rPr>
          <w:rStyle w:val="s1"/>
          <w:rFonts w:ascii="Arial" w:hAnsi="Arial" w:cs="Arial"/>
          <w:lang w:val="en-GB"/>
        </w:rPr>
        <w:lastRenderedPageBreak/>
        <w:t>Inflammation-induced endothelial dysfunction,</w:t>
      </w:r>
      <w:r w:rsidR="000B78A7">
        <w:rPr>
          <w:rStyle w:val="s1"/>
          <w:rFonts w:ascii="Arial" w:hAnsi="Arial" w:cs="Arial"/>
          <w:lang w:val="en-GB"/>
        </w:rPr>
        <w:t xml:space="preserve"> </w:t>
      </w:r>
      <w:r>
        <w:rPr>
          <w:rStyle w:val="s1"/>
          <w:rFonts w:ascii="Arial" w:hAnsi="Arial" w:cs="Arial"/>
          <w:lang w:val="en-GB"/>
        </w:rPr>
        <w:t>provides a plausible pathway through which occupational stressors may elevate CV load. However, mixed intervention evidence suggests BP is an important but incomplete surrogate of vascular dysfunction.</w:t>
      </w:r>
    </w:p>
    <w:p w14:paraId="4699652F" w14:textId="77777777" w:rsidR="000456FC" w:rsidRDefault="000456FC" w:rsidP="00F22892">
      <w:pPr>
        <w:pStyle w:val="p1"/>
        <w:spacing w:line="360" w:lineRule="auto"/>
        <w:rPr>
          <w:rFonts w:ascii="Arial" w:hAnsi="Arial" w:cs="Arial"/>
          <w:lang w:val="en-GB"/>
        </w:rPr>
      </w:pPr>
    </w:p>
    <w:p w14:paraId="0DA92E08" w14:textId="483E736C" w:rsidR="00C51A2D" w:rsidRPr="00F17CD8" w:rsidRDefault="000C672E" w:rsidP="00F22892">
      <w:pPr>
        <w:pStyle w:val="Heading2"/>
        <w:spacing w:line="360" w:lineRule="auto"/>
        <w:rPr>
          <w:rStyle w:val="s1"/>
          <w:rFonts w:ascii="Arial" w:hAnsi="Arial" w:cs="Arial"/>
          <w:bCs/>
          <w:lang w:val="en-GB"/>
        </w:rPr>
      </w:pPr>
      <w:bookmarkStart w:id="31" w:name="_Toc228218276"/>
      <w:r>
        <w:rPr>
          <w:rStyle w:val="s1"/>
          <w:rFonts w:ascii="Arial" w:hAnsi="Arial" w:cs="Arial"/>
          <w:bCs/>
          <w:lang w:val="en-GB"/>
        </w:rPr>
        <w:t>2</w:t>
      </w:r>
      <w:r w:rsidR="00C51A2D" w:rsidRPr="00F17CD8">
        <w:rPr>
          <w:rStyle w:val="s1"/>
          <w:rFonts w:ascii="Arial" w:hAnsi="Arial" w:cs="Arial"/>
          <w:bCs/>
          <w:lang w:val="en-GB"/>
        </w:rPr>
        <w:t>.6 Blood pressure as a marker of cardiovascular strain</w:t>
      </w:r>
      <w:bookmarkEnd w:id="31"/>
    </w:p>
    <w:p w14:paraId="6DB34A25" w14:textId="77777777" w:rsidR="000456FC" w:rsidRDefault="000456FC" w:rsidP="00F22892">
      <w:pPr>
        <w:pStyle w:val="p1"/>
        <w:spacing w:line="360" w:lineRule="auto"/>
        <w:rPr>
          <w:rFonts w:ascii="Arial" w:hAnsi="Arial" w:cs="Arial"/>
          <w:b/>
          <w:lang w:val="en-GB"/>
        </w:rPr>
      </w:pPr>
    </w:p>
    <w:p w14:paraId="175A9570" w14:textId="304D5B9C" w:rsidR="004361DC" w:rsidRPr="004361DC" w:rsidRDefault="00C51A2D" w:rsidP="00F22892">
      <w:pPr>
        <w:pStyle w:val="p1"/>
        <w:spacing w:line="360" w:lineRule="auto"/>
        <w:rPr>
          <w:rStyle w:val="s1"/>
          <w:rFonts w:ascii="Arial" w:hAnsi="Arial" w:cs="Arial"/>
          <w:lang w:val="en-GB"/>
        </w:rPr>
      </w:pPr>
      <w:r>
        <w:rPr>
          <w:rStyle w:val="s1"/>
          <w:rFonts w:ascii="Arial" w:hAnsi="Arial" w:cs="Arial"/>
          <w:lang w:val="en-GB"/>
        </w:rPr>
        <w:t xml:space="preserve">Traditionally, resting BP has been used as a marker of CV fitness  (Dimpka, 2009). However, it is more commonly used as a clinical indicator of CV health, reflecting vascular load and haemodynamic strain (Palatini </w:t>
      </w:r>
      <w:r w:rsidRPr="00A7058C">
        <w:rPr>
          <w:rStyle w:val="s1"/>
          <w:rFonts w:ascii="Arial" w:hAnsi="Arial" w:cs="Arial"/>
          <w:i/>
          <w:lang w:val="en-GB"/>
        </w:rPr>
        <w:t>et al.</w:t>
      </w:r>
      <w:r>
        <w:rPr>
          <w:rStyle w:val="s1"/>
          <w:rFonts w:ascii="Arial" w:hAnsi="Arial" w:cs="Arial"/>
          <w:lang w:val="en-GB"/>
        </w:rPr>
        <w:t>, 2011). Unlike fitness metrics like VO</w:t>
      </w:r>
      <w:r>
        <w:rPr>
          <w:rStyle w:val="s1"/>
          <w:rFonts w:ascii="Cambria Math" w:hAnsi="Cambria Math" w:cs="Cambria Math"/>
          <w:lang w:val="en-GB"/>
        </w:rPr>
        <w:t>₂</w:t>
      </w:r>
      <w:r>
        <w:rPr>
          <w:rStyle w:val="s1"/>
          <w:rFonts w:ascii="Arial" w:hAnsi="Arial" w:cs="Arial"/>
          <w:lang w:val="en-GB"/>
        </w:rPr>
        <w:t xml:space="preserve">max, BP integrates vascular resistance, arterial stiffness and autonomic regulation (Palatini </w:t>
      </w:r>
      <w:r w:rsidRPr="00A7058C">
        <w:rPr>
          <w:rStyle w:val="s1"/>
          <w:rFonts w:ascii="Arial" w:hAnsi="Arial" w:cs="Arial"/>
          <w:i/>
          <w:lang w:val="en-GB"/>
        </w:rPr>
        <w:t>et al.</w:t>
      </w:r>
      <w:r>
        <w:rPr>
          <w:rStyle w:val="s1"/>
          <w:rFonts w:ascii="Arial" w:hAnsi="Arial" w:cs="Arial"/>
          <w:lang w:val="en-GB"/>
        </w:rPr>
        <w:t xml:space="preserve">, 2011; Thanassoulis </w:t>
      </w:r>
      <w:r w:rsidRPr="00A7058C">
        <w:rPr>
          <w:rStyle w:val="s1"/>
          <w:rFonts w:ascii="Arial" w:hAnsi="Arial" w:cs="Arial"/>
          <w:i/>
          <w:lang w:val="en-GB"/>
        </w:rPr>
        <w:t>et al.</w:t>
      </w:r>
      <w:r>
        <w:rPr>
          <w:rStyle w:val="s1"/>
          <w:rFonts w:ascii="Arial" w:hAnsi="Arial" w:cs="Arial"/>
          <w:lang w:val="en-GB"/>
        </w:rPr>
        <w:t xml:space="preserve">, 2012), particularly relevant in FFs given the high prevalence of hypertension and association with increased CV risk (Khaja </w:t>
      </w:r>
      <w:r w:rsidRPr="00A7058C">
        <w:rPr>
          <w:rStyle w:val="s1"/>
          <w:rFonts w:ascii="Arial" w:hAnsi="Arial" w:cs="Arial"/>
          <w:i/>
          <w:lang w:val="en-GB"/>
        </w:rPr>
        <w:t>et al.</w:t>
      </w:r>
      <w:r>
        <w:rPr>
          <w:rStyle w:val="s1"/>
          <w:rFonts w:ascii="Arial" w:hAnsi="Arial" w:cs="Arial"/>
          <w:lang w:val="en-GB"/>
        </w:rPr>
        <w:t>, 2021).</w:t>
      </w:r>
      <w:r w:rsidR="000456FC">
        <w:rPr>
          <w:rFonts w:ascii="Arial" w:hAnsi="Arial" w:cs="Arial"/>
          <w:lang w:val="en-GB"/>
        </w:rPr>
        <w:t xml:space="preserve"> </w:t>
      </w:r>
      <w:r>
        <w:rPr>
          <w:rStyle w:val="s1"/>
          <w:rFonts w:ascii="Arial" w:hAnsi="Arial" w:cs="Arial"/>
          <w:lang w:val="en-GB"/>
        </w:rPr>
        <w:t xml:space="preserve">Healthy BP in adult males aged 20-59 years is generally considered ≤120mmHg systolic,  ≤80mmH diastolic, while high BP is typically defined as ≥140 mmHg systolic and/or ≥90 mmHg diastolic (NICE, 2019; NHS, 2023). Khaja </w:t>
      </w:r>
      <w:r w:rsidRPr="00A7058C">
        <w:rPr>
          <w:rStyle w:val="s1"/>
          <w:rFonts w:ascii="Arial" w:hAnsi="Arial" w:cs="Arial"/>
          <w:i/>
          <w:lang w:val="en-GB"/>
        </w:rPr>
        <w:t>et al.</w:t>
      </w:r>
      <w:r>
        <w:rPr>
          <w:rStyle w:val="s1"/>
          <w:rFonts w:ascii="Arial" w:hAnsi="Arial" w:cs="Arial"/>
          <w:lang w:val="en-GB"/>
        </w:rPr>
        <w:t xml:space="preserve"> (2021) defined hypertension as SBP ≥130 mmHg, DBP ≥80 mmHg in medical records from 5053 male, 274 female geographically diverse FFs.</w:t>
      </w:r>
      <w:r w:rsidR="004361DC">
        <w:rPr>
          <w:rFonts w:ascii="Arial" w:hAnsi="Arial" w:cs="Arial"/>
          <w:lang w:val="en-GB"/>
        </w:rPr>
        <w:t xml:space="preserve"> </w:t>
      </w:r>
      <w:r>
        <w:rPr>
          <w:rStyle w:val="s1"/>
          <w:rFonts w:ascii="Arial" w:hAnsi="Arial" w:cs="Arial"/>
          <w:lang w:val="en-GB"/>
        </w:rPr>
        <w:t xml:space="preserve">Low-grade SI through exposures is implicated in hypertension development (Bautista, 2003; Guzik </w:t>
      </w:r>
      <w:r w:rsidRPr="00A7058C">
        <w:rPr>
          <w:rStyle w:val="s1"/>
          <w:rFonts w:ascii="Arial" w:hAnsi="Arial" w:cs="Arial"/>
          <w:i/>
          <w:lang w:val="en-GB"/>
        </w:rPr>
        <w:t>et al.</w:t>
      </w:r>
      <w:r>
        <w:rPr>
          <w:rStyle w:val="s1"/>
          <w:rFonts w:ascii="Arial" w:hAnsi="Arial" w:cs="Arial"/>
          <w:lang w:val="en-GB"/>
        </w:rPr>
        <w:t xml:space="preserve">, 2024). Epidemiological evidence indicates inflammatory cytokines IL-6 and TNF-α, are associated with elevated BP (Bautista </w:t>
      </w:r>
      <w:r w:rsidRPr="00A7058C">
        <w:rPr>
          <w:rStyle w:val="s1"/>
          <w:rFonts w:ascii="Arial" w:hAnsi="Arial" w:cs="Arial"/>
          <w:i/>
          <w:lang w:val="en-GB"/>
        </w:rPr>
        <w:t>et al.</w:t>
      </w:r>
      <w:r>
        <w:rPr>
          <w:rStyle w:val="s1"/>
          <w:rFonts w:ascii="Arial" w:hAnsi="Arial" w:cs="Arial"/>
          <w:lang w:val="en-GB"/>
        </w:rPr>
        <w:t xml:space="preserve">, 2005), while prospective biomarker data suggest inflammatory profiles may precede incident hypertension (Wang </w:t>
      </w:r>
      <w:r w:rsidRPr="00A7058C">
        <w:rPr>
          <w:rStyle w:val="s1"/>
          <w:rFonts w:ascii="Arial" w:hAnsi="Arial" w:cs="Arial"/>
          <w:i/>
          <w:lang w:val="en-GB"/>
        </w:rPr>
        <w:t>et al.</w:t>
      </w:r>
      <w:r>
        <w:rPr>
          <w:rStyle w:val="s1"/>
          <w:rFonts w:ascii="Arial" w:hAnsi="Arial" w:cs="Arial"/>
          <w:lang w:val="en-GB"/>
        </w:rPr>
        <w:t xml:space="preserve">, 2007). IL-6 has been independently associated with hypertension after adjustment for key confounders, although cross-sectional designs limit causal inference (Bautista </w:t>
      </w:r>
      <w:r w:rsidRPr="00A7058C">
        <w:rPr>
          <w:rStyle w:val="s1"/>
          <w:rFonts w:ascii="Arial" w:hAnsi="Arial" w:cs="Arial"/>
          <w:i/>
          <w:lang w:val="en-GB"/>
        </w:rPr>
        <w:t>et al.</w:t>
      </w:r>
      <w:r>
        <w:rPr>
          <w:rStyle w:val="s1"/>
          <w:rFonts w:ascii="Arial" w:hAnsi="Arial" w:cs="Arial"/>
          <w:lang w:val="en-GB"/>
        </w:rPr>
        <w:t>, 2005).</w:t>
      </w:r>
      <w:r w:rsidR="00D84F4F">
        <w:rPr>
          <w:rStyle w:val="s1"/>
          <w:rFonts w:ascii="Arial" w:hAnsi="Arial" w:cs="Arial"/>
          <w:lang w:val="en-GB"/>
        </w:rPr>
        <w:t xml:space="preserve"> </w:t>
      </w:r>
      <w:r>
        <w:rPr>
          <w:rFonts w:ascii="Arial" w:hAnsi="Arial" w:cs="Arial"/>
          <w:lang w:val="en-GB"/>
        </w:rPr>
        <w:t>By contrast, CRP associations are more heterogeneous and may reflect broader cardiometabolic burden rather than a specific causal BP pathway</w:t>
      </w:r>
      <w:r>
        <w:rPr>
          <w:rStyle w:val="s1"/>
          <w:rFonts w:ascii="Arial" w:hAnsi="Arial" w:cs="Arial"/>
          <w:lang w:val="en-GB"/>
        </w:rPr>
        <w:t xml:space="preserve"> (King </w:t>
      </w:r>
      <w:r w:rsidRPr="00A7058C">
        <w:rPr>
          <w:rStyle w:val="s1"/>
          <w:rFonts w:ascii="Arial" w:hAnsi="Arial" w:cs="Arial"/>
          <w:i/>
          <w:lang w:val="en-GB"/>
        </w:rPr>
        <w:t>et al.</w:t>
      </w:r>
      <w:r>
        <w:rPr>
          <w:rStyle w:val="s1"/>
          <w:rFonts w:ascii="Arial" w:hAnsi="Arial" w:cs="Arial"/>
          <w:lang w:val="en-GB"/>
        </w:rPr>
        <w:t xml:space="preserve">, 2004; Lakoski </w:t>
      </w:r>
      <w:r w:rsidRPr="00A7058C">
        <w:rPr>
          <w:rStyle w:val="s1"/>
          <w:rFonts w:ascii="Arial" w:hAnsi="Arial" w:cs="Arial"/>
          <w:i/>
          <w:lang w:val="en-GB"/>
        </w:rPr>
        <w:t>et al.</w:t>
      </w:r>
      <w:r>
        <w:rPr>
          <w:rStyle w:val="s1"/>
          <w:rFonts w:ascii="Arial" w:hAnsi="Arial" w:cs="Arial"/>
          <w:lang w:val="en-GB"/>
        </w:rPr>
        <w:t xml:space="preserve">, 2006; van Apeldoorn </w:t>
      </w:r>
      <w:r w:rsidRPr="00A7058C">
        <w:rPr>
          <w:rStyle w:val="s1"/>
          <w:rFonts w:ascii="Arial" w:hAnsi="Arial" w:cs="Arial"/>
          <w:i/>
          <w:lang w:val="en-GB"/>
        </w:rPr>
        <w:t>et al.</w:t>
      </w:r>
      <w:r>
        <w:rPr>
          <w:rStyle w:val="s1"/>
          <w:rFonts w:ascii="Arial" w:hAnsi="Arial" w:cs="Arial"/>
          <w:lang w:val="en-GB"/>
        </w:rPr>
        <w:t xml:space="preserve">, 2022). Review-level evidence supports low-grade inflammation as mechanistically relevant to hypertension through endothelial dysfunction, reduced NO bioavailability, immune activation and vascular remodelling, </w:t>
      </w:r>
      <w:r>
        <w:rPr>
          <w:rStyle w:val="s1"/>
          <w:rFonts w:ascii="Arial" w:hAnsi="Arial" w:cs="Arial"/>
          <w:lang w:val="en-GB"/>
        </w:rPr>
        <w:lastRenderedPageBreak/>
        <w:t xml:space="preserve">although this does not constitute direct causal proof in humans (Bautista, 2003; Hage, 2014; Guzik </w:t>
      </w:r>
      <w:r w:rsidRPr="00A7058C">
        <w:rPr>
          <w:rStyle w:val="s1"/>
          <w:rFonts w:ascii="Arial" w:hAnsi="Arial" w:cs="Arial"/>
          <w:i/>
          <w:lang w:val="en-GB"/>
        </w:rPr>
        <w:t>et al.</w:t>
      </w:r>
      <w:r>
        <w:rPr>
          <w:rStyle w:val="s1"/>
          <w:rFonts w:ascii="Arial" w:hAnsi="Arial" w:cs="Arial"/>
          <w:lang w:val="en-GB"/>
        </w:rPr>
        <w:t>, 2024).</w:t>
      </w:r>
    </w:p>
    <w:p w14:paraId="37B595E5" w14:textId="14AFEA1B" w:rsidR="004361DC" w:rsidRPr="00F32F7A" w:rsidRDefault="00C51A2D" w:rsidP="00F22892">
      <w:pPr>
        <w:pStyle w:val="p1"/>
        <w:spacing w:line="360" w:lineRule="auto"/>
        <w:rPr>
          <w:rFonts w:ascii="Arial" w:hAnsi="Arial" w:cs="Arial"/>
          <w:lang w:val="en-GB"/>
        </w:rPr>
      </w:pPr>
      <w:r>
        <w:rPr>
          <w:rStyle w:val="s1"/>
          <w:rFonts w:ascii="Arial" w:hAnsi="Arial" w:cs="Arial"/>
          <w:lang w:val="en-GB"/>
        </w:rPr>
        <w:t xml:space="preserve">In 5053 male, 274 female FFs, 69% met hypertension citeria and 17% were taking antihypertensive medication, exceeding general population estimates across age groups (Khaja </w:t>
      </w:r>
      <w:r w:rsidRPr="00A7058C">
        <w:rPr>
          <w:rStyle w:val="s1"/>
          <w:rFonts w:ascii="Arial" w:hAnsi="Arial" w:cs="Arial"/>
          <w:i/>
          <w:lang w:val="en-GB"/>
        </w:rPr>
        <w:t>et al.</w:t>
      </w:r>
      <w:r>
        <w:rPr>
          <w:rStyle w:val="s1"/>
          <w:rFonts w:ascii="Arial" w:hAnsi="Arial" w:cs="Arial"/>
          <w:lang w:val="en-GB"/>
        </w:rPr>
        <w:t xml:space="preserve">, 2021). Thus, patterns likely reflect combined effects of lifestyle, and cumulative occupational strain, although causality cannot be separated in this largely observational literature (Kales </w:t>
      </w:r>
      <w:r w:rsidRPr="00A7058C">
        <w:rPr>
          <w:rStyle w:val="s1"/>
          <w:rFonts w:ascii="Arial" w:hAnsi="Arial" w:cs="Arial"/>
          <w:i/>
          <w:lang w:val="en-GB"/>
        </w:rPr>
        <w:t>et al.</w:t>
      </w:r>
      <w:r>
        <w:rPr>
          <w:rStyle w:val="s1"/>
          <w:rFonts w:ascii="Arial" w:hAnsi="Arial" w:cs="Arial"/>
          <w:lang w:val="en-GB"/>
        </w:rPr>
        <w:t xml:space="preserve">, 2009; Christodoulou </w:t>
      </w:r>
      <w:r w:rsidRPr="00A7058C">
        <w:rPr>
          <w:rStyle w:val="s1"/>
          <w:rFonts w:ascii="Arial" w:hAnsi="Arial" w:cs="Arial"/>
          <w:i/>
          <w:lang w:val="en-GB"/>
        </w:rPr>
        <w:t>et al.</w:t>
      </w:r>
      <w:r>
        <w:rPr>
          <w:rStyle w:val="s1"/>
          <w:rFonts w:ascii="Arial" w:hAnsi="Arial" w:cs="Arial"/>
          <w:lang w:val="en-GB"/>
        </w:rPr>
        <w:t xml:space="preserve">, 2021; McMorrow and Feairheller, 2022; Choi </w:t>
      </w:r>
      <w:r w:rsidRPr="00A7058C">
        <w:rPr>
          <w:rStyle w:val="s1"/>
          <w:rFonts w:ascii="Arial" w:hAnsi="Arial" w:cs="Arial"/>
          <w:i/>
          <w:lang w:val="en-GB"/>
        </w:rPr>
        <w:t>et al.</w:t>
      </w:r>
      <w:r>
        <w:rPr>
          <w:rStyle w:val="s1"/>
          <w:rFonts w:ascii="Arial" w:hAnsi="Arial" w:cs="Arial"/>
          <w:lang w:val="en-GB"/>
        </w:rPr>
        <w:t xml:space="preserve">, 2016a; 2016b; Smith </w:t>
      </w:r>
      <w:r w:rsidRPr="00A7058C">
        <w:rPr>
          <w:rStyle w:val="s1"/>
          <w:rFonts w:ascii="Arial" w:hAnsi="Arial" w:cs="Arial"/>
          <w:i/>
          <w:lang w:val="en-GB"/>
        </w:rPr>
        <w:t>et al.</w:t>
      </w:r>
      <w:r>
        <w:rPr>
          <w:rStyle w:val="s1"/>
          <w:rFonts w:ascii="Arial" w:hAnsi="Arial" w:cs="Arial"/>
          <w:lang w:val="en-GB"/>
        </w:rPr>
        <w:t xml:space="preserve">, 2020). Review-level FF literature likewise supports BP as a relevant occupational outcome, but highlights that pre-post firefighting BP data and intervention studies remain limited, constraining firm conclusions regarding mechanisms and modifiable drivers (Kales </w:t>
      </w:r>
      <w:r w:rsidRPr="00A7058C">
        <w:rPr>
          <w:rStyle w:val="s1"/>
          <w:rFonts w:ascii="Arial" w:hAnsi="Arial" w:cs="Arial"/>
          <w:i/>
          <w:lang w:val="en-GB"/>
        </w:rPr>
        <w:t>et al.</w:t>
      </w:r>
      <w:r>
        <w:rPr>
          <w:rStyle w:val="s1"/>
          <w:rFonts w:ascii="Arial" w:hAnsi="Arial" w:cs="Arial"/>
          <w:lang w:val="en-GB"/>
        </w:rPr>
        <w:t xml:space="preserve">, 2009; Christodoulou </w:t>
      </w:r>
      <w:r w:rsidRPr="00A7058C">
        <w:rPr>
          <w:rStyle w:val="s1"/>
          <w:rFonts w:ascii="Arial" w:hAnsi="Arial" w:cs="Arial"/>
          <w:i/>
          <w:lang w:val="en-GB"/>
        </w:rPr>
        <w:t>et al.</w:t>
      </w:r>
      <w:r>
        <w:rPr>
          <w:rStyle w:val="s1"/>
          <w:rFonts w:ascii="Arial" w:hAnsi="Arial" w:cs="Arial"/>
          <w:lang w:val="en-GB"/>
        </w:rPr>
        <w:t xml:space="preserve">, 2021; McMorrow and Feairheller, 2022; Choi </w:t>
      </w:r>
      <w:r w:rsidRPr="00A7058C">
        <w:rPr>
          <w:rStyle w:val="s1"/>
          <w:rFonts w:ascii="Arial" w:hAnsi="Arial" w:cs="Arial"/>
          <w:i/>
          <w:lang w:val="en-GB"/>
        </w:rPr>
        <w:t>et al.</w:t>
      </w:r>
      <w:r>
        <w:rPr>
          <w:rStyle w:val="s1"/>
          <w:rFonts w:ascii="Arial" w:hAnsi="Arial" w:cs="Arial"/>
          <w:lang w:val="en-GB"/>
        </w:rPr>
        <w:t xml:space="preserve">, 2016a; 2016b; Smith </w:t>
      </w:r>
      <w:r w:rsidRPr="00A7058C">
        <w:rPr>
          <w:rStyle w:val="s1"/>
          <w:rFonts w:ascii="Arial" w:hAnsi="Arial" w:cs="Arial"/>
          <w:i/>
          <w:lang w:val="en-GB"/>
        </w:rPr>
        <w:t>et al.</w:t>
      </w:r>
      <w:r>
        <w:rPr>
          <w:rStyle w:val="s1"/>
          <w:rFonts w:ascii="Arial" w:hAnsi="Arial" w:cs="Arial"/>
          <w:lang w:val="en-GB"/>
        </w:rPr>
        <w:t>, 2020).</w:t>
      </w:r>
    </w:p>
    <w:p w14:paraId="713CF690" w14:textId="7D280B05" w:rsidR="004361DC" w:rsidRDefault="00C51A2D" w:rsidP="00F22892">
      <w:pPr>
        <w:pStyle w:val="p1"/>
        <w:spacing w:line="360" w:lineRule="auto"/>
        <w:rPr>
          <w:rFonts w:ascii="Arial" w:hAnsi="Arial" w:cs="Arial"/>
          <w:lang w:val="en-GB"/>
        </w:rPr>
      </w:pPr>
      <w:r>
        <w:rPr>
          <w:rStyle w:val="s1"/>
          <w:rFonts w:ascii="Arial" w:hAnsi="Arial" w:cs="Arial"/>
          <w:lang w:val="en-GB"/>
        </w:rPr>
        <w:t xml:space="preserve">Age-related vascular change and chronic low-grade inflammation further contribute to an inflammaging profile, potentially accelerating CV dysfunction in FFs (Singh </w:t>
      </w:r>
      <w:r w:rsidRPr="00A7058C">
        <w:rPr>
          <w:rStyle w:val="s1"/>
          <w:rFonts w:ascii="Arial" w:hAnsi="Arial" w:cs="Arial"/>
          <w:i/>
          <w:lang w:val="en-GB"/>
        </w:rPr>
        <w:t>et al.</w:t>
      </w:r>
      <w:r>
        <w:rPr>
          <w:rStyle w:val="s1"/>
          <w:rFonts w:ascii="Arial" w:hAnsi="Arial" w:cs="Arial"/>
          <w:lang w:val="en-GB"/>
        </w:rPr>
        <w:t xml:space="preserve">, 2019; Calder </w:t>
      </w:r>
      <w:r w:rsidRPr="00A7058C">
        <w:rPr>
          <w:rStyle w:val="s1"/>
          <w:rFonts w:ascii="Arial" w:hAnsi="Arial" w:cs="Arial"/>
          <w:i/>
          <w:lang w:val="en-GB"/>
        </w:rPr>
        <w:t>et al.</w:t>
      </w:r>
      <w:r>
        <w:rPr>
          <w:rStyle w:val="s1"/>
          <w:rFonts w:ascii="Arial" w:hAnsi="Arial" w:cs="Arial"/>
          <w:lang w:val="en-GB"/>
        </w:rPr>
        <w:t>, 2017). Although aging increases BP in Western populations (Fagard, 2002), evidence suggests FFs may exhibit greater epigenetic age acceleratio</w:t>
      </w:r>
      <w:r w:rsidR="006B606D">
        <w:rPr>
          <w:rStyle w:val="s1"/>
          <w:rFonts w:ascii="Arial" w:hAnsi="Arial" w:cs="Arial"/>
          <w:lang w:val="en-GB"/>
        </w:rPr>
        <w:t>n</w:t>
      </w:r>
      <w:r>
        <w:rPr>
          <w:rStyle w:val="s1"/>
          <w:rFonts w:ascii="Arial" w:hAnsi="Arial" w:cs="Arial"/>
          <w:lang w:val="en-GB"/>
        </w:rPr>
        <w:t xml:space="preserve">, consistent with cumulative exposure effects (Nwanaji-Enwerem </w:t>
      </w:r>
      <w:r w:rsidRPr="00A7058C">
        <w:rPr>
          <w:rStyle w:val="s1"/>
          <w:rFonts w:ascii="Arial" w:hAnsi="Arial" w:cs="Arial"/>
          <w:i/>
          <w:lang w:val="en-GB"/>
        </w:rPr>
        <w:t>et al.</w:t>
      </w:r>
      <w:r>
        <w:rPr>
          <w:rStyle w:val="s1"/>
          <w:rFonts w:ascii="Arial" w:hAnsi="Arial" w:cs="Arial"/>
          <w:lang w:val="en-GB"/>
        </w:rPr>
        <w:t xml:space="preserve">, 2023; Jung </w:t>
      </w:r>
      <w:r w:rsidRPr="00A7058C">
        <w:rPr>
          <w:rStyle w:val="s1"/>
          <w:rFonts w:ascii="Arial" w:hAnsi="Arial" w:cs="Arial"/>
          <w:i/>
          <w:lang w:val="en-GB"/>
        </w:rPr>
        <w:t>et al.</w:t>
      </w:r>
      <w:r>
        <w:rPr>
          <w:rStyle w:val="s1"/>
          <w:rFonts w:ascii="Arial" w:hAnsi="Arial" w:cs="Arial"/>
          <w:lang w:val="en-GB"/>
        </w:rPr>
        <w:t xml:space="preserve">, 2023). However, </w:t>
      </w:r>
      <w:r w:rsidR="001C495B">
        <w:rPr>
          <w:rStyle w:val="s1"/>
          <w:rFonts w:ascii="Arial" w:hAnsi="Arial" w:cs="Arial"/>
          <w:lang w:val="en-GB"/>
        </w:rPr>
        <w:t>findings should be interpreted</w:t>
      </w:r>
      <w:r>
        <w:rPr>
          <w:rStyle w:val="s1"/>
          <w:rFonts w:ascii="Arial" w:hAnsi="Arial" w:cs="Arial"/>
          <w:lang w:val="en-GB"/>
        </w:rPr>
        <w:t xml:space="preserve"> as supportive rather than </w:t>
      </w:r>
      <w:r w:rsidR="00463AB7">
        <w:rPr>
          <w:rStyle w:val="s1"/>
          <w:rFonts w:ascii="Arial" w:hAnsi="Arial" w:cs="Arial"/>
          <w:lang w:val="en-GB"/>
        </w:rPr>
        <w:t>causal evidence for occupational</w:t>
      </w:r>
      <w:r>
        <w:rPr>
          <w:rStyle w:val="s1"/>
          <w:rFonts w:ascii="Arial" w:hAnsi="Arial" w:cs="Arial"/>
          <w:lang w:val="en-GB"/>
        </w:rPr>
        <w:t xml:space="preserve"> BP elevation.</w:t>
      </w:r>
    </w:p>
    <w:p w14:paraId="76055A09" w14:textId="77777777" w:rsidR="00C51A2D" w:rsidRDefault="00C51A2D" w:rsidP="00F22892">
      <w:pPr>
        <w:pStyle w:val="p1"/>
        <w:spacing w:line="360" w:lineRule="auto"/>
        <w:rPr>
          <w:rStyle w:val="s1"/>
          <w:rFonts w:ascii="Arial" w:hAnsi="Arial" w:cs="Arial"/>
          <w:lang w:val="en-GB"/>
        </w:rPr>
      </w:pPr>
      <w:r>
        <w:rPr>
          <w:rStyle w:val="s1"/>
          <w:rFonts w:ascii="Arial" w:hAnsi="Arial" w:cs="Arial"/>
          <w:lang w:val="en-GB"/>
        </w:rPr>
        <w:t xml:space="preserve">Although BP is not a direct measure of performance, FF-specific evidence suggests it remains relevant to operational readiness. An analysis of 599 FFs, Ras (2025) reported that age, post-test SBP and DBP change were associated with physical ability test (PAT) performance, while resting SBP, post-PAT SBP, HR responses and their differences were also significantly related to task-specific performance. This aligns with earlier FF data showing poorer occupational-task performance associates with higher RHR (Michaelides </w:t>
      </w:r>
      <w:r w:rsidRPr="00A7058C">
        <w:rPr>
          <w:rStyle w:val="s1"/>
          <w:rFonts w:ascii="Arial" w:hAnsi="Arial" w:cs="Arial"/>
          <w:i/>
          <w:lang w:val="en-GB"/>
        </w:rPr>
        <w:t>et al.</w:t>
      </w:r>
      <w:r>
        <w:rPr>
          <w:rStyle w:val="s1"/>
          <w:rFonts w:ascii="Arial" w:hAnsi="Arial" w:cs="Arial"/>
          <w:lang w:val="en-GB"/>
        </w:rPr>
        <w:t xml:space="preserve">, 2011). Evidence from athlete populations similarly suggests elevated BP alongside higher RHR is associated with reduced exercise capacity and autonomic dysfunction, supporting biological plausibility for strain-related performance </w:t>
      </w:r>
      <w:r>
        <w:rPr>
          <w:rStyle w:val="s1"/>
          <w:rFonts w:ascii="Arial" w:hAnsi="Arial" w:cs="Arial"/>
          <w:lang w:val="en-GB"/>
        </w:rPr>
        <w:lastRenderedPageBreak/>
        <w:t xml:space="preserve">constraints in tactical populations (Mazic </w:t>
      </w:r>
      <w:r w:rsidRPr="00A7058C">
        <w:rPr>
          <w:rStyle w:val="s1"/>
          <w:rFonts w:ascii="Arial" w:hAnsi="Arial" w:cs="Arial"/>
          <w:i/>
          <w:lang w:val="en-GB"/>
        </w:rPr>
        <w:t>et al.</w:t>
      </w:r>
      <w:r>
        <w:rPr>
          <w:rStyle w:val="s1"/>
          <w:rFonts w:ascii="Arial" w:hAnsi="Arial" w:cs="Arial"/>
          <w:lang w:val="en-GB"/>
        </w:rPr>
        <w:t xml:space="preserve">, 2015). Therefore, in FFs, more favourable BP is best interpreted as a marker of lower CV strain and a more favourable physiological profile for sustained occupational performance, rather than a standalone measure of fitness. </w:t>
      </w:r>
    </w:p>
    <w:p w14:paraId="08D3B55D" w14:textId="77777777" w:rsidR="004361DC" w:rsidRDefault="004361DC" w:rsidP="00F22892">
      <w:pPr>
        <w:pStyle w:val="p1"/>
        <w:spacing w:line="360" w:lineRule="auto"/>
        <w:rPr>
          <w:rFonts w:ascii="Arial" w:hAnsi="Arial" w:cs="Arial"/>
          <w:lang w:val="en-GB"/>
        </w:rPr>
      </w:pPr>
    </w:p>
    <w:p w14:paraId="465C113E" w14:textId="67036200" w:rsidR="00C51A2D" w:rsidRPr="00F17CD8" w:rsidRDefault="000C672E" w:rsidP="00F22892">
      <w:pPr>
        <w:pStyle w:val="Heading2"/>
        <w:spacing w:line="360" w:lineRule="auto"/>
        <w:rPr>
          <w:rStyle w:val="s1"/>
          <w:rFonts w:ascii="Arial" w:hAnsi="Arial" w:cs="Arial"/>
          <w:bCs/>
          <w:lang w:val="en-GB"/>
        </w:rPr>
      </w:pPr>
      <w:bookmarkStart w:id="32" w:name="_Toc228218277"/>
      <w:r>
        <w:rPr>
          <w:rStyle w:val="s1"/>
          <w:rFonts w:ascii="Arial" w:hAnsi="Arial" w:cs="Arial"/>
          <w:bCs/>
          <w:lang w:val="en-GB"/>
        </w:rPr>
        <w:t>2</w:t>
      </w:r>
      <w:r w:rsidR="00C51A2D" w:rsidRPr="00F17CD8">
        <w:rPr>
          <w:rStyle w:val="s1"/>
          <w:rFonts w:ascii="Arial" w:hAnsi="Arial" w:cs="Arial"/>
          <w:bCs/>
          <w:lang w:val="en-GB"/>
        </w:rPr>
        <w:t>.7 Heart rate responses, cardiovascular efficiency and sustained performance</w:t>
      </w:r>
      <w:bookmarkEnd w:id="32"/>
    </w:p>
    <w:p w14:paraId="303A3435" w14:textId="77777777" w:rsidR="004361DC" w:rsidRDefault="004361DC" w:rsidP="00F22892">
      <w:pPr>
        <w:pStyle w:val="p1"/>
        <w:spacing w:line="360" w:lineRule="auto"/>
        <w:rPr>
          <w:rFonts w:ascii="Arial" w:hAnsi="Arial" w:cs="Arial"/>
          <w:b/>
          <w:lang w:val="en-GB"/>
        </w:rPr>
      </w:pPr>
    </w:p>
    <w:p w14:paraId="4D084E5E" w14:textId="06118221" w:rsidR="004361DC" w:rsidRDefault="00C51A2D" w:rsidP="00F22892">
      <w:pPr>
        <w:pStyle w:val="p1"/>
        <w:spacing w:line="360" w:lineRule="auto"/>
        <w:rPr>
          <w:rFonts w:ascii="Arial" w:hAnsi="Arial" w:cs="Arial"/>
          <w:lang w:val="en-GB"/>
        </w:rPr>
      </w:pPr>
      <w:r>
        <w:rPr>
          <w:rStyle w:val="s1"/>
          <w:rFonts w:ascii="Arial" w:hAnsi="Arial" w:cs="Arial"/>
          <w:lang w:val="en-GB"/>
        </w:rPr>
        <w:t xml:space="preserve">Normal adult RHR is 60-100 beats per minute (bpm) (BHF, 2024). In occupational and exercise settings, HR is </w:t>
      </w:r>
      <w:r w:rsidR="00AD3F69">
        <w:rPr>
          <w:rStyle w:val="s1"/>
          <w:rFonts w:ascii="Arial" w:hAnsi="Arial" w:cs="Arial"/>
          <w:lang w:val="en-GB"/>
        </w:rPr>
        <w:t xml:space="preserve">a practical </w:t>
      </w:r>
      <w:r>
        <w:rPr>
          <w:rStyle w:val="s1"/>
          <w:rFonts w:ascii="Arial" w:hAnsi="Arial" w:cs="Arial"/>
          <w:lang w:val="en-GB"/>
        </w:rPr>
        <w:t xml:space="preserve">marker of CV efficiency and physiological strain. RHR is associated with FF occupational performance (Michaelides </w:t>
      </w:r>
      <w:r w:rsidRPr="00A7058C">
        <w:rPr>
          <w:rStyle w:val="s1"/>
          <w:rFonts w:ascii="Arial" w:hAnsi="Arial" w:cs="Arial"/>
          <w:i/>
          <w:lang w:val="en-GB"/>
        </w:rPr>
        <w:t>et al.</w:t>
      </w:r>
      <w:r>
        <w:rPr>
          <w:rStyle w:val="s1"/>
          <w:rFonts w:ascii="Arial" w:hAnsi="Arial" w:cs="Arial"/>
          <w:lang w:val="en-GB"/>
        </w:rPr>
        <w:t xml:space="preserve">, 2011; Elsner </w:t>
      </w:r>
      <w:r w:rsidRPr="00A7058C">
        <w:rPr>
          <w:rStyle w:val="s1"/>
          <w:rFonts w:ascii="Arial" w:hAnsi="Arial" w:cs="Arial"/>
          <w:i/>
          <w:lang w:val="en-GB"/>
        </w:rPr>
        <w:t>et al.</w:t>
      </w:r>
      <w:r>
        <w:rPr>
          <w:rStyle w:val="s1"/>
          <w:rFonts w:ascii="Arial" w:hAnsi="Arial" w:cs="Arial"/>
          <w:lang w:val="en-GB"/>
        </w:rPr>
        <w:t xml:space="preserve">, 2008; </w:t>
      </w:r>
      <w:proofErr w:type="spellStart"/>
      <w:r>
        <w:rPr>
          <w:rStyle w:val="s1"/>
          <w:rFonts w:ascii="Arial" w:hAnsi="Arial" w:cs="Arial"/>
          <w:lang w:val="en-GB"/>
        </w:rPr>
        <w:t>Williford</w:t>
      </w:r>
      <w:proofErr w:type="spellEnd"/>
      <w:r>
        <w:rPr>
          <w:rStyle w:val="s1"/>
          <w:rFonts w:ascii="Arial" w:hAnsi="Arial" w:cs="Arial"/>
          <w:lang w:val="en-GB"/>
        </w:rPr>
        <w:t xml:space="preserve"> </w:t>
      </w:r>
      <w:r w:rsidRPr="00A7058C">
        <w:rPr>
          <w:rStyle w:val="s1"/>
          <w:rFonts w:ascii="Arial" w:hAnsi="Arial" w:cs="Arial"/>
          <w:i/>
          <w:lang w:val="en-GB"/>
        </w:rPr>
        <w:t>et al.</w:t>
      </w:r>
      <w:r>
        <w:rPr>
          <w:rStyle w:val="s1"/>
          <w:rFonts w:ascii="Arial" w:hAnsi="Arial" w:cs="Arial"/>
          <w:lang w:val="en-GB"/>
        </w:rPr>
        <w:t xml:space="preserve">, 1999). Individuals with CV dysfunction, including hypertension, typically demonstrate higher exercise HR and reduced tolerance than normotensive controls, indicating reduced efficiency (Marraccini </w:t>
      </w:r>
      <w:r w:rsidRPr="00A7058C">
        <w:rPr>
          <w:rStyle w:val="s1"/>
          <w:rFonts w:ascii="Arial" w:hAnsi="Arial" w:cs="Arial"/>
          <w:i/>
          <w:lang w:val="en-GB"/>
        </w:rPr>
        <w:t>et al.</w:t>
      </w:r>
      <w:r>
        <w:rPr>
          <w:rStyle w:val="s1"/>
          <w:rFonts w:ascii="Arial" w:hAnsi="Arial" w:cs="Arial"/>
          <w:lang w:val="en-GB"/>
        </w:rPr>
        <w:t xml:space="preserve">, 1989; </w:t>
      </w:r>
      <w:proofErr w:type="spellStart"/>
      <w:r>
        <w:rPr>
          <w:rStyle w:val="s1"/>
          <w:rFonts w:ascii="Arial" w:hAnsi="Arial" w:cs="Arial"/>
          <w:lang w:val="en-GB"/>
        </w:rPr>
        <w:t>Würzburger</w:t>
      </w:r>
      <w:proofErr w:type="spellEnd"/>
      <w:r>
        <w:rPr>
          <w:rStyle w:val="s1"/>
          <w:rFonts w:ascii="Arial" w:hAnsi="Arial" w:cs="Arial"/>
          <w:lang w:val="en-GB"/>
        </w:rPr>
        <w:t xml:space="preserve"> </w:t>
      </w:r>
      <w:r w:rsidRPr="00A7058C">
        <w:rPr>
          <w:rStyle w:val="s1"/>
          <w:rFonts w:ascii="Arial" w:hAnsi="Arial" w:cs="Arial"/>
          <w:i/>
          <w:lang w:val="en-GB"/>
        </w:rPr>
        <w:t>et al.</w:t>
      </w:r>
      <w:r>
        <w:rPr>
          <w:rStyle w:val="s1"/>
          <w:rFonts w:ascii="Arial" w:hAnsi="Arial" w:cs="Arial"/>
          <w:lang w:val="en-GB"/>
        </w:rPr>
        <w:t>, 2024).</w:t>
      </w:r>
      <w:r w:rsidR="004361DC">
        <w:rPr>
          <w:rFonts w:ascii="Arial" w:hAnsi="Arial" w:cs="Arial"/>
          <w:lang w:val="en-GB"/>
        </w:rPr>
        <w:t xml:space="preserve"> </w:t>
      </w:r>
      <w:r>
        <w:rPr>
          <w:rStyle w:val="s1"/>
          <w:rFonts w:ascii="Arial" w:hAnsi="Arial" w:cs="Arial"/>
          <w:lang w:val="en-GB"/>
        </w:rPr>
        <w:t>Higher RHR may reflect reduced CV efficiency and greater physiological strain (</w:t>
      </w:r>
      <w:bookmarkStart w:id="33" w:name="OLE_LINK2"/>
      <w:r>
        <w:rPr>
          <w:rStyle w:val="s1"/>
          <w:rFonts w:ascii="Arial" w:hAnsi="Arial" w:cs="Arial"/>
          <w:lang w:val="en-GB"/>
        </w:rPr>
        <w:t xml:space="preserve">Olshansky </w:t>
      </w:r>
      <w:r w:rsidRPr="00A7058C">
        <w:rPr>
          <w:rStyle w:val="s1"/>
          <w:rFonts w:ascii="Arial" w:hAnsi="Arial" w:cs="Arial"/>
          <w:i/>
          <w:lang w:val="en-GB"/>
        </w:rPr>
        <w:t>et al.</w:t>
      </w:r>
      <w:r>
        <w:rPr>
          <w:rStyle w:val="s1"/>
          <w:rFonts w:ascii="Arial" w:hAnsi="Arial" w:cs="Arial"/>
          <w:lang w:val="en-GB"/>
        </w:rPr>
        <w:t>, 2023</w:t>
      </w:r>
      <w:bookmarkEnd w:id="33"/>
      <w:r>
        <w:rPr>
          <w:rStyle w:val="s1"/>
          <w:rFonts w:ascii="Arial" w:hAnsi="Arial" w:cs="Arial"/>
          <w:lang w:val="en-GB"/>
        </w:rPr>
        <w:t xml:space="preserve">). Strenuous tasks provoke cardiac strain (Smith </w:t>
      </w:r>
      <w:r w:rsidRPr="00A7058C">
        <w:rPr>
          <w:rStyle w:val="s1"/>
          <w:rFonts w:ascii="Arial" w:hAnsi="Arial" w:cs="Arial"/>
          <w:i/>
          <w:lang w:val="en-GB"/>
        </w:rPr>
        <w:t>et al.</w:t>
      </w:r>
      <w:r>
        <w:rPr>
          <w:rStyle w:val="s1"/>
          <w:rFonts w:ascii="Arial" w:hAnsi="Arial" w:cs="Arial"/>
          <w:lang w:val="en-GB"/>
        </w:rPr>
        <w:t>, 2015), whereas greater fitness is associated with better task performance and recovery (</w:t>
      </w:r>
      <w:bookmarkStart w:id="34" w:name="OLE_LINK3"/>
      <w:r>
        <w:rPr>
          <w:rStyle w:val="s1"/>
          <w:rFonts w:ascii="Arial" w:hAnsi="Arial" w:cs="Arial"/>
          <w:lang w:val="en-GB"/>
        </w:rPr>
        <w:t xml:space="preserve">Elsner </w:t>
      </w:r>
      <w:r w:rsidRPr="00A7058C">
        <w:rPr>
          <w:rStyle w:val="s1"/>
          <w:rFonts w:ascii="Arial" w:hAnsi="Arial" w:cs="Arial"/>
          <w:i/>
          <w:lang w:val="en-GB"/>
        </w:rPr>
        <w:t>et al.</w:t>
      </w:r>
      <w:r>
        <w:rPr>
          <w:rStyle w:val="s1"/>
          <w:rFonts w:ascii="Arial" w:hAnsi="Arial" w:cs="Arial"/>
          <w:lang w:val="en-GB"/>
        </w:rPr>
        <w:t xml:space="preserve">, 2008; Marcel-Millet </w:t>
      </w:r>
      <w:r w:rsidRPr="00A7058C">
        <w:rPr>
          <w:rStyle w:val="s1"/>
          <w:rFonts w:ascii="Arial" w:hAnsi="Arial" w:cs="Arial"/>
          <w:i/>
          <w:lang w:val="en-GB"/>
        </w:rPr>
        <w:t>et al.</w:t>
      </w:r>
      <w:r>
        <w:rPr>
          <w:rStyle w:val="s1"/>
          <w:rFonts w:ascii="Arial" w:hAnsi="Arial" w:cs="Arial"/>
          <w:lang w:val="en-GB"/>
        </w:rPr>
        <w:t>, 2022</w:t>
      </w:r>
      <w:bookmarkEnd w:id="34"/>
      <w:r>
        <w:rPr>
          <w:rStyle w:val="s1"/>
          <w:rFonts w:ascii="Arial" w:hAnsi="Arial" w:cs="Arial"/>
          <w:lang w:val="en-GB"/>
        </w:rPr>
        <w:t xml:space="preserve">). FF evidence links poorer CV risk profiles and lower cardiorespiratory fitness with less favourable occupational performance and CV responses (Ras </w:t>
      </w:r>
      <w:r w:rsidRPr="00A7058C">
        <w:rPr>
          <w:rStyle w:val="s1"/>
          <w:rFonts w:ascii="Arial" w:hAnsi="Arial" w:cs="Arial"/>
          <w:i/>
          <w:lang w:val="en-GB"/>
        </w:rPr>
        <w:t>et al.</w:t>
      </w:r>
      <w:r>
        <w:rPr>
          <w:rStyle w:val="s1"/>
          <w:rFonts w:ascii="Arial" w:hAnsi="Arial" w:cs="Arial"/>
          <w:lang w:val="en-GB"/>
        </w:rPr>
        <w:t xml:space="preserve">, 2023a; Ras </w:t>
      </w:r>
      <w:r w:rsidRPr="00A7058C">
        <w:rPr>
          <w:rStyle w:val="s1"/>
          <w:rFonts w:ascii="Arial" w:hAnsi="Arial" w:cs="Arial"/>
          <w:i/>
          <w:lang w:val="en-GB"/>
        </w:rPr>
        <w:t>et al.</w:t>
      </w:r>
      <w:r>
        <w:rPr>
          <w:rStyle w:val="s1"/>
          <w:rFonts w:ascii="Arial" w:hAnsi="Arial" w:cs="Arial"/>
          <w:lang w:val="en-GB"/>
        </w:rPr>
        <w:t xml:space="preserve">, 2025). In broader hypertensive literature, exaggerated exercise HR and reduced exercise tolerance are consistent with compensatory tachycardia where stroke volume is less efficient (Chau </w:t>
      </w:r>
      <w:r w:rsidRPr="00A7058C">
        <w:rPr>
          <w:rStyle w:val="s1"/>
          <w:rFonts w:ascii="Arial" w:hAnsi="Arial" w:cs="Arial"/>
          <w:i/>
          <w:lang w:val="en-GB"/>
        </w:rPr>
        <w:t>et al.</w:t>
      </w:r>
      <w:r>
        <w:rPr>
          <w:rStyle w:val="s1"/>
          <w:rFonts w:ascii="Arial" w:hAnsi="Arial" w:cs="Arial"/>
          <w:lang w:val="en-GB"/>
        </w:rPr>
        <w:t>, 1978).</w:t>
      </w:r>
    </w:p>
    <w:p w14:paraId="456DCB9B" w14:textId="54084031" w:rsidR="004361DC" w:rsidRDefault="00C51A2D" w:rsidP="00F22892">
      <w:pPr>
        <w:pStyle w:val="p1"/>
        <w:spacing w:line="360" w:lineRule="auto"/>
        <w:rPr>
          <w:rFonts w:ascii="Arial" w:hAnsi="Arial" w:cs="Arial"/>
          <w:lang w:val="en-GB"/>
        </w:rPr>
      </w:pPr>
      <w:r>
        <w:rPr>
          <w:rStyle w:val="s1"/>
          <w:rFonts w:ascii="Arial" w:hAnsi="Arial" w:cs="Arial"/>
          <w:lang w:val="en-GB"/>
        </w:rPr>
        <w:t xml:space="preserve">During prolonged FF tasks, HR can rise despite unchanged external workload because of CV drift, driven partly by reductions in stroke volume associated with thermal strain and dehydration (Souissi </w:t>
      </w:r>
      <w:r w:rsidRPr="00A7058C">
        <w:rPr>
          <w:rStyle w:val="s1"/>
          <w:rFonts w:ascii="Arial" w:hAnsi="Arial" w:cs="Arial"/>
          <w:i/>
          <w:lang w:val="en-GB"/>
        </w:rPr>
        <w:t>et al.</w:t>
      </w:r>
      <w:r>
        <w:rPr>
          <w:rStyle w:val="s1"/>
          <w:rFonts w:ascii="Arial" w:hAnsi="Arial" w:cs="Arial"/>
          <w:lang w:val="en-GB"/>
        </w:rPr>
        <w:t>, 2021). This pattern has been demonstrated in endurance exercise models, where HR increased from 132 ± 5 to 141 ± 5 beats·min</w:t>
      </w:r>
      <w:r>
        <w:rPr>
          <w:rStyle w:val="s1"/>
          <w:rFonts w:ascii="Cambria Math" w:hAnsi="Cambria Math" w:cs="Cambria Math"/>
          <w:lang w:val="en-GB"/>
        </w:rPr>
        <w:t>⁻</w:t>
      </w:r>
      <w:r>
        <w:rPr>
          <w:rStyle w:val="s1"/>
          <w:rFonts w:ascii="Arial" w:hAnsi="Arial" w:cs="Arial"/>
          <w:lang w:val="en-GB"/>
        </w:rPr>
        <w:t xml:space="preserve">¹, </w:t>
      </w:r>
      <w:r>
        <w:rPr>
          <w:rStyle w:val="s1"/>
          <w:rFonts w:ascii="Arial" w:hAnsi="Arial" w:cs="Arial"/>
          <w:lang w:val="en-GB"/>
        </w:rPr>
        <w:lastRenderedPageBreak/>
        <w:t xml:space="preserve">during 4h fixed work-rate cycling, reflecting accumulating physiological load over time (Dawson </w:t>
      </w:r>
      <w:r w:rsidRPr="00A7058C">
        <w:rPr>
          <w:rStyle w:val="s1"/>
          <w:rFonts w:ascii="Arial" w:hAnsi="Arial" w:cs="Arial"/>
          <w:i/>
          <w:lang w:val="en-GB"/>
        </w:rPr>
        <w:t>et al.</w:t>
      </w:r>
      <w:r>
        <w:rPr>
          <w:rStyle w:val="s1"/>
          <w:rFonts w:ascii="Arial" w:hAnsi="Arial" w:cs="Arial"/>
          <w:lang w:val="en-GB"/>
        </w:rPr>
        <w:t xml:space="preserve">, 2005). However, HR is also sensitive to heat strain, hydration status, caffeine and acute psychological stress, so it should be interpreted within operational context rather than as a standalone performance marker. Regardless, lower submaximal and RHR generally reflect greater CV efficiency, whereas exaggerated HR responses may indicate higher physiological strain and reduced tolerance for sustained work (Marraccini </w:t>
      </w:r>
      <w:r w:rsidRPr="00A7058C">
        <w:rPr>
          <w:rStyle w:val="s1"/>
          <w:rFonts w:ascii="Arial" w:hAnsi="Arial" w:cs="Arial"/>
          <w:i/>
          <w:lang w:val="en-GB"/>
        </w:rPr>
        <w:t>et al.</w:t>
      </w:r>
      <w:r>
        <w:rPr>
          <w:rStyle w:val="s1"/>
          <w:rFonts w:ascii="Arial" w:hAnsi="Arial" w:cs="Arial"/>
          <w:lang w:val="en-GB"/>
        </w:rPr>
        <w:t xml:space="preserve">, 1989; Olshansky </w:t>
      </w:r>
      <w:r w:rsidRPr="00A7058C">
        <w:rPr>
          <w:rStyle w:val="s1"/>
          <w:rFonts w:ascii="Arial" w:hAnsi="Arial" w:cs="Arial"/>
          <w:i/>
          <w:lang w:val="en-GB"/>
        </w:rPr>
        <w:t>et al.</w:t>
      </w:r>
      <w:r>
        <w:rPr>
          <w:rStyle w:val="s1"/>
          <w:rFonts w:ascii="Arial" w:hAnsi="Arial" w:cs="Arial"/>
          <w:lang w:val="en-GB"/>
        </w:rPr>
        <w:t xml:space="preserve">, 2023; Ras </w:t>
      </w:r>
      <w:r w:rsidRPr="00A7058C">
        <w:rPr>
          <w:rStyle w:val="s1"/>
          <w:rFonts w:ascii="Arial" w:hAnsi="Arial" w:cs="Arial"/>
          <w:i/>
          <w:lang w:val="en-GB"/>
        </w:rPr>
        <w:t>et al.</w:t>
      </w:r>
      <w:r>
        <w:rPr>
          <w:rStyle w:val="s1"/>
          <w:rFonts w:ascii="Arial" w:hAnsi="Arial" w:cs="Arial"/>
          <w:lang w:val="en-GB"/>
        </w:rPr>
        <w:t>, 2025).</w:t>
      </w:r>
    </w:p>
    <w:p w14:paraId="56E6253F" w14:textId="2E10E3E6" w:rsidR="004361DC" w:rsidRDefault="00C51A2D" w:rsidP="00F22892">
      <w:pPr>
        <w:pStyle w:val="p1"/>
        <w:spacing w:line="360" w:lineRule="auto"/>
        <w:rPr>
          <w:rFonts w:ascii="Arial" w:hAnsi="Arial" w:cs="Arial"/>
          <w:lang w:val="en-GB"/>
        </w:rPr>
      </w:pPr>
      <w:r>
        <w:rPr>
          <w:rStyle w:val="s1"/>
          <w:rFonts w:ascii="Arial" w:hAnsi="Arial" w:cs="Arial"/>
          <w:lang w:val="en-GB"/>
        </w:rPr>
        <w:t>Although tasks are often performed at ~50% VO</w:t>
      </w:r>
      <w:r>
        <w:rPr>
          <w:rStyle w:val="s1"/>
          <w:rFonts w:ascii="Cambria Math" w:hAnsi="Cambria Math" w:cs="Cambria Math"/>
          <w:lang w:val="en-GB"/>
        </w:rPr>
        <w:t>₂</w:t>
      </w:r>
      <w:r>
        <w:rPr>
          <w:rStyle w:val="s1"/>
          <w:rFonts w:ascii="Arial" w:hAnsi="Arial" w:cs="Arial"/>
          <w:lang w:val="en-GB"/>
        </w:rPr>
        <w:t xml:space="preserve">max (Gledhill and Jamnik, 1992), HR can approach high-intensity zones, amplified by alarm activation and anticipatory stress responses that elevate HR before physical work begins (MacNeal </w:t>
      </w:r>
      <w:r w:rsidRPr="00A7058C">
        <w:rPr>
          <w:rStyle w:val="s1"/>
          <w:rFonts w:ascii="Arial" w:hAnsi="Arial" w:cs="Arial"/>
          <w:i/>
          <w:lang w:val="en-GB"/>
        </w:rPr>
        <w:t>et al.</w:t>
      </w:r>
      <w:r>
        <w:rPr>
          <w:rStyle w:val="s1"/>
          <w:rFonts w:ascii="Arial" w:hAnsi="Arial" w:cs="Arial"/>
          <w:lang w:val="en-GB"/>
        </w:rPr>
        <w:t xml:space="preserve">, 2016). Population evidence shows elevated RHR is associated with higher inflammatory markers, including CRP and IL-6, supporting HR sensitivity to inflammatory and endothelial stress pathways relevant to FFs (Whelton </w:t>
      </w:r>
      <w:r w:rsidRPr="00A7058C">
        <w:rPr>
          <w:rStyle w:val="s1"/>
          <w:rFonts w:ascii="Arial" w:hAnsi="Arial" w:cs="Arial"/>
          <w:i/>
          <w:lang w:val="en-GB"/>
        </w:rPr>
        <w:t>et al.</w:t>
      </w:r>
      <w:r>
        <w:rPr>
          <w:rStyle w:val="s1"/>
          <w:rFonts w:ascii="Arial" w:hAnsi="Arial" w:cs="Arial"/>
          <w:lang w:val="en-GB"/>
        </w:rPr>
        <w:t xml:space="preserve">, 2014). Additionally, lower HRV in FFs is associated with poorer simulated fire-ground performance, while meta-analytic evidence links reduced HRV with greater inflammation and poorer CV fitness (Lesniak </w:t>
      </w:r>
      <w:r w:rsidRPr="00A7058C">
        <w:rPr>
          <w:rStyle w:val="s1"/>
          <w:rFonts w:ascii="Arial" w:hAnsi="Arial" w:cs="Arial"/>
          <w:i/>
          <w:lang w:val="en-GB"/>
        </w:rPr>
        <w:t>et al.</w:t>
      </w:r>
      <w:r>
        <w:rPr>
          <w:rStyle w:val="s1"/>
          <w:rFonts w:ascii="Arial" w:hAnsi="Arial" w:cs="Arial"/>
          <w:lang w:val="en-GB"/>
        </w:rPr>
        <w:t xml:space="preserve">, 2022; Williams </w:t>
      </w:r>
      <w:r w:rsidRPr="00A7058C">
        <w:rPr>
          <w:rStyle w:val="s1"/>
          <w:rFonts w:ascii="Arial" w:hAnsi="Arial" w:cs="Arial"/>
          <w:i/>
          <w:lang w:val="en-GB"/>
        </w:rPr>
        <w:t>et al.</w:t>
      </w:r>
      <w:r>
        <w:rPr>
          <w:rStyle w:val="s1"/>
          <w:rFonts w:ascii="Arial" w:hAnsi="Arial" w:cs="Arial"/>
          <w:lang w:val="en-GB"/>
        </w:rPr>
        <w:t xml:space="preserve">, 2019; Souza </w:t>
      </w:r>
      <w:r w:rsidRPr="00A7058C">
        <w:rPr>
          <w:rStyle w:val="s1"/>
          <w:rFonts w:ascii="Arial" w:hAnsi="Arial" w:cs="Arial"/>
          <w:i/>
          <w:lang w:val="en-GB"/>
        </w:rPr>
        <w:t>et al.</w:t>
      </w:r>
      <w:r>
        <w:rPr>
          <w:rStyle w:val="s1"/>
          <w:rFonts w:ascii="Arial" w:hAnsi="Arial" w:cs="Arial"/>
          <w:lang w:val="en-GB"/>
        </w:rPr>
        <w:t>, 2021).</w:t>
      </w:r>
    </w:p>
    <w:p w14:paraId="64FF8FD1" w14:textId="77777777" w:rsidR="00C51A2D" w:rsidRDefault="00C51A2D" w:rsidP="00F22892">
      <w:pPr>
        <w:pStyle w:val="p1"/>
        <w:spacing w:line="360" w:lineRule="auto"/>
        <w:rPr>
          <w:rStyle w:val="s1"/>
          <w:rFonts w:ascii="Arial" w:hAnsi="Arial" w:cs="Arial"/>
          <w:lang w:val="en-GB"/>
        </w:rPr>
      </w:pPr>
      <w:r>
        <w:rPr>
          <w:rStyle w:val="s1"/>
          <w:rFonts w:ascii="Arial" w:hAnsi="Arial" w:cs="Arial"/>
          <w:lang w:val="en-GB"/>
        </w:rPr>
        <w:t xml:space="preserve">Submaximal and RHR testing provides a practical, scalable, physiological strain assessment, under standardised workloads (Van Kieu </w:t>
      </w:r>
      <w:r w:rsidRPr="00A7058C">
        <w:rPr>
          <w:rStyle w:val="s1"/>
          <w:rFonts w:ascii="Arial" w:hAnsi="Arial" w:cs="Arial"/>
          <w:i/>
          <w:lang w:val="en-GB"/>
        </w:rPr>
        <w:t>et al.</w:t>
      </w:r>
      <w:r>
        <w:rPr>
          <w:rStyle w:val="s1"/>
          <w:rFonts w:ascii="Arial" w:hAnsi="Arial" w:cs="Arial"/>
          <w:lang w:val="en-GB"/>
        </w:rPr>
        <w:t xml:space="preserve">, 2020; Shushan </w:t>
      </w:r>
      <w:r w:rsidRPr="00A7058C">
        <w:rPr>
          <w:rStyle w:val="s1"/>
          <w:rFonts w:ascii="Arial" w:hAnsi="Arial" w:cs="Arial"/>
          <w:i/>
          <w:lang w:val="en-GB"/>
        </w:rPr>
        <w:t>et al.</w:t>
      </w:r>
      <w:r>
        <w:rPr>
          <w:rStyle w:val="s1"/>
          <w:rFonts w:ascii="Arial" w:hAnsi="Arial" w:cs="Arial"/>
          <w:lang w:val="en-GB"/>
        </w:rPr>
        <w:t xml:space="preserve">, 2022; Buchheit, 2014). </w:t>
      </w:r>
    </w:p>
    <w:p w14:paraId="018C3160" w14:textId="77777777" w:rsidR="004361DC" w:rsidRDefault="004361DC" w:rsidP="00F22892">
      <w:pPr>
        <w:pStyle w:val="p1"/>
        <w:spacing w:line="360" w:lineRule="auto"/>
        <w:rPr>
          <w:rFonts w:ascii="Arial" w:hAnsi="Arial" w:cs="Arial"/>
          <w:lang w:val="en-GB"/>
        </w:rPr>
      </w:pPr>
    </w:p>
    <w:p w14:paraId="3B3D42F5" w14:textId="5962AA7F" w:rsidR="00C51A2D" w:rsidRPr="00F17CD8" w:rsidRDefault="000C672E" w:rsidP="00F22892">
      <w:pPr>
        <w:pStyle w:val="Heading2"/>
        <w:spacing w:line="360" w:lineRule="auto"/>
        <w:rPr>
          <w:rStyle w:val="s1"/>
          <w:rFonts w:ascii="Arial" w:hAnsi="Arial" w:cs="Arial"/>
          <w:bCs/>
          <w:lang w:val="en-GB"/>
        </w:rPr>
      </w:pPr>
      <w:bookmarkStart w:id="35" w:name="_Toc228218278"/>
      <w:r>
        <w:rPr>
          <w:rStyle w:val="s1"/>
          <w:rFonts w:ascii="Arial" w:hAnsi="Arial" w:cs="Arial"/>
          <w:bCs/>
          <w:lang w:val="en-GB"/>
        </w:rPr>
        <w:t>2</w:t>
      </w:r>
      <w:r w:rsidR="00C51A2D" w:rsidRPr="00F17CD8">
        <w:rPr>
          <w:rStyle w:val="s1"/>
          <w:rFonts w:ascii="Arial" w:hAnsi="Arial" w:cs="Arial"/>
          <w:bCs/>
          <w:lang w:val="en-GB"/>
        </w:rPr>
        <w:t>.8 Performance decline and operational longevity</w:t>
      </w:r>
      <w:bookmarkEnd w:id="35"/>
    </w:p>
    <w:p w14:paraId="3D5B3D8E" w14:textId="77777777" w:rsidR="004361DC" w:rsidRDefault="004361DC" w:rsidP="00F22892">
      <w:pPr>
        <w:pStyle w:val="p1"/>
        <w:spacing w:line="360" w:lineRule="auto"/>
        <w:rPr>
          <w:rFonts w:ascii="Arial" w:hAnsi="Arial" w:cs="Arial"/>
          <w:b/>
          <w:lang w:val="en-GB"/>
        </w:rPr>
      </w:pPr>
    </w:p>
    <w:p w14:paraId="2EE20BA4" w14:textId="7E354E28" w:rsidR="00086E08" w:rsidRDefault="00C51A2D" w:rsidP="00F22892">
      <w:pPr>
        <w:pStyle w:val="p1"/>
        <w:spacing w:line="360" w:lineRule="auto"/>
        <w:rPr>
          <w:rFonts w:ascii="Arial" w:hAnsi="Arial" w:cs="Arial"/>
          <w:lang w:val="en-GB"/>
        </w:rPr>
      </w:pPr>
      <w:r>
        <w:rPr>
          <w:rStyle w:val="s1"/>
          <w:rFonts w:ascii="Arial" w:hAnsi="Arial" w:cs="Arial"/>
          <w:lang w:val="en-GB"/>
        </w:rPr>
        <w:t xml:space="preserve">FF performance should be viewed across careers, as cumulative stressors may accelerate decline beyond ageing alone, with long-term service associated with increased CV risk and reduced performance (Chun </w:t>
      </w:r>
      <w:r w:rsidRPr="00A7058C">
        <w:rPr>
          <w:rStyle w:val="s1"/>
          <w:rFonts w:ascii="Arial" w:hAnsi="Arial" w:cs="Arial"/>
          <w:i/>
          <w:lang w:val="en-GB"/>
        </w:rPr>
        <w:t>et al.</w:t>
      </w:r>
      <w:r>
        <w:rPr>
          <w:rStyle w:val="s1"/>
          <w:rFonts w:ascii="Arial" w:hAnsi="Arial" w:cs="Arial"/>
          <w:lang w:val="en-GB"/>
        </w:rPr>
        <w:t xml:space="preserve">, 2025; Jeung </w:t>
      </w:r>
      <w:r w:rsidRPr="00A7058C">
        <w:rPr>
          <w:rStyle w:val="s1"/>
          <w:rFonts w:ascii="Arial" w:hAnsi="Arial" w:cs="Arial"/>
          <w:i/>
          <w:lang w:val="en-GB"/>
        </w:rPr>
        <w:t>et al.</w:t>
      </w:r>
      <w:r>
        <w:rPr>
          <w:rStyle w:val="s1"/>
          <w:rFonts w:ascii="Arial" w:hAnsi="Arial" w:cs="Arial"/>
          <w:lang w:val="en-GB"/>
        </w:rPr>
        <w:t>, 2022).</w:t>
      </w:r>
      <w:r w:rsidR="00086E08">
        <w:rPr>
          <w:rFonts w:ascii="Arial" w:hAnsi="Arial" w:cs="Arial"/>
          <w:lang w:val="en-GB"/>
        </w:rPr>
        <w:t xml:space="preserve"> </w:t>
      </w:r>
      <w:r>
        <w:rPr>
          <w:rStyle w:val="s1"/>
          <w:rFonts w:ascii="Arial" w:hAnsi="Arial" w:cs="Arial"/>
          <w:lang w:val="en-GB"/>
        </w:rPr>
        <w:t xml:space="preserve">Jeung </w:t>
      </w:r>
      <w:r w:rsidRPr="00A7058C">
        <w:rPr>
          <w:rStyle w:val="s1"/>
          <w:rFonts w:ascii="Arial" w:hAnsi="Arial" w:cs="Arial"/>
          <w:i/>
          <w:lang w:val="en-GB"/>
        </w:rPr>
        <w:t>et al.</w:t>
      </w:r>
      <w:r>
        <w:rPr>
          <w:rStyle w:val="s1"/>
          <w:rFonts w:ascii="Arial" w:hAnsi="Arial" w:cs="Arial"/>
          <w:lang w:val="en-GB"/>
        </w:rPr>
        <w:t xml:space="preserve"> (2022) conducted a 13-year retrospective cohort study examining effects of FF duties on CVD in 363,137 FFs and public officials. They reported clustered CV risks, </w:t>
      </w:r>
      <w:r>
        <w:rPr>
          <w:rStyle w:val="s1"/>
          <w:rFonts w:ascii="Arial" w:hAnsi="Arial" w:cs="Arial"/>
          <w:lang w:val="en-GB"/>
        </w:rPr>
        <w:lastRenderedPageBreak/>
        <w:t xml:space="preserve">including elevated BP-related factors in younger male and female FFs aged 20-39 years, compared with public officials, while hypertension also increased with age. Chun </w:t>
      </w:r>
      <w:r w:rsidRPr="00A7058C">
        <w:rPr>
          <w:rStyle w:val="s1"/>
          <w:rFonts w:ascii="Arial" w:hAnsi="Arial" w:cs="Arial"/>
          <w:i/>
          <w:lang w:val="en-GB"/>
        </w:rPr>
        <w:t>et al.</w:t>
      </w:r>
      <w:r>
        <w:rPr>
          <w:rStyle w:val="s1"/>
          <w:rFonts w:ascii="Arial" w:hAnsi="Arial" w:cs="Arial"/>
          <w:lang w:val="en-GB"/>
        </w:rPr>
        <w:t xml:space="preserve"> (2025), however, assessed impact of age and service years on FF performance, finding younger FFs 20-29 years displayed favourable health and performance than older counterparts 30 years. Although ageing is known to contribute to health and performance decline (Chun </w:t>
      </w:r>
      <w:r w:rsidRPr="00A7058C">
        <w:rPr>
          <w:rStyle w:val="s1"/>
          <w:rFonts w:ascii="Arial" w:hAnsi="Arial" w:cs="Arial"/>
          <w:i/>
          <w:lang w:val="en-GB"/>
        </w:rPr>
        <w:t>et al.</w:t>
      </w:r>
      <w:r>
        <w:rPr>
          <w:rStyle w:val="s1"/>
          <w:rFonts w:ascii="Arial" w:hAnsi="Arial" w:cs="Arial"/>
          <w:lang w:val="en-GB"/>
        </w:rPr>
        <w:t xml:space="preserve">, 2025; Cameron </w:t>
      </w:r>
      <w:r w:rsidRPr="00A7058C">
        <w:rPr>
          <w:rStyle w:val="s1"/>
          <w:rFonts w:ascii="Arial" w:hAnsi="Arial" w:cs="Arial"/>
          <w:i/>
          <w:lang w:val="en-GB"/>
        </w:rPr>
        <w:t>et al.</w:t>
      </w:r>
      <w:r>
        <w:rPr>
          <w:rStyle w:val="s1"/>
          <w:rFonts w:ascii="Arial" w:hAnsi="Arial" w:cs="Arial"/>
          <w:lang w:val="en-GB"/>
        </w:rPr>
        <w:t xml:space="preserve">, 2018), these findings suggest years of fire service partly overlap with age-related effects and may act as a proxy for cumulative occupational burden, as discussed in previous sections (Chun </w:t>
      </w:r>
      <w:r w:rsidRPr="00A7058C">
        <w:rPr>
          <w:rStyle w:val="s1"/>
          <w:rFonts w:ascii="Arial" w:hAnsi="Arial" w:cs="Arial"/>
          <w:i/>
          <w:lang w:val="en-GB"/>
        </w:rPr>
        <w:t>et al.</w:t>
      </w:r>
      <w:r>
        <w:rPr>
          <w:rStyle w:val="s1"/>
          <w:rFonts w:ascii="Arial" w:hAnsi="Arial" w:cs="Arial"/>
          <w:lang w:val="en-GB"/>
        </w:rPr>
        <w:t xml:space="preserve">, 2025). This is supported by Cameron </w:t>
      </w:r>
      <w:r w:rsidRPr="00A7058C">
        <w:rPr>
          <w:rStyle w:val="s1"/>
          <w:rFonts w:ascii="Arial" w:hAnsi="Arial" w:cs="Arial"/>
          <w:i/>
          <w:lang w:val="en-GB"/>
        </w:rPr>
        <w:t>et al.</w:t>
      </w:r>
      <w:r>
        <w:rPr>
          <w:rStyle w:val="s1"/>
          <w:rFonts w:ascii="Arial" w:hAnsi="Arial" w:cs="Arial"/>
          <w:lang w:val="en-GB"/>
        </w:rPr>
        <w:t xml:space="preserve"> (2018), who annually evaluated cardiorespiratory performance in 1,169 male FFs over 10 years, reporting an association between age and performance decline.</w:t>
      </w:r>
    </w:p>
    <w:p w14:paraId="30919FF1" w14:textId="0F772574" w:rsidR="00C51A2D" w:rsidRDefault="00C51A2D" w:rsidP="00F22892">
      <w:pPr>
        <w:pStyle w:val="p1"/>
        <w:spacing w:line="360" w:lineRule="auto"/>
        <w:rPr>
          <w:rStyle w:val="s1"/>
          <w:rFonts w:ascii="Arial" w:hAnsi="Arial" w:cs="Arial"/>
          <w:lang w:val="en-GB"/>
        </w:rPr>
      </w:pPr>
      <w:r>
        <w:rPr>
          <w:rStyle w:val="s1"/>
          <w:rFonts w:ascii="Arial" w:hAnsi="Arial" w:cs="Arial"/>
          <w:lang w:val="en-GB"/>
        </w:rPr>
        <w:t xml:space="preserve">Further, Martin </w:t>
      </w:r>
      <w:r w:rsidRPr="00A7058C">
        <w:rPr>
          <w:rStyle w:val="s1"/>
          <w:rFonts w:ascii="Arial" w:hAnsi="Arial" w:cs="Arial"/>
          <w:i/>
          <w:lang w:val="en-GB"/>
        </w:rPr>
        <w:t>et al.</w:t>
      </w:r>
      <w:r>
        <w:rPr>
          <w:rStyle w:val="s1"/>
          <w:rFonts w:ascii="Arial" w:hAnsi="Arial" w:cs="Arial"/>
          <w:lang w:val="en-GB"/>
        </w:rPr>
        <w:t xml:space="preserve"> (2025a) conducted a retrospective analysis of physical performance data, including sub-maximal step-test VO</w:t>
      </w:r>
      <w:r>
        <w:rPr>
          <w:rStyle w:val="s1"/>
          <w:rFonts w:ascii="Cambria Math" w:hAnsi="Cambria Math" w:cs="Cambria Math"/>
          <w:lang w:val="en-GB"/>
        </w:rPr>
        <w:t>₂</w:t>
      </w:r>
      <w:r>
        <w:rPr>
          <w:rStyle w:val="s1"/>
          <w:rFonts w:ascii="Arial" w:hAnsi="Arial" w:cs="Arial"/>
          <w:lang w:val="en-GB"/>
        </w:rPr>
        <w:t xml:space="preserve">max estimation, collected from 2019-2021 in 1,281 FFs with years of service accounted for (1,136 males, 145 females; age: 39.2 ± 9.3 years; years of service: 11.0 ± 7.3 years). They concluded longer service duration exacerbated declines in physical performance outcomes, independent of age, particularly in male FFs, reinforcing an operational longevity framework. Thus, fire services should consider years of service and sex, alongside age, when implementing interventions to optimise performance and safety. Ras </w:t>
      </w:r>
      <w:r w:rsidRPr="00A7058C">
        <w:rPr>
          <w:rStyle w:val="s1"/>
          <w:rFonts w:ascii="Arial" w:hAnsi="Arial" w:cs="Arial"/>
          <w:i/>
          <w:lang w:val="en-GB"/>
        </w:rPr>
        <w:t>et al.</w:t>
      </w:r>
      <w:r>
        <w:rPr>
          <w:rStyle w:val="s1"/>
          <w:rFonts w:ascii="Arial" w:hAnsi="Arial" w:cs="Arial"/>
          <w:lang w:val="en-GB"/>
        </w:rPr>
        <w:t xml:space="preserve"> (2024) used a cross-sectional design in 282 FFs and likewise supported age-related performance decline, adding, higher BP associates with lower performance, supported by Strauss </w:t>
      </w:r>
      <w:r w:rsidRPr="00A7058C">
        <w:rPr>
          <w:rStyle w:val="s1"/>
          <w:rFonts w:ascii="Arial" w:hAnsi="Arial" w:cs="Arial"/>
          <w:i/>
          <w:lang w:val="en-GB"/>
        </w:rPr>
        <w:t>et al.</w:t>
      </w:r>
      <w:r>
        <w:rPr>
          <w:rStyle w:val="s1"/>
          <w:rFonts w:ascii="Arial" w:hAnsi="Arial" w:cs="Arial"/>
          <w:lang w:val="en-GB"/>
        </w:rPr>
        <w:t xml:space="preserve"> (2021), including evidence that higher RHR decreases FF performance (Seyedmehdi </w:t>
      </w:r>
      <w:r w:rsidRPr="00A7058C">
        <w:rPr>
          <w:rStyle w:val="s1"/>
          <w:rFonts w:ascii="Arial" w:hAnsi="Arial" w:cs="Arial"/>
          <w:i/>
          <w:lang w:val="en-GB"/>
        </w:rPr>
        <w:t>et al.</w:t>
      </w:r>
      <w:r>
        <w:rPr>
          <w:rStyle w:val="s1"/>
          <w:rFonts w:ascii="Arial" w:hAnsi="Arial" w:cs="Arial"/>
          <w:lang w:val="en-GB"/>
        </w:rPr>
        <w:t>, 2016). However, much of this evidence is observational or retrospective, limiting causal conclusions in FFs.</w:t>
      </w:r>
      <w:r w:rsidR="00086E08">
        <w:rPr>
          <w:rFonts w:ascii="Arial" w:hAnsi="Arial" w:cs="Arial"/>
          <w:lang w:val="en-GB"/>
        </w:rPr>
        <w:t xml:space="preserve"> </w:t>
      </w:r>
      <w:r>
        <w:rPr>
          <w:rStyle w:val="s1"/>
          <w:rFonts w:ascii="Arial" w:hAnsi="Arial" w:cs="Arial"/>
          <w:lang w:val="en-GB"/>
        </w:rPr>
        <w:t xml:space="preserve">Epidemiological evidence suggests even small reductions in BP can reduce CV risk (MacMahon </w:t>
      </w:r>
      <w:r w:rsidRPr="00A7058C">
        <w:rPr>
          <w:rStyle w:val="s1"/>
          <w:rFonts w:ascii="Arial" w:hAnsi="Arial" w:cs="Arial"/>
          <w:i/>
          <w:lang w:val="en-GB"/>
        </w:rPr>
        <w:t>et al.</w:t>
      </w:r>
      <w:r>
        <w:rPr>
          <w:rStyle w:val="s1"/>
          <w:rFonts w:ascii="Arial" w:hAnsi="Arial" w:cs="Arial"/>
          <w:lang w:val="en-GB"/>
        </w:rPr>
        <w:t xml:space="preserve">, 1990; Lin </w:t>
      </w:r>
      <w:r w:rsidRPr="00A7058C">
        <w:rPr>
          <w:rStyle w:val="s1"/>
          <w:rFonts w:ascii="Arial" w:hAnsi="Arial" w:cs="Arial"/>
          <w:i/>
          <w:lang w:val="en-GB"/>
        </w:rPr>
        <w:t>et al.</w:t>
      </w:r>
      <w:r>
        <w:rPr>
          <w:rStyle w:val="s1"/>
          <w:rFonts w:ascii="Arial" w:hAnsi="Arial" w:cs="Arial"/>
          <w:lang w:val="en-GB"/>
        </w:rPr>
        <w:t xml:space="preserve">, 2010) and may therefore support performance. </w:t>
      </w:r>
    </w:p>
    <w:p w14:paraId="22E7A33E" w14:textId="77777777" w:rsidR="00086E08" w:rsidRDefault="00086E08" w:rsidP="00F22892">
      <w:pPr>
        <w:pStyle w:val="p1"/>
        <w:spacing w:line="360" w:lineRule="auto"/>
        <w:rPr>
          <w:rFonts w:ascii="Arial" w:hAnsi="Arial" w:cs="Arial"/>
          <w:lang w:val="en-GB"/>
        </w:rPr>
      </w:pPr>
    </w:p>
    <w:p w14:paraId="5DB19C45" w14:textId="0E4032D2" w:rsidR="00C51A2D" w:rsidRPr="00D24DD3" w:rsidRDefault="000C672E" w:rsidP="00F22892">
      <w:pPr>
        <w:pStyle w:val="Heading2"/>
        <w:spacing w:line="360" w:lineRule="auto"/>
        <w:rPr>
          <w:rStyle w:val="s1"/>
          <w:rFonts w:ascii="Arial" w:hAnsi="Arial" w:cs="Arial"/>
          <w:bCs/>
          <w:lang w:val="en-GB"/>
        </w:rPr>
      </w:pPr>
      <w:bookmarkStart w:id="36" w:name="OLE_LINK27"/>
      <w:bookmarkStart w:id="37" w:name="_Toc228218279"/>
      <w:r>
        <w:rPr>
          <w:rStyle w:val="s1"/>
          <w:rFonts w:ascii="Arial" w:hAnsi="Arial" w:cs="Arial"/>
          <w:bCs/>
          <w:lang w:val="en-GB"/>
        </w:rPr>
        <w:lastRenderedPageBreak/>
        <w:t>2</w:t>
      </w:r>
      <w:r w:rsidR="00C51A2D" w:rsidRPr="00D24DD3">
        <w:rPr>
          <w:rStyle w:val="s1"/>
          <w:rFonts w:ascii="Arial" w:hAnsi="Arial" w:cs="Arial"/>
          <w:bCs/>
          <w:lang w:val="en-GB"/>
        </w:rPr>
        <w:t>.9 Nutrition as a modifiable strategy in firefighters</w:t>
      </w:r>
      <w:bookmarkEnd w:id="36"/>
      <w:bookmarkEnd w:id="37"/>
    </w:p>
    <w:p w14:paraId="42B11C19" w14:textId="77777777" w:rsidR="00086E08" w:rsidRDefault="00086E08" w:rsidP="00F22892">
      <w:pPr>
        <w:pStyle w:val="p1"/>
        <w:spacing w:line="360" w:lineRule="auto"/>
        <w:rPr>
          <w:rFonts w:ascii="Arial" w:hAnsi="Arial" w:cs="Arial"/>
          <w:b/>
          <w:lang w:val="en-GB"/>
        </w:rPr>
      </w:pPr>
    </w:p>
    <w:p w14:paraId="282C93F5" w14:textId="5F3CD151" w:rsidR="00086E08" w:rsidRDefault="00C51A2D" w:rsidP="00F22892">
      <w:pPr>
        <w:pStyle w:val="p1"/>
        <w:spacing w:line="360" w:lineRule="auto"/>
        <w:rPr>
          <w:rFonts w:ascii="Arial" w:hAnsi="Arial" w:cs="Arial"/>
          <w:lang w:val="en-GB"/>
        </w:rPr>
      </w:pPr>
      <w:r>
        <w:rPr>
          <w:rStyle w:val="s1"/>
          <w:rFonts w:ascii="Arial" w:hAnsi="Arial" w:cs="Arial"/>
          <w:lang w:val="en-GB"/>
        </w:rPr>
        <w:t xml:space="preserve">Diet modulates chronic inflammation (Minihane </w:t>
      </w:r>
      <w:r w:rsidRPr="00A7058C">
        <w:rPr>
          <w:rStyle w:val="s1"/>
          <w:rFonts w:ascii="Arial" w:hAnsi="Arial" w:cs="Arial"/>
          <w:i/>
          <w:lang w:val="en-GB"/>
        </w:rPr>
        <w:t>et al.</w:t>
      </w:r>
      <w:r>
        <w:rPr>
          <w:rStyle w:val="s1"/>
          <w:rFonts w:ascii="Arial" w:hAnsi="Arial" w:cs="Arial"/>
          <w:lang w:val="en-GB"/>
        </w:rPr>
        <w:t xml:space="preserve">, 2015), thus anti-inflammatory dietary strategies may counter inflammatory and oxidative burden in FFs. Nutrient-dense patterns such as the Mediterranean diet (MD), higher in fruits, vegetables, whole grains, nuts, olive oil, and fish, provide O3 PUFAs, monounsaturated fats, and polyphenols linked to anti-inflammatory and cardioprotective effects (Esposito </w:t>
      </w:r>
      <w:r w:rsidRPr="00A7058C">
        <w:rPr>
          <w:rStyle w:val="s1"/>
          <w:rFonts w:ascii="Arial" w:hAnsi="Arial" w:cs="Arial"/>
          <w:i/>
          <w:lang w:val="en-GB"/>
        </w:rPr>
        <w:t>et al.</w:t>
      </w:r>
      <w:r>
        <w:rPr>
          <w:rStyle w:val="s1"/>
          <w:rFonts w:ascii="Arial" w:hAnsi="Arial" w:cs="Arial"/>
          <w:lang w:val="en-GB"/>
        </w:rPr>
        <w:t xml:space="preserve">, 2004; Marx </w:t>
      </w:r>
      <w:r w:rsidRPr="00A7058C">
        <w:rPr>
          <w:rStyle w:val="s1"/>
          <w:rFonts w:ascii="Arial" w:hAnsi="Arial" w:cs="Arial"/>
          <w:i/>
          <w:lang w:val="en-GB"/>
        </w:rPr>
        <w:t>et al.</w:t>
      </w:r>
      <w:r>
        <w:rPr>
          <w:rStyle w:val="s1"/>
          <w:rFonts w:ascii="Arial" w:hAnsi="Arial" w:cs="Arial"/>
          <w:lang w:val="en-GB"/>
        </w:rPr>
        <w:t xml:space="preserve">, 2021; Tosti </w:t>
      </w:r>
      <w:r w:rsidRPr="00A7058C">
        <w:rPr>
          <w:rStyle w:val="s1"/>
          <w:rFonts w:ascii="Arial" w:hAnsi="Arial" w:cs="Arial"/>
          <w:i/>
          <w:lang w:val="en-GB"/>
        </w:rPr>
        <w:t>et al.</w:t>
      </w:r>
      <w:r>
        <w:rPr>
          <w:rStyle w:val="s1"/>
          <w:rFonts w:ascii="Arial" w:hAnsi="Arial" w:cs="Arial"/>
          <w:lang w:val="en-GB"/>
        </w:rPr>
        <w:t xml:space="preserve">, 2018; Estruch </w:t>
      </w:r>
      <w:r w:rsidRPr="00A7058C">
        <w:rPr>
          <w:rStyle w:val="s1"/>
          <w:rFonts w:ascii="Arial" w:hAnsi="Arial" w:cs="Arial"/>
          <w:i/>
          <w:lang w:val="en-GB"/>
        </w:rPr>
        <w:t>et al.</w:t>
      </w:r>
      <w:r>
        <w:rPr>
          <w:rStyle w:val="s1"/>
          <w:rFonts w:ascii="Arial" w:hAnsi="Arial" w:cs="Arial"/>
          <w:lang w:val="en-GB"/>
        </w:rPr>
        <w:t xml:space="preserve">, 2018). In contrast, WDPs high in refined carbohydrates and saturated fats are linked to pro-inflammatory signalling and OXS (Tan </w:t>
      </w:r>
      <w:r w:rsidRPr="00A7058C">
        <w:rPr>
          <w:rStyle w:val="s1"/>
          <w:rFonts w:ascii="Arial" w:hAnsi="Arial" w:cs="Arial"/>
          <w:i/>
          <w:lang w:val="en-GB"/>
        </w:rPr>
        <w:t>et al.</w:t>
      </w:r>
      <w:r>
        <w:rPr>
          <w:rStyle w:val="s1"/>
          <w:rFonts w:ascii="Arial" w:hAnsi="Arial" w:cs="Arial"/>
          <w:lang w:val="en-GB"/>
        </w:rPr>
        <w:t xml:space="preserve">, 2018; Schulte </w:t>
      </w:r>
      <w:r w:rsidRPr="00A7058C">
        <w:rPr>
          <w:rStyle w:val="s1"/>
          <w:rFonts w:ascii="Arial" w:hAnsi="Arial" w:cs="Arial"/>
          <w:i/>
          <w:lang w:val="en-GB"/>
        </w:rPr>
        <w:t>et al.</w:t>
      </w:r>
      <w:r>
        <w:rPr>
          <w:rStyle w:val="s1"/>
          <w:rFonts w:ascii="Arial" w:hAnsi="Arial" w:cs="Arial"/>
          <w:lang w:val="en-GB"/>
        </w:rPr>
        <w:t xml:space="preserve">, 2015; Clemente-Suárez </w:t>
      </w:r>
      <w:r w:rsidRPr="00A7058C">
        <w:rPr>
          <w:rStyle w:val="s1"/>
          <w:rFonts w:ascii="Arial" w:hAnsi="Arial" w:cs="Arial"/>
          <w:i/>
          <w:lang w:val="en-GB"/>
        </w:rPr>
        <w:t>et al.</w:t>
      </w:r>
      <w:r>
        <w:rPr>
          <w:rStyle w:val="s1"/>
          <w:rFonts w:ascii="Arial" w:hAnsi="Arial" w:cs="Arial"/>
          <w:lang w:val="en-GB"/>
        </w:rPr>
        <w:t>, 2022).</w:t>
      </w:r>
    </w:p>
    <w:p w14:paraId="75B9464C" w14:textId="20DEF660" w:rsidR="00086E08" w:rsidRDefault="00C51A2D" w:rsidP="00F22892">
      <w:pPr>
        <w:pStyle w:val="p1"/>
        <w:spacing w:line="360" w:lineRule="auto"/>
        <w:rPr>
          <w:rFonts w:ascii="Arial" w:hAnsi="Arial" w:cs="Arial"/>
          <w:lang w:val="en-GB"/>
        </w:rPr>
      </w:pPr>
      <w:r>
        <w:rPr>
          <w:rStyle w:val="s1"/>
          <w:rFonts w:ascii="Arial" w:hAnsi="Arial" w:cs="Arial"/>
          <w:lang w:val="en-GB"/>
        </w:rPr>
        <w:t xml:space="preserve">RCT and meta-analytic evidence indicates MD improves endothelial function and reduces CRP and IL-6, particularly in higher-risk groups (Esposito </w:t>
      </w:r>
      <w:r w:rsidRPr="00A7058C">
        <w:rPr>
          <w:rStyle w:val="s1"/>
          <w:rFonts w:ascii="Arial" w:hAnsi="Arial" w:cs="Arial"/>
          <w:i/>
          <w:lang w:val="en-GB"/>
        </w:rPr>
        <w:t>et al.</w:t>
      </w:r>
      <w:r>
        <w:rPr>
          <w:rStyle w:val="s1"/>
          <w:rFonts w:ascii="Arial" w:hAnsi="Arial" w:cs="Arial"/>
          <w:lang w:val="en-GB"/>
        </w:rPr>
        <w:t xml:space="preserve">, 2004; Schwingshackl and Hoffmann, 2014). In a 2-year RCT, Esposito </w:t>
      </w:r>
      <w:r w:rsidRPr="00A7058C">
        <w:rPr>
          <w:rStyle w:val="s1"/>
          <w:rFonts w:ascii="Arial" w:hAnsi="Arial" w:cs="Arial"/>
          <w:i/>
          <w:lang w:val="en-GB"/>
        </w:rPr>
        <w:t>et al.</w:t>
      </w:r>
      <w:r>
        <w:rPr>
          <w:rStyle w:val="s1"/>
          <w:rFonts w:ascii="Arial" w:hAnsi="Arial" w:cs="Arial"/>
          <w:lang w:val="en-GB"/>
        </w:rPr>
        <w:t xml:space="preserve"> (2004) reported lower BP, IL-6, IL-7, IL-18, and CRP, and improved endothelial function, versus controls. However, concurrent reductions in body weight, waist, BMI, cholesterol, and glucose may have contributed, although adjustment for body weight change suggested reduced metabolic syndrome prevalence was likely conservative (Esposito </w:t>
      </w:r>
      <w:r w:rsidRPr="00A7058C">
        <w:rPr>
          <w:rStyle w:val="s1"/>
          <w:rFonts w:ascii="Arial" w:hAnsi="Arial" w:cs="Arial"/>
          <w:i/>
          <w:lang w:val="en-GB"/>
        </w:rPr>
        <w:t>et al.</w:t>
      </w:r>
      <w:r>
        <w:rPr>
          <w:rStyle w:val="s1"/>
          <w:rFonts w:ascii="Arial" w:hAnsi="Arial" w:cs="Arial"/>
          <w:lang w:val="en-GB"/>
        </w:rPr>
        <w:t>, 2004). Likewise, meta-analysis of 17 RCTs including 2300 participants found MD improved flow-mediated dilatation and adiponectin, while reducing high-sensitivity CRP, IL-6, and intracellular adhesion molecule-1, supporting anti-inflammatory and vascular benefits (Schwingshackl and Hoffmann, 2014).</w:t>
      </w:r>
    </w:p>
    <w:p w14:paraId="00450851" w14:textId="17265284" w:rsidR="00086E08" w:rsidRDefault="00C51A2D" w:rsidP="00F22892">
      <w:pPr>
        <w:pStyle w:val="p1"/>
        <w:spacing w:line="360" w:lineRule="auto"/>
        <w:rPr>
          <w:rFonts w:ascii="Arial" w:hAnsi="Arial" w:cs="Arial"/>
          <w:lang w:val="en-GB"/>
        </w:rPr>
      </w:pPr>
      <w:r>
        <w:rPr>
          <w:rStyle w:val="s1"/>
          <w:rFonts w:ascii="Arial" w:hAnsi="Arial" w:cs="Arial"/>
          <w:lang w:val="en-GB"/>
        </w:rPr>
        <w:t xml:space="preserve">Large randomised trial data indicate MD supplemented with extra-virgin olive oil or nuts lowered relative hazard of SCE by 31% and 28%, supporting cardioprotective value of anti-inflammatory dietary patterns (Estruch </w:t>
      </w:r>
      <w:r w:rsidRPr="00A7058C">
        <w:rPr>
          <w:rStyle w:val="s1"/>
          <w:rFonts w:ascii="Arial" w:hAnsi="Arial" w:cs="Arial"/>
          <w:i/>
          <w:lang w:val="en-GB"/>
        </w:rPr>
        <w:t>et al.</w:t>
      </w:r>
      <w:r>
        <w:rPr>
          <w:rStyle w:val="s1"/>
          <w:rFonts w:ascii="Arial" w:hAnsi="Arial" w:cs="Arial"/>
          <w:lang w:val="en-GB"/>
        </w:rPr>
        <w:t xml:space="preserve">, 2018). However, because this tested a whole-diet pattern in an older high-risk cohort, it does not isolate marine-derived EPA and DHA thus only indirectly supports O3-specific mechanisms (Estruch </w:t>
      </w:r>
      <w:r w:rsidRPr="00A7058C">
        <w:rPr>
          <w:rStyle w:val="s1"/>
          <w:rFonts w:ascii="Arial" w:hAnsi="Arial" w:cs="Arial"/>
          <w:i/>
          <w:lang w:val="en-GB"/>
        </w:rPr>
        <w:t>et al.</w:t>
      </w:r>
      <w:r>
        <w:rPr>
          <w:rStyle w:val="s1"/>
          <w:rFonts w:ascii="Arial" w:hAnsi="Arial" w:cs="Arial"/>
          <w:lang w:val="en-GB"/>
        </w:rPr>
        <w:t xml:space="preserve">, 2018). This reinforces examining O3 directly, as combined EPA+DHA lowers BP and HR, with strongest effects around 2-3 g/day, while O3 supplementation also lowered HR and </w:t>
      </w:r>
      <w:r>
        <w:rPr>
          <w:rStyle w:val="s1"/>
          <w:rFonts w:ascii="Arial" w:hAnsi="Arial" w:cs="Arial"/>
          <w:lang w:val="en-GB"/>
        </w:rPr>
        <w:lastRenderedPageBreak/>
        <w:t xml:space="preserve">improved endothelial function, supporting plausible haemodynamic and vascular mechanisms relevant to CV strain (Miller </w:t>
      </w:r>
      <w:r w:rsidRPr="00A7058C">
        <w:rPr>
          <w:rStyle w:val="s1"/>
          <w:rFonts w:ascii="Arial" w:hAnsi="Arial" w:cs="Arial"/>
          <w:i/>
          <w:lang w:val="en-GB"/>
        </w:rPr>
        <w:t>et al.</w:t>
      </w:r>
      <w:r>
        <w:rPr>
          <w:rStyle w:val="s1"/>
          <w:rFonts w:ascii="Arial" w:hAnsi="Arial" w:cs="Arial"/>
          <w:lang w:val="en-GB"/>
        </w:rPr>
        <w:t xml:space="preserve">, 2014; Zhang </w:t>
      </w:r>
      <w:r w:rsidRPr="00A7058C">
        <w:rPr>
          <w:rStyle w:val="s1"/>
          <w:rFonts w:ascii="Arial" w:hAnsi="Arial" w:cs="Arial"/>
          <w:i/>
          <w:lang w:val="en-GB"/>
        </w:rPr>
        <w:t>et al.</w:t>
      </w:r>
      <w:r>
        <w:rPr>
          <w:rStyle w:val="s1"/>
          <w:rFonts w:ascii="Arial" w:hAnsi="Arial" w:cs="Arial"/>
          <w:lang w:val="en-GB"/>
        </w:rPr>
        <w:t xml:space="preserve">, 2022; Hidayat </w:t>
      </w:r>
      <w:r w:rsidRPr="00A7058C">
        <w:rPr>
          <w:rStyle w:val="s1"/>
          <w:rFonts w:ascii="Arial" w:hAnsi="Arial" w:cs="Arial"/>
          <w:i/>
          <w:lang w:val="en-GB"/>
        </w:rPr>
        <w:t>et al.</w:t>
      </w:r>
      <w:r>
        <w:rPr>
          <w:rStyle w:val="s1"/>
          <w:rFonts w:ascii="Arial" w:hAnsi="Arial" w:cs="Arial"/>
          <w:lang w:val="en-GB"/>
        </w:rPr>
        <w:t>, 2018).</w:t>
      </w:r>
    </w:p>
    <w:p w14:paraId="489B8F83" w14:textId="30270DF4" w:rsidR="00086E08" w:rsidRDefault="00C51A2D" w:rsidP="00F22892">
      <w:pPr>
        <w:pStyle w:val="p1"/>
        <w:spacing w:line="360" w:lineRule="auto"/>
        <w:rPr>
          <w:rFonts w:ascii="Arial" w:hAnsi="Arial" w:cs="Arial"/>
          <w:lang w:val="en-GB"/>
        </w:rPr>
      </w:pPr>
      <w:r>
        <w:rPr>
          <w:rStyle w:val="s1"/>
          <w:rFonts w:ascii="Arial" w:hAnsi="Arial" w:cs="Arial"/>
          <w:lang w:val="en-GB"/>
        </w:rPr>
        <w:t xml:space="preserve">Mechanistically, MD may reduce oxidative damage and enhance antioxidant defences via O3, polyphenols, monounsaturated fats, and micronutrients including vitamins C and E, selenium, and flavonoids (Mitjavila </w:t>
      </w:r>
      <w:r w:rsidRPr="00A7058C">
        <w:rPr>
          <w:rStyle w:val="s1"/>
          <w:rFonts w:ascii="Arial" w:hAnsi="Arial" w:cs="Arial"/>
          <w:i/>
          <w:lang w:val="en-GB"/>
        </w:rPr>
        <w:t>et al.</w:t>
      </w:r>
      <w:r>
        <w:rPr>
          <w:rStyle w:val="s1"/>
          <w:rFonts w:ascii="Arial" w:hAnsi="Arial" w:cs="Arial"/>
          <w:lang w:val="en-GB"/>
        </w:rPr>
        <w:t xml:space="preserve">, 2013; Gonzalez </w:t>
      </w:r>
      <w:r w:rsidRPr="00A7058C">
        <w:rPr>
          <w:rStyle w:val="s1"/>
          <w:rFonts w:ascii="Arial" w:hAnsi="Arial" w:cs="Arial"/>
          <w:i/>
          <w:lang w:val="en-GB"/>
        </w:rPr>
        <w:t>et al.</w:t>
      </w:r>
      <w:r>
        <w:rPr>
          <w:rStyle w:val="s1"/>
          <w:rFonts w:ascii="Arial" w:hAnsi="Arial" w:cs="Arial"/>
          <w:lang w:val="en-GB"/>
        </w:rPr>
        <w:t xml:space="preserve">, 2019; Guo </w:t>
      </w:r>
      <w:r w:rsidRPr="00A7058C">
        <w:rPr>
          <w:rStyle w:val="s1"/>
          <w:rFonts w:ascii="Arial" w:hAnsi="Arial" w:cs="Arial"/>
          <w:i/>
          <w:lang w:val="en-GB"/>
        </w:rPr>
        <w:t>et al.</w:t>
      </w:r>
      <w:r>
        <w:rPr>
          <w:rStyle w:val="s1"/>
          <w:rFonts w:ascii="Arial" w:hAnsi="Arial" w:cs="Arial"/>
          <w:lang w:val="en-GB"/>
        </w:rPr>
        <w:t xml:space="preserve">, 2024; Tosti </w:t>
      </w:r>
      <w:r w:rsidRPr="00A7058C">
        <w:rPr>
          <w:rStyle w:val="s1"/>
          <w:rFonts w:ascii="Arial" w:hAnsi="Arial" w:cs="Arial"/>
          <w:i/>
          <w:lang w:val="en-GB"/>
        </w:rPr>
        <w:t>et al.</w:t>
      </w:r>
      <w:r>
        <w:rPr>
          <w:rStyle w:val="s1"/>
          <w:rFonts w:ascii="Arial" w:hAnsi="Arial" w:cs="Arial"/>
          <w:lang w:val="en-GB"/>
        </w:rPr>
        <w:t xml:space="preserve">, 2018). Urinary 8-oxo-dG falls after MD, relevant because oxidative DNA damage markers rise after firefighting exposures (Mitjavila </w:t>
      </w:r>
      <w:r w:rsidRPr="00A7058C">
        <w:rPr>
          <w:rStyle w:val="s1"/>
          <w:rFonts w:ascii="Arial" w:hAnsi="Arial" w:cs="Arial"/>
          <w:i/>
          <w:lang w:val="en-GB"/>
        </w:rPr>
        <w:t>et al.</w:t>
      </w:r>
      <w:r>
        <w:rPr>
          <w:rStyle w:val="s1"/>
          <w:rFonts w:ascii="Arial" w:hAnsi="Arial" w:cs="Arial"/>
          <w:lang w:val="en-GB"/>
        </w:rPr>
        <w:t xml:space="preserve">, 2013; Walker </w:t>
      </w:r>
      <w:r w:rsidRPr="00A7058C">
        <w:rPr>
          <w:rStyle w:val="s1"/>
          <w:rFonts w:ascii="Arial" w:hAnsi="Arial" w:cs="Arial"/>
          <w:i/>
          <w:lang w:val="en-GB"/>
        </w:rPr>
        <w:t>et al.</w:t>
      </w:r>
      <w:r>
        <w:rPr>
          <w:rStyle w:val="s1"/>
          <w:rFonts w:ascii="Arial" w:hAnsi="Arial" w:cs="Arial"/>
          <w:lang w:val="en-GB"/>
        </w:rPr>
        <w:t xml:space="preserve">, 2015). MD also </w:t>
      </w:r>
      <w:r w:rsidR="008D1CF9">
        <w:rPr>
          <w:rStyle w:val="s1"/>
          <w:rFonts w:ascii="Arial" w:hAnsi="Arial" w:cs="Arial"/>
          <w:lang w:val="en-GB"/>
        </w:rPr>
        <w:t>down-regulates</w:t>
      </w:r>
      <w:r>
        <w:rPr>
          <w:rStyle w:val="s1"/>
          <w:rFonts w:ascii="Arial" w:hAnsi="Arial" w:cs="Arial"/>
          <w:lang w:val="en-GB"/>
        </w:rPr>
        <w:t xml:space="preserve"> pro-inflammatory signalling, partly via O3 availability (Tosti </w:t>
      </w:r>
      <w:r w:rsidRPr="00A7058C">
        <w:rPr>
          <w:rStyle w:val="s1"/>
          <w:rFonts w:ascii="Arial" w:hAnsi="Arial" w:cs="Arial"/>
          <w:i/>
          <w:lang w:val="en-GB"/>
        </w:rPr>
        <w:t>et al.</w:t>
      </w:r>
      <w:r>
        <w:rPr>
          <w:rStyle w:val="s1"/>
          <w:rFonts w:ascii="Arial" w:hAnsi="Arial" w:cs="Arial"/>
          <w:lang w:val="en-GB"/>
        </w:rPr>
        <w:t>, 2018).</w:t>
      </w:r>
    </w:p>
    <w:p w14:paraId="72C6C448" w14:textId="3473A7F0" w:rsidR="000E06F4" w:rsidRDefault="00C51A2D" w:rsidP="00F22892">
      <w:pPr>
        <w:pStyle w:val="p1"/>
        <w:spacing w:line="360" w:lineRule="auto"/>
        <w:rPr>
          <w:rFonts w:ascii="Arial" w:hAnsi="Arial" w:cs="Arial"/>
          <w:lang w:val="en-GB"/>
        </w:rPr>
      </w:pPr>
      <w:r>
        <w:rPr>
          <w:rStyle w:val="s1"/>
          <w:rFonts w:ascii="Arial" w:hAnsi="Arial" w:cs="Arial"/>
          <w:lang w:val="en-GB"/>
        </w:rPr>
        <w:t xml:space="preserve">FF-specific evidence suggests intake may be suboptimal for expenditure, diet quality, and recovery, with on-duty patterns often reflecting Westernised diets lower in fibre and marine O3 sources (Della Torre </w:t>
      </w:r>
      <w:r w:rsidRPr="00A7058C">
        <w:rPr>
          <w:rStyle w:val="s1"/>
          <w:rFonts w:ascii="Arial" w:hAnsi="Arial" w:cs="Arial"/>
          <w:i/>
          <w:lang w:val="en-GB"/>
        </w:rPr>
        <w:t>et al.</w:t>
      </w:r>
      <w:r>
        <w:rPr>
          <w:rStyle w:val="s1"/>
          <w:rFonts w:ascii="Arial" w:hAnsi="Arial" w:cs="Arial"/>
          <w:lang w:val="en-GB"/>
        </w:rPr>
        <w:t xml:space="preserve">, 2019; Johnson and Mayer, 2020; Joe </w:t>
      </w:r>
      <w:r w:rsidRPr="00A7058C">
        <w:rPr>
          <w:rStyle w:val="s1"/>
          <w:rFonts w:ascii="Arial" w:hAnsi="Arial" w:cs="Arial"/>
          <w:i/>
          <w:lang w:val="en-GB"/>
        </w:rPr>
        <w:t>et al.</w:t>
      </w:r>
      <w:r>
        <w:rPr>
          <w:rStyle w:val="s1"/>
          <w:rFonts w:ascii="Arial" w:hAnsi="Arial" w:cs="Arial"/>
          <w:lang w:val="en-GB"/>
        </w:rPr>
        <w:t xml:space="preserve">, 2022; Sidossis </w:t>
      </w:r>
      <w:r w:rsidRPr="00A7058C">
        <w:rPr>
          <w:rStyle w:val="s1"/>
          <w:rFonts w:ascii="Arial" w:hAnsi="Arial" w:cs="Arial"/>
          <w:i/>
          <w:lang w:val="en-GB"/>
        </w:rPr>
        <w:t>et al.</w:t>
      </w:r>
      <w:r>
        <w:rPr>
          <w:rStyle w:val="s1"/>
          <w:rFonts w:ascii="Arial" w:hAnsi="Arial" w:cs="Arial"/>
          <w:lang w:val="en-GB"/>
        </w:rPr>
        <w:t xml:space="preserve">, 2023). Shift work may further disrupt appetite regulation and promote irregular eating and snacking, increasing inflammatory and oxidative load (Scheer </w:t>
      </w:r>
      <w:r w:rsidRPr="00A7058C">
        <w:rPr>
          <w:rStyle w:val="s1"/>
          <w:rFonts w:ascii="Arial" w:hAnsi="Arial" w:cs="Arial"/>
          <w:i/>
          <w:lang w:val="en-GB"/>
        </w:rPr>
        <w:t>et al.</w:t>
      </w:r>
      <w:r>
        <w:rPr>
          <w:rStyle w:val="s1"/>
          <w:rFonts w:ascii="Arial" w:hAnsi="Arial" w:cs="Arial"/>
          <w:lang w:val="en-GB"/>
        </w:rPr>
        <w:t xml:space="preserve">, 2013; Gupta </w:t>
      </w:r>
      <w:r w:rsidRPr="00A7058C">
        <w:rPr>
          <w:rStyle w:val="s1"/>
          <w:rFonts w:ascii="Arial" w:hAnsi="Arial" w:cs="Arial"/>
          <w:i/>
          <w:lang w:val="en-GB"/>
        </w:rPr>
        <w:t>et al.</w:t>
      </w:r>
      <w:r>
        <w:rPr>
          <w:rStyle w:val="s1"/>
          <w:rFonts w:ascii="Arial" w:hAnsi="Arial" w:cs="Arial"/>
          <w:lang w:val="en-GB"/>
        </w:rPr>
        <w:t xml:space="preserve">, 2020; Navruz-Varlı </w:t>
      </w:r>
      <w:r w:rsidRPr="00A7058C">
        <w:rPr>
          <w:rStyle w:val="s1"/>
          <w:rFonts w:ascii="Arial" w:hAnsi="Arial" w:cs="Arial"/>
          <w:i/>
          <w:lang w:val="en-GB"/>
        </w:rPr>
        <w:t>et al.</w:t>
      </w:r>
      <w:r>
        <w:rPr>
          <w:rStyle w:val="s1"/>
          <w:rFonts w:ascii="Arial" w:hAnsi="Arial" w:cs="Arial"/>
          <w:lang w:val="en-GB"/>
        </w:rPr>
        <w:t xml:space="preserve">, 2024). Yang </w:t>
      </w:r>
      <w:r w:rsidRPr="00A7058C">
        <w:rPr>
          <w:rStyle w:val="s1"/>
          <w:rFonts w:ascii="Arial" w:hAnsi="Arial" w:cs="Arial"/>
          <w:i/>
          <w:lang w:val="en-GB"/>
        </w:rPr>
        <w:t>et al.</w:t>
      </w:r>
      <w:r>
        <w:rPr>
          <w:rStyle w:val="s1"/>
          <w:rFonts w:ascii="Arial" w:hAnsi="Arial" w:cs="Arial"/>
          <w:lang w:val="en-GB"/>
        </w:rPr>
        <w:t xml:space="preserve"> (2015), assessing 3172 FFs, reported 71% followed no specific diet, 68% received insufficient nutrition guidance, and 75% were interested in nutrition education.</w:t>
      </w:r>
    </w:p>
    <w:p w14:paraId="0A10F6A2" w14:textId="77777777" w:rsidR="00C51A2D" w:rsidRDefault="00C51A2D" w:rsidP="00F22892">
      <w:pPr>
        <w:pStyle w:val="p1"/>
        <w:spacing w:line="360" w:lineRule="auto"/>
        <w:rPr>
          <w:rFonts w:ascii="Arial" w:hAnsi="Arial" w:cs="Arial"/>
          <w:lang w:val="en-GB"/>
        </w:rPr>
      </w:pPr>
      <w:r>
        <w:rPr>
          <w:rStyle w:val="s1"/>
          <w:rFonts w:ascii="Arial" w:hAnsi="Arial" w:cs="Arial"/>
          <w:lang w:val="en-GB"/>
        </w:rPr>
        <w:t xml:space="preserve">High O6:O3 ratios favour pro-inflammatory eicosanoid synthesis, whereas higher EPA+DHA availability supports specialised pro-resolving mediators promoting immune homeostasis and recovery (Simopoulos, 2002; 2004; Calder, 2008; 2017; Tomczyk </w:t>
      </w:r>
      <w:r w:rsidRPr="00A7058C">
        <w:rPr>
          <w:rStyle w:val="s1"/>
          <w:rFonts w:ascii="Arial" w:hAnsi="Arial" w:cs="Arial"/>
          <w:i/>
          <w:lang w:val="en-GB"/>
        </w:rPr>
        <w:t>et al.</w:t>
      </w:r>
      <w:r>
        <w:rPr>
          <w:rStyle w:val="s1"/>
          <w:rFonts w:ascii="Arial" w:hAnsi="Arial" w:cs="Arial"/>
          <w:lang w:val="en-GB"/>
        </w:rPr>
        <w:t xml:space="preserve">, 2023; Jäger </w:t>
      </w:r>
      <w:r w:rsidRPr="00A7058C">
        <w:rPr>
          <w:rStyle w:val="s1"/>
          <w:rFonts w:ascii="Arial" w:hAnsi="Arial" w:cs="Arial"/>
          <w:i/>
          <w:lang w:val="en-GB"/>
        </w:rPr>
        <w:t>et al.</w:t>
      </w:r>
      <w:r>
        <w:rPr>
          <w:rStyle w:val="s1"/>
          <w:rFonts w:ascii="Arial" w:hAnsi="Arial" w:cs="Arial"/>
          <w:lang w:val="en-GB"/>
        </w:rPr>
        <w:t>, 2025). WDPs have been reported to provide O6:O3 ratios of 15-20:1 versus historical ratios closer to 1:1, while Simopoulos (2002; 2010) reported a 4:1 ratio was associated with 70% decreased mortality in relation to CV performance.</w:t>
      </w:r>
    </w:p>
    <w:p w14:paraId="0F9C4DEB" w14:textId="46F8BEA5" w:rsidR="000E06F4" w:rsidRDefault="00C51A2D" w:rsidP="00F22892">
      <w:pPr>
        <w:pStyle w:val="p1"/>
        <w:spacing w:line="360" w:lineRule="auto"/>
        <w:rPr>
          <w:rFonts w:ascii="Arial" w:hAnsi="Arial" w:cs="Arial"/>
          <w:lang w:val="en-GB"/>
        </w:rPr>
      </w:pPr>
      <w:r>
        <w:rPr>
          <w:rStyle w:val="s1"/>
          <w:rFonts w:ascii="Arial" w:hAnsi="Arial" w:cs="Arial"/>
          <w:lang w:val="en-GB"/>
        </w:rPr>
        <w:t xml:space="preserve">While isolated micronutrient supplementation may provide limited benefit in well-nourished cohorts (Santos </w:t>
      </w:r>
      <w:r w:rsidRPr="00A7058C">
        <w:rPr>
          <w:rStyle w:val="s1"/>
          <w:rFonts w:ascii="Arial" w:hAnsi="Arial" w:cs="Arial"/>
          <w:i/>
          <w:lang w:val="en-GB"/>
        </w:rPr>
        <w:t>et al.</w:t>
      </w:r>
      <w:r>
        <w:rPr>
          <w:rStyle w:val="s1"/>
          <w:rFonts w:ascii="Arial" w:hAnsi="Arial" w:cs="Arial"/>
          <w:lang w:val="en-GB"/>
        </w:rPr>
        <w:t xml:space="preserve">, 2022), workplace dietary interventions appear feasible. A 12-month RCT improved MD adherence in FFs through education and discounted MD foods, although cardiometabolic changes were non-significant (Hershey </w:t>
      </w:r>
      <w:r w:rsidRPr="00A7058C">
        <w:rPr>
          <w:rStyle w:val="s1"/>
          <w:rFonts w:ascii="Arial" w:hAnsi="Arial" w:cs="Arial"/>
          <w:i/>
          <w:lang w:val="en-GB"/>
        </w:rPr>
        <w:t>et al.</w:t>
      </w:r>
      <w:r>
        <w:rPr>
          <w:rStyle w:val="s1"/>
          <w:rFonts w:ascii="Arial" w:hAnsi="Arial" w:cs="Arial"/>
          <w:lang w:val="en-GB"/>
        </w:rPr>
        <w:t xml:space="preserve">, 2023). </w:t>
      </w:r>
      <w:r>
        <w:rPr>
          <w:rStyle w:val="s1"/>
          <w:rFonts w:ascii="Arial" w:hAnsi="Arial" w:cs="Arial"/>
          <w:lang w:val="en-GB"/>
        </w:rPr>
        <w:lastRenderedPageBreak/>
        <w:t xml:space="preserve">Similar programmes support moderate improvements in adherence and biomarkers with sustained behavioural support (Sotos-Prieto </w:t>
      </w:r>
      <w:r w:rsidRPr="00A7058C">
        <w:rPr>
          <w:rStyle w:val="s1"/>
          <w:rFonts w:ascii="Arial" w:hAnsi="Arial" w:cs="Arial"/>
          <w:i/>
          <w:lang w:val="en-GB"/>
        </w:rPr>
        <w:t>et al.</w:t>
      </w:r>
      <w:r>
        <w:rPr>
          <w:rStyle w:val="s1"/>
          <w:rFonts w:ascii="Arial" w:hAnsi="Arial" w:cs="Arial"/>
          <w:lang w:val="en-GB"/>
        </w:rPr>
        <w:t xml:space="preserve">, 2020; Elliot </w:t>
      </w:r>
      <w:r w:rsidRPr="00A7058C">
        <w:rPr>
          <w:rStyle w:val="s1"/>
          <w:rFonts w:ascii="Arial" w:hAnsi="Arial" w:cs="Arial"/>
          <w:i/>
          <w:lang w:val="en-GB"/>
        </w:rPr>
        <w:t>et al.</w:t>
      </w:r>
      <w:r>
        <w:rPr>
          <w:rStyle w:val="s1"/>
          <w:rFonts w:ascii="Arial" w:hAnsi="Arial" w:cs="Arial"/>
          <w:lang w:val="en-GB"/>
        </w:rPr>
        <w:t xml:space="preserve">, 2007; </w:t>
      </w:r>
      <w:proofErr w:type="spellStart"/>
      <w:r>
        <w:rPr>
          <w:rStyle w:val="s1"/>
          <w:rFonts w:ascii="Arial" w:hAnsi="Arial" w:cs="Arial"/>
          <w:lang w:val="en-GB"/>
        </w:rPr>
        <w:t>Ranby</w:t>
      </w:r>
      <w:proofErr w:type="spellEnd"/>
      <w:r>
        <w:rPr>
          <w:rStyle w:val="s1"/>
          <w:rFonts w:ascii="Arial" w:hAnsi="Arial" w:cs="Arial"/>
          <w:lang w:val="en-GB"/>
        </w:rPr>
        <w:t xml:space="preserve"> </w:t>
      </w:r>
      <w:r w:rsidRPr="00A7058C">
        <w:rPr>
          <w:rStyle w:val="s1"/>
          <w:rFonts w:ascii="Arial" w:hAnsi="Arial" w:cs="Arial"/>
          <w:i/>
          <w:lang w:val="en-GB"/>
        </w:rPr>
        <w:t>et al.</w:t>
      </w:r>
      <w:r>
        <w:rPr>
          <w:rStyle w:val="s1"/>
          <w:rFonts w:ascii="Arial" w:hAnsi="Arial" w:cs="Arial"/>
          <w:lang w:val="en-GB"/>
        </w:rPr>
        <w:t xml:space="preserve">, 2011; Kuehl </w:t>
      </w:r>
      <w:r w:rsidRPr="00A7058C">
        <w:rPr>
          <w:rStyle w:val="s1"/>
          <w:rFonts w:ascii="Arial" w:hAnsi="Arial" w:cs="Arial"/>
          <w:i/>
          <w:lang w:val="en-GB"/>
        </w:rPr>
        <w:t>et al.</w:t>
      </w:r>
      <w:r>
        <w:rPr>
          <w:rStyle w:val="s1"/>
          <w:rFonts w:ascii="Arial" w:hAnsi="Arial" w:cs="Arial"/>
          <w:lang w:val="en-GB"/>
        </w:rPr>
        <w:t xml:space="preserve">, 2013; Griffin </w:t>
      </w:r>
      <w:r w:rsidRPr="00A7058C">
        <w:rPr>
          <w:rStyle w:val="s1"/>
          <w:rFonts w:ascii="Arial" w:hAnsi="Arial" w:cs="Arial"/>
          <w:i/>
          <w:lang w:val="en-GB"/>
        </w:rPr>
        <w:t>et al.</w:t>
      </w:r>
      <w:r>
        <w:rPr>
          <w:rStyle w:val="s1"/>
          <w:rFonts w:ascii="Arial" w:hAnsi="Arial" w:cs="Arial"/>
          <w:lang w:val="en-GB"/>
        </w:rPr>
        <w:t>, 2016; NFPA, 2018; Romero and Alvar, 2021).</w:t>
      </w:r>
    </w:p>
    <w:p w14:paraId="2F06DA7E" w14:textId="50177F5D" w:rsidR="00C51A2D" w:rsidRDefault="00C51A2D" w:rsidP="00C90CE5">
      <w:pPr>
        <w:pStyle w:val="p1"/>
        <w:spacing w:line="360" w:lineRule="auto"/>
        <w:rPr>
          <w:rFonts w:ascii="Arial" w:hAnsi="Arial" w:cs="Arial"/>
          <w:lang w:val="en-GB"/>
        </w:rPr>
      </w:pPr>
      <w:r>
        <w:rPr>
          <w:rStyle w:val="s1"/>
          <w:rFonts w:ascii="Arial" w:hAnsi="Arial" w:cs="Arial"/>
          <w:lang w:val="en-GB"/>
        </w:rPr>
        <w:t xml:space="preserve">For recurrent oxidative load, inflammation, and CV strain, nutrition is a practical intervention that may support endothelial function, reduce SI, improve recovery, and attenuate cumulative cellular damage from heat and toxin exposure. However, a research gap remains on comparative effectiveness of MD versus O3 supplementation in FFs (Joe </w:t>
      </w:r>
      <w:r w:rsidRPr="00A7058C">
        <w:rPr>
          <w:rStyle w:val="s1"/>
          <w:rFonts w:ascii="Arial" w:hAnsi="Arial" w:cs="Arial"/>
          <w:i/>
          <w:lang w:val="en-GB"/>
        </w:rPr>
        <w:t>et al.</w:t>
      </w:r>
      <w:r>
        <w:rPr>
          <w:rStyle w:val="s1"/>
          <w:rFonts w:ascii="Arial" w:hAnsi="Arial" w:cs="Arial"/>
          <w:lang w:val="en-GB"/>
        </w:rPr>
        <w:t xml:space="preserve">, 2022; Gonzalez </w:t>
      </w:r>
      <w:r w:rsidRPr="00A7058C">
        <w:rPr>
          <w:rStyle w:val="s1"/>
          <w:rFonts w:ascii="Arial" w:hAnsi="Arial" w:cs="Arial"/>
          <w:i/>
          <w:lang w:val="en-GB"/>
        </w:rPr>
        <w:t>et al.</w:t>
      </w:r>
      <w:r>
        <w:rPr>
          <w:rStyle w:val="s1"/>
          <w:rFonts w:ascii="Arial" w:hAnsi="Arial" w:cs="Arial"/>
          <w:lang w:val="en-GB"/>
        </w:rPr>
        <w:t xml:space="preserve">, 2022). Meta-analysis suggests O3 may be as, or more, effective for BP reduction than increased exercise and reduced salt and alcohol intake, although much comparative evidence is indirect and from non-FF cohorts (Miller </w:t>
      </w:r>
      <w:r w:rsidRPr="00A7058C">
        <w:rPr>
          <w:rStyle w:val="s1"/>
          <w:rFonts w:ascii="Arial" w:hAnsi="Arial" w:cs="Arial"/>
          <w:i/>
          <w:lang w:val="en-GB"/>
        </w:rPr>
        <w:t>et al.</w:t>
      </w:r>
      <w:r>
        <w:rPr>
          <w:rStyle w:val="s1"/>
          <w:rFonts w:ascii="Arial" w:hAnsi="Arial" w:cs="Arial"/>
          <w:lang w:val="en-GB"/>
        </w:rPr>
        <w:t xml:space="preserve">, 2014; Dickinson </w:t>
      </w:r>
      <w:r w:rsidRPr="00A7058C">
        <w:rPr>
          <w:rStyle w:val="s1"/>
          <w:rFonts w:ascii="Arial" w:hAnsi="Arial" w:cs="Arial"/>
          <w:i/>
          <w:lang w:val="en-GB"/>
        </w:rPr>
        <w:t>et al.</w:t>
      </w:r>
      <w:r>
        <w:rPr>
          <w:rStyle w:val="s1"/>
          <w:rFonts w:ascii="Arial" w:hAnsi="Arial" w:cs="Arial"/>
          <w:lang w:val="en-GB"/>
        </w:rPr>
        <w:t>, 2006).</w:t>
      </w:r>
    </w:p>
    <w:p w14:paraId="34F8DB08" w14:textId="77777777" w:rsidR="00C51A2D" w:rsidRDefault="00C51A2D" w:rsidP="00F22892">
      <w:pPr>
        <w:pStyle w:val="p1"/>
        <w:spacing w:line="360" w:lineRule="auto"/>
        <w:rPr>
          <w:rStyle w:val="s1"/>
          <w:rFonts w:ascii="Arial" w:hAnsi="Arial" w:cs="Arial"/>
          <w:lang w:val="en-GB"/>
        </w:rPr>
      </w:pPr>
      <w:r>
        <w:rPr>
          <w:rStyle w:val="s1"/>
          <w:rFonts w:ascii="Arial" w:hAnsi="Arial" w:cs="Arial"/>
          <w:lang w:val="en-GB"/>
        </w:rPr>
        <w:t xml:space="preserve">In TAs, a food-first approach, such as 2-3 weekly servings of oily fish, may be insufficient to meet EPA+DHA requirements for optimal benefit, despite evidence that adequate O3 can enhance performance and health, supporting supplementation (Heilson </w:t>
      </w:r>
      <w:r w:rsidRPr="00A7058C">
        <w:rPr>
          <w:rStyle w:val="s1"/>
          <w:rFonts w:ascii="Arial" w:hAnsi="Arial" w:cs="Arial"/>
          <w:i/>
          <w:lang w:val="en-GB"/>
        </w:rPr>
        <w:t>et al.</w:t>
      </w:r>
      <w:r>
        <w:rPr>
          <w:rStyle w:val="s1"/>
          <w:rFonts w:ascii="Arial" w:hAnsi="Arial" w:cs="Arial"/>
          <w:lang w:val="en-GB"/>
        </w:rPr>
        <w:t xml:space="preserve">, 2025; Kris-Etherton </w:t>
      </w:r>
      <w:r w:rsidRPr="00A7058C">
        <w:rPr>
          <w:rStyle w:val="s1"/>
          <w:rFonts w:ascii="Arial" w:hAnsi="Arial" w:cs="Arial"/>
          <w:i/>
          <w:lang w:val="en-GB"/>
        </w:rPr>
        <w:t>et al.</w:t>
      </w:r>
      <w:r>
        <w:rPr>
          <w:rStyle w:val="s1"/>
          <w:rFonts w:ascii="Arial" w:hAnsi="Arial" w:cs="Arial"/>
          <w:lang w:val="en-GB"/>
        </w:rPr>
        <w:t xml:space="preserve">, 2002). Consistently, low fish intake was observed in work examining dietary and supplemental O3 influences on O3-index, with 40% adherence and inferior effects versus O3 supplements for raising O3-index (Dempsey </w:t>
      </w:r>
      <w:r w:rsidRPr="00A7058C">
        <w:rPr>
          <w:rStyle w:val="s1"/>
          <w:rFonts w:ascii="Arial" w:hAnsi="Arial" w:cs="Arial"/>
          <w:i/>
          <w:lang w:val="en-GB"/>
        </w:rPr>
        <w:t>et al.</w:t>
      </w:r>
      <w:r>
        <w:rPr>
          <w:rStyle w:val="s1"/>
          <w:rFonts w:ascii="Arial" w:hAnsi="Arial" w:cs="Arial"/>
          <w:lang w:val="en-GB"/>
        </w:rPr>
        <w:t xml:space="preserve">, 2023; Handeland </w:t>
      </w:r>
      <w:r w:rsidRPr="00A7058C">
        <w:rPr>
          <w:rStyle w:val="s1"/>
          <w:rFonts w:ascii="Arial" w:hAnsi="Arial" w:cs="Arial"/>
          <w:i/>
          <w:lang w:val="en-GB"/>
        </w:rPr>
        <w:t>et al.</w:t>
      </w:r>
      <w:r>
        <w:rPr>
          <w:rStyle w:val="s1"/>
          <w:rFonts w:ascii="Arial" w:hAnsi="Arial" w:cs="Arial"/>
          <w:lang w:val="en-GB"/>
        </w:rPr>
        <w:t xml:space="preserve">, 2018). Collectively, this supports integrating MD-style nutrition and O3-rich supplementation within FF health programmes to support operational performance, CV health, and career longevity (Esposito </w:t>
      </w:r>
      <w:r w:rsidRPr="00A7058C">
        <w:rPr>
          <w:rStyle w:val="s1"/>
          <w:rFonts w:ascii="Arial" w:hAnsi="Arial" w:cs="Arial"/>
          <w:i/>
          <w:lang w:val="en-GB"/>
        </w:rPr>
        <w:t>et al.</w:t>
      </w:r>
      <w:r>
        <w:rPr>
          <w:rStyle w:val="s1"/>
          <w:rFonts w:ascii="Arial" w:hAnsi="Arial" w:cs="Arial"/>
          <w:lang w:val="en-GB"/>
        </w:rPr>
        <w:t xml:space="preserve">, 2004; Schwingshackl and Hoffmann, 2014; Dempsey </w:t>
      </w:r>
      <w:r w:rsidRPr="00A7058C">
        <w:rPr>
          <w:rStyle w:val="s1"/>
          <w:rFonts w:ascii="Arial" w:hAnsi="Arial" w:cs="Arial"/>
          <w:i/>
          <w:lang w:val="en-GB"/>
        </w:rPr>
        <w:t>et al.</w:t>
      </w:r>
      <w:r>
        <w:rPr>
          <w:rStyle w:val="s1"/>
          <w:rFonts w:ascii="Arial" w:hAnsi="Arial" w:cs="Arial"/>
          <w:lang w:val="en-GB"/>
        </w:rPr>
        <w:t xml:space="preserve">, 2023; Handeland </w:t>
      </w:r>
      <w:r w:rsidRPr="00A7058C">
        <w:rPr>
          <w:rStyle w:val="s1"/>
          <w:rFonts w:ascii="Arial" w:hAnsi="Arial" w:cs="Arial"/>
          <w:i/>
          <w:lang w:val="en-GB"/>
        </w:rPr>
        <w:t>et al.</w:t>
      </w:r>
      <w:r>
        <w:rPr>
          <w:rStyle w:val="s1"/>
          <w:rFonts w:ascii="Arial" w:hAnsi="Arial" w:cs="Arial"/>
          <w:lang w:val="en-GB"/>
        </w:rPr>
        <w:t xml:space="preserve">, 2018; Heilson </w:t>
      </w:r>
      <w:r w:rsidRPr="00A7058C">
        <w:rPr>
          <w:rStyle w:val="s1"/>
          <w:rFonts w:ascii="Arial" w:hAnsi="Arial" w:cs="Arial"/>
          <w:i/>
          <w:lang w:val="en-GB"/>
        </w:rPr>
        <w:t>et al.</w:t>
      </w:r>
      <w:r>
        <w:rPr>
          <w:rStyle w:val="s1"/>
          <w:rFonts w:ascii="Arial" w:hAnsi="Arial" w:cs="Arial"/>
          <w:lang w:val="en-GB"/>
        </w:rPr>
        <w:t>, 2025).</w:t>
      </w:r>
    </w:p>
    <w:p w14:paraId="33D41722" w14:textId="77777777" w:rsidR="000E06F4" w:rsidRDefault="000E06F4" w:rsidP="00F22892">
      <w:pPr>
        <w:pStyle w:val="p1"/>
        <w:spacing w:line="360" w:lineRule="auto"/>
        <w:rPr>
          <w:rFonts w:ascii="Arial" w:hAnsi="Arial" w:cs="Arial"/>
          <w:lang w:val="en-GB"/>
        </w:rPr>
      </w:pPr>
    </w:p>
    <w:p w14:paraId="49F791C8" w14:textId="6E8F735A" w:rsidR="00C51A2D" w:rsidRPr="00D24DD3" w:rsidRDefault="000C672E" w:rsidP="00F22892">
      <w:pPr>
        <w:pStyle w:val="Heading2"/>
        <w:spacing w:line="360" w:lineRule="auto"/>
        <w:rPr>
          <w:rStyle w:val="s1"/>
          <w:rFonts w:ascii="Arial" w:hAnsi="Arial" w:cs="Arial"/>
          <w:bCs/>
          <w:lang w:val="en-GB"/>
        </w:rPr>
      </w:pPr>
      <w:bookmarkStart w:id="38" w:name="_Toc228218280"/>
      <w:bookmarkStart w:id="39" w:name="OLE_LINK28"/>
      <w:r>
        <w:rPr>
          <w:rStyle w:val="s1"/>
          <w:rFonts w:ascii="Arial" w:hAnsi="Arial" w:cs="Arial"/>
          <w:bCs/>
          <w:lang w:val="en-GB"/>
        </w:rPr>
        <w:t>2</w:t>
      </w:r>
      <w:r w:rsidR="00C51A2D" w:rsidRPr="00D24DD3">
        <w:rPr>
          <w:rStyle w:val="s1"/>
          <w:rFonts w:ascii="Arial" w:hAnsi="Arial" w:cs="Arial"/>
          <w:bCs/>
          <w:lang w:val="en-GB"/>
        </w:rPr>
        <w:t>.10 Omega-3 fatty acids: mechanisms and relevance to firefighters</w:t>
      </w:r>
      <w:bookmarkEnd w:id="38"/>
    </w:p>
    <w:p w14:paraId="069C49CB" w14:textId="77777777" w:rsidR="000E06F4" w:rsidRDefault="000E06F4" w:rsidP="00F22892">
      <w:pPr>
        <w:pStyle w:val="p1"/>
        <w:spacing w:line="360" w:lineRule="auto"/>
        <w:rPr>
          <w:rFonts w:ascii="Arial" w:hAnsi="Arial" w:cs="Arial"/>
          <w:b/>
          <w:lang w:val="en-GB"/>
        </w:rPr>
      </w:pPr>
    </w:p>
    <w:bookmarkEnd w:id="39"/>
    <w:p w14:paraId="75D348CD" w14:textId="64F81110" w:rsidR="000E06F4" w:rsidRDefault="00C51A2D" w:rsidP="00F22892">
      <w:pPr>
        <w:pStyle w:val="p1"/>
        <w:spacing w:line="360" w:lineRule="auto"/>
        <w:rPr>
          <w:rFonts w:ascii="Arial" w:hAnsi="Arial" w:cs="Arial"/>
          <w:lang w:val="en-GB"/>
        </w:rPr>
      </w:pPr>
      <w:r>
        <w:rPr>
          <w:rStyle w:val="s1"/>
          <w:rFonts w:ascii="Arial" w:hAnsi="Arial" w:cs="Arial"/>
          <w:lang w:val="en-GB"/>
        </w:rPr>
        <w:lastRenderedPageBreak/>
        <w:t xml:space="preserve">O3 PUFAs, particularly EPA and DHA from oily fish or supplementation, influence inflammatory, oxidative, vascular, and autonomic pathways through complementary mechanisms (Calder, 2010; 2017; 2020; Tomczyk </w:t>
      </w:r>
      <w:r w:rsidRPr="00A7058C">
        <w:rPr>
          <w:rStyle w:val="s1"/>
          <w:rFonts w:ascii="Arial" w:hAnsi="Arial" w:cs="Arial"/>
          <w:i/>
          <w:lang w:val="en-GB"/>
        </w:rPr>
        <w:t>et al.</w:t>
      </w:r>
      <w:r>
        <w:rPr>
          <w:rStyle w:val="s1"/>
          <w:rFonts w:ascii="Arial" w:hAnsi="Arial" w:cs="Arial"/>
          <w:lang w:val="en-GB"/>
        </w:rPr>
        <w:t xml:space="preserve">, 2023; Jäger </w:t>
      </w:r>
      <w:r w:rsidRPr="00A7058C">
        <w:rPr>
          <w:rStyle w:val="s1"/>
          <w:rFonts w:ascii="Arial" w:hAnsi="Arial" w:cs="Arial"/>
          <w:i/>
          <w:lang w:val="en-GB"/>
        </w:rPr>
        <w:t>et al.</w:t>
      </w:r>
      <w:r>
        <w:rPr>
          <w:rStyle w:val="s1"/>
          <w:rFonts w:ascii="Arial" w:hAnsi="Arial" w:cs="Arial"/>
          <w:lang w:val="en-GB"/>
        </w:rPr>
        <w:t xml:space="preserve">, 2025; Leaf </w:t>
      </w:r>
      <w:r w:rsidRPr="00A7058C">
        <w:rPr>
          <w:rStyle w:val="s1"/>
          <w:rFonts w:ascii="Arial" w:hAnsi="Arial" w:cs="Arial"/>
          <w:i/>
          <w:lang w:val="en-GB"/>
        </w:rPr>
        <w:t>et al.</w:t>
      </w:r>
      <w:r>
        <w:rPr>
          <w:rStyle w:val="s1"/>
          <w:rFonts w:ascii="Arial" w:hAnsi="Arial" w:cs="Arial"/>
          <w:lang w:val="en-GB"/>
        </w:rPr>
        <w:t xml:space="preserve">, 2024). Unlike O6-derived arachidonic acid pathways, which can favour pro-inflammatory signalling in WDPs, EPA and DHA are described as anti-inflammatory, anti-arrhythmic, and anti-thrombotic, supporting relevance to CV strain in FFs (Simopoulos, 2002; 2010; Leaf </w:t>
      </w:r>
      <w:r w:rsidRPr="00A7058C">
        <w:rPr>
          <w:rStyle w:val="s1"/>
          <w:rFonts w:ascii="Arial" w:hAnsi="Arial" w:cs="Arial"/>
          <w:i/>
          <w:lang w:val="en-GB"/>
        </w:rPr>
        <w:t>et al.</w:t>
      </w:r>
      <w:r>
        <w:rPr>
          <w:rStyle w:val="s1"/>
          <w:rFonts w:ascii="Arial" w:hAnsi="Arial" w:cs="Arial"/>
          <w:lang w:val="en-GB"/>
        </w:rPr>
        <w:t xml:space="preserve">, 2024). At membrane level, EPA and DHA are incorporated into phospholipids and partly replace AA, reducing substrate for AA-derived pro-inflammatory eicosanoid synthesis (Simopoulos, 2002; Calder, 2017; 2020; Tomczyk </w:t>
      </w:r>
      <w:r w:rsidRPr="00A7058C">
        <w:rPr>
          <w:rStyle w:val="s1"/>
          <w:rFonts w:ascii="Arial" w:hAnsi="Arial" w:cs="Arial"/>
          <w:i/>
          <w:lang w:val="en-GB"/>
        </w:rPr>
        <w:t>et al.</w:t>
      </w:r>
      <w:r>
        <w:rPr>
          <w:rStyle w:val="s1"/>
          <w:rFonts w:ascii="Arial" w:hAnsi="Arial" w:cs="Arial"/>
          <w:lang w:val="en-GB"/>
        </w:rPr>
        <w:t xml:space="preserve">, 2023). O3 also </w:t>
      </w:r>
      <w:r w:rsidR="003373CC">
        <w:rPr>
          <w:rStyle w:val="s1"/>
          <w:rFonts w:ascii="Arial" w:hAnsi="Arial" w:cs="Arial"/>
          <w:lang w:val="en-GB"/>
        </w:rPr>
        <w:t>down-regulates</w:t>
      </w:r>
      <w:r>
        <w:rPr>
          <w:rStyle w:val="s1"/>
          <w:rFonts w:ascii="Arial" w:hAnsi="Arial" w:cs="Arial"/>
          <w:lang w:val="en-GB"/>
        </w:rPr>
        <w:t xml:space="preserve"> NF-κB signalling, reducing TNF-α, IL-1β, and IL-6 transcription, while supporting specialised pro-resolving mediators such as resolvins, protectins, and maresins that terminate inflammation and support tissue repair (Serhan and Savill, 2005; Calder, 2010; 2017; 2020; Gutiérrez </w:t>
      </w:r>
      <w:r w:rsidRPr="00A7058C">
        <w:rPr>
          <w:rStyle w:val="s1"/>
          <w:rFonts w:ascii="Arial" w:hAnsi="Arial" w:cs="Arial"/>
          <w:i/>
          <w:lang w:val="en-GB"/>
        </w:rPr>
        <w:t>et al.</w:t>
      </w:r>
      <w:r>
        <w:rPr>
          <w:rStyle w:val="s1"/>
          <w:rFonts w:ascii="Arial" w:hAnsi="Arial" w:cs="Arial"/>
          <w:lang w:val="en-GB"/>
        </w:rPr>
        <w:t xml:space="preserve">, 2019; Tsuchiya </w:t>
      </w:r>
      <w:r w:rsidRPr="00A7058C">
        <w:rPr>
          <w:rStyle w:val="s1"/>
          <w:rFonts w:ascii="Arial" w:hAnsi="Arial" w:cs="Arial"/>
          <w:i/>
          <w:lang w:val="en-GB"/>
        </w:rPr>
        <w:t>et al.</w:t>
      </w:r>
      <w:r>
        <w:rPr>
          <w:rStyle w:val="s1"/>
          <w:rFonts w:ascii="Arial" w:hAnsi="Arial" w:cs="Arial"/>
          <w:lang w:val="en-GB"/>
        </w:rPr>
        <w:t xml:space="preserve">, 2021; Tomczyk </w:t>
      </w:r>
      <w:r w:rsidRPr="00A7058C">
        <w:rPr>
          <w:rStyle w:val="s1"/>
          <w:rFonts w:ascii="Arial" w:hAnsi="Arial" w:cs="Arial"/>
          <w:i/>
          <w:lang w:val="en-GB"/>
        </w:rPr>
        <w:t>et al.</w:t>
      </w:r>
      <w:r>
        <w:rPr>
          <w:rStyle w:val="s1"/>
          <w:rFonts w:ascii="Arial" w:hAnsi="Arial" w:cs="Arial"/>
          <w:lang w:val="en-GB"/>
        </w:rPr>
        <w:t xml:space="preserve">, 2023; Jäger </w:t>
      </w:r>
      <w:r w:rsidRPr="00A7058C">
        <w:rPr>
          <w:rStyle w:val="s1"/>
          <w:rFonts w:ascii="Arial" w:hAnsi="Arial" w:cs="Arial"/>
          <w:i/>
          <w:lang w:val="en-GB"/>
        </w:rPr>
        <w:t>et al.</w:t>
      </w:r>
      <w:r>
        <w:rPr>
          <w:rStyle w:val="s1"/>
          <w:rFonts w:ascii="Arial" w:hAnsi="Arial" w:cs="Arial"/>
          <w:lang w:val="en-GB"/>
        </w:rPr>
        <w:t xml:space="preserve">, 2025; Leaf </w:t>
      </w:r>
      <w:r w:rsidRPr="00A7058C">
        <w:rPr>
          <w:rStyle w:val="s1"/>
          <w:rFonts w:ascii="Arial" w:hAnsi="Arial" w:cs="Arial"/>
          <w:i/>
          <w:lang w:val="en-GB"/>
        </w:rPr>
        <w:t>et al.</w:t>
      </w:r>
      <w:r>
        <w:rPr>
          <w:rStyle w:val="s1"/>
          <w:rFonts w:ascii="Arial" w:hAnsi="Arial" w:cs="Arial"/>
          <w:lang w:val="en-GB"/>
        </w:rPr>
        <w:t xml:space="preserve">, 2024; Cannatro </w:t>
      </w:r>
      <w:r w:rsidRPr="00A7058C">
        <w:rPr>
          <w:rStyle w:val="s1"/>
          <w:rFonts w:ascii="Arial" w:hAnsi="Arial" w:cs="Arial"/>
          <w:i/>
          <w:lang w:val="en-GB"/>
        </w:rPr>
        <w:t>et al.</w:t>
      </w:r>
      <w:r>
        <w:rPr>
          <w:rStyle w:val="s1"/>
          <w:rFonts w:ascii="Arial" w:hAnsi="Arial" w:cs="Arial"/>
          <w:lang w:val="en-GB"/>
        </w:rPr>
        <w:t>, 2024).</w:t>
      </w:r>
    </w:p>
    <w:p w14:paraId="5DFFC237" w14:textId="4A623739" w:rsidR="000E06F4" w:rsidRDefault="00C51A2D" w:rsidP="00F22892">
      <w:pPr>
        <w:pStyle w:val="p1"/>
        <w:spacing w:line="360" w:lineRule="auto"/>
        <w:rPr>
          <w:rFonts w:ascii="Arial" w:hAnsi="Arial" w:cs="Arial"/>
          <w:lang w:val="en-GB"/>
        </w:rPr>
      </w:pPr>
      <w:r>
        <w:rPr>
          <w:rStyle w:val="s1"/>
          <w:rFonts w:ascii="Arial" w:hAnsi="Arial" w:cs="Arial"/>
          <w:lang w:val="en-GB"/>
        </w:rPr>
        <w:t>Biomarker responses are heterogeneous, likely reflecting baseline status, dose, EPA:DHA ratio, timing, and duration. For example, 2000 mg DHA·day</w:t>
      </w:r>
      <w:r>
        <w:rPr>
          <w:rStyle w:val="s1"/>
          <w:rFonts w:ascii="Cambria Math" w:hAnsi="Cambria Math" w:cs="Cambria Math"/>
          <w:lang w:val="en-GB"/>
        </w:rPr>
        <w:t>⁻</w:t>
      </w:r>
      <w:r>
        <w:rPr>
          <w:rStyle w:val="s1"/>
          <w:rFonts w:ascii="Arial" w:hAnsi="Arial" w:cs="Arial"/>
          <w:lang w:val="en-GB"/>
        </w:rPr>
        <w:t xml:space="preserve">¹ attenuated acute IL-6 and CK after eccentric exercise, but not all inflammatory and muscle-damage markers, giving only partial biomarker support (DiLorenzo </w:t>
      </w:r>
      <w:r w:rsidRPr="00A7058C">
        <w:rPr>
          <w:rStyle w:val="s1"/>
          <w:rFonts w:ascii="Arial" w:hAnsi="Arial" w:cs="Arial"/>
          <w:i/>
          <w:lang w:val="en-GB"/>
        </w:rPr>
        <w:t>et al.</w:t>
      </w:r>
      <w:r>
        <w:rPr>
          <w:rStyle w:val="s1"/>
          <w:rFonts w:ascii="Arial" w:hAnsi="Arial" w:cs="Arial"/>
          <w:lang w:val="en-GB"/>
        </w:rPr>
        <w:t xml:space="preserve">, 2014). Likewise, a systematic review of 61 studies in military members reported promising but inconsistent O3 effects across cardiopulmonary, recovery, and cognitive domains, with heterogeneity in dose, duration, EPA:DHA ratio, participant characteristics, and protocols limiting conclusions, particularly for TAs (Rittenhouse </w:t>
      </w:r>
      <w:r w:rsidRPr="00A7058C">
        <w:rPr>
          <w:rStyle w:val="s1"/>
          <w:rFonts w:ascii="Arial" w:hAnsi="Arial" w:cs="Arial"/>
          <w:i/>
          <w:lang w:val="en-GB"/>
        </w:rPr>
        <w:t>et al.</w:t>
      </w:r>
      <w:r>
        <w:rPr>
          <w:rStyle w:val="s1"/>
          <w:rFonts w:ascii="Arial" w:hAnsi="Arial" w:cs="Arial"/>
          <w:lang w:val="en-GB"/>
        </w:rPr>
        <w:t>, 2025). This supports combining mechanistic biomarkers with functional outcomes.</w:t>
      </w:r>
    </w:p>
    <w:p w14:paraId="71AD926F" w14:textId="5C3A91D8" w:rsidR="000E06F4" w:rsidRPr="004C2BF5" w:rsidRDefault="00C51A2D" w:rsidP="00F22892">
      <w:pPr>
        <w:pStyle w:val="p1"/>
        <w:spacing w:line="360" w:lineRule="auto"/>
        <w:rPr>
          <w:rFonts w:ascii="Arial" w:hAnsi="Arial" w:cs="Arial"/>
          <w:lang w:val="en-GB"/>
        </w:rPr>
      </w:pPr>
      <w:r>
        <w:rPr>
          <w:rStyle w:val="s1"/>
          <w:rFonts w:ascii="Arial" w:hAnsi="Arial" w:cs="Arial"/>
          <w:lang w:val="en-GB"/>
        </w:rPr>
        <w:t>Beyond immune modulation, EPA and DHA may improve vascular function</w:t>
      </w:r>
      <w:r>
        <w:rPr>
          <w:rStyle w:val="s1"/>
          <w:rFonts w:ascii="Arial" w:hAnsi="Arial" w:cs="Arial"/>
          <w:b/>
          <w:bCs/>
          <w:lang w:val="en-GB"/>
        </w:rPr>
        <w:t xml:space="preserve">, </w:t>
      </w:r>
      <w:r>
        <w:rPr>
          <w:rStyle w:val="s1"/>
          <w:rFonts w:ascii="Arial" w:hAnsi="Arial" w:cs="Arial"/>
          <w:lang w:val="en-GB"/>
        </w:rPr>
        <w:t xml:space="preserve">supporting roles in arterial compliance and CV efficiency (Das, 2010; Dangardt </w:t>
      </w:r>
      <w:r w:rsidRPr="00A7058C">
        <w:rPr>
          <w:rStyle w:val="s1"/>
          <w:rFonts w:ascii="Arial" w:hAnsi="Arial" w:cs="Arial"/>
          <w:i/>
          <w:lang w:val="en-GB"/>
        </w:rPr>
        <w:t>et al.</w:t>
      </w:r>
      <w:r>
        <w:rPr>
          <w:rStyle w:val="s1"/>
          <w:rFonts w:ascii="Arial" w:hAnsi="Arial" w:cs="Arial"/>
          <w:lang w:val="en-GB"/>
        </w:rPr>
        <w:t xml:space="preserve">, 2010; Mozaffarian </w:t>
      </w:r>
      <w:r w:rsidRPr="00A7058C">
        <w:rPr>
          <w:rStyle w:val="s1"/>
          <w:rFonts w:ascii="Arial" w:hAnsi="Arial" w:cs="Arial"/>
          <w:i/>
          <w:lang w:val="en-GB"/>
        </w:rPr>
        <w:t>et al.</w:t>
      </w:r>
      <w:r>
        <w:rPr>
          <w:rStyle w:val="s1"/>
          <w:rFonts w:ascii="Arial" w:hAnsi="Arial" w:cs="Arial"/>
          <w:lang w:val="en-GB"/>
        </w:rPr>
        <w:t xml:space="preserve">, 2005; Innes and Calder, 2020). O3 may improve endothelial function through greater NO bioavailability and lower oxidative-inflammatory stress, with improved flow-mediated dilation reported, supporting plausibility for downstream BP and HR effects (Khan </w:t>
      </w:r>
      <w:r w:rsidRPr="00A7058C">
        <w:rPr>
          <w:rStyle w:val="s1"/>
          <w:rFonts w:ascii="Arial" w:hAnsi="Arial" w:cs="Arial"/>
          <w:i/>
          <w:lang w:val="en-GB"/>
        </w:rPr>
        <w:t>et al.</w:t>
      </w:r>
      <w:r>
        <w:rPr>
          <w:rStyle w:val="s1"/>
          <w:rFonts w:ascii="Arial" w:hAnsi="Arial" w:cs="Arial"/>
          <w:lang w:val="en-GB"/>
        </w:rPr>
        <w:t xml:space="preserve">, 2003; Żebrowska </w:t>
      </w:r>
      <w:r w:rsidRPr="00A7058C">
        <w:rPr>
          <w:rStyle w:val="s1"/>
          <w:rFonts w:ascii="Arial" w:hAnsi="Arial" w:cs="Arial"/>
          <w:i/>
          <w:lang w:val="en-GB"/>
        </w:rPr>
        <w:t>et al.</w:t>
      </w:r>
      <w:r>
        <w:rPr>
          <w:rStyle w:val="s1"/>
          <w:rFonts w:ascii="Arial" w:hAnsi="Arial" w:cs="Arial"/>
          <w:lang w:val="en-GB"/>
        </w:rPr>
        <w:t xml:space="preserve">, 2015; Innes and Calder, 2020; </w:t>
      </w:r>
      <w:r>
        <w:rPr>
          <w:rStyle w:val="s1"/>
          <w:rFonts w:ascii="Arial" w:hAnsi="Arial" w:cs="Arial"/>
          <w:lang w:val="en-GB"/>
        </w:rPr>
        <w:lastRenderedPageBreak/>
        <w:t xml:space="preserve">Yamagata, 2020). Athlete and TA literature provides indirect plausibility for vascular and performance-relevant effects through NO-related pathways, though not FF-specific. In 39 male cross-country skiers, higher EPA status was associated with higher nitrite concentrations in the nitrite-nitrate pathway of NO synthesis (Rittenhouse </w:t>
      </w:r>
      <w:r w:rsidRPr="00A7058C">
        <w:rPr>
          <w:rStyle w:val="s1"/>
          <w:rFonts w:ascii="Arial" w:hAnsi="Arial" w:cs="Arial"/>
          <w:i/>
          <w:lang w:val="en-GB"/>
        </w:rPr>
        <w:t>et al.</w:t>
      </w:r>
      <w:r>
        <w:rPr>
          <w:rStyle w:val="s1"/>
          <w:rFonts w:ascii="Arial" w:hAnsi="Arial" w:cs="Arial"/>
          <w:lang w:val="en-GB"/>
        </w:rPr>
        <w:t xml:space="preserve">, 2025; Lyudinina </w:t>
      </w:r>
      <w:r w:rsidRPr="00A7058C">
        <w:rPr>
          <w:rStyle w:val="s1"/>
          <w:rFonts w:ascii="Arial" w:hAnsi="Arial" w:cs="Arial"/>
          <w:i/>
          <w:lang w:val="en-GB"/>
        </w:rPr>
        <w:t>et al.</w:t>
      </w:r>
      <w:r>
        <w:rPr>
          <w:rStyle w:val="s1"/>
          <w:rFonts w:ascii="Arial" w:hAnsi="Arial" w:cs="Arial"/>
          <w:lang w:val="en-GB"/>
        </w:rPr>
        <w:t xml:space="preserve">, 2024; Medoro </w:t>
      </w:r>
      <w:r w:rsidRPr="00A7058C">
        <w:rPr>
          <w:rStyle w:val="s1"/>
          <w:rFonts w:ascii="Arial" w:hAnsi="Arial" w:cs="Arial"/>
          <w:i/>
          <w:lang w:val="en-GB"/>
        </w:rPr>
        <w:t>et al.</w:t>
      </w:r>
      <w:r>
        <w:rPr>
          <w:rStyle w:val="s1"/>
          <w:rFonts w:ascii="Arial" w:hAnsi="Arial" w:cs="Arial"/>
          <w:lang w:val="en-GB"/>
        </w:rPr>
        <w:t>, 2024).</w:t>
      </w:r>
    </w:p>
    <w:p w14:paraId="2A931BCD" w14:textId="68CA0219" w:rsidR="000E06F4" w:rsidRDefault="00C51A2D" w:rsidP="00F22892">
      <w:pPr>
        <w:pStyle w:val="p1"/>
        <w:spacing w:line="360" w:lineRule="auto"/>
        <w:rPr>
          <w:rFonts w:ascii="Arial" w:hAnsi="Arial" w:cs="Arial"/>
          <w:lang w:val="en-GB"/>
        </w:rPr>
      </w:pPr>
      <w:r>
        <w:rPr>
          <w:rStyle w:val="s1"/>
          <w:rFonts w:ascii="Arial" w:hAnsi="Arial" w:cs="Arial"/>
          <w:lang w:val="en-GB"/>
        </w:rPr>
        <w:t xml:space="preserve">O3 may also support recovery and sleep, although evidence remains largely non-FF-specific (DiNicolantonio and O’Keefe, 2020; Howe </w:t>
      </w:r>
      <w:r w:rsidRPr="00A7058C">
        <w:rPr>
          <w:rStyle w:val="s1"/>
          <w:rFonts w:ascii="Arial" w:hAnsi="Arial" w:cs="Arial"/>
          <w:i/>
          <w:lang w:val="en-GB"/>
        </w:rPr>
        <w:t>et al.</w:t>
      </w:r>
      <w:r>
        <w:rPr>
          <w:rStyle w:val="s1"/>
          <w:rFonts w:ascii="Arial" w:hAnsi="Arial" w:cs="Arial"/>
          <w:lang w:val="en-GB"/>
        </w:rPr>
        <w:t xml:space="preserve">, 2018; Kuszewski </w:t>
      </w:r>
      <w:r w:rsidRPr="00A7058C">
        <w:rPr>
          <w:rStyle w:val="s1"/>
          <w:rFonts w:ascii="Arial" w:hAnsi="Arial" w:cs="Arial"/>
          <w:i/>
          <w:lang w:val="en-GB"/>
        </w:rPr>
        <w:t>et al.</w:t>
      </w:r>
      <w:r>
        <w:rPr>
          <w:rStyle w:val="s1"/>
          <w:rFonts w:ascii="Arial" w:hAnsi="Arial" w:cs="Arial"/>
          <w:lang w:val="en-GB"/>
        </w:rPr>
        <w:t xml:space="preserve">, 2017; Jäger </w:t>
      </w:r>
      <w:r w:rsidRPr="00A7058C">
        <w:rPr>
          <w:rStyle w:val="s1"/>
          <w:rFonts w:ascii="Arial" w:hAnsi="Arial" w:cs="Arial"/>
          <w:i/>
          <w:lang w:val="en-GB"/>
        </w:rPr>
        <w:t>et al.</w:t>
      </w:r>
      <w:r>
        <w:rPr>
          <w:rStyle w:val="s1"/>
          <w:rFonts w:ascii="Arial" w:hAnsi="Arial" w:cs="Arial"/>
          <w:lang w:val="en-GB"/>
        </w:rPr>
        <w:t xml:space="preserve">, 2025). Sleep disruption is a recognised FF stressor that impairs recovery and CV regulation, while O3 supplementation is associated with improved sleep in athletes, with reviews suggesting DHA-rich interventions show promise despite mixed findings (Jäger </w:t>
      </w:r>
      <w:r w:rsidRPr="00A7058C">
        <w:rPr>
          <w:rStyle w:val="s1"/>
          <w:rFonts w:ascii="Arial" w:hAnsi="Arial" w:cs="Arial"/>
          <w:i/>
          <w:lang w:val="en-GB"/>
        </w:rPr>
        <w:t>et al.</w:t>
      </w:r>
      <w:r>
        <w:rPr>
          <w:rStyle w:val="s1"/>
          <w:rFonts w:ascii="Arial" w:hAnsi="Arial" w:cs="Arial"/>
          <w:lang w:val="en-GB"/>
        </w:rPr>
        <w:t xml:space="preserve">, 2025; Shimizu </w:t>
      </w:r>
      <w:r w:rsidRPr="00A7058C">
        <w:rPr>
          <w:rStyle w:val="s1"/>
          <w:rFonts w:ascii="Arial" w:hAnsi="Arial" w:cs="Arial"/>
          <w:i/>
          <w:lang w:val="en-GB"/>
        </w:rPr>
        <w:t>et al.</w:t>
      </w:r>
      <w:r>
        <w:rPr>
          <w:rStyle w:val="s1"/>
          <w:rFonts w:ascii="Arial" w:hAnsi="Arial" w:cs="Arial"/>
          <w:lang w:val="en-GB"/>
        </w:rPr>
        <w:t xml:space="preserve">, 2024; Jackson, 2025). In exercise settings, EPA+DHA appear to improve exercise economy and CV function during submaximal work, although evidence derives largely from athletic cohorts (Ochi and Tsuchiya, 2019; Gammone </w:t>
      </w:r>
      <w:r w:rsidRPr="00A7058C">
        <w:rPr>
          <w:rStyle w:val="s1"/>
          <w:rFonts w:ascii="Arial" w:hAnsi="Arial" w:cs="Arial"/>
          <w:i/>
          <w:lang w:val="en-GB"/>
        </w:rPr>
        <w:t>et al.</w:t>
      </w:r>
      <w:r>
        <w:rPr>
          <w:rStyle w:val="s1"/>
          <w:rFonts w:ascii="Arial" w:hAnsi="Arial" w:cs="Arial"/>
          <w:lang w:val="en-GB"/>
        </w:rPr>
        <w:t xml:space="preserve">, 2019; Rittenhouse </w:t>
      </w:r>
      <w:r w:rsidRPr="00A7058C">
        <w:rPr>
          <w:rStyle w:val="s1"/>
          <w:rFonts w:ascii="Arial" w:hAnsi="Arial" w:cs="Arial"/>
          <w:i/>
          <w:lang w:val="en-GB"/>
        </w:rPr>
        <w:t>et al.</w:t>
      </w:r>
      <w:r>
        <w:rPr>
          <w:rStyle w:val="s1"/>
          <w:rFonts w:ascii="Arial" w:hAnsi="Arial" w:cs="Arial"/>
          <w:lang w:val="en-GB"/>
        </w:rPr>
        <w:t>, 2025).</w:t>
      </w:r>
      <w:r>
        <w:rPr>
          <w:rFonts w:ascii="Arial" w:hAnsi="Arial" w:cs="Arial"/>
          <w:lang w:val="en-GB"/>
        </w:rPr>
        <w:t xml:space="preserve"> </w:t>
      </w:r>
      <w:r>
        <w:rPr>
          <w:rStyle w:val="s1"/>
          <w:rFonts w:ascii="Arial" w:hAnsi="Arial" w:cs="Arial"/>
          <w:lang w:val="en-GB"/>
        </w:rPr>
        <w:t xml:space="preserve">Several studies report O3-associated reductions in submaximal HR and RHR, supporting improved CV efficiency during standardised exercise (Buckley </w:t>
      </w:r>
      <w:r w:rsidRPr="00A7058C">
        <w:rPr>
          <w:rStyle w:val="s1"/>
          <w:rFonts w:ascii="Arial" w:hAnsi="Arial" w:cs="Arial"/>
          <w:i/>
          <w:lang w:val="en-GB"/>
        </w:rPr>
        <w:t>et al.</w:t>
      </w:r>
      <w:r>
        <w:rPr>
          <w:rStyle w:val="s1"/>
          <w:rFonts w:ascii="Arial" w:hAnsi="Arial" w:cs="Arial"/>
          <w:lang w:val="en-GB"/>
        </w:rPr>
        <w:t xml:space="preserve">, 2009; Peoples </w:t>
      </w:r>
      <w:r w:rsidRPr="00A7058C">
        <w:rPr>
          <w:rStyle w:val="s1"/>
          <w:rFonts w:ascii="Arial" w:hAnsi="Arial" w:cs="Arial"/>
          <w:i/>
          <w:lang w:val="en-GB"/>
        </w:rPr>
        <w:t>et al.</w:t>
      </w:r>
      <w:r>
        <w:rPr>
          <w:rStyle w:val="s1"/>
          <w:rFonts w:ascii="Arial" w:hAnsi="Arial" w:cs="Arial"/>
          <w:lang w:val="en-GB"/>
        </w:rPr>
        <w:t xml:space="preserve">, 2008; Macartney </w:t>
      </w:r>
      <w:r w:rsidRPr="00A7058C">
        <w:rPr>
          <w:rStyle w:val="s1"/>
          <w:rFonts w:ascii="Arial" w:hAnsi="Arial" w:cs="Arial"/>
          <w:i/>
          <w:lang w:val="en-GB"/>
        </w:rPr>
        <w:t>et al.</w:t>
      </w:r>
      <w:r>
        <w:rPr>
          <w:rStyle w:val="s1"/>
          <w:rFonts w:ascii="Arial" w:hAnsi="Arial" w:cs="Arial"/>
          <w:lang w:val="en-GB"/>
        </w:rPr>
        <w:t xml:space="preserve">, 2014; Macartney </w:t>
      </w:r>
      <w:r w:rsidRPr="00A7058C">
        <w:rPr>
          <w:rStyle w:val="s1"/>
          <w:rFonts w:ascii="Arial" w:hAnsi="Arial" w:cs="Arial"/>
          <w:i/>
          <w:lang w:val="en-GB"/>
        </w:rPr>
        <w:t>et al.</w:t>
      </w:r>
      <w:r>
        <w:rPr>
          <w:rStyle w:val="s1"/>
          <w:rFonts w:ascii="Arial" w:hAnsi="Arial" w:cs="Arial"/>
          <w:lang w:val="en-GB"/>
        </w:rPr>
        <w:t xml:space="preserve">, 2022). In elite Australian Rules footballers, 5 weeks of DHA-rich fish oil reduced submaximal HR by 8 bpm versus 2 bpm in controls, although endurance performance and recovery were unchanged (Buckley </w:t>
      </w:r>
      <w:r w:rsidRPr="00A7058C">
        <w:rPr>
          <w:rStyle w:val="s1"/>
          <w:rFonts w:ascii="Arial" w:hAnsi="Arial" w:cs="Arial"/>
          <w:i/>
          <w:lang w:val="en-GB"/>
        </w:rPr>
        <w:t>et al.</w:t>
      </w:r>
      <w:r>
        <w:rPr>
          <w:rStyle w:val="s1"/>
          <w:rFonts w:ascii="Arial" w:hAnsi="Arial" w:cs="Arial"/>
          <w:lang w:val="en-GB"/>
        </w:rPr>
        <w:t xml:space="preserve">, 2009). In trained cyclists, fish oil lowered steady-state submaximal HR, whole-body oxygen consumption, and rate-pressure product, suggesting improved exercise economy and lower CV load at fixed intensity (Peoples </w:t>
      </w:r>
      <w:r w:rsidRPr="00A7058C">
        <w:rPr>
          <w:rStyle w:val="s1"/>
          <w:rFonts w:ascii="Arial" w:hAnsi="Arial" w:cs="Arial"/>
          <w:i/>
          <w:lang w:val="en-GB"/>
        </w:rPr>
        <w:t>et al.</w:t>
      </w:r>
      <w:r>
        <w:rPr>
          <w:rStyle w:val="s1"/>
          <w:rFonts w:ascii="Arial" w:hAnsi="Arial" w:cs="Arial"/>
          <w:lang w:val="en-GB"/>
        </w:rPr>
        <w:t xml:space="preserve">, 2008). In healthy adults, 8 weeks of DHA-rich fish oil also slowed RHR, while related work showed lower mean exercise HR and faster HR recovery, despite no effect on MaxHR (Macartney </w:t>
      </w:r>
      <w:r w:rsidRPr="00A7058C">
        <w:rPr>
          <w:rStyle w:val="s1"/>
          <w:rFonts w:ascii="Arial" w:hAnsi="Arial" w:cs="Arial"/>
          <w:i/>
          <w:lang w:val="en-GB"/>
        </w:rPr>
        <w:t>et al.</w:t>
      </w:r>
      <w:r>
        <w:rPr>
          <w:rStyle w:val="s1"/>
          <w:rFonts w:ascii="Arial" w:hAnsi="Arial" w:cs="Arial"/>
          <w:lang w:val="en-GB"/>
        </w:rPr>
        <w:t xml:space="preserve">, 2022; 2014).  </w:t>
      </w:r>
    </w:p>
    <w:p w14:paraId="1BB25226" w14:textId="54A3AB13" w:rsidR="000E06F4" w:rsidRDefault="00C51A2D" w:rsidP="00F22892">
      <w:pPr>
        <w:pStyle w:val="p1"/>
        <w:spacing w:line="360" w:lineRule="auto"/>
        <w:rPr>
          <w:rFonts w:ascii="Arial" w:hAnsi="Arial" w:cs="Arial"/>
          <w:lang w:val="en-GB"/>
        </w:rPr>
      </w:pPr>
      <w:r>
        <w:rPr>
          <w:rStyle w:val="s1"/>
          <w:rFonts w:ascii="Arial" w:hAnsi="Arial" w:cs="Arial"/>
          <w:lang w:val="en-GB"/>
        </w:rPr>
        <w:t xml:space="preserve">A meta-analysis of 30 randomised, double-blind, placebo-controlled trials reported HR reduction of 1.6 bpm with fish oil, with larger effects at higher baseline HR and interventions ≥12 weeks, supporting lower CV strain where baseline is greater and exposure sustained (Mozaffarian </w:t>
      </w:r>
      <w:r w:rsidRPr="00A7058C">
        <w:rPr>
          <w:rStyle w:val="s1"/>
          <w:rFonts w:ascii="Arial" w:hAnsi="Arial" w:cs="Arial"/>
          <w:i/>
          <w:lang w:val="en-GB"/>
        </w:rPr>
        <w:t>et al.</w:t>
      </w:r>
      <w:r>
        <w:rPr>
          <w:rStyle w:val="s1"/>
          <w:rFonts w:ascii="Arial" w:hAnsi="Arial" w:cs="Arial"/>
          <w:lang w:val="en-GB"/>
        </w:rPr>
        <w:t xml:space="preserve">, 2005). BP lowering is also consistent, although magnitude varies by baseline risk, dose, and duration. In overweight hyperlipidaemic men, purified DHA 4 g/day reduced 24-hour BP by 5.8/3.3 mmHg and ambulatory HR </w:t>
      </w:r>
      <w:r>
        <w:rPr>
          <w:rStyle w:val="s1"/>
          <w:rFonts w:ascii="Arial" w:hAnsi="Arial" w:cs="Arial"/>
          <w:lang w:val="en-GB"/>
        </w:rPr>
        <w:lastRenderedPageBreak/>
        <w:t xml:space="preserve">by 3.5 bpm versus placebo (Mori </w:t>
      </w:r>
      <w:r w:rsidRPr="00A7058C">
        <w:rPr>
          <w:rStyle w:val="s1"/>
          <w:rFonts w:ascii="Arial" w:hAnsi="Arial" w:cs="Arial"/>
          <w:i/>
          <w:lang w:val="en-GB"/>
        </w:rPr>
        <w:t>et al.</w:t>
      </w:r>
      <w:r>
        <w:rPr>
          <w:rStyle w:val="s1"/>
          <w:rFonts w:ascii="Arial" w:hAnsi="Arial" w:cs="Arial"/>
          <w:lang w:val="en-GB"/>
        </w:rPr>
        <w:t xml:space="preserve">, 1999). Meta-analytic synthesis similarly indicates EPA+DHA reduces SBP overall, with doses ≥2 g/day also reducing DBP, </w:t>
      </w:r>
      <w:r>
        <w:rPr>
          <w:rFonts w:ascii="Arial" w:hAnsi="Arial" w:cs="Arial"/>
          <w:lang w:val="en-GB"/>
        </w:rPr>
        <w:t xml:space="preserve">and that dose-response BP-lowering effects are greatest at approximately 2 to 3 g/day, </w:t>
      </w:r>
      <w:r>
        <w:rPr>
          <w:rStyle w:val="s1"/>
          <w:rFonts w:ascii="Arial" w:hAnsi="Arial" w:cs="Arial"/>
          <w:lang w:val="en-GB"/>
        </w:rPr>
        <w:t xml:space="preserve">particularly in untreated hypertensive groups (Miller </w:t>
      </w:r>
      <w:r w:rsidRPr="00A7058C">
        <w:rPr>
          <w:rStyle w:val="s1"/>
          <w:rFonts w:ascii="Arial" w:hAnsi="Arial" w:cs="Arial"/>
          <w:i/>
          <w:lang w:val="en-GB"/>
        </w:rPr>
        <w:t>et al.</w:t>
      </w:r>
      <w:r>
        <w:rPr>
          <w:rStyle w:val="s1"/>
          <w:rFonts w:ascii="Arial" w:hAnsi="Arial" w:cs="Arial"/>
          <w:lang w:val="en-GB"/>
        </w:rPr>
        <w:t xml:space="preserve">, 2014; Zhang </w:t>
      </w:r>
      <w:r w:rsidRPr="00A7058C">
        <w:rPr>
          <w:rStyle w:val="s1"/>
          <w:rFonts w:ascii="Arial" w:hAnsi="Arial" w:cs="Arial"/>
          <w:i/>
          <w:lang w:val="en-GB"/>
        </w:rPr>
        <w:t>et al.</w:t>
      </w:r>
      <w:r>
        <w:rPr>
          <w:rStyle w:val="s1"/>
          <w:rFonts w:ascii="Arial" w:hAnsi="Arial" w:cs="Arial"/>
          <w:lang w:val="en-GB"/>
        </w:rPr>
        <w:t xml:space="preserve">, 2022). </w:t>
      </w:r>
      <w:r>
        <w:rPr>
          <w:rFonts w:ascii="Arial" w:hAnsi="Arial" w:cs="Arial"/>
          <w:lang w:val="en-GB"/>
        </w:rPr>
        <w:t xml:space="preserve">Zhang </w:t>
      </w:r>
      <w:r w:rsidRPr="00A7058C">
        <w:rPr>
          <w:rFonts w:ascii="Arial" w:hAnsi="Arial" w:cs="Arial"/>
          <w:i/>
          <w:lang w:val="en-GB"/>
        </w:rPr>
        <w:t>et al.</w:t>
      </w:r>
      <w:r>
        <w:rPr>
          <w:rFonts w:ascii="Arial" w:hAnsi="Arial" w:cs="Arial"/>
          <w:lang w:val="en-GB"/>
        </w:rPr>
        <w:t xml:space="preserve"> (2022) reported a median intervention duration of 10 weeks, with an interquartile range of 6 to 12 weeks, placing 8 weeks within typical duration used for O3 trials. Zhang </w:t>
      </w:r>
      <w:r w:rsidRPr="00A7058C">
        <w:rPr>
          <w:rFonts w:ascii="Arial" w:hAnsi="Arial" w:cs="Arial"/>
          <w:i/>
          <w:lang w:val="en-GB"/>
        </w:rPr>
        <w:t>et al.</w:t>
      </w:r>
      <w:r>
        <w:rPr>
          <w:rFonts w:ascii="Arial" w:hAnsi="Arial" w:cs="Arial"/>
          <w:lang w:val="en-GB"/>
        </w:rPr>
        <w:t xml:space="preserve"> (2022) also noted that most interventions were delivered via capsuled fish oil, algal oil, or purified fish oil ethyl esters, reflecting the predominance of capsule-based supplementation in this literature. </w:t>
      </w:r>
      <w:r>
        <w:rPr>
          <w:rStyle w:val="s1"/>
          <w:rFonts w:ascii="Arial" w:hAnsi="Arial" w:cs="Arial"/>
          <w:lang w:val="en-GB"/>
        </w:rPr>
        <w:t xml:space="preserve">Higher DHA status is also associated with lower RHR, lower DBP, and higher HRV, consistent with more favourable autonomic and haemodynamic profiles (Valera </w:t>
      </w:r>
      <w:r w:rsidRPr="00A7058C">
        <w:rPr>
          <w:rStyle w:val="s1"/>
          <w:rFonts w:ascii="Arial" w:hAnsi="Arial" w:cs="Arial"/>
          <w:i/>
          <w:lang w:val="en-GB"/>
        </w:rPr>
        <w:t>et al.</w:t>
      </w:r>
      <w:r>
        <w:rPr>
          <w:rStyle w:val="s1"/>
          <w:rFonts w:ascii="Arial" w:hAnsi="Arial" w:cs="Arial"/>
          <w:lang w:val="en-GB"/>
        </w:rPr>
        <w:t xml:space="preserve">, 2014). Even modest BP reductions may matter over time. Large-scale meta-analysis shows 10 mmHg SBP reduction is associated with substantially lower SCE risk, while BP-related risk remains continuous across the usual range rather than confined to overt hypertension (Ettehad </w:t>
      </w:r>
      <w:r w:rsidRPr="00A7058C">
        <w:rPr>
          <w:rStyle w:val="s1"/>
          <w:rFonts w:ascii="Arial" w:hAnsi="Arial" w:cs="Arial"/>
          <w:i/>
          <w:lang w:val="en-GB"/>
        </w:rPr>
        <w:t>et al.</w:t>
      </w:r>
      <w:r>
        <w:rPr>
          <w:rStyle w:val="s1"/>
          <w:rFonts w:ascii="Arial" w:hAnsi="Arial" w:cs="Arial"/>
          <w:lang w:val="en-GB"/>
        </w:rPr>
        <w:t xml:space="preserve">, 2016; Prospective Studies Collaboration, 2002). Miller </w:t>
      </w:r>
      <w:r w:rsidRPr="00A7058C">
        <w:rPr>
          <w:rStyle w:val="s1"/>
          <w:rFonts w:ascii="Arial" w:hAnsi="Arial" w:cs="Arial"/>
          <w:i/>
          <w:lang w:val="en-GB"/>
        </w:rPr>
        <w:t>et al.</w:t>
      </w:r>
      <w:r>
        <w:rPr>
          <w:rStyle w:val="s1"/>
          <w:rFonts w:ascii="Arial" w:hAnsi="Arial" w:cs="Arial"/>
          <w:lang w:val="en-GB"/>
        </w:rPr>
        <w:t xml:space="preserve"> (2014) further noted that the 1.25 mmHg SBP reduction seen in normotensive adults could delay age-related SBP progression by ≥2 years, supporting the view that small chronic reductions may help offset cumulative hypertensive load before dysfunction develops.</w:t>
      </w:r>
    </w:p>
    <w:p w14:paraId="3FFF996E" w14:textId="77777777" w:rsidR="00C51A2D" w:rsidRDefault="00C51A2D" w:rsidP="00F22892">
      <w:pPr>
        <w:pStyle w:val="p1"/>
        <w:spacing w:line="360" w:lineRule="auto"/>
        <w:rPr>
          <w:rStyle w:val="s1"/>
          <w:rFonts w:ascii="Arial" w:hAnsi="Arial" w:cs="Arial"/>
          <w:lang w:val="en-GB"/>
        </w:rPr>
      </w:pPr>
      <w:r>
        <w:rPr>
          <w:rStyle w:val="s1"/>
          <w:rFonts w:ascii="Arial" w:hAnsi="Arial" w:cs="Arial"/>
          <w:lang w:val="en-GB"/>
        </w:rPr>
        <w:t xml:space="preserve">Not all trials show improved endurance or recovery, shorter interventions may be insufficient for performance outcomes despite haemodynamic changes (Buckley </w:t>
      </w:r>
      <w:r w:rsidRPr="00A7058C">
        <w:rPr>
          <w:rStyle w:val="s1"/>
          <w:rFonts w:ascii="Arial" w:hAnsi="Arial" w:cs="Arial"/>
          <w:i/>
          <w:lang w:val="en-GB"/>
        </w:rPr>
        <w:t>et al.</w:t>
      </w:r>
      <w:r>
        <w:rPr>
          <w:rStyle w:val="s1"/>
          <w:rFonts w:ascii="Arial" w:hAnsi="Arial" w:cs="Arial"/>
          <w:lang w:val="en-GB"/>
        </w:rPr>
        <w:t xml:space="preserve">, 2009; </w:t>
      </w:r>
      <w:proofErr w:type="spellStart"/>
      <w:r>
        <w:rPr>
          <w:rStyle w:val="s1"/>
          <w:rFonts w:ascii="Arial" w:hAnsi="Arial" w:cs="Arial"/>
          <w:lang w:val="en-GB"/>
        </w:rPr>
        <w:t>Micallef</w:t>
      </w:r>
      <w:proofErr w:type="spellEnd"/>
      <w:r>
        <w:rPr>
          <w:rStyle w:val="s1"/>
          <w:rFonts w:ascii="Arial" w:hAnsi="Arial" w:cs="Arial"/>
          <w:lang w:val="en-GB"/>
        </w:rPr>
        <w:t xml:space="preserve"> and </w:t>
      </w:r>
      <w:proofErr w:type="spellStart"/>
      <w:r>
        <w:rPr>
          <w:rStyle w:val="s1"/>
          <w:rFonts w:ascii="Arial" w:hAnsi="Arial" w:cs="Arial"/>
          <w:lang w:val="en-GB"/>
        </w:rPr>
        <w:t>Garg</w:t>
      </w:r>
      <w:proofErr w:type="spellEnd"/>
      <w:r>
        <w:rPr>
          <w:rStyle w:val="s1"/>
          <w:rFonts w:ascii="Arial" w:hAnsi="Arial" w:cs="Arial"/>
          <w:lang w:val="en-GB"/>
        </w:rPr>
        <w:t xml:space="preserve">, 2009). </w:t>
      </w:r>
      <w:r>
        <w:rPr>
          <w:rFonts w:ascii="Arial" w:eastAsia="Times New Roman" w:hAnsi="Arial" w:cs="Arial"/>
          <w:color w:val="000000"/>
          <w:lang w:val="en-GB"/>
        </w:rPr>
        <w:t>Collectively, available evidence suggests O3 may support vascular function, haemodynamic regulation, and submaximal CV efficiency</w:t>
      </w:r>
      <w:r>
        <w:rPr>
          <w:rStyle w:val="s1"/>
          <w:rFonts w:ascii="Arial" w:hAnsi="Arial" w:cs="Arial"/>
          <w:lang w:val="en-GB"/>
        </w:rPr>
        <w:t xml:space="preserve">. However, effects often appear stronger in higher-risk groups, while variable EPA:DHA ratios, mixed outcomes, and limited longer-term FF-specific trials constrain precision in defining optimal protocols (Mozaffarian </w:t>
      </w:r>
      <w:r w:rsidRPr="00A7058C">
        <w:rPr>
          <w:rStyle w:val="s1"/>
          <w:rFonts w:ascii="Arial" w:hAnsi="Arial" w:cs="Arial"/>
          <w:i/>
          <w:lang w:val="en-GB"/>
        </w:rPr>
        <w:t>et al.</w:t>
      </w:r>
      <w:r>
        <w:rPr>
          <w:rStyle w:val="s1"/>
          <w:rFonts w:ascii="Arial" w:hAnsi="Arial" w:cs="Arial"/>
          <w:lang w:val="en-GB"/>
        </w:rPr>
        <w:t xml:space="preserve">, 2005; Mozaffarian and Wu, 2011; Innes and Calder, 2020; Rittenhouse </w:t>
      </w:r>
      <w:r w:rsidRPr="00A7058C">
        <w:rPr>
          <w:rStyle w:val="s1"/>
          <w:rFonts w:ascii="Arial" w:hAnsi="Arial" w:cs="Arial"/>
          <w:i/>
          <w:lang w:val="en-GB"/>
        </w:rPr>
        <w:t>et al.</w:t>
      </w:r>
      <w:r>
        <w:rPr>
          <w:rStyle w:val="s1"/>
          <w:rFonts w:ascii="Arial" w:hAnsi="Arial" w:cs="Arial"/>
          <w:lang w:val="en-GB"/>
        </w:rPr>
        <w:t xml:space="preserve">, 2025; </w:t>
      </w:r>
      <w:proofErr w:type="spellStart"/>
      <w:r>
        <w:rPr>
          <w:rStyle w:val="s1"/>
          <w:rFonts w:ascii="Arial" w:hAnsi="Arial" w:cs="Arial"/>
          <w:lang w:val="en-GB"/>
        </w:rPr>
        <w:t>Sauder</w:t>
      </w:r>
      <w:proofErr w:type="spellEnd"/>
      <w:r>
        <w:rPr>
          <w:rStyle w:val="s1"/>
          <w:rFonts w:ascii="Arial" w:hAnsi="Arial" w:cs="Arial"/>
          <w:lang w:val="en-GB"/>
        </w:rPr>
        <w:t xml:space="preserve"> </w:t>
      </w:r>
      <w:r w:rsidRPr="00A7058C">
        <w:rPr>
          <w:rStyle w:val="s1"/>
          <w:rFonts w:ascii="Arial" w:hAnsi="Arial" w:cs="Arial"/>
          <w:i/>
          <w:lang w:val="en-GB"/>
        </w:rPr>
        <w:t>et al.</w:t>
      </w:r>
      <w:r>
        <w:rPr>
          <w:rStyle w:val="s1"/>
          <w:rFonts w:ascii="Arial" w:hAnsi="Arial" w:cs="Arial"/>
          <w:lang w:val="en-GB"/>
        </w:rPr>
        <w:t xml:space="preserve">, 2013; Gammone </w:t>
      </w:r>
      <w:r w:rsidRPr="00A7058C">
        <w:rPr>
          <w:rStyle w:val="s1"/>
          <w:rFonts w:ascii="Arial" w:hAnsi="Arial" w:cs="Arial"/>
          <w:i/>
          <w:lang w:val="en-GB"/>
        </w:rPr>
        <w:t>et al.</w:t>
      </w:r>
      <w:r>
        <w:rPr>
          <w:rStyle w:val="s1"/>
          <w:rFonts w:ascii="Arial" w:hAnsi="Arial" w:cs="Arial"/>
          <w:lang w:val="en-GB"/>
        </w:rPr>
        <w:t>, 2019). Given FFs experience repeated stressors, inflammation, and oxidative load across careers, O3 supplementation remains a plausible, scalable, and potentially preventative strategy to support CV resilience and operational longevity.</w:t>
      </w:r>
    </w:p>
    <w:p w14:paraId="08B889FB" w14:textId="2A920F97" w:rsidR="00763281" w:rsidRDefault="00763281" w:rsidP="00F22892">
      <w:pPr>
        <w:pStyle w:val="p1"/>
        <w:spacing w:line="360" w:lineRule="auto"/>
        <w:rPr>
          <w:rStyle w:val="s1"/>
          <w:rFonts w:ascii="Arial" w:hAnsi="Arial" w:cs="Arial"/>
          <w:lang w:val="en-GB"/>
        </w:rPr>
      </w:pPr>
      <w:r w:rsidRPr="008C7F57">
        <w:rPr>
          <w:rFonts w:ascii="Arial" w:hAnsi="Arial" w:cs="Arial"/>
          <w:lang w:val="en-GB"/>
        </w:rPr>
        <w:lastRenderedPageBreak/>
        <w:t>The next chapter outlines the methodology used to investigate the effects of eight weeks of omega-3 supplementation on cardiovascular markers and exercise HR responses in operational firefighters.</w:t>
      </w:r>
    </w:p>
    <w:p w14:paraId="70DD2FF2" w14:textId="77777777" w:rsidR="004C2BF5" w:rsidRDefault="004C2BF5" w:rsidP="00096CAD">
      <w:pPr>
        <w:pStyle w:val="p1"/>
        <w:spacing w:line="360" w:lineRule="auto"/>
        <w:rPr>
          <w:rFonts w:ascii="Arial" w:hAnsi="Arial" w:cs="Arial"/>
          <w:lang w:val="en-GB"/>
        </w:rPr>
      </w:pPr>
    </w:p>
    <w:p w14:paraId="3EF1953C" w14:textId="7C92769D" w:rsidR="002644AE" w:rsidRPr="002644AE" w:rsidRDefault="00C51A2D" w:rsidP="002644AE">
      <w:pPr>
        <w:spacing w:after="242" w:line="360" w:lineRule="auto"/>
        <w:rPr>
          <w:rFonts w:ascii="Arial" w:hAnsi="Arial" w:cs="Arial"/>
          <w:b/>
          <w:color w:val="000000"/>
          <w:kern w:val="0"/>
          <w:lang w:val="en-GB"/>
          <w14:ligatures w14:val="none"/>
        </w:rPr>
      </w:pPr>
      <w:r>
        <w:rPr>
          <w:rFonts w:ascii="Arial" w:hAnsi="Arial" w:cs="Arial"/>
          <w:b/>
          <w:bCs/>
          <w:color w:val="000000"/>
          <w:kern w:val="0"/>
          <w:lang w:val="en-GB"/>
          <w14:ligatures w14:val="none"/>
        </w:rPr>
        <w:t xml:space="preserve">Table </w:t>
      </w:r>
      <w:r w:rsidR="000C672E">
        <w:rPr>
          <w:rFonts w:ascii="Arial" w:hAnsi="Arial" w:cs="Arial"/>
          <w:b/>
          <w:bCs/>
          <w:color w:val="000000"/>
          <w:kern w:val="0"/>
          <w:lang w:val="en-GB"/>
          <w14:ligatures w14:val="none"/>
        </w:rPr>
        <w:t>2</w:t>
      </w:r>
      <w:r>
        <w:rPr>
          <w:rFonts w:ascii="Arial" w:hAnsi="Arial" w:cs="Arial"/>
          <w:b/>
          <w:bCs/>
          <w:color w:val="000000"/>
          <w:kern w:val="0"/>
          <w:lang w:val="en-GB"/>
          <w14:ligatures w14:val="none"/>
        </w:rPr>
        <w:t xml:space="preserve">.2. </w:t>
      </w:r>
      <w:r w:rsidRPr="00D24DD3">
        <w:rPr>
          <w:rFonts w:ascii="Arial" w:hAnsi="Arial" w:cs="Arial"/>
          <w:color w:val="000000"/>
          <w:kern w:val="0"/>
          <w:lang w:val="en-GB"/>
          <w14:ligatures w14:val="none"/>
        </w:rPr>
        <w:t>Key Omega-3 evidence relevant to inflammatory, vascular and cardiovascular strain pathways</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1646"/>
        <w:gridCol w:w="1137"/>
        <w:gridCol w:w="1262"/>
        <w:gridCol w:w="3316"/>
        <w:gridCol w:w="1983"/>
      </w:tblGrid>
      <w:tr w:rsidR="006C71A6" w:rsidRPr="002644AE" w14:paraId="07C3C474"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46F33F4" w14:textId="77777777" w:rsidR="006C71A6" w:rsidRPr="002644AE" w:rsidRDefault="006C71A6" w:rsidP="006C71A6">
            <w:pPr>
              <w:spacing w:before="100" w:beforeAutospacing="1" w:after="100" w:afterAutospacing="1" w:line="240" w:lineRule="auto"/>
              <w:jc w:val="center"/>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Study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928ED81" w14:textId="77777777" w:rsidR="006C71A6" w:rsidRPr="002644AE" w:rsidRDefault="006C71A6" w:rsidP="006C71A6">
            <w:pPr>
              <w:spacing w:before="100" w:beforeAutospacing="1" w:after="100" w:afterAutospacing="1" w:line="240" w:lineRule="auto"/>
              <w:jc w:val="center"/>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Design / population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22C7436" w14:textId="77777777" w:rsidR="006C71A6" w:rsidRPr="002644AE" w:rsidRDefault="006C71A6" w:rsidP="006C71A6">
            <w:pPr>
              <w:spacing w:before="100" w:beforeAutospacing="1" w:after="100" w:afterAutospacing="1" w:line="240" w:lineRule="auto"/>
              <w:jc w:val="center"/>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Intervention / exposure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E730951" w14:textId="51663C99" w:rsidR="006C71A6" w:rsidRPr="002644AE" w:rsidRDefault="006C71A6" w:rsidP="006C71A6">
            <w:pPr>
              <w:spacing w:before="100" w:beforeAutospacing="1" w:after="100" w:afterAutospacing="1" w:line="240" w:lineRule="auto"/>
              <w:jc w:val="center"/>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 xml:space="preserve">Main relevance to </w:t>
            </w:r>
            <w:r w:rsidR="002543AA">
              <w:rPr>
                <w:rFonts w:ascii="Arial" w:eastAsiaTheme="minorEastAsia" w:hAnsi="Arial" w:cs="Arial"/>
                <w:kern w:val="0"/>
                <w:sz w:val="16"/>
                <w:szCs w:val="16"/>
                <w:lang w:val="en-GB" w:eastAsia="en-GB"/>
                <w14:ligatures w14:val="none"/>
              </w:rPr>
              <w:t>FFs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E395020" w14:textId="77777777" w:rsidR="006C71A6" w:rsidRPr="002644AE" w:rsidRDefault="006C71A6" w:rsidP="006C71A6">
            <w:pPr>
              <w:spacing w:before="100" w:beforeAutospacing="1" w:after="100" w:afterAutospacing="1" w:line="240" w:lineRule="auto"/>
              <w:jc w:val="center"/>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Study strengths and limitations</w:t>
            </w:r>
          </w:p>
        </w:tc>
      </w:tr>
      <w:tr w:rsidR="006C71A6" w:rsidRPr="002644AE" w14:paraId="37B5E009"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C544E09"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Calder (2010; 2017; 2020)</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9429C71"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Mechanistic and narrative reviews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B78678E"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EPA and DHA biology, inflammation and resolution pathways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5297784"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Supports membrane incorporation of EPA and DHA, reduced AA-derived signalling, NF-κB down-regulation, and formation of specialised pro-resolving mediators relevant to FF inflammation, recovery, and vascular strain.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2DB075A"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High mechanistic value, but not FF-specific and not intervention-based.</w:t>
            </w:r>
          </w:p>
        </w:tc>
      </w:tr>
      <w:tr w:rsidR="006C71A6" w:rsidRPr="002644AE" w14:paraId="1E635B8A"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7609907"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Tomczyk et al. (2023)</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FDB80A1"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Narrative review; athletes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2E26739"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EPA and DHA intake and athlete-relevant outcomes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29EBB2B"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Supports anti-inflammatory, nervous system and recovery relevance of EPA and DHA, with discussion of inadequate status in athletes.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E7F22B5" w14:textId="21A6A715"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Athlete-focused and review-based; indirect transfer to FFs</w:t>
            </w:r>
            <w:r w:rsidR="0083571B">
              <w:rPr>
                <w:rFonts w:ascii="Arial" w:eastAsiaTheme="minorEastAsia" w:hAnsi="Arial" w:cs="Arial"/>
                <w:kern w:val="0"/>
                <w:sz w:val="16"/>
                <w:szCs w:val="16"/>
                <w:lang w:val="en-GB" w:eastAsia="en-GB"/>
                <w14:ligatures w14:val="none"/>
              </w:rPr>
              <w:t>.</w:t>
            </w:r>
          </w:p>
        </w:tc>
      </w:tr>
      <w:tr w:rsidR="006C71A6" w:rsidRPr="002644AE" w14:paraId="2467855F"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4BB7241"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Jäger et al. (2025)</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61B1F81"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ISSN position stand; athletic populations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9943CF4"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Long-chain omega-3 PUFA supplementation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6F3331C"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Supports potential effects on cardiovascular function, endurance capacity, recovery, sleep and brain health relevant to tactical populations.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AFC842C" w14:textId="074FA291"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High-level synthesis, but based largely on athlete data, so transfer to FFs is indirect</w:t>
            </w:r>
            <w:r w:rsidR="00AE62D1">
              <w:rPr>
                <w:rFonts w:ascii="Arial" w:eastAsiaTheme="minorEastAsia" w:hAnsi="Arial" w:cs="Arial"/>
                <w:kern w:val="0"/>
                <w:sz w:val="16"/>
                <w:szCs w:val="16"/>
                <w:lang w:val="en-GB" w:eastAsia="en-GB"/>
                <w14:ligatures w14:val="none"/>
              </w:rPr>
              <w:t>.</w:t>
            </w:r>
          </w:p>
        </w:tc>
      </w:tr>
      <w:tr w:rsidR="006C71A6" w:rsidRPr="002644AE" w14:paraId="30666AE1"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2744AE1"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Leaf et al. (2024)</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2696A83"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Review / synthesis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127F617"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Omega-3 and cardiometabolic pathways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518834F"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Supports anti-inflammatory, anti-arrhythmic and anti-thrombotic characterisation of EPA and DHA relevant to CV strain.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87234F4"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Mechanistically useful, but not FF-specific.</w:t>
            </w:r>
          </w:p>
        </w:tc>
      </w:tr>
      <w:tr w:rsidR="006C71A6" w:rsidRPr="002644AE" w14:paraId="07341CCD"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41F0557"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Serhan and Savill (2005); Gutiérrez et al. (2019); Tsuchiya et al. (2021); Cannataro et al. (2024)</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51CBF03"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Mechanistic literature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AD898DB"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SPMs, inflammation resolution and tissue repair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26CB6F7"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Support the role of resolvins, protectins and maresins in terminating inflammation and supporting recovery.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FB3FE6C"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Mechanistic support only; not direct FF outcome evidence.</w:t>
            </w:r>
          </w:p>
        </w:tc>
      </w:tr>
      <w:tr w:rsidR="006C71A6" w:rsidRPr="002644AE" w14:paraId="6BEFF359"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5419459"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DiLorenzo et al. (2014)</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FE51D27"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Exercise intervention study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39C66EA"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2000 mg DHA·day</w:t>
            </w:r>
            <w:r w:rsidRPr="002644AE">
              <w:rPr>
                <w:rFonts w:ascii="Cambria Math" w:eastAsiaTheme="minorEastAsia" w:hAnsi="Cambria Math" w:cs="Cambria Math"/>
                <w:kern w:val="0"/>
                <w:sz w:val="16"/>
                <w:szCs w:val="16"/>
                <w:lang w:val="en-GB" w:eastAsia="en-GB"/>
                <w14:ligatures w14:val="none"/>
              </w:rPr>
              <w:t>⁻</w:t>
            </w:r>
            <w:r w:rsidRPr="002644AE">
              <w:rPr>
                <w:rFonts w:ascii="Arial" w:eastAsiaTheme="minorEastAsia" w:hAnsi="Arial" w:cs="Arial"/>
                <w:kern w:val="0"/>
                <w:sz w:val="16"/>
                <w:szCs w:val="16"/>
                <w:lang w:val="en-GB" w:eastAsia="en-GB"/>
                <w14:ligatures w14:val="none"/>
              </w:rPr>
              <w:t>¹ after eccentric exercise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22501B0"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Attenuated acute IL-6 and CK responses, but effects were not consistent across all inflammatory and muscle-damage markers, supporting only partial biomarker effects.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0BE9F3E"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Useful for illustrating biomarker heterogeneity; not FF-specific.</w:t>
            </w:r>
          </w:p>
        </w:tc>
      </w:tr>
      <w:tr w:rsidR="006C71A6" w:rsidRPr="002644AE" w14:paraId="61D1993E"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F5797C3"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Rittenhouse et al. (2025)</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E660C67"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 xml:space="preserve">Systematic review; 61 studies in military </w:t>
            </w:r>
            <w:r w:rsidRPr="002644AE">
              <w:rPr>
                <w:rFonts w:ascii="Arial" w:eastAsiaTheme="minorEastAsia" w:hAnsi="Arial" w:cs="Arial"/>
                <w:kern w:val="0"/>
                <w:sz w:val="16"/>
                <w:szCs w:val="16"/>
                <w:lang w:val="en-GB" w:eastAsia="en-GB"/>
                <w14:ligatures w14:val="none"/>
              </w:rPr>
              <w:lastRenderedPageBreak/>
              <w:t>service members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BF688EE"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lastRenderedPageBreak/>
              <w:t xml:space="preserve">Omega-3 across cardiopulmonary, </w:t>
            </w:r>
            <w:r w:rsidRPr="002644AE">
              <w:rPr>
                <w:rFonts w:ascii="Arial" w:eastAsiaTheme="minorEastAsia" w:hAnsi="Arial" w:cs="Arial"/>
                <w:kern w:val="0"/>
                <w:sz w:val="16"/>
                <w:szCs w:val="16"/>
                <w:lang w:val="en-GB" w:eastAsia="en-GB"/>
                <w14:ligatures w14:val="none"/>
              </w:rPr>
              <w:lastRenderedPageBreak/>
              <w:t>recovery and cognitive domains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BF01789"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lastRenderedPageBreak/>
              <w:t xml:space="preserve">Reported promising but inconsistent effects across cardiopulmonary, recovery and cognitive outcomes, supporting </w:t>
            </w:r>
            <w:r w:rsidRPr="002644AE">
              <w:rPr>
                <w:rFonts w:ascii="Arial" w:eastAsiaTheme="minorEastAsia" w:hAnsi="Arial" w:cs="Arial"/>
                <w:kern w:val="0"/>
                <w:sz w:val="16"/>
                <w:szCs w:val="16"/>
                <w:lang w:val="en-GB" w:eastAsia="en-GB"/>
                <w14:ligatures w14:val="none"/>
              </w:rPr>
              <w:lastRenderedPageBreak/>
              <w:t>cautious extrapolation to TA populations including FFs.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4C3AD07"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lastRenderedPageBreak/>
              <w:t xml:space="preserve">Strong breadth, but high heterogeneity in dose, duration, EPA:DHA ratio and </w:t>
            </w:r>
            <w:r w:rsidRPr="002644AE">
              <w:rPr>
                <w:rFonts w:ascii="Arial" w:eastAsiaTheme="minorEastAsia" w:hAnsi="Arial" w:cs="Arial"/>
                <w:kern w:val="0"/>
                <w:sz w:val="16"/>
                <w:szCs w:val="16"/>
                <w:lang w:val="en-GB" w:eastAsia="en-GB"/>
                <w14:ligatures w14:val="none"/>
              </w:rPr>
              <w:lastRenderedPageBreak/>
              <w:t>study design limited firm recommendations.</w:t>
            </w:r>
          </w:p>
        </w:tc>
      </w:tr>
      <w:tr w:rsidR="006C71A6" w:rsidRPr="002644AE" w14:paraId="60BCB416"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0F0C61A"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lastRenderedPageBreak/>
              <w:t>Das (2010); Dangardt et al. (2010)</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FECA078"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Review / intervention-oriented vascular literature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3D5114E"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Omega-3 and vascular / cardiovascular function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005C4F7"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Support a plausible role for EPA and DHA in arterial compliance, vascular function and modest HR-lowering effects relevant to CV efficiency.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861F338"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Useful vascular synthesis, but not FF-specific and largely indirect.</w:t>
            </w:r>
          </w:p>
        </w:tc>
      </w:tr>
      <w:tr w:rsidR="006C71A6" w:rsidRPr="002644AE" w14:paraId="28C7DE1C"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255AAA6"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Innes and Calder (2020); Yamagata (2020); Żebrowska et al. (2015)</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B808967"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Reviews / intervention evidence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D243239"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Omega-3 and endothelial / vascular function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0A78DA6"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Support improved endothelial responsiveness, reduced oxidative-inflammatory stress and improved flow-mediated dilation, relevant to vascular strain in FFs.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6F1E416"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Mechanistically relevant, but largely indirect and not FF-specific.</w:t>
            </w:r>
          </w:p>
        </w:tc>
      </w:tr>
      <w:tr w:rsidR="006C71A6" w:rsidRPr="002644AE" w14:paraId="4605A4C5"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6A0A1E7"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Lyudinina et al. (2024)</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B6FEA91"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Athlete observational study; 39 male cross-country skiers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F8699BC"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EPA status and nitrite concentrations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9C4B210"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Higher EPA status was associated with higher nitrite concentrations, supporting a possible role for omega-3 in the nitrite-nitrate pathway of NO synthesis.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9EFF7E3"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Useful biological plausibility, but small and athlete-specific.</w:t>
            </w:r>
          </w:p>
        </w:tc>
      </w:tr>
      <w:tr w:rsidR="006C71A6" w:rsidRPr="002644AE" w14:paraId="6BDB387E"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18EE338"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Medoro et al. (2024)</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1AFCA63"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Narrative review; athletes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FF41926"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Omega-3 index and sport biomarker literature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27590D6"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Supports relevance of omega-3 status to cardiovascular health, recovery, injury prevention and performance.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34226E7"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Largely athlete-focused and biomarker-based.</w:t>
            </w:r>
          </w:p>
        </w:tc>
      </w:tr>
      <w:tr w:rsidR="006C71A6" w:rsidRPr="002644AE" w14:paraId="1FFC7439"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4132C0A"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DiNicolantonio and O’Keefe (2020); Howe et al. (2018); Kuszewski et al. (2017)</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E8D559E"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Reviews / broader literature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F1A9460"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Omega-3, recovery, sleep and systemic function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9BAD1AA"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Support broader indirect relevance of omega-3 to recovery, sleep and CV health.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F0A0F5E" w14:textId="77777777" w:rsidR="006C71A6" w:rsidRPr="002644AE" w:rsidRDefault="006C71A6" w:rsidP="006C71A6">
            <w:pPr>
              <w:spacing w:before="100" w:beforeAutospacing="1" w:after="100" w:afterAutospacing="1" w:line="240" w:lineRule="auto"/>
              <w:rPr>
                <w:rFonts w:ascii="Arial" w:eastAsiaTheme="minorEastAsia" w:hAnsi="Arial" w:cs="Arial"/>
                <w:kern w:val="0"/>
                <w:sz w:val="16"/>
                <w:szCs w:val="16"/>
                <w:lang w:val="en-GB" w:eastAsia="en-GB"/>
                <w14:ligatures w14:val="none"/>
              </w:rPr>
            </w:pPr>
            <w:r w:rsidRPr="002644AE">
              <w:rPr>
                <w:rFonts w:ascii="Arial" w:eastAsiaTheme="minorEastAsia" w:hAnsi="Arial" w:cs="Arial"/>
                <w:kern w:val="0"/>
                <w:sz w:val="16"/>
                <w:szCs w:val="16"/>
                <w:lang w:val="en-GB" w:eastAsia="en-GB"/>
                <w14:ligatures w14:val="none"/>
              </w:rPr>
              <w:t>Indirect and not FF-specific.</w:t>
            </w:r>
          </w:p>
        </w:tc>
      </w:tr>
    </w:tbl>
    <w:p w14:paraId="19CB920E" w14:textId="77777777" w:rsidR="00BF74A5" w:rsidRDefault="00BF74A5" w:rsidP="00830CE6">
      <w:pPr>
        <w:keepNext/>
        <w:keepLines/>
        <w:spacing w:before="360" w:after="80" w:line="360" w:lineRule="auto"/>
        <w:outlineLvl w:val="0"/>
        <w:rPr>
          <w:rFonts w:asciiTheme="majorHAnsi" w:eastAsiaTheme="majorEastAsia" w:hAnsiTheme="majorHAnsi" w:cstheme="majorBidi"/>
          <w:color w:val="0F4761" w:themeColor="accent1" w:themeShade="BF"/>
        </w:rPr>
      </w:pPr>
    </w:p>
    <w:p w14:paraId="330CACEA" w14:textId="77777777" w:rsidR="007917BE" w:rsidRDefault="007917BE" w:rsidP="007917BE">
      <w:pPr>
        <w:pStyle w:val="Heading1"/>
      </w:pPr>
    </w:p>
    <w:p w14:paraId="1B887BF5" w14:textId="77777777" w:rsidR="009B7BA5" w:rsidRPr="009B7BA5" w:rsidRDefault="009B7BA5" w:rsidP="009B7BA5"/>
    <w:p w14:paraId="1C409FF5" w14:textId="2C076724" w:rsidR="00830CE6" w:rsidRPr="009B7BA5" w:rsidRDefault="00830CE6" w:rsidP="009B7BA5">
      <w:pPr>
        <w:pStyle w:val="Heading1"/>
      </w:pPr>
      <w:bookmarkStart w:id="40" w:name="_Toc228218281"/>
      <w:r w:rsidRPr="009B7BA5">
        <w:lastRenderedPageBreak/>
        <w:t xml:space="preserve">CHAPTER </w:t>
      </w:r>
      <w:r w:rsidR="008463E6" w:rsidRPr="009B7BA5">
        <w:t>3</w:t>
      </w:r>
      <w:r w:rsidRPr="009B7BA5">
        <w:t>: METHODOLOGY</w:t>
      </w:r>
      <w:bookmarkEnd w:id="40"/>
    </w:p>
    <w:p w14:paraId="76454AB3" w14:textId="77777777" w:rsidR="00830CE6" w:rsidRPr="00830CE6" w:rsidRDefault="00830CE6" w:rsidP="00830CE6">
      <w:pPr>
        <w:keepNext/>
        <w:keepLines/>
        <w:spacing w:before="160" w:after="80" w:line="360" w:lineRule="auto"/>
        <w:outlineLvl w:val="1"/>
        <w:rPr>
          <w:rFonts w:asciiTheme="majorHAnsi" w:eastAsiaTheme="majorEastAsia" w:hAnsiTheme="majorHAnsi" w:cstheme="majorBidi"/>
          <w:color w:val="0F4761" w:themeColor="accent1" w:themeShade="BF"/>
          <w:sz w:val="32"/>
          <w:szCs w:val="32"/>
        </w:rPr>
      </w:pPr>
    </w:p>
    <w:p w14:paraId="5B4FA6EB" w14:textId="0863E4BD" w:rsidR="00830CE6" w:rsidRPr="00830CE6" w:rsidRDefault="008463E6" w:rsidP="00830CE6">
      <w:pPr>
        <w:keepNext/>
        <w:keepLines/>
        <w:spacing w:before="160" w:after="80" w:line="360" w:lineRule="auto"/>
        <w:outlineLvl w:val="1"/>
        <w:rPr>
          <w:rFonts w:ascii="Arial" w:eastAsia="Times New Roman" w:hAnsi="Arial" w:cs="Arial"/>
          <w:color w:val="0F4761" w:themeColor="accent1" w:themeShade="BF"/>
          <w:kern w:val="0"/>
          <w:sz w:val="32"/>
          <w:szCs w:val="32"/>
          <w:lang w:val="en-GB"/>
          <w14:ligatures w14:val="none"/>
        </w:rPr>
      </w:pPr>
      <w:bookmarkStart w:id="41" w:name="_Toc228218282"/>
      <w:r>
        <w:rPr>
          <w:rFonts w:ascii="Arial" w:eastAsia="Times New Roman" w:hAnsi="Arial" w:cs="Arial"/>
          <w:color w:val="0F4761" w:themeColor="accent1" w:themeShade="BF"/>
          <w:kern w:val="0"/>
          <w:sz w:val="32"/>
          <w:szCs w:val="32"/>
          <w:lang w:val="en-GB"/>
          <w14:ligatures w14:val="none"/>
        </w:rPr>
        <w:t>3</w:t>
      </w:r>
      <w:r w:rsidR="00830CE6" w:rsidRPr="00830CE6">
        <w:rPr>
          <w:rFonts w:ascii="Arial" w:eastAsia="Times New Roman" w:hAnsi="Arial" w:cs="Arial"/>
          <w:color w:val="0F4761" w:themeColor="accent1" w:themeShade="BF"/>
          <w:kern w:val="0"/>
          <w:sz w:val="32"/>
          <w:szCs w:val="32"/>
          <w:lang w:val="en-GB"/>
          <w14:ligatures w14:val="none"/>
        </w:rPr>
        <w:t>.1 Introduction</w:t>
      </w:r>
      <w:bookmarkEnd w:id="41"/>
      <w:r w:rsidR="00830CE6" w:rsidRPr="00830CE6">
        <w:rPr>
          <w:rFonts w:ascii="Arial" w:eastAsia="Times New Roman" w:hAnsi="Arial" w:cs="Arial"/>
          <w:color w:val="0F4761" w:themeColor="accent1" w:themeShade="BF"/>
          <w:kern w:val="0"/>
          <w:sz w:val="32"/>
          <w:szCs w:val="32"/>
          <w:lang w:val="en-GB"/>
          <w14:ligatures w14:val="none"/>
        </w:rPr>
        <w:t xml:space="preserve"> </w:t>
      </w:r>
    </w:p>
    <w:p w14:paraId="19C362CF" w14:textId="77777777" w:rsidR="00830CE6" w:rsidRPr="00830CE6" w:rsidRDefault="00830CE6" w:rsidP="00830CE6">
      <w:pPr>
        <w:spacing w:before="100" w:beforeAutospacing="1" w:after="100" w:afterAutospacing="1" w:line="360" w:lineRule="auto"/>
        <w:outlineLvl w:val="2"/>
        <w:rPr>
          <w:rFonts w:ascii="Arial" w:eastAsia="Times New Roman" w:hAnsi="Arial" w:cs="Arial"/>
          <w:b/>
          <w:bCs/>
          <w:kern w:val="0"/>
          <w:lang w:val="en-GB"/>
          <w14:ligatures w14:val="none"/>
        </w:rPr>
      </w:pPr>
    </w:p>
    <w:p w14:paraId="77B26614" w14:textId="77777777"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r w:rsidRPr="00830CE6">
        <w:rPr>
          <w:rFonts w:ascii="Arial" w:eastAsiaTheme="minorEastAsia" w:hAnsi="Arial" w:cs="Arial"/>
          <w:kern w:val="0"/>
          <w:lang w:val="en-GB"/>
          <w14:ligatures w14:val="none"/>
        </w:rPr>
        <w:t xml:space="preserve">This chapter outlines the philosophical position, research design, and methodological procedures adopted. It presents the ontological and epistemological framework underpinning the investigation, justifies the methodological approach, and details testing procedures, data collection, participant criteria, and ethical considerations. The objective is to provide a transparent, replicable structure for investigating cardiovascular effects of O3 supplementation in operational FFs. </w:t>
      </w:r>
    </w:p>
    <w:p w14:paraId="12030707" w14:textId="77777777"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p>
    <w:p w14:paraId="19315177" w14:textId="017FA3D0" w:rsidR="00830CE6" w:rsidRPr="00830CE6" w:rsidRDefault="008463E6" w:rsidP="00830CE6">
      <w:pPr>
        <w:keepNext/>
        <w:keepLines/>
        <w:spacing w:before="160" w:after="80" w:line="360" w:lineRule="auto"/>
        <w:outlineLvl w:val="1"/>
        <w:rPr>
          <w:rFonts w:ascii="Arial" w:eastAsiaTheme="majorEastAsia" w:hAnsi="Arial" w:cs="Arial"/>
          <w:color w:val="0F4761" w:themeColor="accent1" w:themeShade="BF"/>
          <w:sz w:val="32"/>
          <w:szCs w:val="32"/>
          <w:lang w:val="en-GB"/>
        </w:rPr>
      </w:pPr>
      <w:bookmarkStart w:id="42" w:name="_Toc228218283"/>
      <w:r>
        <w:rPr>
          <w:rFonts w:ascii="Arial" w:eastAsiaTheme="majorEastAsia" w:hAnsi="Arial" w:cs="Arial"/>
          <w:color w:val="0F4761" w:themeColor="accent1" w:themeShade="BF"/>
          <w:sz w:val="32"/>
          <w:szCs w:val="32"/>
          <w:lang w:val="en-GB"/>
        </w:rPr>
        <w:t>3</w:t>
      </w:r>
      <w:r w:rsidR="00830CE6" w:rsidRPr="00830CE6">
        <w:rPr>
          <w:rFonts w:ascii="Arial" w:eastAsiaTheme="majorEastAsia" w:hAnsi="Arial" w:cs="Arial"/>
          <w:color w:val="0F4761" w:themeColor="accent1" w:themeShade="BF"/>
          <w:sz w:val="32"/>
          <w:szCs w:val="32"/>
          <w:lang w:val="en-GB"/>
        </w:rPr>
        <w:t>.2 Research Philosophy and Paradigm</w:t>
      </w:r>
      <w:bookmarkEnd w:id="42"/>
      <w:r w:rsidR="00830CE6" w:rsidRPr="00830CE6">
        <w:rPr>
          <w:rFonts w:ascii="Arial" w:eastAsiaTheme="majorEastAsia" w:hAnsi="Arial" w:cs="Arial"/>
          <w:color w:val="0F4761" w:themeColor="accent1" w:themeShade="BF"/>
          <w:sz w:val="32"/>
          <w:szCs w:val="32"/>
          <w:lang w:val="en-GB"/>
        </w:rPr>
        <w:t xml:space="preserve"> </w:t>
      </w:r>
    </w:p>
    <w:p w14:paraId="140F055F" w14:textId="77777777" w:rsidR="00830CE6" w:rsidRPr="00830CE6" w:rsidRDefault="00830CE6" w:rsidP="00830CE6">
      <w:pPr>
        <w:spacing w:before="100" w:beforeAutospacing="1" w:after="100" w:afterAutospacing="1" w:line="360" w:lineRule="auto"/>
        <w:rPr>
          <w:rFonts w:ascii="Arial" w:eastAsiaTheme="minorEastAsia" w:hAnsi="Arial" w:cs="Arial"/>
          <w:b/>
          <w:bCs/>
          <w:kern w:val="0"/>
          <w:lang w:val="en-GB"/>
          <w14:ligatures w14:val="none"/>
        </w:rPr>
      </w:pPr>
    </w:p>
    <w:p w14:paraId="03818C24" w14:textId="478324E0"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r w:rsidRPr="00830CE6">
        <w:rPr>
          <w:rFonts w:ascii="Arial" w:eastAsiaTheme="minorEastAsia" w:hAnsi="Arial" w:cs="Arial"/>
          <w:kern w:val="0"/>
          <w:lang w:val="en-GB"/>
          <w14:ligatures w14:val="none"/>
        </w:rPr>
        <w:t xml:space="preserve">Historically, FF and TA nutrition and performance research, including Elstad </w:t>
      </w:r>
      <w:r w:rsidRPr="00830CE6">
        <w:rPr>
          <w:rFonts w:ascii="Arial" w:eastAsiaTheme="minorEastAsia" w:hAnsi="Arial" w:cs="Arial"/>
          <w:i/>
          <w:kern w:val="0"/>
          <w:lang w:val="en-GB"/>
          <w14:ligatures w14:val="none"/>
        </w:rPr>
        <w:t>et al.</w:t>
      </w:r>
      <w:r w:rsidRPr="00830CE6">
        <w:rPr>
          <w:rFonts w:ascii="Arial" w:eastAsiaTheme="minorEastAsia" w:hAnsi="Arial" w:cs="Arial"/>
          <w:kern w:val="0"/>
          <w:lang w:val="en-GB"/>
          <w14:ligatures w14:val="none"/>
        </w:rPr>
        <w:t xml:space="preserve"> (2023) and Barnhart (2018), has commonly used quantitative methods to measure performance responses and outcomes to nutritional interventions, a common approach in health intervention research (Broom and Willis, 2007). This methodology enables collection of objective numerical data, providing clear, measurable outcomes of how interventions such as O3 intake affect performance metrics and markers including CV measures and HR (Tinning and Fitzpatrick, 2012).</w:t>
      </w:r>
    </w:p>
    <w:p w14:paraId="77D68E96" w14:textId="6B688A07"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r w:rsidRPr="00830CE6">
        <w:rPr>
          <w:rFonts w:ascii="Arial" w:eastAsiaTheme="minorEastAsia" w:hAnsi="Arial" w:cs="Arial"/>
          <w:kern w:val="0"/>
          <w:lang w:val="en-GB"/>
          <w14:ligatures w14:val="none"/>
        </w:rPr>
        <w:t xml:space="preserve">This study was guided by a positivist paradigm, which assumes reality exists independently of human perception and can be objectively measured. Positivism relies on empirical observation, experimental control, and quantifiable data to explain relationships between variables (Tinning and Fitzpatrick, 2012). Ontologically, the </w:t>
      </w:r>
      <w:r w:rsidRPr="00830CE6">
        <w:rPr>
          <w:rFonts w:ascii="Arial" w:eastAsiaTheme="minorEastAsia" w:hAnsi="Arial" w:cs="Arial"/>
          <w:kern w:val="0"/>
          <w:lang w:val="en-GB"/>
          <w14:ligatures w14:val="none"/>
        </w:rPr>
        <w:lastRenderedPageBreak/>
        <w:t xml:space="preserve">research recognises CV responses such as HR and BP as observable, stable phenomena. Epistemologically, knowledge is acquired through standardised data that can be measured, tested, and statistically analysed (Creswell and Creswell, 2017; Queirós </w:t>
      </w:r>
      <w:r w:rsidRPr="00830CE6">
        <w:rPr>
          <w:rFonts w:ascii="Arial" w:eastAsiaTheme="minorEastAsia" w:hAnsi="Arial" w:cs="Arial"/>
          <w:i/>
          <w:kern w:val="0"/>
          <w:lang w:val="en-GB"/>
          <w14:ligatures w14:val="none"/>
        </w:rPr>
        <w:t>et al.</w:t>
      </w:r>
      <w:r w:rsidRPr="00830CE6">
        <w:rPr>
          <w:rFonts w:ascii="Arial" w:eastAsiaTheme="minorEastAsia" w:hAnsi="Arial" w:cs="Arial"/>
          <w:kern w:val="0"/>
          <w:lang w:val="en-GB"/>
          <w14:ligatures w14:val="none"/>
        </w:rPr>
        <w:t>, 2017).</w:t>
      </w:r>
    </w:p>
    <w:p w14:paraId="27E5F748" w14:textId="4D72DEA1" w:rsid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r w:rsidRPr="00830CE6">
        <w:rPr>
          <w:rFonts w:ascii="Arial" w:eastAsiaTheme="minorEastAsia" w:hAnsi="Arial" w:cs="Arial"/>
          <w:kern w:val="0"/>
          <w:lang w:val="en-GB"/>
          <w14:ligatures w14:val="none"/>
        </w:rPr>
        <w:t>This contrasts with interpretivism, which views reality as socially constructed and emphasises subjective meaning. By contrast, FF research, particularly performance-based studies, requires objective data to draw valid conclusions applicable across individuals and contexts. Physiological responses such as HR under exertion, or supplementation effects on recovery, are not based on perception but on biological processes existing independently of the researcher (Tinning and Fitzpatrick, 2012). Therefore, the positivist stance is appropriate and necessary for producing evidence that can guide future occupational health interventions.</w:t>
      </w:r>
    </w:p>
    <w:p w14:paraId="36EAE376" w14:textId="77777777" w:rsidR="00AC046F" w:rsidRPr="00830CE6" w:rsidRDefault="00AC046F" w:rsidP="00830CE6">
      <w:pPr>
        <w:spacing w:before="100" w:beforeAutospacing="1" w:after="100" w:afterAutospacing="1" w:line="360" w:lineRule="auto"/>
        <w:rPr>
          <w:rFonts w:ascii="Arial" w:eastAsiaTheme="minorEastAsia" w:hAnsi="Arial" w:cs="Arial"/>
          <w:kern w:val="0"/>
          <w:lang w:val="en-GB"/>
          <w14:ligatures w14:val="none"/>
        </w:rPr>
      </w:pPr>
    </w:p>
    <w:p w14:paraId="3C4C3D21" w14:textId="03A343EE" w:rsidR="00830CE6" w:rsidRPr="00830CE6" w:rsidRDefault="008463E6" w:rsidP="00830CE6">
      <w:pPr>
        <w:keepNext/>
        <w:keepLines/>
        <w:spacing w:before="160" w:after="80" w:line="360" w:lineRule="auto"/>
        <w:outlineLvl w:val="1"/>
        <w:rPr>
          <w:rFonts w:ascii="Arial" w:eastAsiaTheme="majorEastAsia" w:hAnsi="Arial" w:cs="Arial"/>
          <w:color w:val="0F4761" w:themeColor="accent1" w:themeShade="BF"/>
          <w:sz w:val="32"/>
          <w:szCs w:val="32"/>
          <w:lang w:val="en-GB"/>
        </w:rPr>
      </w:pPr>
      <w:bookmarkStart w:id="43" w:name="_Toc228218284"/>
      <w:r>
        <w:rPr>
          <w:rFonts w:ascii="Arial" w:eastAsiaTheme="majorEastAsia" w:hAnsi="Arial" w:cs="Arial"/>
          <w:color w:val="0F4761" w:themeColor="accent1" w:themeShade="BF"/>
          <w:sz w:val="32"/>
          <w:szCs w:val="32"/>
          <w:lang w:val="en-GB"/>
        </w:rPr>
        <w:t>3</w:t>
      </w:r>
      <w:r w:rsidR="00830CE6" w:rsidRPr="00830CE6">
        <w:rPr>
          <w:rFonts w:ascii="Arial" w:eastAsiaTheme="majorEastAsia" w:hAnsi="Arial" w:cs="Arial"/>
          <w:color w:val="0F4761" w:themeColor="accent1" w:themeShade="BF"/>
          <w:sz w:val="32"/>
          <w:szCs w:val="32"/>
          <w:lang w:val="en-GB"/>
        </w:rPr>
        <w:t>.3 Methodological Approach</w:t>
      </w:r>
      <w:bookmarkEnd w:id="43"/>
      <w:r w:rsidR="00830CE6" w:rsidRPr="00830CE6">
        <w:rPr>
          <w:rFonts w:ascii="Arial" w:eastAsiaTheme="majorEastAsia" w:hAnsi="Arial" w:cs="Arial"/>
          <w:color w:val="0F4761" w:themeColor="accent1" w:themeShade="BF"/>
          <w:sz w:val="32"/>
          <w:szCs w:val="32"/>
          <w:lang w:val="en-GB"/>
        </w:rPr>
        <w:t xml:space="preserve"> </w:t>
      </w:r>
    </w:p>
    <w:p w14:paraId="53D1E8C3" w14:textId="77777777" w:rsidR="00830CE6" w:rsidRPr="00830CE6" w:rsidRDefault="00830CE6" w:rsidP="00830CE6">
      <w:pPr>
        <w:spacing w:before="100" w:beforeAutospacing="1" w:after="100" w:afterAutospacing="1" w:line="360" w:lineRule="auto"/>
        <w:rPr>
          <w:rFonts w:ascii="Arial" w:eastAsiaTheme="minorEastAsia" w:hAnsi="Arial" w:cs="Arial"/>
          <w:b/>
          <w:bCs/>
          <w:kern w:val="0"/>
          <w:lang w:val="en-GB"/>
          <w14:ligatures w14:val="none"/>
        </w:rPr>
      </w:pPr>
    </w:p>
    <w:p w14:paraId="1B51B2EF" w14:textId="4B8AEC12"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r w:rsidRPr="00830CE6">
        <w:rPr>
          <w:rFonts w:ascii="Arial" w:eastAsiaTheme="minorEastAsia" w:hAnsi="Arial" w:cs="Arial"/>
          <w:kern w:val="0"/>
          <w:lang w:val="en-GB"/>
          <w14:ligatures w14:val="none"/>
        </w:rPr>
        <w:t xml:space="preserve">A quantitative methodology was selected as the most appropriate approach to measure O3 effects on CV outcomes. It enables collection of numerical data through structured testing protocols, allowing within- and between-group comparisons (Queirós </w:t>
      </w:r>
      <w:r w:rsidRPr="00830CE6">
        <w:rPr>
          <w:rFonts w:ascii="Arial" w:eastAsiaTheme="minorEastAsia" w:hAnsi="Arial" w:cs="Arial"/>
          <w:i/>
          <w:kern w:val="0"/>
          <w:lang w:val="en-GB"/>
          <w14:ligatures w14:val="none"/>
        </w:rPr>
        <w:t>et al.</w:t>
      </w:r>
      <w:r w:rsidRPr="00830CE6">
        <w:rPr>
          <w:rFonts w:ascii="Arial" w:eastAsiaTheme="minorEastAsia" w:hAnsi="Arial" w:cs="Arial"/>
          <w:kern w:val="0"/>
          <w:lang w:val="en-GB"/>
          <w14:ligatures w14:val="none"/>
        </w:rPr>
        <w:t xml:space="preserve">, 2017). Quantitative designs also support statistical analysis of magnitude and significance of observed changes, providing a reliable basis for evidence-based conclusions (Martin and Bridgmon, 2012). </w:t>
      </w:r>
    </w:p>
    <w:p w14:paraId="284A3319" w14:textId="77777777"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r w:rsidRPr="00830CE6">
        <w:rPr>
          <w:rFonts w:ascii="Arial" w:eastAsiaTheme="minorEastAsia" w:hAnsi="Arial" w:cs="Arial"/>
          <w:kern w:val="0"/>
          <w:lang w:val="en-GB"/>
          <w14:ligatures w14:val="none"/>
        </w:rPr>
        <w:t xml:space="preserve">A key advantage lies in variable control. By using consistent test conditions, standardised protocols, and controlled supplementation, the study minimised extraneous influences, allowing the O3 effect to be isolated (Queirós </w:t>
      </w:r>
      <w:r w:rsidRPr="00830CE6">
        <w:rPr>
          <w:rFonts w:ascii="Arial" w:eastAsiaTheme="minorEastAsia" w:hAnsi="Arial" w:cs="Arial"/>
          <w:i/>
          <w:kern w:val="0"/>
          <w:lang w:val="en-GB"/>
          <w14:ligatures w14:val="none"/>
        </w:rPr>
        <w:t>et al.</w:t>
      </w:r>
      <w:r w:rsidRPr="00830CE6">
        <w:rPr>
          <w:rFonts w:ascii="Arial" w:eastAsiaTheme="minorEastAsia" w:hAnsi="Arial" w:cs="Arial"/>
          <w:kern w:val="0"/>
          <w:lang w:val="en-GB"/>
          <w14:ligatures w14:val="none"/>
        </w:rPr>
        <w:t xml:space="preserve">, 2017). Replicability, generalisability, and ability to draw causal inferences are further benefits. Standardised testing such as the CTT (Birks, 2015) also ensures data are directly comparable across participants. This approach also reflects dominant methodology in </w:t>
      </w:r>
      <w:r w:rsidRPr="00830CE6">
        <w:rPr>
          <w:rFonts w:ascii="Arial" w:eastAsiaTheme="minorEastAsia" w:hAnsi="Arial" w:cs="Arial"/>
          <w:kern w:val="0"/>
          <w:lang w:val="en-GB"/>
          <w14:ligatures w14:val="none"/>
        </w:rPr>
        <w:lastRenderedPageBreak/>
        <w:t xml:space="preserve">FF and TA research. Elstad </w:t>
      </w:r>
      <w:r w:rsidRPr="00830CE6">
        <w:rPr>
          <w:rFonts w:ascii="Arial" w:eastAsiaTheme="minorEastAsia" w:hAnsi="Arial" w:cs="Arial"/>
          <w:i/>
          <w:kern w:val="0"/>
          <w:lang w:val="en-GB"/>
          <w14:ligatures w14:val="none"/>
        </w:rPr>
        <w:t>et al.</w:t>
      </w:r>
      <w:r w:rsidRPr="00830CE6">
        <w:rPr>
          <w:rFonts w:ascii="Arial" w:eastAsiaTheme="minorEastAsia" w:hAnsi="Arial" w:cs="Arial"/>
          <w:kern w:val="0"/>
          <w:lang w:val="en-GB"/>
          <w14:ligatures w14:val="none"/>
        </w:rPr>
        <w:t xml:space="preserve"> (2023) and Barnhart (2018) similarly used quantitative frameworks to measure responses to nutritional interventions, aligning this study with the wider literature. Qualitative approaches, while useful for exploring experience or culture, lack the precision required to assess physiological outcomes, making them less suitable for this investigation. </w:t>
      </w:r>
    </w:p>
    <w:p w14:paraId="4197095E" w14:textId="77777777"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p>
    <w:p w14:paraId="5A4F3955" w14:textId="094447CB" w:rsidR="00830CE6" w:rsidRPr="00830CE6" w:rsidRDefault="008463E6" w:rsidP="00830CE6">
      <w:pPr>
        <w:keepNext/>
        <w:keepLines/>
        <w:spacing w:before="160" w:after="80" w:line="360" w:lineRule="auto"/>
        <w:outlineLvl w:val="1"/>
        <w:rPr>
          <w:rFonts w:ascii="Arial" w:eastAsiaTheme="majorEastAsia" w:hAnsi="Arial" w:cs="Arial"/>
          <w:color w:val="0F4761" w:themeColor="accent1" w:themeShade="BF"/>
          <w:sz w:val="32"/>
          <w:szCs w:val="32"/>
          <w:lang w:val="en-GB"/>
        </w:rPr>
      </w:pPr>
      <w:bookmarkStart w:id="44" w:name="_Toc228218285"/>
      <w:r>
        <w:rPr>
          <w:rFonts w:ascii="Arial" w:eastAsiaTheme="majorEastAsia" w:hAnsi="Arial" w:cs="Arial"/>
          <w:color w:val="0F4761" w:themeColor="accent1" w:themeShade="BF"/>
          <w:sz w:val="32"/>
          <w:szCs w:val="32"/>
          <w:lang w:val="en-GB"/>
        </w:rPr>
        <w:t>3</w:t>
      </w:r>
      <w:r w:rsidR="00830CE6" w:rsidRPr="00830CE6">
        <w:rPr>
          <w:rFonts w:ascii="Arial" w:eastAsiaTheme="majorEastAsia" w:hAnsi="Arial" w:cs="Arial"/>
          <w:color w:val="0F4761" w:themeColor="accent1" w:themeShade="BF"/>
          <w:sz w:val="32"/>
          <w:szCs w:val="32"/>
          <w:lang w:val="en-GB"/>
        </w:rPr>
        <w:t>.4 Study Design</w:t>
      </w:r>
      <w:bookmarkEnd w:id="44"/>
      <w:r w:rsidR="00830CE6" w:rsidRPr="00830CE6">
        <w:rPr>
          <w:rFonts w:ascii="Arial" w:eastAsiaTheme="majorEastAsia" w:hAnsi="Arial" w:cs="Arial"/>
          <w:color w:val="0F4761" w:themeColor="accent1" w:themeShade="BF"/>
          <w:sz w:val="32"/>
          <w:szCs w:val="32"/>
          <w:lang w:val="en-GB"/>
        </w:rPr>
        <w:t xml:space="preserve"> </w:t>
      </w:r>
    </w:p>
    <w:p w14:paraId="2C575815" w14:textId="77777777" w:rsidR="00830CE6" w:rsidRPr="00830CE6" w:rsidRDefault="00830CE6" w:rsidP="00830CE6">
      <w:pPr>
        <w:spacing w:before="100" w:beforeAutospacing="1" w:after="100" w:afterAutospacing="1" w:line="360" w:lineRule="auto"/>
        <w:rPr>
          <w:rFonts w:ascii="Arial" w:eastAsiaTheme="minorEastAsia" w:hAnsi="Arial" w:cs="Arial"/>
          <w:b/>
          <w:bCs/>
          <w:kern w:val="0"/>
          <w:lang w:val="en-GB"/>
          <w14:ligatures w14:val="none"/>
        </w:rPr>
      </w:pPr>
    </w:p>
    <w:p w14:paraId="42F0184D" w14:textId="2F2A1676"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r w:rsidRPr="00830CE6">
        <w:rPr>
          <w:rFonts w:ascii="Arial" w:eastAsiaTheme="minorEastAsia" w:hAnsi="Arial" w:cs="Arial"/>
          <w:kern w:val="0"/>
          <w:lang w:val="en-GB"/>
          <w14:ligatures w14:val="none"/>
        </w:rPr>
        <w:t>A two-arm parallel-group RCT with a pre-post intervention design was used to examine O3 effects. This design was selected for its capacity to establish causal relationships and reduce confounding (Broom and Willis, 2007). Twenty male operational FFs from South Wales Fire and Rescue Service (SWFRS) who met criteria were randomly assigned using the sealed envelope method to either an O3 supplementation group or a no-treatment control group. Allocation was concealed using opaque sealed envelopes prepared in advance to reduce selection bias. All participants completed identical pre- and post-intervention assessments using the same equipment, testing conditions, and personnel. Use of an RCT allowed control of external influences and comparison of changes between groups with high internal validity. Repeated measures across time ensured reliable comparison of CV markers pre- and post-supplementation.</w:t>
      </w:r>
    </w:p>
    <w:p w14:paraId="0FE127A7" w14:textId="77777777"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r w:rsidRPr="00830CE6">
        <w:rPr>
          <w:rFonts w:ascii="Arial" w:eastAsiaTheme="minorEastAsia" w:hAnsi="Arial" w:cs="Arial"/>
          <w:kern w:val="0"/>
          <w:lang w:val="en-GB"/>
          <w14:ligatures w14:val="none"/>
        </w:rPr>
        <w:t>The trial was open-label and pragmatic because no placebo was used. A no-treatment control was selected to support feasibility within an operational FF setting and avoid introducing changes to habitual nutrition, lifestyle, or training behaviours during the intervention. This was intended to enhance ecological validity by reflecting real-world supplementation practice in operational FFs, although expectancy effects cannot be fully excluded.</w:t>
      </w:r>
    </w:p>
    <w:p w14:paraId="4BBAF7CD" w14:textId="77777777"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p>
    <w:p w14:paraId="5EC14DE9" w14:textId="77777777"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r w:rsidRPr="00830CE6">
        <w:rPr>
          <w:rFonts w:ascii="Arial" w:eastAsiaTheme="minorEastAsia" w:hAnsi="Arial" w:cs="Arial"/>
          <w:kern w:val="0"/>
          <w:lang w:val="en-GB"/>
          <w14:ligatures w14:val="none"/>
        </w:rPr>
        <w:lastRenderedPageBreak/>
        <w:t>Primary outcomes were objective physiological measures, reducing susceptibility to participant motivation or expectancy effects compared with subjective outcomes. Participants were asked not to discuss group allocation with colleagues, and no participant reported disclosure of allocation status to others during the study. However, absence of blinding may have introduced expectancy-related behavioural changes, an inherent limitation of open-label designs considered during interpretation.</w:t>
      </w:r>
    </w:p>
    <w:p w14:paraId="38D6C6B3" w14:textId="77777777"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p>
    <w:p w14:paraId="22919FD0" w14:textId="05E0CB28" w:rsidR="00830CE6" w:rsidRPr="00830CE6" w:rsidRDefault="008463E6" w:rsidP="00830CE6">
      <w:pPr>
        <w:keepNext/>
        <w:keepLines/>
        <w:spacing w:before="160" w:after="80" w:line="360" w:lineRule="auto"/>
        <w:outlineLvl w:val="1"/>
        <w:rPr>
          <w:rFonts w:ascii="Arial" w:eastAsiaTheme="majorEastAsia" w:hAnsi="Arial" w:cs="Arial"/>
          <w:color w:val="0F4761" w:themeColor="accent1" w:themeShade="BF"/>
          <w:sz w:val="32"/>
          <w:szCs w:val="32"/>
          <w:lang w:val="en-GB"/>
        </w:rPr>
      </w:pPr>
      <w:bookmarkStart w:id="45" w:name="_Toc228218286"/>
      <w:r>
        <w:rPr>
          <w:rFonts w:ascii="Arial" w:eastAsiaTheme="majorEastAsia" w:hAnsi="Arial" w:cs="Arial"/>
          <w:color w:val="0F4761" w:themeColor="accent1" w:themeShade="BF"/>
          <w:sz w:val="32"/>
          <w:szCs w:val="32"/>
          <w:lang w:val="en-GB"/>
        </w:rPr>
        <w:t>3</w:t>
      </w:r>
      <w:r w:rsidR="00830CE6" w:rsidRPr="00830CE6">
        <w:rPr>
          <w:rFonts w:ascii="Arial" w:eastAsiaTheme="majorEastAsia" w:hAnsi="Arial" w:cs="Arial"/>
          <w:color w:val="0F4761" w:themeColor="accent1" w:themeShade="BF"/>
          <w:sz w:val="32"/>
          <w:szCs w:val="32"/>
          <w:lang w:val="en-GB"/>
        </w:rPr>
        <w:t>.5 Participants</w:t>
      </w:r>
      <w:bookmarkEnd w:id="45"/>
      <w:r w:rsidR="00830CE6" w:rsidRPr="00830CE6">
        <w:rPr>
          <w:rFonts w:ascii="Arial" w:eastAsiaTheme="majorEastAsia" w:hAnsi="Arial" w:cs="Arial"/>
          <w:color w:val="0F4761" w:themeColor="accent1" w:themeShade="BF"/>
          <w:sz w:val="32"/>
          <w:szCs w:val="32"/>
          <w:lang w:val="en-GB"/>
        </w:rPr>
        <w:t xml:space="preserve"> </w:t>
      </w:r>
    </w:p>
    <w:p w14:paraId="47ACBFC9" w14:textId="77777777" w:rsidR="00830CE6" w:rsidRPr="00830CE6" w:rsidRDefault="00830CE6" w:rsidP="00830CE6">
      <w:pPr>
        <w:spacing w:before="100" w:beforeAutospacing="1" w:after="100" w:afterAutospacing="1" w:line="360" w:lineRule="auto"/>
        <w:rPr>
          <w:rFonts w:ascii="Arial" w:eastAsiaTheme="minorEastAsia" w:hAnsi="Arial" w:cs="Arial"/>
          <w:b/>
          <w:bCs/>
          <w:kern w:val="0"/>
          <w:lang w:val="en-GB"/>
          <w14:ligatures w14:val="none"/>
        </w:rPr>
      </w:pPr>
    </w:p>
    <w:p w14:paraId="2AA95F52" w14:textId="29768709"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r w:rsidRPr="00830CE6">
        <w:rPr>
          <w:rFonts w:ascii="Arial" w:eastAsiaTheme="minorEastAsia" w:hAnsi="Arial" w:cs="Arial"/>
          <w:kern w:val="0"/>
          <w:lang w:val="en-GB"/>
          <w14:ligatures w14:val="none"/>
        </w:rPr>
        <w:t>Twenty male participants were recruited from SWFRS. A pragmatic sample size of 20 was selected based on recruitment feasibility within an operational fire service setting and the requirement to complete repeated testing within service constraints. Inclusion criteria required participants to be operational FFs aged 20 to 60, with at least one year of active duty experience. All were required to have passed the most recent fire service physical fitness test and be free of injuries or diagnosed health conditions affecting participation. Medical clearance was confirmed via a completed PAR-Q. A total of 37 FFs were approached. One female expressed interest; however, the final sample comprised 20 male FFs who met eligibility criteria and completed the protocol. Remaining individuals either did not meet inclusion criteria or withdrew before baseline testing. Participant flow was recorded across recruitment, screening, baseline testing, and completion to support transparent reporting of retention and adherence.</w:t>
      </w:r>
    </w:p>
    <w:p w14:paraId="3EBA964B" w14:textId="77777777"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r w:rsidRPr="00830CE6">
        <w:rPr>
          <w:rFonts w:ascii="Arial" w:eastAsiaTheme="minorEastAsia" w:hAnsi="Arial" w:cs="Arial"/>
          <w:kern w:val="0"/>
          <w:lang w:val="en-GB"/>
          <w14:ligatures w14:val="none"/>
        </w:rPr>
        <w:t>Exclusion criteria included any CV, metabolic, or musculoskeletal disorder, recent illness or injury, or contraindication to O3 supplementation. All participants received detailed written information and gave informed written consent before participating.</w:t>
      </w:r>
    </w:p>
    <w:p w14:paraId="17249C5B" w14:textId="41DFA199" w:rsidR="00830CE6" w:rsidRPr="00830CE6" w:rsidRDefault="008463E6" w:rsidP="00830CE6">
      <w:pPr>
        <w:keepNext/>
        <w:keepLines/>
        <w:spacing w:before="160" w:after="80" w:line="360" w:lineRule="auto"/>
        <w:outlineLvl w:val="1"/>
        <w:rPr>
          <w:rFonts w:ascii="Arial" w:eastAsiaTheme="majorEastAsia" w:hAnsi="Arial" w:cs="Arial"/>
          <w:color w:val="0F4761" w:themeColor="accent1" w:themeShade="BF"/>
          <w:sz w:val="32"/>
          <w:szCs w:val="32"/>
          <w:lang w:val="en-GB"/>
        </w:rPr>
      </w:pPr>
      <w:bookmarkStart w:id="46" w:name="_Toc228218287"/>
      <w:r>
        <w:rPr>
          <w:rFonts w:ascii="Arial" w:eastAsiaTheme="majorEastAsia" w:hAnsi="Arial" w:cs="Arial"/>
          <w:color w:val="0F4761" w:themeColor="accent1" w:themeShade="BF"/>
          <w:sz w:val="32"/>
          <w:szCs w:val="32"/>
          <w:lang w:val="en-GB"/>
        </w:rPr>
        <w:t>3</w:t>
      </w:r>
      <w:r w:rsidR="00830CE6" w:rsidRPr="00830CE6">
        <w:rPr>
          <w:rFonts w:ascii="Arial" w:eastAsiaTheme="majorEastAsia" w:hAnsi="Arial" w:cs="Arial"/>
          <w:color w:val="0F4761" w:themeColor="accent1" w:themeShade="BF"/>
          <w:sz w:val="32"/>
          <w:szCs w:val="32"/>
          <w:lang w:val="en-GB"/>
        </w:rPr>
        <w:t>.6 Supplementation Protocol</w:t>
      </w:r>
      <w:bookmarkEnd w:id="46"/>
      <w:r w:rsidR="00830CE6" w:rsidRPr="00830CE6">
        <w:rPr>
          <w:rFonts w:ascii="Arial" w:eastAsiaTheme="majorEastAsia" w:hAnsi="Arial" w:cs="Arial"/>
          <w:color w:val="0F4761" w:themeColor="accent1" w:themeShade="BF"/>
          <w:sz w:val="32"/>
          <w:szCs w:val="32"/>
          <w:lang w:val="en-GB"/>
        </w:rPr>
        <w:t xml:space="preserve"> </w:t>
      </w:r>
    </w:p>
    <w:p w14:paraId="728F121E" w14:textId="77777777" w:rsidR="00830CE6" w:rsidRPr="00830CE6" w:rsidRDefault="00830CE6" w:rsidP="00830CE6">
      <w:pPr>
        <w:spacing w:before="100" w:beforeAutospacing="1" w:after="100" w:afterAutospacing="1" w:line="360" w:lineRule="auto"/>
        <w:rPr>
          <w:rFonts w:ascii="Arial" w:eastAsiaTheme="minorEastAsia" w:hAnsi="Arial" w:cs="Arial"/>
          <w:b/>
          <w:bCs/>
          <w:kern w:val="0"/>
          <w:lang w:val="en-GB"/>
          <w14:ligatures w14:val="none"/>
        </w:rPr>
      </w:pPr>
    </w:p>
    <w:p w14:paraId="0769B8B4" w14:textId="69BA5302"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r w:rsidRPr="00830CE6">
        <w:rPr>
          <w:rFonts w:ascii="Arial" w:eastAsiaTheme="minorEastAsia" w:hAnsi="Arial" w:cs="Arial"/>
          <w:kern w:val="0"/>
          <w:lang w:val="en-GB"/>
          <w14:ligatures w14:val="none"/>
        </w:rPr>
        <w:lastRenderedPageBreak/>
        <w:t>The intervention group consumed 3000 mg/day of Nordic Naturals Ultimate Omega 3, delivering 1.7 g EPA and 1.3 g DHA in re-esterified triglyceride (rTG) form. Re-esterified triglyceride O3 formulations have demonstrated greater increases in whole-blood O3 fatty acid levels than ethyl ester, phospholipid, and standard triglyceride oils in supplementation trials using this brand (</w:t>
      </w:r>
      <w:proofErr w:type="spellStart"/>
      <w:r w:rsidRPr="00830CE6">
        <w:rPr>
          <w:rFonts w:ascii="Arial" w:eastAsiaTheme="minorEastAsia" w:hAnsi="Arial" w:cs="Arial"/>
          <w:kern w:val="0"/>
          <w:lang w:val="en-GB"/>
          <w14:ligatures w14:val="none"/>
        </w:rPr>
        <w:t>Laidlaw</w:t>
      </w:r>
      <w:proofErr w:type="spellEnd"/>
      <w:r w:rsidRPr="00830CE6">
        <w:rPr>
          <w:rFonts w:ascii="Arial" w:eastAsiaTheme="minorEastAsia" w:hAnsi="Arial" w:cs="Arial"/>
          <w:kern w:val="0"/>
          <w:lang w:val="en-GB"/>
          <w14:ligatures w14:val="none"/>
        </w:rPr>
        <w:t xml:space="preserve"> </w:t>
      </w:r>
      <w:r w:rsidRPr="00830CE6">
        <w:rPr>
          <w:rFonts w:ascii="Arial" w:eastAsiaTheme="minorEastAsia" w:hAnsi="Arial" w:cs="Arial"/>
          <w:i/>
          <w:kern w:val="0"/>
          <w:lang w:val="en-GB"/>
          <w14:ligatures w14:val="none"/>
        </w:rPr>
        <w:t>et al.</w:t>
      </w:r>
      <w:r w:rsidRPr="00830CE6">
        <w:rPr>
          <w:rFonts w:ascii="Arial" w:eastAsiaTheme="minorEastAsia" w:hAnsi="Arial" w:cs="Arial"/>
          <w:kern w:val="0"/>
          <w:lang w:val="en-GB"/>
          <w14:ligatures w14:val="none"/>
        </w:rPr>
        <w:t xml:space="preserve">, 2014; Minton </w:t>
      </w:r>
      <w:r w:rsidRPr="00830CE6">
        <w:rPr>
          <w:rFonts w:ascii="Arial" w:eastAsiaTheme="minorEastAsia" w:hAnsi="Arial" w:cs="Arial"/>
          <w:i/>
          <w:kern w:val="0"/>
          <w:lang w:val="en-GB"/>
          <w14:ligatures w14:val="none"/>
        </w:rPr>
        <w:t>et al.</w:t>
      </w:r>
      <w:r w:rsidRPr="00830CE6">
        <w:rPr>
          <w:rFonts w:ascii="Arial" w:eastAsiaTheme="minorEastAsia" w:hAnsi="Arial" w:cs="Arial"/>
          <w:kern w:val="0"/>
          <w:lang w:val="en-GB"/>
          <w14:ligatures w14:val="none"/>
        </w:rPr>
        <w:t>, 2023).</w:t>
      </w:r>
    </w:p>
    <w:p w14:paraId="016C5C2C" w14:textId="3B05A275"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r w:rsidRPr="00830CE6">
        <w:rPr>
          <w:rFonts w:ascii="Arial" w:eastAsiaTheme="minorEastAsia" w:hAnsi="Arial" w:cs="Arial"/>
          <w:kern w:val="0"/>
          <w:lang w:val="en-GB"/>
          <w14:ligatures w14:val="none"/>
        </w:rPr>
        <w:t>Supplements were taken daily with meals for eight weeks, and adherence was monitored using self-reported supplement logs and capsule return at the end of the intervention, providing subjective and objective compliance checks.</w:t>
      </w:r>
    </w:p>
    <w:p w14:paraId="3518B045" w14:textId="77777777"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r w:rsidRPr="00830CE6">
        <w:rPr>
          <w:rFonts w:ascii="Arial" w:eastAsiaTheme="minorEastAsia" w:hAnsi="Arial" w:cs="Arial"/>
          <w:kern w:val="0"/>
          <w:lang w:val="en-GB"/>
          <w14:ligatures w14:val="none"/>
        </w:rPr>
        <w:t>The control group did not receive a placebo but followed the same testing protocols and dietary monitoring as the intervention group. Participants were instructed to maintain usual diet, exercise routines, and daily habits throughout the study to control lifestyle-related variables.</w:t>
      </w:r>
    </w:p>
    <w:p w14:paraId="0F2F07F5" w14:textId="77777777"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p>
    <w:p w14:paraId="1A510C86" w14:textId="386D8121" w:rsidR="00830CE6" w:rsidRPr="00830CE6" w:rsidRDefault="008463E6" w:rsidP="00830CE6">
      <w:pPr>
        <w:keepNext/>
        <w:keepLines/>
        <w:spacing w:before="160" w:after="80" w:line="360" w:lineRule="auto"/>
        <w:outlineLvl w:val="1"/>
        <w:rPr>
          <w:rFonts w:ascii="Arial" w:eastAsiaTheme="majorEastAsia" w:hAnsi="Arial" w:cs="Arial"/>
          <w:color w:val="0F4761" w:themeColor="accent1" w:themeShade="BF"/>
          <w:sz w:val="32"/>
          <w:szCs w:val="32"/>
          <w:lang w:val="en-GB"/>
        </w:rPr>
      </w:pPr>
      <w:bookmarkStart w:id="47" w:name="_Toc228218288"/>
      <w:r>
        <w:rPr>
          <w:rFonts w:ascii="Arial" w:eastAsiaTheme="majorEastAsia" w:hAnsi="Arial" w:cs="Arial"/>
          <w:color w:val="0F4761" w:themeColor="accent1" w:themeShade="BF"/>
          <w:sz w:val="32"/>
          <w:szCs w:val="32"/>
          <w:lang w:val="en-GB"/>
        </w:rPr>
        <w:t>3</w:t>
      </w:r>
      <w:r w:rsidR="00830CE6" w:rsidRPr="00830CE6">
        <w:rPr>
          <w:rFonts w:ascii="Arial" w:eastAsiaTheme="majorEastAsia" w:hAnsi="Arial" w:cs="Arial"/>
          <w:color w:val="0F4761" w:themeColor="accent1" w:themeShade="BF"/>
          <w:sz w:val="32"/>
          <w:szCs w:val="32"/>
          <w:lang w:val="en-GB"/>
        </w:rPr>
        <w:t>.7 Testing Procedures</w:t>
      </w:r>
      <w:bookmarkEnd w:id="47"/>
      <w:r w:rsidR="00830CE6" w:rsidRPr="00830CE6">
        <w:rPr>
          <w:rFonts w:ascii="Arial" w:eastAsiaTheme="majorEastAsia" w:hAnsi="Arial" w:cs="Arial"/>
          <w:color w:val="0F4761" w:themeColor="accent1" w:themeShade="BF"/>
          <w:sz w:val="32"/>
          <w:szCs w:val="32"/>
          <w:lang w:val="en-GB"/>
        </w:rPr>
        <w:t xml:space="preserve"> </w:t>
      </w:r>
    </w:p>
    <w:p w14:paraId="325A2997" w14:textId="77777777" w:rsidR="00830CE6" w:rsidRPr="00830CE6" w:rsidRDefault="00830CE6" w:rsidP="00830CE6">
      <w:pPr>
        <w:spacing w:before="100" w:beforeAutospacing="1" w:after="100" w:afterAutospacing="1" w:line="360" w:lineRule="auto"/>
        <w:rPr>
          <w:rFonts w:ascii="Arial" w:eastAsiaTheme="minorEastAsia" w:hAnsi="Arial" w:cs="Arial"/>
          <w:b/>
          <w:bCs/>
          <w:kern w:val="0"/>
          <w:lang w:val="en-GB"/>
          <w14:ligatures w14:val="none"/>
        </w:rPr>
      </w:pPr>
    </w:p>
    <w:p w14:paraId="47FA4AD4" w14:textId="797864A2" w:rsidR="00830CE6" w:rsidRPr="00830CE6" w:rsidRDefault="008463E6" w:rsidP="00830CE6">
      <w:pPr>
        <w:keepNext/>
        <w:keepLines/>
        <w:spacing w:before="160" w:after="80" w:line="360" w:lineRule="auto"/>
        <w:outlineLvl w:val="2"/>
        <w:rPr>
          <w:rFonts w:ascii="Arial" w:eastAsiaTheme="majorEastAsia" w:hAnsi="Arial" w:cs="Arial"/>
          <w:color w:val="0F4761" w:themeColor="accent1" w:themeShade="BF"/>
          <w:sz w:val="28"/>
          <w:szCs w:val="28"/>
          <w:lang w:val="en-GB"/>
        </w:rPr>
      </w:pPr>
      <w:bookmarkStart w:id="48" w:name="_Toc228218289"/>
      <w:r>
        <w:rPr>
          <w:rFonts w:ascii="Arial" w:eastAsiaTheme="majorEastAsia" w:hAnsi="Arial" w:cs="Arial"/>
          <w:color w:val="0F4761" w:themeColor="accent1" w:themeShade="BF"/>
          <w:sz w:val="28"/>
          <w:szCs w:val="28"/>
          <w:lang w:val="en-GB"/>
        </w:rPr>
        <w:t>3</w:t>
      </w:r>
      <w:r w:rsidR="00830CE6" w:rsidRPr="00830CE6">
        <w:rPr>
          <w:rFonts w:ascii="Arial" w:eastAsiaTheme="majorEastAsia" w:hAnsi="Arial" w:cs="Arial"/>
          <w:color w:val="0F4761" w:themeColor="accent1" w:themeShade="BF"/>
          <w:sz w:val="28"/>
          <w:szCs w:val="28"/>
          <w:lang w:val="en-GB"/>
        </w:rPr>
        <w:t>.7.1 Resting CV Measures</w:t>
      </w:r>
      <w:bookmarkEnd w:id="48"/>
      <w:r w:rsidR="00830CE6" w:rsidRPr="00830CE6">
        <w:rPr>
          <w:rFonts w:ascii="Arial" w:eastAsiaTheme="majorEastAsia" w:hAnsi="Arial" w:cs="Arial"/>
          <w:color w:val="0F4761" w:themeColor="accent1" w:themeShade="BF"/>
          <w:sz w:val="28"/>
          <w:szCs w:val="28"/>
          <w:lang w:val="en-GB"/>
        </w:rPr>
        <w:t xml:space="preserve">  </w:t>
      </w:r>
    </w:p>
    <w:p w14:paraId="6815755A" w14:textId="77777777" w:rsidR="00830CE6" w:rsidRPr="00830CE6" w:rsidRDefault="00830CE6" w:rsidP="00830CE6">
      <w:pPr>
        <w:spacing w:before="100" w:beforeAutospacing="1" w:after="100" w:afterAutospacing="1" w:line="360" w:lineRule="auto"/>
        <w:rPr>
          <w:rFonts w:ascii="Arial" w:eastAsiaTheme="minorEastAsia" w:hAnsi="Arial" w:cs="Arial"/>
          <w:b/>
          <w:bCs/>
          <w:kern w:val="0"/>
          <w:lang w:val="en-GB"/>
          <w14:ligatures w14:val="none"/>
        </w:rPr>
      </w:pPr>
    </w:p>
    <w:p w14:paraId="3A06598B" w14:textId="7B0A5BB2"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r w:rsidRPr="00830CE6">
        <w:rPr>
          <w:rFonts w:ascii="Arial" w:eastAsiaTheme="minorEastAsia" w:hAnsi="Arial" w:cs="Arial"/>
          <w:kern w:val="0"/>
          <w:lang w:val="en-GB"/>
          <w14:ligatures w14:val="none"/>
        </w:rPr>
        <w:t>Resting HR and BP were recorded using an automated upper-arm BP monitor (</w:t>
      </w:r>
      <w:proofErr w:type="spellStart"/>
      <w:r w:rsidRPr="00830CE6">
        <w:rPr>
          <w:rFonts w:ascii="Arial" w:eastAsiaTheme="minorEastAsia" w:hAnsi="Arial" w:cs="Arial"/>
          <w:kern w:val="0"/>
          <w:lang w:val="en-GB"/>
          <w14:ligatures w14:val="none"/>
        </w:rPr>
        <w:t>Omron</w:t>
      </w:r>
      <w:proofErr w:type="spellEnd"/>
      <w:r w:rsidRPr="00830CE6">
        <w:rPr>
          <w:rFonts w:ascii="Arial" w:eastAsiaTheme="minorEastAsia" w:hAnsi="Arial" w:cs="Arial"/>
          <w:kern w:val="0"/>
          <w:lang w:val="en-GB"/>
          <w14:ligatures w14:val="none"/>
        </w:rPr>
        <w:t xml:space="preserve"> M3 Comfort, HEM-7155-E), in accordance with validated protocols and manufacturer guidance (Topouchian </w:t>
      </w:r>
      <w:r w:rsidRPr="00830CE6">
        <w:rPr>
          <w:rFonts w:ascii="Arial" w:eastAsiaTheme="minorEastAsia" w:hAnsi="Arial" w:cs="Arial"/>
          <w:i/>
          <w:kern w:val="0"/>
          <w:lang w:val="en-GB"/>
          <w14:ligatures w14:val="none"/>
        </w:rPr>
        <w:t>et al.</w:t>
      </w:r>
      <w:r w:rsidRPr="00830CE6">
        <w:rPr>
          <w:rFonts w:ascii="Arial" w:eastAsiaTheme="minorEastAsia" w:hAnsi="Arial" w:cs="Arial"/>
          <w:kern w:val="0"/>
          <w:lang w:val="en-GB"/>
          <w14:ligatures w14:val="none"/>
        </w:rPr>
        <w:t xml:space="preserve">, 2018; Stergiou </w:t>
      </w:r>
      <w:r w:rsidRPr="00830CE6">
        <w:rPr>
          <w:rFonts w:ascii="Arial" w:eastAsiaTheme="minorEastAsia" w:hAnsi="Arial" w:cs="Arial"/>
          <w:i/>
          <w:kern w:val="0"/>
          <w:lang w:val="en-GB"/>
          <w14:ligatures w14:val="none"/>
        </w:rPr>
        <w:t>et al.</w:t>
      </w:r>
      <w:r w:rsidRPr="00830CE6">
        <w:rPr>
          <w:rFonts w:ascii="Arial" w:eastAsiaTheme="minorEastAsia" w:hAnsi="Arial" w:cs="Arial"/>
          <w:kern w:val="0"/>
          <w:lang w:val="en-GB"/>
          <w14:ligatures w14:val="none"/>
        </w:rPr>
        <w:t xml:space="preserve">, 2021). </w:t>
      </w:r>
    </w:p>
    <w:p w14:paraId="20A5F5B3" w14:textId="77777777"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r w:rsidRPr="00830CE6">
        <w:rPr>
          <w:rFonts w:ascii="Arial" w:eastAsiaTheme="minorEastAsia" w:hAnsi="Arial" w:cs="Arial"/>
          <w:kern w:val="0"/>
          <w:lang w:val="en-GB"/>
          <w14:ligatures w14:val="none"/>
        </w:rPr>
        <w:t xml:space="preserve">Measurements were completed across four consecutive days before baseline testing and repeated across four consecutive days before post-intervention testing. In line with European Society of Hypertension guidance, participants completed morning and evening measurements before meals and, where applicable, before medication intake (Stergiou </w:t>
      </w:r>
      <w:r w:rsidRPr="00830CE6">
        <w:rPr>
          <w:rFonts w:ascii="Arial" w:eastAsiaTheme="minorEastAsia" w:hAnsi="Arial" w:cs="Arial"/>
          <w:i/>
          <w:kern w:val="0"/>
          <w:lang w:val="en-GB"/>
          <w14:ligatures w14:val="none"/>
        </w:rPr>
        <w:t>et al.</w:t>
      </w:r>
      <w:r w:rsidRPr="00830CE6">
        <w:rPr>
          <w:rFonts w:ascii="Arial" w:eastAsiaTheme="minorEastAsia" w:hAnsi="Arial" w:cs="Arial"/>
          <w:kern w:val="0"/>
          <w:lang w:val="en-GB"/>
          <w14:ligatures w14:val="none"/>
        </w:rPr>
        <w:t xml:space="preserve">, 2021). On each occasion, two consecutive measurements were taken </w:t>
      </w:r>
      <w:r w:rsidRPr="00830CE6">
        <w:rPr>
          <w:rFonts w:ascii="Arial" w:eastAsiaTheme="minorEastAsia" w:hAnsi="Arial" w:cs="Arial"/>
          <w:kern w:val="0"/>
          <w:lang w:val="en-GB"/>
          <w14:ligatures w14:val="none"/>
        </w:rPr>
        <w:lastRenderedPageBreak/>
        <w:t xml:space="preserve">with one minute between readings, with the mean of the two recorded for that occasion (Stergiou </w:t>
      </w:r>
      <w:r w:rsidRPr="00830CE6">
        <w:rPr>
          <w:rFonts w:ascii="Arial" w:eastAsiaTheme="minorEastAsia" w:hAnsi="Arial" w:cs="Arial"/>
          <w:i/>
          <w:kern w:val="0"/>
          <w:lang w:val="en-GB"/>
          <w14:ligatures w14:val="none"/>
        </w:rPr>
        <w:t>et al.</w:t>
      </w:r>
      <w:r w:rsidRPr="00830CE6">
        <w:rPr>
          <w:rFonts w:ascii="Arial" w:eastAsiaTheme="minorEastAsia" w:hAnsi="Arial" w:cs="Arial"/>
          <w:kern w:val="0"/>
          <w:lang w:val="en-GB"/>
          <w14:ligatures w14:val="none"/>
        </w:rPr>
        <w:t>, 2021).</w:t>
      </w:r>
    </w:p>
    <w:p w14:paraId="4DBE614C" w14:textId="1825C16E"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r w:rsidRPr="00830CE6">
        <w:rPr>
          <w:rFonts w:ascii="Arial" w:eastAsiaTheme="minorEastAsia" w:hAnsi="Arial" w:cs="Arial"/>
          <w:kern w:val="0"/>
          <w:lang w:val="en-GB"/>
          <w14:ligatures w14:val="none"/>
        </w:rPr>
        <w:t xml:space="preserve">Measurements were conducted in a quiet room with comfortable temperature, with participants instructed to avoid smoking, caffeine, food, and exercise for 30 minutes beforehand (Stergiou </w:t>
      </w:r>
      <w:r w:rsidRPr="00830CE6">
        <w:rPr>
          <w:rFonts w:ascii="Arial" w:eastAsiaTheme="minorEastAsia" w:hAnsi="Arial" w:cs="Arial"/>
          <w:i/>
          <w:kern w:val="0"/>
          <w:lang w:val="en-GB"/>
          <w14:ligatures w14:val="none"/>
        </w:rPr>
        <w:t>et al.</w:t>
      </w:r>
      <w:r w:rsidRPr="00830CE6">
        <w:rPr>
          <w:rFonts w:ascii="Arial" w:eastAsiaTheme="minorEastAsia" w:hAnsi="Arial" w:cs="Arial"/>
          <w:kern w:val="0"/>
          <w:lang w:val="en-GB"/>
          <w14:ligatures w14:val="none"/>
        </w:rPr>
        <w:t xml:space="preserve">, 2021). Participants remained seated and relaxed for 3–5 minutes before measurement and were instructed not to talk during or between readings (Stergiou </w:t>
      </w:r>
      <w:r w:rsidRPr="00830CE6">
        <w:rPr>
          <w:rFonts w:ascii="Arial" w:eastAsiaTheme="minorEastAsia" w:hAnsi="Arial" w:cs="Arial"/>
          <w:i/>
          <w:kern w:val="0"/>
          <w:lang w:val="en-GB"/>
          <w14:ligatures w14:val="none"/>
        </w:rPr>
        <w:t>et al.</w:t>
      </w:r>
      <w:r w:rsidRPr="00830CE6">
        <w:rPr>
          <w:rFonts w:ascii="Arial" w:eastAsiaTheme="minorEastAsia" w:hAnsi="Arial" w:cs="Arial"/>
          <w:kern w:val="0"/>
          <w:lang w:val="en-GB"/>
          <w14:ligatures w14:val="none"/>
        </w:rPr>
        <w:t xml:space="preserve">, 2021). Posture was standardised, with participants seated with back supported, legs uncrossed, feet flat on the floor, and bare arm supported on a table with mid-arm at heart level (Stergiou </w:t>
      </w:r>
      <w:r w:rsidRPr="00830CE6">
        <w:rPr>
          <w:rFonts w:ascii="Arial" w:eastAsiaTheme="minorEastAsia" w:hAnsi="Arial" w:cs="Arial"/>
          <w:i/>
          <w:kern w:val="0"/>
          <w:lang w:val="en-GB"/>
          <w14:ligatures w14:val="none"/>
        </w:rPr>
        <w:t>et al.</w:t>
      </w:r>
      <w:r w:rsidRPr="00830CE6">
        <w:rPr>
          <w:rFonts w:ascii="Arial" w:eastAsiaTheme="minorEastAsia" w:hAnsi="Arial" w:cs="Arial"/>
          <w:kern w:val="0"/>
          <w:lang w:val="en-GB"/>
          <w14:ligatures w14:val="none"/>
        </w:rPr>
        <w:t xml:space="preserve">, 2021). Cuff size was selected according to arm circumference and device guidance, and the cuff applied to the bare upper arm in accordance with manufacturer instructions (Stergiou </w:t>
      </w:r>
      <w:r w:rsidRPr="00830CE6">
        <w:rPr>
          <w:rFonts w:ascii="Arial" w:eastAsiaTheme="minorEastAsia" w:hAnsi="Arial" w:cs="Arial"/>
          <w:i/>
          <w:kern w:val="0"/>
          <w:lang w:val="en-GB"/>
          <w14:ligatures w14:val="none"/>
        </w:rPr>
        <w:t>et al.</w:t>
      </w:r>
      <w:r w:rsidRPr="00830CE6">
        <w:rPr>
          <w:rFonts w:ascii="Arial" w:eastAsiaTheme="minorEastAsia" w:hAnsi="Arial" w:cs="Arial"/>
          <w:kern w:val="0"/>
          <w:lang w:val="en-GB"/>
          <w14:ligatures w14:val="none"/>
        </w:rPr>
        <w:t>, 2021).</w:t>
      </w:r>
    </w:p>
    <w:p w14:paraId="1BA77761" w14:textId="77777777"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r w:rsidRPr="00830CE6">
        <w:rPr>
          <w:rFonts w:ascii="Arial" w:eastAsiaTheme="minorEastAsia" w:hAnsi="Arial" w:cs="Arial"/>
          <w:kern w:val="0"/>
          <w:lang w:val="en-GB"/>
          <w14:ligatures w14:val="none"/>
        </w:rPr>
        <w:t xml:space="preserve">For analysis, the daily mean was calculated from morning and evening occasion means, and final resting values derived from the mean of the four daily means, reducing day-to-day variability and improving estimate stability (Stergiou </w:t>
      </w:r>
      <w:r w:rsidRPr="00830CE6">
        <w:rPr>
          <w:rFonts w:ascii="Arial" w:eastAsiaTheme="minorEastAsia" w:hAnsi="Arial" w:cs="Arial"/>
          <w:i/>
          <w:kern w:val="0"/>
          <w:lang w:val="en-GB"/>
          <w14:ligatures w14:val="none"/>
        </w:rPr>
        <w:t>et al.</w:t>
      </w:r>
      <w:r w:rsidRPr="00830CE6">
        <w:rPr>
          <w:rFonts w:ascii="Arial" w:eastAsiaTheme="minorEastAsia" w:hAnsi="Arial" w:cs="Arial"/>
          <w:kern w:val="0"/>
          <w:lang w:val="en-GB"/>
          <w14:ligatures w14:val="none"/>
        </w:rPr>
        <w:t>, 2021).</w:t>
      </w:r>
    </w:p>
    <w:p w14:paraId="029B84C1" w14:textId="77777777"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p>
    <w:p w14:paraId="2340A2A7" w14:textId="5D16BE7D" w:rsidR="00830CE6" w:rsidRPr="00830CE6" w:rsidRDefault="008463E6" w:rsidP="00830CE6">
      <w:pPr>
        <w:keepNext/>
        <w:keepLines/>
        <w:spacing w:before="160" w:after="80" w:line="360" w:lineRule="auto"/>
        <w:outlineLvl w:val="2"/>
        <w:rPr>
          <w:rFonts w:ascii="Arial" w:eastAsiaTheme="majorEastAsia" w:hAnsi="Arial" w:cs="Arial"/>
          <w:color w:val="0F4761" w:themeColor="accent1" w:themeShade="BF"/>
          <w:sz w:val="28"/>
          <w:szCs w:val="28"/>
          <w:lang w:val="en-GB"/>
        </w:rPr>
      </w:pPr>
      <w:bookmarkStart w:id="49" w:name="_Toc228218290"/>
      <w:r>
        <w:rPr>
          <w:rFonts w:ascii="Arial" w:eastAsiaTheme="majorEastAsia" w:hAnsi="Arial" w:cs="Arial"/>
          <w:color w:val="0F4761" w:themeColor="accent1" w:themeShade="BF"/>
          <w:sz w:val="28"/>
          <w:szCs w:val="28"/>
          <w:lang w:val="en-GB"/>
        </w:rPr>
        <w:t>3</w:t>
      </w:r>
      <w:r w:rsidR="00830CE6" w:rsidRPr="00830CE6">
        <w:rPr>
          <w:rFonts w:ascii="Arial" w:eastAsiaTheme="majorEastAsia" w:hAnsi="Arial" w:cs="Arial"/>
          <w:color w:val="0F4761" w:themeColor="accent1" w:themeShade="BF"/>
          <w:sz w:val="28"/>
          <w:szCs w:val="28"/>
          <w:lang w:val="en-GB"/>
        </w:rPr>
        <w:t>.7.2 Submaximal Exercise Testing</w:t>
      </w:r>
      <w:bookmarkEnd w:id="49"/>
      <w:r w:rsidR="00830CE6" w:rsidRPr="00830CE6">
        <w:rPr>
          <w:rFonts w:ascii="Arial" w:eastAsiaTheme="majorEastAsia" w:hAnsi="Arial" w:cs="Arial"/>
          <w:color w:val="0F4761" w:themeColor="accent1" w:themeShade="BF"/>
          <w:sz w:val="28"/>
          <w:szCs w:val="28"/>
          <w:lang w:val="en-GB"/>
        </w:rPr>
        <w:t xml:space="preserve"> </w:t>
      </w:r>
    </w:p>
    <w:p w14:paraId="01AC9F8A" w14:textId="77777777" w:rsidR="00830CE6" w:rsidRPr="00830CE6" w:rsidRDefault="00830CE6" w:rsidP="00830CE6">
      <w:pPr>
        <w:spacing w:before="100" w:beforeAutospacing="1" w:after="100" w:afterAutospacing="1" w:line="360" w:lineRule="auto"/>
        <w:rPr>
          <w:rFonts w:ascii="Arial" w:eastAsiaTheme="minorEastAsia" w:hAnsi="Arial" w:cs="Arial"/>
          <w:b/>
          <w:bCs/>
          <w:kern w:val="0"/>
          <w:lang w:val="en-GB"/>
          <w14:ligatures w14:val="none"/>
        </w:rPr>
      </w:pPr>
    </w:p>
    <w:p w14:paraId="56712475" w14:textId="77777777"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r w:rsidRPr="00830CE6">
        <w:rPr>
          <w:rFonts w:ascii="Arial" w:eastAsiaTheme="minorEastAsia" w:hAnsi="Arial" w:cs="Arial"/>
          <w:kern w:val="0"/>
          <w:lang w:val="en-GB"/>
          <w14:ligatures w14:val="none"/>
        </w:rPr>
        <w:t xml:space="preserve">Submaximal CV performance was assessed using the CTT, a standardised graded exercise protocol used in UK fire services (Birks, 2015). Participants walked at 6.2 km/h for 12 minutes. The test began at 0% incline, increasing by 3% every three minutes. HR was monitored at rest, every three minutes during the test, and at the 12-minute endpoint using a Polar H10 chest strap. Participants were instructed to report any chest pain, dizziness, unusual breathlessness, or musculoskeletal pain immediately. The test was terminated if symptoms occurred, if the participant requested to stop, or if the assessor judged continuation unsafe. Both average HR and endpoint HR were used as outcome measures. The CTT has been shown to be valid and reliable in tactical populations, including FFs (Hart </w:t>
      </w:r>
      <w:r w:rsidRPr="00830CE6">
        <w:rPr>
          <w:rFonts w:ascii="Arial" w:eastAsiaTheme="minorEastAsia" w:hAnsi="Arial" w:cs="Arial"/>
          <w:i/>
          <w:kern w:val="0"/>
          <w:lang w:val="en-GB"/>
          <w14:ligatures w14:val="none"/>
        </w:rPr>
        <w:t>et al.</w:t>
      </w:r>
      <w:r w:rsidRPr="00830CE6">
        <w:rPr>
          <w:rFonts w:ascii="Arial" w:eastAsiaTheme="minorEastAsia" w:hAnsi="Arial" w:cs="Arial"/>
          <w:kern w:val="0"/>
          <w:lang w:val="en-GB"/>
          <w14:ligatures w14:val="none"/>
        </w:rPr>
        <w:t>, 2024; Birks, 2015).</w:t>
      </w:r>
    </w:p>
    <w:p w14:paraId="4D90869B" w14:textId="77777777"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p>
    <w:p w14:paraId="3C88BA95" w14:textId="49055577" w:rsidR="00830CE6" w:rsidRPr="00830CE6" w:rsidRDefault="008463E6" w:rsidP="00830CE6">
      <w:pPr>
        <w:keepNext/>
        <w:keepLines/>
        <w:spacing w:before="160" w:after="80" w:line="360" w:lineRule="auto"/>
        <w:outlineLvl w:val="1"/>
        <w:rPr>
          <w:rFonts w:ascii="Arial" w:eastAsiaTheme="majorEastAsia" w:hAnsi="Arial" w:cs="Arial"/>
          <w:color w:val="0F4761" w:themeColor="accent1" w:themeShade="BF"/>
          <w:sz w:val="32"/>
          <w:szCs w:val="32"/>
          <w:lang w:val="en-GB"/>
        </w:rPr>
      </w:pPr>
      <w:bookmarkStart w:id="50" w:name="_Toc228218291"/>
      <w:r>
        <w:rPr>
          <w:rFonts w:ascii="Arial" w:eastAsiaTheme="majorEastAsia" w:hAnsi="Arial" w:cs="Arial"/>
          <w:color w:val="0F4761" w:themeColor="accent1" w:themeShade="BF"/>
          <w:sz w:val="32"/>
          <w:szCs w:val="32"/>
          <w:lang w:val="en-GB"/>
        </w:rPr>
        <w:t>3</w:t>
      </w:r>
      <w:r w:rsidR="00830CE6" w:rsidRPr="00830CE6">
        <w:rPr>
          <w:rFonts w:ascii="Arial" w:eastAsiaTheme="majorEastAsia" w:hAnsi="Arial" w:cs="Arial"/>
          <w:color w:val="0F4761" w:themeColor="accent1" w:themeShade="BF"/>
          <w:sz w:val="32"/>
          <w:szCs w:val="32"/>
          <w:lang w:val="en-GB"/>
        </w:rPr>
        <w:t>.8 Dietary Monitoring</w:t>
      </w:r>
      <w:bookmarkEnd w:id="50"/>
      <w:r w:rsidR="00830CE6" w:rsidRPr="00830CE6">
        <w:rPr>
          <w:rFonts w:ascii="Arial" w:eastAsiaTheme="majorEastAsia" w:hAnsi="Arial" w:cs="Arial"/>
          <w:color w:val="0F4761" w:themeColor="accent1" w:themeShade="BF"/>
          <w:sz w:val="32"/>
          <w:szCs w:val="32"/>
          <w:lang w:val="en-GB"/>
        </w:rPr>
        <w:t xml:space="preserve"> </w:t>
      </w:r>
    </w:p>
    <w:p w14:paraId="646AAA89" w14:textId="77777777" w:rsidR="00830CE6" w:rsidRPr="00830CE6" w:rsidRDefault="00830CE6" w:rsidP="00830CE6">
      <w:pPr>
        <w:spacing w:before="100" w:beforeAutospacing="1" w:after="100" w:afterAutospacing="1" w:line="360" w:lineRule="auto"/>
        <w:rPr>
          <w:rFonts w:ascii="Arial" w:eastAsiaTheme="minorEastAsia" w:hAnsi="Arial" w:cs="Arial"/>
          <w:b/>
          <w:bCs/>
          <w:kern w:val="0"/>
          <w:lang w:val="en-GB"/>
          <w14:ligatures w14:val="none"/>
        </w:rPr>
      </w:pPr>
    </w:p>
    <w:p w14:paraId="5CBD11DD" w14:textId="098A7F07"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r w:rsidRPr="00830CE6">
        <w:rPr>
          <w:rFonts w:ascii="Arial" w:eastAsiaTheme="minorEastAsia" w:hAnsi="Arial" w:cs="Arial"/>
          <w:kern w:val="0"/>
          <w:lang w:val="en-GB"/>
          <w14:ligatures w14:val="none"/>
        </w:rPr>
        <w:t xml:space="preserve">Participants completed a three-day food diary at baseline, comprising two weekdays and one weekend day. Research highlights advantages of 3-day food diaries, with some reporting lower percentage absolute errors (12-22%) than 24 h recall (19-39%) and 5-day diary (20-33%) (Crawford </w:t>
      </w:r>
      <w:r w:rsidRPr="00830CE6">
        <w:rPr>
          <w:rFonts w:ascii="Arial" w:eastAsiaTheme="minorEastAsia" w:hAnsi="Arial" w:cs="Arial"/>
          <w:i/>
          <w:kern w:val="0"/>
          <w:lang w:val="en-GB"/>
          <w14:ligatures w14:val="none"/>
        </w:rPr>
        <w:t>et al.</w:t>
      </w:r>
      <w:r w:rsidRPr="00830CE6">
        <w:rPr>
          <w:rFonts w:ascii="Arial" w:eastAsiaTheme="minorEastAsia" w:hAnsi="Arial" w:cs="Arial"/>
          <w:kern w:val="0"/>
          <w:lang w:val="en-GB"/>
          <w14:ligatures w14:val="none"/>
        </w:rPr>
        <w:t xml:space="preserve">, 1994). Increasing recording days reduces record quality and, although longer methods may capture more intake occasions, 3-day records are considered valid for estimating average intake while reducing survey fatigue, thus balancing reliability and burden (Ortega </w:t>
      </w:r>
      <w:r w:rsidRPr="00830CE6">
        <w:rPr>
          <w:rFonts w:ascii="Arial" w:eastAsiaTheme="minorEastAsia" w:hAnsi="Arial" w:cs="Arial"/>
          <w:i/>
          <w:kern w:val="0"/>
          <w:lang w:val="en-GB"/>
          <w14:ligatures w14:val="none"/>
        </w:rPr>
        <w:t>et al.</w:t>
      </w:r>
      <w:r w:rsidRPr="00830CE6">
        <w:rPr>
          <w:rFonts w:ascii="Arial" w:eastAsiaTheme="minorEastAsia" w:hAnsi="Arial" w:cs="Arial"/>
          <w:kern w:val="0"/>
          <w:lang w:val="en-GB"/>
          <w14:ligatures w14:val="none"/>
        </w:rPr>
        <w:t xml:space="preserve">, 2015; Yang </w:t>
      </w:r>
      <w:r w:rsidRPr="00830CE6">
        <w:rPr>
          <w:rFonts w:ascii="Arial" w:eastAsiaTheme="minorEastAsia" w:hAnsi="Arial" w:cs="Arial"/>
          <w:i/>
          <w:kern w:val="0"/>
          <w:lang w:val="en-GB"/>
          <w14:ligatures w14:val="none"/>
        </w:rPr>
        <w:t>et al.</w:t>
      </w:r>
      <w:r w:rsidRPr="00830CE6">
        <w:rPr>
          <w:rFonts w:ascii="Arial" w:eastAsiaTheme="minorEastAsia" w:hAnsi="Arial" w:cs="Arial"/>
          <w:kern w:val="0"/>
          <w:lang w:val="en-GB"/>
          <w14:ligatures w14:val="none"/>
        </w:rPr>
        <w:t xml:space="preserve">, 2015; Johnson and Meyer, 2020). </w:t>
      </w:r>
    </w:p>
    <w:p w14:paraId="620A1481" w14:textId="64120998"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r w:rsidRPr="00830CE6">
        <w:rPr>
          <w:rFonts w:ascii="Arial" w:eastAsiaTheme="minorEastAsia" w:hAnsi="Arial" w:cs="Arial"/>
          <w:kern w:val="0"/>
          <w:lang w:val="en-GB"/>
          <w14:ligatures w14:val="none"/>
        </w:rPr>
        <w:t xml:space="preserve">Dietary records were analysed using Nutritics software (Nutritics Ltd, 2024) to characterise habitual intake and baseline group equivalence. Participants were instructed not to change diet, training, or lifestyle behaviours during the intervention to minimise confounding. </w:t>
      </w:r>
    </w:p>
    <w:p w14:paraId="37C1783F" w14:textId="77777777"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r w:rsidRPr="00830CE6">
        <w:rPr>
          <w:rFonts w:ascii="Arial" w:eastAsiaTheme="minorEastAsia" w:hAnsi="Arial" w:cs="Arial"/>
          <w:kern w:val="0"/>
          <w:lang w:val="en-GB"/>
          <w14:ligatures w14:val="none"/>
        </w:rPr>
        <w:t xml:space="preserve">Nutritics determined total energy intake, macronutrient composition, and omega-6 to O3 fatty acid ratios. Food diary methods are widely used in performance nutrition and provide a validated estimate of short-term dietary patterns (Jospe </w:t>
      </w:r>
      <w:r w:rsidRPr="00830CE6">
        <w:rPr>
          <w:rFonts w:ascii="Arial" w:eastAsiaTheme="minorEastAsia" w:hAnsi="Arial" w:cs="Arial"/>
          <w:i/>
          <w:kern w:val="0"/>
          <w:lang w:val="en-GB"/>
          <w14:ligatures w14:val="none"/>
        </w:rPr>
        <w:t>et al.</w:t>
      </w:r>
      <w:r w:rsidRPr="00830CE6">
        <w:rPr>
          <w:rFonts w:ascii="Arial" w:eastAsiaTheme="minorEastAsia" w:hAnsi="Arial" w:cs="Arial"/>
          <w:kern w:val="0"/>
          <w:lang w:val="en-GB"/>
          <w14:ligatures w14:val="none"/>
        </w:rPr>
        <w:t xml:space="preserve">, 2015; Johnson and Mayer, 2020; Burke and Deakin, 2021; Jeukendrup and Gleeson, 2019), and commonly use Nutritics as a viable platform for nutrition analysis (Cremona </w:t>
      </w:r>
      <w:r w:rsidRPr="00830CE6">
        <w:rPr>
          <w:rFonts w:ascii="Arial" w:eastAsiaTheme="minorEastAsia" w:hAnsi="Arial" w:cs="Arial"/>
          <w:i/>
          <w:kern w:val="0"/>
          <w:lang w:val="en-GB"/>
          <w14:ligatures w14:val="none"/>
        </w:rPr>
        <w:t>et al.</w:t>
      </w:r>
      <w:r w:rsidRPr="00830CE6">
        <w:rPr>
          <w:rFonts w:ascii="Arial" w:eastAsiaTheme="minorEastAsia" w:hAnsi="Arial" w:cs="Arial"/>
          <w:kern w:val="0"/>
          <w:lang w:val="en-GB"/>
          <w14:ligatures w14:val="none"/>
        </w:rPr>
        <w:t xml:space="preserve">, 2026; Turner </w:t>
      </w:r>
      <w:r w:rsidRPr="00830CE6">
        <w:rPr>
          <w:rFonts w:ascii="Arial" w:eastAsiaTheme="minorEastAsia" w:hAnsi="Arial" w:cs="Arial"/>
          <w:i/>
          <w:kern w:val="0"/>
          <w:lang w:val="en-GB"/>
          <w14:ligatures w14:val="none"/>
        </w:rPr>
        <w:t>et al.</w:t>
      </w:r>
      <w:r w:rsidRPr="00830CE6">
        <w:rPr>
          <w:rFonts w:ascii="Arial" w:eastAsiaTheme="minorEastAsia" w:hAnsi="Arial" w:cs="Arial"/>
          <w:kern w:val="0"/>
          <w:lang w:val="en-GB"/>
          <w14:ligatures w14:val="none"/>
        </w:rPr>
        <w:t xml:space="preserve">, 2025). Participants were advised to avoid major changes in dietary habits or supplement use during the study. </w:t>
      </w:r>
    </w:p>
    <w:p w14:paraId="142EEB7F" w14:textId="77777777" w:rsid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p>
    <w:p w14:paraId="5F54E9D6" w14:textId="77777777" w:rsidR="00DE3D31" w:rsidRPr="00830CE6" w:rsidRDefault="00DE3D31" w:rsidP="00830CE6">
      <w:pPr>
        <w:spacing w:before="100" w:beforeAutospacing="1" w:after="100" w:afterAutospacing="1" w:line="360" w:lineRule="auto"/>
        <w:rPr>
          <w:rFonts w:ascii="Arial" w:eastAsiaTheme="minorEastAsia" w:hAnsi="Arial" w:cs="Arial"/>
          <w:kern w:val="0"/>
          <w:lang w:val="en-GB"/>
          <w14:ligatures w14:val="none"/>
        </w:rPr>
      </w:pPr>
    </w:p>
    <w:p w14:paraId="670D1C1C" w14:textId="32D237B4" w:rsidR="00830CE6" w:rsidRPr="00830CE6" w:rsidRDefault="008463E6" w:rsidP="00830CE6">
      <w:pPr>
        <w:keepNext/>
        <w:keepLines/>
        <w:spacing w:before="160" w:after="80" w:line="360" w:lineRule="auto"/>
        <w:outlineLvl w:val="1"/>
        <w:rPr>
          <w:rFonts w:ascii="Arial" w:eastAsiaTheme="majorEastAsia" w:hAnsi="Arial" w:cs="Arial"/>
          <w:color w:val="0F4761" w:themeColor="accent1" w:themeShade="BF"/>
          <w:sz w:val="32"/>
          <w:szCs w:val="32"/>
          <w:lang w:val="en-GB"/>
        </w:rPr>
      </w:pPr>
      <w:bookmarkStart w:id="51" w:name="_Toc228218292"/>
      <w:r>
        <w:rPr>
          <w:rFonts w:ascii="Arial" w:eastAsiaTheme="majorEastAsia" w:hAnsi="Arial" w:cs="Arial"/>
          <w:color w:val="0F4761" w:themeColor="accent1" w:themeShade="BF"/>
          <w:sz w:val="32"/>
          <w:szCs w:val="32"/>
          <w:lang w:val="en-GB"/>
        </w:rPr>
        <w:lastRenderedPageBreak/>
        <w:t>3</w:t>
      </w:r>
      <w:r w:rsidR="00830CE6" w:rsidRPr="00830CE6">
        <w:rPr>
          <w:rFonts w:ascii="Arial" w:eastAsiaTheme="majorEastAsia" w:hAnsi="Arial" w:cs="Arial"/>
          <w:color w:val="0F4761" w:themeColor="accent1" w:themeShade="BF"/>
          <w:sz w:val="32"/>
          <w:szCs w:val="32"/>
          <w:lang w:val="en-GB"/>
        </w:rPr>
        <w:t>.9 Data Analysis</w:t>
      </w:r>
      <w:bookmarkEnd w:id="51"/>
      <w:r w:rsidR="00830CE6" w:rsidRPr="00830CE6">
        <w:rPr>
          <w:rFonts w:ascii="Arial" w:eastAsiaTheme="majorEastAsia" w:hAnsi="Arial" w:cs="Arial"/>
          <w:color w:val="0F4761" w:themeColor="accent1" w:themeShade="BF"/>
          <w:sz w:val="32"/>
          <w:szCs w:val="32"/>
          <w:lang w:val="en-GB"/>
        </w:rPr>
        <w:t xml:space="preserve"> </w:t>
      </w:r>
    </w:p>
    <w:p w14:paraId="7CFC481E" w14:textId="77777777" w:rsidR="00830CE6" w:rsidRPr="00830CE6" w:rsidRDefault="00830CE6" w:rsidP="00830CE6">
      <w:pPr>
        <w:spacing w:before="100" w:beforeAutospacing="1" w:after="100" w:afterAutospacing="1" w:line="360" w:lineRule="auto"/>
        <w:rPr>
          <w:rFonts w:ascii="Arial" w:eastAsiaTheme="minorEastAsia" w:hAnsi="Arial" w:cs="Arial"/>
          <w:b/>
          <w:bCs/>
          <w:kern w:val="0"/>
          <w:lang w:val="en-GB"/>
          <w14:ligatures w14:val="none"/>
        </w:rPr>
      </w:pPr>
    </w:p>
    <w:p w14:paraId="2396ACCD" w14:textId="5BC0C5F8"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r w:rsidRPr="00830CE6">
        <w:rPr>
          <w:rFonts w:ascii="Arial" w:eastAsiaTheme="minorEastAsia" w:hAnsi="Arial" w:cs="Arial"/>
          <w:kern w:val="0"/>
          <w:lang w:val="en-GB"/>
          <w14:ligatures w14:val="none"/>
        </w:rPr>
        <w:t>All data were analysed using IBM SPSS Statistics (version 30; IBM Corp., 2023). Independent samples t-tests compared baseline participant characteristics and dietary intake variables between groups. A two-way mixed ANOVA assessed main effects of time (pre vs post) and group (intervention vs control), and the time × group interaction. Where relevant, follow-up simple main effects were examined using estimated marginal means pairwise comparisons (Time × Group), with Bonferroni adjustment applied to control for multiple comparisons. These comparisons assessed between-group differences at baseline and post-intervention, and within-group pre- to post-intervention changes for each primary outcome.</w:t>
      </w:r>
    </w:p>
    <w:p w14:paraId="6E05683D" w14:textId="1639F9F5"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r w:rsidRPr="00830CE6">
        <w:rPr>
          <w:rFonts w:ascii="Arial" w:eastAsiaTheme="minorEastAsia" w:hAnsi="Arial" w:cs="Arial"/>
          <w:kern w:val="0"/>
          <w:lang w:val="en-GB"/>
          <w14:ligatures w14:val="none"/>
        </w:rPr>
        <w:t xml:space="preserve">Dependent variables were resting HR, SBP, DBP, CTT average HR, and CTT end-point HR at 12 minutes. Primary outcomes were resting CV measures and CV response during the CTT. Dietary intake variables were treated as secondary measures to characterise baseline intake and monitor potential confounding. Resting HR and BP values represent the mean of four daily means, each derived from averaged morning and evening measurements taken as two readings one minute apart (Stergiou </w:t>
      </w:r>
      <w:r w:rsidRPr="00830CE6">
        <w:rPr>
          <w:rFonts w:ascii="Arial" w:eastAsiaTheme="minorEastAsia" w:hAnsi="Arial" w:cs="Arial"/>
          <w:i/>
          <w:kern w:val="0"/>
          <w:lang w:val="en-GB"/>
          <w14:ligatures w14:val="none"/>
        </w:rPr>
        <w:t>et al.</w:t>
      </w:r>
      <w:r w:rsidRPr="00830CE6">
        <w:rPr>
          <w:rFonts w:ascii="Arial" w:eastAsiaTheme="minorEastAsia" w:hAnsi="Arial" w:cs="Arial"/>
          <w:kern w:val="0"/>
          <w:lang w:val="en-GB"/>
          <w14:ligatures w14:val="none"/>
        </w:rPr>
        <w:t>, 2021).</w:t>
      </w:r>
    </w:p>
    <w:p w14:paraId="33E07965" w14:textId="2F632285"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r w:rsidRPr="00830CE6">
        <w:rPr>
          <w:rFonts w:ascii="Arial" w:eastAsiaTheme="minorEastAsia" w:hAnsi="Arial" w:cs="Arial"/>
          <w:kern w:val="0"/>
          <w:lang w:val="en-GB"/>
          <w14:ligatures w14:val="none"/>
        </w:rPr>
        <w:t>Data were summarised as mean ± standard deviation (SD) at baseline and post-intervention. Statistical significance was set at p &lt; 0.05, indicating less than 5% probability that observed differences occurred by chance, supporting inference that changes reflect true intervention effects rather than random variation (Wasserstein and Lazar, 2016).</w:t>
      </w:r>
    </w:p>
    <w:p w14:paraId="459DE744" w14:textId="77777777"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r w:rsidRPr="00830CE6">
        <w:rPr>
          <w:rFonts w:ascii="Arial" w:eastAsiaTheme="minorEastAsia" w:hAnsi="Arial" w:cs="Arial"/>
          <w:kern w:val="0"/>
          <w:lang w:val="en-GB"/>
          <w14:ligatures w14:val="none"/>
        </w:rPr>
        <w:t>There were no dropouts and no missing outcome data. Data were screened for outliers before analysis, and any extreme values cross-checked against source recordings to confirm accuracy.</w:t>
      </w:r>
    </w:p>
    <w:p w14:paraId="55BDF1CB" w14:textId="77777777"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p>
    <w:p w14:paraId="72F1EDA2" w14:textId="77777777"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r w:rsidRPr="00830CE6">
        <w:rPr>
          <w:rFonts w:ascii="Arial" w:eastAsiaTheme="minorEastAsia" w:hAnsi="Arial" w:cs="Arial"/>
          <w:kern w:val="0"/>
          <w:lang w:val="en-GB"/>
          <w14:ligatures w14:val="none"/>
        </w:rPr>
        <w:lastRenderedPageBreak/>
        <w:t xml:space="preserve">Effect sizes are reported as partial eta squared (partial η²) for ANOVA models, interpreted as small (0.01), moderate (0.06), and large (0.14). Cohen’s d was used for baseline comparisons. Assumptions for parametric analysis were assessed before inferential testing. Homogeneity of variance for between-group effects was assessed using Levene’s test, and inspection of model residuals supported use of mixed ANOVA (Malek </w:t>
      </w:r>
      <w:r w:rsidRPr="00830CE6">
        <w:rPr>
          <w:rFonts w:ascii="Arial" w:eastAsiaTheme="minorEastAsia" w:hAnsi="Arial" w:cs="Arial"/>
          <w:i/>
          <w:kern w:val="0"/>
          <w:lang w:val="en-GB"/>
          <w14:ligatures w14:val="none"/>
        </w:rPr>
        <w:t>et al.</w:t>
      </w:r>
      <w:r w:rsidRPr="00830CE6">
        <w:rPr>
          <w:rFonts w:ascii="Arial" w:eastAsiaTheme="minorEastAsia" w:hAnsi="Arial" w:cs="Arial"/>
          <w:kern w:val="0"/>
          <w:lang w:val="en-GB"/>
          <w14:ligatures w14:val="none"/>
        </w:rPr>
        <w:t>, 2018). This approach is appropriate for repeated measures designs (Creswell and Creswell, 2017). Bonferroni adjustment was applied to control Type I error associated with multiple comparisons (Armstrong, 2014).</w:t>
      </w:r>
    </w:p>
    <w:p w14:paraId="4636477A" w14:textId="77777777" w:rsidR="00830CE6" w:rsidRPr="00830CE6" w:rsidRDefault="00830CE6" w:rsidP="00830CE6">
      <w:pPr>
        <w:keepNext/>
        <w:keepLines/>
        <w:spacing w:before="160" w:after="80"/>
        <w:outlineLvl w:val="1"/>
        <w:rPr>
          <w:rFonts w:ascii="Arial" w:eastAsiaTheme="majorEastAsia" w:hAnsi="Arial" w:cs="Arial"/>
          <w:color w:val="0F4761" w:themeColor="accent1" w:themeShade="BF"/>
          <w:sz w:val="32"/>
          <w:szCs w:val="32"/>
          <w:lang w:val="en-GB"/>
        </w:rPr>
      </w:pPr>
    </w:p>
    <w:p w14:paraId="2B60F541" w14:textId="03E6865A" w:rsidR="00830CE6" w:rsidRPr="00830CE6" w:rsidRDefault="008463E6" w:rsidP="00830CE6">
      <w:pPr>
        <w:keepNext/>
        <w:keepLines/>
        <w:spacing w:before="160" w:after="80"/>
        <w:outlineLvl w:val="1"/>
        <w:rPr>
          <w:rFonts w:asciiTheme="majorHAnsi" w:eastAsiaTheme="majorEastAsia" w:hAnsiTheme="majorHAnsi" w:cstheme="majorBidi"/>
          <w:color w:val="0F4761" w:themeColor="accent1" w:themeShade="BF"/>
          <w:sz w:val="32"/>
          <w:szCs w:val="32"/>
          <w:lang w:val="en-GB"/>
        </w:rPr>
      </w:pPr>
      <w:bookmarkStart w:id="52" w:name="_Toc228218293"/>
      <w:r>
        <w:rPr>
          <w:rFonts w:asciiTheme="majorHAnsi" w:eastAsiaTheme="majorEastAsia" w:hAnsiTheme="majorHAnsi" w:cstheme="majorBidi"/>
          <w:color w:val="0F4761" w:themeColor="accent1" w:themeShade="BF"/>
          <w:sz w:val="32"/>
          <w:szCs w:val="32"/>
          <w:lang w:val="en-GB"/>
        </w:rPr>
        <w:t>3</w:t>
      </w:r>
      <w:r w:rsidR="00830CE6" w:rsidRPr="00830CE6">
        <w:rPr>
          <w:rFonts w:asciiTheme="majorHAnsi" w:eastAsiaTheme="majorEastAsia" w:hAnsiTheme="majorHAnsi" w:cstheme="majorBidi"/>
          <w:color w:val="0F4761" w:themeColor="accent1" w:themeShade="BF"/>
          <w:sz w:val="32"/>
          <w:szCs w:val="32"/>
          <w:lang w:val="en-GB"/>
        </w:rPr>
        <w:t>.10 Timescale</w:t>
      </w:r>
      <w:bookmarkEnd w:id="52"/>
    </w:p>
    <w:p w14:paraId="41AD8199" w14:textId="77777777" w:rsidR="00830CE6" w:rsidRPr="00830CE6" w:rsidRDefault="00830CE6" w:rsidP="00830CE6">
      <w:pPr>
        <w:rPr>
          <w:rFonts w:ascii="Arial" w:hAnsi="Arial" w:cs="Arial"/>
          <w:lang w:val="en-GB"/>
        </w:rPr>
      </w:pPr>
    </w:p>
    <w:p w14:paraId="3851B342" w14:textId="639371AC" w:rsidR="00830CE6" w:rsidRPr="00830CE6" w:rsidRDefault="00830CE6" w:rsidP="00830CE6">
      <w:pPr>
        <w:spacing w:before="100" w:beforeAutospacing="1" w:after="100" w:afterAutospacing="1" w:line="240" w:lineRule="auto"/>
        <w:rPr>
          <w:rFonts w:ascii="Times New Roman" w:eastAsiaTheme="minorEastAsia" w:hAnsi="Times New Roman" w:cs="Times New Roman"/>
          <w:kern w:val="0"/>
          <w:lang w:val="en-GB" w:eastAsia="en-GB"/>
          <w14:ligatures w14:val="none"/>
        </w:rPr>
      </w:pPr>
      <w:r w:rsidRPr="00830CE6">
        <w:rPr>
          <w:rFonts w:ascii="Arial" w:eastAsiaTheme="minorEastAsia" w:hAnsi="Arial" w:cs="Arial"/>
          <w:b/>
          <w:bCs/>
          <w:kern w:val="0"/>
          <w:lang w:val="en-GB" w:eastAsia="en-GB"/>
          <w14:ligatures w14:val="none"/>
        </w:rPr>
        <w:t xml:space="preserve">Table </w:t>
      </w:r>
      <w:r w:rsidR="00D45589">
        <w:rPr>
          <w:rFonts w:ascii="Arial" w:eastAsiaTheme="minorEastAsia" w:hAnsi="Arial" w:cs="Arial"/>
          <w:b/>
          <w:bCs/>
          <w:kern w:val="0"/>
          <w:lang w:val="en-GB" w:eastAsia="en-GB"/>
          <w14:ligatures w14:val="none"/>
        </w:rPr>
        <w:t>3</w:t>
      </w:r>
      <w:r w:rsidRPr="00830CE6">
        <w:rPr>
          <w:rFonts w:ascii="Arial" w:eastAsiaTheme="minorEastAsia" w:hAnsi="Arial" w:cs="Arial"/>
          <w:b/>
          <w:bCs/>
          <w:kern w:val="0"/>
          <w:lang w:val="en-GB" w:eastAsia="en-GB"/>
          <w14:ligatures w14:val="none"/>
        </w:rPr>
        <w:t xml:space="preserve">.1 </w:t>
      </w:r>
      <w:r w:rsidRPr="00830CE6">
        <w:rPr>
          <w:rFonts w:ascii="Arial" w:eastAsiaTheme="minorEastAsia" w:hAnsi="Arial" w:cs="Arial"/>
          <w:kern w:val="0"/>
          <w:lang w:val="en-GB" w:eastAsia="en-GB"/>
          <w14:ligatures w14:val="none"/>
        </w:rPr>
        <w:t>Study timescale</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4715"/>
        <w:gridCol w:w="4629"/>
      </w:tblGrid>
      <w:tr w:rsidR="00830CE6" w:rsidRPr="00830CE6" w14:paraId="5A43D9DB" w14:textId="77777777" w:rsidTr="00E715D6">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156BB4D" w14:textId="77777777" w:rsidR="00830CE6" w:rsidRPr="00830CE6" w:rsidRDefault="00830CE6" w:rsidP="00830CE6">
            <w:pPr>
              <w:spacing w:before="100" w:beforeAutospacing="1" w:after="100" w:afterAutospacing="1" w:line="240" w:lineRule="auto"/>
              <w:jc w:val="center"/>
              <w:rPr>
                <w:rFonts w:ascii="Arial" w:eastAsiaTheme="minorEastAsia" w:hAnsi="Arial" w:cs="Arial"/>
                <w:b/>
                <w:bCs/>
                <w:kern w:val="0"/>
                <w:lang w:val="en-GB" w:eastAsia="en-GB"/>
                <w14:ligatures w14:val="none"/>
              </w:rPr>
            </w:pPr>
            <w:r w:rsidRPr="00830CE6">
              <w:rPr>
                <w:rFonts w:ascii="Arial" w:eastAsiaTheme="minorEastAsia" w:hAnsi="Arial" w:cs="Arial"/>
                <w:b/>
                <w:bCs/>
                <w:kern w:val="0"/>
                <w:lang w:val="en-GB" w:eastAsia="en-GB"/>
                <w14:ligatures w14:val="none"/>
              </w:rPr>
              <w:t>Stage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75C4805" w14:textId="77777777" w:rsidR="00830CE6" w:rsidRPr="00830CE6" w:rsidRDefault="00830CE6" w:rsidP="00830CE6">
            <w:pPr>
              <w:spacing w:before="100" w:beforeAutospacing="1" w:after="100" w:afterAutospacing="1" w:line="240" w:lineRule="auto"/>
              <w:rPr>
                <w:rFonts w:ascii="Arial" w:eastAsiaTheme="minorEastAsia" w:hAnsi="Arial" w:cs="Arial"/>
                <w:b/>
                <w:bCs/>
                <w:kern w:val="0"/>
                <w:lang w:val="en-GB" w:eastAsia="en-GB"/>
                <w14:ligatures w14:val="none"/>
              </w:rPr>
            </w:pPr>
            <w:r w:rsidRPr="00830CE6">
              <w:rPr>
                <w:rFonts w:ascii="Arial" w:eastAsiaTheme="minorEastAsia" w:hAnsi="Arial" w:cs="Arial"/>
                <w:b/>
                <w:bCs/>
                <w:kern w:val="0"/>
                <w:lang w:val="en-GB" w:eastAsia="en-GB"/>
                <w14:ligatures w14:val="none"/>
              </w:rPr>
              <w:t>Timing</w:t>
            </w:r>
          </w:p>
        </w:tc>
      </w:tr>
      <w:tr w:rsidR="00830CE6" w:rsidRPr="00830CE6" w14:paraId="2F8C7560" w14:textId="77777777" w:rsidTr="00E715D6">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80991EE" w14:textId="77777777" w:rsidR="00830CE6" w:rsidRPr="00830CE6" w:rsidRDefault="00830CE6" w:rsidP="00830CE6">
            <w:pPr>
              <w:spacing w:before="100" w:beforeAutospacing="1" w:after="100" w:afterAutospacing="1" w:line="240" w:lineRule="auto"/>
              <w:rPr>
                <w:rFonts w:ascii="Arial" w:eastAsiaTheme="minorEastAsia" w:hAnsi="Arial" w:cs="Arial"/>
                <w:kern w:val="0"/>
                <w:lang w:val="en-GB" w:eastAsia="en-GB"/>
                <w14:ligatures w14:val="none"/>
              </w:rPr>
            </w:pPr>
            <w:r w:rsidRPr="00830CE6">
              <w:rPr>
                <w:rFonts w:ascii="Arial" w:eastAsiaTheme="minorEastAsia" w:hAnsi="Arial" w:cs="Arial"/>
                <w:kern w:val="0"/>
                <w:lang w:val="en-GB" w:eastAsia="en-GB"/>
                <w14:ligatures w14:val="none"/>
              </w:rPr>
              <w:t>Recruitment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2303C77" w14:textId="77777777" w:rsidR="00830CE6" w:rsidRPr="00830CE6" w:rsidRDefault="00830CE6" w:rsidP="00830CE6">
            <w:pPr>
              <w:spacing w:before="100" w:beforeAutospacing="1" w:after="100" w:afterAutospacing="1" w:line="240" w:lineRule="auto"/>
              <w:rPr>
                <w:rFonts w:ascii="Arial" w:eastAsiaTheme="minorEastAsia" w:hAnsi="Arial" w:cs="Arial"/>
                <w:kern w:val="0"/>
                <w:lang w:val="en-GB" w:eastAsia="en-GB"/>
                <w14:ligatures w14:val="none"/>
              </w:rPr>
            </w:pPr>
            <w:r w:rsidRPr="00830CE6">
              <w:rPr>
                <w:rFonts w:ascii="Arial" w:eastAsiaTheme="minorEastAsia" w:hAnsi="Arial" w:cs="Arial"/>
                <w:kern w:val="0"/>
                <w:lang w:val="en-GB" w:eastAsia="en-GB"/>
                <w14:ligatures w14:val="none"/>
              </w:rPr>
              <w:t>May to August 2025</w:t>
            </w:r>
          </w:p>
        </w:tc>
      </w:tr>
      <w:tr w:rsidR="00830CE6" w:rsidRPr="00830CE6" w14:paraId="513FE38A" w14:textId="77777777" w:rsidTr="00E715D6">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A7FBD0A" w14:textId="77777777" w:rsidR="00830CE6" w:rsidRPr="00830CE6" w:rsidRDefault="00830CE6" w:rsidP="00830CE6">
            <w:pPr>
              <w:spacing w:before="100" w:beforeAutospacing="1" w:after="100" w:afterAutospacing="1" w:line="240" w:lineRule="auto"/>
              <w:rPr>
                <w:rFonts w:ascii="Arial" w:eastAsiaTheme="minorEastAsia" w:hAnsi="Arial" w:cs="Arial"/>
                <w:kern w:val="0"/>
                <w:lang w:val="en-GB" w:eastAsia="en-GB"/>
                <w14:ligatures w14:val="none"/>
              </w:rPr>
            </w:pPr>
            <w:r w:rsidRPr="00830CE6">
              <w:rPr>
                <w:rFonts w:ascii="Arial" w:eastAsiaTheme="minorEastAsia" w:hAnsi="Arial" w:cs="Arial"/>
                <w:kern w:val="0"/>
                <w:lang w:val="en-GB" w:eastAsia="en-GB"/>
                <w14:ligatures w14:val="none"/>
              </w:rPr>
              <w:t>Screening and baseline testing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1840851" w14:textId="77777777" w:rsidR="00830CE6" w:rsidRPr="00830CE6" w:rsidRDefault="00830CE6" w:rsidP="00830CE6">
            <w:pPr>
              <w:spacing w:before="100" w:beforeAutospacing="1" w:after="100" w:afterAutospacing="1" w:line="240" w:lineRule="auto"/>
              <w:rPr>
                <w:rFonts w:ascii="Arial" w:eastAsiaTheme="minorEastAsia" w:hAnsi="Arial" w:cs="Arial"/>
                <w:kern w:val="0"/>
                <w:lang w:val="en-GB" w:eastAsia="en-GB"/>
                <w14:ligatures w14:val="none"/>
              </w:rPr>
            </w:pPr>
            <w:r w:rsidRPr="00830CE6">
              <w:rPr>
                <w:rFonts w:ascii="Arial" w:eastAsiaTheme="minorEastAsia" w:hAnsi="Arial" w:cs="Arial"/>
                <w:kern w:val="0"/>
                <w:lang w:val="en-GB" w:eastAsia="en-GB"/>
                <w14:ligatures w14:val="none"/>
              </w:rPr>
              <w:t>August to September 2025</w:t>
            </w:r>
          </w:p>
        </w:tc>
      </w:tr>
      <w:tr w:rsidR="00830CE6" w:rsidRPr="00830CE6" w14:paraId="32BAA144" w14:textId="77777777" w:rsidTr="00E715D6">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B09165A" w14:textId="77777777" w:rsidR="00830CE6" w:rsidRPr="00830CE6" w:rsidRDefault="00830CE6" w:rsidP="00830CE6">
            <w:pPr>
              <w:spacing w:before="100" w:beforeAutospacing="1" w:after="100" w:afterAutospacing="1" w:line="240" w:lineRule="auto"/>
              <w:rPr>
                <w:rFonts w:ascii="Arial" w:eastAsiaTheme="minorEastAsia" w:hAnsi="Arial" w:cs="Arial"/>
                <w:kern w:val="0"/>
                <w:lang w:val="en-GB" w:eastAsia="en-GB"/>
                <w14:ligatures w14:val="none"/>
              </w:rPr>
            </w:pPr>
            <w:r w:rsidRPr="00830CE6">
              <w:rPr>
                <w:rFonts w:ascii="Arial" w:eastAsiaTheme="minorEastAsia" w:hAnsi="Arial" w:cs="Arial"/>
                <w:kern w:val="0"/>
                <w:lang w:val="en-GB" w:eastAsia="en-GB"/>
                <w14:ligatures w14:val="none"/>
              </w:rPr>
              <w:t>O3 intervention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6AB3FC7" w14:textId="77777777" w:rsidR="00830CE6" w:rsidRPr="00830CE6" w:rsidRDefault="00830CE6" w:rsidP="00830CE6">
            <w:pPr>
              <w:spacing w:before="100" w:beforeAutospacing="1" w:after="100" w:afterAutospacing="1" w:line="240" w:lineRule="auto"/>
              <w:rPr>
                <w:rFonts w:ascii="Arial" w:eastAsiaTheme="minorEastAsia" w:hAnsi="Arial" w:cs="Arial"/>
                <w:kern w:val="0"/>
                <w:lang w:val="en-GB" w:eastAsia="en-GB"/>
                <w14:ligatures w14:val="none"/>
              </w:rPr>
            </w:pPr>
            <w:r w:rsidRPr="00830CE6">
              <w:rPr>
                <w:rFonts w:ascii="Arial" w:eastAsiaTheme="minorEastAsia" w:hAnsi="Arial" w:cs="Arial"/>
                <w:kern w:val="0"/>
                <w:lang w:val="en-GB" w:eastAsia="en-GB"/>
                <w14:ligatures w14:val="none"/>
              </w:rPr>
              <w:t>September to November 2025</w:t>
            </w:r>
          </w:p>
        </w:tc>
      </w:tr>
      <w:tr w:rsidR="00830CE6" w:rsidRPr="00830CE6" w14:paraId="42CE6855" w14:textId="77777777" w:rsidTr="00E715D6">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CC97DBA" w14:textId="77777777" w:rsidR="00830CE6" w:rsidRPr="00830CE6" w:rsidRDefault="00830CE6" w:rsidP="00830CE6">
            <w:pPr>
              <w:spacing w:before="100" w:beforeAutospacing="1" w:after="100" w:afterAutospacing="1" w:line="240" w:lineRule="auto"/>
              <w:rPr>
                <w:rFonts w:ascii="Arial" w:eastAsiaTheme="minorEastAsia" w:hAnsi="Arial" w:cs="Arial"/>
                <w:kern w:val="0"/>
                <w:lang w:val="en-GB" w:eastAsia="en-GB"/>
                <w14:ligatures w14:val="none"/>
              </w:rPr>
            </w:pPr>
            <w:r w:rsidRPr="00830CE6">
              <w:rPr>
                <w:rFonts w:ascii="Arial" w:eastAsiaTheme="minorEastAsia" w:hAnsi="Arial" w:cs="Arial"/>
                <w:kern w:val="0"/>
                <w:lang w:val="en-GB" w:eastAsia="en-GB"/>
                <w14:ligatures w14:val="none"/>
              </w:rPr>
              <w:t>Post-intervention testing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8E9221D" w14:textId="77777777" w:rsidR="00830CE6" w:rsidRPr="00830CE6" w:rsidRDefault="00830CE6" w:rsidP="00830CE6">
            <w:pPr>
              <w:spacing w:before="100" w:beforeAutospacing="1" w:after="100" w:afterAutospacing="1" w:line="240" w:lineRule="auto"/>
              <w:rPr>
                <w:rFonts w:ascii="Arial" w:eastAsiaTheme="minorEastAsia" w:hAnsi="Arial" w:cs="Arial"/>
                <w:kern w:val="0"/>
                <w:lang w:val="en-GB" w:eastAsia="en-GB"/>
                <w14:ligatures w14:val="none"/>
              </w:rPr>
            </w:pPr>
            <w:r w:rsidRPr="00830CE6">
              <w:rPr>
                <w:rFonts w:ascii="Arial" w:eastAsiaTheme="minorEastAsia" w:hAnsi="Arial" w:cs="Arial"/>
                <w:kern w:val="0"/>
                <w:lang w:val="en-GB" w:eastAsia="en-GB"/>
                <w14:ligatures w14:val="none"/>
              </w:rPr>
              <w:t>November 2025</w:t>
            </w:r>
          </w:p>
        </w:tc>
      </w:tr>
      <w:tr w:rsidR="00830CE6" w:rsidRPr="00830CE6" w14:paraId="029E47F3" w14:textId="77777777" w:rsidTr="00E715D6">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3856EC2" w14:textId="77777777" w:rsidR="00830CE6" w:rsidRPr="00830CE6" w:rsidRDefault="00830CE6" w:rsidP="00830CE6">
            <w:pPr>
              <w:spacing w:before="100" w:beforeAutospacing="1" w:after="100" w:afterAutospacing="1" w:line="240" w:lineRule="auto"/>
              <w:rPr>
                <w:rFonts w:ascii="Arial" w:eastAsiaTheme="minorEastAsia" w:hAnsi="Arial" w:cs="Arial"/>
                <w:kern w:val="0"/>
                <w:lang w:val="en-GB" w:eastAsia="en-GB"/>
                <w14:ligatures w14:val="none"/>
              </w:rPr>
            </w:pPr>
            <w:r w:rsidRPr="00830CE6">
              <w:rPr>
                <w:rFonts w:ascii="Arial" w:eastAsiaTheme="minorEastAsia" w:hAnsi="Arial" w:cs="Arial"/>
                <w:kern w:val="0"/>
                <w:lang w:val="en-GB" w:eastAsia="en-GB"/>
                <w14:ligatures w14:val="none"/>
              </w:rPr>
              <w:t>Data analysis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0F6AED7" w14:textId="77777777" w:rsidR="00830CE6" w:rsidRPr="00830CE6" w:rsidRDefault="00830CE6" w:rsidP="00830CE6">
            <w:pPr>
              <w:spacing w:before="100" w:beforeAutospacing="1" w:after="100" w:afterAutospacing="1" w:line="240" w:lineRule="auto"/>
              <w:rPr>
                <w:rFonts w:ascii="Arial" w:eastAsiaTheme="minorEastAsia" w:hAnsi="Arial" w:cs="Arial"/>
                <w:kern w:val="0"/>
                <w:lang w:val="en-GB" w:eastAsia="en-GB"/>
                <w14:ligatures w14:val="none"/>
              </w:rPr>
            </w:pPr>
            <w:r w:rsidRPr="00830CE6">
              <w:rPr>
                <w:rFonts w:ascii="Arial" w:eastAsiaTheme="minorEastAsia" w:hAnsi="Arial" w:cs="Arial"/>
                <w:kern w:val="0"/>
                <w:lang w:val="en-GB" w:eastAsia="en-GB"/>
                <w14:ligatures w14:val="none"/>
              </w:rPr>
              <w:t>November to December 2025</w:t>
            </w:r>
          </w:p>
        </w:tc>
      </w:tr>
    </w:tbl>
    <w:p w14:paraId="0D3AE097" w14:textId="77777777" w:rsidR="00830CE6" w:rsidRPr="00830CE6" w:rsidRDefault="00830CE6" w:rsidP="00830CE6">
      <w:pPr>
        <w:rPr>
          <w:lang w:val="en-GB"/>
        </w:rPr>
      </w:pPr>
    </w:p>
    <w:p w14:paraId="26C6B3E3" w14:textId="77777777"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p>
    <w:p w14:paraId="2FEFCA52" w14:textId="2454BCA8" w:rsidR="00830CE6" w:rsidRPr="00830CE6" w:rsidRDefault="00A04E72" w:rsidP="00830CE6">
      <w:pPr>
        <w:keepNext/>
        <w:keepLines/>
        <w:spacing w:before="160" w:after="80"/>
        <w:outlineLvl w:val="1"/>
        <w:rPr>
          <w:rFonts w:ascii="Arial" w:eastAsiaTheme="majorEastAsia" w:hAnsi="Arial" w:cs="Arial"/>
          <w:color w:val="0F4761" w:themeColor="accent1" w:themeShade="BF"/>
          <w:sz w:val="32"/>
          <w:szCs w:val="32"/>
          <w:lang w:val="en-GB"/>
        </w:rPr>
      </w:pPr>
      <w:bookmarkStart w:id="53" w:name="_Toc228218294"/>
      <w:r>
        <w:rPr>
          <w:rFonts w:ascii="Arial" w:eastAsiaTheme="majorEastAsia" w:hAnsi="Arial" w:cs="Arial"/>
          <w:color w:val="0F4761" w:themeColor="accent1" w:themeShade="BF"/>
          <w:sz w:val="32"/>
          <w:szCs w:val="32"/>
          <w:lang w:val="en-GB"/>
        </w:rPr>
        <w:t>3</w:t>
      </w:r>
      <w:r w:rsidR="00830CE6" w:rsidRPr="00830CE6">
        <w:rPr>
          <w:rFonts w:ascii="Arial" w:eastAsiaTheme="majorEastAsia" w:hAnsi="Arial" w:cs="Arial"/>
          <w:color w:val="0F4761" w:themeColor="accent1" w:themeShade="BF"/>
          <w:sz w:val="32"/>
          <w:szCs w:val="32"/>
          <w:lang w:val="en-GB"/>
        </w:rPr>
        <w:t>.11 Ethical Considerations</w:t>
      </w:r>
      <w:bookmarkEnd w:id="53"/>
      <w:r w:rsidR="00830CE6" w:rsidRPr="00830CE6">
        <w:rPr>
          <w:rFonts w:ascii="Arial" w:eastAsiaTheme="majorEastAsia" w:hAnsi="Arial" w:cs="Arial"/>
          <w:color w:val="0F4761" w:themeColor="accent1" w:themeShade="BF"/>
          <w:sz w:val="32"/>
          <w:szCs w:val="32"/>
          <w:lang w:val="en-GB"/>
        </w:rPr>
        <w:t xml:space="preserve"> </w:t>
      </w:r>
    </w:p>
    <w:p w14:paraId="1D318598" w14:textId="77777777" w:rsidR="00830CE6" w:rsidRPr="00830CE6" w:rsidRDefault="00830CE6" w:rsidP="00830CE6">
      <w:pPr>
        <w:spacing w:before="100" w:beforeAutospacing="1" w:after="100" w:afterAutospacing="1" w:line="360" w:lineRule="auto"/>
        <w:rPr>
          <w:rFonts w:ascii="Arial" w:eastAsiaTheme="minorEastAsia" w:hAnsi="Arial" w:cs="Arial"/>
          <w:b/>
          <w:bCs/>
          <w:kern w:val="0"/>
          <w:lang w:val="en-GB"/>
          <w14:ligatures w14:val="none"/>
        </w:rPr>
      </w:pPr>
    </w:p>
    <w:p w14:paraId="0FDED33A" w14:textId="77777777"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r w:rsidRPr="00830CE6">
        <w:rPr>
          <w:rFonts w:ascii="Arial" w:eastAsiaTheme="minorEastAsia" w:hAnsi="Arial" w:cs="Arial"/>
          <w:kern w:val="0"/>
          <w:lang w:val="en-GB"/>
          <w14:ligatures w14:val="none"/>
        </w:rPr>
        <w:t xml:space="preserve">Ethical approval for this research was granted by the University of Wales Trinity Saint David Research Ethics Committee. All participants were provided with full information regarding purpose, procedures, and risks of the study and signed written informed </w:t>
      </w:r>
      <w:r w:rsidRPr="00830CE6">
        <w:rPr>
          <w:rFonts w:ascii="Arial" w:eastAsiaTheme="minorEastAsia" w:hAnsi="Arial" w:cs="Arial"/>
          <w:kern w:val="0"/>
          <w:lang w:val="en-GB"/>
          <w14:ligatures w14:val="none"/>
        </w:rPr>
        <w:lastRenderedPageBreak/>
        <w:t xml:space="preserve">consent. Participant data were anonymised and stored securely in accordance with General Data Protection Regulation (GDPR) requirements. All supplements used were Informed-Sport certified to ensure safety and quality. Testing was carried out under supervision of qualified professionals, and first aid equipment and personnel were available at all times (Harriss </w:t>
      </w:r>
      <w:r w:rsidRPr="00830CE6">
        <w:rPr>
          <w:rFonts w:ascii="Arial" w:eastAsiaTheme="minorEastAsia" w:hAnsi="Arial" w:cs="Arial"/>
          <w:i/>
          <w:kern w:val="0"/>
          <w:lang w:val="en-GB"/>
          <w14:ligatures w14:val="none"/>
        </w:rPr>
        <w:t>et al.</w:t>
      </w:r>
      <w:r w:rsidRPr="00830CE6">
        <w:rPr>
          <w:rFonts w:ascii="Arial" w:eastAsiaTheme="minorEastAsia" w:hAnsi="Arial" w:cs="Arial"/>
          <w:kern w:val="0"/>
          <w:lang w:val="en-GB"/>
          <w14:ligatures w14:val="none"/>
        </w:rPr>
        <w:t>, 2022; Shephard, 2002).</w:t>
      </w:r>
    </w:p>
    <w:p w14:paraId="7BD5C27D" w14:textId="14DD79F7" w:rsidR="00830CE6" w:rsidRDefault="00830CE6" w:rsidP="00830CE6">
      <w:pPr>
        <w:spacing w:before="100" w:beforeAutospacing="1" w:after="100" w:afterAutospacing="1" w:line="360" w:lineRule="auto"/>
        <w:rPr>
          <w:rFonts w:ascii="Arial" w:eastAsiaTheme="minorEastAsia" w:hAnsi="Arial" w:cs="Arial"/>
          <w:kern w:val="0"/>
          <w14:ligatures w14:val="none"/>
        </w:rPr>
      </w:pPr>
      <w:r w:rsidRPr="00830CE6">
        <w:rPr>
          <w:rFonts w:ascii="Arial" w:eastAsiaTheme="minorEastAsia" w:hAnsi="Arial" w:cs="Arial"/>
          <w:kern w:val="0"/>
          <w14:ligatures w14:val="none"/>
        </w:rPr>
        <w:t>This chapter has outlined the study design, methods, analysis, and ethics. The next chapter presents the results.</w:t>
      </w:r>
    </w:p>
    <w:p w14:paraId="0BE59822" w14:textId="77777777" w:rsidR="00DE3D31" w:rsidRPr="00DE3D31" w:rsidRDefault="00DE3D31" w:rsidP="00830CE6">
      <w:pPr>
        <w:spacing w:before="100" w:beforeAutospacing="1" w:after="100" w:afterAutospacing="1" w:line="360" w:lineRule="auto"/>
        <w:rPr>
          <w:rFonts w:ascii="Arial" w:eastAsiaTheme="minorEastAsia" w:hAnsi="Arial" w:cs="Arial"/>
          <w:kern w:val="0"/>
          <w14:ligatures w14:val="none"/>
        </w:rPr>
      </w:pPr>
    </w:p>
    <w:p w14:paraId="52933589" w14:textId="728CF0D7" w:rsidR="00830CE6" w:rsidRPr="00830CE6" w:rsidRDefault="00830CE6" w:rsidP="00830CE6">
      <w:pPr>
        <w:spacing w:before="100" w:beforeAutospacing="1" w:after="100" w:afterAutospacing="1" w:line="360" w:lineRule="auto"/>
        <w:rPr>
          <w:rFonts w:ascii="Times New Roman" w:eastAsiaTheme="minorEastAsia" w:hAnsi="Times New Roman" w:cs="Times New Roman"/>
          <w:kern w:val="0"/>
          <w14:ligatures w14:val="none"/>
        </w:rPr>
      </w:pPr>
      <w:r w:rsidRPr="00830CE6">
        <w:rPr>
          <w:rFonts w:ascii="Arial" w:eastAsiaTheme="minorEastAsia" w:hAnsi="Arial" w:cs="Arial"/>
          <w:b/>
          <w:bCs/>
          <w:kern w:val="0"/>
          <w:lang w:val="en-GB"/>
          <w14:ligatures w14:val="none"/>
        </w:rPr>
        <w:t xml:space="preserve">Table </w:t>
      </w:r>
      <w:r w:rsidR="00A04E72">
        <w:rPr>
          <w:rFonts w:ascii="Arial" w:eastAsiaTheme="minorEastAsia" w:hAnsi="Arial" w:cs="Arial"/>
          <w:b/>
          <w:bCs/>
          <w:kern w:val="0"/>
          <w:lang w:val="en-GB"/>
          <w14:ligatures w14:val="none"/>
        </w:rPr>
        <w:t>3</w:t>
      </w:r>
      <w:r w:rsidRPr="00830CE6">
        <w:rPr>
          <w:rFonts w:ascii="Arial" w:eastAsiaTheme="minorEastAsia" w:hAnsi="Arial" w:cs="Arial"/>
          <w:b/>
          <w:bCs/>
          <w:kern w:val="0"/>
          <w:lang w:val="en-GB"/>
          <w14:ligatures w14:val="none"/>
        </w:rPr>
        <w:t xml:space="preserve">.2. </w:t>
      </w:r>
      <w:r w:rsidRPr="00830CE6">
        <w:rPr>
          <w:rFonts w:ascii="Arial" w:eastAsiaTheme="minorEastAsia" w:hAnsi="Arial" w:cs="Arial"/>
          <w:kern w:val="0"/>
          <w:lang w:val="en-GB"/>
          <w14:ligatures w14:val="none"/>
        </w:rPr>
        <w:t>Definitions of key Dietary Reference Value terminology used in dietary analysis</w:t>
      </w:r>
    </w:p>
    <w:tbl>
      <w:tblPr>
        <w:tblW w:w="0" w:type="auto"/>
        <w:tblCellSpacing w:w="15" w:type="dxa"/>
        <w:tblLook w:val="04A0" w:firstRow="1" w:lastRow="0" w:firstColumn="1" w:lastColumn="0" w:noHBand="0" w:noVBand="1"/>
      </w:tblPr>
      <w:tblGrid>
        <w:gridCol w:w="827"/>
        <w:gridCol w:w="1851"/>
        <w:gridCol w:w="6682"/>
      </w:tblGrid>
      <w:tr w:rsidR="00830CE6" w:rsidRPr="00830CE6" w14:paraId="78946794" w14:textId="77777777" w:rsidTr="00E715D6">
        <w:trPr>
          <w:tblHeader/>
          <w:tblCellSpacing w:w="15" w:type="dxa"/>
        </w:trPr>
        <w:tc>
          <w:tcPr>
            <w:tcW w:w="0" w:type="auto"/>
            <w:tcMar>
              <w:top w:w="15" w:type="dxa"/>
              <w:left w:w="15" w:type="dxa"/>
              <w:bottom w:w="15" w:type="dxa"/>
              <w:right w:w="15" w:type="dxa"/>
            </w:tcMar>
            <w:vAlign w:val="center"/>
            <w:hideMark/>
          </w:tcPr>
          <w:p w14:paraId="7479B9D5" w14:textId="77777777" w:rsidR="00830CE6" w:rsidRPr="00830CE6" w:rsidRDefault="00830CE6" w:rsidP="00830CE6">
            <w:pPr>
              <w:spacing w:before="100" w:beforeAutospacing="1" w:after="100" w:afterAutospacing="1" w:line="360" w:lineRule="auto"/>
              <w:jc w:val="center"/>
              <w:rPr>
                <w:kern w:val="0"/>
                <w14:ligatures w14:val="none"/>
              </w:rPr>
            </w:pPr>
            <w:r w:rsidRPr="00830CE6">
              <w:rPr>
                <w:rFonts w:ascii="Arial" w:hAnsi="Arial" w:cs="Arial"/>
                <w:b/>
                <w:bCs/>
                <w:kern w:val="0"/>
                <w14:ligatures w14:val="none"/>
              </w:rPr>
              <w:t>Term</w:t>
            </w:r>
          </w:p>
        </w:tc>
        <w:tc>
          <w:tcPr>
            <w:tcW w:w="0" w:type="auto"/>
            <w:tcMar>
              <w:top w:w="15" w:type="dxa"/>
              <w:left w:w="15" w:type="dxa"/>
              <w:bottom w:w="15" w:type="dxa"/>
              <w:right w:w="15" w:type="dxa"/>
            </w:tcMar>
            <w:vAlign w:val="center"/>
            <w:hideMark/>
          </w:tcPr>
          <w:p w14:paraId="7CDB2440" w14:textId="77777777" w:rsidR="00830CE6" w:rsidRPr="00830CE6" w:rsidRDefault="00830CE6" w:rsidP="00830CE6">
            <w:pPr>
              <w:spacing w:before="100" w:beforeAutospacing="1" w:after="100" w:afterAutospacing="1" w:line="360" w:lineRule="auto"/>
              <w:jc w:val="center"/>
              <w:rPr>
                <w:rFonts w:ascii="Arial" w:hAnsi="Arial" w:cs="Arial"/>
                <w:b/>
                <w:bCs/>
                <w:kern w:val="0"/>
                <w14:ligatures w14:val="none"/>
              </w:rPr>
            </w:pPr>
            <w:r w:rsidRPr="00830CE6">
              <w:rPr>
                <w:rFonts w:ascii="Arial" w:hAnsi="Arial" w:cs="Arial"/>
                <w:b/>
                <w:bCs/>
                <w:kern w:val="0"/>
                <w14:ligatures w14:val="none"/>
              </w:rPr>
              <w:t>Full term</w:t>
            </w:r>
          </w:p>
        </w:tc>
        <w:tc>
          <w:tcPr>
            <w:tcW w:w="0" w:type="auto"/>
            <w:tcMar>
              <w:top w:w="15" w:type="dxa"/>
              <w:left w:w="15" w:type="dxa"/>
              <w:bottom w:w="15" w:type="dxa"/>
              <w:right w:w="15" w:type="dxa"/>
            </w:tcMar>
            <w:vAlign w:val="center"/>
            <w:hideMark/>
          </w:tcPr>
          <w:p w14:paraId="7E0A9F76" w14:textId="77777777" w:rsidR="00830CE6" w:rsidRPr="00830CE6" w:rsidRDefault="00830CE6" w:rsidP="00830CE6">
            <w:pPr>
              <w:spacing w:before="100" w:beforeAutospacing="1" w:after="100" w:afterAutospacing="1" w:line="360" w:lineRule="auto"/>
              <w:jc w:val="center"/>
              <w:rPr>
                <w:rFonts w:ascii="Arial" w:hAnsi="Arial" w:cs="Arial"/>
                <w:b/>
                <w:bCs/>
                <w:kern w:val="0"/>
                <w14:ligatures w14:val="none"/>
              </w:rPr>
            </w:pPr>
            <w:r w:rsidRPr="00830CE6">
              <w:rPr>
                <w:rFonts w:ascii="Arial" w:hAnsi="Arial" w:cs="Arial"/>
                <w:b/>
                <w:bCs/>
                <w:kern w:val="0"/>
                <w14:ligatures w14:val="none"/>
              </w:rPr>
              <w:t>Definition</w:t>
            </w:r>
          </w:p>
        </w:tc>
      </w:tr>
      <w:tr w:rsidR="00830CE6" w:rsidRPr="00830CE6" w14:paraId="184A7FB3" w14:textId="77777777" w:rsidTr="00E715D6">
        <w:trPr>
          <w:tblCellSpacing w:w="15" w:type="dxa"/>
        </w:trPr>
        <w:tc>
          <w:tcPr>
            <w:tcW w:w="0" w:type="auto"/>
            <w:tcMar>
              <w:top w:w="15" w:type="dxa"/>
              <w:left w:w="15" w:type="dxa"/>
              <w:bottom w:w="15" w:type="dxa"/>
              <w:right w:w="15" w:type="dxa"/>
            </w:tcMar>
            <w:vAlign w:val="center"/>
            <w:hideMark/>
          </w:tcPr>
          <w:p w14:paraId="70568064" w14:textId="77777777" w:rsidR="00830CE6" w:rsidRPr="00830CE6" w:rsidRDefault="00830CE6" w:rsidP="00830CE6">
            <w:pPr>
              <w:spacing w:before="100" w:beforeAutospacing="1" w:after="100" w:afterAutospacing="1" w:line="360" w:lineRule="auto"/>
              <w:rPr>
                <w:rFonts w:ascii="Arial" w:hAnsi="Arial" w:cs="Arial"/>
                <w:kern w:val="0"/>
                <w14:ligatures w14:val="none"/>
              </w:rPr>
            </w:pPr>
            <w:r w:rsidRPr="00830CE6">
              <w:rPr>
                <w:rFonts w:ascii="Arial" w:hAnsi="Arial" w:cs="Arial"/>
                <w:kern w:val="0"/>
                <w14:ligatures w14:val="none"/>
              </w:rPr>
              <w:t>DRV</w:t>
            </w:r>
          </w:p>
        </w:tc>
        <w:tc>
          <w:tcPr>
            <w:tcW w:w="0" w:type="auto"/>
            <w:tcMar>
              <w:top w:w="15" w:type="dxa"/>
              <w:left w:w="15" w:type="dxa"/>
              <w:bottom w:w="15" w:type="dxa"/>
              <w:right w:w="15" w:type="dxa"/>
            </w:tcMar>
            <w:vAlign w:val="center"/>
            <w:hideMark/>
          </w:tcPr>
          <w:p w14:paraId="41885E42" w14:textId="77777777" w:rsidR="00830CE6" w:rsidRPr="00830CE6" w:rsidRDefault="00830CE6" w:rsidP="00830CE6">
            <w:pPr>
              <w:spacing w:before="100" w:beforeAutospacing="1" w:after="100" w:afterAutospacing="1" w:line="360" w:lineRule="auto"/>
              <w:rPr>
                <w:rFonts w:ascii="Arial" w:hAnsi="Arial" w:cs="Arial"/>
                <w:kern w:val="0"/>
                <w14:ligatures w14:val="none"/>
              </w:rPr>
            </w:pPr>
            <w:r w:rsidRPr="00830CE6">
              <w:rPr>
                <w:rFonts w:ascii="Arial" w:hAnsi="Arial" w:cs="Arial"/>
                <w:kern w:val="0"/>
                <w14:ligatures w14:val="none"/>
              </w:rPr>
              <w:t>Dietary Reference Value</w:t>
            </w:r>
          </w:p>
        </w:tc>
        <w:tc>
          <w:tcPr>
            <w:tcW w:w="0" w:type="auto"/>
            <w:tcMar>
              <w:top w:w="15" w:type="dxa"/>
              <w:left w:w="15" w:type="dxa"/>
              <w:bottom w:w="15" w:type="dxa"/>
              <w:right w:w="15" w:type="dxa"/>
            </w:tcMar>
            <w:vAlign w:val="center"/>
            <w:hideMark/>
          </w:tcPr>
          <w:p w14:paraId="2794F367" w14:textId="77777777" w:rsidR="00830CE6" w:rsidRPr="00830CE6" w:rsidRDefault="00830CE6" w:rsidP="00830CE6">
            <w:pPr>
              <w:spacing w:before="100" w:beforeAutospacing="1" w:after="100" w:afterAutospacing="1" w:line="360" w:lineRule="auto"/>
              <w:rPr>
                <w:rFonts w:ascii="Arial" w:hAnsi="Arial" w:cs="Arial"/>
                <w:kern w:val="0"/>
                <w14:ligatures w14:val="none"/>
              </w:rPr>
            </w:pPr>
            <w:r w:rsidRPr="00830CE6">
              <w:rPr>
                <w:rFonts w:ascii="Arial" w:hAnsi="Arial" w:cs="Arial"/>
                <w:kern w:val="0"/>
                <w14:ligatures w14:val="none"/>
              </w:rPr>
              <w:t>A collective term used to describe a set of dietary reference figures for energy and nutrients for healthy populations. These include the Estimated Average Requirement, Reference Nutrient Intake, Lower Reference Nutrient Intake and safe intake (DoH, 1991).</w:t>
            </w:r>
          </w:p>
        </w:tc>
      </w:tr>
      <w:tr w:rsidR="00830CE6" w:rsidRPr="00830CE6" w14:paraId="15A4B609" w14:textId="77777777" w:rsidTr="00E715D6">
        <w:trPr>
          <w:tblCellSpacing w:w="15" w:type="dxa"/>
        </w:trPr>
        <w:tc>
          <w:tcPr>
            <w:tcW w:w="0" w:type="auto"/>
            <w:tcMar>
              <w:top w:w="15" w:type="dxa"/>
              <w:left w:w="15" w:type="dxa"/>
              <w:bottom w:w="15" w:type="dxa"/>
              <w:right w:w="15" w:type="dxa"/>
            </w:tcMar>
            <w:vAlign w:val="center"/>
            <w:hideMark/>
          </w:tcPr>
          <w:p w14:paraId="7D11C23A" w14:textId="77777777" w:rsidR="00830CE6" w:rsidRPr="00830CE6" w:rsidRDefault="00830CE6" w:rsidP="00830CE6">
            <w:pPr>
              <w:spacing w:before="100" w:beforeAutospacing="1" w:after="100" w:afterAutospacing="1" w:line="360" w:lineRule="auto"/>
              <w:rPr>
                <w:rFonts w:ascii="Arial" w:hAnsi="Arial" w:cs="Arial"/>
                <w:kern w:val="0"/>
                <w14:ligatures w14:val="none"/>
              </w:rPr>
            </w:pPr>
            <w:r w:rsidRPr="00830CE6">
              <w:rPr>
                <w:rFonts w:ascii="Arial" w:hAnsi="Arial" w:cs="Arial"/>
                <w:kern w:val="0"/>
                <w14:ligatures w14:val="none"/>
              </w:rPr>
              <w:t>EAR</w:t>
            </w:r>
          </w:p>
        </w:tc>
        <w:tc>
          <w:tcPr>
            <w:tcW w:w="0" w:type="auto"/>
            <w:tcMar>
              <w:top w:w="15" w:type="dxa"/>
              <w:left w:w="15" w:type="dxa"/>
              <w:bottom w:w="15" w:type="dxa"/>
              <w:right w:w="15" w:type="dxa"/>
            </w:tcMar>
            <w:vAlign w:val="center"/>
            <w:hideMark/>
          </w:tcPr>
          <w:p w14:paraId="2D5520DC" w14:textId="77777777" w:rsidR="00830CE6" w:rsidRPr="00830CE6" w:rsidRDefault="00830CE6" w:rsidP="00830CE6">
            <w:pPr>
              <w:spacing w:before="100" w:beforeAutospacing="1" w:after="100" w:afterAutospacing="1" w:line="360" w:lineRule="auto"/>
              <w:rPr>
                <w:rFonts w:ascii="Arial" w:hAnsi="Arial" w:cs="Arial"/>
                <w:kern w:val="0"/>
                <w14:ligatures w14:val="none"/>
              </w:rPr>
            </w:pPr>
            <w:r w:rsidRPr="00830CE6">
              <w:rPr>
                <w:rFonts w:ascii="Arial" w:hAnsi="Arial" w:cs="Arial"/>
                <w:kern w:val="0"/>
                <w14:ligatures w14:val="none"/>
              </w:rPr>
              <w:t>Estimated Average Requirement</w:t>
            </w:r>
          </w:p>
        </w:tc>
        <w:tc>
          <w:tcPr>
            <w:tcW w:w="0" w:type="auto"/>
            <w:tcMar>
              <w:top w:w="15" w:type="dxa"/>
              <w:left w:w="15" w:type="dxa"/>
              <w:bottom w:w="15" w:type="dxa"/>
              <w:right w:w="15" w:type="dxa"/>
            </w:tcMar>
            <w:vAlign w:val="center"/>
            <w:hideMark/>
          </w:tcPr>
          <w:p w14:paraId="35DA6014" w14:textId="77777777" w:rsidR="00830CE6" w:rsidRPr="00830CE6" w:rsidRDefault="00830CE6" w:rsidP="00830CE6">
            <w:pPr>
              <w:spacing w:before="100" w:beforeAutospacing="1" w:after="100" w:afterAutospacing="1" w:line="360" w:lineRule="auto"/>
              <w:rPr>
                <w:rFonts w:ascii="Arial" w:hAnsi="Arial" w:cs="Arial"/>
                <w:kern w:val="0"/>
                <w14:ligatures w14:val="none"/>
              </w:rPr>
            </w:pPr>
            <w:r w:rsidRPr="00830CE6">
              <w:rPr>
                <w:rFonts w:ascii="Arial" w:hAnsi="Arial" w:cs="Arial"/>
                <w:kern w:val="0"/>
                <w14:ligatures w14:val="none"/>
              </w:rPr>
              <w:t>The average requirement for energy or a nutrient estimated to meet the needs of 50% of individuals within a defined population group. Some individuals will require more than this amount and others less (DoH, 1991).</w:t>
            </w:r>
          </w:p>
        </w:tc>
      </w:tr>
      <w:tr w:rsidR="00830CE6" w:rsidRPr="00830CE6" w14:paraId="3B66CC9D" w14:textId="77777777" w:rsidTr="00E715D6">
        <w:trPr>
          <w:tblCellSpacing w:w="15" w:type="dxa"/>
        </w:trPr>
        <w:tc>
          <w:tcPr>
            <w:tcW w:w="0" w:type="auto"/>
            <w:tcMar>
              <w:top w:w="15" w:type="dxa"/>
              <w:left w:w="15" w:type="dxa"/>
              <w:bottom w:w="15" w:type="dxa"/>
              <w:right w:w="15" w:type="dxa"/>
            </w:tcMar>
            <w:vAlign w:val="center"/>
            <w:hideMark/>
          </w:tcPr>
          <w:p w14:paraId="6AE837C8" w14:textId="77777777" w:rsidR="00830CE6" w:rsidRPr="00830CE6" w:rsidRDefault="00830CE6" w:rsidP="00830CE6">
            <w:pPr>
              <w:spacing w:before="100" w:beforeAutospacing="1" w:after="100" w:afterAutospacing="1" w:line="360" w:lineRule="auto"/>
              <w:rPr>
                <w:rFonts w:ascii="Arial" w:hAnsi="Arial" w:cs="Arial"/>
                <w:kern w:val="0"/>
                <w14:ligatures w14:val="none"/>
              </w:rPr>
            </w:pPr>
            <w:r w:rsidRPr="00830CE6">
              <w:rPr>
                <w:rFonts w:ascii="Arial" w:hAnsi="Arial" w:cs="Arial"/>
                <w:kern w:val="0"/>
                <w14:ligatures w14:val="none"/>
              </w:rPr>
              <w:t>RNI</w:t>
            </w:r>
          </w:p>
        </w:tc>
        <w:tc>
          <w:tcPr>
            <w:tcW w:w="0" w:type="auto"/>
            <w:tcMar>
              <w:top w:w="15" w:type="dxa"/>
              <w:left w:w="15" w:type="dxa"/>
              <w:bottom w:w="15" w:type="dxa"/>
              <w:right w:w="15" w:type="dxa"/>
            </w:tcMar>
            <w:vAlign w:val="center"/>
            <w:hideMark/>
          </w:tcPr>
          <w:p w14:paraId="69B0DC8E" w14:textId="77777777" w:rsidR="00830CE6" w:rsidRPr="00830CE6" w:rsidRDefault="00830CE6" w:rsidP="00830CE6">
            <w:pPr>
              <w:spacing w:before="100" w:beforeAutospacing="1" w:after="100" w:afterAutospacing="1" w:line="360" w:lineRule="auto"/>
              <w:rPr>
                <w:rFonts w:ascii="Arial" w:hAnsi="Arial" w:cs="Arial"/>
                <w:kern w:val="0"/>
                <w14:ligatures w14:val="none"/>
              </w:rPr>
            </w:pPr>
            <w:r w:rsidRPr="00830CE6">
              <w:rPr>
                <w:rFonts w:ascii="Arial" w:hAnsi="Arial" w:cs="Arial"/>
                <w:kern w:val="0"/>
                <w14:ligatures w14:val="none"/>
              </w:rPr>
              <w:t>Reference Nutrient Intake</w:t>
            </w:r>
          </w:p>
        </w:tc>
        <w:tc>
          <w:tcPr>
            <w:tcW w:w="0" w:type="auto"/>
            <w:tcMar>
              <w:top w:w="15" w:type="dxa"/>
              <w:left w:w="15" w:type="dxa"/>
              <w:bottom w:w="15" w:type="dxa"/>
              <w:right w:w="15" w:type="dxa"/>
            </w:tcMar>
            <w:vAlign w:val="center"/>
            <w:hideMark/>
          </w:tcPr>
          <w:p w14:paraId="410A18D0" w14:textId="77777777" w:rsidR="00830CE6" w:rsidRPr="00830CE6" w:rsidRDefault="00830CE6" w:rsidP="00830CE6">
            <w:pPr>
              <w:spacing w:before="100" w:beforeAutospacing="1" w:after="100" w:afterAutospacing="1" w:line="360" w:lineRule="auto"/>
              <w:rPr>
                <w:rFonts w:ascii="Arial" w:hAnsi="Arial" w:cs="Arial"/>
                <w:kern w:val="0"/>
                <w14:ligatures w14:val="none"/>
              </w:rPr>
            </w:pPr>
            <w:r w:rsidRPr="00830CE6">
              <w:rPr>
                <w:rFonts w:ascii="Arial" w:hAnsi="Arial" w:cs="Arial"/>
                <w:kern w:val="0"/>
                <w14:ligatures w14:val="none"/>
              </w:rPr>
              <w:t>The amount of a nutrient that is sufficient to meet the needs of nearly all individuals in a population group. It is therefore commonly used as a reference point for assessing whether intake is likely to be adequate at population level (DoH, 1991).</w:t>
            </w:r>
          </w:p>
        </w:tc>
      </w:tr>
      <w:tr w:rsidR="00830CE6" w:rsidRPr="00830CE6" w14:paraId="3F5428B2" w14:textId="77777777" w:rsidTr="00E715D6">
        <w:trPr>
          <w:tblCellSpacing w:w="15" w:type="dxa"/>
        </w:trPr>
        <w:tc>
          <w:tcPr>
            <w:tcW w:w="0" w:type="auto"/>
            <w:tcMar>
              <w:top w:w="15" w:type="dxa"/>
              <w:left w:w="15" w:type="dxa"/>
              <w:bottom w:w="15" w:type="dxa"/>
              <w:right w:w="15" w:type="dxa"/>
            </w:tcMar>
            <w:vAlign w:val="center"/>
            <w:hideMark/>
          </w:tcPr>
          <w:p w14:paraId="71C46FD5" w14:textId="77777777" w:rsidR="00830CE6" w:rsidRPr="00830CE6" w:rsidRDefault="00830CE6" w:rsidP="00830CE6">
            <w:pPr>
              <w:spacing w:before="100" w:beforeAutospacing="1" w:after="100" w:afterAutospacing="1" w:line="360" w:lineRule="auto"/>
              <w:rPr>
                <w:rFonts w:ascii="Arial" w:hAnsi="Arial" w:cs="Arial"/>
                <w:kern w:val="0"/>
                <w14:ligatures w14:val="none"/>
              </w:rPr>
            </w:pPr>
            <w:r w:rsidRPr="00830CE6">
              <w:rPr>
                <w:rFonts w:ascii="Arial" w:hAnsi="Arial" w:cs="Arial"/>
                <w:kern w:val="0"/>
                <w14:ligatures w14:val="none"/>
              </w:rPr>
              <w:t>LRNI</w:t>
            </w:r>
          </w:p>
        </w:tc>
        <w:tc>
          <w:tcPr>
            <w:tcW w:w="0" w:type="auto"/>
            <w:tcMar>
              <w:top w:w="15" w:type="dxa"/>
              <w:left w:w="15" w:type="dxa"/>
              <w:bottom w:w="15" w:type="dxa"/>
              <w:right w:w="15" w:type="dxa"/>
            </w:tcMar>
            <w:vAlign w:val="center"/>
            <w:hideMark/>
          </w:tcPr>
          <w:p w14:paraId="1803458D" w14:textId="77777777" w:rsidR="00830CE6" w:rsidRPr="00830CE6" w:rsidRDefault="00830CE6" w:rsidP="00830CE6">
            <w:pPr>
              <w:spacing w:before="100" w:beforeAutospacing="1" w:after="100" w:afterAutospacing="1" w:line="360" w:lineRule="auto"/>
              <w:rPr>
                <w:rFonts w:ascii="Arial" w:hAnsi="Arial" w:cs="Arial"/>
                <w:kern w:val="0"/>
                <w14:ligatures w14:val="none"/>
              </w:rPr>
            </w:pPr>
            <w:r w:rsidRPr="00830CE6">
              <w:rPr>
                <w:rFonts w:ascii="Arial" w:hAnsi="Arial" w:cs="Arial"/>
                <w:kern w:val="0"/>
                <w14:ligatures w14:val="none"/>
              </w:rPr>
              <w:t>Lower Reference Nutrient Intake</w:t>
            </w:r>
          </w:p>
        </w:tc>
        <w:tc>
          <w:tcPr>
            <w:tcW w:w="0" w:type="auto"/>
            <w:tcMar>
              <w:top w:w="15" w:type="dxa"/>
              <w:left w:w="15" w:type="dxa"/>
              <w:bottom w:w="15" w:type="dxa"/>
              <w:right w:w="15" w:type="dxa"/>
            </w:tcMar>
            <w:vAlign w:val="center"/>
            <w:hideMark/>
          </w:tcPr>
          <w:p w14:paraId="508FFFC6" w14:textId="77777777" w:rsidR="00830CE6" w:rsidRPr="00830CE6" w:rsidRDefault="00830CE6" w:rsidP="00830CE6">
            <w:pPr>
              <w:spacing w:before="100" w:beforeAutospacing="1" w:after="100" w:afterAutospacing="1" w:line="360" w:lineRule="auto"/>
              <w:rPr>
                <w:rFonts w:ascii="Arial" w:hAnsi="Arial" w:cs="Arial"/>
                <w:kern w:val="0"/>
                <w14:ligatures w14:val="none"/>
              </w:rPr>
            </w:pPr>
            <w:r w:rsidRPr="00830CE6">
              <w:rPr>
                <w:rFonts w:ascii="Arial" w:hAnsi="Arial" w:cs="Arial"/>
                <w:kern w:val="0"/>
                <w14:ligatures w14:val="none"/>
              </w:rPr>
              <w:t xml:space="preserve">The amount of a nutrient that is enough for only a small proportion of individuals who have low requirements. Habitual </w:t>
            </w:r>
            <w:r w:rsidRPr="00830CE6">
              <w:rPr>
                <w:rFonts w:ascii="Arial" w:hAnsi="Arial" w:cs="Arial"/>
                <w:kern w:val="0"/>
                <w14:ligatures w14:val="none"/>
              </w:rPr>
              <w:lastRenderedPageBreak/>
              <w:t>intakes below the LRNI are likely to be inadequate for most people (DoH, 1991).</w:t>
            </w:r>
          </w:p>
        </w:tc>
      </w:tr>
      <w:tr w:rsidR="00830CE6" w:rsidRPr="00830CE6" w14:paraId="1CF0032A" w14:textId="77777777" w:rsidTr="00E715D6">
        <w:trPr>
          <w:tblCellSpacing w:w="15" w:type="dxa"/>
        </w:trPr>
        <w:tc>
          <w:tcPr>
            <w:tcW w:w="0" w:type="auto"/>
            <w:tcMar>
              <w:top w:w="15" w:type="dxa"/>
              <w:left w:w="15" w:type="dxa"/>
              <w:bottom w:w="15" w:type="dxa"/>
              <w:right w:w="15" w:type="dxa"/>
            </w:tcMar>
            <w:vAlign w:val="center"/>
            <w:hideMark/>
          </w:tcPr>
          <w:p w14:paraId="1AA9FF5F" w14:textId="77777777" w:rsidR="00830CE6" w:rsidRPr="00830CE6" w:rsidRDefault="00830CE6" w:rsidP="00830CE6">
            <w:pPr>
              <w:spacing w:before="100" w:beforeAutospacing="1" w:after="100" w:afterAutospacing="1" w:line="360" w:lineRule="auto"/>
              <w:rPr>
                <w:rFonts w:ascii="Arial" w:hAnsi="Arial" w:cs="Arial"/>
                <w:kern w:val="0"/>
                <w14:ligatures w14:val="none"/>
              </w:rPr>
            </w:pPr>
            <w:r w:rsidRPr="00830CE6">
              <w:rPr>
                <w:rFonts w:ascii="Arial" w:hAnsi="Arial" w:cs="Arial"/>
                <w:kern w:val="0"/>
                <w14:ligatures w14:val="none"/>
              </w:rPr>
              <w:lastRenderedPageBreak/>
              <w:t>Safe intake</w:t>
            </w:r>
          </w:p>
        </w:tc>
        <w:tc>
          <w:tcPr>
            <w:tcW w:w="0" w:type="auto"/>
            <w:tcMar>
              <w:top w:w="15" w:type="dxa"/>
              <w:left w:w="15" w:type="dxa"/>
              <w:bottom w:w="15" w:type="dxa"/>
              <w:right w:w="15" w:type="dxa"/>
            </w:tcMar>
            <w:vAlign w:val="center"/>
            <w:hideMark/>
          </w:tcPr>
          <w:p w14:paraId="06B696AA" w14:textId="77777777" w:rsidR="00830CE6" w:rsidRPr="00830CE6" w:rsidRDefault="00830CE6" w:rsidP="00830CE6">
            <w:pPr>
              <w:spacing w:before="100" w:beforeAutospacing="1" w:after="100" w:afterAutospacing="1" w:line="360" w:lineRule="auto"/>
              <w:rPr>
                <w:rFonts w:ascii="Arial" w:hAnsi="Arial" w:cs="Arial"/>
                <w:kern w:val="0"/>
                <w14:ligatures w14:val="none"/>
              </w:rPr>
            </w:pPr>
            <w:r w:rsidRPr="00830CE6">
              <w:rPr>
                <w:rFonts w:ascii="Arial" w:hAnsi="Arial" w:cs="Arial"/>
                <w:kern w:val="0"/>
                <w14:ligatures w14:val="none"/>
              </w:rPr>
              <w:t>Safe intake</w:t>
            </w:r>
          </w:p>
        </w:tc>
        <w:tc>
          <w:tcPr>
            <w:tcW w:w="0" w:type="auto"/>
            <w:tcMar>
              <w:top w:w="15" w:type="dxa"/>
              <w:left w:w="15" w:type="dxa"/>
              <w:bottom w:w="15" w:type="dxa"/>
              <w:right w:w="15" w:type="dxa"/>
            </w:tcMar>
            <w:vAlign w:val="center"/>
            <w:hideMark/>
          </w:tcPr>
          <w:p w14:paraId="25BE9F3F" w14:textId="77777777" w:rsidR="00830CE6" w:rsidRPr="00830CE6" w:rsidRDefault="00830CE6" w:rsidP="00830CE6">
            <w:pPr>
              <w:spacing w:before="100" w:beforeAutospacing="1" w:after="100" w:afterAutospacing="1" w:line="360" w:lineRule="auto"/>
              <w:rPr>
                <w:rFonts w:ascii="Arial" w:hAnsi="Arial" w:cs="Arial"/>
                <w:kern w:val="0"/>
                <w14:ligatures w14:val="none"/>
              </w:rPr>
            </w:pPr>
            <w:r w:rsidRPr="00830CE6">
              <w:rPr>
                <w:rFonts w:ascii="Arial" w:hAnsi="Arial" w:cs="Arial"/>
                <w:kern w:val="0"/>
                <w14:ligatures w14:val="none"/>
              </w:rPr>
              <w:t>A value used when there is insufficient evidence to determine an EAR, RNI or LRNI. It refers to an intake judged to be adequate for almost everyone, without known risk of undesirable effects (DoH, 1991).</w:t>
            </w:r>
          </w:p>
        </w:tc>
      </w:tr>
    </w:tbl>
    <w:p w14:paraId="3EB61C7A" w14:textId="77777777"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r w:rsidRPr="00830CE6">
        <w:rPr>
          <w:rFonts w:ascii="Arial" w:eastAsiaTheme="minorEastAsia" w:hAnsi="Arial" w:cs="Arial"/>
          <w:kern w:val="0"/>
          <w:lang w:val="en-GB"/>
          <w14:ligatures w14:val="none"/>
        </w:rPr>
        <w:t>Note. Dietary Reference Values are intended for use with healthy population groups and should be interpreted as reference estimates rather than exact individual prescriptions (DoH, 1991).</w:t>
      </w:r>
    </w:p>
    <w:p w14:paraId="6B6F5354" w14:textId="77777777"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p>
    <w:p w14:paraId="28DCA3A5" w14:textId="77777777"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p>
    <w:p w14:paraId="337EBA99" w14:textId="77777777"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p>
    <w:p w14:paraId="1FC94844" w14:textId="77777777"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p>
    <w:p w14:paraId="07E61387" w14:textId="77777777"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p>
    <w:p w14:paraId="2087C5B6" w14:textId="77777777"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p>
    <w:p w14:paraId="13B89C47" w14:textId="77777777"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p>
    <w:p w14:paraId="2C501C5F" w14:textId="77777777"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p>
    <w:p w14:paraId="185D346B" w14:textId="77777777"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p>
    <w:p w14:paraId="4AB0A06C" w14:textId="77777777"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p>
    <w:p w14:paraId="750727DF" w14:textId="77777777" w:rsidR="00830CE6" w:rsidRPr="00830CE6" w:rsidRDefault="00830CE6" w:rsidP="00830CE6">
      <w:pPr>
        <w:spacing w:before="100" w:beforeAutospacing="1" w:after="100" w:afterAutospacing="1" w:line="360" w:lineRule="auto"/>
        <w:rPr>
          <w:rFonts w:ascii="Arial" w:eastAsiaTheme="minorEastAsia" w:hAnsi="Arial" w:cs="Arial"/>
          <w:kern w:val="0"/>
          <w:lang w:val="en-GB"/>
          <w14:ligatures w14:val="none"/>
        </w:rPr>
      </w:pPr>
    </w:p>
    <w:p w14:paraId="52C492DD" w14:textId="70AD4102" w:rsidR="00C95E3D" w:rsidRDefault="00C95E3D" w:rsidP="004E1688">
      <w:pPr>
        <w:pStyle w:val="Heading1"/>
        <w:rPr>
          <w:rFonts w:eastAsia="Times New Roman"/>
          <w:lang w:val="en-GB"/>
        </w:rPr>
      </w:pPr>
      <w:bookmarkStart w:id="54" w:name="_Toc228218295"/>
      <w:r w:rsidRPr="00C95E3D">
        <w:rPr>
          <w:rFonts w:eastAsia="Times New Roman"/>
          <w:lang w:val="en-GB"/>
        </w:rPr>
        <w:lastRenderedPageBreak/>
        <w:t>CHAPTER 4: RESULTS</w:t>
      </w:r>
      <w:bookmarkEnd w:id="54"/>
    </w:p>
    <w:p w14:paraId="6F0A50D7" w14:textId="77777777" w:rsidR="00985E16" w:rsidRPr="00C95E3D" w:rsidRDefault="00985E16" w:rsidP="00096CAD">
      <w:pPr>
        <w:spacing w:before="100" w:beforeAutospacing="1" w:after="100" w:afterAutospacing="1" w:line="360" w:lineRule="auto"/>
        <w:jc w:val="center"/>
        <w:outlineLvl w:val="0"/>
        <w:rPr>
          <w:rFonts w:ascii="Arial" w:eastAsia="Times New Roman" w:hAnsi="Arial" w:cs="Arial"/>
          <w:b/>
          <w:bCs/>
          <w:kern w:val="0"/>
          <w:lang w:val="en-GB"/>
          <w14:ligatures w14:val="none"/>
        </w:rPr>
      </w:pPr>
    </w:p>
    <w:p w14:paraId="5750BBD2" w14:textId="147A2D8D" w:rsidR="00C95E3D" w:rsidRPr="00985E16" w:rsidRDefault="00C95E3D" w:rsidP="006B28E1">
      <w:pPr>
        <w:spacing w:before="100" w:beforeAutospacing="1" w:after="100" w:afterAutospacing="1" w:line="360" w:lineRule="auto"/>
        <w:rPr>
          <w:rFonts w:ascii="Arial" w:eastAsia="Yu Mincho" w:hAnsi="Arial" w:cs="Arial"/>
          <w:kern w:val="0"/>
          <w:lang w:val="en-GB"/>
          <w14:ligatures w14:val="none"/>
        </w:rPr>
      </w:pPr>
      <w:r w:rsidRPr="00C95E3D">
        <w:rPr>
          <w:rFonts w:ascii="Arial" w:eastAsia="Yu Mincho" w:hAnsi="Arial" w:cs="Arial"/>
          <w:kern w:val="0"/>
          <w:lang w:val="en-GB"/>
          <w14:ligatures w14:val="none"/>
        </w:rPr>
        <w:t>This chapter presents the outcomes of the eight-week omega-3 supplementation intervention compared with a control condition.</w:t>
      </w:r>
      <w:r w:rsidR="00985E16">
        <w:rPr>
          <w:rFonts w:ascii="Arial" w:eastAsia="Yu Mincho" w:hAnsi="Arial" w:cs="Arial"/>
          <w:kern w:val="0"/>
          <w:lang w:val="en-GB"/>
          <w14:ligatures w14:val="none"/>
        </w:rPr>
        <w:t xml:space="preserve"> </w:t>
      </w:r>
      <w:r w:rsidRPr="00C95E3D">
        <w:rPr>
          <w:rFonts w:ascii="Arial" w:eastAsia="Yu Mincho" w:hAnsi="Arial" w:cs="Arial"/>
          <w:kern w:val="0"/>
          <w:lang w:val="en-GB"/>
          <w14:ligatures w14:val="none"/>
        </w:rPr>
        <w:t>All participants completed the 8-week protocol (n = 20), with no dropouts or missing data. Compliance with supplementation exceeded 95% based on capsule return and self-report logs. Participants were instructed to maintain habitual diet, training patterns, and lifestyle behaviours throughout the intervention period, and no changes were reported.</w:t>
      </w:r>
    </w:p>
    <w:p w14:paraId="4F425DD3" w14:textId="77777777" w:rsidR="00C95E3D" w:rsidRDefault="00C95E3D" w:rsidP="003C7FBC">
      <w:pPr>
        <w:pStyle w:val="Heading2"/>
        <w:rPr>
          <w:rFonts w:eastAsia="Yu Mincho"/>
          <w:lang w:val="en-GB"/>
        </w:rPr>
      </w:pPr>
      <w:bookmarkStart w:id="55" w:name="_Toc228218296"/>
      <w:r w:rsidRPr="00C95E3D">
        <w:rPr>
          <w:rFonts w:eastAsia="Yu Mincho"/>
          <w:lang w:val="en-GB"/>
        </w:rPr>
        <w:t>4.1 Baseline characteristics: Anthropometrics and baseline cardiovascular</w:t>
      </w:r>
      <w:bookmarkEnd w:id="55"/>
    </w:p>
    <w:p w14:paraId="45874950" w14:textId="77777777" w:rsidR="007E6F1F" w:rsidRPr="007E6F1F" w:rsidRDefault="007E6F1F" w:rsidP="007E6F1F">
      <w:pPr>
        <w:rPr>
          <w:lang w:val="en-GB"/>
        </w:rPr>
      </w:pPr>
    </w:p>
    <w:p w14:paraId="40164F21" w14:textId="77777777" w:rsidR="00C95E3D" w:rsidRPr="00C95E3D" w:rsidRDefault="00C95E3D" w:rsidP="00E92650">
      <w:pPr>
        <w:rPr>
          <w:rFonts w:ascii="Aptos Display" w:hAnsi="Aptos Display" w:cs="Times New Roman"/>
        </w:rPr>
      </w:pPr>
      <w:r w:rsidRPr="00BB158B">
        <w:rPr>
          <w:b/>
          <w:bCs/>
          <w:lang w:val="en-GB"/>
        </w:rPr>
        <w:t>Table 4.1</w:t>
      </w:r>
      <w:r w:rsidRPr="00C95E3D">
        <w:rPr>
          <w:lang w:val="en-GB"/>
        </w:rPr>
        <w:t>. Baseline participant characteristics and between-group comparisons (n = 10 per group)</w:t>
      </w:r>
    </w:p>
    <w:tbl>
      <w:tblPr>
        <w:tblW w:w="0" w:type="auto"/>
        <w:tblCellSpacing w:w="15" w:type="dxa"/>
        <w:tblLook w:val="04A0" w:firstRow="1" w:lastRow="0" w:firstColumn="1" w:lastColumn="0" w:noHBand="0" w:noVBand="1"/>
      </w:tblPr>
      <w:tblGrid>
        <w:gridCol w:w="2751"/>
        <w:gridCol w:w="1713"/>
        <w:gridCol w:w="1545"/>
        <w:gridCol w:w="1529"/>
        <w:gridCol w:w="754"/>
        <w:gridCol w:w="1068"/>
      </w:tblGrid>
      <w:tr w:rsidR="00C95E3D" w:rsidRPr="00C95E3D" w14:paraId="441E5EBF" w14:textId="77777777">
        <w:trPr>
          <w:tblHeader/>
          <w:tblCellSpacing w:w="15" w:type="dxa"/>
        </w:trPr>
        <w:tc>
          <w:tcPr>
            <w:tcW w:w="0" w:type="auto"/>
            <w:tcMar>
              <w:top w:w="15" w:type="dxa"/>
              <w:left w:w="15" w:type="dxa"/>
              <w:bottom w:w="15" w:type="dxa"/>
              <w:right w:w="15" w:type="dxa"/>
            </w:tcMar>
            <w:vAlign w:val="center"/>
            <w:hideMark/>
          </w:tcPr>
          <w:p w14:paraId="32E678E9" w14:textId="77777777" w:rsidR="00C95E3D" w:rsidRPr="00C95E3D" w:rsidRDefault="00C95E3D" w:rsidP="00096CAD">
            <w:pPr>
              <w:spacing w:before="100" w:beforeAutospacing="1" w:after="100" w:afterAutospacing="1" w:line="360" w:lineRule="auto"/>
              <w:jc w:val="center"/>
              <w:rPr>
                <w:rFonts w:ascii="Arial" w:eastAsia="Yu Mincho" w:hAnsi="Arial" w:cs="Arial"/>
                <w:kern w:val="0"/>
                <w14:ligatures w14:val="none"/>
              </w:rPr>
            </w:pPr>
            <w:r w:rsidRPr="00C95E3D">
              <w:rPr>
                <w:rFonts w:ascii="Arial" w:eastAsia="Yu Mincho" w:hAnsi="Arial" w:cs="Arial"/>
                <w:kern w:val="0"/>
                <w14:ligatures w14:val="none"/>
              </w:rPr>
              <w:t>Variable</w:t>
            </w:r>
          </w:p>
        </w:tc>
        <w:tc>
          <w:tcPr>
            <w:tcW w:w="0" w:type="auto"/>
            <w:tcMar>
              <w:top w:w="15" w:type="dxa"/>
              <w:left w:w="15" w:type="dxa"/>
              <w:bottom w:w="15" w:type="dxa"/>
              <w:right w:w="15" w:type="dxa"/>
            </w:tcMar>
            <w:vAlign w:val="center"/>
            <w:hideMark/>
          </w:tcPr>
          <w:p w14:paraId="4EB946E7" w14:textId="77777777" w:rsidR="00C95E3D" w:rsidRPr="00C95E3D" w:rsidRDefault="00C95E3D" w:rsidP="00096CAD">
            <w:pPr>
              <w:spacing w:before="100" w:beforeAutospacing="1" w:after="100" w:afterAutospacing="1" w:line="360" w:lineRule="auto"/>
              <w:jc w:val="center"/>
              <w:rPr>
                <w:rFonts w:ascii="Arial" w:eastAsia="Yu Mincho" w:hAnsi="Arial" w:cs="Arial"/>
                <w:kern w:val="0"/>
                <w14:ligatures w14:val="none"/>
              </w:rPr>
            </w:pPr>
            <w:r w:rsidRPr="00C95E3D">
              <w:rPr>
                <w:rFonts w:ascii="Arial" w:eastAsia="Yu Mincho" w:hAnsi="Arial" w:cs="Arial"/>
                <w:kern w:val="0"/>
                <w14:ligatures w14:val="none"/>
              </w:rPr>
              <w:t>Omega-3 Mean ± SD</w:t>
            </w:r>
          </w:p>
        </w:tc>
        <w:tc>
          <w:tcPr>
            <w:tcW w:w="0" w:type="auto"/>
            <w:tcMar>
              <w:top w:w="15" w:type="dxa"/>
              <w:left w:w="15" w:type="dxa"/>
              <w:bottom w:w="15" w:type="dxa"/>
              <w:right w:w="15" w:type="dxa"/>
            </w:tcMar>
            <w:vAlign w:val="center"/>
            <w:hideMark/>
          </w:tcPr>
          <w:p w14:paraId="34E1F7F7" w14:textId="77777777" w:rsidR="00C95E3D" w:rsidRPr="00C95E3D" w:rsidRDefault="00C95E3D" w:rsidP="00096CAD">
            <w:pPr>
              <w:spacing w:before="100" w:beforeAutospacing="1" w:after="100" w:afterAutospacing="1" w:line="360" w:lineRule="auto"/>
              <w:jc w:val="center"/>
              <w:rPr>
                <w:rFonts w:ascii="Arial" w:eastAsia="Yu Mincho" w:hAnsi="Arial" w:cs="Arial"/>
                <w:kern w:val="0"/>
                <w14:ligatures w14:val="none"/>
              </w:rPr>
            </w:pPr>
            <w:r w:rsidRPr="00C95E3D">
              <w:rPr>
                <w:rFonts w:ascii="Arial" w:eastAsia="Yu Mincho" w:hAnsi="Arial" w:cs="Arial"/>
                <w:kern w:val="0"/>
                <w14:ligatures w14:val="none"/>
              </w:rPr>
              <w:t>Control Mean ± SD</w:t>
            </w:r>
          </w:p>
        </w:tc>
        <w:tc>
          <w:tcPr>
            <w:tcW w:w="0" w:type="auto"/>
            <w:tcMar>
              <w:top w:w="15" w:type="dxa"/>
              <w:left w:w="15" w:type="dxa"/>
              <w:bottom w:w="15" w:type="dxa"/>
              <w:right w:w="15" w:type="dxa"/>
            </w:tcMar>
            <w:vAlign w:val="center"/>
            <w:hideMark/>
          </w:tcPr>
          <w:p w14:paraId="5BF295B9" w14:textId="77777777" w:rsidR="00C95E3D" w:rsidRPr="00C95E3D" w:rsidRDefault="00C95E3D" w:rsidP="00096CAD">
            <w:pPr>
              <w:spacing w:before="100" w:beforeAutospacing="1" w:after="100" w:afterAutospacing="1" w:line="360" w:lineRule="auto"/>
              <w:jc w:val="center"/>
              <w:rPr>
                <w:rFonts w:ascii="Arial" w:eastAsia="Yu Mincho" w:hAnsi="Arial" w:cs="Arial"/>
                <w:kern w:val="0"/>
                <w14:ligatures w14:val="none"/>
              </w:rPr>
            </w:pPr>
            <w:r w:rsidRPr="00C95E3D">
              <w:rPr>
                <w:rFonts w:ascii="Arial" w:eastAsia="Yu Mincho" w:hAnsi="Arial" w:cs="Arial"/>
                <w:kern w:val="0"/>
                <w14:ligatures w14:val="none"/>
              </w:rPr>
              <w:t>Mean Difference</w:t>
            </w:r>
          </w:p>
        </w:tc>
        <w:tc>
          <w:tcPr>
            <w:tcW w:w="0" w:type="auto"/>
            <w:tcMar>
              <w:top w:w="15" w:type="dxa"/>
              <w:left w:w="15" w:type="dxa"/>
              <w:bottom w:w="15" w:type="dxa"/>
              <w:right w:w="15" w:type="dxa"/>
            </w:tcMar>
            <w:vAlign w:val="center"/>
            <w:hideMark/>
          </w:tcPr>
          <w:p w14:paraId="0466AFA1" w14:textId="77777777" w:rsidR="00C95E3D" w:rsidRPr="00C95E3D" w:rsidRDefault="00C95E3D" w:rsidP="00096CAD">
            <w:pPr>
              <w:spacing w:before="100" w:beforeAutospacing="1" w:after="100" w:afterAutospacing="1" w:line="360" w:lineRule="auto"/>
              <w:jc w:val="center"/>
              <w:rPr>
                <w:rFonts w:ascii="Arial" w:eastAsia="Yu Mincho" w:hAnsi="Arial" w:cs="Arial"/>
                <w:kern w:val="0"/>
                <w14:ligatures w14:val="none"/>
              </w:rPr>
            </w:pPr>
            <w:r w:rsidRPr="00C95E3D">
              <w:rPr>
                <w:rFonts w:ascii="Arial" w:eastAsia="Yu Mincho" w:hAnsi="Arial" w:cs="Arial"/>
                <w:kern w:val="0"/>
                <w14:ligatures w14:val="none"/>
              </w:rPr>
              <w:t>p-value</w:t>
            </w:r>
          </w:p>
        </w:tc>
        <w:tc>
          <w:tcPr>
            <w:tcW w:w="0" w:type="auto"/>
            <w:tcMar>
              <w:top w:w="15" w:type="dxa"/>
              <w:left w:w="15" w:type="dxa"/>
              <w:bottom w:w="15" w:type="dxa"/>
              <w:right w:w="15" w:type="dxa"/>
            </w:tcMar>
            <w:vAlign w:val="center"/>
            <w:hideMark/>
          </w:tcPr>
          <w:p w14:paraId="726C69A9" w14:textId="77777777" w:rsidR="00C95E3D" w:rsidRPr="00C95E3D" w:rsidRDefault="00C95E3D" w:rsidP="00096CAD">
            <w:pPr>
              <w:spacing w:before="100" w:beforeAutospacing="1" w:after="100" w:afterAutospacing="1" w:line="360" w:lineRule="auto"/>
              <w:jc w:val="center"/>
              <w:rPr>
                <w:rFonts w:ascii="Arial" w:eastAsia="Yu Mincho" w:hAnsi="Arial" w:cs="Arial"/>
                <w:kern w:val="0"/>
                <w14:ligatures w14:val="none"/>
              </w:rPr>
            </w:pPr>
            <w:r w:rsidRPr="00C95E3D">
              <w:rPr>
                <w:rFonts w:ascii="Arial" w:eastAsia="Yu Mincho" w:hAnsi="Arial" w:cs="Arial"/>
                <w:kern w:val="0"/>
                <w14:ligatures w14:val="none"/>
              </w:rPr>
              <w:t>Cohen’s d</w:t>
            </w:r>
          </w:p>
        </w:tc>
      </w:tr>
      <w:tr w:rsidR="00C95E3D" w:rsidRPr="00C95E3D" w14:paraId="7330BECB" w14:textId="77777777">
        <w:trPr>
          <w:tblCellSpacing w:w="15" w:type="dxa"/>
        </w:trPr>
        <w:tc>
          <w:tcPr>
            <w:tcW w:w="0" w:type="auto"/>
            <w:tcMar>
              <w:top w:w="15" w:type="dxa"/>
              <w:left w:w="15" w:type="dxa"/>
              <w:bottom w:w="15" w:type="dxa"/>
              <w:right w:w="15" w:type="dxa"/>
            </w:tcMar>
            <w:vAlign w:val="center"/>
            <w:hideMark/>
          </w:tcPr>
          <w:p w14:paraId="5C25A405"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Age (years)</w:t>
            </w:r>
          </w:p>
        </w:tc>
        <w:tc>
          <w:tcPr>
            <w:tcW w:w="0" w:type="auto"/>
            <w:tcMar>
              <w:top w:w="15" w:type="dxa"/>
              <w:left w:w="15" w:type="dxa"/>
              <w:bottom w:w="15" w:type="dxa"/>
              <w:right w:w="15" w:type="dxa"/>
            </w:tcMar>
            <w:vAlign w:val="center"/>
            <w:hideMark/>
          </w:tcPr>
          <w:p w14:paraId="2B123D78"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41.0 ± 8.0</w:t>
            </w:r>
          </w:p>
        </w:tc>
        <w:tc>
          <w:tcPr>
            <w:tcW w:w="0" w:type="auto"/>
            <w:tcMar>
              <w:top w:w="15" w:type="dxa"/>
              <w:left w:w="15" w:type="dxa"/>
              <w:bottom w:w="15" w:type="dxa"/>
              <w:right w:w="15" w:type="dxa"/>
            </w:tcMar>
            <w:vAlign w:val="center"/>
            <w:hideMark/>
          </w:tcPr>
          <w:p w14:paraId="75CCDC6A"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38.9 ± 7.5</w:t>
            </w:r>
          </w:p>
        </w:tc>
        <w:tc>
          <w:tcPr>
            <w:tcW w:w="0" w:type="auto"/>
            <w:tcMar>
              <w:top w:w="15" w:type="dxa"/>
              <w:left w:w="15" w:type="dxa"/>
              <w:bottom w:w="15" w:type="dxa"/>
              <w:right w:w="15" w:type="dxa"/>
            </w:tcMar>
            <w:vAlign w:val="center"/>
            <w:hideMark/>
          </w:tcPr>
          <w:p w14:paraId="4F30B4B6"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2.10</w:t>
            </w:r>
          </w:p>
        </w:tc>
        <w:tc>
          <w:tcPr>
            <w:tcW w:w="0" w:type="auto"/>
            <w:tcMar>
              <w:top w:w="15" w:type="dxa"/>
              <w:left w:w="15" w:type="dxa"/>
              <w:bottom w:w="15" w:type="dxa"/>
              <w:right w:w="15" w:type="dxa"/>
            </w:tcMar>
            <w:vAlign w:val="center"/>
            <w:hideMark/>
          </w:tcPr>
          <w:p w14:paraId="1A917AAB"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.552</w:t>
            </w:r>
          </w:p>
        </w:tc>
        <w:tc>
          <w:tcPr>
            <w:tcW w:w="0" w:type="auto"/>
            <w:tcMar>
              <w:top w:w="15" w:type="dxa"/>
              <w:left w:w="15" w:type="dxa"/>
              <w:bottom w:w="15" w:type="dxa"/>
              <w:right w:w="15" w:type="dxa"/>
            </w:tcMar>
            <w:vAlign w:val="center"/>
            <w:hideMark/>
          </w:tcPr>
          <w:p w14:paraId="5A1BAFB6"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0.27</w:t>
            </w:r>
          </w:p>
        </w:tc>
      </w:tr>
      <w:tr w:rsidR="00C95E3D" w:rsidRPr="00C95E3D" w14:paraId="5F55305A" w14:textId="77777777">
        <w:trPr>
          <w:tblCellSpacing w:w="15" w:type="dxa"/>
        </w:trPr>
        <w:tc>
          <w:tcPr>
            <w:tcW w:w="0" w:type="auto"/>
            <w:tcMar>
              <w:top w:w="15" w:type="dxa"/>
              <w:left w:w="15" w:type="dxa"/>
              <w:bottom w:w="15" w:type="dxa"/>
              <w:right w:w="15" w:type="dxa"/>
            </w:tcMar>
            <w:vAlign w:val="center"/>
            <w:hideMark/>
          </w:tcPr>
          <w:p w14:paraId="30145E3E"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Height (cm)</w:t>
            </w:r>
          </w:p>
        </w:tc>
        <w:tc>
          <w:tcPr>
            <w:tcW w:w="0" w:type="auto"/>
            <w:tcMar>
              <w:top w:w="15" w:type="dxa"/>
              <w:left w:w="15" w:type="dxa"/>
              <w:bottom w:w="15" w:type="dxa"/>
              <w:right w:w="15" w:type="dxa"/>
            </w:tcMar>
            <w:vAlign w:val="center"/>
            <w:hideMark/>
          </w:tcPr>
          <w:p w14:paraId="18704AF7"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181.1 ± 9.8</w:t>
            </w:r>
          </w:p>
        </w:tc>
        <w:tc>
          <w:tcPr>
            <w:tcW w:w="0" w:type="auto"/>
            <w:tcMar>
              <w:top w:w="15" w:type="dxa"/>
              <w:left w:w="15" w:type="dxa"/>
              <w:bottom w:w="15" w:type="dxa"/>
              <w:right w:w="15" w:type="dxa"/>
            </w:tcMar>
            <w:vAlign w:val="center"/>
            <w:hideMark/>
          </w:tcPr>
          <w:p w14:paraId="26F8A26D"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179.4 ± 6.1</w:t>
            </w:r>
          </w:p>
        </w:tc>
        <w:tc>
          <w:tcPr>
            <w:tcW w:w="0" w:type="auto"/>
            <w:tcMar>
              <w:top w:w="15" w:type="dxa"/>
              <w:left w:w="15" w:type="dxa"/>
              <w:bottom w:w="15" w:type="dxa"/>
              <w:right w:w="15" w:type="dxa"/>
            </w:tcMar>
            <w:vAlign w:val="center"/>
            <w:hideMark/>
          </w:tcPr>
          <w:p w14:paraId="2B7BE805"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1.70</w:t>
            </w:r>
          </w:p>
        </w:tc>
        <w:tc>
          <w:tcPr>
            <w:tcW w:w="0" w:type="auto"/>
            <w:tcMar>
              <w:top w:w="15" w:type="dxa"/>
              <w:left w:w="15" w:type="dxa"/>
              <w:bottom w:w="15" w:type="dxa"/>
              <w:right w:w="15" w:type="dxa"/>
            </w:tcMar>
            <w:vAlign w:val="center"/>
            <w:hideMark/>
          </w:tcPr>
          <w:p w14:paraId="4B80D90A"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.657</w:t>
            </w:r>
          </w:p>
        </w:tc>
        <w:tc>
          <w:tcPr>
            <w:tcW w:w="0" w:type="auto"/>
            <w:tcMar>
              <w:top w:w="15" w:type="dxa"/>
              <w:left w:w="15" w:type="dxa"/>
              <w:bottom w:w="15" w:type="dxa"/>
              <w:right w:w="15" w:type="dxa"/>
            </w:tcMar>
            <w:vAlign w:val="center"/>
            <w:hideMark/>
          </w:tcPr>
          <w:p w14:paraId="29132A94"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0.21</w:t>
            </w:r>
          </w:p>
        </w:tc>
      </w:tr>
      <w:tr w:rsidR="00C95E3D" w:rsidRPr="00C95E3D" w14:paraId="40162321" w14:textId="77777777">
        <w:trPr>
          <w:tblCellSpacing w:w="15" w:type="dxa"/>
        </w:trPr>
        <w:tc>
          <w:tcPr>
            <w:tcW w:w="0" w:type="auto"/>
            <w:tcMar>
              <w:top w:w="15" w:type="dxa"/>
              <w:left w:w="15" w:type="dxa"/>
              <w:bottom w:w="15" w:type="dxa"/>
              <w:right w:w="15" w:type="dxa"/>
            </w:tcMar>
            <w:vAlign w:val="center"/>
            <w:hideMark/>
          </w:tcPr>
          <w:p w14:paraId="622CDC90"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Body Mass (kg)</w:t>
            </w:r>
          </w:p>
        </w:tc>
        <w:tc>
          <w:tcPr>
            <w:tcW w:w="0" w:type="auto"/>
            <w:tcMar>
              <w:top w:w="15" w:type="dxa"/>
              <w:left w:w="15" w:type="dxa"/>
              <w:bottom w:w="15" w:type="dxa"/>
              <w:right w:w="15" w:type="dxa"/>
            </w:tcMar>
            <w:vAlign w:val="center"/>
            <w:hideMark/>
          </w:tcPr>
          <w:p w14:paraId="6E16616B"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97.7 ± 21.3</w:t>
            </w:r>
          </w:p>
        </w:tc>
        <w:tc>
          <w:tcPr>
            <w:tcW w:w="0" w:type="auto"/>
            <w:tcMar>
              <w:top w:w="15" w:type="dxa"/>
              <w:left w:w="15" w:type="dxa"/>
              <w:bottom w:w="15" w:type="dxa"/>
              <w:right w:w="15" w:type="dxa"/>
            </w:tcMar>
            <w:vAlign w:val="center"/>
            <w:hideMark/>
          </w:tcPr>
          <w:p w14:paraId="6BA42F4B"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91.8 ± 9.0</w:t>
            </w:r>
          </w:p>
        </w:tc>
        <w:tc>
          <w:tcPr>
            <w:tcW w:w="0" w:type="auto"/>
            <w:tcMar>
              <w:top w:w="15" w:type="dxa"/>
              <w:left w:w="15" w:type="dxa"/>
              <w:bottom w:w="15" w:type="dxa"/>
              <w:right w:w="15" w:type="dxa"/>
            </w:tcMar>
            <w:vAlign w:val="center"/>
            <w:hideMark/>
          </w:tcPr>
          <w:p w14:paraId="14B73FF8"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5.90</w:t>
            </w:r>
          </w:p>
        </w:tc>
        <w:tc>
          <w:tcPr>
            <w:tcW w:w="0" w:type="auto"/>
            <w:tcMar>
              <w:top w:w="15" w:type="dxa"/>
              <w:left w:w="15" w:type="dxa"/>
              <w:bottom w:w="15" w:type="dxa"/>
              <w:right w:w="15" w:type="dxa"/>
            </w:tcMar>
            <w:vAlign w:val="center"/>
            <w:hideMark/>
          </w:tcPr>
          <w:p w14:paraId="551DB9FA"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.436</w:t>
            </w:r>
          </w:p>
        </w:tc>
        <w:tc>
          <w:tcPr>
            <w:tcW w:w="0" w:type="auto"/>
            <w:tcMar>
              <w:top w:w="15" w:type="dxa"/>
              <w:left w:w="15" w:type="dxa"/>
              <w:bottom w:w="15" w:type="dxa"/>
              <w:right w:w="15" w:type="dxa"/>
            </w:tcMar>
            <w:vAlign w:val="center"/>
            <w:hideMark/>
          </w:tcPr>
          <w:p w14:paraId="70747E17"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0.36</w:t>
            </w:r>
          </w:p>
        </w:tc>
      </w:tr>
      <w:tr w:rsidR="00C95E3D" w:rsidRPr="00C95E3D" w14:paraId="45488249" w14:textId="77777777">
        <w:trPr>
          <w:tblCellSpacing w:w="15" w:type="dxa"/>
        </w:trPr>
        <w:tc>
          <w:tcPr>
            <w:tcW w:w="0" w:type="auto"/>
            <w:tcMar>
              <w:top w:w="15" w:type="dxa"/>
              <w:left w:w="15" w:type="dxa"/>
              <w:bottom w:w="15" w:type="dxa"/>
              <w:right w:w="15" w:type="dxa"/>
            </w:tcMar>
            <w:vAlign w:val="center"/>
            <w:hideMark/>
          </w:tcPr>
          <w:p w14:paraId="2C4E7CAF"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BMI (kg·m</w:t>
            </w:r>
            <w:r w:rsidRPr="00C95E3D">
              <w:rPr>
                <w:rFonts w:ascii="Cambria Math" w:eastAsia="Yu Mincho" w:hAnsi="Cambria Math" w:cs="Cambria Math"/>
                <w:kern w:val="0"/>
                <w14:ligatures w14:val="none"/>
              </w:rPr>
              <w:t>⁻</w:t>
            </w:r>
            <w:r w:rsidRPr="00C95E3D">
              <w:rPr>
                <w:rFonts w:ascii="Arial" w:eastAsia="Yu Mincho" w:hAnsi="Arial" w:cs="Arial"/>
                <w:kern w:val="0"/>
                <w14:ligatures w14:val="none"/>
              </w:rPr>
              <w:t>²)</w:t>
            </w:r>
          </w:p>
        </w:tc>
        <w:tc>
          <w:tcPr>
            <w:tcW w:w="0" w:type="auto"/>
            <w:tcMar>
              <w:top w:w="15" w:type="dxa"/>
              <w:left w:w="15" w:type="dxa"/>
              <w:bottom w:w="15" w:type="dxa"/>
              <w:right w:w="15" w:type="dxa"/>
            </w:tcMar>
            <w:vAlign w:val="center"/>
            <w:hideMark/>
          </w:tcPr>
          <w:p w14:paraId="5A121B4A"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29.5 ± 3.8</w:t>
            </w:r>
          </w:p>
        </w:tc>
        <w:tc>
          <w:tcPr>
            <w:tcW w:w="0" w:type="auto"/>
            <w:tcMar>
              <w:top w:w="15" w:type="dxa"/>
              <w:left w:w="15" w:type="dxa"/>
              <w:bottom w:w="15" w:type="dxa"/>
              <w:right w:w="15" w:type="dxa"/>
            </w:tcMar>
            <w:vAlign w:val="center"/>
            <w:hideMark/>
          </w:tcPr>
          <w:p w14:paraId="03ADDE4C"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27.7 ± 1.9</w:t>
            </w:r>
          </w:p>
        </w:tc>
        <w:tc>
          <w:tcPr>
            <w:tcW w:w="0" w:type="auto"/>
            <w:tcMar>
              <w:top w:w="15" w:type="dxa"/>
              <w:left w:w="15" w:type="dxa"/>
              <w:bottom w:w="15" w:type="dxa"/>
              <w:right w:w="15" w:type="dxa"/>
            </w:tcMar>
            <w:vAlign w:val="center"/>
            <w:hideMark/>
          </w:tcPr>
          <w:p w14:paraId="4035B91D"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1.80</w:t>
            </w:r>
          </w:p>
        </w:tc>
        <w:tc>
          <w:tcPr>
            <w:tcW w:w="0" w:type="auto"/>
            <w:tcMar>
              <w:top w:w="15" w:type="dxa"/>
              <w:left w:w="15" w:type="dxa"/>
              <w:bottom w:w="15" w:type="dxa"/>
              <w:right w:w="15" w:type="dxa"/>
            </w:tcMar>
            <w:vAlign w:val="center"/>
            <w:hideMark/>
          </w:tcPr>
          <w:p w14:paraId="680B6D84"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.180</w:t>
            </w:r>
          </w:p>
        </w:tc>
        <w:tc>
          <w:tcPr>
            <w:tcW w:w="0" w:type="auto"/>
            <w:tcMar>
              <w:top w:w="15" w:type="dxa"/>
              <w:left w:w="15" w:type="dxa"/>
              <w:bottom w:w="15" w:type="dxa"/>
              <w:right w:w="15" w:type="dxa"/>
            </w:tcMar>
            <w:vAlign w:val="center"/>
            <w:hideMark/>
          </w:tcPr>
          <w:p w14:paraId="197554F2"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0.61</w:t>
            </w:r>
          </w:p>
        </w:tc>
      </w:tr>
      <w:tr w:rsidR="00C95E3D" w:rsidRPr="00C95E3D" w14:paraId="16984D8A" w14:textId="77777777">
        <w:trPr>
          <w:tblCellSpacing w:w="15" w:type="dxa"/>
        </w:trPr>
        <w:tc>
          <w:tcPr>
            <w:tcW w:w="0" w:type="auto"/>
            <w:tcMar>
              <w:top w:w="15" w:type="dxa"/>
              <w:left w:w="15" w:type="dxa"/>
              <w:bottom w:w="15" w:type="dxa"/>
              <w:right w:w="15" w:type="dxa"/>
            </w:tcMar>
            <w:vAlign w:val="center"/>
            <w:hideMark/>
          </w:tcPr>
          <w:p w14:paraId="09BAF11B"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Waist Circumference (cm)</w:t>
            </w:r>
          </w:p>
        </w:tc>
        <w:tc>
          <w:tcPr>
            <w:tcW w:w="0" w:type="auto"/>
            <w:tcMar>
              <w:top w:w="15" w:type="dxa"/>
              <w:left w:w="15" w:type="dxa"/>
              <w:bottom w:w="15" w:type="dxa"/>
              <w:right w:w="15" w:type="dxa"/>
            </w:tcMar>
            <w:vAlign w:val="center"/>
            <w:hideMark/>
          </w:tcPr>
          <w:p w14:paraId="63C05054"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95.9 ± 13.4</w:t>
            </w:r>
          </w:p>
        </w:tc>
        <w:tc>
          <w:tcPr>
            <w:tcW w:w="0" w:type="auto"/>
            <w:tcMar>
              <w:top w:w="15" w:type="dxa"/>
              <w:left w:w="15" w:type="dxa"/>
              <w:bottom w:w="15" w:type="dxa"/>
              <w:right w:w="15" w:type="dxa"/>
            </w:tcMar>
            <w:vAlign w:val="center"/>
            <w:hideMark/>
          </w:tcPr>
          <w:p w14:paraId="63D69735"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86.0 ± 7.4</w:t>
            </w:r>
          </w:p>
        </w:tc>
        <w:tc>
          <w:tcPr>
            <w:tcW w:w="0" w:type="auto"/>
            <w:tcMar>
              <w:top w:w="15" w:type="dxa"/>
              <w:left w:w="15" w:type="dxa"/>
              <w:bottom w:w="15" w:type="dxa"/>
              <w:right w:w="15" w:type="dxa"/>
            </w:tcMar>
            <w:vAlign w:val="center"/>
            <w:hideMark/>
          </w:tcPr>
          <w:p w14:paraId="3A73AD49"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9.90</w:t>
            </w:r>
          </w:p>
        </w:tc>
        <w:tc>
          <w:tcPr>
            <w:tcW w:w="0" w:type="auto"/>
            <w:tcMar>
              <w:top w:w="15" w:type="dxa"/>
              <w:left w:w="15" w:type="dxa"/>
              <w:bottom w:w="15" w:type="dxa"/>
              <w:right w:w="15" w:type="dxa"/>
            </w:tcMar>
            <w:vAlign w:val="center"/>
            <w:hideMark/>
          </w:tcPr>
          <w:p w14:paraId="02CBABFB"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.027*</w:t>
            </w:r>
          </w:p>
        </w:tc>
        <w:tc>
          <w:tcPr>
            <w:tcW w:w="0" w:type="auto"/>
            <w:tcMar>
              <w:top w:w="15" w:type="dxa"/>
              <w:left w:w="15" w:type="dxa"/>
              <w:bottom w:w="15" w:type="dxa"/>
              <w:right w:w="15" w:type="dxa"/>
            </w:tcMar>
            <w:vAlign w:val="center"/>
            <w:hideMark/>
          </w:tcPr>
          <w:p w14:paraId="5A916338"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0.93</w:t>
            </w:r>
          </w:p>
        </w:tc>
      </w:tr>
      <w:tr w:rsidR="00C95E3D" w:rsidRPr="00C95E3D" w14:paraId="36BFDA35" w14:textId="77777777">
        <w:trPr>
          <w:tblCellSpacing w:w="15" w:type="dxa"/>
        </w:trPr>
        <w:tc>
          <w:tcPr>
            <w:tcW w:w="0" w:type="auto"/>
            <w:tcMar>
              <w:top w:w="15" w:type="dxa"/>
              <w:left w:w="15" w:type="dxa"/>
              <w:bottom w:w="15" w:type="dxa"/>
              <w:right w:w="15" w:type="dxa"/>
            </w:tcMar>
            <w:vAlign w:val="center"/>
            <w:hideMark/>
          </w:tcPr>
          <w:p w14:paraId="6BE36AB7"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Hip Circumference (cm)</w:t>
            </w:r>
          </w:p>
        </w:tc>
        <w:tc>
          <w:tcPr>
            <w:tcW w:w="0" w:type="auto"/>
            <w:tcMar>
              <w:top w:w="15" w:type="dxa"/>
              <w:left w:w="15" w:type="dxa"/>
              <w:bottom w:w="15" w:type="dxa"/>
              <w:right w:w="15" w:type="dxa"/>
            </w:tcMar>
            <w:vAlign w:val="center"/>
            <w:hideMark/>
          </w:tcPr>
          <w:p w14:paraId="0E81E88B"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105.8 ± 10.5</w:t>
            </w:r>
          </w:p>
        </w:tc>
        <w:tc>
          <w:tcPr>
            <w:tcW w:w="0" w:type="auto"/>
            <w:tcMar>
              <w:top w:w="15" w:type="dxa"/>
              <w:left w:w="15" w:type="dxa"/>
              <w:bottom w:w="15" w:type="dxa"/>
              <w:right w:w="15" w:type="dxa"/>
            </w:tcMar>
            <w:vAlign w:val="center"/>
            <w:hideMark/>
          </w:tcPr>
          <w:p w14:paraId="28C2CBED"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96.4 ± 7.9</w:t>
            </w:r>
          </w:p>
        </w:tc>
        <w:tc>
          <w:tcPr>
            <w:tcW w:w="0" w:type="auto"/>
            <w:tcMar>
              <w:top w:w="15" w:type="dxa"/>
              <w:left w:w="15" w:type="dxa"/>
              <w:bottom w:w="15" w:type="dxa"/>
              <w:right w:w="15" w:type="dxa"/>
            </w:tcMar>
            <w:vAlign w:val="center"/>
            <w:hideMark/>
          </w:tcPr>
          <w:p w14:paraId="54161C1D"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9.40</w:t>
            </w:r>
          </w:p>
        </w:tc>
        <w:tc>
          <w:tcPr>
            <w:tcW w:w="0" w:type="auto"/>
            <w:tcMar>
              <w:top w:w="15" w:type="dxa"/>
              <w:left w:w="15" w:type="dxa"/>
              <w:bottom w:w="15" w:type="dxa"/>
              <w:right w:w="15" w:type="dxa"/>
            </w:tcMar>
            <w:vAlign w:val="center"/>
            <w:hideMark/>
          </w:tcPr>
          <w:p w14:paraId="6F415648"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.018*</w:t>
            </w:r>
          </w:p>
        </w:tc>
        <w:tc>
          <w:tcPr>
            <w:tcW w:w="0" w:type="auto"/>
            <w:tcMar>
              <w:top w:w="15" w:type="dxa"/>
              <w:left w:w="15" w:type="dxa"/>
              <w:bottom w:w="15" w:type="dxa"/>
              <w:right w:w="15" w:type="dxa"/>
            </w:tcMar>
            <w:vAlign w:val="center"/>
            <w:hideMark/>
          </w:tcPr>
          <w:p w14:paraId="3897E884"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1.00</w:t>
            </w:r>
          </w:p>
        </w:tc>
      </w:tr>
      <w:tr w:rsidR="00C95E3D" w:rsidRPr="00C95E3D" w14:paraId="0338576D" w14:textId="77777777">
        <w:trPr>
          <w:tblCellSpacing w:w="15" w:type="dxa"/>
        </w:trPr>
        <w:tc>
          <w:tcPr>
            <w:tcW w:w="0" w:type="auto"/>
            <w:tcMar>
              <w:top w:w="15" w:type="dxa"/>
              <w:left w:w="15" w:type="dxa"/>
              <w:bottom w:w="15" w:type="dxa"/>
              <w:right w:w="15" w:type="dxa"/>
            </w:tcMar>
            <w:vAlign w:val="center"/>
            <w:hideMark/>
          </w:tcPr>
          <w:p w14:paraId="7922FD51"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Waist-to-Hip Ratio</w:t>
            </w:r>
          </w:p>
        </w:tc>
        <w:tc>
          <w:tcPr>
            <w:tcW w:w="0" w:type="auto"/>
            <w:tcMar>
              <w:top w:w="15" w:type="dxa"/>
              <w:left w:w="15" w:type="dxa"/>
              <w:bottom w:w="15" w:type="dxa"/>
              <w:right w:w="15" w:type="dxa"/>
            </w:tcMar>
            <w:vAlign w:val="center"/>
            <w:hideMark/>
          </w:tcPr>
          <w:p w14:paraId="4E5CF301"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0.91 ± 0.06</w:t>
            </w:r>
          </w:p>
        </w:tc>
        <w:tc>
          <w:tcPr>
            <w:tcW w:w="0" w:type="auto"/>
            <w:tcMar>
              <w:top w:w="15" w:type="dxa"/>
              <w:left w:w="15" w:type="dxa"/>
              <w:bottom w:w="15" w:type="dxa"/>
              <w:right w:w="15" w:type="dxa"/>
            </w:tcMar>
            <w:vAlign w:val="center"/>
            <w:hideMark/>
          </w:tcPr>
          <w:p w14:paraId="5EE33A77"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0.89 ± 0.05</w:t>
            </w:r>
          </w:p>
        </w:tc>
        <w:tc>
          <w:tcPr>
            <w:tcW w:w="0" w:type="auto"/>
            <w:tcMar>
              <w:top w:w="15" w:type="dxa"/>
              <w:left w:w="15" w:type="dxa"/>
              <w:bottom w:w="15" w:type="dxa"/>
              <w:right w:w="15" w:type="dxa"/>
            </w:tcMar>
            <w:vAlign w:val="center"/>
            <w:hideMark/>
          </w:tcPr>
          <w:p w14:paraId="4E46BD8C"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0.02</w:t>
            </w:r>
          </w:p>
        </w:tc>
        <w:tc>
          <w:tcPr>
            <w:tcW w:w="0" w:type="auto"/>
            <w:tcMar>
              <w:top w:w="15" w:type="dxa"/>
              <w:left w:w="15" w:type="dxa"/>
              <w:bottom w:w="15" w:type="dxa"/>
              <w:right w:w="15" w:type="dxa"/>
            </w:tcMar>
            <w:vAlign w:val="center"/>
            <w:hideMark/>
          </w:tcPr>
          <w:p w14:paraId="0AE2874B"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.456</w:t>
            </w:r>
          </w:p>
        </w:tc>
        <w:tc>
          <w:tcPr>
            <w:tcW w:w="0" w:type="auto"/>
            <w:tcMar>
              <w:top w:w="15" w:type="dxa"/>
              <w:left w:w="15" w:type="dxa"/>
              <w:bottom w:w="15" w:type="dxa"/>
              <w:right w:w="15" w:type="dxa"/>
            </w:tcMar>
            <w:vAlign w:val="center"/>
            <w:hideMark/>
          </w:tcPr>
          <w:p w14:paraId="2F6CFD26"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0.35</w:t>
            </w:r>
          </w:p>
        </w:tc>
      </w:tr>
      <w:tr w:rsidR="00C95E3D" w:rsidRPr="00C95E3D" w14:paraId="6211805C" w14:textId="77777777">
        <w:trPr>
          <w:tblCellSpacing w:w="15" w:type="dxa"/>
        </w:trPr>
        <w:tc>
          <w:tcPr>
            <w:tcW w:w="0" w:type="auto"/>
            <w:tcMar>
              <w:top w:w="15" w:type="dxa"/>
              <w:left w:w="15" w:type="dxa"/>
              <w:bottom w:w="15" w:type="dxa"/>
              <w:right w:w="15" w:type="dxa"/>
            </w:tcMar>
            <w:vAlign w:val="center"/>
            <w:hideMark/>
          </w:tcPr>
          <w:p w14:paraId="237EA20D"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Body Fat (%)</w:t>
            </w:r>
          </w:p>
        </w:tc>
        <w:tc>
          <w:tcPr>
            <w:tcW w:w="0" w:type="auto"/>
            <w:tcMar>
              <w:top w:w="15" w:type="dxa"/>
              <w:left w:w="15" w:type="dxa"/>
              <w:bottom w:w="15" w:type="dxa"/>
              <w:right w:w="15" w:type="dxa"/>
            </w:tcMar>
            <w:vAlign w:val="center"/>
            <w:hideMark/>
          </w:tcPr>
          <w:p w14:paraId="4C1BA211"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19.7 ± 5.6</w:t>
            </w:r>
          </w:p>
        </w:tc>
        <w:tc>
          <w:tcPr>
            <w:tcW w:w="0" w:type="auto"/>
            <w:tcMar>
              <w:top w:w="15" w:type="dxa"/>
              <w:left w:w="15" w:type="dxa"/>
              <w:bottom w:w="15" w:type="dxa"/>
              <w:right w:w="15" w:type="dxa"/>
            </w:tcMar>
            <w:vAlign w:val="center"/>
            <w:hideMark/>
          </w:tcPr>
          <w:p w14:paraId="5B2552BF"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17.9 ± 6.0</w:t>
            </w:r>
          </w:p>
        </w:tc>
        <w:tc>
          <w:tcPr>
            <w:tcW w:w="0" w:type="auto"/>
            <w:tcMar>
              <w:top w:w="15" w:type="dxa"/>
              <w:left w:w="15" w:type="dxa"/>
              <w:bottom w:w="15" w:type="dxa"/>
              <w:right w:w="15" w:type="dxa"/>
            </w:tcMar>
            <w:vAlign w:val="center"/>
            <w:hideMark/>
          </w:tcPr>
          <w:p w14:paraId="41E44ACB"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1.80</w:t>
            </w:r>
          </w:p>
        </w:tc>
        <w:tc>
          <w:tcPr>
            <w:tcW w:w="0" w:type="auto"/>
            <w:tcMar>
              <w:top w:w="15" w:type="dxa"/>
              <w:left w:w="15" w:type="dxa"/>
              <w:bottom w:w="15" w:type="dxa"/>
              <w:right w:w="15" w:type="dxa"/>
            </w:tcMar>
            <w:vAlign w:val="center"/>
            <w:hideMark/>
          </w:tcPr>
          <w:p w14:paraId="6E162CAE"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.498</w:t>
            </w:r>
          </w:p>
        </w:tc>
        <w:tc>
          <w:tcPr>
            <w:tcW w:w="0" w:type="auto"/>
            <w:tcMar>
              <w:top w:w="15" w:type="dxa"/>
              <w:left w:w="15" w:type="dxa"/>
              <w:bottom w:w="15" w:type="dxa"/>
              <w:right w:w="15" w:type="dxa"/>
            </w:tcMar>
            <w:vAlign w:val="center"/>
            <w:hideMark/>
          </w:tcPr>
          <w:p w14:paraId="63BCEE5E"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0.31</w:t>
            </w:r>
          </w:p>
        </w:tc>
      </w:tr>
      <w:tr w:rsidR="00C95E3D" w:rsidRPr="00C95E3D" w14:paraId="7CE46317" w14:textId="77777777">
        <w:trPr>
          <w:tblCellSpacing w:w="15" w:type="dxa"/>
        </w:trPr>
        <w:tc>
          <w:tcPr>
            <w:tcW w:w="0" w:type="auto"/>
            <w:tcMar>
              <w:top w:w="15" w:type="dxa"/>
              <w:left w:w="15" w:type="dxa"/>
              <w:bottom w:w="15" w:type="dxa"/>
              <w:right w:w="15" w:type="dxa"/>
            </w:tcMar>
            <w:vAlign w:val="center"/>
            <w:hideMark/>
          </w:tcPr>
          <w:p w14:paraId="54763F0F"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Resting Heart Rate (bpm)</w:t>
            </w:r>
          </w:p>
        </w:tc>
        <w:tc>
          <w:tcPr>
            <w:tcW w:w="0" w:type="auto"/>
            <w:tcMar>
              <w:top w:w="15" w:type="dxa"/>
              <w:left w:w="15" w:type="dxa"/>
              <w:bottom w:w="15" w:type="dxa"/>
              <w:right w:w="15" w:type="dxa"/>
            </w:tcMar>
            <w:vAlign w:val="center"/>
            <w:hideMark/>
          </w:tcPr>
          <w:p w14:paraId="575E0308"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65.5 ± 14.0</w:t>
            </w:r>
          </w:p>
        </w:tc>
        <w:tc>
          <w:tcPr>
            <w:tcW w:w="0" w:type="auto"/>
            <w:tcMar>
              <w:top w:w="15" w:type="dxa"/>
              <w:left w:w="15" w:type="dxa"/>
              <w:bottom w:w="15" w:type="dxa"/>
              <w:right w:w="15" w:type="dxa"/>
            </w:tcMar>
            <w:vAlign w:val="center"/>
            <w:hideMark/>
          </w:tcPr>
          <w:p w14:paraId="4CA728EA"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62.5 ± 11.1</w:t>
            </w:r>
          </w:p>
        </w:tc>
        <w:tc>
          <w:tcPr>
            <w:tcW w:w="0" w:type="auto"/>
            <w:tcMar>
              <w:top w:w="15" w:type="dxa"/>
              <w:left w:w="15" w:type="dxa"/>
              <w:bottom w:w="15" w:type="dxa"/>
              <w:right w:w="15" w:type="dxa"/>
            </w:tcMar>
            <w:vAlign w:val="center"/>
            <w:hideMark/>
          </w:tcPr>
          <w:p w14:paraId="43D97F23"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3.00</w:t>
            </w:r>
          </w:p>
        </w:tc>
        <w:tc>
          <w:tcPr>
            <w:tcW w:w="0" w:type="auto"/>
            <w:tcMar>
              <w:top w:w="15" w:type="dxa"/>
              <w:left w:w="15" w:type="dxa"/>
              <w:bottom w:w="15" w:type="dxa"/>
              <w:right w:w="15" w:type="dxa"/>
            </w:tcMar>
            <w:vAlign w:val="center"/>
            <w:hideMark/>
          </w:tcPr>
          <w:p w14:paraId="09EF2B4C"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.602</w:t>
            </w:r>
          </w:p>
        </w:tc>
        <w:tc>
          <w:tcPr>
            <w:tcW w:w="0" w:type="auto"/>
            <w:tcMar>
              <w:top w:w="15" w:type="dxa"/>
              <w:left w:w="15" w:type="dxa"/>
              <w:bottom w:w="15" w:type="dxa"/>
              <w:right w:w="15" w:type="dxa"/>
            </w:tcMar>
            <w:vAlign w:val="center"/>
            <w:hideMark/>
          </w:tcPr>
          <w:p w14:paraId="375CC453"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0.24</w:t>
            </w:r>
          </w:p>
        </w:tc>
      </w:tr>
      <w:tr w:rsidR="00C95E3D" w:rsidRPr="00C95E3D" w14:paraId="4DFAA8C1" w14:textId="77777777">
        <w:trPr>
          <w:tblCellSpacing w:w="15" w:type="dxa"/>
        </w:trPr>
        <w:tc>
          <w:tcPr>
            <w:tcW w:w="0" w:type="auto"/>
            <w:tcMar>
              <w:top w:w="15" w:type="dxa"/>
              <w:left w:w="15" w:type="dxa"/>
              <w:bottom w:w="15" w:type="dxa"/>
              <w:right w:w="15" w:type="dxa"/>
            </w:tcMar>
            <w:vAlign w:val="center"/>
            <w:hideMark/>
          </w:tcPr>
          <w:p w14:paraId="60BA595F"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lastRenderedPageBreak/>
              <w:t>Systolic Blood Pressure (mmHg)</w:t>
            </w:r>
          </w:p>
        </w:tc>
        <w:tc>
          <w:tcPr>
            <w:tcW w:w="0" w:type="auto"/>
            <w:tcMar>
              <w:top w:w="15" w:type="dxa"/>
              <w:left w:w="15" w:type="dxa"/>
              <w:bottom w:w="15" w:type="dxa"/>
              <w:right w:w="15" w:type="dxa"/>
            </w:tcMar>
            <w:vAlign w:val="center"/>
            <w:hideMark/>
          </w:tcPr>
          <w:p w14:paraId="680380A1"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136.5 ± 15.7</w:t>
            </w:r>
          </w:p>
        </w:tc>
        <w:tc>
          <w:tcPr>
            <w:tcW w:w="0" w:type="auto"/>
            <w:tcMar>
              <w:top w:w="15" w:type="dxa"/>
              <w:left w:w="15" w:type="dxa"/>
              <w:bottom w:w="15" w:type="dxa"/>
              <w:right w:w="15" w:type="dxa"/>
            </w:tcMar>
            <w:vAlign w:val="center"/>
            <w:hideMark/>
          </w:tcPr>
          <w:p w14:paraId="696A88A3"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132.4 ± 15.7</w:t>
            </w:r>
          </w:p>
        </w:tc>
        <w:tc>
          <w:tcPr>
            <w:tcW w:w="0" w:type="auto"/>
            <w:tcMar>
              <w:top w:w="15" w:type="dxa"/>
              <w:left w:w="15" w:type="dxa"/>
              <w:bottom w:w="15" w:type="dxa"/>
              <w:right w:w="15" w:type="dxa"/>
            </w:tcMar>
            <w:vAlign w:val="center"/>
            <w:hideMark/>
          </w:tcPr>
          <w:p w14:paraId="3708C17D"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4.10</w:t>
            </w:r>
          </w:p>
        </w:tc>
        <w:tc>
          <w:tcPr>
            <w:tcW w:w="0" w:type="auto"/>
            <w:tcMar>
              <w:top w:w="15" w:type="dxa"/>
              <w:left w:w="15" w:type="dxa"/>
              <w:bottom w:w="15" w:type="dxa"/>
              <w:right w:w="15" w:type="dxa"/>
            </w:tcMar>
            <w:vAlign w:val="center"/>
            <w:hideMark/>
          </w:tcPr>
          <w:p w14:paraId="65F39DF1"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.567</w:t>
            </w:r>
          </w:p>
        </w:tc>
        <w:tc>
          <w:tcPr>
            <w:tcW w:w="0" w:type="auto"/>
            <w:tcMar>
              <w:top w:w="15" w:type="dxa"/>
              <w:left w:w="15" w:type="dxa"/>
              <w:bottom w:w="15" w:type="dxa"/>
              <w:right w:w="15" w:type="dxa"/>
            </w:tcMar>
            <w:vAlign w:val="center"/>
            <w:hideMark/>
          </w:tcPr>
          <w:p w14:paraId="4DFF15F8"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0.26</w:t>
            </w:r>
          </w:p>
        </w:tc>
      </w:tr>
      <w:tr w:rsidR="00C95E3D" w:rsidRPr="00C95E3D" w14:paraId="27949CBE" w14:textId="77777777">
        <w:trPr>
          <w:tblCellSpacing w:w="15" w:type="dxa"/>
        </w:trPr>
        <w:tc>
          <w:tcPr>
            <w:tcW w:w="0" w:type="auto"/>
            <w:tcMar>
              <w:top w:w="15" w:type="dxa"/>
              <w:left w:w="15" w:type="dxa"/>
              <w:bottom w:w="15" w:type="dxa"/>
              <w:right w:w="15" w:type="dxa"/>
            </w:tcMar>
            <w:vAlign w:val="center"/>
            <w:hideMark/>
          </w:tcPr>
          <w:p w14:paraId="2428CFE7"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Diastolic Blood Pressure (mmHg)</w:t>
            </w:r>
          </w:p>
        </w:tc>
        <w:tc>
          <w:tcPr>
            <w:tcW w:w="0" w:type="auto"/>
            <w:tcMar>
              <w:top w:w="15" w:type="dxa"/>
              <w:left w:w="15" w:type="dxa"/>
              <w:bottom w:w="15" w:type="dxa"/>
              <w:right w:w="15" w:type="dxa"/>
            </w:tcMar>
            <w:vAlign w:val="center"/>
            <w:hideMark/>
          </w:tcPr>
          <w:p w14:paraId="4CBC97F3"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78.5 ± 11.8</w:t>
            </w:r>
          </w:p>
        </w:tc>
        <w:tc>
          <w:tcPr>
            <w:tcW w:w="0" w:type="auto"/>
            <w:tcMar>
              <w:top w:w="15" w:type="dxa"/>
              <w:left w:w="15" w:type="dxa"/>
              <w:bottom w:w="15" w:type="dxa"/>
              <w:right w:w="15" w:type="dxa"/>
            </w:tcMar>
            <w:vAlign w:val="center"/>
            <w:hideMark/>
          </w:tcPr>
          <w:p w14:paraId="7A1E269B"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72.0 ± 7.8</w:t>
            </w:r>
          </w:p>
        </w:tc>
        <w:tc>
          <w:tcPr>
            <w:tcW w:w="0" w:type="auto"/>
            <w:tcMar>
              <w:top w:w="15" w:type="dxa"/>
              <w:left w:w="15" w:type="dxa"/>
              <w:bottom w:w="15" w:type="dxa"/>
              <w:right w:w="15" w:type="dxa"/>
            </w:tcMar>
            <w:vAlign w:val="center"/>
            <w:hideMark/>
          </w:tcPr>
          <w:p w14:paraId="71BC06A3"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6.50</w:t>
            </w:r>
          </w:p>
        </w:tc>
        <w:tc>
          <w:tcPr>
            <w:tcW w:w="0" w:type="auto"/>
            <w:tcMar>
              <w:top w:w="15" w:type="dxa"/>
              <w:left w:w="15" w:type="dxa"/>
              <w:bottom w:w="15" w:type="dxa"/>
              <w:right w:w="15" w:type="dxa"/>
            </w:tcMar>
            <w:vAlign w:val="center"/>
            <w:hideMark/>
          </w:tcPr>
          <w:p w14:paraId="55577EA5"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.164</w:t>
            </w:r>
          </w:p>
        </w:tc>
        <w:tc>
          <w:tcPr>
            <w:tcW w:w="0" w:type="auto"/>
            <w:tcMar>
              <w:top w:w="15" w:type="dxa"/>
              <w:left w:w="15" w:type="dxa"/>
              <w:bottom w:w="15" w:type="dxa"/>
              <w:right w:w="15" w:type="dxa"/>
            </w:tcMar>
            <w:vAlign w:val="center"/>
            <w:hideMark/>
          </w:tcPr>
          <w:p w14:paraId="18A25B48"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0.66</w:t>
            </w:r>
          </w:p>
        </w:tc>
      </w:tr>
    </w:tbl>
    <w:p w14:paraId="7EB32458" w14:textId="77777777" w:rsidR="00574033" w:rsidRDefault="00C95E3D" w:rsidP="00096CAD">
      <w:pPr>
        <w:spacing w:before="100" w:beforeAutospacing="1" w:after="100" w:afterAutospacing="1" w:line="360" w:lineRule="auto"/>
        <w:rPr>
          <w:rFonts w:ascii="Arial" w:eastAsia="Yu Mincho" w:hAnsi="Arial" w:cs="Arial"/>
          <w:kern w:val="0"/>
          <w:lang w:val="en-GB"/>
          <w14:ligatures w14:val="none"/>
        </w:rPr>
      </w:pPr>
      <w:r w:rsidRPr="00C95E3D">
        <w:rPr>
          <w:rFonts w:ascii="Arial" w:eastAsia="Yu Mincho" w:hAnsi="Arial" w:cs="Arial"/>
          <w:kern w:val="0"/>
          <w:lang w:val="en-GB"/>
          <w14:ligatures w14:val="none"/>
        </w:rPr>
        <w:t>*Independent samples t-tests (equal variances assumed).</w:t>
      </w:r>
    </w:p>
    <w:p w14:paraId="494B8090" w14:textId="5DA42F30" w:rsidR="00C95E3D" w:rsidRPr="00574033" w:rsidRDefault="00C95E3D" w:rsidP="00096CAD">
      <w:pPr>
        <w:spacing w:before="100" w:beforeAutospacing="1" w:after="100" w:afterAutospacing="1" w:line="360" w:lineRule="auto"/>
        <w:rPr>
          <w:rFonts w:ascii="Arial" w:eastAsia="Yu Mincho" w:hAnsi="Arial" w:cs="Arial"/>
          <w:kern w:val="0"/>
          <w:lang w:val="en-GB"/>
          <w14:ligatures w14:val="none"/>
        </w:rPr>
      </w:pPr>
      <w:r w:rsidRPr="00C95E3D">
        <w:rPr>
          <w:rFonts w:ascii="Arial" w:eastAsia="Yu Mincho" w:hAnsi="Arial" w:cs="Arial"/>
          <w:kern w:val="0"/>
          <w:lang w:val="en-GB"/>
          <w14:ligatures w14:val="none"/>
        </w:rPr>
        <w:t>*Significant difference at p &lt; .05.</w:t>
      </w:r>
    </w:p>
    <w:p w14:paraId="708FE65B" w14:textId="77777777" w:rsidR="00C95E3D" w:rsidRPr="00C95E3D" w:rsidRDefault="00C95E3D" w:rsidP="004D0A36">
      <w:pPr>
        <w:spacing w:before="100" w:beforeAutospacing="1" w:after="100" w:afterAutospacing="1" w:line="360" w:lineRule="auto"/>
        <w:rPr>
          <w:rFonts w:ascii="Arial" w:eastAsia="Yu Mincho" w:hAnsi="Arial" w:cs="Arial"/>
          <w:kern w:val="0"/>
          <w:lang w:val="en-GB"/>
          <w14:ligatures w14:val="none"/>
        </w:rPr>
      </w:pPr>
      <w:r w:rsidRPr="00C95E3D">
        <w:rPr>
          <w:rFonts w:ascii="Arial" w:eastAsia="Yu Mincho" w:hAnsi="Arial" w:cs="Arial"/>
          <w:kern w:val="0"/>
          <w:lang w:val="en-GB"/>
          <w14:ligatures w14:val="none"/>
        </w:rPr>
        <w:t>Cohen’s d interpreted as small (0.2), moderate (0.5), and large (0.8).</w:t>
      </w:r>
    </w:p>
    <w:p w14:paraId="5B852D4A" w14:textId="77777777" w:rsidR="00C95E3D" w:rsidRPr="00C95E3D" w:rsidRDefault="00C95E3D" w:rsidP="004D0A36">
      <w:pPr>
        <w:spacing w:before="100" w:beforeAutospacing="1" w:after="100" w:afterAutospacing="1" w:line="360" w:lineRule="auto"/>
        <w:rPr>
          <w:rFonts w:ascii="Times New Roman" w:eastAsia="Yu Mincho" w:hAnsi="Times New Roman" w:cs="Times New Roman"/>
          <w:kern w:val="0"/>
          <w14:ligatures w14:val="none"/>
        </w:rPr>
      </w:pPr>
      <w:r w:rsidRPr="00C95E3D">
        <w:rPr>
          <w:rFonts w:ascii="Arial" w:eastAsia="Yu Mincho" w:hAnsi="Arial" w:cs="Arial"/>
          <w:kern w:val="0"/>
          <w:lang w:val="en-GB"/>
          <w14:ligatures w14:val="none"/>
        </w:rPr>
        <w:t>Independent samples t-tests showed no significant baseline between-group differences for age, height, body mass, BMI, waist-to-hip ratio, body fat percentage, resting heart rate, systolic blood pressure, or diastolic blood pressure (all p &gt; .05). Waist circumference (p = .027, d = 0.93) and hip circumference (p = .018, d = 1.00) were higher in the omega-3 group than the control group. Baseline cardiovascular variables did not differ significantly between groups (all p &gt; .05).</w:t>
      </w:r>
    </w:p>
    <w:p w14:paraId="12267833" w14:textId="3A347E06" w:rsidR="00A543BE" w:rsidRDefault="00C95E3D" w:rsidP="004D0A36">
      <w:pPr>
        <w:spacing w:before="100" w:beforeAutospacing="1" w:after="100" w:afterAutospacing="1" w:line="360" w:lineRule="auto"/>
        <w:rPr>
          <w:rFonts w:ascii="Arial" w:eastAsia="Times New Roman" w:hAnsi="Arial" w:cs="Arial"/>
          <w:color w:val="000000" w:themeColor="text1"/>
          <w:kern w:val="0"/>
          <w:lang w:val="en-GB"/>
          <w14:ligatures w14:val="none"/>
        </w:rPr>
      </w:pPr>
      <w:r w:rsidRPr="00C95E3D">
        <w:rPr>
          <w:rFonts w:ascii="Arial" w:eastAsia="Times New Roman" w:hAnsi="Arial" w:cs="Arial"/>
          <w:color w:val="000000" w:themeColor="text1"/>
          <w:kern w:val="0"/>
          <w:lang w:val="en-GB"/>
          <w14:ligatures w14:val="none"/>
        </w:rPr>
        <w:t>Levene’s tests confirmed homogeneity of variance across groups for all baseline variables (all p &gt; .05).</w:t>
      </w:r>
    </w:p>
    <w:p w14:paraId="6D024569" w14:textId="77777777" w:rsidR="00C96086" w:rsidRDefault="00C96086" w:rsidP="004D0A36">
      <w:pPr>
        <w:spacing w:before="100" w:beforeAutospacing="1" w:after="100" w:afterAutospacing="1" w:line="360" w:lineRule="auto"/>
        <w:rPr>
          <w:rFonts w:ascii="Arial" w:eastAsia="Times New Roman" w:hAnsi="Arial" w:cs="Arial"/>
          <w:color w:val="000000" w:themeColor="text1"/>
          <w:kern w:val="0"/>
          <w:lang w:val="en-GB"/>
          <w14:ligatures w14:val="none"/>
        </w:rPr>
      </w:pPr>
    </w:p>
    <w:p w14:paraId="73A229BD" w14:textId="77777777" w:rsidR="00C96086" w:rsidRDefault="00C96086" w:rsidP="004D0A36">
      <w:pPr>
        <w:spacing w:before="100" w:beforeAutospacing="1" w:after="100" w:afterAutospacing="1" w:line="360" w:lineRule="auto"/>
        <w:rPr>
          <w:rFonts w:ascii="Arial" w:eastAsia="Times New Roman" w:hAnsi="Arial" w:cs="Arial"/>
          <w:color w:val="000000" w:themeColor="text1"/>
          <w:kern w:val="0"/>
          <w:lang w:val="en-GB"/>
          <w14:ligatures w14:val="none"/>
        </w:rPr>
      </w:pPr>
    </w:p>
    <w:p w14:paraId="33F41678" w14:textId="77777777" w:rsidR="00C96086" w:rsidRDefault="00C96086" w:rsidP="004D0A36">
      <w:pPr>
        <w:spacing w:before="100" w:beforeAutospacing="1" w:after="100" w:afterAutospacing="1" w:line="360" w:lineRule="auto"/>
        <w:rPr>
          <w:rFonts w:ascii="Arial" w:eastAsia="Times New Roman" w:hAnsi="Arial" w:cs="Arial"/>
          <w:color w:val="000000" w:themeColor="text1"/>
          <w:kern w:val="0"/>
          <w:lang w:val="en-GB"/>
          <w14:ligatures w14:val="none"/>
        </w:rPr>
      </w:pPr>
    </w:p>
    <w:p w14:paraId="6F3A18DE" w14:textId="77777777" w:rsidR="00C96086" w:rsidRDefault="00C96086" w:rsidP="004D0A36">
      <w:pPr>
        <w:spacing w:before="100" w:beforeAutospacing="1" w:after="100" w:afterAutospacing="1" w:line="360" w:lineRule="auto"/>
        <w:rPr>
          <w:rFonts w:ascii="Arial" w:eastAsia="Times New Roman" w:hAnsi="Arial" w:cs="Arial"/>
          <w:color w:val="000000" w:themeColor="text1"/>
          <w:kern w:val="0"/>
          <w:lang w:val="en-GB"/>
          <w14:ligatures w14:val="none"/>
        </w:rPr>
      </w:pPr>
    </w:p>
    <w:p w14:paraId="7846B5ED" w14:textId="77777777" w:rsidR="00C96086" w:rsidRPr="00B26A9B" w:rsidRDefault="00C96086" w:rsidP="004D0A36">
      <w:pPr>
        <w:spacing w:before="100" w:beforeAutospacing="1" w:after="100" w:afterAutospacing="1" w:line="360" w:lineRule="auto"/>
        <w:rPr>
          <w:rFonts w:ascii="Arial" w:eastAsia="Times New Roman" w:hAnsi="Arial" w:cs="Arial"/>
          <w:color w:val="000000" w:themeColor="text1"/>
          <w:kern w:val="0"/>
          <w:lang w:val="en-GB"/>
          <w14:ligatures w14:val="none"/>
        </w:rPr>
      </w:pPr>
    </w:p>
    <w:p w14:paraId="1A3CC2F2" w14:textId="77777777" w:rsidR="00C95E3D" w:rsidRPr="00C95E3D" w:rsidRDefault="00C95E3D" w:rsidP="004D0A36">
      <w:pPr>
        <w:spacing w:line="360" w:lineRule="auto"/>
        <w:rPr>
          <w:rFonts w:eastAsia="Yu Mincho"/>
          <w:lang w:val="en-GB"/>
        </w:rPr>
      </w:pPr>
      <w:r w:rsidRPr="00BB158B">
        <w:rPr>
          <w:b/>
          <w:bCs/>
          <w:lang w:val="en-GB"/>
        </w:rPr>
        <w:lastRenderedPageBreak/>
        <w:t>Table 4.2</w:t>
      </w:r>
      <w:r w:rsidRPr="00C95E3D">
        <w:rPr>
          <w:lang w:val="en-GB"/>
        </w:rPr>
        <w:t>. Baseline values compared with healthy/reference ranges (adult males aged 20–59 years)</w:t>
      </w:r>
    </w:p>
    <w:tbl>
      <w:tblPr>
        <w:tblW w:w="0" w:type="auto"/>
        <w:tblCellSpacing w:w="15" w:type="dxa"/>
        <w:tblLook w:val="04A0" w:firstRow="1" w:lastRow="0" w:firstColumn="1" w:lastColumn="0" w:noHBand="0" w:noVBand="1"/>
      </w:tblPr>
      <w:tblGrid>
        <w:gridCol w:w="1669"/>
        <w:gridCol w:w="2274"/>
        <w:gridCol w:w="963"/>
        <w:gridCol w:w="1786"/>
        <w:gridCol w:w="867"/>
        <w:gridCol w:w="1801"/>
      </w:tblGrid>
      <w:tr w:rsidR="00C95E3D" w:rsidRPr="00C95E3D" w14:paraId="297DE459" w14:textId="77777777">
        <w:trPr>
          <w:tblHeader/>
          <w:tblCellSpacing w:w="15" w:type="dxa"/>
        </w:trPr>
        <w:tc>
          <w:tcPr>
            <w:tcW w:w="0" w:type="auto"/>
            <w:tcMar>
              <w:top w:w="15" w:type="dxa"/>
              <w:left w:w="15" w:type="dxa"/>
              <w:bottom w:w="15" w:type="dxa"/>
              <w:right w:w="15" w:type="dxa"/>
            </w:tcMar>
            <w:vAlign w:val="center"/>
            <w:hideMark/>
          </w:tcPr>
          <w:p w14:paraId="280F853F" w14:textId="77777777" w:rsidR="00C95E3D" w:rsidRPr="00C95E3D" w:rsidRDefault="00C95E3D" w:rsidP="00096CAD">
            <w:pPr>
              <w:spacing w:before="100" w:beforeAutospacing="1" w:after="100" w:afterAutospacing="1" w:line="360" w:lineRule="auto"/>
              <w:jc w:val="center"/>
              <w:rPr>
                <w:rFonts w:ascii="Arial" w:eastAsia="Yu Mincho" w:hAnsi="Arial" w:cs="Arial"/>
                <w:kern w:val="0"/>
                <w14:ligatures w14:val="none"/>
              </w:rPr>
            </w:pPr>
            <w:r w:rsidRPr="00C95E3D">
              <w:rPr>
                <w:rFonts w:ascii="Arial" w:eastAsia="Yu Mincho" w:hAnsi="Arial" w:cs="Arial"/>
                <w:kern w:val="0"/>
                <w14:ligatures w14:val="none"/>
              </w:rPr>
              <w:t>Variable</w:t>
            </w:r>
          </w:p>
        </w:tc>
        <w:tc>
          <w:tcPr>
            <w:tcW w:w="0" w:type="auto"/>
            <w:tcMar>
              <w:top w:w="15" w:type="dxa"/>
              <w:left w:w="15" w:type="dxa"/>
              <w:bottom w:w="15" w:type="dxa"/>
              <w:right w:w="15" w:type="dxa"/>
            </w:tcMar>
            <w:vAlign w:val="center"/>
            <w:hideMark/>
          </w:tcPr>
          <w:p w14:paraId="767798BA" w14:textId="77777777" w:rsidR="00C95E3D" w:rsidRPr="00C95E3D" w:rsidRDefault="00C95E3D" w:rsidP="00096CAD">
            <w:pPr>
              <w:spacing w:before="100" w:beforeAutospacing="1" w:after="100" w:afterAutospacing="1" w:line="360" w:lineRule="auto"/>
              <w:jc w:val="center"/>
              <w:rPr>
                <w:rFonts w:ascii="Arial" w:eastAsia="Yu Mincho" w:hAnsi="Arial" w:cs="Arial"/>
                <w:kern w:val="0"/>
                <w14:ligatures w14:val="none"/>
              </w:rPr>
            </w:pPr>
            <w:r w:rsidRPr="00C95E3D">
              <w:rPr>
                <w:rFonts w:ascii="Arial" w:eastAsia="Yu Mincho" w:hAnsi="Arial" w:cs="Arial"/>
                <w:kern w:val="0"/>
                <w14:ligatures w14:val="none"/>
              </w:rPr>
              <w:t>Healthy/reference range (adult males aged 20–59 years)</w:t>
            </w:r>
          </w:p>
        </w:tc>
        <w:tc>
          <w:tcPr>
            <w:tcW w:w="0" w:type="auto"/>
            <w:tcMar>
              <w:top w:w="15" w:type="dxa"/>
              <w:left w:w="15" w:type="dxa"/>
              <w:bottom w:w="15" w:type="dxa"/>
              <w:right w:w="15" w:type="dxa"/>
            </w:tcMar>
            <w:vAlign w:val="center"/>
            <w:hideMark/>
          </w:tcPr>
          <w:p w14:paraId="652B056A" w14:textId="77777777" w:rsidR="00C95E3D" w:rsidRPr="00C95E3D" w:rsidRDefault="00C95E3D" w:rsidP="00096CAD">
            <w:pPr>
              <w:spacing w:before="100" w:beforeAutospacing="1" w:after="100" w:afterAutospacing="1" w:line="360" w:lineRule="auto"/>
              <w:jc w:val="center"/>
              <w:rPr>
                <w:rFonts w:ascii="Arial" w:eastAsia="Yu Mincho" w:hAnsi="Arial" w:cs="Arial"/>
                <w:kern w:val="0"/>
                <w14:ligatures w14:val="none"/>
              </w:rPr>
            </w:pPr>
            <w:r w:rsidRPr="00C95E3D">
              <w:rPr>
                <w:rFonts w:ascii="Arial" w:eastAsia="Yu Mincho" w:hAnsi="Arial" w:cs="Arial"/>
                <w:kern w:val="0"/>
                <w14:ligatures w14:val="none"/>
              </w:rPr>
              <w:t>Omega-3 group mean ± SD</w:t>
            </w:r>
          </w:p>
        </w:tc>
        <w:tc>
          <w:tcPr>
            <w:tcW w:w="0" w:type="auto"/>
            <w:tcMar>
              <w:top w:w="15" w:type="dxa"/>
              <w:left w:w="15" w:type="dxa"/>
              <w:bottom w:w="15" w:type="dxa"/>
              <w:right w:w="15" w:type="dxa"/>
            </w:tcMar>
            <w:vAlign w:val="center"/>
            <w:hideMark/>
          </w:tcPr>
          <w:p w14:paraId="3E7B9870" w14:textId="77777777" w:rsidR="00C95E3D" w:rsidRPr="00C95E3D" w:rsidRDefault="00C95E3D" w:rsidP="00096CAD">
            <w:pPr>
              <w:spacing w:before="100" w:beforeAutospacing="1" w:after="100" w:afterAutospacing="1" w:line="360" w:lineRule="auto"/>
              <w:jc w:val="center"/>
              <w:rPr>
                <w:rFonts w:ascii="Arial" w:eastAsia="Yu Mincho" w:hAnsi="Arial" w:cs="Arial"/>
                <w:kern w:val="0"/>
                <w14:ligatures w14:val="none"/>
              </w:rPr>
            </w:pPr>
            <w:r w:rsidRPr="00C95E3D">
              <w:rPr>
                <w:rFonts w:ascii="Arial" w:eastAsia="Yu Mincho" w:hAnsi="Arial" w:cs="Arial"/>
                <w:kern w:val="0"/>
                <w14:ligatures w14:val="none"/>
              </w:rPr>
              <w:t>O3 classification</w:t>
            </w:r>
          </w:p>
        </w:tc>
        <w:tc>
          <w:tcPr>
            <w:tcW w:w="0" w:type="auto"/>
            <w:tcMar>
              <w:top w:w="15" w:type="dxa"/>
              <w:left w:w="15" w:type="dxa"/>
              <w:bottom w:w="15" w:type="dxa"/>
              <w:right w:w="15" w:type="dxa"/>
            </w:tcMar>
            <w:vAlign w:val="center"/>
            <w:hideMark/>
          </w:tcPr>
          <w:p w14:paraId="2693CDDE" w14:textId="77777777" w:rsidR="00C95E3D" w:rsidRPr="00C95E3D" w:rsidRDefault="00C95E3D" w:rsidP="00096CAD">
            <w:pPr>
              <w:spacing w:before="100" w:beforeAutospacing="1" w:after="100" w:afterAutospacing="1" w:line="360" w:lineRule="auto"/>
              <w:jc w:val="center"/>
              <w:rPr>
                <w:rFonts w:ascii="Arial" w:eastAsia="Yu Mincho" w:hAnsi="Arial" w:cs="Arial"/>
                <w:kern w:val="0"/>
                <w14:ligatures w14:val="none"/>
              </w:rPr>
            </w:pPr>
            <w:r w:rsidRPr="00C95E3D">
              <w:rPr>
                <w:rFonts w:ascii="Arial" w:eastAsia="Yu Mincho" w:hAnsi="Arial" w:cs="Arial"/>
                <w:kern w:val="0"/>
                <w14:ligatures w14:val="none"/>
              </w:rPr>
              <w:t>Control group mean ± SD</w:t>
            </w:r>
          </w:p>
        </w:tc>
        <w:tc>
          <w:tcPr>
            <w:tcW w:w="0" w:type="auto"/>
            <w:tcMar>
              <w:top w:w="15" w:type="dxa"/>
              <w:left w:w="15" w:type="dxa"/>
              <w:bottom w:w="15" w:type="dxa"/>
              <w:right w:w="15" w:type="dxa"/>
            </w:tcMar>
            <w:vAlign w:val="center"/>
            <w:hideMark/>
          </w:tcPr>
          <w:p w14:paraId="0F4D7493" w14:textId="77777777" w:rsidR="00C95E3D" w:rsidRPr="00C95E3D" w:rsidRDefault="00C95E3D" w:rsidP="00096CAD">
            <w:pPr>
              <w:spacing w:before="100" w:beforeAutospacing="1" w:after="100" w:afterAutospacing="1" w:line="360" w:lineRule="auto"/>
              <w:jc w:val="center"/>
              <w:rPr>
                <w:rFonts w:ascii="Arial" w:eastAsia="Yu Mincho" w:hAnsi="Arial" w:cs="Arial"/>
                <w:kern w:val="0"/>
                <w14:ligatures w14:val="none"/>
              </w:rPr>
            </w:pPr>
            <w:r w:rsidRPr="00C95E3D">
              <w:rPr>
                <w:rFonts w:ascii="Arial" w:eastAsia="Yu Mincho" w:hAnsi="Arial" w:cs="Arial"/>
                <w:kern w:val="0"/>
                <w14:ligatures w14:val="none"/>
              </w:rPr>
              <w:t>Control classification</w:t>
            </w:r>
          </w:p>
        </w:tc>
      </w:tr>
      <w:tr w:rsidR="00C95E3D" w:rsidRPr="00C95E3D" w14:paraId="7D4F8486" w14:textId="77777777">
        <w:trPr>
          <w:tblCellSpacing w:w="15" w:type="dxa"/>
        </w:trPr>
        <w:tc>
          <w:tcPr>
            <w:tcW w:w="0" w:type="auto"/>
            <w:tcMar>
              <w:top w:w="15" w:type="dxa"/>
              <w:left w:w="15" w:type="dxa"/>
              <w:bottom w:w="15" w:type="dxa"/>
              <w:right w:w="15" w:type="dxa"/>
            </w:tcMar>
            <w:vAlign w:val="center"/>
            <w:hideMark/>
          </w:tcPr>
          <w:p w14:paraId="5DAE05F8"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BMI (</w:t>
            </w:r>
            <w:bookmarkStart w:id="56" w:name="OLE_LINK8"/>
            <w:r w:rsidRPr="00C95E3D">
              <w:rPr>
                <w:rFonts w:ascii="Arial" w:eastAsia="Yu Mincho" w:hAnsi="Arial" w:cs="Arial"/>
                <w:kern w:val="0"/>
                <w14:ligatures w14:val="none"/>
              </w:rPr>
              <w:t>kg·m</w:t>
            </w:r>
            <w:r w:rsidRPr="00C95E3D">
              <w:rPr>
                <w:rFonts w:ascii="Cambria Math" w:eastAsia="Yu Mincho" w:hAnsi="Cambria Math" w:cs="Cambria Math"/>
                <w:kern w:val="0"/>
                <w14:ligatures w14:val="none"/>
              </w:rPr>
              <w:t>⁻</w:t>
            </w:r>
            <w:r w:rsidRPr="00C95E3D">
              <w:rPr>
                <w:rFonts w:ascii="Arial" w:eastAsia="Yu Mincho" w:hAnsi="Arial" w:cs="Arial"/>
                <w:kern w:val="0"/>
                <w14:ligatures w14:val="none"/>
              </w:rPr>
              <w:t>²)</w:t>
            </w:r>
            <w:bookmarkEnd w:id="56"/>
          </w:p>
        </w:tc>
        <w:tc>
          <w:tcPr>
            <w:tcW w:w="0" w:type="auto"/>
            <w:tcMar>
              <w:top w:w="15" w:type="dxa"/>
              <w:left w:w="15" w:type="dxa"/>
              <w:bottom w:w="15" w:type="dxa"/>
              <w:right w:w="15" w:type="dxa"/>
            </w:tcMar>
            <w:vAlign w:val="center"/>
            <w:hideMark/>
          </w:tcPr>
          <w:p w14:paraId="7827DA8D"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 xml:space="preserve">Healthy weight: 18.5–24.9; Overweight: 25.0–29.9; Obesity: ≥30.0 </w:t>
            </w:r>
            <w:bookmarkStart w:id="57" w:name="OLE_LINK9"/>
            <w:r w:rsidRPr="00C95E3D">
              <w:rPr>
                <w:rFonts w:ascii="Arial" w:eastAsia="Yu Mincho" w:hAnsi="Arial" w:cs="Arial"/>
                <w:kern w:val="0"/>
                <w14:ligatures w14:val="none"/>
              </w:rPr>
              <w:t>(NHS, 2023; NICE, 2025)</w:t>
            </w:r>
            <w:bookmarkEnd w:id="57"/>
          </w:p>
        </w:tc>
        <w:tc>
          <w:tcPr>
            <w:tcW w:w="0" w:type="auto"/>
            <w:tcMar>
              <w:top w:w="15" w:type="dxa"/>
              <w:left w:w="15" w:type="dxa"/>
              <w:bottom w:w="15" w:type="dxa"/>
              <w:right w:w="15" w:type="dxa"/>
            </w:tcMar>
            <w:vAlign w:val="center"/>
            <w:hideMark/>
          </w:tcPr>
          <w:p w14:paraId="2BF83CCC"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bookmarkStart w:id="58" w:name="OLE_LINK6"/>
            <w:r w:rsidRPr="00C95E3D">
              <w:rPr>
                <w:rFonts w:ascii="Arial" w:eastAsia="Yu Mincho" w:hAnsi="Arial" w:cs="Arial"/>
                <w:kern w:val="0"/>
                <w14:ligatures w14:val="none"/>
              </w:rPr>
              <w:t>29.5 ± 3.8</w:t>
            </w:r>
            <w:bookmarkEnd w:id="58"/>
          </w:p>
        </w:tc>
        <w:tc>
          <w:tcPr>
            <w:tcW w:w="0" w:type="auto"/>
            <w:tcMar>
              <w:top w:w="15" w:type="dxa"/>
              <w:left w:w="15" w:type="dxa"/>
              <w:bottom w:w="15" w:type="dxa"/>
              <w:right w:w="15" w:type="dxa"/>
            </w:tcMar>
            <w:vAlign w:val="center"/>
            <w:hideMark/>
          </w:tcPr>
          <w:p w14:paraId="6D413566"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Overweight (above healthy range)</w:t>
            </w:r>
          </w:p>
        </w:tc>
        <w:tc>
          <w:tcPr>
            <w:tcW w:w="0" w:type="auto"/>
            <w:tcMar>
              <w:top w:w="15" w:type="dxa"/>
              <w:left w:w="15" w:type="dxa"/>
              <w:bottom w:w="15" w:type="dxa"/>
              <w:right w:w="15" w:type="dxa"/>
            </w:tcMar>
            <w:vAlign w:val="center"/>
            <w:hideMark/>
          </w:tcPr>
          <w:p w14:paraId="79AA7B58"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bookmarkStart w:id="59" w:name="OLE_LINK7"/>
            <w:r w:rsidRPr="00C95E3D">
              <w:rPr>
                <w:rFonts w:ascii="Arial" w:eastAsia="Yu Mincho" w:hAnsi="Arial" w:cs="Arial"/>
                <w:kern w:val="0"/>
                <w14:ligatures w14:val="none"/>
              </w:rPr>
              <w:t>27.7 ± 1.9</w:t>
            </w:r>
            <w:bookmarkEnd w:id="59"/>
          </w:p>
        </w:tc>
        <w:tc>
          <w:tcPr>
            <w:tcW w:w="0" w:type="auto"/>
            <w:tcMar>
              <w:top w:w="15" w:type="dxa"/>
              <w:left w:w="15" w:type="dxa"/>
              <w:bottom w:w="15" w:type="dxa"/>
              <w:right w:w="15" w:type="dxa"/>
            </w:tcMar>
            <w:vAlign w:val="center"/>
            <w:hideMark/>
          </w:tcPr>
          <w:p w14:paraId="1C4AD163"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Overweight (above healthy range)</w:t>
            </w:r>
          </w:p>
        </w:tc>
      </w:tr>
      <w:tr w:rsidR="00C95E3D" w:rsidRPr="00C95E3D" w14:paraId="32BE6E9B" w14:textId="77777777">
        <w:trPr>
          <w:tblCellSpacing w:w="15" w:type="dxa"/>
        </w:trPr>
        <w:tc>
          <w:tcPr>
            <w:tcW w:w="0" w:type="auto"/>
            <w:tcMar>
              <w:top w:w="15" w:type="dxa"/>
              <w:left w:w="15" w:type="dxa"/>
              <w:bottom w:w="15" w:type="dxa"/>
              <w:right w:w="15" w:type="dxa"/>
            </w:tcMar>
            <w:vAlign w:val="center"/>
            <w:hideMark/>
          </w:tcPr>
          <w:p w14:paraId="6E9C0668"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Waist Circumference (cm)</w:t>
            </w:r>
          </w:p>
        </w:tc>
        <w:tc>
          <w:tcPr>
            <w:tcW w:w="0" w:type="auto"/>
            <w:tcMar>
              <w:top w:w="15" w:type="dxa"/>
              <w:left w:w="15" w:type="dxa"/>
              <w:bottom w:w="15" w:type="dxa"/>
              <w:right w:w="15" w:type="dxa"/>
            </w:tcMar>
            <w:vAlign w:val="center"/>
            <w:hideMark/>
          </w:tcPr>
          <w:p w14:paraId="72AEBC30"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Men: &lt;94 cm desirable, 94–102 cm high, &gt;102 cm very high (NHS England Digital, 2022)</w:t>
            </w:r>
          </w:p>
        </w:tc>
        <w:tc>
          <w:tcPr>
            <w:tcW w:w="0" w:type="auto"/>
            <w:tcMar>
              <w:top w:w="15" w:type="dxa"/>
              <w:left w:w="15" w:type="dxa"/>
              <w:bottom w:w="15" w:type="dxa"/>
              <w:right w:w="15" w:type="dxa"/>
            </w:tcMar>
            <w:vAlign w:val="center"/>
            <w:hideMark/>
          </w:tcPr>
          <w:p w14:paraId="347679BF"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95.9 ± 13.4</w:t>
            </w:r>
          </w:p>
        </w:tc>
        <w:tc>
          <w:tcPr>
            <w:tcW w:w="0" w:type="auto"/>
            <w:tcMar>
              <w:top w:w="15" w:type="dxa"/>
              <w:left w:w="15" w:type="dxa"/>
              <w:bottom w:w="15" w:type="dxa"/>
              <w:right w:w="15" w:type="dxa"/>
            </w:tcMar>
            <w:vAlign w:val="center"/>
            <w:hideMark/>
          </w:tcPr>
          <w:p w14:paraId="4029550D"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High (above desirable range)</w:t>
            </w:r>
          </w:p>
        </w:tc>
        <w:tc>
          <w:tcPr>
            <w:tcW w:w="0" w:type="auto"/>
            <w:tcMar>
              <w:top w:w="15" w:type="dxa"/>
              <w:left w:w="15" w:type="dxa"/>
              <w:bottom w:w="15" w:type="dxa"/>
              <w:right w:w="15" w:type="dxa"/>
            </w:tcMar>
            <w:vAlign w:val="center"/>
            <w:hideMark/>
          </w:tcPr>
          <w:p w14:paraId="0CB0A433"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86.0 ± 7.4</w:t>
            </w:r>
          </w:p>
        </w:tc>
        <w:tc>
          <w:tcPr>
            <w:tcW w:w="0" w:type="auto"/>
            <w:tcMar>
              <w:top w:w="15" w:type="dxa"/>
              <w:left w:w="15" w:type="dxa"/>
              <w:bottom w:w="15" w:type="dxa"/>
              <w:right w:w="15" w:type="dxa"/>
            </w:tcMar>
            <w:vAlign w:val="center"/>
            <w:hideMark/>
          </w:tcPr>
          <w:p w14:paraId="6F97EF26"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Desirable (within range)</w:t>
            </w:r>
          </w:p>
        </w:tc>
      </w:tr>
      <w:tr w:rsidR="00C95E3D" w:rsidRPr="00C95E3D" w14:paraId="764DBC8F" w14:textId="77777777">
        <w:trPr>
          <w:tblCellSpacing w:w="15" w:type="dxa"/>
        </w:trPr>
        <w:tc>
          <w:tcPr>
            <w:tcW w:w="0" w:type="auto"/>
            <w:tcMar>
              <w:top w:w="15" w:type="dxa"/>
              <w:left w:w="15" w:type="dxa"/>
              <w:bottom w:w="15" w:type="dxa"/>
              <w:right w:w="15" w:type="dxa"/>
            </w:tcMar>
            <w:vAlign w:val="center"/>
            <w:hideMark/>
          </w:tcPr>
          <w:p w14:paraId="4EA5F611"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Waist-to-Hip Ratio (WHR)</w:t>
            </w:r>
          </w:p>
        </w:tc>
        <w:tc>
          <w:tcPr>
            <w:tcW w:w="0" w:type="auto"/>
            <w:tcMar>
              <w:top w:w="15" w:type="dxa"/>
              <w:left w:w="15" w:type="dxa"/>
              <w:bottom w:w="15" w:type="dxa"/>
              <w:right w:w="15" w:type="dxa"/>
            </w:tcMar>
            <w:vAlign w:val="center"/>
            <w:hideMark/>
          </w:tcPr>
          <w:p w14:paraId="4FDDC823"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Men: ≤0.90 lower risk; &gt;0.90 increased risk (WHO, 2011)</w:t>
            </w:r>
          </w:p>
        </w:tc>
        <w:tc>
          <w:tcPr>
            <w:tcW w:w="0" w:type="auto"/>
            <w:tcMar>
              <w:top w:w="15" w:type="dxa"/>
              <w:left w:w="15" w:type="dxa"/>
              <w:bottom w:w="15" w:type="dxa"/>
              <w:right w:w="15" w:type="dxa"/>
            </w:tcMar>
            <w:vAlign w:val="center"/>
            <w:hideMark/>
          </w:tcPr>
          <w:p w14:paraId="0A53B804"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0.91 ± 0.06</w:t>
            </w:r>
          </w:p>
        </w:tc>
        <w:tc>
          <w:tcPr>
            <w:tcW w:w="0" w:type="auto"/>
            <w:tcMar>
              <w:top w:w="15" w:type="dxa"/>
              <w:left w:w="15" w:type="dxa"/>
              <w:bottom w:w="15" w:type="dxa"/>
              <w:right w:w="15" w:type="dxa"/>
            </w:tcMar>
            <w:vAlign w:val="center"/>
            <w:hideMark/>
          </w:tcPr>
          <w:p w14:paraId="48C72800"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Above threshold (increased risk category)</w:t>
            </w:r>
          </w:p>
        </w:tc>
        <w:tc>
          <w:tcPr>
            <w:tcW w:w="0" w:type="auto"/>
            <w:tcMar>
              <w:top w:w="15" w:type="dxa"/>
              <w:left w:w="15" w:type="dxa"/>
              <w:bottom w:w="15" w:type="dxa"/>
              <w:right w:w="15" w:type="dxa"/>
            </w:tcMar>
            <w:vAlign w:val="center"/>
            <w:hideMark/>
          </w:tcPr>
          <w:p w14:paraId="1B566AD5"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0.89 ± 0.05</w:t>
            </w:r>
          </w:p>
        </w:tc>
        <w:tc>
          <w:tcPr>
            <w:tcW w:w="0" w:type="auto"/>
            <w:tcMar>
              <w:top w:w="15" w:type="dxa"/>
              <w:left w:w="15" w:type="dxa"/>
              <w:bottom w:w="15" w:type="dxa"/>
              <w:right w:w="15" w:type="dxa"/>
            </w:tcMar>
            <w:vAlign w:val="center"/>
            <w:hideMark/>
          </w:tcPr>
          <w:p w14:paraId="5D4D3742"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Within threshold</w:t>
            </w:r>
          </w:p>
        </w:tc>
      </w:tr>
      <w:tr w:rsidR="00C95E3D" w:rsidRPr="00C95E3D" w14:paraId="14E89BB5" w14:textId="77777777">
        <w:trPr>
          <w:tblCellSpacing w:w="15" w:type="dxa"/>
        </w:trPr>
        <w:tc>
          <w:tcPr>
            <w:tcW w:w="0" w:type="auto"/>
            <w:tcMar>
              <w:top w:w="15" w:type="dxa"/>
              <w:left w:w="15" w:type="dxa"/>
              <w:bottom w:w="15" w:type="dxa"/>
              <w:right w:w="15" w:type="dxa"/>
            </w:tcMar>
            <w:vAlign w:val="center"/>
            <w:hideMark/>
          </w:tcPr>
          <w:p w14:paraId="1F47B522"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Body Fat (%)</w:t>
            </w:r>
          </w:p>
        </w:tc>
        <w:tc>
          <w:tcPr>
            <w:tcW w:w="0" w:type="auto"/>
            <w:tcMar>
              <w:top w:w="15" w:type="dxa"/>
              <w:left w:w="15" w:type="dxa"/>
              <w:bottom w:w="15" w:type="dxa"/>
              <w:right w:w="15" w:type="dxa"/>
            </w:tcMar>
            <w:vAlign w:val="center"/>
            <w:hideMark/>
          </w:tcPr>
          <w:p w14:paraId="1CFCA482"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 xml:space="preserve">Common male classification (method-dependent): Athletes 6–13%, Fitness 14–17%, Average 18–24%, Obese ≥25% </w:t>
            </w:r>
            <w:r w:rsidRPr="00C95E3D">
              <w:rPr>
                <w:rFonts w:ascii="Arial" w:eastAsia="Yu Mincho" w:hAnsi="Arial" w:cs="Arial"/>
                <w:kern w:val="0"/>
                <w14:ligatures w14:val="none"/>
              </w:rPr>
              <w:lastRenderedPageBreak/>
              <w:t>(ACSM, 2021). No single NHS/NICE UK public-health cut-off routinely used.</w:t>
            </w:r>
          </w:p>
        </w:tc>
        <w:tc>
          <w:tcPr>
            <w:tcW w:w="0" w:type="auto"/>
            <w:tcMar>
              <w:top w:w="15" w:type="dxa"/>
              <w:left w:w="15" w:type="dxa"/>
              <w:bottom w:w="15" w:type="dxa"/>
              <w:right w:w="15" w:type="dxa"/>
            </w:tcMar>
            <w:vAlign w:val="center"/>
            <w:hideMark/>
          </w:tcPr>
          <w:p w14:paraId="233FC9D3"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lastRenderedPageBreak/>
              <w:t>19.7 ± 5.6</w:t>
            </w:r>
          </w:p>
        </w:tc>
        <w:tc>
          <w:tcPr>
            <w:tcW w:w="0" w:type="auto"/>
            <w:tcMar>
              <w:top w:w="15" w:type="dxa"/>
              <w:left w:w="15" w:type="dxa"/>
              <w:bottom w:w="15" w:type="dxa"/>
              <w:right w:w="15" w:type="dxa"/>
            </w:tcMar>
            <w:vAlign w:val="center"/>
            <w:hideMark/>
          </w:tcPr>
          <w:p w14:paraId="612E58C6"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Average range</w:t>
            </w:r>
          </w:p>
        </w:tc>
        <w:tc>
          <w:tcPr>
            <w:tcW w:w="0" w:type="auto"/>
            <w:tcMar>
              <w:top w:w="15" w:type="dxa"/>
              <w:left w:w="15" w:type="dxa"/>
              <w:bottom w:w="15" w:type="dxa"/>
              <w:right w:w="15" w:type="dxa"/>
            </w:tcMar>
            <w:vAlign w:val="center"/>
            <w:hideMark/>
          </w:tcPr>
          <w:p w14:paraId="4A109BD1"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17.9 ± 6.0</w:t>
            </w:r>
          </w:p>
        </w:tc>
        <w:tc>
          <w:tcPr>
            <w:tcW w:w="0" w:type="auto"/>
            <w:tcMar>
              <w:top w:w="15" w:type="dxa"/>
              <w:left w:w="15" w:type="dxa"/>
              <w:bottom w:w="15" w:type="dxa"/>
              <w:right w:w="15" w:type="dxa"/>
            </w:tcMar>
            <w:vAlign w:val="center"/>
            <w:hideMark/>
          </w:tcPr>
          <w:p w14:paraId="7A366C60"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Upper fitness / lower average boundary</w:t>
            </w:r>
          </w:p>
        </w:tc>
      </w:tr>
      <w:tr w:rsidR="00C95E3D" w:rsidRPr="00C95E3D" w14:paraId="5C8760AF" w14:textId="77777777">
        <w:trPr>
          <w:tblCellSpacing w:w="15" w:type="dxa"/>
        </w:trPr>
        <w:tc>
          <w:tcPr>
            <w:tcW w:w="0" w:type="auto"/>
            <w:tcMar>
              <w:top w:w="15" w:type="dxa"/>
              <w:left w:w="15" w:type="dxa"/>
              <w:bottom w:w="15" w:type="dxa"/>
              <w:right w:w="15" w:type="dxa"/>
            </w:tcMar>
            <w:vAlign w:val="center"/>
            <w:hideMark/>
          </w:tcPr>
          <w:p w14:paraId="3AAA39E8"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Resting Heart Rate (bpm)</w:t>
            </w:r>
          </w:p>
        </w:tc>
        <w:tc>
          <w:tcPr>
            <w:tcW w:w="0" w:type="auto"/>
            <w:tcMar>
              <w:top w:w="15" w:type="dxa"/>
              <w:left w:w="15" w:type="dxa"/>
              <w:bottom w:w="15" w:type="dxa"/>
              <w:right w:w="15" w:type="dxa"/>
            </w:tcMar>
            <w:vAlign w:val="center"/>
            <w:hideMark/>
          </w:tcPr>
          <w:p w14:paraId="2F7C5A3D"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Normal adult resting HR: 60–100 bpm (BHF, 2024)</w:t>
            </w:r>
          </w:p>
        </w:tc>
        <w:tc>
          <w:tcPr>
            <w:tcW w:w="0" w:type="auto"/>
            <w:tcMar>
              <w:top w:w="15" w:type="dxa"/>
              <w:left w:w="15" w:type="dxa"/>
              <w:bottom w:w="15" w:type="dxa"/>
              <w:right w:w="15" w:type="dxa"/>
            </w:tcMar>
            <w:vAlign w:val="center"/>
            <w:hideMark/>
          </w:tcPr>
          <w:p w14:paraId="509EB1A6"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65.5 ± 14.0</w:t>
            </w:r>
          </w:p>
        </w:tc>
        <w:tc>
          <w:tcPr>
            <w:tcW w:w="0" w:type="auto"/>
            <w:tcMar>
              <w:top w:w="15" w:type="dxa"/>
              <w:left w:w="15" w:type="dxa"/>
              <w:bottom w:w="15" w:type="dxa"/>
              <w:right w:w="15" w:type="dxa"/>
            </w:tcMar>
            <w:vAlign w:val="center"/>
            <w:hideMark/>
          </w:tcPr>
          <w:p w14:paraId="7311FED3"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Within normal range</w:t>
            </w:r>
          </w:p>
        </w:tc>
        <w:tc>
          <w:tcPr>
            <w:tcW w:w="0" w:type="auto"/>
            <w:tcMar>
              <w:top w:w="15" w:type="dxa"/>
              <w:left w:w="15" w:type="dxa"/>
              <w:bottom w:w="15" w:type="dxa"/>
              <w:right w:w="15" w:type="dxa"/>
            </w:tcMar>
            <w:vAlign w:val="center"/>
            <w:hideMark/>
          </w:tcPr>
          <w:p w14:paraId="1469D679"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62.5 ± 11.1</w:t>
            </w:r>
          </w:p>
        </w:tc>
        <w:tc>
          <w:tcPr>
            <w:tcW w:w="0" w:type="auto"/>
            <w:tcMar>
              <w:top w:w="15" w:type="dxa"/>
              <w:left w:w="15" w:type="dxa"/>
              <w:bottom w:w="15" w:type="dxa"/>
              <w:right w:w="15" w:type="dxa"/>
            </w:tcMar>
            <w:vAlign w:val="center"/>
            <w:hideMark/>
          </w:tcPr>
          <w:p w14:paraId="3B559023"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Within normal range</w:t>
            </w:r>
          </w:p>
        </w:tc>
      </w:tr>
      <w:tr w:rsidR="00C95E3D" w:rsidRPr="00C95E3D" w14:paraId="5DF6EF66" w14:textId="77777777">
        <w:trPr>
          <w:tblCellSpacing w:w="15" w:type="dxa"/>
        </w:trPr>
        <w:tc>
          <w:tcPr>
            <w:tcW w:w="0" w:type="auto"/>
            <w:tcMar>
              <w:top w:w="15" w:type="dxa"/>
              <w:left w:w="15" w:type="dxa"/>
              <w:bottom w:w="15" w:type="dxa"/>
              <w:right w:w="15" w:type="dxa"/>
            </w:tcMar>
            <w:vAlign w:val="center"/>
            <w:hideMark/>
          </w:tcPr>
          <w:p w14:paraId="50950ED6"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bookmarkStart w:id="60" w:name="_Hlk226886750"/>
            <w:r w:rsidRPr="00C95E3D">
              <w:rPr>
                <w:rFonts w:ascii="Arial" w:eastAsia="Yu Mincho" w:hAnsi="Arial" w:cs="Arial"/>
                <w:kern w:val="0"/>
                <w14:ligatures w14:val="none"/>
              </w:rPr>
              <w:t>Systolic Blood Pressure (mmHg)</w:t>
            </w:r>
          </w:p>
        </w:tc>
        <w:tc>
          <w:tcPr>
            <w:tcW w:w="0" w:type="auto"/>
            <w:tcMar>
              <w:top w:w="15" w:type="dxa"/>
              <w:left w:w="15" w:type="dxa"/>
              <w:bottom w:w="15" w:type="dxa"/>
              <w:right w:w="15" w:type="dxa"/>
            </w:tcMar>
            <w:vAlign w:val="center"/>
            <w:hideMark/>
          </w:tcPr>
          <w:p w14:paraId="01670BDA"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Optimal/normal commonly cited: &lt;120 mmHg; high blood pressure (clinic) typically ≥140 mmHg systolic (NICE, 2019; NHS, 2023)</w:t>
            </w:r>
          </w:p>
        </w:tc>
        <w:tc>
          <w:tcPr>
            <w:tcW w:w="0" w:type="auto"/>
            <w:tcMar>
              <w:top w:w="15" w:type="dxa"/>
              <w:left w:w="15" w:type="dxa"/>
              <w:bottom w:w="15" w:type="dxa"/>
              <w:right w:w="15" w:type="dxa"/>
            </w:tcMar>
            <w:vAlign w:val="center"/>
            <w:hideMark/>
          </w:tcPr>
          <w:p w14:paraId="693E5115"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136.5 ± 15.7</w:t>
            </w:r>
          </w:p>
        </w:tc>
        <w:tc>
          <w:tcPr>
            <w:tcW w:w="0" w:type="auto"/>
            <w:tcMar>
              <w:top w:w="15" w:type="dxa"/>
              <w:left w:w="15" w:type="dxa"/>
              <w:bottom w:w="15" w:type="dxa"/>
              <w:right w:w="15" w:type="dxa"/>
            </w:tcMar>
            <w:vAlign w:val="center"/>
            <w:hideMark/>
          </w:tcPr>
          <w:p w14:paraId="16B976E3"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Above optimal/normal; below hypertension threshold on mean</w:t>
            </w:r>
          </w:p>
        </w:tc>
        <w:tc>
          <w:tcPr>
            <w:tcW w:w="0" w:type="auto"/>
            <w:tcMar>
              <w:top w:w="15" w:type="dxa"/>
              <w:left w:w="15" w:type="dxa"/>
              <w:bottom w:w="15" w:type="dxa"/>
              <w:right w:w="15" w:type="dxa"/>
            </w:tcMar>
            <w:vAlign w:val="center"/>
            <w:hideMark/>
          </w:tcPr>
          <w:p w14:paraId="6412A2C0"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132.4 ± 15.7</w:t>
            </w:r>
          </w:p>
        </w:tc>
        <w:tc>
          <w:tcPr>
            <w:tcW w:w="0" w:type="auto"/>
            <w:tcMar>
              <w:top w:w="15" w:type="dxa"/>
              <w:left w:w="15" w:type="dxa"/>
              <w:bottom w:w="15" w:type="dxa"/>
              <w:right w:w="15" w:type="dxa"/>
            </w:tcMar>
            <w:vAlign w:val="center"/>
            <w:hideMark/>
          </w:tcPr>
          <w:p w14:paraId="39FA9A1C"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Above optimal/normal; below hypertension threshold on mean</w:t>
            </w:r>
          </w:p>
        </w:tc>
        <w:bookmarkEnd w:id="60"/>
      </w:tr>
      <w:tr w:rsidR="00C95E3D" w:rsidRPr="00C95E3D" w14:paraId="172538A7" w14:textId="77777777">
        <w:trPr>
          <w:tblCellSpacing w:w="15" w:type="dxa"/>
        </w:trPr>
        <w:tc>
          <w:tcPr>
            <w:tcW w:w="0" w:type="auto"/>
            <w:tcMar>
              <w:top w:w="15" w:type="dxa"/>
              <w:left w:w="15" w:type="dxa"/>
              <w:bottom w:w="15" w:type="dxa"/>
              <w:right w:w="15" w:type="dxa"/>
            </w:tcMar>
            <w:vAlign w:val="center"/>
            <w:hideMark/>
          </w:tcPr>
          <w:p w14:paraId="654B03FA"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Diastolic Blood Pressure (mmHg)</w:t>
            </w:r>
          </w:p>
        </w:tc>
        <w:tc>
          <w:tcPr>
            <w:tcW w:w="0" w:type="auto"/>
            <w:tcMar>
              <w:top w:w="15" w:type="dxa"/>
              <w:left w:w="15" w:type="dxa"/>
              <w:bottom w:w="15" w:type="dxa"/>
              <w:right w:w="15" w:type="dxa"/>
            </w:tcMar>
            <w:vAlign w:val="center"/>
            <w:hideMark/>
          </w:tcPr>
          <w:p w14:paraId="09E48B8E"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Optimal/normal commonly cited: &lt;80 mmHg; high blood pressure (clinic) typically ≥90 mmHg diastolic (NICE, 2019; NHS, 2023)</w:t>
            </w:r>
          </w:p>
        </w:tc>
        <w:tc>
          <w:tcPr>
            <w:tcW w:w="0" w:type="auto"/>
            <w:tcMar>
              <w:top w:w="15" w:type="dxa"/>
              <w:left w:w="15" w:type="dxa"/>
              <w:bottom w:w="15" w:type="dxa"/>
              <w:right w:w="15" w:type="dxa"/>
            </w:tcMar>
            <w:vAlign w:val="center"/>
            <w:hideMark/>
          </w:tcPr>
          <w:p w14:paraId="1FCA721F"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78.5 ± 11.8</w:t>
            </w:r>
          </w:p>
        </w:tc>
        <w:tc>
          <w:tcPr>
            <w:tcW w:w="0" w:type="auto"/>
            <w:tcMar>
              <w:top w:w="15" w:type="dxa"/>
              <w:left w:w="15" w:type="dxa"/>
              <w:bottom w:w="15" w:type="dxa"/>
              <w:right w:w="15" w:type="dxa"/>
            </w:tcMar>
            <w:vAlign w:val="center"/>
            <w:hideMark/>
          </w:tcPr>
          <w:p w14:paraId="3488D732"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Within optimal/normal on mean</w:t>
            </w:r>
          </w:p>
        </w:tc>
        <w:tc>
          <w:tcPr>
            <w:tcW w:w="0" w:type="auto"/>
            <w:tcMar>
              <w:top w:w="15" w:type="dxa"/>
              <w:left w:w="15" w:type="dxa"/>
              <w:bottom w:w="15" w:type="dxa"/>
              <w:right w:w="15" w:type="dxa"/>
            </w:tcMar>
            <w:vAlign w:val="center"/>
            <w:hideMark/>
          </w:tcPr>
          <w:p w14:paraId="00B45B08"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72.0 ± 7.8</w:t>
            </w:r>
          </w:p>
        </w:tc>
        <w:tc>
          <w:tcPr>
            <w:tcW w:w="0" w:type="auto"/>
            <w:tcMar>
              <w:top w:w="15" w:type="dxa"/>
              <w:left w:w="15" w:type="dxa"/>
              <w:bottom w:w="15" w:type="dxa"/>
              <w:right w:w="15" w:type="dxa"/>
            </w:tcMar>
            <w:vAlign w:val="center"/>
            <w:hideMark/>
          </w:tcPr>
          <w:p w14:paraId="2214E86C"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Within optimal/normal on mean</w:t>
            </w:r>
          </w:p>
        </w:tc>
      </w:tr>
    </w:tbl>
    <w:p w14:paraId="09FB0D3D" w14:textId="77777777" w:rsidR="00C95E3D" w:rsidRPr="00C95E3D" w:rsidRDefault="00C95E3D" w:rsidP="00096CAD">
      <w:pPr>
        <w:spacing w:before="100" w:beforeAutospacing="1" w:after="100" w:afterAutospacing="1" w:line="360" w:lineRule="auto"/>
        <w:rPr>
          <w:rFonts w:ascii="Arial" w:eastAsia="Yu Mincho" w:hAnsi="Arial" w:cs="Arial"/>
          <w:kern w:val="0"/>
          <w:lang w:val="en-GB"/>
          <w14:ligatures w14:val="none"/>
        </w:rPr>
      </w:pPr>
    </w:p>
    <w:p w14:paraId="346FC2AA" w14:textId="1FB13C58" w:rsidR="00C95E3D" w:rsidRPr="00644D18" w:rsidRDefault="00C95E3D" w:rsidP="00644D18">
      <w:pPr>
        <w:spacing w:line="360" w:lineRule="auto"/>
        <w:rPr>
          <w:rFonts w:ascii="Times New Roman" w:hAnsi="Times New Roman" w:cs="Times New Roman"/>
        </w:rPr>
      </w:pPr>
      <w:r w:rsidRPr="00536991">
        <w:rPr>
          <w:b/>
          <w:bCs/>
          <w:lang w:val="en-GB"/>
        </w:rPr>
        <w:lastRenderedPageBreak/>
        <w:t>Table 4.3</w:t>
      </w:r>
      <w:r w:rsidRPr="00C95E3D">
        <w:rPr>
          <w:lang w:val="en-GB"/>
        </w:rPr>
        <w:t xml:space="preserve"> Baseline Dietary Intake of Participants (n = 20) Compared with UK Dietary Reference Values (DRV/RNI) and athlete guidance nutrition targets</w:t>
      </w:r>
      <w:r>
        <w:rPr>
          <w:lang w:val="en-GB"/>
        </w:rPr>
        <w:t>.</w:t>
      </w:r>
      <w:r w:rsidR="00644D18">
        <w:rPr>
          <w:rFonts w:ascii="Times New Roman" w:hAnsi="Times New Roman" w:cs="Times New Roman"/>
        </w:rPr>
        <w:t xml:space="preserve"> </w:t>
      </w:r>
      <w:r w:rsidRPr="00D85439">
        <w:rPr>
          <w:lang w:val="en-GB"/>
        </w:rPr>
        <w:t xml:space="preserve">Values shown are mean ± standard deviation for energy, macronutrients, key micronutrients, fluid, and fatty acids, with UK DRV/RNI as specified by UK Department of Health (DoH, 1991) and Committee on Medical Aspects of Food Policy (COMA) reports and subsequent reviews where applicable. “Status” indicates whether mean </w:t>
      </w:r>
      <w:r w:rsidRPr="00C95E3D">
        <w:rPr>
          <w:rFonts w:ascii="Arial" w:eastAsia="Yu Mincho" w:hAnsi="Arial" w:cs="Arial"/>
          <w:kern w:val="0"/>
          <w:lang w:val="en-GB"/>
          <w14:ligatures w14:val="none"/>
        </w:rPr>
        <w:t>intake is below (↓), within (↔) or above (↑) the UK DRV/RNI. Values presented as Mean ± SD (3-day dietary analysis, Nutritics).</w:t>
      </w:r>
    </w:p>
    <w:p w14:paraId="3E8BBB64" w14:textId="77777777" w:rsidR="00C95E3D" w:rsidRPr="00C95E3D" w:rsidRDefault="00C95E3D" w:rsidP="00096CAD">
      <w:pPr>
        <w:spacing w:before="100" w:beforeAutospacing="1" w:after="100" w:afterAutospacing="1" w:line="360" w:lineRule="auto"/>
        <w:rPr>
          <w:rFonts w:ascii="Times New Roman" w:eastAsia="Yu Mincho" w:hAnsi="Times New Roman" w:cs="Times New Roman"/>
          <w:kern w:val="0"/>
          <w14:ligatures w14:val="none"/>
        </w:rPr>
      </w:pPr>
    </w:p>
    <w:tbl>
      <w:tblPr>
        <w:tblW w:w="0" w:type="auto"/>
        <w:tblCellSpacing w:w="15" w:type="dxa"/>
        <w:tblLook w:val="04A0" w:firstRow="1" w:lastRow="0" w:firstColumn="1" w:lastColumn="0" w:noHBand="0" w:noVBand="1"/>
      </w:tblPr>
      <w:tblGrid>
        <w:gridCol w:w="1539"/>
        <w:gridCol w:w="930"/>
        <w:gridCol w:w="1301"/>
        <w:gridCol w:w="862"/>
        <w:gridCol w:w="1786"/>
        <w:gridCol w:w="1323"/>
        <w:gridCol w:w="1619"/>
      </w:tblGrid>
      <w:tr w:rsidR="00C95E3D" w:rsidRPr="00C95E3D" w14:paraId="08B972AB" w14:textId="77777777">
        <w:trPr>
          <w:tblHeader/>
          <w:tblCellSpacing w:w="15" w:type="dxa"/>
        </w:trPr>
        <w:tc>
          <w:tcPr>
            <w:tcW w:w="0" w:type="auto"/>
            <w:tcMar>
              <w:top w:w="15" w:type="dxa"/>
              <w:left w:w="15" w:type="dxa"/>
              <w:bottom w:w="15" w:type="dxa"/>
              <w:right w:w="15" w:type="dxa"/>
            </w:tcMar>
            <w:vAlign w:val="center"/>
            <w:hideMark/>
          </w:tcPr>
          <w:p w14:paraId="11A0B7AF" w14:textId="77777777" w:rsidR="00C95E3D" w:rsidRPr="00C95E3D" w:rsidRDefault="00C95E3D" w:rsidP="00096CAD">
            <w:pPr>
              <w:spacing w:before="100" w:beforeAutospacing="1" w:after="100" w:afterAutospacing="1" w:line="360" w:lineRule="auto"/>
              <w:jc w:val="center"/>
              <w:rPr>
                <w:rFonts w:ascii="Arial" w:eastAsia="Yu Mincho" w:hAnsi="Arial" w:cs="Arial"/>
                <w:kern w:val="0"/>
                <w14:ligatures w14:val="none"/>
              </w:rPr>
            </w:pPr>
            <w:r w:rsidRPr="00C95E3D">
              <w:rPr>
                <w:rFonts w:ascii="Arial" w:eastAsia="Yu Mincho" w:hAnsi="Arial" w:cs="Arial"/>
                <w:kern w:val="0"/>
                <w14:ligatures w14:val="none"/>
              </w:rPr>
              <w:t>Nutrient</w:t>
            </w:r>
          </w:p>
        </w:tc>
        <w:tc>
          <w:tcPr>
            <w:tcW w:w="0" w:type="auto"/>
            <w:tcMar>
              <w:top w:w="15" w:type="dxa"/>
              <w:left w:w="15" w:type="dxa"/>
              <w:bottom w:w="15" w:type="dxa"/>
              <w:right w:w="15" w:type="dxa"/>
            </w:tcMar>
            <w:vAlign w:val="center"/>
            <w:hideMark/>
          </w:tcPr>
          <w:p w14:paraId="5DB36B92" w14:textId="77777777" w:rsidR="00C95E3D" w:rsidRPr="00C95E3D" w:rsidRDefault="00C95E3D" w:rsidP="00096CAD">
            <w:pPr>
              <w:spacing w:before="100" w:beforeAutospacing="1" w:after="100" w:afterAutospacing="1" w:line="360" w:lineRule="auto"/>
              <w:jc w:val="center"/>
              <w:rPr>
                <w:rFonts w:ascii="Arial" w:eastAsia="Yu Mincho" w:hAnsi="Arial" w:cs="Arial"/>
                <w:kern w:val="0"/>
                <w14:ligatures w14:val="none"/>
              </w:rPr>
            </w:pPr>
            <w:r w:rsidRPr="00C95E3D">
              <w:rPr>
                <w:rFonts w:ascii="Arial" w:eastAsia="Yu Mincho" w:hAnsi="Arial" w:cs="Arial"/>
                <w:kern w:val="0"/>
                <w14:ligatures w14:val="none"/>
              </w:rPr>
              <w:t>Mean ± SD (n=20)</w:t>
            </w:r>
          </w:p>
        </w:tc>
        <w:tc>
          <w:tcPr>
            <w:tcW w:w="0" w:type="auto"/>
            <w:tcMar>
              <w:top w:w="15" w:type="dxa"/>
              <w:left w:w="15" w:type="dxa"/>
              <w:bottom w:w="15" w:type="dxa"/>
              <w:right w:w="15" w:type="dxa"/>
            </w:tcMar>
            <w:vAlign w:val="center"/>
            <w:hideMark/>
          </w:tcPr>
          <w:p w14:paraId="4732A651" w14:textId="77777777" w:rsidR="00C95E3D" w:rsidRPr="00C95E3D" w:rsidRDefault="00C95E3D" w:rsidP="00096CAD">
            <w:pPr>
              <w:spacing w:before="100" w:beforeAutospacing="1" w:after="100" w:afterAutospacing="1" w:line="360" w:lineRule="auto"/>
              <w:jc w:val="center"/>
              <w:rPr>
                <w:rFonts w:ascii="Arial" w:eastAsia="Yu Mincho" w:hAnsi="Arial" w:cs="Arial"/>
                <w:kern w:val="0"/>
                <w14:ligatures w14:val="none"/>
              </w:rPr>
            </w:pPr>
            <w:r w:rsidRPr="00C95E3D">
              <w:rPr>
                <w:rFonts w:ascii="Arial" w:eastAsia="Yu Mincho" w:hAnsi="Arial" w:cs="Arial"/>
                <w:kern w:val="0"/>
                <w14:ligatures w14:val="none"/>
              </w:rPr>
              <w:t>UK DRV / RNI</w:t>
            </w:r>
          </w:p>
        </w:tc>
        <w:tc>
          <w:tcPr>
            <w:tcW w:w="0" w:type="auto"/>
            <w:tcMar>
              <w:top w:w="15" w:type="dxa"/>
              <w:left w:w="15" w:type="dxa"/>
              <w:bottom w:w="15" w:type="dxa"/>
              <w:right w:w="15" w:type="dxa"/>
            </w:tcMar>
            <w:vAlign w:val="center"/>
            <w:hideMark/>
          </w:tcPr>
          <w:p w14:paraId="7D2348F0" w14:textId="77777777" w:rsidR="00C95E3D" w:rsidRPr="00C95E3D" w:rsidRDefault="00C95E3D" w:rsidP="00096CAD">
            <w:pPr>
              <w:spacing w:before="100" w:beforeAutospacing="1" w:after="100" w:afterAutospacing="1" w:line="360" w:lineRule="auto"/>
              <w:jc w:val="center"/>
              <w:rPr>
                <w:rFonts w:ascii="Arial" w:eastAsia="Yu Mincho" w:hAnsi="Arial" w:cs="Arial"/>
                <w:kern w:val="0"/>
                <w14:ligatures w14:val="none"/>
              </w:rPr>
            </w:pPr>
            <w:r w:rsidRPr="00C95E3D">
              <w:rPr>
                <w:rFonts w:ascii="Arial" w:eastAsia="Yu Mincho" w:hAnsi="Arial" w:cs="Arial"/>
                <w:kern w:val="0"/>
                <w14:ligatures w14:val="none"/>
              </w:rPr>
              <w:t>Status vs UK DRV</w:t>
            </w:r>
          </w:p>
        </w:tc>
        <w:tc>
          <w:tcPr>
            <w:tcW w:w="0" w:type="auto"/>
            <w:tcMar>
              <w:top w:w="15" w:type="dxa"/>
              <w:left w:w="15" w:type="dxa"/>
              <w:bottom w:w="15" w:type="dxa"/>
              <w:right w:w="15" w:type="dxa"/>
            </w:tcMar>
            <w:vAlign w:val="center"/>
            <w:hideMark/>
          </w:tcPr>
          <w:p w14:paraId="4DB22562" w14:textId="77777777" w:rsidR="00C95E3D" w:rsidRPr="00C95E3D" w:rsidRDefault="00C95E3D" w:rsidP="00096CAD">
            <w:pPr>
              <w:spacing w:before="100" w:beforeAutospacing="1" w:after="100" w:afterAutospacing="1" w:line="360" w:lineRule="auto"/>
              <w:jc w:val="center"/>
              <w:rPr>
                <w:rFonts w:ascii="Arial" w:eastAsia="Yu Mincho" w:hAnsi="Arial" w:cs="Arial"/>
                <w:kern w:val="0"/>
                <w14:ligatures w14:val="none"/>
              </w:rPr>
            </w:pPr>
            <w:r w:rsidRPr="00C95E3D">
              <w:rPr>
                <w:rFonts w:ascii="Arial" w:eastAsia="Yu Mincho" w:hAnsi="Arial" w:cs="Arial"/>
                <w:kern w:val="0"/>
                <w14:ligatures w14:val="none"/>
              </w:rPr>
              <w:t>Athlete Guidance</w:t>
            </w:r>
          </w:p>
        </w:tc>
        <w:tc>
          <w:tcPr>
            <w:tcW w:w="0" w:type="auto"/>
            <w:tcMar>
              <w:top w:w="15" w:type="dxa"/>
              <w:left w:w="15" w:type="dxa"/>
              <w:bottom w:w="15" w:type="dxa"/>
              <w:right w:w="15" w:type="dxa"/>
            </w:tcMar>
            <w:vAlign w:val="center"/>
            <w:hideMark/>
          </w:tcPr>
          <w:p w14:paraId="465106BB" w14:textId="77777777" w:rsidR="00C95E3D" w:rsidRPr="00C95E3D" w:rsidRDefault="00C95E3D" w:rsidP="00096CAD">
            <w:pPr>
              <w:spacing w:before="100" w:beforeAutospacing="1" w:after="100" w:afterAutospacing="1" w:line="360" w:lineRule="auto"/>
              <w:jc w:val="center"/>
              <w:rPr>
                <w:rFonts w:ascii="Arial" w:eastAsia="Yu Mincho" w:hAnsi="Arial" w:cs="Arial"/>
                <w:kern w:val="0"/>
                <w14:ligatures w14:val="none"/>
              </w:rPr>
            </w:pPr>
            <w:r w:rsidRPr="00C95E3D">
              <w:rPr>
                <w:rFonts w:ascii="Arial" w:eastAsia="Yu Mincho" w:hAnsi="Arial" w:cs="Arial"/>
                <w:kern w:val="0"/>
                <w14:ligatures w14:val="none"/>
              </w:rPr>
              <w:t>Status vs Athlete</w:t>
            </w:r>
          </w:p>
        </w:tc>
        <w:tc>
          <w:tcPr>
            <w:tcW w:w="0" w:type="auto"/>
            <w:tcMar>
              <w:top w:w="15" w:type="dxa"/>
              <w:left w:w="15" w:type="dxa"/>
              <w:bottom w:w="15" w:type="dxa"/>
              <w:right w:w="15" w:type="dxa"/>
            </w:tcMar>
            <w:vAlign w:val="center"/>
            <w:hideMark/>
          </w:tcPr>
          <w:p w14:paraId="2D7BFD84" w14:textId="77777777" w:rsidR="00C95E3D" w:rsidRPr="00C95E3D" w:rsidRDefault="00C95E3D" w:rsidP="00096CAD">
            <w:pPr>
              <w:spacing w:before="100" w:beforeAutospacing="1" w:after="100" w:afterAutospacing="1" w:line="360" w:lineRule="auto"/>
              <w:jc w:val="center"/>
              <w:rPr>
                <w:rFonts w:ascii="Arial" w:eastAsia="Yu Mincho" w:hAnsi="Arial" w:cs="Arial"/>
                <w:kern w:val="0"/>
                <w14:ligatures w14:val="none"/>
              </w:rPr>
            </w:pPr>
            <w:r w:rsidRPr="00C95E3D">
              <w:rPr>
                <w:rFonts w:ascii="Arial" w:eastAsia="Yu Mincho" w:hAnsi="Arial" w:cs="Arial"/>
                <w:kern w:val="0"/>
                <w14:ligatures w14:val="none"/>
              </w:rPr>
              <w:t>Notes / Nuance</w:t>
            </w:r>
          </w:p>
        </w:tc>
      </w:tr>
      <w:tr w:rsidR="00C95E3D" w:rsidRPr="00C95E3D" w14:paraId="35D1F9EE" w14:textId="77777777">
        <w:trPr>
          <w:tblCellSpacing w:w="15" w:type="dxa"/>
        </w:trPr>
        <w:tc>
          <w:tcPr>
            <w:tcW w:w="0" w:type="auto"/>
            <w:tcMar>
              <w:top w:w="15" w:type="dxa"/>
              <w:left w:w="15" w:type="dxa"/>
              <w:bottom w:w="15" w:type="dxa"/>
              <w:right w:w="15" w:type="dxa"/>
            </w:tcMar>
            <w:vAlign w:val="center"/>
            <w:hideMark/>
          </w:tcPr>
          <w:p w14:paraId="4D70C90F"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Energy (kcal)</w:t>
            </w:r>
          </w:p>
        </w:tc>
        <w:tc>
          <w:tcPr>
            <w:tcW w:w="0" w:type="auto"/>
            <w:tcMar>
              <w:top w:w="15" w:type="dxa"/>
              <w:left w:w="15" w:type="dxa"/>
              <w:bottom w:w="15" w:type="dxa"/>
              <w:right w:w="15" w:type="dxa"/>
            </w:tcMar>
            <w:vAlign w:val="center"/>
            <w:hideMark/>
          </w:tcPr>
          <w:p w14:paraId="7ADE3477"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2255 ± 693</w:t>
            </w:r>
          </w:p>
        </w:tc>
        <w:tc>
          <w:tcPr>
            <w:tcW w:w="0" w:type="auto"/>
            <w:tcMar>
              <w:top w:w="15" w:type="dxa"/>
              <w:left w:w="15" w:type="dxa"/>
              <w:bottom w:w="15" w:type="dxa"/>
              <w:right w:w="15" w:type="dxa"/>
            </w:tcMar>
            <w:vAlign w:val="center"/>
            <w:hideMark/>
          </w:tcPr>
          <w:p w14:paraId="398FA846"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2550 kcal/day (DoH, 1991)</w:t>
            </w:r>
          </w:p>
        </w:tc>
        <w:tc>
          <w:tcPr>
            <w:tcW w:w="0" w:type="auto"/>
            <w:tcMar>
              <w:top w:w="15" w:type="dxa"/>
              <w:left w:w="15" w:type="dxa"/>
              <w:bottom w:w="15" w:type="dxa"/>
              <w:right w:w="15" w:type="dxa"/>
            </w:tcMar>
            <w:vAlign w:val="center"/>
            <w:hideMark/>
          </w:tcPr>
          <w:p w14:paraId="573766C3"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 Below</w:t>
            </w:r>
          </w:p>
        </w:tc>
        <w:tc>
          <w:tcPr>
            <w:tcW w:w="0" w:type="auto"/>
            <w:tcMar>
              <w:top w:w="15" w:type="dxa"/>
              <w:left w:w="15" w:type="dxa"/>
              <w:bottom w:w="15" w:type="dxa"/>
              <w:right w:w="15" w:type="dxa"/>
            </w:tcMar>
            <w:vAlign w:val="center"/>
            <w:hideMark/>
          </w:tcPr>
          <w:p w14:paraId="036E1ECF"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 xml:space="preserve">~30–45 kcal/kg FFM/day (Mountjoy </w:t>
            </w:r>
            <w:r w:rsidRPr="00A7058C">
              <w:rPr>
                <w:rFonts w:ascii="Arial" w:eastAsia="Yu Mincho" w:hAnsi="Arial" w:cs="Arial"/>
                <w:i/>
                <w:kern w:val="0"/>
                <w14:ligatures w14:val="none"/>
              </w:rPr>
              <w:t>et al.</w:t>
            </w:r>
            <w:r w:rsidRPr="00C95E3D">
              <w:rPr>
                <w:rFonts w:ascii="Arial" w:eastAsia="Yu Mincho" w:hAnsi="Arial" w:cs="Arial"/>
                <w:kern w:val="0"/>
                <w14:ligatures w14:val="none"/>
              </w:rPr>
              <w:t xml:space="preserve">, 2018; Thomas </w:t>
            </w:r>
            <w:r w:rsidRPr="00A7058C">
              <w:rPr>
                <w:rFonts w:ascii="Arial" w:eastAsia="Yu Mincho" w:hAnsi="Arial" w:cs="Arial"/>
                <w:i/>
                <w:kern w:val="0"/>
                <w14:ligatures w14:val="none"/>
              </w:rPr>
              <w:t>et al.</w:t>
            </w:r>
            <w:r w:rsidRPr="00C95E3D">
              <w:rPr>
                <w:rFonts w:ascii="Arial" w:eastAsia="Yu Mincho" w:hAnsi="Arial" w:cs="Arial"/>
                <w:kern w:val="0"/>
                <w14:ligatures w14:val="none"/>
              </w:rPr>
              <w:t>, 2016)</w:t>
            </w:r>
          </w:p>
        </w:tc>
        <w:tc>
          <w:tcPr>
            <w:tcW w:w="0" w:type="auto"/>
            <w:tcMar>
              <w:top w:w="15" w:type="dxa"/>
              <w:left w:w="15" w:type="dxa"/>
              <w:bottom w:w="15" w:type="dxa"/>
              <w:right w:w="15" w:type="dxa"/>
            </w:tcMar>
            <w:vAlign w:val="center"/>
            <w:hideMark/>
          </w:tcPr>
          <w:p w14:paraId="32A0A81E"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Likely low–moderate</w:t>
            </w:r>
          </w:p>
        </w:tc>
        <w:tc>
          <w:tcPr>
            <w:tcW w:w="0" w:type="auto"/>
            <w:tcMar>
              <w:top w:w="15" w:type="dxa"/>
              <w:left w:w="15" w:type="dxa"/>
              <w:bottom w:w="15" w:type="dxa"/>
              <w:right w:w="15" w:type="dxa"/>
            </w:tcMar>
            <w:vAlign w:val="center"/>
            <w:hideMark/>
          </w:tcPr>
          <w:p w14:paraId="585E5439"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 xml:space="preserve">Athlete needs depend on FFM and training load (Thomas </w:t>
            </w:r>
            <w:r w:rsidRPr="00A7058C">
              <w:rPr>
                <w:rFonts w:ascii="Arial" w:eastAsia="Yu Mincho" w:hAnsi="Arial" w:cs="Arial"/>
                <w:i/>
                <w:kern w:val="0"/>
                <w14:ligatures w14:val="none"/>
              </w:rPr>
              <w:t>et al.</w:t>
            </w:r>
            <w:r w:rsidRPr="00C95E3D">
              <w:rPr>
                <w:rFonts w:ascii="Arial" w:eastAsia="Yu Mincho" w:hAnsi="Arial" w:cs="Arial"/>
                <w:kern w:val="0"/>
                <w14:ligatures w14:val="none"/>
              </w:rPr>
              <w:t>, 2016)</w:t>
            </w:r>
          </w:p>
        </w:tc>
      </w:tr>
      <w:tr w:rsidR="00C95E3D" w:rsidRPr="00C95E3D" w14:paraId="20AD395A" w14:textId="77777777">
        <w:trPr>
          <w:tblCellSpacing w:w="15" w:type="dxa"/>
        </w:trPr>
        <w:tc>
          <w:tcPr>
            <w:tcW w:w="0" w:type="auto"/>
            <w:tcMar>
              <w:top w:w="15" w:type="dxa"/>
              <w:left w:w="15" w:type="dxa"/>
              <w:bottom w:w="15" w:type="dxa"/>
              <w:right w:w="15" w:type="dxa"/>
            </w:tcMar>
            <w:vAlign w:val="center"/>
            <w:hideMark/>
          </w:tcPr>
          <w:p w14:paraId="536DF687"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Protein (g)</w:t>
            </w:r>
          </w:p>
        </w:tc>
        <w:tc>
          <w:tcPr>
            <w:tcW w:w="0" w:type="auto"/>
            <w:tcMar>
              <w:top w:w="15" w:type="dxa"/>
              <w:left w:w="15" w:type="dxa"/>
              <w:bottom w:w="15" w:type="dxa"/>
              <w:right w:w="15" w:type="dxa"/>
            </w:tcMar>
            <w:vAlign w:val="center"/>
            <w:hideMark/>
          </w:tcPr>
          <w:p w14:paraId="3C97756E"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136.9 ± 58.8</w:t>
            </w:r>
          </w:p>
        </w:tc>
        <w:tc>
          <w:tcPr>
            <w:tcW w:w="0" w:type="auto"/>
            <w:tcMar>
              <w:top w:w="15" w:type="dxa"/>
              <w:left w:w="15" w:type="dxa"/>
              <w:bottom w:w="15" w:type="dxa"/>
              <w:right w:w="15" w:type="dxa"/>
            </w:tcMar>
            <w:vAlign w:val="center"/>
            <w:hideMark/>
          </w:tcPr>
          <w:p w14:paraId="1980D561"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55.5 g/day (DoH, 1991)</w:t>
            </w:r>
          </w:p>
        </w:tc>
        <w:tc>
          <w:tcPr>
            <w:tcW w:w="0" w:type="auto"/>
            <w:tcMar>
              <w:top w:w="15" w:type="dxa"/>
              <w:left w:w="15" w:type="dxa"/>
              <w:bottom w:w="15" w:type="dxa"/>
              <w:right w:w="15" w:type="dxa"/>
            </w:tcMar>
            <w:vAlign w:val="center"/>
            <w:hideMark/>
          </w:tcPr>
          <w:p w14:paraId="7E86AA99"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 Above</w:t>
            </w:r>
          </w:p>
        </w:tc>
        <w:tc>
          <w:tcPr>
            <w:tcW w:w="0" w:type="auto"/>
            <w:tcMar>
              <w:top w:w="15" w:type="dxa"/>
              <w:left w:w="15" w:type="dxa"/>
              <w:bottom w:w="15" w:type="dxa"/>
              <w:right w:w="15" w:type="dxa"/>
            </w:tcMar>
            <w:vAlign w:val="center"/>
            <w:hideMark/>
          </w:tcPr>
          <w:p w14:paraId="0F4BB0E9"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 xml:space="preserve">1.4–2.0 g/kg/day (Thomas </w:t>
            </w:r>
            <w:r w:rsidRPr="00A7058C">
              <w:rPr>
                <w:rFonts w:ascii="Arial" w:eastAsia="Yu Mincho" w:hAnsi="Arial" w:cs="Arial"/>
                <w:i/>
                <w:kern w:val="0"/>
                <w14:ligatures w14:val="none"/>
              </w:rPr>
              <w:t>et al.</w:t>
            </w:r>
            <w:r w:rsidRPr="00C95E3D">
              <w:rPr>
                <w:rFonts w:ascii="Arial" w:eastAsia="Yu Mincho" w:hAnsi="Arial" w:cs="Arial"/>
                <w:kern w:val="0"/>
                <w14:ligatures w14:val="none"/>
              </w:rPr>
              <w:t xml:space="preserve">, 2016; Jäger </w:t>
            </w:r>
            <w:r w:rsidRPr="00A7058C">
              <w:rPr>
                <w:rFonts w:ascii="Arial" w:eastAsia="Yu Mincho" w:hAnsi="Arial" w:cs="Arial"/>
                <w:i/>
                <w:kern w:val="0"/>
                <w14:ligatures w14:val="none"/>
              </w:rPr>
              <w:t>et al.</w:t>
            </w:r>
            <w:r w:rsidRPr="00C95E3D">
              <w:rPr>
                <w:rFonts w:ascii="Arial" w:eastAsia="Yu Mincho" w:hAnsi="Arial" w:cs="Arial"/>
                <w:kern w:val="0"/>
                <w14:ligatures w14:val="none"/>
              </w:rPr>
              <w:t>, 2017; Jeukendrup and Gleeson, 2019)</w:t>
            </w:r>
          </w:p>
        </w:tc>
        <w:tc>
          <w:tcPr>
            <w:tcW w:w="0" w:type="auto"/>
            <w:tcMar>
              <w:top w:w="15" w:type="dxa"/>
              <w:left w:w="15" w:type="dxa"/>
              <w:bottom w:w="15" w:type="dxa"/>
              <w:right w:w="15" w:type="dxa"/>
            </w:tcMar>
            <w:vAlign w:val="center"/>
            <w:hideMark/>
          </w:tcPr>
          <w:p w14:paraId="65CEA1E6"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Likely appropriate</w:t>
            </w:r>
          </w:p>
        </w:tc>
        <w:tc>
          <w:tcPr>
            <w:tcW w:w="0" w:type="auto"/>
            <w:tcMar>
              <w:top w:w="15" w:type="dxa"/>
              <w:left w:w="15" w:type="dxa"/>
              <w:bottom w:w="15" w:type="dxa"/>
              <w:right w:w="15" w:type="dxa"/>
            </w:tcMar>
            <w:vAlign w:val="center"/>
            <w:hideMark/>
          </w:tcPr>
          <w:p w14:paraId="4325EACB"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Absolute intake high vs RNI but appropriate for trained adults</w:t>
            </w:r>
          </w:p>
        </w:tc>
      </w:tr>
      <w:tr w:rsidR="00C95E3D" w:rsidRPr="00C95E3D" w14:paraId="2AEB1C61" w14:textId="77777777">
        <w:trPr>
          <w:tblCellSpacing w:w="15" w:type="dxa"/>
        </w:trPr>
        <w:tc>
          <w:tcPr>
            <w:tcW w:w="0" w:type="auto"/>
            <w:tcMar>
              <w:top w:w="15" w:type="dxa"/>
              <w:left w:w="15" w:type="dxa"/>
              <w:bottom w:w="15" w:type="dxa"/>
              <w:right w:w="15" w:type="dxa"/>
            </w:tcMar>
            <w:vAlign w:val="center"/>
            <w:hideMark/>
          </w:tcPr>
          <w:p w14:paraId="307DEFBD"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Carbohydrate (g)</w:t>
            </w:r>
          </w:p>
        </w:tc>
        <w:tc>
          <w:tcPr>
            <w:tcW w:w="0" w:type="auto"/>
            <w:tcMar>
              <w:top w:w="15" w:type="dxa"/>
              <w:left w:w="15" w:type="dxa"/>
              <w:bottom w:w="15" w:type="dxa"/>
              <w:right w:w="15" w:type="dxa"/>
            </w:tcMar>
            <w:vAlign w:val="center"/>
            <w:hideMark/>
          </w:tcPr>
          <w:p w14:paraId="6A62E86B"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204.6 ± 98.8</w:t>
            </w:r>
          </w:p>
        </w:tc>
        <w:tc>
          <w:tcPr>
            <w:tcW w:w="0" w:type="auto"/>
            <w:tcMar>
              <w:top w:w="15" w:type="dxa"/>
              <w:left w:w="15" w:type="dxa"/>
              <w:bottom w:w="15" w:type="dxa"/>
              <w:right w:w="15" w:type="dxa"/>
            </w:tcMar>
            <w:vAlign w:val="center"/>
            <w:hideMark/>
          </w:tcPr>
          <w:p w14:paraId="6F7B4B00"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 xml:space="preserve">≥50% total energy (~333 g at </w:t>
            </w:r>
            <w:r w:rsidRPr="00C95E3D">
              <w:rPr>
                <w:rFonts w:ascii="Arial" w:eastAsia="Yu Mincho" w:hAnsi="Arial" w:cs="Arial"/>
                <w:kern w:val="0"/>
                <w14:ligatures w14:val="none"/>
              </w:rPr>
              <w:lastRenderedPageBreak/>
              <w:t>2550 kcal) (DoH, 1991)</w:t>
            </w:r>
          </w:p>
        </w:tc>
        <w:tc>
          <w:tcPr>
            <w:tcW w:w="0" w:type="auto"/>
            <w:tcMar>
              <w:top w:w="15" w:type="dxa"/>
              <w:left w:w="15" w:type="dxa"/>
              <w:bottom w:w="15" w:type="dxa"/>
              <w:right w:w="15" w:type="dxa"/>
            </w:tcMar>
            <w:vAlign w:val="center"/>
            <w:hideMark/>
          </w:tcPr>
          <w:p w14:paraId="67F9420C"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lastRenderedPageBreak/>
              <w:t>↓ Below</w:t>
            </w:r>
          </w:p>
        </w:tc>
        <w:tc>
          <w:tcPr>
            <w:tcW w:w="0" w:type="auto"/>
            <w:tcMar>
              <w:top w:w="15" w:type="dxa"/>
              <w:left w:w="15" w:type="dxa"/>
              <w:bottom w:w="15" w:type="dxa"/>
              <w:right w:w="15" w:type="dxa"/>
            </w:tcMar>
            <w:vAlign w:val="center"/>
            <w:hideMark/>
          </w:tcPr>
          <w:p w14:paraId="6067BAB9"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 xml:space="preserve">3–10 g/kg/day depending on load (Thomas </w:t>
            </w:r>
            <w:r w:rsidRPr="00A7058C">
              <w:rPr>
                <w:rFonts w:ascii="Arial" w:eastAsia="Yu Mincho" w:hAnsi="Arial" w:cs="Arial"/>
                <w:i/>
                <w:kern w:val="0"/>
                <w14:ligatures w14:val="none"/>
              </w:rPr>
              <w:lastRenderedPageBreak/>
              <w:t>et al.</w:t>
            </w:r>
            <w:r w:rsidRPr="00C95E3D">
              <w:rPr>
                <w:rFonts w:ascii="Arial" w:eastAsia="Yu Mincho" w:hAnsi="Arial" w:cs="Arial"/>
                <w:kern w:val="0"/>
                <w14:ligatures w14:val="none"/>
              </w:rPr>
              <w:t xml:space="preserve">, 2016; Burke </w:t>
            </w:r>
            <w:r w:rsidRPr="00A7058C">
              <w:rPr>
                <w:rFonts w:ascii="Arial" w:eastAsia="Yu Mincho" w:hAnsi="Arial" w:cs="Arial"/>
                <w:i/>
                <w:kern w:val="0"/>
                <w14:ligatures w14:val="none"/>
              </w:rPr>
              <w:t>et al.</w:t>
            </w:r>
            <w:r w:rsidRPr="00C95E3D">
              <w:rPr>
                <w:rFonts w:ascii="Arial" w:eastAsia="Yu Mincho" w:hAnsi="Arial" w:cs="Arial"/>
                <w:kern w:val="0"/>
                <w14:ligatures w14:val="none"/>
              </w:rPr>
              <w:t>, 2013)</w:t>
            </w:r>
          </w:p>
        </w:tc>
        <w:tc>
          <w:tcPr>
            <w:tcW w:w="0" w:type="auto"/>
            <w:tcMar>
              <w:top w:w="15" w:type="dxa"/>
              <w:left w:w="15" w:type="dxa"/>
              <w:bottom w:w="15" w:type="dxa"/>
              <w:right w:w="15" w:type="dxa"/>
            </w:tcMar>
            <w:vAlign w:val="center"/>
            <w:hideMark/>
          </w:tcPr>
          <w:p w14:paraId="0673286C" w14:textId="77777777" w:rsidR="00C95E3D" w:rsidRPr="00C95E3D" w:rsidRDefault="00C95E3D" w:rsidP="00096CAD">
            <w:pPr>
              <w:spacing w:line="360" w:lineRule="auto"/>
              <w:rPr>
                <w:rFonts w:ascii="Arial" w:eastAsia="Yu Mincho" w:hAnsi="Arial" w:cs="Arial"/>
                <w:kern w:val="0"/>
                <w14:ligatures w14:val="none"/>
              </w:rPr>
            </w:pPr>
          </w:p>
        </w:tc>
        <w:tc>
          <w:tcPr>
            <w:tcW w:w="0" w:type="auto"/>
            <w:tcMar>
              <w:top w:w="15" w:type="dxa"/>
              <w:left w:w="15" w:type="dxa"/>
              <w:bottom w:w="15" w:type="dxa"/>
              <w:right w:w="15" w:type="dxa"/>
            </w:tcMar>
            <w:vAlign w:val="center"/>
            <w:hideMark/>
          </w:tcPr>
          <w:p w14:paraId="0AE26937"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 xml:space="preserve">Tactical athletes often </w:t>
            </w:r>
            <w:r w:rsidRPr="00C95E3D">
              <w:rPr>
                <w:rFonts w:ascii="Arial" w:eastAsia="Yu Mincho" w:hAnsi="Arial" w:cs="Arial"/>
                <w:kern w:val="0"/>
                <w14:ligatures w14:val="none"/>
              </w:rPr>
              <w:lastRenderedPageBreak/>
              <w:t>require ≥3–5 g/kg</w:t>
            </w:r>
          </w:p>
        </w:tc>
      </w:tr>
      <w:tr w:rsidR="00C95E3D" w:rsidRPr="00C95E3D" w14:paraId="452E8609" w14:textId="77777777">
        <w:trPr>
          <w:tblCellSpacing w:w="15" w:type="dxa"/>
        </w:trPr>
        <w:tc>
          <w:tcPr>
            <w:tcW w:w="0" w:type="auto"/>
            <w:tcMar>
              <w:top w:w="15" w:type="dxa"/>
              <w:left w:w="15" w:type="dxa"/>
              <w:bottom w:w="15" w:type="dxa"/>
              <w:right w:w="15" w:type="dxa"/>
            </w:tcMar>
            <w:vAlign w:val="center"/>
            <w:hideMark/>
          </w:tcPr>
          <w:p w14:paraId="18AC6DF6"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lastRenderedPageBreak/>
              <w:t>Fat (g)</w:t>
            </w:r>
          </w:p>
        </w:tc>
        <w:tc>
          <w:tcPr>
            <w:tcW w:w="0" w:type="auto"/>
            <w:tcMar>
              <w:top w:w="15" w:type="dxa"/>
              <w:left w:w="15" w:type="dxa"/>
              <w:bottom w:w="15" w:type="dxa"/>
              <w:right w:w="15" w:type="dxa"/>
            </w:tcMar>
            <w:vAlign w:val="center"/>
            <w:hideMark/>
          </w:tcPr>
          <w:p w14:paraId="2A033D1A"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94.2 ± 22.3</w:t>
            </w:r>
          </w:p>
        </w:tc>
        <w:tc>
          <w:tcPr>
            <w:tcW w:w="0" w:type="auto"/>
            <w:tcMar>
              <w:top w:w="15" w:type="dxa"/>
              <w:left w:w="15" w:type="dxa"/>
              <w:bottom w:w="15" w:type="dxa"/>
              <w:right w:w="15" w:type="dxa"/>
            </w:tcMar>
            <w:vAlign w:val="center"/>
            <w:hideMark/>
          </w:tcPr>
          <w:p w14:paraId="594BD3E7"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≤35% total energy (DoH, 1991)</w:t>
            </w:r>
          </w:p>
        </w:tc>
        <w:tc>
          <w:tcPr>
            <w:tcW w:w="0" w:type="auto"/>
            <w:tcMar>
              <w:top w:w="15" w:type="dxa"/>
              <w:left w:w="15" w:type="dxa"/>
              <w:bottom w:w="15" w:type="dxa"/>
              <w:right w:w="15" w:type="dxa"/>
            </w:tcMar>
            <w:vAlign w:val="center"/>
            <w:hideMark/>
          </w:tcPr>
          <w:p w14:paraId="4D0D2D5E"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 Within</w:t>
            </w:r>
          </w:p>
        </w:tc>
        <w:tc>
          <w:tcPr>
            <w:tcW w:w="0" w:type="auto"/>
            <w:tcMar>
              <w:top w:w="15" w:type="dxa"/>
              <w:left w:w="15" w:type="dxa"/>
              <w:bottom w:w="15" w:type="dxa"/>
              <w:right w:w="15" w:type="dxa"/>
            </w:tcMar>
            <w:vAlign w:val="center"/>
            <w:hideMark/>
          </w:tcPr>
          <w:p w14:paraId="0D9250EF"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 xml:space="preserve">20–35% energy (Thomas </w:t>
            </w:r>
            <w:r w:rsidRPr="00A7058C">
              <w:rPr>
                <w:rFonts w:ascii="Arial" w:eastAsia="Yu Mincho" w:hAnsi="Arial" w:cs="Arial"/>
                <w:i/>
                <w:kern w:val="0"/>
                <w14:ligatures w14:val="none"/>
              </w:rPr>
              <w:t>et al.</w:t>
            </w:r>
            <w:r w:rsidRPr="00C95E3D">
              <w:rPr>
                <w:rFonts w:ascii="Arial" w:eastAsia="Yu Mincho" w:hAnsi="Arial" w:cs="Arial"/>
                <w:kern w:val="0"/>
                <w14:ligatures w14:val="none"/>
              </w:rPr>
              <w:t>, 2016)</w:t>
            </w:r>
          </w:p>
        </w:tc>
        <w:tc>
          <w:tcPr>
            <w:tcW w:w="0" w:type="auto"/>
            <w:tcMar>
              <w:top w:w="15" w:type="dxa"/>
              <w:left w:w="15" w:type="dxa"/>
              <w:bottom w:w="15" w:type="dxa"/>
              <w:right w:w="15" w:type="dxa"/>
            </w:tcMar>
            <w:vAlign w:val="center"/>
            <w:hideMark/>
          </w:tcPr>
          <w:p w14:paraId="413795E0"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Within</w:t>
            </w:r>
          </w:p>
        </w:tc>
        <w:tc>
          <w:tcPr>
            <w:tcW w:w="0" w:type="auto"/>
            <w:tcMar>
              <w:top w:w="15" w:type="dxa"/>
              <w:left w:w="15" w:type="dxa"/>
              <w:bottom w:w="15" w:type="dxa"/>
              <w:right w:w="15" w:type="dxa"/>
            </w:tcMar>
            <w:vAlign w:val="center"/>
            <w:hideMark/>
          </w:tcPr>
          <w:p w14:paraId="0C7D7CEF"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Within acceptable distribution</w:t>
            </w:r>
          </w:p>
        </w:tc>
      </w:tr>
      <w:tr w:rsidR="00C95E3D" w:rsidRPr="00C95E3D" w14:paraId="2E22828D" w14:textId="77777777">
        <w:trPr>
          <w:tblCellSpacing w:w="15" w:type="dxa"/>
        </w:trPr>
        <w:tc>
          <w:tcPr>
            <w:tcW w:w="0" w:type="auto"/>
            <w:tcMar>
              <w:top w:w="15" w:type="dxa"/>
              <w:left w:w="15" w:type="dxa"/>
              <w:bottom w:w="15" w:type="dxa"/>
              <w:right w:w="15" w:type="dxa"/>
            </w:tcMar>
            <w:vAlign w:val="center"/>
            <w:hideMark/>
          </w:tcPr>
          <w:p w14:paraId="24D8DD5D"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Saturated Fat (g)</w:t>
            </w:r>
          </w:p>
        </w:tc>
        <w:tc>
          <w:tcPr>
            <w:tcW w:w="0" w:type="auto"/>
            <w:tcMar>
              <w:top w:w="15" w:type="dxa"/>
              <w:left w:w="15" w:type="dxa"/>
              <w:bottom w:w="15" w:type="dxa"/>
              <w:right w:w="15" w:type="dxa"/>
            </w:tcMar>
            <w:vAlign w:val="center"/>
            <w:hideMark/>
          </w:tcPr>
          <w:p w14:paraId="2EB10750"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29.3 ± 8.0</w:t>
            </w:r>
          </w:p>
        </w:tc>
        <w:tc>
          <w:tcPr>
            <w:tcW w:w="0" w:type="auto"/>
            <w:tcMar>
              <w:top w:w="15" w:type="dxa"/>
              <w:left w:w="15" w:type="dxa"/>
              <w:bottom w:w="15" w:type="dxa"/>
              <w:right w:w="15" w:type="dxa"/>
            </w:tcMar>
            <w:vAlign w:val="center"/>
            <w:hideMark/>
          </w:tcPr>
          <w:p w14:paraId="58724953"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≤10% energy (DoH, 1991)</w:t>
            </w:r>
          </w:p>
        </w:tc>
        <w:tc>
          <w:tcPr>
            <w:tcW w:w="0" w:type="auto"/>
            <w:tcMar>
              <w:top w:w="15" w:type="dxa"/>
              <w:left w:w="15" w:type="dxa"/>
              <w:bottom w:w="15" w:type="dxa"/>
              <w:right w:w="15" w:type="dxa"/>
            </w:tcMar>
            <w:vAlign w:val="center"/>
            <w:hideMark/>
          </w:tcPr>
          <w:p w14:paraId="3373D703"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 Slightly high</w:t>
            </w:r>
          </w:p>
        </w:tc>
        <w:tc>
          <w:tcPr>
            <w:tcW w:w="0" w:type="auto"/>
            <w:tcMar>
              <w:top w:w="15" w:type="dxa"/>
              <w:left w:w="15" w:type="dxa"/>
              <w:bottom w:w="15" w:type="dxa"/>
              <w:right w:w="15" w:type="dxa"/>
            </w:tcMar>
            <w:vAlign w:val="center"/>
            <w:hideMark/>
          </w:tcPr>
          <w:p w14:paraId="7E0C4A1B"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Public health guidance applies (DoH, 1991)</w:t>
            </w:r>
          </w:p>
        </w:tc>
        <w:tc>
          <w:tcPr>
            <w:tcW w:w="0" w:type="auto"/>
            <w:tcMar>
              <w:top w:w="15" w:type="dxa"/>
              <w:left w:w="15" w:type="dxa"/>
              <w:bottom w:w="15" w:type="dxa"/>
              <w:right w:w="15" w:type="dxa"/>
            </w:tcMar>
            <w:vAlign w:val="center"/>
            <w:hideMark/>
          </w:tcPr>
          <w:p w14:paraId="3883DA9B"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Slightly high</w:t>
            </w:r>
          </w:p>
        </w:tc>
        <w:tc>
          <w:tcPr>
            <w:tcW w:w="0" w:type="auto"/>
            <w:tcMar>
              <w:top w:w="15" w:type="dxa"/>
              <w:left w:w="15" w:type="dxa"/>
              <w:bottom w:w="15" w:type="dxa"/>
              <w:right w:w="15" w:type="dxa"/>
            </w:tcMar>
            <w:vAlign w:val="center"/>
            <w:hideMark/>
          </w:tcPr>
          <w:p w14:paraId="35663C42"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Close to upper limit</w:t>
            </w:r>
          </w:p>
        </w:tc>
      </w:tr>
      <w:tr w:rsidR="00C95E3D" w:rsidRPr="00C95E3D" w14:paraId="1381B67B" w14:textId="77777777">
        <w:trPr>
          <w:tblCellSpacing w:w="15" w:type="dxa"/>
        </w:trPr>
        <w:tc>
          <w:tcPr>
            <w:tcW w:w="0" w:type="auto"/>
            <w:tcMar>
              <w:top w:w="15" w:type="dxa"/>
              <w:left w:w="15" w:type="dxa"/>
              <w:bottom w:w="15" w:type="dxa"/>
              <w:right w:w="15" w:type="dxa"/>
            </w:tcMar>
            <w:vAlign w:val="center"/>
            <w:hideMark/>
          </w:tcPr>
          <w:p w14:paraId="7CF71524"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Fibre (g)</w:t>
            </w:r>
          </w:p>
        </w:tc>
        <w:tc>
          <w:tcPr>
            <w:tcW w:w="0" w:type="auto"/>
            <w:tcMar>
              <w:top w:w="15" w:type="dxa"/>
              <w:left w:w="15" w:type="dxa"/>
              <w:bottom w:w="15" w:type="dxa"/>
              <w:right w:w="15" w:type="dxa"/>
            </w:tcMar>
            <w:vAlign w:val="center"/>
            <w:hideMark/>
          </w:tcPr>
          <w:p w14:paraId="2DF2EF94"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30.4 ± 15.7</w:t>
            </w:r>
          </w:p>
        </w:tc>
        <w:tc>
          <w:tcPr>
            <w:tcW w:w="0" w:type="auto"/>
            <w:tcMar>
              <w:top w:w="15" w:type="dxa"/>
              <w:left w:w="15" w:type="dxa"/>
              <w:bottom w:w="15" w:type="dxa"/>
              <w:right w:w="15" w:type="dxa"/>
            </w:tcMar>
            <w:vAlign w:val="center"/>
            <w:hideMark/>
          </w:tcPr>
          <w:p w14:paraId="5BDDD103"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30 g/day (SACN, 2015)</w:t>
            </w:r>
          </w:p>
        </w:tc>
        <w:tc>
          <w:tcPr>
            <w:tcW w:w="0" w:type="auto"/>
            <w:tcMar>
              <w:top w:w="15" w:type="dxa"/>
              <w:left w:w="15" w:type="dxa"/>
              <w:bottom w:w="15" w:type="dxa"/>
              <w:right w:w="15" w:type="dxa"/>
            </w:tcMar>
            <w:vAlign w:val="center"/>
            <w:hideMark/>
          </w:tcPr>
          <w:p w14:paraId="67A84E88"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 Meets</w:t>
            </w:r>
          </w:p>
        </w:tc>
        <w:tc>
          <w:tcPr>
            <w:tcW w:w="0" w:type="auto"/>
            <w:tcMar>
              <w:top w:w="15" w:type="dxa"/>
              <w:left w:w="15" w:type="dxa"/>
              <w:bottom w:w="15" w:type="dxa"/>
              <w:right w:w="15" w:type="dxa"/>
            </w:tcMar>
            <w:vAlign w:val="center"/>
            <w:hideMark/>
          </w:tcPr>
          <w:p w14:paraId="3ED9AD92"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 xml:space="preserve">~30 g/day (Thomas </w:t>
            </w:r>
            <w:r w:rsidRPr="00A7058C">
              <w:rPr>
                <w:rFonts w:ascii="Arial" w:eastAsia="Yu Mincho" w:hAnsi="Arial" w:cs="Arial"/>
                <w:i/>
                <w:kern w:val="0"/>
                <w14:ligatures w14:val="none"/>
              </w:rPr>
              <w:t>et al.</w:t>
            </w:r>
            <w:r w:rsidRPr="00C95E3D">
              <w:rPr>
                <w:rFonts w:ascii="Arial" w:eastAsia="Yu Mincho" w:hAnsi="Arial" w:cs="Arial"/>
                <w:kern w:val="0"/>
                <w14:ligatures w14:val="none"/>
              </w:rPr>
              <w:t>, 2016)</w:t>
            </w:r>
          </w:p>
        </w:tc>
        <w:tc>
          <w:tcPr>
            <w:tcW w:w="0" w:type="auto"/>
            <w:tcMar>
              <w:top w:w="15" w:type="dxa"/>
              <w:left w:w="15" w:type="dxa"/>
              <w:bottom w:w="15" w:type="dxa"/>
              <w:right w:w="15" w:type="dxa"/>
            </w:tcMar>
            <w:vAlign w:val="center"/>
            <w:hideMark/>
          </w:tcPr>
          <w:p w14:paraId="3FE47EAC"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Meets</w:t>
            </w:r>
          </w:p>
        </w:tc>
        <w:tc>
          <w:tcPr>
            <w:tcW w:w="0" w:type="auto"/>
            <w:tcMar>
              <w:top w:w="15" w:type="dxa"/>
              <w:left w:w="15" w:type="dxa"/>
              <w:bottom w:w="15" w:type="dxa"/>
              <w:right w:w="15" w:type="dxa"/>
            </w:tcMar>
            <w:vAlign w:val="center"/>
            <w:hideMark/>
          </w:tcPr>
          <w:p w14:paraId="3BDC7503"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Athletes may periodise fibre intake</w:t>
            </w:r>
          </w:p>
        </w:tc>
      </w:tr>
      <w:tr w:rsidR="00C95E3D" w:rsidRPr="00C95E3D" w14:paraId="628447F4" w14:textId="77777777">
        <w:trPr>
          <w:tblCellSpacing w:w="15" w:type="dxa"/>
        </w:trPr>
        <w:tc>
          <w:tcPr>
            <w:tcW w:w="0" w:type="auto"/>
            <w:tcMar>
              <w:top w:w="15" w:type="dxa"/>
              <w:left w:w="15" w:type="dxa"/>
              <w:bottom w:w="15" w:type="dxa"/>
              <w:right w:w="15" w:type="dxa"/>
            </w:tcMar>
            <w:vAlign w:val="center"/>
            <w:hideMark/>
          </w:tcPr>
          <w:p w14:paraId="72423D9C"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Omega-3 (g)</w:t>
            </w:r>
          </w:p>
        </w:tc>
        <w:tc>
          <w:tcPr>
            <w:tcW w:w="0" w:type="auto"/>
            <w:tcMar>
              <w:top w:w="15" w:type="dxa"/>
              <w:left w:w="15" w:type="dxa"/>
              <w:bottom w:w="15" w:type="dxa"/>
              <w:right w:w="15" w:type="dxa"/>
            </w:tcMar>
            <w:vAlign w:val="center"/>
            <w:hideMark/>
          </w:tcPr>
          <w:p w14:paraId="72427AF6"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0.66 ± 0.31</w:t>
            </w:r>
          </w:p>
        </w:tc>
        <w:tc>
          <w:tcPr>
            <w:tcW w:w="0" w:type="auto"/>
            <w:tcMar>
              <w:top w:w="15" w:type="dxa"/>
              <w:left w:w="15" w:type="dxa"/>
              <w:bottom w:w="15" w:type="dxa"/>
              <w:right w:w="15" w:type="dxa"/>
            </w:tcMar>
            <w:vAlign w:val="center"/>
            <w:hideMark/>
          </w:tcPr>
          <w:p w14:paraId="7B7421C8"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~0.45 g/day EPA+DHA equiv. (SACN, 2004)</w:t>
            </w:r>
          </w:p>
        </w:tc>
        <w:tc>
          <w:tcPr>
            <w:tcW w:w="0" w:type="auto"/>
            <w:tcMar>
              <w:top w:w="15" w:type="dxa"/>
              <w:left w:w="15" w:type="dxa"/>
              <w:bottom w:w="15" w:type="dxa"/>
              <w:right w:w="15" w:type="dxa"/>
            </w:tcMar>
            <w:vAlign w:val="center"/>
            <w:hideMark/>
          </w:tcPr>
          <w:p w14:paraId="3140DD95"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 Above</w:t>
            </w:r>
          </w:p>
        </w:tc>
        <w:tc>
          <w:tcPr>
            <w:tcW w:w="0" w:type="auto"/>
            <w:tcMar>
              <w:top w:w="15" w:type="dxa"/>
              <w:left w:w="15" w:type="dxa"/>
              <w:bottom w:w="15" w:type="dxa"/>
              <w:right w:w="15" w:type="dxa"/>
            </w:tcMar>
            <w:vAlign w:val="center"/>
            <w:hideMark/>
          </w:tcPr>
          <w:p w14:paraId="20817493"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250–500 mg/day EPA+DHA (EFSA, 2012)</w:t>
            </w:r>
          </w:p>
        </w:tc>
        <w:tc>
          <w:tcPr>
            <w:tcW w:w="0" w:type="auto"/>
            <w:tcMar>
              <w:top w:w="15" w:type="dxa"/>
              <w:left w:w="15" w:type="dxa"/>
              <w:bottom w:w="15" w:type="dxa"/>
              <w:right w:w="15" w:type="dxa"/>
            </w:tcMar>
            <w:vAlign w:val="center"/>
            <w:hideMark/>
          </w:tcPr>
          <w:p w14:paraId="2161DDE8"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Adequate</w:t>
            </w:r>
          </w:p>
        </w:tc>
        <w:tc>
          <w:tcPr>
            <w:tcW w:w="0" w:type="auto"/>
            <w:tcMar>
              <w:top w:w="15" w:type="dxa"/>
              <w:left w:w="15" w:type="dxa"/>
              <w:bottom w:w="15" w:type="dxa"/>
              <w:right w:w="15" w:type="dxa"/>
            </w:tcMar>
            <w:vAlign w:val="center"/>
            <w:hideMark/>
          </w:tcPr>
          <w:p w14:paraId="428AD117"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Does not include therapeutic 2–3 g doses</w:t>
            </w:r>
          </w:p>
        </w:tc>
      </w:tr>
      <w:tr w:rsidR="00C95E3D" w:rsidRPr="00C95E3D" w14:paraId="235982DC" w14:textId="77777777">
        <w:trPr>
          <w:tblCellSpacing w:w="15" w:type="dxa"/>
        </w:trPr>
        <w:tc>
          <w:tcPr>
            <w:tcW w:w="0" w:type="auto"/>
            <w:tcMar>
              <w:top w:w="15" w:type="dxa"/>
              <w:left w:w="15" w:type="dxa"/>
              <w:bottom w:w="15" w:type="dxa"/>
              <w:right w:w="15" w:type="dxa"/>
            </w:tcMar>
            <w:vAlign w:val="center"/>
            <w:hideMark/>
          </w:tcPr>
          <w:p w14:paraId="07C94B5D"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Omega-6 (g)</w:t>
            </w:r>
          </w:p>
        </w:tc>
        <w:tc>
          <w:tcPr>
            <w:tcW w:w="0" w:type="auto"/>
            <w:tcMar>
              <w:top w:w="15" w:type="dxa"/>
              <w:left w:w="15" w:type="dxa"/>
              <w:bottom w:w="15" w:type="dxa"/>
              <w:right w:w="15" w:type="dxa"/>
            </w:tcMar>
            <w:vAlign w:val="center"/>
            <w:hideMark/>
          </w:tcPr>
          <w:p w14:paraId="505CDB97"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4.93 ± 3.02</w:t>
            </w:r>
          </w:p>
        </w:tc>
        <w:tc>
          <w:tcPr>
            <w:tcW w:w="0" w:type="auto"/>
            <w:tcMar>
              <w:top w:w="15" w:type="dxa"/>
              <w:left w:w="15" w:type="dxa"/>
              <w:bottom w:w="15" w:type="dxa"/>
              <w:right w:w="15" w:type="dxa"/>
            </w:tcMar>
            <w:vAlign w:val="center"/>
            <w:hideMark/>
          </w:tcPr>
          <w:p w14:paraId="15612186"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~4% energy as LA (EFSA, 2010)</w:t>
            </w:r>
          </w:p>
        </w:tc>
        <w:tc>
          <w:tcPr>
            <w:tcW w:w="0" w:type="auto"/>
            <w:tcMar>
              <w:top w:w="15" w:type="dxa"/>
              <w:left w:w="15" w:type="dxa"/>
              <w:bottom w:w="15" w:type="dxa"/>
              <w:right w:w="15" w:type="dxa"/>
            </w:tcMar>
            <w:vAlign w:val="center"/>
            <w:hideMark/>
          </w:tcPr>
          <w:p w14:paraId="4A4FDA36"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 Within</w:t>
            </w:r>
          </w:p>
        </w:tc>
        <w:tc>
          <w:tcPr>
            <w:tcW w:w="0" w:type="auto"/>
            <w:tcMar>
              <w:top w:w="15" w:type="dxa"/>
              <w:left w:w="15" w:type="dxa"/>
              <w:bottom w:w="15" w:type="dxa"/>
              <w:right w:w="15" w:type="dxa"/>
            </w:tcMar>
            <w:vAlign w:val="center"/>
            <w:hideMark/>
          </w:tcPr>
          <w:p w14:paraId="74731CDC"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 of energy based (EFSA, 2010)</w:t>
            </w:r>
          </w:p>
        </w:tc>
        <w:tc>
          <w:tcPr>
            <w:tcW w:w="0" w:type="auto"/>
            <w:tcMar>
              <w:top w:w="15" w:type="dxa"/>
              <w:left w:w="15" w:type="dxa"/>
              <w:bottom w:w="15" w:type="dxa"/>
              <w:right w:w="15" w:type="dxa"/>
            </w:tcMar>
            <w:vAlign w:val="center"/>
            <w:hideMark/>
          </w:tcPr>
          <w:p w14:paraId="7F271C8E"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Within</w:t>
            </w:r>
          </w:p>
        </w:tc>
        <w:tc>
          <w:tcPr>
            <w:tcW w:w="0" w:type="auto"/>
            <w:tcMar>
              <w:top w:w="15" w:type="dxa"/>
              <w:left w:w="15" w:type="dxa"/>
              <w:bottom w:w="15" w:type="dxa"/>
              <w:right w:w="15" w:type="dxa"/>
            </w:tcMar>
            <w:vAlign w:val="center"/>
            <w:hideMark/>
          </w:tcPr>
          <w:p w14:paraId="1A7F5E83"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Scales with energy intake</w:t>
            </w:r>
          </w:p>
        </w:tc>
      </w:tr>
      <w:tr w:rsidR="00C95E3D" w:rsidRPr="00C95E3D" w14:paraId="06065B46" w14:textId="77777777">
        <w:trPr>
          <w:tblCellSpacing w:w="15" w:type="dxa"/>
        </w:trPr>
        <w:tc>
          <w:tcPr>
            <w:tcW w:w="0" w:type="auto"/>
            <w:tcMar>
              <w:top w:w="15" w:type="dxa"/>
              <w:left w:w="15" w:type="dxa"/>
              <w:bottom w:w="15" w:type="dxa"/>
              <w:right w:w="15" w:type="dxa"/>
            </w:tcMar>
            <w:vAlign w:val="center"/>
            <w:hideMark/>
          </w:tcPr>
          <w:p w14:paraId="3BFDFF66"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Omega-3:6 Ratio</w:t>
            </w:r>
          </w:p>
        </w:tc>
        <w:tc>
          <w:tcPr>
            <w:tcW w:w="0" w:type="auto"/>
            <w:tcMar>
              <w:top w:w="15" w:type="dxa"/>
              <w:left w:w="15" w:type="dxa"/>
              <w:bottom w:w="15" w:type="dxa"/>
              <w:right w:w="15" w:type="dxa"/>
            </w:tcMar>
            <w:vAlign w:val="center"/>
            <w:hideMark/>
          </w:tcPr>
          <w:p w14:paraId="1A3BBEDA"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0.175 ± 0.129 (~1:5.7)</w:t>
            </w:r>
          </w:p>
        </w:tc>
        <w:tc>
          <w:tcPr>
            <w:tcW w:w="0" w:type="auto"/>
            <w:tcMar>
              <w:top w:w="15" w:type="dxa"/>
              <w:left w:w="15" w:type="dxa"/>
              <w:bottom w:w="15" w:type="dxa"/>
              <w:right w:w="15" w:type="dxa"/>
            </w:tcMar>
            <w:vAlign w:val="center"/>
            <w:hideMark/>
          </w:tcPr>
          <w:p w14:paraId="01158006"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No UK DRV</w:t>
            </w:r>
          </w:p>
        </w:tc>
        <w:tc>
          <w:tcPr>
            <w:tcW w:w="0" w:type="auto"/>
            <w:tcMar>
              <w:top w:w="15" w:type="dxa"/>
              <w:left w:w="15" w:type="dxa"/>
              <w:bottom w:w="15" w:type="dxa"/>
              <w:right w:w="15" w:type="dxa"/>
            </w:tcMar>
            <w:vAlign w:val="center"/>
            <w:hideMark/>
          </w:tcPr>
          <w:p w14:paraId="30DD1CF4"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w:t>
            </w:r>
          </w:p>
        </w:tc>
        <w:tc>
          <w:tcPr>
            <w:tcW w:w="0" w:type="auto"/>
            <w:tcMar>
              <w:top w:w="15" w:type="dxa"/>
              <w:left w:w="15" w:type="dxa"/>
              <w:bottom w:w="15" w:type="dxa"/>
              <w:right w:w="15" w:type="dxa"/>
            </w:tcMar>
            <w:vAlign w:val="center"/>
            <w:hideMark/>
          </w:tcPr>
          <w:p w14:paraId="2DAC8E04"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~1:4–1:8 commonly cited</w:t>
            </w:r>
          </w:p>
        </w:tc>
        <w:tc>
          <w:tcPr>
            <w:tcW w:w="0" w:type="auto"/>
            <w:tcMar>
              <w:top w:w="15" w:type="dxa"/>
              <w:left w:w="15" w:type="dxa"/>
              <w:bottom w:w="15" w:type="dxa"/>
              <w:right w:w="15" w:type="dxa"/>
            </w:tcMar>
            <w:vAlign w:val="center"/>
            <w:hideMark/>
          </w:tcPr>
          <w:p w14:paraId="4FD0F878"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Acceptable</w:t>
            </w:r>
          </w:p>
        </w:tc>
        <w:tc>
          <w:tcPr>
            <w:tcW w:w="0" w:type="auto"/>
            <w:tcMar>
              <w:top w:w="15" w:type="dxa"/>
              <w:left w:w="15" w:type="dxa"/>
              <w:bottom w:w="15" w:type="dxa"/>
              <w:right w:w="15" w:type="dxa"/>
            </w:tcMar>
            <w:vAlign w:val="center"/>
            <w:hideMark/>
          </w:tcPr>
          <w:p w14:paraId="1ED900F4"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 xml:space="preserve">Ratio interpretation </w:t>
            </w:r>
            <w:r w:rsidRPr="00C95E3D">
              <w:rPr>
                <w:rFonts w:ascii="Arial" w:eastAsia="Yu Mincho" w:hAnsi="Arial" w:cs="Arial"/>
                <w:kern w:val="0"/>
                <w14:ligatures w14:val="none"/>
              </w:rPr>
              <w:lastRenderedPageBreak/>
              <w:t>debated in literature</w:t>
            </w:r>
          </w:p>
        </w:tc>
      </w:tr>
      <w:tr w:rsidR="00C95E3D" w:rsidRPr="00C95E3D" w14:paraId="284AB4B7" w14:textId="77777777">
        <w:trPr>
          <w:tblCellSpacing w:w="15" w:type="dxa"/>
        </w:trPr>
        <w:tc>
          <w:tcPr>
            <w:tcW w:w="0" w:type="auto"/>
            <w:tcMar>
              <w:top w:w="15" w:type="dxa"/>
              <w:left w:w="15" w:type="dxa"/>
              <w:bottom w:w="15" w:type="dxa"/>
              <w:right w:w="15" w:type="dxa"/>
            </w:tcMar>
            <w:vAlign w:val="center"/>
            <w:hideMark/>
          </w:tcPr>
          <w:p w14:paraId="3CE83C9C"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lastRenderedPageBreak/>
              <w:t>Alcohol (g)</w:t>
            </w:r>
          </w:p>
        </w:tc>
        <w:tc>
          <w:tcPr>
            <w:tcW w:w="0" w:type="auto"/>
            <w:tcMar>
              <w:top w:w="15" w:type="dxa"/>
              <w:left w:w="15" w:type="dxa"/>
              <w:bottom w:w="15" w:type="dxa"/>
              <w:right w:w="15" w:type="dxa"/>
            </w:tcMar>
            <w:vAlign w:val="center"/>
            <w:hideMark/>
          </w:tcPr>
          <w:p w14:paraId="3469FEA5"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0.0 ± 0.0</w:t>
            </w:r>
          </w:p>
        </w:tc>
        <w:tc>
          <w:tcPr>
            <w:tcW w:w="0" w:type="auto"/>
            <w:tcMar>
              <w:top w:w="15" w:type="dxa"/>
              <w:left w:w="15" w:type="dxa"/>
              <w:bottom w:w="15" w:type="dxa"/>
              <w:right w:w="15" w:type="dxa"/>
            </w:tcMar>
            <w:vAlign w:val="center"/>
            <w:hideMark/>
          </w:tcPr>
          <w:p w14:paraId="615ACED7"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≤14 units/week (UK CMO, 2016)</w:t>
            </w:r>
          </w:p>
        </w:tc>
        <w:tc>
          <w:tcPr>
            <w:tcW w:w="0" w:type="auto"/>
            <w:tcMar>
              <w:top w:w="15" w:type="dxa"/>
              <w:left w:w="15" w:type="dxa"/>
              <w:bottom w:w="15" w:type="dxa"/>
              <w:right w:w="15" w:type="dxa"/>
            </w:tcMar>
            <w:vAlign w:val="center"/>
            <w:hideMark/>
          </w:tcPr>
          <w:p w14:paraId="73BDF235"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 Within</w:t>
            </w:r>
          </w:p>
        </w:tc>
        <w:tc>
          <w:tcPr>
            <w:tcW w:w="0" w:type="auto"/>
            <w:tcMar>
              <w:top w:w="15" w:type="dxa"/>
              <w:left w:w="15" w:type="dxa"/>
              <w:bottom w:w="15" w:type="dxa"/>
              <w:right w:w="15" w:type="dxa"/>
            </w:tcMar>
            <w:vAlign w:val="center"/>
            <w:hideMark/>
          </w:tcPr>
          <w:p w14:paraId="5901CEDE"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 xml:space="preserve">Minimal recommended for recovery (Thomas </w:t>
            </w:r>
            <w:r w:rsidRPr="00A7058C">
              <w:rPr>
                <w:rFonts w:ascii="Arial" w:eastAsia="Yu Mincho" w:hAnsi="Arial" w:cs="Arial"/>
                <w:i/>
                <w:kern w:val="0"/>
                <w14:ligatures w14:val="none"/>
              </w:rPr>
              <w:t>et al.</w:t>
            </w:r>
            <w:r w:rsidRPr="00C95E3D">
              <w:rPr>
                <w:rFonts w:ascii="Arial" w:eastAsia="Yu Mincho" w:hAnsi="Arial" w:cs="Arial"/>
                <w:kern w:val="0"/>
                <w14:ligatures w14:val="none"/>
              </w:rPr>
              <w:t>, 2016)</w:t>
            </w:r>
          </w:p>
        </w:tc>
        <w:tc>
          <w:tcPr>
            <w:tcW w:w="0" w:type="auto"/>
            <w:tcMar>
              <w:top w:w="15" w:type="dxa"/>
              <w:left w:w="15" w:type="dxa"/>
              <w:bottom w:w="15" w:type="dxa"/>
              <w:right w:w="15" w:type="dxa"/>
            </w:tcMar>
            <w:vAlign w:val="center"/>
            <w:hideMark/>
          </w:tcPr>
          <w:p w14:paraId="3569FEFA"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Appropriate</w:t>
            </w:r>
          </w:p>
        </w:tc>
        <w:tc>
          <w:tcPr>
            <w:tcW w:w="0" w:type="auto"/>
            <w:tcMar>
              <w:top w:w="15" w:type="dxa"/>
              <w:left w:w="15" w:type="dxa"/>
              <w:bottom w:w="15" w:type="dxa"/>
              <w:right w:w="15" w:type="dxa"/>
            </w:tcMar>
            <w:vAlign w:val="center"/>
            <w:hideMark/>
          </w:tcPr>
          <w:p w14:paraId="3E679EFA"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No intake recorded</w:t>
            </w:r>
          </w:p>
        </w:tc>
      </w:tr>
      <w:tr w:rsidR="00C95E3D" w:rsidRPr="00C95E3D" w14:paraId="41FC1437" w14:textId="77777777">
        <w:trPr>
          <w:tblCellSpacing w:w="15" w:type="dxa"/>
        </w:trPr>
        <w:tc>
          <w:tcPr>
            <w:tcW w:w="0" w:type="auto"/>
            <w:tcMar>
              <w:top w:w="15" w:type="dxa"/>
              <w:left w:w="15" w:type="dxa"/>
              <w:bottom w:w="15" w:type="dxa"/>
              <w:right w:w="15" w:type="dxa"/>
            </w:tcMar>
            <w:vAlign w:val="center"/>
            <w:hideMark/>
          </w:tcPr>
          <w:p w14:paraId="5503866E"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Caffeine (mg)</w:t>
            </w:r>
          </w:p>
        </w:tc>
        <w:tc>
          <w:tcPr>
            <w:tcW w:w="0" w:type="auto"/>
            <w:tcMar>
              <w:top w:w="15" w:type="dxa"/>
              <w:left w:w="15" w:type="dxa"/>
              <w:bottom w:w="15" w:type="dxa"/>
              <w:right w:w="15" w:type="dxa"/>
            </w:tcMar>
            <w:vAlign w:val="center"/>
            <w:hideMark/>
          </w:tcPr>
          <w:p w14:paraId="0348FB69"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22.7 ± 26.5</w:t>
            </w:r>
          </w:p>
        </w:tc>
        <w:tc>
          <w:tcPr>
            <w:tcW w:w="0" w:type="auto"/>
            <w:tcMar>
              <w:top w:w="15" w:type="dxa"/>
              <w:left w:w="15" w:type="dxa"/>
              <w:bottom w:w="15" w:type="dxa"/>
              <w:right w:w="15" w:type="dxa"/>
            </w:tcMar>
            <w:vAlign w:val="center"/>
            <w:hideMark/>
          </w:tcPr>
          <w:p w14:paraId="21E1AFA2"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≤400 mg/day (EFSA, 2015)</w:t>
            </w:r>
          </w:p>
        </w:tc>
        <w:tc>
          <w:tcPr>
            <w:tcW w:w="0" w:type="auto"/>
            <w:tcMar>
              <w:top w:w="15" w:type="dxa"/>
              <w:left w:w="15" w:type="dxa"/>
              <w:bottom w:w="15" w:type="dxa"/>
              <w:right w:w="15" w:type="dxa"/>
            </w:tcMar>
            <w:vAlign w:val="center"/>
            <w:hideMark/>
          </w:tcPr>
          <w:p w14:paraId="6A1B8E14"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 Within</w:t>
            </w:r>
          </w:p>
        </w:tc>
        <w:tc>
          <w:tcPr>
            <w:tcW w:w="0" w:type="auto"/>
            <w:tcMar>
              <w:top w:w="15" w:type="dxa"/>
              <w:left w:w="15" w:type="dxa"/>
              <w:bottom w:w="15" w:type="dxa"/>
              <w:right w:w="15" w:type="dxa"/>
            </w:tcMar>
            <w:vAlign w:val="center"/>
            <w:hideMark/>
          </w:tcPr>
          <w:p w14:paraId="3E2676E6"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 xml:space="preserve">3–6 mg/kg pre-exercise (Guest </w:t>
            </w:r>
            <w:r w:rsidRPr="00A7058C">
              <w:rPr>
                <w:rFonts w:ascii="Arial" w:eastAsia="Yu Mincho" w:hAnsi="Arial" w:cs="Arial"/>
                <w:i/>
                <w:kern w:val="0"/>
                <w14:ligatures w14:val="none"/>
              </w:rPr>
              <w:t>et al.</w:t>
            </w:r>
            <w:r w:rsidRPr="00C95E3D">
              <w:rPr>
                <w:rFonts w:ascii="Arial" w:eastAsia="Yu Mincho" w:hAnsi="Arial" w:cs="Arial"/>
                <w:kern w:val="0"/>
                <w14:ligatures w14:val="none"/>
              </w:rPr>
              <w:t>, 2020)</w:t>
            </w:r>
          </w:p>
        </w:tc>
        <w:tc>
          <w:tcPr>
            <w:tcW w:w="0" w:type="auto"/>
            <w:tcMar>
              <w:top w:w="15" w:type="dxa"/>
              <w:left w:w="15" w:type="dxa"/>
              <w:bottom w:w="15" w:type="dxa"/>
              <w:right w:w="15" w:type="dxa"/>
            </w:tcMar>
            <w:vAlign w:val="center"/>
            <w:hideMark/>
          </w:tcPr>
          <w:p w14:paraId="64AC2307"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Very low</w:t>
            </w:r>
          </w:p>
        </w:tc>
        <w:tc>
          <w:tcPr>
            <w:tcW w:w="0" w:type="auto"/>
            <w:tcMar>
              <w:top w:w="15" w:type="dxa"/>
              <w:left w:w="15" w:type="dxa"/>
              <w:bottom w:w="15" w:type="dxa"/>
              <w:right w:w="15" w:type="dxa"/>
            </w:tcMar>
            <w:vAlign w:val="center"/>
            <w:hideMark/>
          </w:tcPr>
          <w:p w14:paraId="3AC8BCB4"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Baseline intake not ergogenic</w:t>
            </w:r>
          </w:p>
        </w:tc>
      </w:tr>
      <w:tr w:rsidR="00C95E3D" w:rsidRPr="00C95E3D" w14:paraId="3BEBC210" w14:textId="77777777">
        <w:trPr>
          <w:tblCellSpacing w:w="15" w:type="dxa"/>
        </w:trPr>
        <w:tc>
          <w:tcPr>
            <w:tcW w:w="0" w:type="auto"/>
            <w:tcMar>
              <w:top w:w="15" w:type="dxa"/>
              <w:left w:w="15" w:type="dxa"/>
              <w:bottom w:w="15" w:type="dxa"/>
              <w:right w:w="15" w:type="dxa"/>
            </w:tcMar>
            <w:vAlign w:val="center"/>
            <w:hideMark/>
          </w:tcPr>
          <w:p w14:paraId="7EA05F1D"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Sodium (mg)</w:t>
            </w:r>
          </w:p>
        </w:tc>
        <w:tc>
          <w:tcPr>
            <w:tcW w:w="0" w:type="auto"/>
            <w:tcMar>
              <w:top w:w="15" w:type="dxa"/>
              <w:left w:w="15" w:type="dxa"/>
              <w:bottom w:w="15" w:type="dxa"/>
              <w:right w:w="15" w:type="dxa"/>
            </w:tcMar>
            <w:vAlign w:val="center"/>
            <w:hideMark/>
          </w:tcPr>
          <w:p w14:paraId="696DD345"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1889 ± 954</w:t>
            </w:r>
          </w:p>
        </w:tc>
        <w:tc>
          <w:tcPr>
            <w:tcW w:w="0" w:type="auto"/>
            <w:tcMar>
              <w:top w:w="15" w:type="dxa"/>
              <w:left w:w="15" w:type="dxa"/>
              <w:bottom w:w="15" w:type="dxa"/>
              <w:right w:w="15" w:type="dxa"/>
            </w:tcMar>
            <w:vAlign w:val="center"/>
            <w:hideMark/>
          </w:tcPr>
          <w:p w14:paraId="354EE219"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≤2400 mg/day (6 g salt) (DoH, 1991)</w:t>
            </w:r>
          </w:p>
        </w:tc>
        <w:tc>
          <w:tcPr>
            <w:tcW w:w="0" w:type="auto"/>
            <w:tcMar>
              <w:top w:w="15" w:type="dxa"/>
              <w:left w:w="15" w:type="dxa"/>
              <w:bottom w:w="15" w:type="dxa"/>
              <w:right w:w="15" w:type="dxa"/>
            </w:tcMar>
            <w:vAlign w:val="center"/>
            <w:hideMark/>
          </w:tcPr>
          <w:p w14:paraId="2E449F5E"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 Within</w:t>
            </w:r>
          </w:p>
        </w:tc>
        <w:tc>
          <w:tcPr>
            <w:tcW w:w="0" w:type="auto"/>
            <w:tcMar>
              <w:top w:w="15" w:type="dxa"/>
              <w:left w:w="15" w:type="dxa"/>
              <w:bottom w:w="15" w:type="dxa"/>
              <w:right w:w="15" w:type="dxa"/>
            </w:tcMar>
            <w:vAlign w:val="center"/>
            <w:hideMark/>
          </w:tcPr>
          <w:p w14:paraId="19A29B2A"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300–600 mg/hr in heavy sweat (ACSM, 2016)</w:t>
            </w:r>
          </w:p>
        </w:tc>
        <w:tc>
          <w:tcPr>
            <w:tcW w:w="0" w:type="auto"/>
            <w:tcMar>
              <w:top w:w="15" w:type="dxa"/>
              <w:left w:w="15" w:type="dxa"/>
              <w:bottom w:w="15" w:type="dxa"/>
              <w:right w:w="15" w:type="dxa"/>
            </w:tcMar>
            <w:vAlign w:val="center"/>
            <w:hideMark/>
          </w:tcPr>
          <w:p w14:paraId="0E274EB6"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Context dependent</w:t>
            </w:r>
          </w:p>
        </w:tc>
        <w:tc>
          <w:tcPr>
            <w:tcW w:w="0" w:type="auto"/>
            <w:tcMar>
              <w:top w:w="15" w:type="dxa"/>
              <w:left w:w="15" w:type="dxa"/>
              <w:bottom w:w="15" w:type="dxa"/>
              <w:right w:w="15" w:type="dxa"/>
            </w:tcMar>
            <w:vAlign w:val="center"/>
            <w:hideMark/>
          </w:tcPr>
          <w:p w14:paraId="1503554A"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Daily intake moderate</w:t>
            </w:r>
          </w:p>
        </w:tc>
      </w:tr>
      <w:tr w:rsidR="00C95E3D" w:rsidRPr="00C95E3D" w14:paraId="71106FC9" w14:textId="77777777">
        <w:trPr>
          <w:tblCellSpacing w:w="15" w:type="dxa"/>
        </w:trPr>
        <w:tc>
          <w:tcPr>
            <w:tcW w:w="0" w:type="auto"/>
            <w:tcMar>
              <w:top w:w="15" w:type="dxa"/>
              <w:left w:w="15" w:type="dxa"/>
              <w:bottom w:w="15" w:type="dxa"/>
              <w:right w:w="15" w:type="dxa"/>
            </w:tcMar>
            <w:vAlign w:val="center"/>
            <w:hideMark/>
          </w:tcPr>
          <w:p w14:paraId="5E80B2E8"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Potassium (mg)</w:t>
            </w:r>
          </w:p>
        </w:tc>
        <w:tc>
          <w:tcPr>
            <w:tcW w:w="0" w:type="auto"/>
            <w:tcMar>
              <w:top w:w="15" w:type="dxa"/>
              <w:left w:w="15" w:type="dxa"/>
              <w:bottom w:w="15" w:type="dxa"/>
              <w:right w:w="15" w:type="dxa"/>
            </w:tcMar>
            <w:vAlign w:val="center"/>
            <w:hideMark/>
          </w:tcPr>
          <w:p w14:paraId="0A5C58FC"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2141 ± 1226</w:t>
            </w:r>
          </w:p>
        </w:tc>
        <w:tc>
          <w:tcPr>
            <w:tcW w:w="0" w:type="auto"/>
            <w:tcMar>
              <w:top w:w="15" w:type="dxa"/>
              <w:left w:w="15" w:type="dxa"/>
              <w:bottom w:w="15" w:type="dxa"/>
              <w:right w:w="15" w:type="dxa"/>
            </w:tcMar>
            <w:vAlign w:val="center"/>
            <w:hideMark/>
          </w:tcPr>
          <w:p w14:paraId="13CE61D7"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3500 mg/day (DoH, 1991)</w:t>
            </w:r>
          </w:p>
        </w:tc>
        <w:tc>
          <w:tcPr>
            <w:tcW w:w="0" w:type="auto"/>
            <w:tcMar>
              <w:top w:w="15" w:type="dxa"/>
              <w:left w:w="15" w:type="dxa"/>
              <w:bottom w:w="15" w:type="dxa"/>
              <w:right w:w="15" w:type="dxa"/>
            </w:tcMar>
            <w:vAlign w:val="center"/>
            <w:hideMark/>
          </w:tcPr>
          <w:p w14:paraId="6F8C219C"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 Below</w:t>
            </w:r>
          </w:p>
        </w:tc>
        <w:tc>
          <w:tcPr>
            <w:tcW w:w="0" w:type="auto"/>
            <w:tcMar>
              <w:top w:w="15" w:type="dxa"/>
              <w:left w:w="15" w:type="dxa"/>
              <w:bottom w:w="15" w:type="dxa"/>
              <w:right w:w="15" w:type="dxa"/>
            </w:tcMar>
            <w:vAlign w:val="center"/>
            <w:hideMark/>
          </w:tcPr>
          <w:p w14:paraId="6DF259D3"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Same as general population</w:t>
            </w:r>
          </w:p>
        </w:tc>
        <w:tc>
          <w:tcPr>
            <w:tcW w:w="0" w:type="auto"/>
            <w:tcMar>
              <w:top w:w="15" w:type="dxa"/>
              <w:left w:w="15" w:type="dxa"/>
              <w:bottom w:w="15" w:type="dxa"/>
              <w:right w:w="15" w:type="dxa"/>
            </w:tcMar>
            <w:vAlign w:val="center"/>
            <w:hideMark/>
          </w:tcPr>
          <w:p w14:paraId="056CF31C"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Likely low</w:t>
            </w:r>
          </w:p>
        </w:tc>
        <w:tc>
          <w:tcPr>
            <w:tcW w:w="0" w:type="auto"/>
            <w:tcMar>
              <w:top w:w="15" w:type="dxa"/>
              <w:left w:w="15" w:type="dxa"/>
              <w:bottom w:w="15" w:type="dxa"/>
              <w:right w:w="15" w:type="dxa"/>
            </w:tcMar>
            <w:vAlign w:val="center"/>
            <w:hideMark/>
          </w:tcPr>
          <w:p w14:paraId="3FB72B99"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Common shortfall in UK males</w:t>
            </w:r>
          </w:p>
        </w:tc>
      </w:tr>
      <w:tr w:rsidR="00C95E3D" w:rsidRPr="00C95E3D" w14:paraId="730F9381" w14:textId="77777777">
        <w:trPr>
          <w:tblCellSpacing w:w="15" w:type="dxa"/>
        </w:trPr>
        <w:tc>
          <w:tcPr>
            <w:tcW w:w="0" w:type="auto"/>
            <w:tcMar>
              <w:top w:w="15" w:type="dxa"/>
              <w:left w:w="15" w:type="dxa"/>
              <w:bottom w:w="15" w:type="dxa"/>
              <w:right w:w="15" w:type="dxa"/>
            </w:tcMar>
            <w:vAlign w:val="center"/>
            <w:hideMark/>
          </w:tcPr>
          <w:p w14:paraId="1E9D5EBE"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Magnesium (mg)</w:t>
            </w:r>
          </w:p>
        </w:tc>
        <w:tc>
          <w:tcPr>
            <w:tcW w:w="0" w:type="auto"/>
            <w:tcMar>
              <w:top w:w="15" w:type="dxa"/>
              <w:left w:w="15" w:type="dxa"/>
              <w:bottom w:w="15" w:type="dxa"/>
              <w:right w:w="15" w:type="dxa"/>
            </w:tcMar>
            <w:vAlign w:val="center"/>
            <w:hideMark/>
          </w:tcPr>
          <w:p w14:paraId="16486815"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259 ± 117</w:t>
            </w:r>
          </w:p>
        </w:tc>
        <w:tc>
          <w:tcPr>
            <w:tcW w:w="0" w:type="auto"/>
            <w:tcMar>
              <w:top w:w="15" w:type="dxa"/>
              <w:left w:w="15" w:type="dxa"/>
              <w:bottom w:w="15" w:type="dxa"/>
              <w:right w:w="15" w:type="dxa"/>
            </w:tcMar>
            <w:vAlign w:val="center"/>
            <w:hideMark/>
          </w:tcPr>
          <w:p w14:paraId="72CDA4EC"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300 mg/day (DoH, 1991)</w:t>
            </w:r>
          </w:p>
        </w:tc>
        <w:tc>
          <w:tcPr>
            <w:tcW w:w="0" w:type="auto"/>
            <w:tcMar>
              <w:top w:w="15" w:type="dxa"/>
              <w:left w:w="15" w:type="dxa"/>
              <w:bottom w:w="15" w:type="dxa"/>
              <w:right w:w="15" w:type="dxa"/>
            </w:tcMar>
            <w:vAlign w:val="center"/>
            <w:hideMark/>
          </w:tcPr>
          <w:p w14:paraId="563CF3E2"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 Below</w:t>
            </w:r>
          </w:p>
        </w:tc>
        <w:tc>
          <w:tcPr>
            <w:tcW w:w="0" w:type="auto"/>
            <w:tcMar>
              <w:top w:w="15" w:type="dxa"/>
              <w:left w:w="15" w:type="dxa"/>
              <w:bottom w:w="15" w:type="dxa"/>
              <w:right w:w="15" w:type="dxa"/>
            </w:tcMar>
            <w:vAlign w:val="center"/>
            <w:hideMark/>
          </w:tcPr>
          <w:p w14:paraId="7B651292"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 xml:space="preserve">Same baseline (Thomas </w:t>
            </w:r>
            <w:r w:rsidRPr="00A7058C">
              <w:rPr>
                <w:rFonts w:ascii="Arial" w:eastAsia="Yu Mincho" w:hAnsi="Arial" w:cs="Arial"/>
                <w:i/>
                <w:kern w:val="0"/>
                <w14:ligatures w14:val="none"/>
              </w:rPr>
              <w:t>et al.</w:t>
            </w:r>
            <w:r w:rsidRPr="00C95E3D">
              <w:rPr>
                <w:rFonts w:ascii="Arial" w:eastAsia="Yu Mincho" w:hAnsi="Arial" w:cs="Arial"/>
                <w:kern w:val="0"/>
                <w14:ligatures w14:val="none"/>
              </w:rPr>
              <w:t>, 2016)</w:t>
            </w:r>
          </w:p>
        </w:tc>
        <w:tc>
          <w:tcPr>
            <w:tcW w:w="0" w:type="auto"/>
            <w:tcMar>
              <w:top w:w="15" w:type="dxa"/>
              <w:left w:w="15" w:type="dxa"/>
              <w:bottom w:w="15" w:type="dxa"/>
              <w:right w:w="15" w:type="dxa"/>
            </w:tcMar>
            <w:vAlign w:val="center"/>
            <w:hideMark/>
          </w:tcPr>
          <w:p w14:paraId="6F865356"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Slightly low</w:t>
            </w:r>
          </w:p>
        </w:tc>
        <w:tc>
          <w:tcPr>
            <w:tcW w:w="0" w:type="auto"/>
            <w:tcMar>
              <w:top w:w="15" w:type="dxa"/>
              <w:left w:w="15" w:type="dxa"/>
              <w:bottom w:w="15" w:type="dxa"/>
              <w:right w:w="15" w:type="dxa"/>
            </w:tcMar>
            <w:vAlign w:val="center"/>
            <w:hideMark/>
          </w:tcPr>
          <w:p w14:paraId="0F380474"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Risk increases with low EA</w:t>
            </w:r>
          </w:p>
        </w:tc>
      </w:tr>
      <w:tr w:rsidR="00C95E3D" w:rsidRPr="00C95E3D" w14:paraId="66EB9E90" w14:textId="77777777">
        <w:trPr>
          <w:tblCellSpacing w:w="15" w:type="dxa"/>
        </w:trPr>
        <w:tc>
          <w:tcPr>
            <w:tcW w:w="0" w:type="auto"/>
            <w:tcMar>
              <w:top w:w="15" w:type="dxa"/>
              <w:left w:w="15" w:type="dxa"/>
              <w:bottom w:w="15" w:type="dxa"/>
              <w:right w:w="15" w:type="dxa"/>
            </w:tcMar>
            <w:vAlign w:val="center"/>
            <w:hideMark/>
          </w:tcPr>
          <w:p w14:paraId="379AB300"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Calcium (mg)</w:t>
            </w:r>
          </w:p>
        </w:tc>
        <w:tc>
          <w:tcPr>
            <w:tcW w:w="0" w:type="auto"/>
            <w:tcMar>
              <w:top w:w="15" w:type="dxa"/>
              <w:left w:w="15" w:type="dxa"/>
              <w:bottom w:w="15" w:type="dxa"/>
              <w:right w:w="15" w:type="dxa"/>
            </w:tcMar>
            <w:vAlign w:val="center"/>
            <w:hideMark/>
          </w:tcPr>
          <w:p w14:paraId="44D1D9A5"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729 ± 338</w:t>
            </w:r>
          </w:p>
        </w:tc>
        <w:tc>
          <w:tcPr>
            <w:tcW w:w="0" w:type="auto"/>
            <w:tcMar>
              <w:top w:w="15" w:type="dxa"/>
              <w:left w:w="15" w:type="dxa"/>
              <w:bottom w:w="15" w:type="dxa"/>
              <w:right w:w="15" w:type="dxa"/>
            </w:tcMar>
            <w:vAlign w:val="center"/>
            <w:hideMark/>
          </w:tcPr>
          <w:p w14:paraId="41977631"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 xml:space="preserve">700 mg/day </w:t>
            </w:r>
            <w:r w:rsidRPr="00C95E3D">
              <w:rPr>
                <w:rFonts w:ascii="Arial" w:eastAsia="Yu Mincho" w:hAnsi="Arial" w:cs="Arial"/>
                <w:kern w:val="0"/>
                <w14:ligatures w14:val="none"/>
              </w:rPr>
              <w:lastRenderedPageBreak/>
              <w:t>(DoH, 1991)</w:t>
            </w:r>
          </w:p>
        </w:tc>
        <w:tc>
          <w:tcPr>
            <w:tcW w:w="0" w:type="auto"/>
            <w:tcMar>
              <w:top w:w="15" w:type="dxa"/>
              <w:left w:w="15" w:type="dxa"/>
              <w:bottom w:w="15" w:type="dxa"/>
              <w:right w:w="15" w:type="dxa"/>
            </w:tcMar>
            <w:vAlign w:val="center"/>
            <w:hideMark/>
          </w:tcPr>
          <w:p w14:paraId="6A9E1B2D"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lastRenderedPageBreak/>
              <w:t>↔ Meets</w:t>
            </w:r>
          </w:p>
        </w:tc>
        <w:tc>
          <w:tcPr>
            <w:tcW w:w="0" w:type="auto"/>
            <w:tcMar>
              <w:top w:w="15" w:type="dxa"/>
              <w:left w:w="15" w:type="dxa"/>
              <w:bottom w:w="15" w:type="dxa"/>
              <w:right w:w="15" w:type="dxa"/>
            </w:tcMar>
            <w:vAlign w:val="center"/>
            <w:hideMark/>
          </w:tcPr>
          <w:p w14:paraId="4E858455"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Same baseline</w:t>
            </w:r>
          </w:p>
        </w:tc>
        <w:tc>
          <w:tcPr>
            <w:tcW w:w="0" w:type="auto"/>
            <w:tcMar>
              <w:top w:w="15" w:type="dxa"/>
              <w:left w:w="15" w:type="dxa"/>
              <w:bottom w:w="15" w:type="dxa"/>
              <w:right w:w="15" w:type="dxa"/>
            </w:tcMar>
            <w:vAlign w:val="center"/>
            <w:hideMark/>
          </w:tcPr>
          <w:p w14:paraId="73329BCC"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Meets</w:t>
            </w:r>
          </w:p>
        </w:tc>
        <w:tc>
          <w:tcPr>
            <w:tcW w:w="0" w:type="auto"/>
            <w:tcMar>
              <w:top w:w="15" w:type="dxa"/>
              <w:left w:w="15" w:type="dxa"/>
              <w:bottom w:w="15" w:type="dxa"/>
              <w:right w:w="15" w:type="dxa"/>
            </w:tcMar>
            <w:vAlign w:val="center"/>
            <w:hideMark/>
          </w:tcPr>
          <w:p w14:paraId="778FE907"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Adequate</w:t>
            </w:r>
          </w:p>
        </w:tc>
      </w:tr>
      <w:tr w:rsidR="00C95E3D" w:rsidRPr="00C95E3D" w14:paraId="719C1C1C" w14:textId="77777777">
        <w:trPr>
          <w:tblCellSpacing w:w="15" w:type="dxa"/>
        </w:trPr>
        <w:tc>
          <w:tcPr>
            <w:tcW w:w="0" w:type="auto"/>
            <w:tcMar>
              <w:top w:w="15" w:type="dxa"/>
              <w:left w:w="15" w:type="dxa"/>
              <w:bottom w:w="15" w:type="dxa"/>
              <w:right w:w="15" w:type="dxa"/>
            </w:tcMar>
            <w:vAlign w:val="center"/>
            <w:hideMark/>
          </w:tcPr>
          <w:p w14:paraId="782EDF3D"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Vitamin D (µg)</w:t>
            </w:r>
          </w:p>
        </w:tc>
        <w:tc>
          <w:tcPr>
            <w:tcW w:w="0" w:type="auto"/>
            <w:tcMar>
              <w:top w:w="15" w:type="dxa"/>
              <w:left w:w="15" w:type="dxa"/>
              <w:bottom w:w="15" w:type="dxa"/>
              <w:right w:w="15" w:type="dxa"/>
            </w:tcMar>
            <w:vAlign w:val="center"/>
            <w:hideMark/>
          </w:tcPr>
          <w:p w14:paraId="39371AB3"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4.98 ± 3.53</w:t>
            </w:r>
          </w:p>
        </w:tc>
        <w:tc>
          <w:tcPr>
            <w:tcW w:w="0" w:type="auto"/>
            <w:tcMar>
              <w:top w:w="15" w:type="dxa"/>
              <w:left w:w="15" w:type="dxa"/>
              <w:bottom w:w="15" w:type="dxa"/>
              <w:right w:w="15" w:type="dxa"/>
            </w:tcMar>
            <w:vAlign w:val="center"/>
            <w:hideMark/>
          </w:tcPr>
          <w:p w14:paraId="12082277"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10 µg/day (SACN, 2016)</w:t>
            </w:r>
          </w:p>
        </w:tc>
        <w:tc>
          <w:tcPr>
            <w:tcW w:w="0" w:type="auto"/>
            <w:tcMar>
              <w:top w:w="15" w:type="dxa"/>
              <w:left w:w="15" w:type="dxa"/>
              <w:bottom w:w="15" w:type="dxa"/>
              <w:right w:w="15" w:type="dxa"/>
            </w:tcMar>
            <w:vAlign w:val="center"/>
            <w:hideMark/>
          </w:tcPr>
          <w:p w14:paraId="5D1EF61C"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 Below</w:t>
            </w:r>
          </w:p>
        </w:tc>
        <w:tc>
          <w:tcPr>
            <w:tcW w:w="0" w:type="auto"/>
            <w:tcMar>
              <w:top w:w="15" w:type="dxa"/>
              <w:left w:w="15" w:type="dxa"/>
              <w:bottom w:w="15" w:type="dxa"/>
              <w:right w:w="15" w:type="dxa"/>
            </w:tcMar>
            <w:vAlign w:val="center"/>
            <w:hideMark/>
          </w:tcPr>
          <w:p w14:paraId="07D489EF"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Same baseline; monitor in winter</w:t>
            </w:r>
          </w:p>
        </w:tc>
        <w:tc>
          <w:tcPr>
            <w:tcW w:w="0" w:type="auto"/>
            <w:tcMar>
              <w:top w:w="15" w:type="dxa"/>
              <w:left w:w="15" w:type="dxa"/>
              <w:bottom w:w="15" w:type="dxa"/>
              <w:right w:w="15" w:type="dxa"/>
            </w:tcMar>
            <w:vAlign w:val="center"/>
            <w:hideMark/>
          </w:tcPr>
          <w:p w14:paraId="7FBC4FAA"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Below</w:t>
            </w:r>
          </w:p>
        </w:tc>
        <w:tc>
          <w:tcPr>
            <w:tcW w:w="0" w:type="auto"/>
            <w:tcMar>
              <w:top w:w="15" w:type="dxa"/>
              <w:left w:w="15" w:type="dxa"/>
              <w:bottom w:w="15" w:type="dxa"/>
              <w:right w:w="15" w:type="dxa"/>
            </w:tcMar>
            <w:vAlign w:val="center"/>
            <w:hideMark/>
          </w:tcPr>
          <w:p w14:paraId="764935A6"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Common insufficiency in UK</w:t>
            </w:r>
          </w:p>
        </w:tc>
      </w:tr>
      <w:tr w:rsidR="00C95E3D" w:rsidRPr="00C95E3D" w14:paraId="6DB752D0" w14:textId="77777777">
        <w:trPr>
          <w:tblCellSpacing w:w="15" w:type="dxa"/>
        </w:trPr>
        <w:tc>
          <w:tcPr>
            <w:tcW w:w="0" w:type="auto"/>
            <w:tcMar>
              <w:top w:w="15" w:type="dxa"/>
              <w:left w:w="15" w:type="dxa"/>
              <w:bottom w:w="15" w:type="dxa"/>
              <w:right w:w="15" w:type="dxa"/>
            </w:tcMar>
            <w:vAlign w:val="center"/>
            <w:hideMark/>
          </w:tcPr>
          <w:p w14:paraId="0CEF534A"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Vitamin C (mg)</w:t>
            </w:r>
          </w:p>
        </w:tc>
        <w:tc>
          <w:tcPr>
            <w:tcW w:w="0" w:type="auto"/>
            <w:tcMar>
              <w:top w:w="15" w:type="dxa"/>
              <w:left w:w="15" w:type="dxa"/>
              <w:bottom w:w="15" w:type="dxa"/>
              <w:right w:w="15" w:type="dxa"/>
            </w:tcMar>
            <w:vAlign w:val="center"/>
            <w:hideMark/>
          </w:tcPr>
          <w:p w14:paraId="545AEDC3"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103.8 ± 57.3</w:t>
            </w:r>
          </w:p>
        </w:tc>
        <w:tc>
          <w:tcPr>
            <w:tcW w:w="0" w:type="auto"/>
            <w:tcMar>
              <w:top w:w="15" w:type="dxa"/>
              <w:left w:w="15" w:type="dxa"/>
              <w:bottom w:w="15" w:type="dxa"/>
              <w:right w:w="15" w:type="dxa"/>
            </w:tcMar>
            <w:vAlign w:val="center"/>
            <w:hideMark/>
          </w:tcPr>
          <w:p w14:paraId="3F602E4D"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40 mg/day (DoH, 1991)</w:t>
            </w:r>
          </w:p>
        </w:tc>
        <w:tc>
          <w:tcPr>
            <w:tcW w:w="0" w:type="auto"/>
            <w:tcMar>
              <w:top w:w="15" w:type="dxa"/>
              <w:left w:w="15" w:type="dxa"/>
              <w:bottom w:w="15" w:type="dxa"/>
              <w:right w:w="15" w:type="dxa"/>
            </w:tcMar>
            <w:vAlign w:val="center"/>
            <w:hideMark/>
          </w:tcPr>
          <w:p w14:paraId="67DD1F5B"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 Above</w:t>
            </w:r>
          </w:p>
        </w:tc>
        <w:tc>
          <w:tcPr>
            <w:tcW w:w="0" w:type="auto"/>
            <w:tcMar>
              <w:top w:w="15" w:type="dxa"/>
              <w:left w:w="15" w:type="dxa"/>
              <w:bottom w:w="15" w:type="dxa"/>
              <w:right w:w="15" w:type="dxa"/>
            </w:tcMar>
            <w:vAlign w:val="center"/>
            <w:hideMark/>
          </w:tcPr>
          <w:p w14:paraId="2908C8AA"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Same baseline</w:t>
            </w:r>
          </w:p>
        </w:tc>
        <w:tc>
          <w:tcPr>
            <w:tcW w:w="0" w:type="auto"/>
            <w:tcMar>
              <w:top w:w="15" w:type="dxa"/>
              <w:left w:w="15" w:type="dxa"/>
              <w:bottom w:w="15" w:type="dxa"/>
              <w:right w:w="15" w:type="dxa"/>
            </w:tcMar>
            <w:vAlign w:val="center"/>
            <w:hideMark/>
          </w:tcPr>
          <w:p w14:paraId="5106FD18"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Adequate</w:t>
            </w:r>
          </w:p>
        </w:tc>
        <w:tc>
          <w:tcPr>
            <w:tcW w:w="0" w:type="auto"/>
            <w:tcMar>
              <w:top w:w="15" w:type="dxa"/>
              <w:left w:w="15" w:type="dxa"/>
              <w:bottom w:w="15" w:type="dxa"/>
              <w:right w:w="15" w:type="dxa"/>
            </w:tcMar>
            <w:vAlign w:val="center"/>
            <w:hideMark/>
          </w:tcPr>
          <w:p w14:paraId="14286BAC"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Above RNI but not excessive</w:t>
            </w:r>
          </w:p>
        </w:tc>
      </w:tr>
      <w:tr w:rsidR="00C95E3D" w:rsidRPr="00C95E3D" w14:paraId="0EA02403" w14:textId="77777777">
        <w:trPr>
          <w:tblCellSpacing w:w="15" w:type="dxa"/>
        </w:trPr>
        <w:tc>
          <w:tcPr>
            <w:tcW w:w="0" w:type="auto"/>
            <w:tcMar>
              <w:top w:w="15" w:type="dxa"/>
              <w:left w:w="15" w:type="dxa"/>
              <w:bottom w:w="15" w:type="dxa"/>
              <w:right w:w="15" w:type="dxa"/>
            </w:tcMar>
            <w:vAlign w:val="center"/>
            <w:hideMark/>
          </w:tcPr>
          <w:p w14:paraId="2CF0F1A5"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Fluid (ml)</w:t>
            </w:r>
          </w:p>
        </w:tc>
        <w:tc>
          <w:tcPr>
            <w:tcW w:w="0" w:type="auto"/>
            <w:tcMar>
              <w:top w:w="15" w:type="dxa"/>
              <w:left w:w="15" w:type="dxa"/>
              <w:bottom w:w="15" w:type="dxa"/>
              <w:right w:w="15" w:type="dxa"/>
            </w:tcMar>
            <w:vAlign w:val="center"/>
            <w:hideMark/>
          </w:tcPr>
          <w:p w14:paraId="327318FD"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1618 ± 547</w:t>
            </w:r>
          </w:p>
        </w:tc>
        <w:tc>
          <w:tcPr>
            <w:tcW w:w="0" w:type="auto"/>
            <w:tcMar>
              <w:top w:w="15" w:type="dxa"/>
              <w:left w:w="15" w:type="dxa"/>
              <w:bottom w:w="15" w:type="dxa"/>
              <w:right w:w="15" w:type="dxa"/>
            </w:tcMar>
            <w:vAlign w:val="center"/>
            <w:hideMark/>
          </w:tcPr>
          <w:p w14:paraId="049277C8"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~2500 ml/day total water (EFSA, 2010)</w:t>
            </w:r>
          </w:p>
        </w:tc>
        <w:tc>
          <w:tcPr>
            <w:tcW w:w="0" w:type="auto"/>
            <w:tcMar>
              <w:top w:w="15" w:type="dxa"/>
              <w:left w:w="15" w:type="dxa"/>
              <w:bottom w:w="15" w:type="dxa"/>
              <w:right w:w="15" w:type="dxa"/>
            </w:tcMar>
            <w:vAlign w:val="center"/>
            <w:hideMark/>
          </w:tcPr>
          <w:p w14:paraId="0209ED48"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 Below</w:t>
            </w:r>
          </w:p>
        </w:tc>
        <w:tc>
          <w:tcPr>
            <w:tcW w:w="0" w:type="auto"/>
            <w:tcMar>
              <w:top w:w="15" w:type="dxa"/>
              <w:left w:w="15" w:type="dxa"/>
              <w:bottom w:w="15" w:type="dxa"/>
              <w:right w:w="15" w:type="dxa"/>
            </w:tcMar>
            <w:vAlign w:val="center"/>
            <w:hideMark/>
          </w:tcPr>
          <w:p w14:paraId="51E08A6B"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 xml:space="preserve">Individual needs (Burke </w:t>
            </w:r>
            <w:r w:rsidRPr="00A7058C">
              <w:rPr>
                <w:rFonts w:ascii="Arial" w:eastAsia="Yu Mincho" w:hAnsi="Arial" w:cs="Arial"/>
                <w:i/>
                <w:kern w:val="0"/>
                <w14:ligatures w14:val="none"/>
              </w:rPr>
              <w:t>et al.</w:t>
            </w:r>
            <w:r w:rsidRPr="00C95E3D">
              <w:rPr>
                <w:rFonts w:ascii="Arial" w:eastAsia="Yu Mincho" w:hAnsi="Arial" w:cs="Arial"/>
                <w:kern w:val="0"/>
                <w14:ligatures w14:val="none"/>
              </w:rPr>
              <w:t>, 2021) Likely low.</w:t>
            </w:r>
          </w:p>
        </w:tc>
        <w:tc>
          <w:tcPr>
            <w:tcW w:w="0" w:type="auto"/>
            <w:tcMar>
              <w:top w:w="15" w:type="dxa"/>
              <w:left w:w="15" w:type="dxa"/>
              <w:bottom w:w="15" w:type="dxa"/>
              <w:right w:w="15" w:type="dxa"/>
            </w:tcMar>
            <w:vAlign w:val="center"/>
            <w:hideMark/>
          </w:tcPr>
          <w:p w14:paraId="2E2B0B9B" w14:textId="77777777" w:rsidR="00C95E3D" w:rsidRPr="00C95E3D" w:rsidRDefault="00C95E3D" w:rsidP="00096CAD">
            <w:pPr>
              <w:spacing w:line="360" w:lineRule="auto"/>
              <w:rPr>
                <w:rFonts w:ascii="Arial" w:eastAsia="Yu Mincho" w:hAnsi="Arial" w:cs="Arial"/>
                <w:kern w:val="0"/>
                <w14:ligatures w14:val="none"/>
              </w:rPr>
            </w:pPr>
          </w:p>
        </w:tc>
        <w:tc>
          <w:tcPr>
            <w:tcW w:w="0" w:type="auto"/>
            <w:tcMar>
              <w:top w:w="15" w:type="dxa"/>
              <w:left w:w="15" w:type="dxa"/>
              <w:bottom w:w="15" w:type="dxa"/>
              <w:right w:w="15" w:type="dxa"/>
            </w:tcMar>
            <w:vAlign w:val="center"/>
            <w:hideMark/>
          </w:tcPr>
          <w:p w14:paraId="446916E5"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Does not include sweat losses</w:t>
            </w:r>
          </w:p>
        </w:tc>
      </w:tr>
      <w:tr w:rsidR="00C95E3D" w:rsidRPr="00C95E3D" w14:paraId="257EE53E" w14:textId="77777777">
        <w:trPr>
          <w:tblCellSpacing w:w="15" w:type="dxa"/>
        </w:trPr>
        <w:tc>
          <w:tcPr>
            <w:tcW w:w="0" w:type="auto"/>
            <w:tcMar>
              <w:top w:w="15" w:type="dxa"/>
              <w:left w:w="15" w:type="dxa"/>
              <w:bottom w:w="15" w:type="dxa"/>
              <w:right w:w="15" w:type="dxa"/>
            </w:tcMar>
            <w:vAlign w:val="center"/>
            <w:hideMark/>
          </w:tcPr>
          <w:p w14:paraId="3092523F"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Iron (mg)</w:t>
            </w:r>
          </w:p>
        </w:tc>
        <w:tc>
          <w:tcPr>
            <w:tcW w:w="0" w:type="auto"/>
            <w:tcMar>
              <w:top w:w="15" w:type="dxa"/>
              <w:left w:w="15" w:type="dxa"/>
              <w:bottom w:w="15" w:type="dxa"/>
              <w:right w:w="15" w:type="dxa"/>
            </w:tcMar>
            <w:vAlign w:val="center"/>
            <w:hideMark/>
          </w:tcPr>
          <w:p w14:paraId="7869F57A"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9.32 ± 7.85</w:t>
            </w:r>
          </w:p>
        </w:tc>
        <w:tc>
          <w:tcPr>
            <w:tcW w:w="0" w:type="auto"/>
            <w:tcMar>
              <w:top w:w="15" w:type="dxa"/>
              <w:left w:w="15" w:type="dxa"/>
              <w:bottom w:w="15" w:type="dxa"/>
              <w:right w:w="15" w:type="dxa"/>
            </w:tcMar>
            <w:vAlign w:val="center"/>
            <w:hideMark/>
          </w:tcPr>
          <w:p w14:paraId="13FB4B2D"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8.7 mg/day (DoH, 1991)</w:t>
            </w:r>
          </w:p>
        </w:tc>
        <w:tc>
          <w:tcPr>
            <w:tcW w:w="0" w:type="auto"/>
            <w:tcMar>
              <w:top w:w="15" w:type="dxa"/>
              <w:left w:w="15" w:type="dxa"/>
              <w:bottom w:w="15" w:type="dxa"/>
              <w:right w:w="15" w:type="dxa"/>
            </w:tcMar>
            <w:vAlign w:val="center"/>
            <w:hideMark/>
          </w:tcPr>
          <w:p w14:paraId="2A7FA895"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 Meets</w:t>
            </w:r>
          </w:p>
        </w:tc>
        <w:tc>
          <w:tcPr>
            <w:tcW w:w="0" w:type="auto"/>
            <w:tcMar>
              <w:top w:w="15" w:type="dxa"/>
              <w:left w:w="15" w:type="dxa"/>
              <w:bottom w:w="15" w:type="dxa"/>
              <w:right w:w="15" w:type="dxa"/>
            </w:tcMar>
            <w:vAlign w:val="center"/>
            <w:hideMark/>
          </w:tcPr>
          <w:p w14:paraId="7E732E8C"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 xml:space="preserve">Monitor ferritin in endurance (Thomas </w:t>
            </w:r>
            <w:r w:rsidRPr="00A7058C">
              <w:rPr>
                <w:rFonts w:ascii="Arial" w:eastAsia="Yu Mincho" w:hAnsi="Arial" w:cs="Arial"/>
                <w:i/>
                <w:kern w:val="0"/>
                <w14:ligatures w14:val="none"/>
              </w:rPr>
              <w:t>et al.</w:t>
            </w:r>
            <w:r w:rsidRPr="00C95E3D">
              <w:rPr>
                <w:rFonts w:ascii="Arial" w:eastAsia="Yu Mincho" w:hAnsi="Arial" w:cs="Arial"/>
                <w:kern w:val="0"/>
                <w14:ligatures w14:val="none"/>
              </w:rPr>
              <w:t>, 2016)</w:t>
            </w:r>
          </w:p>
        </w:tc>
        <w:tc>
          <w:tcPr>
            <w:tcW w:w="0" w:type="auto"/>
            <w:tcMar>
              <w:top w:w="15" w:type="dxa"/>
              <w:left w:w="15" w:type="dxa"/>
              <w:bottom w:w="15" w:type="dxa"/>
              <w:right w:w="15" w:type="dxa"/>
            </w:tcMar>
            <w:vAlign w:val="center"/>
            <w:hideMark/>
          </w:tcPr>
          <w:p w14:paraId="23CDA992"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Meets</w:t>
            </w:r>
          </w:p>
        </w:tc>
        <w:tc>
          <w:tcPr>
            <w:tcW w:w="0" w:type="auto"/>
            <w:tcMar>
              <w:top w:w="15" w:type="dxa"/>
              <w:left w:w="15" w:type="dxa"/>
              <w:bottom w:w="15" w:type="dxa"/>
              <w:right w:w="15" w:type="dxa"/>
            </w:tcMar>
            <w:vAlign w:val="center"/>
            <w:hideMark/>
          </w:tcPr>
          <w:p w14:paraId="23EF117E"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High SD indicates variability</w:t>
            </w:r>
          </w:p>
        </w:tc>
      </w:tr>
      <w:tr w:rsidR="00C95E3D" w:rsidRPr="00C95E3D" w14:paraId="30602243" w14:textId="77777777">
        <w:trPr>
          <w:tblCellSpacing w:w="15" w:type="dxa"/>
        </w:trPr>
        <w:tc>
          <w:tcPr>
            <w:tcW w:w="0" w:type="auto"/>
            <w:tcMar>
              <w:top w:w="15" w:type="dxa"/>
              <w:left w:w="15" w:type="dxa"/>
              <w:bottom w:w="15" w:type="dxa"/>
              <w:right w:w="15" w:type="dxa"/>
            </w:tcMar>
            <w:vAlign w:val="center"/>
            <w:hideMark/>
          </w:tcPr>
          <w:p w14:paraId="102D4688"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Vitamin B12 (µg)</w:t>
            </w:r>
          </w:p>
        </w:tc>
        <w:tc>
          <w:tcPr>
            <w:tcW w:w="0" w:type="auto"/>
            <w:tcMar>
              <w:top w:w="15" w:type="dxa"/>
              <w:left w:w="15" w:type="dxa"/>
              <w:bottom w:w="15" w:type="dxa"/>
              <w:right w:w="15" w:type="dxa"/>
            </w:tcMar>
            <w:vAlign w:val="center"/>
            <w:hideMark/>
          </w:tcPr>
          <w:p w14:paraId="33F77C11"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7.16 ± 3.67</w:t>
            </w:r>
          </w:p>
        </w:tc>
        <w:tc>
          <w:tcPr>
            <w:tcW w:w="0" w:type="auto"/>
            <w:tcMar>
              <w:top w:w="15" w:type="dxa"/>
              <w:left w:w="15" w:type="dxa"/>
              <w:bottom w:w="15" w:type="dxa"/>
              <w:right w:w="15" w:type="dxa"/>
            </w:tcMar>
            <w:vAlign w:val="center"/>
            <w:hideMark/>
          </w:tcPr>
          <w:p w14:paraId="385F558B"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1.5 µg/day (DoH, 1991)</w:t>
            </w:r>
          </w:p>
        </w:tc>
        <w:tc>
          <w:tcPr>
            <w:tcW w:w="0" w:type="auto"/>
            <w:tcMar>
              <w:top w:w="15" w:type="dxa"/>
              <w:left w:w="15" w:type="dxa"/>
              <w:bottom w:w="15" w:type="dxa"/>
              <w:right w:w="15" w:type="dxa"/>
            </w:tcMar>
            <w:vAlign w:val="center"/>
            <w:hideMark/>
          </w:tcPr>
          <w:p w14:paraId="3C618645"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 Above</w:t>
            </w:r>
          </w:p>
        </w:tc>
        <w:tc>
          <w:tcPr>
            <w:tcW w:w="0" w:type="auto"/>
            <w:tcMar>
              <w:top w:w="15" w:type="dxa"/>
              <w:left w:w="15" w:type="dxa"/>
              <w:bottom w:w="15" w:type="dxa"/>
              <w:right w:w="15" w:type="dxa"/>
            </w:tcMar>
            <w:vAlign w:val="center"/>
            <w:hideMark/>
          </w:tcPr>
          <w:p w14:paraId="0468D791"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Same baseline</w:t>
            </w:r>
          </w:p>
        </w:tc>
        <w:tc>
          <w:tcPr>
            <w:tcW w:w="0" w:type="auto"/>
            <w:tcMar>
              <w:top w:w="15" w:type="dxa"/>
              <w:left w:w="15" w:type="dxa"/>
              <w:bottom w:w="15" w:type="dxa"/>
              <w:right w:w="15" w:type="dxa"/>
            </w:tcMar>
            <w:vAlign w:val="center"/>
            <w:hideMark/>
          </w:tcPr>
          <w:p w14:paraId="452288A1"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Adequate</w:t>
            </w:r>
          </w:p>
        </w:tc>
        <w:tc>
          <w:tcPr>
            <w:tcW w:w="0" w:type="auto"/>
            <w:tcMar>
              <w:top w:w="15" w:type="dxa"/>
              <w:left w:w="15" w:type="dxa"/>
              <w:bottom w:w="15" w:type="dxa"/>
              <w:right w:w="15" w:type="dxa"/>
            </w:tcMar>
            <w:vAlign w:val="center"/>
            <w:hideMark/>
          </w:tcPr>
          <w:p w14:paraId="58E04FBE"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Well above RNI</w:t>
            </w:r>
          </w:p>
        </w:tc>
      </w:tr>
      <w:tr w:rsidR="00C95E3D" w:rsidRPr="00C95E3D" w14:paraId="2C076B8D" w14:textId="77777777">
        <w:trPr>
          <w:tblCellSpacing w:w="15" w:type="dxa"/>
        </w:trPr>
        <w:tc>
          <w:tcPr>
            <w:tcW w:w="0" w:type="auto"/>
            <w:tcMar>
              <w:top w:w="15" w:type="dxa"/>
              <w:left w:w="15" w:type="dxa"/>
              <w:bottom w:w="15" w:type="dxa"/>
              <w:right w:w="15" w:type="dxa"/>
            </w:tcMar>
            <w:vAlign w:val="center"/>
            <w:hideMark/>
          </w:tcPr>
          <w:p w14:paraId="730F2FF1"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Zinc (mg)</w:t>
            </w:r>
          </w:p>
        </w:tc>
        <w:tc>
          <w:tcPr>
            <w:tcW w:w="0" w:type="auto"/>
            <w:tcMar>
              <w:top w:w="15" w:type="dxa"/>
              <w:left w:w="15" w:type="dxa"/>
              <w:bottom w:w="15" w:type="dxa"/>
              <w:right w:w="15" w:type="dxa"/>
            </w:tcMar>
            <w:vAlign w:val="center"/>
            <w:hideMark/>
          </w:tcPr>
          <w:p w14:paraId="28AF14F5"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6.57 ± 3.75</w:t>
            </w:r>
          </w:p>
        </w:tc>
        <w:tc>
          <w:tcPr>
            <w:tcW w:w="0" w:type="auto"/>
            <w:tcMar>
              <w:top w:w="15" w:type="dxa"/>
              <w:left w:w="15" w:type="dxa"/>
              <w:bottom w:w="15" w:type="dxa"/>
              <w:right w:w="15" w:type="dxa"/>
            </w:tcMar>
            <w:vAlign w:val="center"/>
            <w:hideMark/>
          </w:tcPr>
          <w:p w14:paraId="5FC3BDC3"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9.5 mg/day (DoH, 1991)</w:t>
            </w:r>
          </w:p>
        </w:tc>
        <w:tc>
          <w:tcPr>
            <w:tcW w:w="0" w:type="auto"/>
            <w:tcMar>
              <w:top w:w="15" w:type="dxa"/>
              <w:left w:w="15" w:type="dxa"/>
              <w:bottom w:w="15" w:type="dxa"/>
              <w:right w:w="15" w:type="dxa"/>
            </w:tcMar>
            <w:vAlign w:val="center"/>
            <w:hideMark/>
          </w:tcPr>
          <w:p w14:paraId="7353DBF8"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 Below</w:t>
            </w:r>
          </w:p>
        </w:tc>
        <w:tc>
          <w:tcPr>
            <w:tcW w:w="0" w:type="auto"/>
            <w:tcMar>
              <w:top w:w="15" w:type="dxa"/>
              <w:left w:w="15" w:type="dxa"/>
              <w:bottom w:w="15" w:type="dxa"/>
              <w:right w:w="15" w:type="dxa"/>
            </w:tcMar>
            <w:vAlign w:val="center"/>
            <w:hideMark/>
          </w:tcPr>
          <w:p w14:paraId="732ABC24"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Same baseline</w:t>
            </w:r>
          </w:p>
        </w:tc>
        <w:tc>
          <w:tcPr>
            <w:tcW w:w="0" w:type="auto"/>
            <w:tcMar>
              <w:top w:w="15" w:type="dxa"/>
              <w:left w:w="15" w:type="dxa"/>
              <w:bottom w:w="15" w:type="dxa"/>
              <w:right w:w="15" w:type="dxa"/>
            </w:tcMar>
            <w:vAlign w:val="center"/>
            <w:hideMark/>
          </w:tcPr>
          <w:p w14:paraId="4980A571"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Slightly low</w:t>
            </w:r>
          </w:p>
        </w:tc>
        <w:tc>
          <w:tcPr>
            <w:tcW w:w="0" w:type="auto"/>
            <w:tcMar>
              <w:top w:w="15" w:type="dxa"/>
              <w:left w:w="15" w:type="dxa"/>
              <w:bottom w:w="15" w:type="dxa"/>
              <w:right w:w="15" w:type="dxa"/>
            </w:tcMar>
            <w:vAlign w:val="center"/>
            <w:hideMark/>
          </w:tcPr>
          <w:p w14:paraId="6757BD56"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Risk rises with low intake</w:t>
            </w:r>
          </w:p>
        </w:tc>
      </w:tr>
    </w:tbl>
    <w:p w14:paraId="33B5DBDC" w14:textId="77777777" w:rsidR="00C95E3D" w:rsidRPr="00C95E3D" w:rsidRDefault="00C95E3D" w:rsidP="00C96086">
      <w:pPr>
        <w:spacing w:line="360" w:lineRule="auto"/>
        <w:rPr>
          <w:rFonts w:ascii="Arial" w:eastAsia="Yu Mincho" w:hAnsi="Arial" w:cs="Arial"/>
          <w:lang w:val="en-GB"/>
        </w:rPr>
      </w:pPr>
      <w:r w:rsidRPr="00C95E3D">
        <w:rPr>
          <w:rFonts w:ascii="Arial" w:eastAsia="Yu Mincho" w:hAnsi="Arial" w:cs="Arial"/>
          <w:b/>
          <w:bCs/>
          <w:lang w:val="en-GB"/>
        </w:rPr>
        <w:t>Table Notes</w:t>
      </w:r>
      <w:r w:rsidRPr="00C95E3D">
        <w:rPr>
          <w:rFonts w:ascii="Arial" w:eastAsia="Yu Mincho" w:hAnsi="Arial" w:cs="Arial"/>
          <w:lang w:val="en-GB"/>
        </w:rPr>
        <w:t>:</w:t>
      </w:r>
    </w:p>
    <w:p w14:paraId="18E7EC29" w14:textId="77777777" w:rsidR="0057494D" w:rsidRDefault="00C95E3D" w:rsidP="00C96086">
      <w:pPr>
        <w:spacing w:line="360" w:lineRule="auto"/>
        <w:rPr>
          <w:rFonts w:ascii="Arial" w:eastAsia="Yu Mincho" w:hAnsi="Arial" w:cs="Arial"/>
          <w:lang w:val="en-GB"/>
        </w:rPr>
      </w:pPr>
      <w:r w:rsidRPr="00C95E3D">
        <w:rPr>
          <w:rFonts w:ascii="Arial" w:eastAsia="Yu Mincho" w:hAnsi="Arial" w:cs="Arial"/>
          <w:lang w:val="en-GB"/>
        </w:rPr>
        <w:t xml:space="preserve">UK Dietary Reference Values (DRV) are population-based benchmarks intended to support general health in most adults. Within DRV, the Reference Nutrient Intake (RNI) </w:t>
      </w:r>
      <w:r w:rsidRPr="00C95E3D">
        <w:rPr>
          <w:rFonts w:ascii="Arial" w:eastAsia="Yu Mincho" w:hAnsi="Arial" w:cs="Arial"/>
          <w:lang w:val="en-GB"/>
        </w:rPr>
        <w:lastRenderedPageBreak/>
        <w:t xml:space="preserve">represents an intake level expected to meet the needs of 97.5% of healthy individuals for a given nutrient (DoH, 1991). </w:t>
      </w:r>
    </w:p>
    <w:p w14:paraId="62C06661" w14:textId="47837337" w:rsidR="00C95E3D" w:rsidRPr="00C95E3D" w:rsidRDefault="00C95E3D" w:rsidP="00C96086">
      <w:pPr>
        <w:spacing w:line="360" w:lineRule="auto"/>
        <w:rPr>
          <w:rFonts w:ascii="Arial" w:eastAsia="Yu Mincho" w:hAnsi="Arial" w:cs="Arial"/>
          <w:lang w:val="en-GB"/>
        </w:rPr>
      </w:pPr>
      <w:r w:rsidRPr="00C95E3D">
        <w:rPr>
          <w:rFonts w:ascii="Arial" w:eastAsia="Yu Mincho" w:hAnsi="Arial" w:cs="Arial"/>
          <w:lang w:val="en-GB"/>
        </w:rPr>
        <w:t xml:space="preserve"> </w:t>
      </w:r>
    </w:p>
    <w:p w14:paraId="0A2480D1" w14:textId="4E8607EC" w:rsidR="00C95E3D" w:rsidRPr="00C95E3D" w:rsidRDefault="00C95E3D" w:rsidP="00C96086">
      <w:pPr>
        <w:spacing w:line="360" w:lineRule="auto"/>
        <w:rPr>
          <w:rFonts w:ascii="Aptos" w:eastAsia="Yu Mincho" w:hAnsi="Aptos" w:cs="Arial"/>
          <w:kern w:val="0"/>
          <w14:ligatures w14:val="none"/>
        </w:rPr>
      </w:pPr>
      <w:r w:rsidRPr="00C95E3D">
        <w:rPr>
          <w:rFonts w:ascii="Arial" w:eastAsia="Yu Mincho" w:hAnsi="Arial" w:cs="Arial"/>
          <w:lang w:val="en-GB"/>
        </w:rPr>
        <w:t xml:space="preserve">Table 4.3 classifies cohort mean intakes as below, within or above UK DRV/RNI to indicate likely adequacy for general health. Athlete guidance ranges are included to contextualise intake against performance-focused recommendations (Thomas </w:t>
      </w:r>
      <w:r w:rsidRPr="00A7058C">
        <w:rPr>
          <w:rFonts w:ascii="Arial" w:eastAsia="Yu Mincho" w:hAnsi="Arial" w:cs="Arial"/>
          <w:i/>
          <w:lang w:val="en-GB"/>
        </w:rPr>
        <w:t>et al.</w:t>
      </w:r>
      <w:r w:rsidRPr="00C95E3D">
        <w:rPr>
          <w:rFonts w:ascii="Arial" w:eastAsia="Yu Mincho" w:hAnsi="Arial" w:cs="Arial"/>
          <w:lang w:val="en-GB"/>
        </w:rPr>
        <w:t xml:space="preserve">, 2016; Jäger </w:t>
      </w:r>
      <w:r w:rsidRPr="00A7058C">
        <w:rPr>
          <w:rFonts w:ascii="Arial" w:eastAsia="Yu Mincho" w:hAnsi="Arial" w:cs="Arial"/>
          <w:i/>
          <w:lang w:val="en-GB"/>
        </w:rPr>
        <w:t>et al.</w:t>
      </w:r>
      <w:r w:rsidRPr="00C95E3D">
        <w:rPr>
          <w:rFonts w:ascii="Arial" w:eastAsia="Yu Mincho" w:hAnsi="Arial" w:cs="Arial"/>
          <w:lang w:val="en-GB"/>
        </w:rPr>
        <w:t xml:space="preserve">, 2017; Mountjoy </w:t>
      </w:r>
      <w:r w:rsidRPr="00A7058C">
        <w:rPr>
          <w:rFonts w:ascii="Arial" w:eastAsia="Yu Mincho" w:hAnsi="Arial" w:cs="Arial"/>
          <w:i/>
          <w:lang w:val="en-GB"/>
        </w:rPr>
        <w:t>et al.</w:t>
      </w:r>
      <w:r w:rsidRPr="00C95E3D">
        <w:rPr>
          <w:rFonts w:ascii="Arial" w:eastAsia="Yu Mincho" w:hAnsi="Arial" w:cs="Arial"/>
          <w:lang w:val="en-GB"/>
        </w:rPr>
        <w:t xml:space="preserve">, 2018; Burke </w:t>
      </w:r>
      <w:r w:rsidRPr="00A7058C">
        <w:rPr>
          <w:rFonts w:ascii="Arial" w:eastAsia="Yu Mincho" w:hAnsi="Arial" w:cs="Arial"/>
          <w:i/>
          <w:lang w:val="en-GB"/>
        </w:rPr>
        <w:t>et al.</w:t>
      </w:r>
      <w:r w:rsidRPr="00C95E3D">
        <w:rPr>
          <w:rFonts w:ascii="Arial" w:eastAsia="Yu Mincho" w:hAnsi="Arial" w:cs="Arial"/>
          <w:lang w:val="en-GB"/>
        </w:rPr>
        <w:t xml:space="preserve">, 2021; Gonzalez </w:t>
      </w:r>
      <w:r w:rsidRPr="00A7058C">
        <w:rPr>
          <w:rFonts w:ascii="Arial" w:eastAsia="Yu Mincho" w:hAnsi="Arial" w:cs="Arial"/>
          <w:i/>
          <w:lang w:val="en-GB"/>
        </w:rPr>
        <w:t>et al.</w:t>
      </w:r>
      <w:r w:rsidRPr="00C95E3D">
        <w:rPr>
          <w:rFonts w:ascii="Arial" w:eastAsia="Yu Mincho" w:hAnsi="Arial" w:cs="Arial"/>
          <w:lang w:val="en-GB"/>
        </w:rPr>
        <w:t xml:space="preserve">, 2022; </w:t>
      </w:r>
      <w:r w:rsidR="00D65013">
        <w:rPr>
          <w:rFonts w:ascii="Arial" w:eastAsia="Yu Mincho" w:hAnsi="Arial" w:cs="Arial"/>
          <w:lang w:val="en-GB"/>
        </w:rPr>
        <w:t>2024</w:t>
      </w:r>
      <w:r w:rsidRPr="00C95E3D">
        <w:rPr>
          <w:rFonts w:ascii="Arial" w:eastAsia="Yu Mincho" w:hAnsi="Arial" w:cs="Arial"/>
          <w:lang w:val="en-GB"/>
        </w:rPr>
        <w:t>).</w:t>
      </w:r>
    </w:p>
    <w:p w14:paraId="5950DB92" w14:textId="77777777" w:rsidR="00C95E3D" w:rsidRPr="00C95E3D" w:rsidRDefault="00C95E3D" w:rsidP="00096CAD">
      <w:pPr>
        <w:spacing w:before="100" w:beforeAutospacing="1" w:after="100" w:afterAutospacing="1" w:line="360" w:lineRule="auto"/>
        <w:rPr>
          <w:rFonts w:ascii="Times New Roman" w:eastAsia="Yu Mincho" w:hAnsi="Times New Roman" w:cs="Arial"/>
          <w:kern w:val="0"/>
          <w14:ligatures w14:val="none"/>
        </w:rPr>
      </w:pPr>
    </w:p>
    <w:p w14:paraId="4838C76A" w14:textId="37CCB05A" w:rsidR="00C95E3D" w:rsidRPr="00C95E3D" w:rsidRDefault="00C95E3D" w:rsidP="00F46B45">
      <w:pPr>
        <w:spacing w:line="360" w:lineRule="auto"/>
        <w:rPr>
          <w:rFonts w:ascii="Aptos" w:eastAsia="Yu Mincho" w:hAnsi="Aptos" w:cs="Arial"/>
        </w:rPr>
      </w:pPr>
      <w:r w:rsidRPr="00BB158B">
        <w:rPr>
          <w:b/>
          <w:bCs/>
          <w:lang w:val="en-GB"/>
        </w:rPr>
        <w:t>Table 4.4</w:t>
      </w:r>
      <w:r w:rsidRPr="00D85439">
        <w:rPr>
          <w:lang w:val="en-GB"/>
        </w:rPr>
        <w:t xml:space="preserve"> </w:t>
      </w:r>
      <w:r w:rsidR="0007389A">
        <w:rPr>
          <w:lang w:val="en-GB"/>
        </w:rPr>
        <w:t xml:space="preserve"> </w:t>
      </w:r>
      <w:r w:rsidRPr="00D85439">
        <w:rPr>
          <w:lang w:val="en-GB"/>
        </w:rPr>
        <w:t xml:space="preserve">Baseline Dietary Intake: Between-Group Comparison (Omega-3 vs Control, n = 10 per group) Independent samples t-tests comparing baseline dietary intake between the omega-3 intervention group and control group (n = 10 per group). Values presented as mean ± standard deviation. Two-tailed p-values </w:t>
      </w:r>
      <w:r w:rsidRPr="00C95E3D">
        <w:rPr>
          <w:rFonts w:ascii="Arial" w:eastAsia="Yu Mincho" w:hAnsi="Arial" w:cs="Arial"/>
          <w:lang w:val="en-GB"/>
        </w:rPr>
        <w:t>reported. Equal variances assumed unless Levene’s test indicated otherwise. Statistical significance accepted at p &lt; .05.</w:t>
      </w:r>
    </w:p>
    <w:tbl>
      <w:tblPr>
        <w:tblW w:w="0" w:type="auto"/>
        <w:tblCellSpacing w:w="15" w:type="dxa"/>
        <w:tblLook w:val="04A0" w:firstRow="1" w:lastRow="0" w:firstColumn="1" w:lastColumn="0" w:noHBand="0" w:noVBand="1"/>
      </w:tblPr>
      <w:tblGrid>
        <w:gridCol w:w="1665"/>
        <w:gridCol w:w="1697"/>
        <w:gridCol w:w="1555"/>
        <w:gridCol w:w="1700"/>
        <w:gridCol w:w="1215"/>
        <w:gridCol w:w="1528"/>
      </w:tblGrid>
      <w:tr w:rsidR="00C95E3D" w:rsidRPr="00C95E3D" w14:paraId="0679F705" w14:textId="77777777">
        <w:trPr>
          <w:tblHeader/>
          <w:tblCellSpacing w:w="15" w:type="dxa"/>
        </w:trPr>
        <w:tc>
          <w:tcPr>
            <w:tcW w:w="0" w:type="auto"/>
            <w:tcMar>
              <w:top w:w="15" w:type="dxa"/>
              <w:left w:w="15" w:type="dxa"/>
              <w:bottom w:w="15" w:type="dxa"/>
              <w:right w:w="15" w:type="dxa"/>
            </w:tcMar>
            <w:vAlign w:val="center"/>
            <w:hideMark/>
          </w:tcPr>
          <w:p w14:paraId="45471A4E" w14:textId="77777777" w:rsidR="00C95E3D" w:rsidRPr="00C95E3D" w:rsidRDefault="00C95E3D" w:rsidP="00096CAD">
            <w:pPr>
              <w:spacing w:before="100" w:beforeAutospacing="1" w:after="100" w:afterAutospacing="1" w:line="360" w:lineRule="auto"/>
              <w:jc w:val="center"/>
              <w:rPr>
                <w:rFonts w:ascii="Arial" w:eastAsia="Yu Mincho" w:hAnsi="Arial" w:cs="Arial"/>
                <w:kern w:val="0"/>
                <w14:ligatures w14:val="none"/>
              </w:rPr>
            </w:pPr>
            <w:r w:rsidRPr="00C95E3D">
              <w:rPr>
                <w:rFonts w:ascii="Arial" w:eastAsia="Yu Mincho" w:hAnsi="Arial" w:cs="Arial"/>
                <w:kern w:val="0"/>
                <w14:ligatures w14:val="none"/>
              </w:rPr>
              <w:t>Variable</w:t>
            </w:r>
          </w:p>
        </w:tc>
        <w:tc>
          <w:tcPr>
            <w:tcW w:w="0" w:type="auto"/>
            <w:tcMar>
              <w:top w:w="15" w:type="dxa"/>
              <w:left w:w="15" w:type="dxa"/>
              <w:bottom w:w="15" w:type="dxa"/>
              <w:right w:w="15" w:type="dxa"/>
            </w:tcMar>
            <w:vAlign w:val="center"/>
            <w:hideMark/>
          </w:tcPr>
          <w:p w14:paraId="53C8F249" w14:textId="77777777" w:rsidR="00C95E3D" w:rsidRPr="00C95E3D" w:rsidRDefault="00C95E3D" w:rsidP="00096CAD">
            <w:pPr>
              <w:spacing w:before="100" w:beforeAutospacing="1" w:after="100" w:afterAutospacing="1" w:line="360" w:lineRule="auto"/>
              <w:jc w:val="center"/>
              <w:rPr>
                <w:rFonts w:ascii="Arial" w:eastAsia="Yu Mincho" w:hAnsi="Arial" w:cs="Arial"/>
                <w:kern w:val="0"/>
                <w14:ligatures w14:val="none"/>
              </w:rPr>
            </w:pPr>
            <w:r w:rsidRPr="00C95E3D">
              <w:rPr>
                <w:rFonts w:ascii="Arial" w:eastAsia="Yu Mincho" w:hAnsi="Arial" w:cs="Arial"/>
                <w:kern w:val="0"/>
                <w14:ligatures w14:val="none"/>
              </w:rPr>
              <w:t>Omega-3 Group Mean ± SD</w:t>
            </w:r>
          </w:p>
        </w:tc>
        <w:tc>
          <w:tcPr>
            <w:tcW w:w="0" w:type="auto"/>
            <w:tcMar>
              <w:top w:w="15" w:type="dxa"/>
              <w:left w:w="15" w:type="dxa"/>
              <w:bottom w:w="15" w:type="dxa"/>
              <w:right w:w="15" w:type="dxa"/>
            </w:tcMar>
            <w:vAlign w:val="center"/>
            <w:hideMark/>
          </w:tcPr>
          <w:p w14:paraId="5F03AD17" w14:textId="77777777" w:rsidR="00C95E3D" w:rsidRPr="00C95E3D" w:rsidRDefault="00C95E3D" w:rsidP="00096CAD">
            <w:pPr>
              <w:spacing w:before="100" w:beforeAutospacing="1" w:after="100" w:afterAutospacing="1" w:line="360" w:lineRule="auto"/>
              <w:jc w:val="center"/>
              <w:rPr>
                <w:rFonts w:ascii="Arial" w:eastAsia="Yu Mincho" w:hAnsi="Arial" w:cs="Arial"/>
                <w:kern w:val="0"/>
                <w14:ligatures w14:val="none"/>
              </w:rPr>
            </w:pPr>
            <w:r w:rsidRPr="00C95E3D">
              <w:rPr>
                <w:rFonts w:ascii="Arial" w:eastAsia="Yu Mincho" w:hAnsi="Arial" w:cs="Arial"/>
                <w:kern w:val="0"/>
                <w14:ligatures w14:val="none"/>
              </w:rPr>
              <w:t>Control Group Mean ± SD</w:t>
            </w:r>
          </w:p>
        </w:tc>
        <w:tc>
          <w:tcPr>
            <w:tcW w:w="0" w:type="auto"/>
            <w:tcMar>
              <w:top w:w="15" w:type="dxa"/>
              <w:left w:w="15" w:type="dxa"/>
              <w:bottom w:w="15" w:type="dxa"/>
              <w:right w:w="15" w:type="dxa"/>
            </w:tcMar>
            <w:vAlign w:val="center"/>
            <w:hideMark/>
          </w:tcPr>
          <w:p w14:paraId="2B142BA4" w14:textId="77777777" w:rsidR="00C95E3D" w:rsidRPr="00C95E3D" w:rsidRDefault="00C95E3D" w:rsidP="00096CAD">
            <w:pPr>
              <w:spacing w:before="100" w:beforeAutospacing="1" w:after="100" w:afterAutospacing="1" w:line="360" w:lineRule="auto"/>
              <w:jc w:val="center"/>
              <w:rPr>
                <w:rFonts w:ascii="Arial" w:eastAsia="Yu Mincho" w:hAnsi="Arial" w:cs="Arial"/>
                <w:kern w:val="0"/>
                <w14:ligatures w14:val="none"/>
              </w:rPr>
            </w:pPr>
            <w:r w:rsidRPr="00C95E3D">
              <w:rPr>
                <w:rFonts w:ascii="Arial" w:eastAsia="Yu Mincho" w:hAnsi="Arial" w:cs="Arial"/>
                <w:kern w:val="0"/>
                <w14:ligatures w14:val="none"/>
              </w:rPr>
              <w:t>Mean Difference (Ω3–C)</w:t>
            </w:r>
          </w:p>
        </w:tc>
        <w:tc>
          <w:tcPr>
            <w:tcW w:w="0" w:type="auto"/>
            <w:tcMar>
              <w:top w:w="15" w:type="dxa"/>
              <w:left w:w="15" w:type="dxa"/>
              <w:bottom w:w="15" w:type="dxa"/>
              <w:right w:w="15" w:type="dxa"/>
            </w:tcMar>
            <w:vAlign w:val="center"/>
            <w:hideMark/>
          </w:tcPr>
          <w:p w14:paraId="3FDAF5B7" w14:textId="77777777" w:rsidR="00C95E3D" w:rsidRPr="00C95E3D" w:rsidRDefault="00C95E3D" w:rsidP="00096CAD">
            <w:pPr>
              <w:spacing w:before="100" w:beforeAutospacing="1" w:after="100" w:afterAutospacing="1" w:line="360" w:lineRule="auto"/>
              <w:jc w:val="center"/>
              <w:rPr>
                <w:rFonts w:ascii="Arial" w:eastAsia="Yu Mincho" w:hAnsi="Arial" w:cs="Arial"/>
                <w:kern w:val="0"/>
                <w14:ligatures w14:val="none"/>
              </w:rPr>
            </w:pPr>
            <w:r w:rsidRPr="00C95E3D">
              <w:rPr>
                <w:rFonts w:ascii="Arial" w:eastAsia="Yu Mincho" w:hAnsi="Arial" w:cs="Arial"/>
                <w:kern w:val="0"/>
                <w14:ligatures w14:val="none"/>
              </w:rPr>
              <w:t>p-value (two-tailed)</w:t>
            </w:r>
          </w:p>
        </w:tc>
        <w:tc>
          <w:tcPr>
            <w:tcW w:w="0" w:type="auto"/>
            <w:tcMar>
              <w:top w:w="15" w:type="dxa"/>
              <w:left w:w="15" w:type="dxa"/>
              <w:bottom w:w="15" w:type="dxa"/>
              <w:right w:w="15" w:type="dxa"/>
            </w:tcMar>
            <w:vAlign w:val="center"/>
            <w:hideMark/>
          </w:tcPr>
          <w:p w14:paraId="4E113DBA" w14:textId="77777777" w:rsidR="00C95E3D" w:rsidRPr="00C95E3D" w:rsidRDefault="00C95E3D" w:rsidP="00096CAD">
            <w:pPr>
              <w:spacing w:before="100" w:beforeAutospacing="1" w:after="100" w:afterAutospacing="1" w:line="360" w:lineRule="auto"/>
              <w:jc w:val="center"/>
              <w:rPr>
                <w:rFonts w:ascii="Arial" w:eastAsia="Yu Mincho" w:hAnsi="Arial" w:cs="Arial"/>
                <w:kern w:val="0"/>
                <w14:ligatures w14:val="none"/>
              </w:rPr>
            </w:pPr>
            <w:r w:rsidRPr="00C95E3D">
              <w:rPr>
                <w:rFonts w:ascii="Arial" w:eastAsia="Yu Mincho" w:hAnsi="Arial" w:cs="Arial"/>
                <w:kern w:val="0"/>
                <w14:ligatures w14:val="none"/>
              </w:rPr>
              <w:t>Interpretation</w:t>
            </w:r>
          </w:p>
        </w:tc>
      </w:tr>
      <w:tr w:rsidR="00C95E3D" w:rsidRPr="00C95E3D" w14:paraId="2627C8BF" w14:textId="77777777">
        <w:trPr>
          <w:tblCellSpacing w:w="15" w:type="dxa"/>
        </w:trPr>
        <w:tc>
          <w:tcPr>
            <w:tcW w:w="0" w:type="auto"/>
            <w:tcMar>
              <w:top w:w="15" w:type="dxa"/>
              <w:left w:w="15" w:type="dxa"/>
              <w:bottom w:w="15" w:type="dxa"/>
              <w:right w:w="15" w:type="dxa"/>
            </w:tcMar>
            <w:vAlign w:val="center"/>
            <w:hideMark/>
          </w:tcPr>
          <w:p w14:paraId="10062441"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Energy (kcal)</w:t>
            </w:r>
          </w:p>
        </w:tc>
        <w:tc>
          <w:tcPr>
            <w:tcW w:w="0" w:type="auto"/>
            <w:tcMar>
              <w:top w:w="15" w:type="dxa"/>
              <w:left w:w="15" w:type="dxa"/>
              <w:bottom w:w="15" w:type="dxa"/>
              <w:right w:w="15" w:type="dxa"/>
            </w:tcMar>
            <w:vAlign w:val="center"/>
            <w:hideMark/>
          </w:tcPr>
          <w:p w14:paraId="56A9963F"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2308.8 ± 762.9</w:t>
            </w:r>
          </w:p>
        </w:tc>
        <w:tc>
          <w:tcPr>
            <w:tcW w:w="0" w:type="auto"/>
            <w:tcMar>
              <w:top w:w="15" w:type="dxa"/>
              <w:left w:w="15" w:type="dxa"/>
              <w:bottom w:w="15" w:type="dxa"/>
              <w:right w:w="15" w:type="dxa"/>
            </w:tcMar>
            <w:vAlign w:val="center"/>
            <w:hideMark/>
          </w:tcPr>
          <w:p w14:paraId="42F5D769"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2201.2 ± 651.9</w:t>
            </w:r>
          </w:p>
        </w:tc>
        <w:tc>
          <w:tcPr>
            <w:tcW w:w="0" w:type="auto"/>
            <w:tcMar>
              <w:top w:w="15" w:type="dxa"/>
              <w:left w:w="15" w:type="dxa"/>
              <w:bottom w:w="15" w:type="dxa"/>
              <w:right w:w="15" w:type="dxa"/>
            </w:tcMar>
            <w:vAlign w:val="center"/>
            <w:hideMark/>
          </w:tcPr>
          <w:p w14:paraId="6C55BFE4"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107.6</w:t>
            </w:r>
          </w:p>
        </w:tc>
        <w:tc>
          <w:tcPr>
            <w:tcW w:w="0" w:type="auto"/>
            <w:tcMar>
              <w:top w:w="15" w:type="dxa"/>
              <w:left w:w="15" w:type="dxa"/>
              <w:bottom w:w="15" w:type="dxa"/>
              <w:right w:w="15" w:type="dxa"/>
            </w:tcMar>
            <w:vAlign w:val="center"/>
            <w:hideMark/>
          </w:tcPr>
          <w:p w14:paraId="30AF8B7C"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.738</w:t>
            </w:r>
          </w:p>
        </w:tc>
        <w:tc>
          <w:tcPr>
            <w:tcW w:w="0" w:type="auto"/>
            <w:tcMar>
              <w:top w:w="15" w:type="dxa"/>
              <w:left w:w="15" w:type="dxa"/>
              <w:bottom w:w="15" w:type="dxa"/>
              <w:right w:w="15" w:type="dxa"/>
            </w:tcMar>
            <w:vAlign w:val="center"/>
            <w:hideMark/>
          </w:tcPr>
          <w:p w14:paraId="5986DF0D"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No difference</w:t>
            </w:r>
          </w:p>
        </w:tc>
      </w:tr>
      <w:tr w:rsidR="00C95E3D" w:rsidRPr="00C95E3D" w14:paraId="6DAF2C37" w14:textId="77777777">
        <w:trPr>
          <w:tblCellSpacing w:w="15" w:type="dxa"/>
        </w:trPr>
        <w:tc>
          <w:tcPr>
            <w:tcW w:w="0" w:type="auto"/>
            <w:tcMar>
              <w:top w:w="15" w:type="dxa"/>
              <w:left w:w="15" w:type="dxa"/>
              <w:bottom w:w="15" w:type="dxa"/>
              <w:right w:w="15" w:type="dxa"/>
            </w:tcMar>
            <w:vAlign w:val="center"/>
            <w:hideMark/>
          </w:tcPr>
          <w:p w14:paraId="5F4D04C0"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Protein (g)</w:t>
            </w:r>
          </w:p>
        </w:tc>
        <w:tc>
          <w:tcPr>
            <w:tcW w:w="0" w:type="auto"/>
            <w:tcMar>
              <w:top w:w="15" w:type="dxa"/>
              <w:left w:w="15" w:type="dxa"/>
              <w:bottom w:w="15" w:type="dxa"/>
              <w:right w:w="15" w:type="dxa"/>
            </w:tcMar>
            <w:vAlign w:val="center"/>
            <w:hideMark/>
          </w:tcPr>
          <w:p w14:paraId="28BC30E3"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152.7 ± 65.5</w:t>
            </w:r>
          </w:p>
        </w:tc>
        <w:tc>
          <w:tcPr>
            <w:tcW w:w="0" w:type="auto"/>
            <w:tcMar>
              <w:top w:w="15" w:type="dxa"/>
              <w:left w:w="15" w:type="dxa"/>
              <w:bottom w:w="15" w:type="dxa"/>
              <w:right w:w="15" w:type="dxa"/>
            </w:tcMar>
            <w:vAlign w:val="center"/>
            <w:hideMark/>
          </w:tcPr>
          <w:p w14:paraId="56AC46F6"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121.0 ± 49.4</w:t>
            </w:r>
          </w:p>
        </w:tc>
        <w:tc>
          <w:tcPr>
            <w:tcW w:w="0" w:type="auto"/>
            <w:tcMar>
              <w:top w:w="15" w:type="dxa"/>
              <w:left w:w="15" w:type="dxa"/>
              <w:bottom w:w="15" w:type="dxa"/>
              <w:right w:w="15" w:type="dxa"/>
            </w:tcMar>
            <w:vAlign w:val="center"/>
            <w:hideMark/>
          </w:tcPr>
          <w:p w14:paraId="2A2B24AF"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31.7</w:t>
            </w:r>
          </w:p>
        </w:tc>
        <w:tc>
          <w:tcPr>
            <w:tcW w:w="0" w:type="auto"/>
            <w:tcMar>
              <w:top w:w="15" w:type="dxa"/>
              <w:left w:w="15" w:type="dxa"/>
              <w:bottom w:w="15" w:type="dxa"/>
              <w:right w:w="15" w:type="dxa"/>
            </w:tcMar>
            <w:vAlign w:val="center"/>
            <w:hideMark/>
          </w:tcPr>
          <w:p w14:paraId="542B14D5"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.238</w:t>
            </w:r>
          </w:p>
        </w:tc>
        <w:tc>
          <w:tcPr>
            <w:tcW w:w="0" w:type="auto"/>
            <w:tcMar>
              <w:top w:w="15" w:type="dxa"/>
              <w:left w:w="15" w:type="dxa"/>
              <w:bottom w:w="15" w:type="dxa"/>
              <w:right w:w="15" w:type="dxa"/>
            </w:tcMar>
            <w:vAlign w:val="center"/>
            <w:hideMark/>
          </w:tcPr>
          <w:p w14:paraId="13CAFF41"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No difference</w:t>
            </w:r>
          </w:p>
        </w:tc>
      </w:tr>
      <w:tr w:rsidR="00C95E3D" w:rsidRPr="00C95E3D" w14:paraId="0B5844E8" w14:textId="77777777">
        <w:trPr>
          <w:tblCellSpacing w:w="15" w:type="dxa"/>
        </w:trPr>
        <w:tc>
          <w:tcPr>
            <w:tcW w:w="0" w:type="auto"/>
            <w:tcMar>
              <w:top w:w="15" w:type="dxa"/>
              <w:left w:w="15" w:type="dxa"/>
              <w:bottom w:w="15" w:type="dxa"/>
              <w:right w:w="15" w:type="dxa"/>
            </w:tcMar>
            <w:vAlign w:val="center"/>
            <w:hideMark/>
          </w:tcPr>
          <w:p w14:paraId="74401E62"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Carbohydrate (g)</w:t>
            </w:r>
          </w:p>
        </w:tc>
        <w:tc>
          <w:tcPr>
            <w:tcW w:w="0" w:type="auto"/>
            <w:tcMar>
              <w:top w:w="15" w:type="dxa"/>
              <w:left w:w="15" w:type="dxa"/>
              <w:bottom w:w="15" w:type="dxa"/>
              <w:right w:w="15" w:type="dxa"/>
            </w:tcMar>
            <w:vAlign w:val="center"/>
            <w:hideMark/>
          </w:tcPr>
          <w:p w14:paraId="5ADA7EBA"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215.6 ± 96.4</w:t>
            </w:r>
          </w:p>
        </w:tc>
        <w:tc>
          <w:tcPr>
            <w:tcW w:w="0" w:type="auto"/>
            <w:tcMar>
              <w:top w:w="15" w:type="dxa"/>
              <w:left w:w="15" w:type="dxa"/>
              <w:bottom w:w="15" w:type="dxa"/>
              <w:right w:w="15" w:type="dxa"/>
            </w:tcMar>
            <w:vAlign w:val="center"/>
            <w:hideMark/>
          </w:tcPr>
          <w:p w14:paraId="0B3C796B"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193.6 ± 105.1</w:t>
            </w:r>
          </w:p>
        </w:tc>
        <w:tc>
          <w:tcPr>
            <w:tcW w:w="0" w:type="auto"/>
            <w:tcMar>
              <w:top w:w="15" w:type="dxa"/>
              <w:left w:w="15" w:type="dxa"/>
              <w:bottom w:w="15" w:type="dxa"/>
              <w:right w:w="15" w:type="dxa"/>
            </w:tcMar>
            <w:vAlign w:val="center"/>
            <w:hideMark/>
          </w:tcPr>
          <w:p w14:paraId="2A0ABB2A"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22.0</w:t>
            </w:r>
          </w:p>
        </w:tc>
        <w:tc>
          <w:tcPr>
            <w:tcW w:w="0" w:type="auto"/>
            <w:tcMar>
              <w:top w:w="15" w:type="dxa"/>
              <w:left w:w="15" w:type="dxa"/>
              <w:bottom w:w="15" w:type="dxa"/>
              <w:right w:w="15" w:type="dxa"/>
            </w:tcMar>
            <w:vAlign w:val="center"/>
            <w:hideMark/>
          </w:tcPr>
          <w:p w14:paraId="78BB040F"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.632</w:t>
            </w:r>
          </w:p>
        </w:tc>
        <w:tc>
          <w:tcPr>
            <w:tcW w:w="0" w:type="auto"/>
            <w:tcMar>
              <w:top w:w="15" w:type="dxa"/>
              <w:left w:w="15" w:type="dxa"/>
              <w:bottom w:w="15" w:type="dxa"/>
              <w:right w:w="15" w:type="dxa"/>
            </w:tcMar>
            <w:vAlign w:val="center"/>
            <w:hideMark/>
          </w:tcPr>
          <w:p w14:paraId="3997B06E"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No difference</w:t>
            </w:r>
          </w:p>
        </w:tc>
      </w:tr>
      <w:tr w:rsidR="00C95E3D" w:rsidRPr="00C95E3D" w14:paraId="3FF16750" w14:textId="77777777">
        <w:trPr>
          <w:tblCellSpacing w:w="15" w:type="dxa"/>
        </w:trPr>
        <w:tc>
          <w:tcPr>
            <w:tcW w:w="0" w:type="auto"/>
            <w:tcMar>
              <w:top w:w="15" w:type="dxa"/>
              <w:left w:w="15" w:type="dxa"/>
              <w:bottom w:w="15" w:type="dxa"/>
              <w:right w:w="15" w:type="dxa"/>
            </w:tcMar>
            <w:vAlign w:val="center"/>
            <w:hideMark/>
          </w:tcPr>
          <w:p w14:paraId="54581CB2"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Fat (g)</w:t>
            </w:r>
          </w:p>
        </w:tc>
        <w:tc>
          <w:tcPr>
            <w:tcW w:w="0" w:type="auto"/>
            <w:tcMar>
              <w:top w:w="15" w:type="dxa"/>
              <w:left w:w="15" w:type="dxa"/>
              <w:bottom w:w="15" w:type="dxa"/>
              <w:right w:w="15" w:type="dxa"/>
            </w:tcMar>
            <w:vAlign w:val="center"/>
            <w:hideMark/>
          </w:tcPr>
          <w:p w14:paraId="5351BD24"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92.5 ± 27.4</w:t>
            </w:r>
          </w:p>
        </w:tc>
        <w:tc>
          <w:tcPr>
            <w:tcW w:w="0" w:type="auto"/>
            <w:tcMar>
              <w:top w:w="15" w:type="dxa"/>
              <w:left w:w="15" w:type="dxa"/>
              <w:bottom w:w="15" w:type="dxa"/>
              <w:right w:w="15" w:type="dxa"/>
            </w:tcMar>
            <w:vAlign w:val="center"/>
            <w:hideMark/>
          </w:tcPr>
          <w:p w14:paraId="01D1FE2D"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95.9 ± 17.1</w:t>
            </w:r>
          </w:p>
        </w:tc>
        <w:tc>
          <w:tcPr>
            <w:tcW w:w="0" w:type="auto"/>
            <w:tcMar>
              <w:top w:w="15" w:type="dxa"/>
              <w:left w:w="15" w:type="dxa"/>
              <w:bottom w:w="15" w:type="dxa"/>
              <w:right w:w="15" w:type="dxa"/>
            </w:tcMar>
            <w:vAlign w:val="center"/>
            <w:hideMark/>
          </w:tcPr>
          <w:p w14:paraId="7010ADA1"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−3.4</w:t>
            </w:r>
          </w:p>
        </w:tc>
        <w:tc>
          <w:tcPr>
            <w:tcW w:w="0" w:type="auto"/>
            <w:tcMar>
              <w:top w:w="15" w:type="dxa"/>
              <w:left w:w="15" w:type="dxa"/>
              <w:bottom w:w="15" w:type="dxa"/>
              <w:right w:w="15" w:type="dxa"/>
            </w:tcMar>
            <w:vAlign w:val="center"/>
            <w:hideMark/>
          </w:tcPr>
          <w:p w14:paraId="4AE1FCEA"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.743</w:t>
            </w:r>
          </w:p>
        </w:tc>
        <w:tc>
          <w:tcPr>
            <w:tcW w:w="0" w:type="auto"/>
            <w:tcMar>
              <w:top w:w="15" w:type="dxa"/>
              <w:left w:w="15" w:type="dxa"/>
              <w:bottom w:w="15" w:type="dxa"/>
              <w:right w:w="15" w:type="dxa"/>
            </w:tcMar>
            <w:vAlign w:val="center"/>
            <w:hideMark/>
          </w:tcPr>
          <w:p w14:paraId="5AB07E7D"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No difference</w:t>
            </w:r>
          </w:p>
        </w:tc>
      </w:tr>
      <w:tr w:rsidR="00C95E3D" w:rsidRPr="00C95E3D" w14:paraId="28C12A47" w14:textId="77777777">
        <w:trPr>
          <w:tblCellSpacing w:w="15" w:type="dxa"/>
        </w:trPr>
        <w:tc>
          <w:tcPr>
            <w:tcW w:w="0" w:type="auto"/>
            <w:tcMar>
              <w:top w:w="15" w:type="dxa"/>
              <w:left w:w="15" w:type="dxa"/>
              <w:bottom w:w="15" w:type="dxa"/>
              <w:right w:w="15" w:type="dxa"/>
            </w:tcMar>
            <w:vAlign w:val="center"/>
            <w:hideMark/>
          </w:tcPr>
          <w:p w14:paraId="2B15431A"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Saturated Fat (g)</w:t>
            </w:r>
          </w:p>
        </w:tc>
        <w:tc>
          <w:tcPr>
            <w:tcW w:w="0" w:type="auto"/>
            <w:tcMar>
              <w:top w:w="15" w:type="dxa"/>
              <w:left w:w="15" w:type="dxa"/>
              <w:bottom w:w="15" w:type="dxa"/>
              <w:right w:w="15" w:type="dxa"/>
            </w:tcMar>
            <w:vAlign w:val="center"/>
            <w:hideMark/>
          </w:tcPr>
          <w:p w14:paraId="69BC0A85"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28.1 ± 10.2</w:t>
            </w:r>
          </w:p>
        </w:tc>
        <w:tc>
          <w:tcPr>
            <w:tcW w:w="0" w:type="auto"/>
            <w:tcMar>
              <w:top w:w="15" w:type="dxa"/>
              <w:left w:w="15" w:type="dxa"/>
              <w:bottom w:w="15" w:type="dxa"/>
              <w:right w:w="15" w:type="dxa"/>
            </w:tcMar>
            <w:vAlign w:val="center"/>
            <w:hideMark/>
          </w:tcPr>
          <w:p w14:paraId="6DEC747E"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30.4 ± 5.2</w:t>
            </w:r>
          </w:p>
        </w:tc>
        <w:tc>
          <w:tcPr>
            <w:tcW w:w="0" w:type="auto"/>
            <w:tcMar>
              <w:top w:w="15" w:type="dxa"/>
              <w:left w:w="15" w:type="dxa"/>
              <w:bottom w:w="15" w:type="dxa"/>
              <w:right w:w="15" w:type="dxa"/>
            </w:tcMar>
            <w:vAlign w:val="center"/>
            <w:hideMark/>
          </w:tcPr>
          <w:p w14:paraId="233E005C"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−2.3</w:t>
            </w:r>
          </w:p>
        </w:tc>
        <w:tc>
          <w:tcPr>
            <w:tcW w:w="0" w:type="auto"/>
            <w:tcMar>
              <w:top w:w="15" w:type="dxa"/>
              <w:left w:w="15" w:type="dxa"/>
              <w:bottom w:w="15" w:type="dxa"/>
              <w:right w:w="15" w:type="dxa"/>
            </w:tcMar>
            <w:vAlign w:val="center"/>
            <w:hideMark/>
          </w:tcPr>
          <w:p w14:paraId="1CA08332"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.535</w:t>
            </w:r>
          </w:p>
        </w:tc>
        <w:tc>
          <w:tcPr>
            <w:tcW w:w="0" w:type="auto"/>
            <w:tcMar>
              <w:top w:w="15" w:type="dxa"/>
              <w:left w:w="15" w:type="dxa"/>
              <w:bottom w:w="15" w:type="dxa"/>
              <w:right w:w="15" w:type="dxa"/>
            </w:tcMar>
            <w:vAlign w:val="center"/>
            <w:hideMark/>
          </w:tcPr>
          <w:p w14:paraId="54D5CA5D"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No difference</w:t>
            </w:r>
          </w:p>
        </w:tc>
      </w:tr>
      <w:tr w:rsidR="00C95E3D" w:rsidRPr="00C95E3D" w14:paraId="7724F8E9" w14:textId="77777777">
        <w:trPr>
          <w:tblCellSpacing w:w="15" w:type="dxa"/>
        </w:trPr>
        <w:tc>
          <w:tcPr>
            <w:tcW w:w="0" w:type="auto"/>
            <w:tcMar>
              <w:top w:w="15" w:type="dxa"/>
              <w:left w:w="15" w:type="dxa"/>
              <w:bottom w:w="15" w:type="dxa"/>
              <w:right w:w="15" w:type="dxa"/>
            </w:tcMar>
            <w:vAlign w:val="center"/>
            <w:hideMark/>
          </w:tcPr>
          <w:p w14:paraId="157FAD21"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Fibre (g)</w:t>
            </w:r>
          </w:p>
        </w:tc>
        <w:tc>
          <w:tcPr>
            <w:tcW w:w="0" w:type="auto"/>
            <w:tcMar>
              <w:top w:w="15" w:type="dxa"/>
              <w:left w:w="15" w:type="dxa"/>
              <w:bottom w:w="15" w:type="dxa"/>
              <w:right w:w="15" w:type="dxa"/>
            </w:tcMar>
            <w:vAlign w:val="center"/>
            <w:hideMark/>
          </w:tcPr>
          <w:p w14:paraId="5E217B77"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34.7 ± 17.9</w:t>
            </w:r>
          </w:p>
        </w:tc>
        <w:tc>
          <w:tcPr>
            <w:tcW w:w="0" w:type="auto"/>
            <w:tcMar>
              <w:top w:w="15" w:type="dxa"/>
              <w:left w:w="15" w:type="dxa"/>
              <w:bottom w:w="15" w:type="dxa"/>
              <w:right w:w="15" w:type="dxa"/>
            </w:tcMar>
            <w:vAlign w:val="center"/>
            <w:hideMark/>
          </w:tcPr>
          <w:p w14:paraId="458A7213"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26.1 ± 12.5</w:t>
            </w:r>
          </w:p>
        </w:tc>
        <w:tc>
          <w:tcPr>
            <w:tcW w:w="0" w:type="auto"/>
            <w:tcMar>
              <w:top w:w="15" w:type="dxa"/>
              <w:left w:w="15" w:type="dxa"/>
              <w:bottom w:w="15" w:type="dxa"/>
              <w:right w:w="15" w:type="dxa"/>
            </w:tcMar>
            <w:vAlign w:val="center"/>
            <w:hideMark/>
          </w:tcPr>
          <w:p w14:paraId="6B4727AE"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8.6</w:t>
            </w:r>
          </w:p>
        </w:tc>
        <w:tc>
          <w:tcPr>
            <w:tcW w:w="0" w:type="auto"/>
            <w:tcMar>
              <w:top w:w="15" w:type="dxa"/>
              <w:left w:w="15" w:type="dxa"/>
              <w:bottom w:w="15" w:type="dxa"/>
              <w:right w:w="15" w:type="dxa"/>
            </w:tcMar>
            <w:vAlign w:val="center"/>
            <w:hideMark/>
          </w:tcPr>
          <w:p w14:paraId="23CA23D1"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.229</w:t>
            </w:r>
          </w:p>
        </w:tc>
        <w:tc>
          <w:tcPr>
            <w:tcW w:w="0" w:type="auto"/>
            <w:tcMar>
              <w:top w:w="15" w:type="dxa"/>
              <w:left w:w="15" w:type="dxa"/>
              <w:bottom w:w="15" w:type="dxa"/>
              <w:right w:w="15" w:type="dxa"/>
            </w:tcMar>
            <w:vAlign w:val="center"/>
            <w:hideMark/>
          </w:tcPr>
          <w:p w14:paraId="1CCCC818"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No difference</w:t>
            </w:r>
          </w:p>
        </w:tc>
      </w:tr>
      <w:tr w:rsidR="00C95E3D" w:rsidRPr="00C95E3D" w14:paraId="51DBDE76" w14:textId="77777777">
        <w:trPr>
          <w:tblCellSpacing w:w="15" w:type="dxa"/>
        </w:trPr>
        <w:tc>
          <w:tcPr>
            <w:tcW w:w="0" w:type="auto"/>
            <w:tcMar>
              <w:top w:w="15" w:type="dxa"/>
              <w:left w:w="15" w:type="dxa"/>
              <w:bottom w:w="15" w:type="dxa"/>
              <w:right w:w="15" w:type="dxa"/>
            </w:tcMar>
            <w:vAlign w:val="center"/>
            <w:hideMark/>
          </w:tcPr>
          <w:p w14:paraId="606E0BB0"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Omega-3 (g)</w:t>
            </w:r>
          </w:p>
        </w:tc>
        <w:tc>
          <w:tcPr>
            <w:tcW w:w="0" w:type="auto"/>
            <w:tcMar>
              <w:top w:w="15" w:type="dxa"/>
              <w:left w:w="15" w:type="dxa"/>
              <w:bottom w:w="15" w:type="dxa"/>
              <w:right w:w="15" w:type="dxa"/>
            </w:tcMar>
            <w:vAlign w:val="center"/>
            <w:hideMark/>
          </w:tcPr>
          <w:p w14:paraId="78C34151"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0.497 ± 0.296</w:t>
            </w:r>
          </w:p>
        </w:tc>
        <w:tc>
          <w:tcPr>
            <w:tcW w:w="0" w:type="auto"/>
            <w:tcMar>
              <w:top w:w="15" w:type="dxa"/>
              <w:left w:w="15" w:type="dxa"/>
              <w:bottom w:w="15" w:type="dxa"/>
              <w:right w:w="15" w:type="dxa"/>
            </w:tcMar>
            <w:vAlign w:val="center"/>
            <w:hideMark/>
          </w:tcPr>
          <w:p w14:paraId="75ADAD38"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0.825 ± 0.229</w:t>
            </w:r>
          </w:p>
        </w:tc>
        <w:tc>
          <w:tcPr>
            <w:tcW w:w="0" w:type="auto"/>
            <w:tcMar>
              <w:top w:w="15" w:type="dxa"/>
              <w:left w:w="15" w:type="dxa"/>
              <w:bottom w:w="15" w:type="dxa"/>
              <w:right w:w="15" w:type="dxa"/>
            </w:tcMar>
            <w:vAlign w:val="center"/>
            <w:hideMark/>
          </w:tcPr>
          <w:p w14:paraId="22DB33A8"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−0.328</w:t>
            </w:r>
          </w:p>
        </w:tc>
        <w:tc>
          <w:tcPr>
            <w:tcW w:w="0" w:type="auto"/>
            <w:tcMar>
              <w:top w:w="15" w:type="dxa"/>
              <w:left w:w="15" w:type="dxa"/>
              <w:bottom w:w="15" w:type="dxa"/>
              <w:right w:w="15" w:type="dxa"/>
            </w:tcMar>
            <w:vAlign w:val="center"/>
            <w:hideMark/>
          </w:tcPr>
          <w:p w14:paraId="4E5986AD"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.013*</w:t>
            </w:r>
          </w:p>
        </w:tc>
        <w:tc>
          <w:tcPr>
            <w:tcW w:w="0" w:type="auto"/>
            <w:tcMar>
              <w:top w:w="15" w:type="dxa"/>
              <w:left w:w="15" w:type="dxa"/>
              <w:bottom w:w="15" w:type="dxa"/>
              <w:right w:w="15" w:type="dxa"/>
            </w:tcMar>
            <w:vAlign w:val="center"/>
            <w:hideMark/>
          </w:tcPr>
          <w:p w14:paraId="5B908219"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Significant</w:t>
            </w:r>
          </w:p>
        </w:tc>
      </w:tr>
      <w:tr w:rsidR="00C95E3D" w:rsidRPr="00C95E3D" w14:paraId="571E2C4B" w14:textId="77777777">
        <w:trPr>
          <w:tblCellSpacing w:w="15" w:type="dxa"/>
        </w:trPr>
        <w:tc>
          <w:tcPr>
            <w:tcW w:w="0" w:type="auto"/>
            <w:tcMar>
              <w:top w:w="15" w:type="dxa"/>
              <w:left w:w="15" w:type="dxa"/>
              <w:bottom w:w="15" w:type="dxa"/>
              <w:right w:w="15" w:type="dxa"/>
            </w:tcMar>
            <w:vAlign w:val="center"/>
            <w:hideMark/>
          </w:tcPr>
          <w:p w14:paraId="7AF2257D"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lastRenderedPageBreak/>
              <w:t>Omega-6 (g)</w:t>
            </w:r>
          </w:p>
        </w:tc>
        <w:tc>
          <w:tcPr>
            <w:tcW w:w="0" w:type="auto"/>
            <w:tcMar>
              <w:top w:w="15" w:type="dxa"/>
              <w:left w:w="15" w:type="dxa"/>
              <w:bottom w:w="15" w:type="dxa"/>
              <w:right w:w="15" w:type="dxa"/>
            </w:tcMar>
            <w:vAlign w:val="center"/>
            <w:hideMark/>
          </w:tcPr>
          <w:p w14:paraId="36951755"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4.174 ± 1.857</w:t>
            </w:r>
          </w:p>
        </w:tc>
        <w:tc>
          <w:tcPr>
            <w:tcW w:w="0" w:type="auto"/>
            <w:tcMar>
              <w:top w:w="15" w:type="dxa"/>
              <w:left w:w="15" w:type="dxa"/>
              <w:bottom w:w="15" w:type="dxa"/>
              <w:right w:w="15" w:type="dxa"/>
            </w:tcMar>
            <w:vAlign w:val="center"/>
            <w:hideMark/>
          </w:tcPr>
          <w:p w14:paraId="10ACF984"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5.685 ± 3.812</w:t>
            </w:r>
          </w:p>
        </w:tc>
        <w:tc>
          <w:tcPr>
            <w:tcW w:w="0" w:type="auto"/>
            <w:tcMar>
              <w:top w:w="15" w:type="dxa"/>
              <w:left w:w="15" w:type="dxa"/>
              <w:bottom w:w="15" w:type="dxa"/>
              <w:right w:w="15" w:type="dxa"/>
            </w:tcMar>
            <w:vAlign w:val="center"/>
            <w:hideMark/>
          </w:tcPr>
          <w:p w14:paraId="56ECE411"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−1.511</w:t>
            </w:r>
          </w:p>
        </w:tc>
        <w:tc>
          <w:tcPr>
            <w:tcW w:w="0" w:type="auto"/>
            <w:tcMar>
              <w:top w:w="15" w:type="dxa"/>
              <w:left w:w="15" w:type="dxa"/>
              <w:bottom w:w="15" w:type="dxa"/>
              <w:right w:w="15" w:type="dxa"/>
            </w:tcMar>
            <w:vAlign w:val="center"/>
            <w:hideMark/>
          </w:tcPr>
          <w:p w14:paraId="58F632F8"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.275</w:t>
            </w:r>
          </w:p>
        </w:tc>
        <w:tc>
          <w:tcPr>
            <w:tcW w:w="0" w:type="auto"/>
            <w:tcMar>
              <w:top w:w="15" w:type="dxa"/>
              <w:left w:w="15" w:type="dxa"/>
              <w:bottom w:w="15" w:type="dxa"/>
              <w:right w:w="15" w:type="dxa"/>
            </w:tcMar>
            <w:vAlign w:val="center"/>
            <w:hideMark/>
          </w:tcPr>
          <w:p w14:paraId="780E4947"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No difference</w:t>
            </w:r>
          </w:p>
        </w:tc>
      </w:tr>
      <w:tr w:rsidR="00C95E3D" w:rsidRPr="00C95E3D" w14:paraId="0656B419" w14:textId="77777777">
        <w:trPr>
          <w:tblCellSpacing w:w="15" w:type="dxa"/>
        </w:trPr>
        <w:tc>
          <w:tcPr>
            <w:tcW w:w="0" w:type="auto"/>
            <w:tcMar>
              <w:top w:w="15" w:type="dxa"/>
              <w:left w:w="15" w:type="dxa"/>
              <w:bottom w:w="15" w:type="dxa"/>
              <w:right w:w="15" w:type="dxa"/>
            </w:tcMar>
            <w:vAlign w:val="center"/>
            <w:hideMark/>
          </w:tcPr>
          <w:p w14:paraId="3B960AB2"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Omega-3:6 Ratio</w:t>
            </w:r>
          </w:p>
        </w:tc>
        <w:tc>
          <w:tcPr>
            <w:tcW w:w="0" w:type="auto"/>
            <w:tcMar>
              <w:top w:w="15" w:type="dxa"/>
              <w:left w:w="15" w:type="dxa"/>
              <w:bottom w:w="15" w:type="dxa"/>
              <w:right w:w="15" w:type="dxa"/>
            </w:tcMar>
            <w:vAlign w:val="center"/>
            <w:hideMark/>
          </w:tcPr>
          <w:p w14:paraId="06251327"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0.134 ± 0.091</w:t>
            </w:r>
          </w:p>
        </w:tc>
        <w:tc>
          <w:tcPr>
            <w:tcW w:w="0" w:type="auto"/>
            <w:tcMar>
              <w:top w:w="15" w:type="dxa"/>
              <w:left w:w="15" w:type="dxa"/>
              <w:bottom w:w="15" w:type="dxa"/>
              <w:right w:w="15" w:type="dxa"/>
            </w:tcMar>
            <w:vAlign w:val="center"/>
            <w:hideMark/>
          </w:tcPr>
          <w:p w14:paraId="575C7364"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0.217 ± 0.153</w:t>
            </w:r>
          </w:p>
        </w:tc>
        <w:tc>
          <w:tcPr>
            <w:tcW w:w="0" w:type="auto"/>
            <w:tcMar>
              <w:top w:w="15" w:type="dxa"/>
              <w:left w:w="15" w:type="dxa"/>
              <w:bottom w:w="15" w:type="dxa"/>
              <w:right w:w="15" w:type="dxa"/>
            </w:tcMar>
            <w:vAlign w:val="center"/>
            <w:hideMark/>
          </w:tcPr>
          <w:p w14:paraId="10C3B453"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−0.083</w:t>
            </w:r>
          </w:p>
        </w:tc>
        <w:tc>
          <w:tcPr>
            <w:tcW w:w="0" w:type="auto"/>
            <w:tcMar>
              <w:top w:w="15" w:type="dxa"/>
              <w:left w:w="15" w:type="dxa"/>
              <w:bottom w:w="15" w:type="dxa"/>
              <w:right w:w="15" w:type="dxa"/>
            </w:tcMar>
            <w:vAlign w:val="center"/>
            <w:hideMark/>
          </w:tcPr>
          <w:p w14:paraId="3EE98455"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.159</w:t>
            </w:r>
          </w:p>
        </w:tc>
        <w:tc>
          <w:tcPr>
            <w:tcW w:w="0" w:type="auto"/>
            <w:tcMar>
              <w:top w:w="15" w:type="dxa"/>
              <w:left w:w="15" w:type="dxa"/>
              <w:bottom w:w="15" w:type="dxa"/>
              <w:right w:w="15" w:type="dxa"/>
            </w:tcMar>
            <w:vAlign w:val="center"/>
            <w:hideMark/>
          </w:tcPr>
          <w:p w14:paraId="1F8682DA"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No difference</w:t>
            </w:r>
          </w:p>
        </w:tc>
      </w:tr>
      <w:tr w:rsidR="00C95E3D" w:rsidRPr="00C95E3D" w14:paraId="4A91015F" w14:textId="77777777">
        <w:trPr>
          <w:tblCellSpacing w:w="15" w:type="dxa"/>
        </w:trPr>
        <w:tc>
          <w:tcPr>
            <w:tcW w:w="0" w:type="auto"/>
            <w:tcMar>
              <w:top w:w="15" w:type="dxa"/>
              <w:left w:w="15" w:type="dxa"/>
              <w:bottom w:w="15" w:type="dxa"/>
              <w:right w:w="15" w:type="dxa"/>
            </w:tcMar>
            <w:vAlign w:val="center"/>
            <w:hideMark/>
          </w:tcPr>
          <w:p w14:paraId="4747E0D3"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Alcohol (g)</w:t>
            </w:r>
          </w:p>
        </w:tc>
        <w:tc>
          <w:tcPr>
            <w:tcW w:w="0" w:type="auto"/>
            <w:tcMar>
              <w:top w:w="15" w:type="dxa"/>
              <w:left w:w="15" w:type="dxa"/>
              <w:bottom w:w="15" w:type="dxa"/>
              <w:right w:w="15" w:type="dxa"/>
            </w:tcMar>
            <w:vAlign w:val="center"/>
            <w:hideMark/>
          </w:tcPr>
          <w:p w14:paraId="2B88CBE8"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0.00 ± 0.00</w:t>
            </w:r>
          </w:p>
        </w:tc>
        <w:tc>
          <w:tcPr>
            <w:tcW w:w="0" w:type="auto"/>
            <w:tcMar>
              <w:top w:w="15" w:type="dxa"/>
              <w:left w:w="15" w:type="dxa"/>
              <w:bottom w:w="15" w:type="dxa"/>
              <w:right w:w="15" w:type="dxa"/>
            </w:tcMar>
            <w:vAlign w:val="center"/>
            <w:hideMark/>
          </w:tcPr>
          <w:p w14:paraId="3A03412C"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0.00 ± 0.00</w:t>
            </w:r>
          </w:p>
        </w:tc>
        <w:tc>
          <w:tcPr>
            <w:tcW w:w="0" w:type="auto"/>
            <w:tcMar>
              <w:top w:w="15" w:type="dxa"/>
              <w:left w:w="15" w:type="dxa"/>
              <w:bottom w:w="15" w:type="dxa"/>
              <w:right w:w="15" w:type="dxa"/>
            </w:tcMar>
            <w:vAlign w:val="center"/>
            <w:hideMark/>
          </w:tcPr>
          <w:p w14:paraId="29E8102C"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0.00</w:t>
            </w:r>
          </w:p>
        </w:tc>
        <w:tc>
          <w:tcPr>
            <w:tcW w:w="0" w:type="auto"/>
            <w:tcMar>
              <w:top w:w="15" w:type="dxa"/>
              <w:left w:w="15" w:type="dxa"/>
              <w:bottom w:w="15" w:type="dxa"/>
              <w:right w:w="15" w:type="dxa"/>
            </w:tcMar>
            <w:vAlign w:val="center"/>
            <w:hideMark/>
          </w:tcPr>
          <w:p w14:paraId="46C143FF"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w:t>
            </w:r>
          </w:p>
        </w:tc>
        <w:tc>
          <w:tcPr>
            <w:tcW w:w="0" w:type="auto"/>
            <w:tcMar>
              <w:top w:w="15" w:type="dxa"/>
              <w:left w:w="15" w:type="dxa"/>
              <w:bottom w:w="15" w:type="dxa"/>
              <w:right w:w="15" w:type="dxa"/>
            </w:tcMar>
            <w:vAlign w:val="center"/>
            <w:hideMark/>
          </w:tcPr>
          <w:p w14:paraId="7F5A6992"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Not applicable</w:t>
            </w:r>
          </w:p>
        </w:tc>
      </w:tr>
      <w:tr w:rsidR="00C95E3D" w:rsidRPr="00C95E3D" w14:paraId="2CF16ACD" w14:textId="77777777">
        <w:trPr>
          <w:tblCellSpacing w:w="15" w:type="dxa"/>
        </w:trPr>
        <w:tc>
          <w:tcPr>
            <w:tcW w:w="0" w:type="auto"/>
            <w:tcMar>
              <w:top w:w="15" w:type="dxa"/>
              <w:left w:w="15" w:type="dxa"/>
              <w:bottom w:w="15" w:type="dxa"/>
              <w:right w:w="15" w:type="dxa"/>
            </w:tcMar>
            <w:vAlign w:val="center"/>
            <w:hideMark/>
          </w:tcPr>
          <w:p w14:paraId="37EE72C1"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Caffeine (mg)</w:t>
            </w:r>
          </w:p>
        </w:tc>
        <w:tc>
          <w:tcPr>
            <w:tcW w:w="0" w:type="auto"/>
            <w:tcMar>
              <w:top w:w="15" w:type="dxa"/>
              <w:left w:w="15" w:type="dxa"/>
              <w:bottom w:w="15" w:type="dxa"/>
              <w:right w:w="15" w:type="dxa"/>
            </w:tcMar>
            <w:vAlign w:val="center"/>
            <w:hideMark/>
          </w:tcPr>
          <w:p w14:paraId="51B51667"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9.5 ± 20.1</w:t>
            </w:r>
          </w:p>
        </w:tc>
        <w:tc>
          <w:tcPr>
            <w:tcW w:w="0" w:type="auto"/>
            <w:tcMar>
              <w:top w:w="15" w:type="dxa"/>
              <w:left w:w="15" w:type="dxa"/>
              <w:bottom w:w="15" w:type="dxa"/>
              <w:right w:w="15" w:type="dxa"/>
            </w:tcMar>
            <w:vAlign w:val="center"/>
            <w:hideMark/>
          </w:tcPr>
          <w:p w14:paraId="2B29416A"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35.8 ± 26.2</w:t>
            </w:r>
          </w:p>
        </w:tc>
        <w:tc>
          <w:tcPr>
            <w:tcW w:w="0" w:type="auto"/>
            <w:tcMar>
              <w:top w:w="15" w:type="dxa"/>
              <w:left w:w="15" w:type="dxa"/>
              <w:bottom w:w="15" w:type="dxa"/>
              <w:right w:w="15" w:type="dxa"/>
            </w:tcMar>
            <w:vAlign w:val="center"/>
            <w:hideMark/>
          </w:tcPr>
          <w:p w14:paraId="68BF4ABC"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−26.3</w:t>
            </w:r>
          </w:p>
        </w:tc>
        <w:tc>
          <w:tcPr>
            <w:tcW w:w="0" w:type="auto"/>
            <w:tcMar>
              <w:top w:w="15" w:type="dxa"/>
              <w:left w:w="15" w:type="dxa"/>
              <w:bottom w:w="15" w:type="dxa"/>
              <w:right w:w="15" w:type="dxa"/>
            </w:tcMar>
            <w:vAlign w:val="center"/>
            <w:hideMark/>
          </w:tcPr>
          <w:p w14:paraId="0DA2F63A"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.021*</w:t>
            </w:r>
          </w:p>
        </w:tc>
        <w:tc>
          <w:tcPr>
            <w:tcW w:w="0" w:type="auto"/>
            <w:tcMar>
              <w:top w:w="15" w:type="dxa"/>
              <w:left w:w="15" w:type="dxa"/>
              <w:bottom w:w="15" w:type="dxa"/>
              <w:right w:w="15" w:type="dxa"/>
            </w:tcMar>
            <w:vAlign w:val="center"/>
            <w:hideMark/>
          </w:tcPr>
          <w:p w14:paraId="3FCCC013"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Significant</w:t>
            </w:r>
          </w:p>
        </w:tc>
      </w:tr>
      <w:tr w:rsidR="00C95E3D" w:rsidRPr="00C95E3D" w14:paraId="32F00909" w14:textId="77777777">
        <w:trPr>
          <w:tblCellSpacing w:w="15" w:type="dxa"/>
        </w:trPr>
        <w:tc>
          <w:tcPr>
            <w:tcW w:w="0" w:type="auto"/>
            <w:tcMar>
              <w:top w:w="15" w:type="dxa"/>
              <w:left w:w="15" w:type="dxa"/>
              <w:bottom w:w="15" w:type="dxa"/>
              <w:right w:w="15" w:type="dxa"/>
            </w:tcMar>
            <w:vAlign w:val="center"/>
            <w:hideMark/>
          </w:tcPr>
          <w:p w14:paraId="449B0267"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Sodium (mg)</w:t>
            </w:r>
          </w:p>
        </w:tc>
        <w:tc>
          <w:tcPr>
            <w:tcW w:w="0" w:type="auto"/>
            <w:tcMar>
              <w:top w:w="15" w:type="dxa"/>
              <w:left w:w="15" w:type="dxa"/>
              <w:bottom w:w="15" w:type="dxa"/>
              <w:right w:w="15" w:type="dxa"/>
            </w:tcMar>
            <w:vAlign w:val="center"/>
            <w:hideMark/>
          </w:tcPr>
          <w:p w14:paraId="09B811A6"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1648.3 ± 1158.2</w:t>
            </w:r>
          </w:p>
        </w:tc>
        <w:tc>
          <w:tcPr>
            <w:tcW w:w="0" w:type="auto"/>
            <w:tcMar>
              <w:top w:w="15" w:type="dxa"/>
              <w:left w:w="15" w:type="dxa"/>
              <w:bottom w:w="15" w:type="dxa"/>
              <w:right w:w="15" w:type="dxa"/>
            </w:tcMar>
            <w:vAlign w:val="center"/>
            <w:hideMark/>
          </w:tcPr>
          <w:p w14:paraId="7589B3D1"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2131.4 ± 669.6</w:t>
            </w:r>
          </w:p>
        </w:tc>
        <w:tc>
          <w:tcPr>
            <w:tcW w:w="0" w:type="auto"/>
            <w:tcMar>
              <w:top w:w="15" w:type="dxa"/>
              <w:left w:w="15" w:type="dxa"/>
              <w:bottom w:w="15" w:type="dxa"/>
              <w:right w:w="15" w:type="dxa"/>
            </w:tcMar>
            <w:vAlign w:val="center"/>
            <w:hideMark/>
          </w:tcPr>
          <w:p w14:paraId="3EC440B4"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−483.1</w:t>
            </w:r>
          </w:p>
        </w:tc>
        <w:tc>
          <w:tcPr>
            <w:tcW w:w="0" w:type="auto"/>
            <w:tcMar>
              <w:top w:w="15" w:type="dxa"/>
              <w:left w:w="15" w:type="dxa"/>
              <w:bottom w:w="15" w:type="dxa"/>
              <w:right w:w="15" w:type="dxa"/>
            </w:tcMar>
            <w:vAlign w:val="center"/>
            <w:hideMark/>
          </w:tcPr>
          <w:p w14:paraId="09F302E6"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.268</w:t>
            </w:r>
          </w:p>
        </w:tc>
        <w:tc>
          <w:tcPr>
            <w:tcW w:w="0" w:type="auto"/>
            <w:tcMar>
              <w:top w:w="15" w:type="dxa"/>
              <w:left w:w="15" w:type="dxa"/>
              <w:bottom w:w="15" w:type="dxa"/>
              <w:right w:w="15" w:type="dxa"/>
            </w:tcMar>
            <w:vAlign w:val="center"/>
            <w:hideMark/>
          </w:tcPr>
          <w:p w14:paraId="4AC2EC4C"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No difference</w:t>
            </w:r>
          </w:p>
        </w:tc>
      </w:tr>
      <w:tr w:rsidR="00C95E3D" w:rsidRPr="00C95E3D" w14:paraId="251D0ABD" w14:textId="77777777">
        <w:trPr>
          <w:tblCellSpacing w:w="15" w:type="dxa"/>
        </w:trPr>
        <w:tc>
          <w:tcPr>
            <w:tcW w:w="0" w:type="auto"/>
            <w:tcMar>
              <w:top w:w="15" w:type="dxa"/>
              <w:left w:w="15" w:type="dxa"/>
              <w:bottom w:w="15" w:type="dxa"/>
              <w:right w:w="15" w:type="dxa"/>
            </w:tcMar>
            <w:vAlign w:val="center"/>
            <w:hideMark/>
          </w:tcPr>
          <w:p w14:paraId="3D97678D"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Potassium (mg)</w:t>
            </w:r>
          </w:p>
        </w:tc>
        <w:tc>
          <w:tcPr>
            <w:tcW w:w="0" w:type="auto"/>
            <w:tcMar>
              <w:top w:w="15" w:type="dxa"/>
              <w:left w:w="15" w:type="dxa"/>
              <w:bottom w:w="15" w:type="dxa"/>
              <w:right w:w="15" w:type="dxa"/>
            </w:tcMar>
            <w:vAlign w:val="center"/>
            <w:hideMark/>
          </w:tcPr>
          <w:p w14:paraId="746C586C"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1938.8 ± 1373.1</w:t>
            </w:r>
          </w:p>
        </w:tc>
        <w:tc>
          <w:tcPr>
            <w:tcW w:w="0" w:type="auto"/>
            <w:tcMar>
              <w:top w:w="15" w:type="dxa"/>
              <w:left w:w="15" w:type="dxa"/>
              <w:bottom w:w="15" w:type="dxa"/>
              <w:right w:w="15" w:type="dxa"/>
            </w:tcMar>
            <w:vAlign w:val="center"/>
            <w:hideMark/>
          </w:tcPr>
          <w:p w14:paraId="7B891D05"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2343.3 ± 1093.0</w:t>
            </w:r>
          </w:p>
        </w:tc>
        <w:tc>
          <w:tcPr>
            <w:tcW w:w="0" w:type="auto"/>
            <w:tcMar>
              <w:top w:w="15" w:type="dxa"/>
              <w:left w:w="15" w:type="dxa"/>
              <w:bottom w:w="15" w:type="dxa"/>
              <w:right w:w="15" w:type="dxa"/>
            </w:tcMar>
            <w:vAlign w:val="center"/>
            <w:hideMark/>
          </w:tcPr>
          <w:p w14:paraId="562B3756"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−404.5</w:t>
            </w:r>
          </w:p>
        </w:tc>
        <w:tc>
          <w:tcPr>
            <w:tcW w:w="0" w:type="auto"/>
            <w:tcMar>
              <w:top w:w="15" w:type="dxa"/>
              <w:left w:w="15" w:type="dxa"/>
              <w:bottom w:w="15" w:type="dxa"/>
              <w:right w:w="15" w:type="dxa"/>
            </w:tcMar>
            <w:vAlign w:val="center"/>
            <w:hideMark/>
          </w:tcPr>
          <w:p w14:paraId="52F6B515"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.475</w:t>
            </w:r>
          </w:p>
        </w:tc>
        <w:tc>
          <w:tcPr>
            <w:tcW w:w="0" w:type="auto"/>
            <w:tcMar>
              <w:top w:w="15" w:type="dxa"/>
              <w:left w:w="15" w:type="dxa"/>
              <w:bottom w:w="15" w:type="dxa"/>
              <w:right w:w="15" w:type="dxa"/>
            </w:tcMar>
            <w:vAlign w:val="center"/>
            <w:hideMark/>
          </w:tcPr>
          <w:p w14:paraId="5D8DD479"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No difference</w:t>
            </w:r>
          </w:p>
        </w:tc>
      </w:tr>
      <w:tr w:rsidR="00C95E3D" w:rsidRPr="00C95E3D" w14:paraId="277825CE" w14:textId="77777777">
        <w:trPr>
          <w:tblCellSpacing w:w="15" w:type="dxa"/>
        </w:trPr>
        <w:tc>
          <w:tcPr>
            <w:tcW w:w="0" w:type="auto"/>
            <w:tcMar>
              <w:top w:w="15" w:type="dxa"/>
              <w:left w:w="15" w:type="dxa"/>
              <w:bottom w:w="15" w:type="dxa"/>
              <w:right w:w="15" w:type="dxa"/>
            </w:tcMar>
            <w:vAlign w:val="center"/>
            <w:hideMark/>
          </w:tcPr>
          <w:p w14:paraId="6631B3E6"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Magnesium (mg)</w:t>
            </w:r>
          </w:p>
        </w:tc>
        <w:tc>
          <w:tcPr>
            <w:tcW w:w="0" w:type="auto"/>
            <w:tcMar>
              <w:top w:w="15" w:type="dxa"/>
              <w:left w:w="15" w:type="dxa"/>
              <w:bottom w:w="15" w:type="dxa"/>
              <w:right w:w="15" w:type="dxa"/>
            </w:tcMar>
            <w:vAlign w:val="center"/>
            <w:hideMark/>
          </w:tcPr>
          <w:p w14:paraId="1BCF6416"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293.1 ± 129.5</w:t>
            </w:r>
          </w:p>
        </w:tc>
        <w:tc>
          <w:tcPr>
            <w:tcW w:w="0" w:type="auto"/>
            <w:tcMar>
              <w:top w:w="15" w:type="dxa"/>
              <w:left w:w="15" w:type="dxa"/>
              <w:bottom w:w="15" w:type="dxa"/>
              <w:right w:w="15" w:type="dxa"/>
            </w:tcMar>
            <w:vAlign w:val="center"/>
            <w:hideMark/>
          </w:tcPr>
          <w:p w14:paraId="7E3F582F"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224.9 ± 98.7</w:t>
            </w:r>
          </w:p>
        </w:tc>
        <w:tc>
          <w:tcPr>
            <w:tcW w:w="0" w:type="auto"/>
            <w:tcMar>
              <w:top w:w="15" w:type="dxa"/>
              <w:left w:w="15" w:type="dxa"/>
              <w:bottom w:w="15" w:type="dxa"/>
              <w:right w:w="15" w:type="dxa"/>
            </w:tcMar>
            <w:vAlign w:val="center"/>
            <w:hideMark/>
          </w:tcPr>
          <w:p w14:paraId="5F270C1E"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68.2</w:t>
            </w:r>
          </w:p>
        </w:tc>
        <w:tc>
          <w:tcPr>
            <w:tcW w:w="0" w:type="auto"/>
            <w:tcMar>
              <w:top w:w="15" w:type="dxa"/>
              <w:left w:w="15" w:type="dxa"/>
              <w:bottom w:w="15" w:type="dxa"/>
              <w:right w:w="15" w:type="dxa"/>
            </w:tcMar>
            <w:vAlign w:val="center"/>
            <w:hideMark/>
          </w:tcPr>
          <w:p w14:paraId="7808BD47"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.202</w:t>
            </w:r>
          </w:p>
        </w:tc>
        <w:tc>
          <w:tcPr>
            <w:tcW w:w="0" w:type="auto"/>
            <w:tcMar>
              <w:top w:w="15" w:type="dxa"/>
              <w:left w:w="15" w:type="dxa"/>
              <w:bottom w:w="15" w:type="dxa"/>
              <w:right w:w="15" w:type="dxa"/>
            </w:tcMar>
            <w:vAlign w:val="center"/>
            <w:hideMark/>
          </w:tcPr>
          <w:p w14:paraId="02523998"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No difference</w:t>
            </w:r>
          </w:p>
        </w:tc>
      </w:tr>
      <w:tr w:rsidR="00C95E3D" w:rsidRPr="00C95E3D" w14:paraId="039DEB38" w14:textId="77777777">
        <w:trPr>
          <w:tblCellSpacing w:w="15" w:type="dxa"/>
        </w:trPr>
        <w:tc>
          <w:tcPr>
            <w:tcW w:w="0" w:type="auto"/>
            <w:tcMar>
              <w:top w:w="15" w:type="dxa"/>
              <w:left w:w="15" w:type="dxa"/>
              <w:bottom w:w="15" w:type="dxa"/>
              <w:right w:w="15" w:type="dxa"/>
            </w:tcMar>
            <w:vAlign w:val="center"/>
            <w:hideMark/>
          </w:tcPr>
          <w:p w14:paraId="474F2269"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Calcium (mg)</w:t>
            </w:r>
          </w:p>
        </w:tc>
        <w:tc>
          <w:tcPr>
            <w:tcW w:w="0" w:type="auto"/>
            <w:tcMar>
              <w:top w:w="15" w:type="dxa"/>
              <w:left w:w="15" w:type="dxa"/>
              <w:bottom w:w="15" w:type="dxa"/>
              <w:right w:w="15" w:type="dxa"/>
            </w:tcMar>
            <w:vAlign w:val="center"/>
            <w:hideMark/>
          </w:tcPr>
          <w:p w14:paraId="41E7E711"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785.1 ± 387.5</w:t>
            </w:r>
          </w:p>
        </w:tc>
        <w:tc>
          <w:tcPr>
            <w:tcW w:w="0" w:type="auto"/>
            <w:tcMar>
              <w:top w:w="15" w:type="dxa"/>
              <w:left w:w="15" w:type="dxa"/>
              <w:bottom w:w="15" w:type="dxa"/>
              <w:right w:w="15" w:type="dxa"/>
            </w:tcMar>
            <w:vAlign w:val="center"/>
            <w:hideMark/>
          </w:tcPr>
          <w:p w14:paraId="7898579B"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673.7 ± 289.5</w:t>
            </w:r>
          </w:p>
        </w:tc>
        <w:tc>
          <w:tcPr>
            <w:tcW w:w="0" w:type="auto"/>
            <w:tcMar>
              <w:top w:w="15" w:type="dxa"/>
              <w:left w:w="15" w:type="dxa"/>
              <w:bottom w:w="15" w:type="dxa"/>
              <w:right w:w="15" w:type="dxa"/>
            </w:tcMar>
            <w:vAlign w:val="center"/>
            <w:hideMark/>
          </w:tcPr>
          <w:p w14:paraId="0765CCC0"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111.4</w:t>
            </w:r>
          </w:p>
        </w:tc>
        <w:tc>
          <w:tcPr>
            <w:tcW w:w="0" w:type="auto"/>
            <w:tcMar>
              <w:top w:w="15" w:type="dxa"/>
              <w:left w:w="15" w:type="dxa"/>
              <w:bottom w:w="15" w:type="dxa"/>
              <w:right w:w="15" w:type="dxa"/>
            </w:tcMar>
            <w:vAlign w:val="center"/>
            <w:hideMark/>
          </w:tcPr>
          <w:p w14:paraId="676C838A"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.476</w:t>
            </w:r>
          </w:p>
        </w:tc>
        <w:tc>
          <w:tcPr>
            <w:tcW w:w="0" w:type="auto"/>
            <w:tcMar>
              <w:top w:w="15" w:type="dxa"/>
              <w:left w:w="15" w:type="dxa"/>
              <w:bottom w:w="15" w:type="dxa"/>
              <w:right w:w="15" w:type="dxa"/>
            </w:tcMar>
            <w:vAlign w:val="center"/>
            <w:hideMark/>
          </w:tcPr>
          <w:p w14:paraId="48FF4243"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No difference</w:t>
            </w:r>
          </w:p>
        </w:tc>
      </w:tr>
      <w:tr w:rsidR="00C95E3D" w:rsidRPr="00C95E3D" w14:paraId="571B21CC" w14:textId="77777777">
        <w:trPr>
          <w:tblCellSpacing w:w="15" w:type="dxa"/>
        </w:trPr>
        <w:tc>
          <w:tcPr>
            <w:tcW w:w="0" w:type="auto"/>
            <w:tcMar>
              <w:top w:w="15" w:type="dxa"/>
              <w:left w:w="15" w:type="dxa"/>
              <w:bottom w:w="15" w:type="dxa"/>
              <w:right w:w="15" w:type="dxa"/>
            </w:tcMar>
            <w:vAlign w:val="center"/>
            <w:hideMark/>
          </w:tcPr>
          <w:p w14:paraId="5C5585E1"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Vitamin D (µg)</w:t>
            </w:r>
          </w:p>
        </w:tc>
        <w:tc>
          <w:tcPr>
            <w:tcW w:w="0" w:type="auto"/>
            <w:tcMar>
              <w:top w:w="15" w:type="dxa"/>
              <w:left w:w="15" w:type="dxa"/>
              <w:bottom w:w="15" w:type="dxa"/>
              <w:right w:w="15" w:type="dxa"/>
            </w:tcMar>
            <w:vAlign w:val="center"/>
            <w:hideMark/>
          </w:tcPr>
          <w:p w14:paraId="57FDEDF7"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4.66 ± 2.83</w:t>
            </w:r>
          </w:p>
        </w:tc>
        <w:tc>
          <w:tcPr>
            <w:tcW w:w="0" w:type="auto"/>
            <w:tcMar>
              <w:top w:w="15" w:type="dxa"/>
              <w:left w:w="15" w:type="dxa"/>
              <w:bottom w:w="15" w:type="dxa"/>
              <w:right w:w="15" w:type="dxa"/>
            </w:tcMar>
            <w:vAlign w:val="center"/>
            <w:hideMark/>
          </w:tcPr>
          <w:p w14:paraId="439F05C8"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5.31 ± 4.25</w:t>
            </w:r>
          </w:p>
        </w:tc>
        <w:tc>
          <w:tcPr>
            <w:tcW w:w="0" w:type="auto"/>
            <w:tcMar>
              <w:top w:w="15" w:type="dxa"/>
              <w:left w:w="15" w:type="dxa"/>
              <w:bottom w:w="15" w:type="dxa"/>
              <w:right w:w="15" w:type="dxa"/>
            </w:tcMar>
            <w:vAlign w:val="center"/>
            <w:hideMark/>
          </w:tcPr>
          <w:p w14:paraId="46AD9675"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−0.65</w:t>
            </w:r>
          </w:p>
        </w:tc>
        <w:tc>
          <w:tcPr>
            <w:tcW w:w="0" w:type="auto"/>
            <w:tcMar>
              <w:top w:w="15" w:type="dxa"/>
              <w:left w:w="15" w:type="dxa"/>
              <w:bottom w:w="15" w:type="dxa"/>
              <w:right w:w="15" w:type="dxa"/>
            </w:tcMar>
            <w:vAlign w:val="center"/>
            <w:hideMark/>
          </w:tcPr>
          <w:p w14:paraId="0C71E751"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.691</w:t>
            </w:r>
          </w:p>
        </w:tc>
        <w:tc>
          <w:tcPr>
            <w:tcW w:w="0" w:type="auto"/>
            <w:tcMar>
              <w:top w:w="15" w:type="dxa"/>
              <w:left w:w="15" w:type="dxa"/>
              <w:bottom w:w="15" w:type="dxa"/>
              <w:right w:w="15" w:type="dxa"/>
            </w:tcMar>
            <w:vAlign w:val="center"/>
            <w:hideMark/>
          </w:tcPr>
          <w:p w14:paraId="08C3B59E"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No difference</w:t>
            </w:r>
          </w:p>
        </w:tc>
      </w:tr>
      <w:tr w:rsidR="00C95E3D" w:rsidRPr="00C95E3D" w14:paraId="66DAB80F" w14:textId="77777777">
        <w:trPr>
          <w:tblCellSpacing w:w="15" w:type="dxa"/>
        </w:trPr>
        <w:tc>
          <w:tcPr>
            <w:tcW w:w="0" w:type="auto"/>
            <w:tcMar>
              <w:top w:w="15" w:type="dxa"/>
              <w:left w:w="15" w:type="dxa"/>
              <w:bottom w:w="15" w:type="dxa"/>
              <w:right w:w="15" w:type="dxa"/>
            </w:tcMar>
            <w:vAlign w:val="center"/>
            <w:hideMark/>
          </w:tcPr>
          <w:p w14:paraId="46EC802D"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Vitamin C (mg)</w:t>
            </w:r>
          </w:p>
        </w:tc>
        <w:tc>
          <w:tcPr>
            <w:tcW w:w="0" w:type="auto"/>
            <w:tcMar>
              <w:top w:w="15" w:type="dxa"/>
              <w:left w:w="15" w:type="dxa"/>
              <w:bottom w:w="15" w:type="dxa"/>
              <w:right w:w="15" w:type="dxa"/>
            </w:tcMar>
            <w:vAlign w:val="center"/>
            <w:hideMark/>
          </w:tcPr>
          <w:p w14:paraId="79FE1BDB"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84.2 ± 66.3</w:t>
            </w:r>
          </w:p>
        </w:tc>
        <w:tc>
          <w:tcPr>
            <w:tcW w:w="0" w:type="auto"/>
            <w:tcMar>
              <w:top w:w="15" w:type="dxa"/>
              <w:left w:w="15" w:type="dxa"/>
              <w:bottom w:w="15" w:type="dxa"/>
              <w:right w:w="15" w:type="dxa"/>
            </w:tcMar>
            <w:vAlign w:val="center"/>
            <w:hideMark/>
          </w:tcPr>
          <w:p w14:paraId="247F94C6"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123.3 ± 40.9</w:t>
            </w:r>
          </w:p>
        </w:tc>
        <w:tc>
          <w:tcPr>
            <w:tcW w:w="0" w:type="auto"/>
            <w:tcMar>
              <w:top w:w="15" w:type="dxa"/>
              <w:left w:w="15" w:type="dxa"/>
              <w:bottom w:w="15" w:type="dxa"/>
              <w:right w:w="15" w:type="dxa"/>
            </w:tcMar>
            <w:vAlign w:val="center"/>
            <w:hideMark/>
          </w:tcPr>
          <w:p w14:paraId="4D7B3F47"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−39.1</w:t>
            </w:r>
          </w:p>
        </w:tc>
        <w:tc>
          <w:tcPr>
            <w:tcW w:w="0" w:type="auto"/>
            <w:tcMar>
              <w:top w:w="15" w:type="dxa"/>
              <w:left w:w="15" w:type="dxa"/>
              <w:bottom w:w="15" w:type="dxa"/>
              <w:right w:w="15" w:type="dxa"/>
            </w:tcMar>
            <w:vAlign w:val="center"/>
            <w:hideMark/>
          </w:tcPr>
          <w:p w14:paraId="0C376E59"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.130</w:t>
            </w:r>
          </w:p>
        </w:tc>
        <w:tc>
          <w:tcPr>
            <w:tcW w:w="0" w:type="auto"/>
            <w:tcMar>
              <w:top w:w="15" w:type="dxa"/>
              <w:left w:w="15" w:type="dxa"/>
              <w:bottom w:w="15" w:type="dxa"/>
              <w:right w:w="15" w:type="dxa"/>
            </w:tcMar>
            <w:vAlign w:val="center"/>
            <w:hideMark/>
          </w:tcPr>
          <w:p w14:paraId="459100DB"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No difference</w:t>
            </w:r>
          </w:p>
        </w:tc>
      </w:tr>
      <w:tr w:rsidR="00C95E3D" w:rsidRPr="00C95E3D" w14:paraId="685F8D83" w14:textId="77777777">
        <w:trPr>
          <w:tblCellSpacing w:w="15" w:type="dxa"/>
        </w:trPr>
        <w:tc>
          <w:tcPr>
            <w:tcW w:w="0" w:type="auto"/>
            <w:tcMar>
              <w:top w:w="15" w:type="dxa"/>
              <w:left w:w="15" w:type="dxa"/>
              <w:bottom w:w="15" w:type="dxa"/>
              <w:right w:w="15" w:type="dxa"/>
            </w:tcMar>
            <w:vAlign w:val="center"/>
            <w:hideMark/>
          </w:tcPr>
          <w:p w14:paraId="6FD403DE"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Fluid (ml)</w:t>
            </w:r>
          </w:p>
        </w:tc>
        <w:tc>
          <w:tcPr>
            <w:tcW w:w="0" w:type="auto"/>
            <w:tcMar>
              <w:top w:w="15" w:type="dxa"/>
              <w:left w:w="15" w:type="dxa"/>
              <w:bottom w:w="15" w:type="dxa"/>
              <w:right w:w="15" w:type="dxa"/>
            </w:tcMar>
            <w:vAlign w:val="center"/>
            <w:hideMark/>
          </w:tcPr>
          <w:p w14:paraId="33A5557C"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1758.3 ± 619.5</w:t>
            </w:r>
          </w:p>
        </w:tc>
        <w:tc>
          <w:tcPr>
            <w:tcW w:w="0" w:type="auto"/>
            <w:tcMar>
              <w:top w:w="15" w:type="dxa"/>
              <w:left w:w="15" w:type="dxa"/>
              <w:bottom w:w="15" w:type="dxa"/>
              <w:right w:w="15" w:type="dxa"/>
            </w:tcMar>
            <w:vAlign w:val="center"/>
            <w:hideMark/>
          </w:tcPr>
          <w:p w14:paraId="68CD3702"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1478.3 ± 453.3</w:t>
            </w:r>
          </w:p>
        </w:tc>
        <w:tc>
          <w:tcPr>
            <w:tcW w:w="0" w:type="auto"/>
            <w:tcMar>
              <w:top w:w="15" w:type="dxa"/>
              <w:left w:w="15" w:type="dxa"/>
              <w:bottom w:w="15" w:type="dxa"/>
              <w:right w:w="15" w:type="dxa"/>
            </w:tcMar>
            <w:vAlign w:val="center"/>
            <w:hideMark/>
          </w:tcPr>
          <w:p w14:paraId="23C43413"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280.0</w:t>
            </w:r>
          </w:p>
        </w:tc>
        <w:tc>
          <w:tcPr>
            <w:tcW w:w="0" w:type="auto"/>
            <w:tcMar>
              <w:top w:w="15" w:type="dxa"/>
              <w:left w:w="15" w:type="dxa"/>
              <w:bottom w:w="15" w:type="dxa"/>
              <w:right w:w="15" w:type="dxa"/>
            </w:tcMar>
            <w:vAlign w:val="center"/>
            <w:hideMark/>
          </w:tcPr>
          <w:p w14:paraId="390E8968"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.264</w:t>
            </w:r>
          </w:p>
        </w:tc>
        <w:tc>
          <w:tcPr>
            <w:tcW w:w="0" w:type="auto"/>
            <w:tcMar>
              <w:top w:w="15" w:type="dxa"/>
              <w:left w:w="15" w:type="dxa"/>
              <w:bottom w:w="15" w:type="dxa"/>
              <w:right w:w="15" w:type="dxa"/>
            </w:tcMar>
            <w:vAlign w:val="center"/>
            <w:hideMark/>
          </w:tcPr>
          <w:p w14:paraId="7DBA1FB6"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No difference</w:t>
            </w:r>
          </w:p>
        </w:tc>
      </w:tr>
      <w:tr w:rsidR="00C95E3D" w:rsidRPr="00C95E3D" w14:paraId="19F5A330" w14:textId="77777777">
        <w:trPr>
          <w:tblCellSpacing w:w="15" w:type="dxa"/>
        </w:trPr>
        <w:tc>
          <w:tcPr>
            <w:tcW w:w="0" w:type="auto"/>
            <w:tcMar>
              <w:top w:w="15" w:type="dxa"/>
              <w:left w:w="15" w:type="dxa"/>
              <w:bottom w:w="15" w:type="dxa"/>
              <w:right w:w="15" w:type="dxa"/>
            </w:tcMar>
            <w:vAlign w:val="center"/>
            <w:hideMark/>
          </w:tcPr>
          <w:p w14:paraId="34C4D94B"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Iron (mg)</w:t>
            </w:r>
          </w:p>
        </w:tc>
        <w:tc>
          <w:tcPr>
            <w:tcW w:w="0" w:type="auto"/>
            <w:tcMar>
              <w:top w:w="15" w:type="dxa"/>
              <w:left w:w="15" w:type="dxa"/>
              <w:bottom w:w="15" w:type="dxa"/>
              <w:right w:w="15" w:type="dxa"/>
            </w:tcMar>
            <w:vAlign w:val="center"/>
            <w:hideMark/>
          </w:tcPr>
          <w:p w14:paraId="7ED0F200"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9.35 ± 10.43</w:t>
            </w:r>
          </w:p>
        </w:tc>
        <w:tc>
          <w:tcPr>
            <w:tcW w:w="0" w:type="auto"/>
            <w:tcMar>
              <w:top w:w="15" w:type="dxa"/>
              <w:left w:w="15" w:type="dxa"/>
              <w:bottom w:w="15" w:type="dxa"/>
              <w:right w:w="15" w:type="dxa"/>
            </w:tcMar>
            <w:vAlign w:val="center"/>
            <w:hideMark/>
          </w:tcPr>
          <w:p w14:paraId="30E0EF73"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9.29 ± 4.62</w:t>
            </w:r>
          </w:p>
        </w:tc>
        <w:tc>
          <w:tcPr>
            <w:tcW w:w="0" w:type="auto"/>
            <w:tcMar>
              <w:top w:w="15" w:type="dxa"/>
              <w:left w:w="15" w:type="dxa"/>
              <w:bottom w:w="15" w:type="dxa"/>
              <w:right w:w="15" w:type="dxa"/>
            </w:tcMar>
            <w:vAlign w:val="center"/>
            <w:hideMark/>
          </w:tcPr>
          <w:p w14:paraId="404ED596"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0.06</w:t>
            </w:r>
          </w:p>
        </w:tc>
        <w:tc>
          <w:tcPr>
            <w:tcW w:w="0" w:type="auto"/>
            <w:tcMar>
              <w:top w:w="15" w:type="dxa"/>
              <w:left w:w="15" w:type="dxa"/>
              <w:bottom w:w="15" w:type="dxa"/>
              <w:right w:w="15" w:type="dxa"/>
            </w:tcMar>
            <w:vAlign w:val="center"/>
            <w:hideMark/>
          </w:tcPr>
          <w:p w14:paraId="2B64A7EC"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.988</w:t>
            </w:r>
          </w:p>
        </w:tc>
        <w:tc>
          <w:tcPr>
            <w:tcW w:w="0" w:type="auto"/>
            <w:tcMar>
              <w:top w:w="15" w:type="dxa"/>
              <w:left w:w="15" w:type="dxa"/>
              <w:bottom w:w="15" w:type="dxa"/>
              <w:right w:w="15" w:type="dxa"/>
            </w:tcMar>
            <w:vAlign w:val="center"/>
            <w:hideMark/>
          </w:tcPr>
          <w:p w14:paraId="4F8AC6B3"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No difference</w:t>
            </w:r>
          </w:p>
        </w:tc>
      </w:tr>
      <w:tr w:rsidR="00C95E3D" w:rsidRPr="00C95E3D" w14:paraId="4EAC5E15" w14:textId="77777777">
        <w:trPr>
          <w:tblCellSpacing w:w="15" w:type="dxa"/>
        </w:trPr>
        <w:tc>
          <w:tcPr>
            <w:tcW w:w="0" w:type="auto"/>
            <w:tcMar>
              <w:top w:w="15" w:type="dxa"/>
              <w:left w:w="15" w:type="dxa"/>
              <w:bottom w:w="15" w:type="dxa"/>
              <w:right w:w="15" w:type="dxa"/>
            </w:tcMar>
            <w:vAlign w:val="center"/>
            <w:hideMark/>
          </w:tcPr>
          <w:p w14:paraId="7F8219F6"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Vitamin B12 (µg)</w:t>
            </w:r>
          </w:p>
        </w:tc>
        <w:tc>
          <w:tcPr>
            <w:tcW w:w="0" w:type="auto"/>
            <w:tcMar>
              <w:top w:w="15" w:type="dxa"/>
              <w:left w:w="15" w:type="dxa"/>
              <w:bottom w:w="15" w:type="dxa"/>
              <w:right w:w="15" w:type="dxa"/>
            </w:tcMar>
            <w:vAlign w:val="center"/>
            <w:hideMark/>
          </w:tcPr>
          <w:p w14:paraId="3D2AF50B"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7.89 ± 3.50</w:t>
            </w:r>
          </w:p>
        </w:tc>
        <w:tc>
          <w:tcPr>
            <w:tcW w:w="0" w:type="auto"/>
            <w:tcMar>
              <w:top w:w="15" w:type="dxa"/>
              <w:left w:w="15" w:type="dxa"/>
              <w:bottom w:w="15" w:type="dxa"/>
              <w:right w:w="15" w:type="dxa"/>
            </w:tcMar>
            <w:vAlign w:val="center"/>
            <w:hideMark/>
          </w:tcPr>
          <w:p w14:paraId="34077872"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6.43 ± 3.87</w:t>
            </w:r>
          </w:p>
        </w:tc>
        <w:tc>
          <w:tcPr>
            <w:tcW w:w="0" w:type="auto"/>
            <w:tcMar>
              <w:top w:w="15" w:type="dxa"/>
              <w:left w:w="15" w:type="dxa"/>
              <w:bottom w:w="15" w:type="dxa"/>
              <w:right w:w="15" w:type="dxa"/>
            </w:tcMar>
            <w:vAlign w:val="center"/>
            <w:hideMark/>
          </w:tcPr>
          <w:p w14:paraId="1DA471E7"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1.46</w:t>
            </w:r>
          </w:p>
        </w:tc>
        <w:tc>
          <w:tcPr>
            <w:tcW w:w="0" w:type="auto"/>
            <w:tcMar>
              <w:top w:w="15" w:type="dxa"/>
              <w:left w:w="15" w:type="dxa"/>
              <w:bottom w:w="15" w:type="dxa"/>
              <w:right w:w="15" w:type="dxa"/>
            </w:tcMar>
            <w:vAlign w:val="center"/>
            <w:hideMark/>
          </w:tcPr>
          <w:p w14:paraId="48B25F25"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.388</w:t>
            </w:r>
          </w:p>
        </w:tc>
        <w:tc>
          <w:tcPr>
            <w:tcW w:w="0" w:type="auto"/>
            <w:tcMar>
              <w:top w:w="15" w:type="dxa"/>
              <w:left w:w="15" w:type="dxa"/>
              <w:bottom w:w="15" w:type="dxa"/>
              <w:right w:w="15" w:type="dxa"/>
            </w:tcMar>
            <w:vAlign w:val="center"/>
            <w:hideMark/>
          </w:tcPr>
          <w:p w14:paraId="7DF8D911"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No difference</w:t>
            </w:r>
          </w:p>
        </w:tc>
      </w:tr>
      <w:tr w:rsidR="00C95E3D" w:rsidRPr="00C95E3D" w14:paraId="5150711A" w14:textId="77777777">
        <w:trPr>
          <w:tblCellSpacing w:w="15" w:type="dxa"/>
        </w:trPr>
        <w:tc>
          <w:tcPr>
            <w:tcW w:w="0" w:type="auto"/>
            <w:tcMar>
              <w:top w:w="15" w:type="dxa"/>
              <w:left w:w="15" w:type="dxa"/>
              <w:bottom w:w="15" w:type="dxa"/>
              <w:right w:w="15" w:type="dxa"/>
            </w:tcMar>
            <w:vAlign w:val="center"/>
            <w:hideMark/>
          </w:tcPr>
          <w:p w14:paraId="45A21DAD"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Zinc (mg)</w:t>
            </w:r>
          </w:p>
        </w:tc>
        <w:tc>
          <w:tcPr>
            <w:tcW w:w="0" w:type="auto"/>
            <w:tcMar>
              <w:top w:w="15" w:type="dxa"/>
              <w:left w:w="15" w:type="dxa"/>
              <w:bottom w:w="15" w:type="dxa"/>
              <w:right w:w="15" w:type="dxa"/>
            </w:tcMar>
            <w:vAlign w:val="center"/>
            <w:hideMark/>
          </w:tcPr>
          <w:p w14:paraId="77594BB6"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5.60 ± 4.76</w:t>
            </w:r>
          </w:p>
        </w:tc>
        <w:tc>
          <w:tcPr>
            <w:tcW w:w="0" w:type="auto"/>
            <w:tcMar>
              <w:top w:w="15" w:type="dxa"/>
              <w:left w:w="15" w:type="dxa"/>
              <w:bottom w:w="15" w:type="dxa"/>
              <w:right w:w="15" w:type="dxa"/>
            </w:tcMar>
            <w:vAlign w:val="center"/>
            <w:hideMark/>
          </w:tcPr>
          <w:p w14:paraId="37BA8B77"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7.54 ± 2.22</w:t>
            </w:r>
          </w:p>
        </w:tc>
        <w:tc>
          <w:tcPr>
            <w:tcW w:w="0" w:type="auto"/>
            <w:tcMar>
              <w:top w:w="15" w:type="dxa"/>
              <w:left w:w="15" w:type="dxa"/>
              <w:bottom w:w="15" w:type="dxa"/>
              <w:right w:w="15" w:type="dxa"/>
            </w:tcMar>
            <w:vAlign w:val="center"/>
            <w:hideMark/>
          </w:tcPr>
          <w:p w14:paraId="0A8521EF"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−1.94</w:t>
            </w:r>
          </w:p>
        </w:tc>
        <w:tc>
          <w:tcPr>
            <w:tcW w:w="0" w:type="auto"/>
            <w:tcMar>
              <w:top w:w="15" w:type="dxa"/>
              <w:left w:w="15" w:type="dxa"/>
              <w:bottom w:w="15" w:type="dxa"/>
              <w:right w:w="15" w:type="dxa"/>
            </w:tcMar>
            <w:vAlign w:val="center"/>
            <w:hideMark/>
          </w:tcPr>
          <w:p w14:paraId="30738F2A"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.258</w:t>
            </w:r>
          </w:p>
        </w:tc>
        <w:tc>
          <w:tcPr>
            <w:tcW w:w="0" w:type="auto"/>
            <w:tcMar>
              <w:top w:w="15" w:type="dxa"/>
              <w:left w:w="15" w:type="dxa"/>
              <w:bottom w:w="15" w:type="dxa"/>
              <w:right w:w="15" w:type="dxa"/>
            </w:tcMar>
            <w:vAlign w:val="center"/>
            <w:hideMark/>
          </w:tcPr>
          <w:p w14:paraId="5C4800B8"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No difference</w:t>
            </w:r>
          </w:p>
        </w:tc>
      </w:tr>
    </w:tbl>
    <w:p w14:paraId="160FDF9E" w14:textId="77777777" w:rsidR="00C95E3D" w:rsidRDefault="00C95E3D" w:rsidP="00096CAD">
      <w:pPr>
        <w:spacing w:before="100" w:beforeAutospacing="1" w:after="100" w:afterAutospacing="1" w:line="360" w:lineRule="auto"/>
        <w:rPr>
          <w:rFonts w:ascii="Arial" w:eastAsia="Yu Mincho" w:hAnsi="Arial" w:cs="Arial"/>
          <w:kern w:val="0"/>
          <w:lang w:val="en-GB"/>
          <w14:ligatures w14:val="none"/>
        </w:rPr>
      </w:pPr>
      <w:r w:rsidRPr="00C95E3D">
        <w:rPr>
          <w:rFonts w:ascii="Arial" w:eastAsia="Yu Mincho" w:hAnsi="Arial" w:cs="Arial"/>
          <w:kern w:val="0"/>
          <w:lang w:val="en-GB"/>
          <w14:ligatures w14:val="none"/>
        </w:rPr>
        <w:t>* p &lt; .05</w:t>
      </w:r>
    </w:p>
    <w:p w14:paraId="4E7FC82C" w14:textId="77777777" w:rsidR="005C494F" w:rsidRPr="00C95E3D" w:rsidRDefault="005C494F" w:rsidP="00096CAD">
      <w:pPr>
        <w:spacing w:before="100" w:beforeAutospacing="1" w:after="100" w:afterAutospacing="1" w:line="360" w:lineRule="auto"/>
        <w:rPr>
          <w:rFonts w:ascii="Arial" w:eastAsia="Yu Mincho" w:hAnsi="Arial" w:cs="Arial"/>
          <w:kern w:val="0"/>
          <w:lang w:val="en-GB"/>
          <w14:ligatures w14:val="none"/>
        </w:rPr>
      </w:pPr>
    </w:p>
    <w:p w14:paraId="0B47F453" w14:textId="716BF5AD" w:rsidR="00C95E3D" w:rsidRDefault="00C95E3D" w:rsidP="00096CAD">
      <w:pPr>
        <w:spacing w:before="100" w:beforeAutospacing="1" w:after="100" w:afterAutospacing="1" w:line="360" w:lineRule="auto"/>
        <w:rPr>
          <w:rFonts w:ascii="Arial" w:eastAsia="Yu Mincho" w:hAnsi="Arial" w:cs="Arial"/>
          <w:kern w:val="0"/>
          <w:lang w:val="en-GB"/>
          <w14:ligatures w14:val="none"/>
        </w:rPr>
      </w:pPr>
      <w:r>
        <w:rPr>
          <w:rFonts w:ascii="Arial" w:eastAsia="Yu Mincho" w:hAnsi="Arial" w:cs="Arial"/>
          <w:kern w:val="0"/>
          <w:lang w:val="en-GB"/>
          <w14:ligatures w14:val="none"/>
        </w:rPr>
        <w:lastRenderedPageBreak/>
        <w:t>I</w:t>
      </w:r>
      <w:r w:rsidRPr="00C95E3D">
        <w:rPr>
          <w:rFonts w:ascii="Arial" w:eastAsia="Yu Mincho" w:hAnsi="Arial" w:cs="Arial"/>
          <w:kern w:val="0"/>
          <w:lang w:val="en-GB"/>
          <w14:ligatures w14:val="none"/>
        </w:rPr>
        <w:t>ndependent samples t-tests showed no significant baseline between-group differences for total energy intake, macronutrients, fibre, omega-6 intake, omega-3:omega-6 ratio, electrolytes, micronutrients, or fluid intake (all p &gt; .05). Baseline dietary omega-3 intake was higher in the control group than the omega-3 group (p = .013). Baseline caffeine intake was also higher in the control group (p = .021). No other between-group differences were observed.</w:t>
      </w:r>
    </w:p>
    <w:p w14:paraId="15A32241" w14:textId="77777777" w:rsidR="00CA2A0A" w:rsidRPr="003737B1" w:rsidRDefault="00CA2A0A" w:rsidP="00096CAD">
      <w:pPr>
        <w:spacing w:before="100" w:beforeAutospacing="1" w:after="100" w:afterAutospacing="1" w:line="360" w:lineRule="auto"/>
        <w:rPr>
          <w:rFonts w:ascii="Times New Roman" w:eastAsia="Yu Mincho" w:hAnsi="Times New Roman" w:cs="Times New Roman"/>
          <w:kern w:val="0"/>
          <w14:ligatures w14:val="none"/>
        </w:rPr>
      </w:pPr>
    </w:p>
    <w:p w14:paraId="3227625E" w14:textId="432244AA" w:rsidR="00C95E3D" w:rsidRDefault="00C95E3D" w:rsidP="005A0CA3">
      <w:pPr>
        <w:pStyle w:val="Heading2"/>
        <w:rPr>
          <w:rFonts w:eastAsia="Yu Mincho"/>
          <w:lang w:val="en-GB"/>
        </w:rPr>
      </w:pPr>
      <w:bookmarkStart w:id="61" w:name="_Toc228218297"/>
      <w:r w:rsidRPr="00C95E3D">
        <w:rPr>
          <w:rFonts w:eastAsia="Yu Mincho"/>
          <w:lang w:val="en-GB"/>
        </w:rPr>
        <w:t>4.</w:t>
      </w:r>
      <w:r w:rsidR="00683C3B">
        <w:rPr>
          <w:rFonts w:eastAsia="Yu Mincho"/>
          <w:lang w:val="en-GB"/>
        </w:rPr>
        <w:t>2</w:t>
      </w:r>
      <w:r w:rsidRPr="00C95E3D">
        <w:rPr>
          <w:rFonts w:eastAsia="Yu Mincho"/>
          <w:lang w:val="en-GB"/>
        </w:rPr>
        <w:t xml:space="preserve"> Primary outcomes</w:t>
      </w:r>
      <w:bookmarkEnd w:id="61"/>
    </w:p>
    <w:p w14:paraId="3B4F8EBA" w14:textId="77777777" w:rsidR="0034757A" w:rsidRPr="00C95E3D" w:rsidRDefault="0034757A" w:rsidP="00096CAD">
      <w:pPr>
        <w:spacing w:before="100" w:beforeAutospacing="1" w:after="100" w:afterAutospacing="1" w:line="360" w:lineRule="auto"/>
        <w:rPr>
          <w:rFonts w:ascii="Times New Roman" w:eastAsia="Yu Mincho" w:hAnsi="Times New Roman" w:cs="Times New Roman"/>
          <w:b/>
          <w:bCs/>
          <w:kern w:val="0"/>
          <w14:ligatures w14:val="none"/>
        </w:rPr>
      </w:pPr>
    </w:p>
    <w:p w14:paraId="057C436E" w14:textId="10B1F833" w:rsidR="00C95E3D" w:rsidRDefault="00C95E3D" w:rsidP="00C60F1B">
      <w:pPr>
        <w:pStyle w:val="Heading3"/>
        <w:rPr>
          <w:rFonts w:eastAsia="Times New Roman"/>
          <w:lang w:val="en-GB"/>
        </w:rPr>
      </w:pPr>
      <w:bookmarkStart w:id="62" w:name="_Toc228218298"/>
      <w:r>
        <w:rPr>
          <w:rFonts w:eastAsia="Times New Roman"/>
          <w:lang w:val="en-GB"/>
        </w:rPr>
        <w:t>4.</w:t>
      </w:r>
      <w:r w:rsidR="005A0CA3">
        <w:rPr>
          <w:rFonts w:eastAsia="Times New Roman"/>
          <w:lang w:val="en-GB"/>
        </w:rPr>
        <w:t>2</w:t>
      </w:r>
      <w:r>
        <w:rPr>
          <w:rFonts w:eastAsia="Times New Roman"/>
          <w:lang w:val="en-GB"/>
        </w:rPr>
        <w:t xml:space="preserve">.1 </w:t>
      </w:r>
      <w:r w:rsidRPr="00C95E3D">
        <w:rPr>
          <w:rFonts w:eastAsia="Times New Roman"/>
          <w:lang w:val="en-GB"/>
        </w:rPr>
        <w:t>Average Resting Heart Rate (AveRHR)</w:t>
      </w:r>
      <w:bookmarkEnd w:id="62"/>
    </w:p>
    <w:p w14:paraId="41E13561" w14:textId="77777777" w:rsidR="0034757A" w:rsidRPr="00C95E3D" w:rsidRDefault="0034757A" w:rsidP="00096CAD">
      <w:pPr>
        <w:spacing w:before="100" w:beforeAutospacing="1" w:after="100" w:afterAutospacing="1" w:line="360" w:lineRule="auto"/>
        <w:outlineLvl w:val="2"/>
        <w:rPr>
          <w:rFonts w:ascii="Arial" w:eastAsia="Times New Roman" w:hAnsi="Arial" w:cs="Arial"/>
          <w:b/>
          <w:bCs/>
          <w:kern w:val="0"/>
          <w:lang w:val="en-GB"/>
          <w14:ligatures w14:val="none"/>
        </w:rPr>
      </w:pPr>
    </w:p>
    <w:p w14:paraId="54BEB114" w14:textId="609898B1" w:rsidR="00C95E3D" w:rsidRDefault="00C95E3D" w:rsidP="00C82296">
      <w:pPr>
        <w:spacing w:before="100" w:beforeAutospacing="1" w:after="100" w:afterAutospacing="1" w:line="360" w:lineRule="auto"/>
        <w:rPr>
          <w:rFonts w:ascii="Arial" w:eastAsia="Yu Mincho" w:hAnsi="Arial" w:cs="Arial"/>
          <w:kern w:val="0"/>
          <w:lang w:val="en-GB"/>
          <w14:ligatures w14:val="none"/>
        </w:rPr>
      </w:pPr>
      <w:r w:rsidRPr="00C95E3D">
        <w:rPr>
          <w:rFonts w:ascii="Arial" w:eastAsia="Yu Mincho" w:hAnsi="Arial" w:cs="Arial"/>
          <w:kern w:val="0"/>
          <w:lang w:val="en-GB"/>
          <w14:ligatures w14:val="none"/>
        </w:rPr>
        <w:t xml:space="preserve">Average </w:t>
      </w:r>
      <w:r w:rsidR="00937975">
        <w:rPr>
          <w:rFonts w:ascii="Arial" w:eastAsia="Yu Mincho" w:hAnsi="Arial" w:cs="Arial"/>
          <w:kern w:val="0"/>
          <w:lang w:val="en-GB"/>
          <w14:ligatures w14:val="none"/>
        </w:rPr>
        <w:t>RHR</w:t>
      </w:r>
      <w:r w:rsidRPr="00C95E3D">
        <w:rPr>
          <w:rFonts w:ascii="Arial" w:eastAsia="Yu Mincho" w:hAnsi="Arial" w:cs="Arial"/>
          <w:kern w:val="0"/>
          <w:lang w:val="en-GB"/>
          <w14:ligatures w14:val="none"/>
        </w:rPr>
        <w:t xml:space="preserve"> was assessed before and after the eight-week intervention in both the omega-3 and control groups. Mean values suggested a reduction in resting heart rate within the omega-3 group, whereas the control group demonstrated a slight increase across the same period.</w:t>
      </w:r>
    </w:p>
    <w:p w14:paraId="0E0FE049" w14:textId="77777777" w:rsidR="0034757A" w:rsidRPr="003D4333" w:rsidRDefault="0034757A" w:rsidP="00C82296">
      <w:pPr>
        <w:spacing w:before="100" w:beforeAutospacing="1" w:after="100" w:afterAutospacing="1" w:line="360" w:lineRule="auto"/>
        <w:rPr>
          <w:rFonts w:ascii="Arial" w:eastAsia="Yu Mincho" w:hAnsi="Arial" w:cs="Arial"/>
          <w:b/>
          <w:bCs/>
          <w:kern w:val="0"/>
          <w:lang w:val="en-GB"/>
          <w14:ligatures w14:val="none"/>
        </w:rPr>
      </w:pPr>
    </w:p>
    <w:p w14:paraId="2F2EC049" w14:textId="0D22FBB4" w:rsidR="00C95E3D" w:rsidRPr="00C95E3D" w:rsidRDefault="00C95E3D" w:rsidP="00C82296">
      <w:pPr>
        <w:spacing w:line="360" w:lineRule="auto"/>
        <w:rPr>
          <w:noProof/>
          <w:lang w:val="en-GB"/>
        </w:rPr>
      </w:pPr>
      <w:r w:rsidRPr="003D4333">
        <w:rPr>
          <w:b/>
          <w:bCs/>
          <w:lang w:val="en-GB"/>
        </w:rPr>
        <w:t>Table 4.5</w:t>
      </w:r>
      <w:r w:rsidRPr="00C95E3D">
        <w:rPr>
          <w:b/>
          <w:bCs/>
          <w:lang w:val="en-GB"/>
        </w:rPr>
        <w:t xml:space="preserve">  </w:t>
      </w:r>
      <w:r w:rsidRPr="00C95E3D">
        <w:rPr>
          <w:lang w:val="en-GB"/>
        </w:rPr>
        <w:t>Descriptive statistics for average resting heart rate (bpm) at pre- and post-intervention in the omega-3 (INT O3) and control (CON) groups (n = 10 per group)</w:t>
      </w:r>
      <w:r w:rsidRPr="00C95E3D">
        <w:rPr>
          <w:noProof/>
          <w:lang w:val="en-GB"/>
        </w:rPr>
        <w:t xml:space="preserve"> </w:t>
      </w:r>
    </w:p>
    <w:tbl>
      <w:tblPr>
        <w:tblW w:w="0" w:type="auto"/>
        <w:tblCellSpacing w:w="15" w:type="dxa"/>
        <w:tblLook w:val="04A0" w:firstRow="1" w:lastRow="0" w:firstColumn="1" w:lastColumn="0" w:noHBand="0" w:noVBand="1"/>
      </w:tblPr>
      <w:tblGrid>
        <w:gridCol w:w="849"/>
        <w:gridCol w:w="1859"/>
        <w:gridCol w:w="1966"/>
        <w:gridCol w:w="1822"/>
        <w:gridCol w:w="1263"/>
      </w:tblGrid>
      <w:tr w:rsidR="00C95E3D" w:rsidRPr="00C95E3D" w14:paraId="7F753EEF" w14:textId="77777777">
        <w:trPr>
          <w:tblHeader/>
          <w:tblCellSpacing w:w="15" w:type="dxa"/>
        </w:trPr>
        <w:tc>
          <w:tcPr>
            <w:tcW w:w="0" w:type="auto"/>
            <w:tcMar>
              <w:top w:w="15" w:type="dxa"/>
              <w:left w:w="15" w:type="dxa"/>
              <w:bottom w:w="15" w:type="dxa"/>
              <w:right w:w="15" w:type="dxa"/>
            </w:tcMar>
            <w:vAlign w:val="center"/>
            <w:hideMark/>
          </w:tcPr>
          <w:p w14:paraId="2F938E8E" w14:textId="77777777" w:rsidR="00C95E3D" w:rsidRPr="00C95E3D" w:rsidRDefault="00C95E3D" w:rsidP="00096CAD">
            <w:pPr>
              <w:spacing w:before="100" w:beforeAutospacing="1" w:after="100" w:afterAutospacing="1" w:line="360" w:lineRule="auto"/>
              <w:jc w:val="center"/>
              <w:rPr>
                <w:rFonts w:ascii="Arial" w:eastAsia="Yu Mincho" w:hAnsi="Arial" w:cs="Arial"/>
                <w:kern w:val="0"/>
                <w14:ligatures w14:val="none"/>
              </w:rPr>
            </w:pPr>
            <w:r w:rsidRPr="00C95E3D">
              <w:rPr>
                <w:rFonts w:ascii="Arial" w:eastAsia="Yu Mincho" w:hAnsi="Arial" w:cs="Arial"/>
                <w:kern w:val="0"/>
                <w14:ligatures w14:val="none"/>
              </w:rPr>
              <w:t>Group</w:t>
            </w:r>
          </w:p>
        </w:tc>
        <w:tc>
          <w:tcPr>
            <w:tcW w:w="0" w:type="auto"/>
            <w:tcMar>
              <w:top w:w="15" w:type="dxa"/>
              <w:left w:w="15" w:type="dxa"/>
              <w:bottom w:w="15" w:type="dxa"/>
              <w:right w:w="15" w:type="dxa"/>
            </w:tcMar>
            <w:vAlign w:val="center"/>
            <w:hideMark/>
          </w:tcPr>
          <w:p w14:paraId="4AD0B5DA" w14:textId="77777777" w:rsidR="00C95E3D" w:rsidRPr="00C95E3D" w:rsidRDefault="00C95E3D" w:rsidP="00096CAD">
            <w:pPr>
              <w:spacing w:before="100" w:beforeAutospacing="1" w:after="100" w:afterAutospacing="1" w:line="360" w:lineRule="auto"/>
              <w:jc w:val="center"/>
              <w:rPr>
                <w:rFonts w:ascii="Arial" w:eastAsia="Yu Mincho" w:hAnsi="Arial" w:cs="Arial"/>
                <w:kern w:val="0"/>
                <w14:ligatures w14:val="none"/>
              </w:rPr>
            </w:pPr>
            <w:r w:rsidRPr="00C95E3D">
              <w:rPr>
                <w:rFonts w:ascii="Arial" w:eastAsia="Yu Mincho" w:hAnsi="Arial" w:cs="Arial"/>
                <w:kern w:val="0"/>
                <w14:ligatures w14:val="none"/>
              </w:rPr>
              <w:t>Pre (Mean ± SD)</w:t>
            </w:r>
          </w:p>
        </w:tc>
        <w:tc>
          <w:tcPr>
            <w:tcW w:w="0" w:type="auto"/>
            <w:tcMar>
              <w:top w:w="15" w:type="dxa"/>
              <w:left w:w="15" w:type="dxa"/>
              <w:bottom w:w="15" w:type="dxa"/>
              <w:right w:w="15" w:type="dxa"/>
            </w:tcMar>
            <w:vAlign w:val="center"/>
            <w:hideMark/>
          </w:tcPr>
          <w:p w14:paraId="43DD44FC" w14:textId="77777777" w:rsidR="00C95E3D" w:rsidRPr="00C95E3D" w:rsidRDefault="00C95E3D" w:rsidP="00096CAD">
            <w:pPr>
              <w:spacing w:before="100" w:beforeAutospacing="1" w:after="100" w:afterAutospacing="1" w:line="360" w:lineRule="auto"/>
              <w:jc w:val="center"/>
              <w:rPr>
                <w:rFonts w:ascii="Arial" w:eastAsia="Yu Mincho" w:hAnsi="Arial" w:cs="Arial"/>
                <w:kern w:val="0"/>
                <w14:ligatures w14:val="none"/>
              </w:rPr>
            </w:pPr>
            <w:r w:rsidRPr="00C95E3D">
              <w:rPr>
                <w:rFonts w:ascii="Arial" w:eastAsia="Yu Mincho" w:hAnsi="Arial" w:cs="Arial"/>
                <w:kern w:val="0"/>
                <w14:ligatures w14:val="none"/>
              </w:rPr>
              <w:t>Post (Mean ± SD)</w:t>
            </w:r>
          </w:p>
        </w:tc>
        <w:tc>
          <w:tcPr>
            <w:tcW w:w="0" w:type="auto"/>
            <w:tcMar>
              <w:top w:w="15" w:type="dxa"/>
              <w:left w:w="15" w:type="dxa"/>
              <w:bottom w:w="15" w:type="dxa"/>
              <w:right w:w="15" w:type="dxa"/>
            </w:tcMar>
            <w:vAlign w:val="center"/>
            <w:hideMark/>
          </w:tcPr>
          <w:p w14:paraId="1AAC5AC1" w14:textId="77777777" w:rsidR="00C95E3D" w:rsidRPr="00C95E3D" w:rsidRDefault="00C95E3D" w:rsidP="00096CAD">
            <w:pPr>
              <w:spacing w:before="100" w:beforeAutospacing="1" w:after="100" w:afterAutospacing="1" w:line="360" w:lineRule="auto"/>
              <w:jc w:val="center"/>
              <w:rPr>
                <w:rFonts w:ascii="Arial" w:eastAsia="Yu Mincho" w:hAnsi="Arial" w:cs="Arial"/>
                <w:kern w:val="0"/>
                <w14:ligatures w14:val="none"/>
              </w:rPr>
            </w:pPr>
            <w:r w:rsidRPr="00C95E3D">
              <w:rPr>
                <w:rFonts w:ascii="Arial" w:eastAsia="Yu Mincho" w:hAnsi="Arial" w:cs="Arial"/>
                <w:kern w:val="0"/>
                <w14:ligatures w14:val="none"/>
              </w:rPr>
              <w:t>Change (Δ bpm)</w:t>
            </w:r>
          </w:p>
        </w:tc>
        <w:tc>
          <w:tcPr>
            <w:tcW w:w="0" w:type="auto"/>
            <w:tcMar>
              <w:top w:w="15" w:type="dxa"/>
              <w:left w:w="15" w:type="dxa"/>
              <w:bottom w:w="15" w:type="dxa"/>
              <w:right w:w="15" w:type="dxa"/>
            </w:tcMar>
            <w:vAlign w:val="center"/>
            <w:hideMark/>
          </w:tcPr>
          <w:p w14:paraId="61226478" w14:textId="77777777" w:rsidR="00C95E3D" w:rsidRPr="00C95E3D" w:rsidRDefault="00C95E3D" w:rsidP="00096CAD">
            <w:pPr>
              <w:spacing w:before="100" w:beforeAutospacing="1" w:after="100" w:afterAutospacing="1" w:line="360" w:lineRule="auto"/>
              <w:jc w:val="center"/>
              <w:rPr>
                <w:rFonts w:ascii="Arial" w:eastAsia="Yu Mincho" w:hAnsi="Arial" w:cs="Arial"/>
                <w:kern w:val="0"/>
                <w14:ligatures w14:val="none"/>
              </w:rPr>
            </w:pPr>
            <w:r w:rsidRPr="00C95E3D">
              <w:rPr>
                <w:rFonts w:ascii="Arial" w:eastAsia="Yu Mincho" w:hAnsi="Arial" w:cs="Arial"/>
                <w:kern w:val="0"/>
                <w14:ligatures w14:val="none"/>
              </w:rPr>
              <w:t xml:space="preserve">% Change. </w:t>
            </w:r>
          </w:p>
        </w:tc>
      </w:tr>
      <w:tr w:rsidR="00C95E3D" w:rsidRPr="00C95E3D" w14:paraId="4D7D87EF" w14:textId="77777777">
        <w:trPr>
          <w:tblCellSpacing w:w="15" w:type="dxa"/>
        </w:trPr>
        <w:tc>
          <w:tcPr>
            <w:tcW w:w="0" w:type="auto"/>
            <w:tcMar>
              <w:top w:w="15" w:type="dxa"/>
              <w:left w:w="15" w:type="dxa"/>
              <w:bottom w:w="15" w:type="dxa"/>
              <w:right w:w="15" w:type="dxa"/>
            </w:tcMar>
            <w:vAlign w:val="center"/>
            <w:hideMark/>
          </w:tcPr>
          <w:p w14:paraId="4FFC53E1"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INT O3</w:t>
            </w:r>
          </w:p>
        </w:tc>
        <w:tc>
          <w:tcPr>
            <w:tcW w:w="0" w:type="auto"/>
            <w:tcMar>
              <w:top w:w="15" w:type="dxa"/>
              <w:left w:w="15" w:type="dxa"/>
              <w:bottom w:w="15" w:type="dxa"/>
              <w:right w:w="15" w:type="dxa"/>
            </w:tcMar>
            <w:vAlign w:val="center"/>
            <w:hideMark/>
          </w:tcPr>
          <w:p w14:paraId="1E2ABEB9"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65.50 ± 13.98</w:t>
            </w:r>
          </w:p>
        </w:tc>
        <w:tc>
          <w:tcPr>
            <w:tcW w:w="0" w:type="auto"/>
            <w:tcMar>
              <w:top w:w="15" w:type="dxa"/>
              <w:left w:w="15" w:type="dxa"/>
              <w:bottom w:w="15" w:type="dxa"/>
              <w:right w:w="15" w:type="dxa"/>
            </w:tcMar>
            <w:vAlign w:val="center"/>
            <w:hideMark/>
          </w:tcPr>
          <w:p w14:paraId="68E38CD5"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61.50 ± 13.97</w:t>
            </w:r>
          </w:p>
        </w:tc>
        <w:tc>
          <w:tcPr>
            <w:tcW w:w="0" w:type="auto"/>
            <w:tcMar>
              <w:top w:w="15" w:type="dxa"/>
              <w:left w:w="15" w:type="dxa"/>
              <w:bottom w:w="15" w:type="dxa"/>
              <w:right w:w="15" w:type="dxa"/>
            </w:tcMar>
            <w:vAlign w:val="center"/>
            <w:hideMark/>
          </w:tcPr>
          <w:p w14:paraId="7C9EA81C"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−4.00</w:t>
            </w:r>
          </w:p>
        </w:tc>
        <w:tc>
          <w:tcPr>
            <w:tcW w:w="0" w:type="auto"/>
            <w:tcMar>
              <w:top w:w="15" w:type="dxa"/>
              <w:left w:w="15" w:type="dxa"/>
              <w:bottom w:w="15" w:type="dxa"/>
              <w:right w:w="15" w:type="dxa"/>
            </w:tcMar>
            <w:vAlign w:val="center"/>
            <w:hideMark/>
          </w:tcPr>
          <w:p w14:paraId="6DA4271D"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−6.1%</w:t>
            </w:r>
          </w:p>
        </w:tc>
      </w:tr>
      <w:tr w:rsidR="00C95E3D" w:rsidRPr="00C95E3D" w14:paraId="68863989" w14:textId="77777777">
        <w:trPr>
          <w:tblCellSpacing w:w="15" w:type="dxa"/>
        </w:trPr>
        <w:tc>
          <w:tcPr>
            <w:tcW w:w="0" w:type="auto"/>
            <w:tcMar>
              <w:top w:w="15" w:type="dxa"/>
              <w:left w:w="15" w:type="dxa"/>
              <w:bottom w:w="15" w:type="dxa"/>
              <w:right w:w="15" w:type="dxa"/>
            </w:tcMar>
            <w:vAlign w:val="center"/>
            <w:hideMark/>
          </w:tcPr>
          <w:p w14:paraId="63D4B42A"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CON</w:t>
            </w:r>
          </w:p>
        </w:tc>
        <w:tc>
          <w:tcPr>
            <w:tcW w:w="0" w:type="auto"/>
            <w:tcMar>
              <w:top w:w="15" w:type="dxa"/>
              <w:left w:w="15" w:type="dxa"/>
              <w:bottom w:w="15" w:type="dxa"/>
              <w:right w:w="15" w:type="dxa"/>
            </w:tcMar>
            <w:vAlign w:val="center"/>
            <w:hideMark/>
          </w:tcPr>
          <w:p w14:paraId="72108F03"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62.50 ± 11.10</w:t>
            </w:r>
          </w:p>
        </w:tc>
        <w:tc>
          <w:tcPr>
            <w:tcW w:w="0" w:type="auto"/>
            <w:tcMar>
              <w:top w:w="15" w:type="dxa"/>
              <w:left w:w="15" w:type="dxa"/>
              <w:bottom w:w="15" w:type="dxa"/>
              <w:right w:w="15" w:type="dxa"/>
            </w:tcMar>
            <w:vAlign w:val="center"/>
            <w:hideMark/>
          </w:tcPr>
          <w:p w14:paraId="004B6B8B"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64.30 ± 10.31</w:t>
            </w:r>
          </w:p>
        </w:tc>
        <w:tc>
          <w:tcPr>
            <w:tcW w:w="0" w:type="auto"/>
            <w:tcMar>
              <w:top w:w="15" w:type="dxa"/>
              <w:left w:w="15" w:type="dxa"/>
              <w:bottom w:w="15" w:type="dxa"/>
              <w:right w:w="15" w:type="dxa"/>
            </w:tcMar>
            <w:vAlign w:val="center"/>
            <w:hideMark/>
          </w:tcPr>
          <w:p w14:paraId="686953F0"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+1.80</w:t>
            </w:r>
          </w:p>
        </w:tc>
        <w:tc>
          <w:tcPr>
            <w:tcW w:w="0" w:type="auto"/>
            <w:tcMar>
              <w:top w:w="15" w:type="dxa"/>
              <w:left w:w="15" w:type="dxa"/>
              <w:bottom w:w="15" w:type="dxa"/>
              <w:right w:w="15" w:type="dxa"/>
            </w:tcMar>
            <w:vAlign w:val="center"/>
            <w:hideMark/>
          </w:tcPr>
          <w:p w14:paraId="2BC610FB"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+2.9%</w:t>
            </w:r>
          </w:p>
        </w:tc>
      </w:tr>
    </w:tbl>
    <w:p w14:paraId="005A1A22" w14:textId="77777777" w:rsidR="00C95E3D" w:rsidRPr="00C95E3D" w:rsidRDefault="00C95E3D" w:rsidP="00257729">
      <w:pPr>
        <w:rPr>
          <w:lang w:val="en-GB"/>
        </w:rPr>
      </w:pPr>
      <w:r w:rsidRPr="00C95E3D">
        <w:rPr>
          <w:lang w:val="en-GB"/>
        </w:rPr>
        <w:t>Between-group difference in change (ΔΔ): −5.80 bpm.do</w:t>
      </w:r>
    </w:p>
    <w:p w14:paraId="1BA94A45" w14:textId="77777777" w:rsidR="00C95E3D" w:rsidRPr="00C95E3D" w:rsidRDefault="00C95E3D" w:rsidP="00096CAD">
      <w:pPr>
        <w:spacing w:before="100" w:beforeAutospacing="1" w:after="100" w:afterAutospacing="1" w:line="360" w:lineRule="auto"/>
        <w:rPr>
          <w:rFonts w:ascii="Times New Roman" w:eastAsia="Yu Mincho" w:hAnsi="Times New Roman" w:cs="Times New Roman"/>
          <w:kern w:val="0"/>
          <w14:ligatures w14:val="none"/>
        </w:rPr>
      </w:pPr>
    </w:p>
    <w:p w14:paraId="4892EA38" w14:textId="65B8A38D" w:rsidR="00C95E3D" w:rsidRPr="00C95E3D" w:rsidRDefault="00C95E3D" w:rsidP="00096CAD">
      <w:pPr>
        <w:spacing w:before="100" w:beforeAutospacing="1" w:after="100" w:afterAutospacing="1" w:line="360" w:lineRule="auto"/>
        <w:rPr>
          <w:rFonts w:ascii="Arial" w:eastAsia="Yu Mincho" w:hAnsi="Arial" w:cs="Arial"/>
          <w:kern w:val="0"/>
          <w:lang w:val="en-GB"/>
          <w14:ligatures w14:val="none"/>
        </w:rPr>
      </w:pPr>
      <w:r>
        <w:rPr>
          <w:noProof/>
        </w:rPr>
        <w:lastRenderedPageBreak/>
        <w:drawing>
          <wp:inline distT="0" distB="0" distL="0" distR="0" wp14:anchorId="776737AE" wp14:editId="4DCFF7C9">
            <wp:extent cx="5410200" cy="3187700"/>
            <wp:effectExtent l="0" t="0" r="0" b="0"/>
            <wp:docPr id="587756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75683" name="Picture 1"/>
                    <pic:cNvPicPr>
                      <a:picLocks noChangeAspect="1"/>
                    </pic:cNvPicPr>
                  </pic:nvPicPr>
                  <pic:blipFill>
                    <a:blip r:embed="rId11"/>
                    <a:stretch>
                      <a:fillRect/>
                    </a:stretch>
                  </pic:blipFill>
                  <pic:spPr>
                    <a:xfrm>
                      <a:off x="0" y="0"/>
                      <a:ext cx="5410200" cy="3187700"/>
                    </a:xfrm>
                    <a:prstGeom prst="rect">
                      <a:avLst/>
                    </a:prstGeom>
                  </pic:spPr>
                </pic:pic>
              </a:graphicData>
            </a:graphic>
          </wp:inline>
        </w:drawing>
      </w:r>
    </w:p>
    <w:p w14:paraId="2428F992" w14:textId="05990EC4" w:rsidR="00C95E3D" w:rsidRDefault="00C95E3D" w:rsidP="00096CAD">
      <w:pPr>
        <w:spacing w:before="100" w:beforeAutospacing="1" w:after="100" w:afterAutospacing="1" w:line="360" w:lineRule="auto"/>
        <w:rPr>
          <w:rFonts w:ascii="Arial" w:eastAsia="Yu Mincho" w:hAnsi="Arial" w:cs="Arial"/>
          <w:kern w:val="0"/>
          <w:lang w:val="en-GB"/>
          <w14:ligatures w14:val="none"/>
        </w:rPr>
      </w:pPr>
      <w:r w:rsidRPr="00C95E3D">
        <w:rPr>
          <w:rFonts w:ascii="Arial" w:eastAsia="Yu Mincho" w:hAnsi="Arial" w:cs="Arial"/>
          <w:color w:val="000000" w:themeColor="text1"/>
          <w:kern w:val="0"/>
          <w:lang w:val="en-GB"/>
          <w14:ligatures w14:val="none"/>
        </w:rPr>
        <w:t xml:space="preserve"> </w:t>
      </w:r>
      <w:r w:rsidRPr="00C95E3D">
        <w:rPr>
          <w:rFonts w:ascii="Arial" w:eastAsia="Yu Mincho" w:hAnsi="Arial" w:cs="Arial"/>
          <w:b/>
          <w:bCs/>
          <w:color w:val="000000" w:themeColor="text1"/>
          <w:kern w:val="0"/>
          <w:lang w:val="en-GB"/>
          <w14:ligatures w14:val="none"/>
        </w:rPr>
        <w:t>Figure 4.1</w:t>
      </w:r>
      <w:r w:rsidRPr="00C95E3D">
        <w:rPr>
          <w:rFonts w:ascii="Arial" w:eastAsia="Yu Mincho" w:hAnsi="Arial" w:cs="Arial"/>
          <w:color w:val="000000" w:themeColor="text1"/>
          <w:kern w:val="0"/>
          <w:lang w:val="en-GB"/>
          <w14:ligatures w14:val="none"/>
        </w:rPr>
        <w:t xml:space="preserve">. </w:t>
      </w:r>
      <w:r w:rsidRPr="00C95E3D">
        <w:rPr>
          <w:rFonts w:ascii="Arial" w:eastAsia="Yu Mincho" w:hAnsi="Arial" w:cs="Arial"/>
          <w:kern w:val="0"/>
          <w:lang w:val="en-GB"/>
          <w14:ligatures w14:val="none"/>
        </w:rPr>
        <w:t>Resting heart rate (bpm) at baseline and post-intervention in the omega-3 and control groups. Values represent estimated marginal means with 95% confidence intervals.</w:t>
      </w:r>
    </w:p>
    <w:p w14:paraId="5884574A" w14:textId="77777777" w:rsidR="0034757A" w:rsidRPr="00C95E3D" w:rsidRDefault="0034757A" w:rsidP="00096CAD">
      <w:pPr>
        <w:spacing w:before="100" w:beforeAutospacing="1" w:after="100" w:afterAutospacing="1" w:line="360" w:lineRule="auto"/>
        <w:rPr>
          <w:rFonts w:ascii="Times New Roman" w:eastAsia="Yu Mincho" w:hAnsi="Times New Roman" w:cs="Times New Roman"/>
          <w:b/>
          <w:bCs/>
          <w:color w:val="000000" w:themeColor="text1"/>
          <w:kern w:val="0"/>
          <w14:ligatures w14:val="none"/>
        </w:rPr>
      </w:pPr>
    </w:p>
    <w:p w14:paraId="08156BAD" w14:textId="5BD824DB" w:rsidR="00C95E3D" w:rsidRPr="00C95E3D" w:rsidRDefault="00C95E3D" w:rsidP="001871C3">
      <w:pPr>
        <w:spacing w:before="100" w:beforeAutospacing="1" w:after="100" w:afterAutospacing="1" w:line="360" w:lineRule="auto"/>
        <w:rPr>
          <w:rFonts w:ascii="Arial" w:eastAsia="Yu Mincho" w:hAnsi="Arial" w:cs="Arial"/>
          <w:kern w:val="0"/>
          <w:lang w:val="en-GB"/>
          <w14:ligatures w14:val="none"/>
        </w:rPr>
      </w:pPr>
      <w:r w:rsidRPr="00C95E3D">
        <w:rPr>
          <w:rFonts w:ascii="Arial" w:eastAsia="Yu Mincho" w:hAnsi="Arial" w:cs="Arial"/>
          <w:kern w:val="0"/>
          <w:lang w:val="en-GB"/>
          <w14:ligatures w14:val="none"/>
        </w:rPr>
        <w:t>A two-way mixed ANOVA showed no significant main effect of time, F(1,18) = 0.526, p = .477, partial η² = .028, and no significant main effect of group, F(1,18) = 0.000, p = .985, partial η² = .000. The time × group interaction was not significant, F(1,18) = 3.658, p = .072, partial η² = .169.</w:t>
      </w:r>
    </w:p>
    <w:p w14:paraId="2FC2FB12" w14:textId="0E0ADEFB" w:rsidR="00C95E3D" w:rsidRPr="00C95E3D" w:rsidRDefault="00C95E3D" w:rsidP="001871C3">
      <w:pPr>
        <w:spacing w:before="100" w:beforeAutospacing="1" w:after="100" w:afterAutospacing="1" w:line="360" w:lineRule="auto"/>
        <w:rPr>
          <w:rFonts w:ascii="Arial" w:eastAsia="Yu Mincho" w:hAnsi="Arial" w:cs="Arial"/>
          <w:kern w:val="0"/>
          <w:lang w:val="en-GB"/>
          <w14:ligatures w14:val="none"/>
        </w:rPr>
      </w:pPr>
      <w:r w:rsidRPr="00C95E3D">
        <w:rPr>
          <w:rFonts w:ascii="Arial" w:eastAsia="Yu Mincho" w:hAnsi="Arial" w:cs="Arial"/>
          <w:kern w:val="0"/>
          <w:lang w:val="en-GB"/>
          <w14:ligatures w14:val="none"/>
        </w:rPr>
        <w:t>Bonferroni-adjusted pairwise comparisons showed no significant between-group differences at baseline (p = .602) or post-intervention (p = .616). Within-group comparisons showed no significant pre- to post-intervention change in the omega-3 group (p = .079) or control group (p = .412).</w:t>
      </w:r>
    </w:p>
    <w:p w14:paraId="6626A6D9" w14:textId="77777777" w:rsidR="00C95E3D" w:rsidRDefault="00C95E3D" w:rsidP="001871C3">
      <w:pPr>
        <w:spacing w:before="100" w:beforeAutospacing="1" w:after="100" w:afterAutospacing="1" w:line="360" w:lineRule="auto"/>
        <w:rPr>
          <w:rFonts w:ascii="Arial" w:eastAsia="Yu Mincho" w:hAnsi="Arial" w:cs="Arial"/>
          <w:kern w:val="0"/>
          <w:lang w:val="en-GB"/>
          <w14:ligatures w14:val="none"/>
        </w:rPr>
      </w:pPr>
      <w:r w:rsidRPr="00C95E3D">
        <w:rPr>
          <w:rFonts w:ascii="Arial" w:eastAsia="Yu Mincho" w:hAnsi="Arial" w:cs="Arial"/>
          <w:kern w:val="0"/>
          <w:lang w:val="en-GB"/>
          <w14:ligatures w14:val="none"/>
        </w:rPr>
        <w:t xml:space="preserve">Descriptively, resting heart rate decreased from 65.5 ± 13.98 bpm to 61.5 ± 13.97 bpm (Δ = −4.0 bpm; −6.1%) in the omega-3 group and increased from 62.5 ± 11.10 bpm to </w:t>
      </w:r>
      <w:r w:rsidRPr="00C95E3D">
        <w:rPr>
          <w:rFonts w:ascii="Arial" w:eastAsia="Yu Mincho" w:hAnsi="Arial" w:cs="Arial"/>
          <w:kern w:val="0"/>
          <w:lang w:val="en-GB"/>
          <w14:ligatures w14:val="none"/>
        </w:rPr>
        <w:lastRenderedPageBreak/>
        <w:t>64.3 ± 10.31 bpm (Δ = +1.8 bpm; +2.9%) in the control group, resulting in a between-group difference in change (ΔΔ) of −5.8 bpm.</w:t>
      </w:r>
    </w:p>
    <w:p w14:paraId="184A3DCE" w14:textId="77777777" w:rsidR="00C95E3D" w:rsidRPr="00C95E3D" w:rsidRDefault="00C95E3D" w:rsidP="001871C3">
      <w:pPr>
        <w:spacing w:after="0" w:line="360" w:lineRule="auto"/>
        <w:rPr>
          <w:rFonts w:ascii="Arial" w:eastAsia="Yu Mincho" w:hAnsi="Arial" w:cs="Arial"/>
          <w:b/>
          <w:bCs/>
          <w:color w:val="000000" w:themeColor="text1"/>
          <w:lang w:val="en-GB"/>
        </w:rPr>
      </w:pPr>
    </w:p>
    <w:p w14:paraId="7331C2BA" w14:textId="196FF264" w:rsidR="00C95E3D" w:rsidRDefault="00C95E3D" w:rsidP="00C60F1B">
      <w:pPr>
        <w:pStyle w:val="Heading3"/>
        <w:rPr>
          <w:rFonts w:eastAsia="Yu Mincho"/>
          <w:lang w:val="en-GB"/>
        </w:rPr>
      </w:pPr>
      <w:bookmarkStart w:id="63" w:name="_Toc228218299"/>
      <w:r>
        <w:rPr>
          <w:rFonts w:eastAsia="Yu Mincho"/>
          <w:lang w:val="en-GB"/>
        </w:rPr>
        <w:t>4.</w:t>
      </w:r>
      <w:r w:rsidR="00C60F1B">
        <w:rPr>
          <w:rFonts w:eastAsia="Yu Mincho"/>
          <w:lang w:val="en-GB"/>
        </w:rPr>
        <w:t>2</w:t>
      </w:r>
      <w:r>
        <w:rPr>
          <w:rFonts w:eastAsia="Yu Mincho"/>
          <w:lang w:val="en-GB"/>
        </w:rPr>
        <w:t xml:space="preserve">.2 </w:t>
      </w:r>
      <w:r w:rsidRPr="00C95E3D">
        <w:rPr>
          <w:rFonts w:eastAsia="Yu Mincho"/>
          <w:lang w:val="en-GB"/>
        </w:rPr>
        <w:t>Systolic blood pressure (SBP)</w:t>
      </w:r>
      <w:bookmarkEnd w:id="63"/>
    </w:p>
    <w:p w14:paraId="26BAC56E" w14:textId="77777777" w:rsidR="003A260F" w:rsidRPr="00C95E3D" w:rsidRDefault="003A260F" w:rsidP="00096CAD">
      <w:pPr>
        <w:spacing w:line="360" w:lineRule="auto"/>
        <w:rPr>
          <w:rFonts w:ascii="Arial" w:eastAsia="Yu Mincho" w:hAnsi="Arial" w:cs="Arial"/>
          <w:b/>
          <w:bCs/>
          <w:color w:val="000000" w:themeColor="text1"/>
          <w:lang w:val="en-GB"/>
        </w:rPr>
      </w:pPr>
    </w:p>
    <w:p w14:paraId="570850EE" w14:textId="12B5C41E" w:rsidR="00C95E3D" w:rsidRDefault="00C95E3D" w:rsidP="001871C3">
      <w:pPr>
        <w:spacing w:line="360" w:lineRule="auto"/>
        <w:rPr>
          <w:rFonts w:ascii="Arial" w:eastAsia="Yu Mincho" w:hAnsi="Arial" w:cs="Arial"/>
          <w:color w:val="000000" w:themeColor="text1"/>
          <w:lang w:val="en-GB"/>
        </w:rPr>
      </w:pPr>
      <w:r w:rsidRPr="00C95E3D">
        <w:rPr>
          <w:rFonts w:ascii="Arial" w:eastAsia="Yu Mincho" w:hAnsi="Arial" w:cs="Arial"/>
          <w:color w:val="000000" w:themeColor="text1"/>
          <w:lang w:val="en-GB"/>
        </w:rPr>
        <w:t>Systolic blood pressure (SBP) was assessed pre- and post-intervention in the omega-3 (INT O3) and control (CON) groups. A two-way mixed ANOVA examined the effects of time (pre vs post), group (INT O3 vs CON), and the time×group interaction.</w:t>
      </w:r>
    </w:p>
    <w:p w14:paraId="1F2260AA" w14:textId="77777777" w:rsidR="003A260F" w:rsidRPr="00C95E3D" w:rsidRDefault="003A260F" w:rsidP="001871C3">
      <w:pPr>
        <w:spacing w:line="360" w:lineRule="auto"/>
        <w:rPr>
          <w:rFonts w:ascii="Arial" w:eastAsia="Yu Mincho" w:hAnsi="Arial" w:cs="Arial"/>
          <w:color w:val="000000" w:themeColor="text1"/>
          <w:lang w:val="en-GB"/>
        </w:rPr>
      </w:pPr>
    </w:p>
    <w:p w14:paraId="59F2481B" w14:textId="5F719FE3" w:rsidR="00C95E3D" w:rsidRPr="00C95E3D" w:rsidRDefault="00C95E3D" w:rsidP="001871C3">
      <w:pPr>
        <w:spacing w:before="100" w:beforeAutospacing="1" w:after="100" w:afterAutospacing="1" w:line="360" w:lineRule="auto"/>
        <w:rPr>
          <w:rFonts w:ascii="Arial" w:eastAsia="Yu Mincho" w:hAnsi="Arial" w:cs="Arial"/>
          <w:noProof/>
          <w:kern w:val="0"/>
          <w:lang w:val="en-GB"/>
          <w14:ligatures w14:val="none"/>
        </w:rPr>
      </w:pPr>
      <w:r w:rsidRPr="00C95E3D">
        <w:rPr>
          <w:rFonts w:ascii="Arial" w:eastAsia="Yu Mincho" w:hAnsi="Arial" w:cs="Arial"/>
          <w:b/>
          <w:bCs/>
          <w:color w:val="000000" w:themeColor="text1"/>
          <w:kern w:val="0"/>
          <w:lang w:val="en-GB"/>
          <w14:ligatures w14:val="none"/>
        </w:rPr>
        <w:t>Table 4.6</w:t>
      </w:r>
      <w:r w:rsidRPr="00C95E3D">
        <w:rPr>
          <w:rFonts w:ascii="Arial" w:eastAsia="Yu Mincho" w:hAnsi="Arial" w:cs="Arial"/>
          <w:color w:val="000000" w:themeColor="text1"/>
          <w:kern w:val="0"/>
          <w:lang w:val="en-GB"/>
          <w14:ligatures w14:val="none"/>
        </w:rPr>
        <w:t xml:space="preserve">. Descriptive statistics for systolic blood pressure (mmHg) at pre- and post-intervention in the omega-3 (INT O3) and control (CON) groups. </w:t>
      </w:r>
      <w:r w:rsidRPr="00C95E3D">
        <w:rPr>
          <w:rFonts w:ascii="Arial" w:eastAsia="Yu Mincho" w:hAnsi="Arial" w:cs="Arial"/>
          <w:kern w:val="0"/>
          <w:lang w:val="en-GB"/>
          <w14:ligatures w14:val="none"/>
        </w:rPr>
        <w:t>(n = 10 per group)</w:t>
      </w:r>
      <w:r w:rsidRPr="00C95E3D">
        <w:rPr>
          <w:rFonts w:ascii="Arial" w:eastAsia="Yu Mincho" w:hAnsi="Arial" w:cs="Arial"/>
          <w:noProof/>
          <w:kern w:val="0"/>
          <w:lang w:val="en-GB"/>
          <w14:ligatures w14:val="none"/>
        </w:rPr>
        <w:t xml:space="preserve"> </w:t>
      </w:r>
    </w:p>
    <w:p w14:paraId="3EC51E6F" w14:textId="77777777" w:rsidR="00C95E3D" w:rsidRPr="00C95E3D" w:rsidRDefault="00C95E3D" w:rsidP="00096CAD">
      <w:pPr>
        <w:spacing w:before="100" w:beforeAutospacing="1" w:after="100" w:afterAutospacing="1" w:line="360" w:lineRule="auto"/>
        <w:rPr>
          <w:rFonts w:ascii="Arial" w:eastAsia="Yu Mincho" w:hAnsi="Arial" w:cs="Arial"/>
          <w:kern w:val="0"/>
          <w:lang w:val="en-GB"/>
          <w14:ligatures w14:val="none"/>
        </w:rPr>
      </w:pPr>
      <w:r w:rsidRPr="00C95E3D">
        <w:rPr>
          <w:rFonts w:ascii="Arial" w:eastAsia="Yu Mincho" w:hAnsi="Arial" w:cs="Arial"/>
          <w:kern w:val="0"/>
          <w:lang w:val="en-GB"/>
          <w14:ligatures w14:val="none"/>
        </w:rPr>
        <w:t>Group      Pre (Mean ± SD)      Post (Mean ± SD)      Change (Δ mmHg)      % Change</w:t>
      </w:r>
    </w:p>
    <w:p w14:paraId="2B2D4E02" w14:textId="77777777" w:rsidR="00C95E3D" w:rsidRPr="00C95E3D" w:rsidRDefault="00C95E3D" w:rsidP="00096CAD">
      <w:pPr>
        <w:spacing w:before="100" w:beforeAutospacing="1" w:after="100" w:afterAutospacing="1" w:line="360" w:lineRule="auto"/>
        <w:rPr>
          <w:rFonts w:ascii="Arial" w:eastAsia="Yu Mincho" w:hAnsi="Arial" w:cs="Arial"/>
          <w:kern w:val="0"/>
          <w:lang w:val="en-GB"/>
          <w14:ligatures w14:val="none"/>
        </w:rPr>
      </w:pPr>
      <w:r w:rsidRPr="00C95E3D">
        <w:rPr>
          <w:rFonts w:ascii="Arial" w:eastAsia="Yu Mincho" w:hAnsi="Arial" w:cs="Arial"/>
          <w:kern w:val="0"/>
          <w:lang w:val="en-GB"/>
          <w14:ligatures w14:val="none"/>
        </w:rPr>
        <w:t>INT O3     136.50 ± 15.73       124.10 ± 11.26        −12.40               −9.1%</w:t>
      </w:r>
    </w:p>
    <w:p w14:paraId="041679B9" w14:textId="77777777" w:rsidR="00C95E3D" w:rsidRPr="00C95E3D" w:rsidRDefault="00C95E3D" w:rsidP="00096CAD">
      <w:pPr>
        <w:spacing w:before="100" w:beforeAutospacing="1" w:after="100" w:afterAutospacing="1" w:line="360" w:lineRule="auto"/>
        <w:rPr>
          <w:rFonts w:ascii="Arial" w:eastAsia="Yu Mincho" w:hAnsi="Arial" w:cs="Arial"/>
          <w:kern w:val="0"/>
          <w:lang w:val="en-GB"/>
          <w14:ligatures w14:val="none"/>
        </w:rPr>
      </w:pPr>
      <w:r w:rsidRPr="00C95E3D">
        <w:rPr>
          <w:rFonts w:ascii="Arial" w:eastAsia="Yu Mincho" w:hAnsi="Arial" w:cs="Arial"/>
          <w:kern w:val="0"/>
          <w:lang w:val="en-GB"/>
          <w14:ligatures w14:val="none"/>
        </w:rPr>
        <w:t>CON        132.40 ± 15.69       133.40 ± 7.58         +1.00                +0.8%</w:t>
      </w:r>
    </w:p>
    <w:p w14:paraId="6D485D42" w14:textId="77777777" w:rsidR="00C95E3D" w:rsidRPr="00C95E3D" w:rsidRDefault="00C95E3D" w:rsidP="00096CAD">
      <w:pPr>
        <w:spacing w:before="100" w:beforeAutospacing="1" w:after="100" w:afterAutospacing="1" w:line="360" w:lineRule="auto"/>
        <w:rPr>
          <w:rFonts w:ascii="Arial" w:eastAsia="Yu Mincho" w:hAnsi="Arial" w:cs="Arial"/>
          <w:kern w:val="0"/>
          <w:lang w:val="en-GB"/>
          <w14:ligatures w14:val="none"/>
        </w:rPr>
      </w:pPr>
      <w:r w:rsidRPr="00C95E3D">
        <w:rPr>
          <w:rFonts w:ascii="Arial" w:eastAsia="Yu Mincho" w:hAnsi="Arial" w:cs="Arial"/>
          <w:kern w:val="0"/>
          <w:lang w:val="en-GB"/>
          <w14:ligatures w14:val="none"/>
        </w:rPr>
        <w:t>Between-group difference in change (ΔΔ): −13.40 mmHg.</w:t>
      </w:r>
    </w:p>
    <w:p w14:paraId="0C2EAFE1" w14:textId="77777777" w:rsidR="00C95E3D" w:rsidRPr="00C95E3D" w:rsidRDefault="00C95E3D" w:rsidP="00096CAD">
      <w:pPr>
        <w:spacing w:after="0" w:line="360" w:lineRule="auto"/>
        <w:rPr>
          <w:rFonts w:ascii="Arial" w:eastAsia="Yu Mincho" w:hAnsi="Arial" w:cs="Arial"/>
          <w:color w:val="000000" w:themeColor="text1"/>
          <w:lang w:val="en-GB"/>
        </w:rPr>
      </w:pPr>
    </w:p>
    <w:p w14:paraId="761E0ACD" w14:textId="76C97517" w:rsidR="00C95E3D" w:rsidRPr="00C95E3D" w:rsidRDefault="00C95E3D" w:rsidP="00096CAD">
      <w:pPr>
        <w:spacing w:after="0" w:line="360" w:lineRule="auto"/>
        <w:rPr>
          <w:rFonts w:ascii="Arial" w:eastAsia="Yu Mincho" w:hAnsi="Arial" w:cs="Arial"/>
          <w:color w:val="000000" w:themeColor="text1"/>
          <w:lang w:val="en-GB"/>
        </w:rPr>
      </w:pPr>
      <w:r>
        <w:rPr>
          <w:noProof/>
        </w:rPr>
        <w:lastRenderedPageBreak/>
        <w:drawing>
          <wp:inline distT="0" distB="0" distL="0" distR="0" wp14:anchorId="299DF210" wp14:editId="2B5C0949">
            <wp:extent cx="5410200" cy="3187700"/>
            <wp:effectExtent l="0" t="0" r="0" b="0"/>
            <wp:docPr id="210031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31238" name="Picture 1"/>
                    <pic:cNvPicPr>
                      <a:picLocks noChangeAspect="1"/>
                    </pic:cNvPicPr>
                  </pic:nvPicPr>
                  <pic:blipFill>
                    <a:blip r:embed="rId12"/>
                    <a:stretch>
                      <a:fillRect/>
                    </a:stretch>
                  </pic:blipFill>
                  <pic:spPr>
                    <a:xfrm>
                      <a:off x="0" y="0"/>
                      <a:ext cx="5410200" cy="3187700"/>
                    </a:xfrm>
                    <a:prstGeom prst="rect">
                      <a:avLst/>
                    </a:prstGeom>
                  </pic:spPr>
                </pic:pic>
              </a:graphicData>
            </a:graphic>
          </wp:inline>
        </w:drawing>
      </w:r>
    </w:p>
    <w:p w14:paraId="79913FEC" w14:textId="77777777" w:rsidR="00C95E3D" w:rsidRPr="00C95E3D" w:rsidRDefault="00C95E3D" w:rsidP="00096CAD">
      <w:pPr>
        <w:spacing w:before="100" w:beforeAutospacing="1" w:after="100" w:afterAutospacing="1" w:line="360" w:lineRule="auto"/>
        <w:rPr>
          <w:rFonts w:ascii="Arial" w:eastAsia="Yu Mincho" w:hAnsi="Arial" w:cs="Arial"/>
          <w:kern w:val="0"/>
          <w:lang w:val="en-GB"/>
          <w14:ligatures w14:val="none"/>
        </w:rPr>
      </w:pPr>
      <w:r w:rsidRPr="00C95E3D">
        <w:rPr>
          <w:rFonts w:ascii="Arial" w:eastAsia="Yu Mincho" w:hAnsi="Arial" w:cs="Arial"/>
          <w:b/>
          <w:bCs/>
          <w:kern w:val="0"/>
          <w:lang w:val="en-GB"/>
          <w14:ligatures w14:val="none"/>
        </w:rPr>
        <w:t>Figure 4.2</w:t>
      </w:r>
      <w:r w:rsidRPr="00C95E3D">
        <w:rPr>
          <w:rFonts w:ascii="Arial" w:eastAsia="Yu Mincho" w:hAnsi="Arial" w:cs="Arial"/>
          <w:kern w:val="0"/>
          <w:lang w:val="en-GB"/>
          <w14:ligatures w14:val="none"/>
        </w:rPr>
        <w:t xml:space="preserve">  Systolic blood pressure (mmHg) at baseline and post-intervention in the omega-3 (INT O3) and control (CON) groups. Values represent estimated marginal means with 95% confidence intervals.</w:t>
      </w:r>
    </w:p>
    <w:p w14:paraId="1A59509A" w14:textId="561755D0" w:rsidR="003A260F" w:rsidRPr="00C95E3D" w:rsidRDefault="00C95E3D" w:rsidP="00096CAD">
      <w:pPr>
        <w:spacing w:before="100" w:beforeAutospacing="1" w:after="100" w:afterAutospacing="1" w:line="360" w:lineRule="auto"/>
        <w:rPr>
          <w:rFonts w:ascii="Arial" w:eastAsia="Yu Mincho" w:hAnsi="Arial" w:cs="Arial"/>
          <w:kern w:val="0"/>
          <w:lang w:val="en-GB"/>
          <w14:ligatures w14:val="none"/>
        </w:rPr>
      </w:pPr>
      <w:r w:rsidRPr="00C95E3D">
        <w:rPr>
          <w:rFonts w:ascii="Arial" w:eastAsia="Yu Mincho" w:hAnsi="Arial" w:cs="Arial"/>
          <w:kern w:val="0"/>
          <w:lang w:val="en-GB"/>
          <w14:ligatures w14:val="none"/>
        </w:rPr>
        <w:t>A two-way mixed ANOVA showed no significant main effect of time, F(1,18) = 2.487, p = .132, partial η² = .121, and no significant main effect of group, F(1,18) = 0.325, p = .576, partial η² = .018. The time × group interaction was not significant, F(1,18) = 3.437, p = .080, partial η² = .160.</w:t>
      </w:r>
    </w:p>
    <w:p w14:paraId="1A2EB55F" w14:textId="16A93C72" w:rsidR="003A260F" w:rsidRPr="00C95E3D" w:rsidRDefault="00C95E3D" w:rsidP="00096CAD">
      <w:pPr>
        <w:spacing w:before="100" w:beforeAutospacing="1" w:after="100" w:afterAutospacing="1" w:line="360" w:lineRule="auto"/>
        <w:rPr>
          <w:rFonts w:ascii="Arial" w:eastAsia="Yu Mincho" w:hAnsi="Arial" w:cs="Arial"/>
          <w:kern w:val="0"/>
          <w:lang w:val="en-GB"/>
          <w14:ligatures w14:val="none"/>
        </w:rPr>
      </w:pPr>
      <w:r w:rsidRPr="00C95E3D">
        <w:rPr>
          <w:rFonts w:ascii="Arial" w:eastAsia="Yu Mincho" w:hAnsi="Arial" w:cs="Arial"/>
          <w:kern w:val="0"/>
          <w:lang w:val="en-GB"/>
          <w14:ligatures w14:val="none"/>
        </w:rPr>
        <w:t>Bonferroni-adjusted pairwise comparisons showed no significant between-group difference at baseline (p = .567), but a significant between-group difference at post-intervention (p = .044). Within-group comparisons showed a significant reduction in systolic blood pressure in the omega-3 group (p = .026), whereas no significant change was observed in the control group (p = .847).</w:t>
      </w:r>
    </w:p>
    <w:p w14:paraId="500CA481" w14:textId="77777777" w:rsidR="00C95E3D" w:rsidRPr="00C95E3D" w:rsidRDefault="00C95E3D" w:rsidP="00096CAD">
      <w:pPr>
        <w:spacing w:before="100" w:beforeAutospacing="1" w:after="100" w:afterAutospacing="1" w:line="360" w:lineRule="auto"/>
        <w:rPr>
          <w:rFonts w:ascii="Arial" w:eastAsia="Yu Mincho" w:hAnsi="Arial" w:cs="Arial"/>
          <w:kern w:val="0"/>
          <w:lang w:val="en-GB"/>
          <w14:ligatures w14:val="none"/>
        </w:rPr>
      </w:pPr>
      <w:r w:rsidRPr="00C95E3D">
        <w:rPr>
          <w:rFonts w:ascii="Arial" w:eastAsia="Yu Mincho" w:hAnsi="Arial" w:cs="Arial"/>
          <w:kern w:val="0"/>
          <w:lang w:val="en-GB"/>
          <w14:ligatures w14:val="none"/>
        </w:rPr>
        <w:t>Descriptively, systolic blood pressure decreased from 136.5 ± 15.73 mmHg to 124.1 ± 11.26 mmHg (Δ = −12.4 mmHg; −9.1%) in the omega-3 group and increased from 132.4 ± 15.69 mmHg to 133.4 ± 7.58 mmHg (Δ = +1.0 mmHg; +0.8%) in the control group, resulting in a between-group difference in change (ΔΔ) of −13.4 mmHg.</w:t>
      </w:r>
    </w:p>
    <w:p w14:paraId="66365E85" w14:textId="77777777" w:rsidR="005D1897" w:rsidRDefault="005D1897" w:rsidP="005D1897">
      <w:pPr>
        <w:pStyle w:val="Heading3"/>
        <w:rPr>
          <w:rFonts w:eastAsia="Times New Roman"/>
          <w:lang w:val="en-GB"/>
        </w:rPr>
      </w:pPr>
    </w:p>
    <w:p w14:paraId="3E62A5F2" w14:textId="57DD774B" w:rsidR="00C95E3D" w:rsidRDefault="00C95E3D" w:rsidP="005D1897">
      <w:pPr>
        <w:pStyle w:val="Heading3"/>
        <w:rPr>
          <w:rFonts w:eastAsia="Times New Roman"/>
          <w:lang w:val="en-GB"/>
        </w:rPr>
      </w:pPr>
      <w:bookmarkStart w:id="64" w:name="_Toc228218300"/>
      <w:r>
        <w:rPr>
          <w:rFonts w:eastAsia="Times New Roman"/>
          <w:lang w:val="en-GB"/>
        </w:rPr>
        <w:t>4.</w:t>
      </w:r>
      <w:r w:rsidR="00C60F1B">
        <w:rPr>
          <w:rFonts w:eastAsia="Times New Roman"/>
          <w:lang w:val="en-GB"/>
        </w:rPr>
        <w:t>2</w:t>
      </w:r>
      <w:r>
        <w:rPr>
          <w:rFonts w:eastAsia="Times New Roman"/>
          <w:lang w:val="en-GB"/>
        </w:rPr>
        <w:t xml:space="preserve">.3 </w:t>
      </w:r>
      <w:r w:rsidRPr="00C95E3D">
        <w:rPr>
          <w:rFonts w:eastAsia="Times New Roman"/>
          <w:lang w:val="en-GB"/>
        </w:rPr>
        <w:t>Diastolic Blood Pressure (DBP)</w:t>
      </w:r>
      <w:bookmarkEnd w:id="64"/>
    </w:p>
    <w:p w14:paraId="5F27E7FF" w14:textId="77777777" w:rsidR="005D1897" w:rsidRPr="005D1897" w:rsidRDefault="005D1897" w:rsidP="005D1897">
      <w:pPr>
        <w:rPr>
          <w:lang w:val="en-GB"/>
        </w:rPr>
      </w:pPr>
    </w:p>
    <w:p w14:paraId="311DCD94" w14:textId="06DEF121" w:rsidR="00C95E3D" w:rsidRDefault="00C95E3D" w:rsidP="00096CAD">
      <w:pPr>
        <w:spacing w:before="100" w:beforeAutospacing="1" w:after="100" w:afterAutospacing="1" w:line="360" w:lineRule="auto"/>
        <w:rPr>
          <w:rFonts w:ascii="Arial" w:eastAsia="Yu Mincho" w:hAnsi="Arial" w:cs="Arial"/>
          <w:kern w:val="0"/>
          <w:lang w:val="en-GB"/>
          <w14:ligatures w14:val="none"/>
        </w:rPr>
      </w:pPr>
      <w:r w:rsidRPr="00C95E3D">
        <w:rPr>
          <w:rFonts w:ascii="Arial" w:eastAsia="Yu Mincho" w:hAnsi="Arial" w:cs="Arial"/>
          <w:kern w:val="0"/>
          <w:lang w:val="en-GB"/>
          <w14:ligatures w14:val="none"/>
        </w:rPr>
        <w:t>Diastolic blood pressure (DBP) was assessed pre- and post-intervention in the omega-3 (INT O3) and control (CON) groups. A two-way mixed ANOVA was conducted to examine the effects of time (pre vs post), group (omega-3 vs control), and the time × group interaction on DBP.</w:t>
      </w:r>
    </w:p>
    <w:p w14:paraId="2F10AA15" w14:textId="77777777" w:rsidR="003A260F" w:rsidRPr="00C95E3D" w:rsidRDefault="003A260F" w:rsidP="00096CAD">
      <w:pPr>
        <w:spacing w:before="100" w:beforeAutospacing="1" w:after="100" w:afterAutospacing="1" w:line="360" w:lineRule="auto"/>
        <w:rPr>
          <w:rFonts w:ascii="Arial" w:eastAsia="Yu Mincho" w:hAnsi="Arial" w:cs="Arial"/>
          <w:kern w:val="0"/>
          <w:lang w:val="en-GB"/>
          <w14:ligatures w14:val="none"/>
        </w:rPr>
      </w:pPr>
    </w:p>
    <w:p w14:paraId="5F647A29" w14:textId="77777777" w:rsidR="00C95E3D" w:rsidRPr="00C95E3D" w:rsidRDefault="00C95E3D" w:rsidP="00096CAD">
      <w:pPr>
        <w:spacing w:before="100" w:beforeAutospacing="1" w:after="100" w:afterAutospacing="1" w:line="360" w:lineRule="auto"/>
        <w:rPr>
          <w:rFonts w:ascii="Arial" w:eastAsia="Yu Mincho" w:hAnsi="Arial" w:cs="Arial"/>
          <w:noProof/>
          <w:kern w:val="0"/>
          <w:lang w:val="en-GB"/>
          <w14:ligatures w14:val="none"/>
        </w:rPr>
      </w:pPr>
      <w:r w:rsidRPr="00C95E3D">
        <w:rPr>
          <w:rFonts w:ascii="Arial" w:eastAsia="Yu Mincho" w:hAnsi="Arial" w:cs="Arial"/>
          <w:b/>
          <w:bCs/>
          <w:kern w:val="0"/>
          <w:lang w:val="en-GB"/>
          <w14:ligatures w14:val="none"/>
        </w:rPr>
        <w:t>Table 4.7</w:t>
      </w:r>
      <w:r w:rsidRPr="00C95E3D">
        <w:rPr>
          <w:rFonts w:ascii="Arial" w:eastAsia="Yu Mincho" w:hAnsi="Arial" w:cs="Arial"/>
          <w:kern w:val="0"/>
          <w:lang w:val="en-GB"/>
          <w14:ligatures w14:val="none"/>
        </w:rPr>
        <w:t xml:space="preserve"> Descriptive statistics for diastolic blood pressure (DBP, mmHg) at pre- and post-intervention in the omega-3 (INT O3) and control (CON) groups. (n = 10 per group)</w:t>
      </w:r>
      <w:r w:rsidRPr="00C95E3D">
        <w:rPr>
          <w:rFonts w:ascii="Arial" w:eastAsia="Yu Mincho" w:hAnsi="Arial" w:cs="Arial"/>
          <w:noProof/>
          <w:kern w:val="0"/>
          <w:lang w:val="en-GB"/>
          <w14:ligatures w14:val="none"/>
        </w:rPr>
        <w:t xml:space="preserve"> </w:t>
      </w:r>
    </w:p>
    <w:p w14:paraId="2CAF571B" w14:textId="77777777" w:rsidR="00C95E3D" w:rsidRPr="00C95E3D" w:rsidRDefault="00C95E3D" w:rsidP="00096CAD">
      <w:pPr>
        <w:spacing w:before="100" w:beforeAutospacing="1" w:after="100" w:afterAutospacing="1" w:line="360" w:lineRule="auto"/>
        <w:rPr>
          <w:rFonts w:ascii="Arial" w:eastAsia="Yu Mincho" w:hAnsi="Arial" w:cs="Arial"/>
          <w:kern w:val="0"/>
          <w:lang w:val="en-GB"/>
          <w14:ligatures w14:val="none"/>
        </w:rPr>
      </w:pPr>
      <w:r w:rsidRPr="00C95E3D">
        <w:rPr>
          <w:rFonts w:ascii="Arial" w:eastAsia="Yu Mincho" w:hAnsi="Arial" w:cs="Arial"/>
          <w:kern w:val="0"/>
          <w:lang w:val="en-GB"/>
          <w14:ligatures w14:val="none"/>
        </w:rPr>
        <w:t>Group | Pre (Mean ± SD) | Post (Mean ± SD) | Change (Δ mmHg) | % Change</w:t>
      </w:r>
    </w:p>
    <w:p w14:paraId="5DAD62F9" w14:textId="77777777" w:rsidR="00C95E3D" w:rsidRPr="00C95E3D" w:rsidRDefault="00C95E3D" w:rsidP="00096CAD">
      <w:pPr>
        <w:spacing w:before="100" w:beforeAutospacing="1" w:after="100" w:afterAutospacing="1" w:line="360" w:lineRule="auto"/>
        <w:rPr>
          <w:rFonts w:ascii="Arial" w:eastAsia="Yu Mincho" w:hAnsi="Arial" w:cs="Arial"/>
          <w:kern w:val="0"/>
          <w:lang w:val="en-GB"/>
          <w14:ligatures w14:val="none"/>
        </w:rPr>
      </w:pPr>
      <w:r w:rsidRPr="00C95E3D">
        <w:rPr>
          <w:rFonts w:ascii="Arial" w:eastAsia="Yu Mincho" w:hAnsi="Arial" w:cs="Arial"/>
          <w:kern w:val="0"/>
          <w:lang w:val="en-GB"/>
          <w14:ligatures w14:val="none"/>
        </w:rPr>
        <w:t>INT O3 | 78.50 ± 11.80 | 78.00 ± 8.69 | −0.50 | −0.6%</w:t>
      </w:r>
    </w:p>
    <w:p w14:paraId="5FBAE530" w14:textId="77777777" w:rsidR="00C95E3D" w:rsidRPr="00C95E3D" w:rsidRDefault="00C95E3D" w:rsidP="00096CAD">
      <w:pPr>
        <w:spacing w:before="100" w:beforeAutospacing="1" w:after="100" w:afterAutospacing="1" w:line="360" w:lineRule="auto"/>
        <w:rPr>
          <w:rFonts w:ascii="Arial" w:eastAsia="Yu Mincho" w:hAnsi="Arial" w:cs="Arial"/>
          <w:kern w:val="0"/>
          <w:lang w:val="en-GB"/>
          <w14:ligatures w14:val="none"/>
        </w:rPr>
      </w:pPr>
      <w:r w:rsidRPr="00C95E3D">
        <w:rPr>
          <w:rFonts w:ascii="Arial" w:eastAsia="Yu Mincho" w:hAnsi="Arial" w:cs="Arial"/>
          <w:kern w:val="0"/>
          <w:lang w:val="en-GB"/>
          <w14:ligatures w14:val="none"/>
        </w:rPr>
        <w:t>CON | 72.00 ± 7.85 | 74.20 ± 7.98 | +2.20 | +3.1%</w:t>
      </w:r>
    </w:p>
    <w:p w14:paraId="1A1A77D0" w14:textId="4C8477D7" w:rsidR="00C95E3D" w:rsidRDefault="00C95E3D" w:rsidP="00096CAD">
      <w:pPr>
        <w:spacing w:before="100" w:beforeAutospacing="1" w:after="100" w:afterAutospacing="1" w:line="360" w:lineRule="auto"/>
        <w:rPr>
          <w:rFonts w:ascii="Arial" w:eastAsia="Yu Mincho" w:hAnsi="Arial" w:cs="Arial"/>
          <w:kern w:val="0"/>
          <w:lang w:val="en-GB"/>
          <w14:ligatures w14:val="none"/>
        </w:rPr>
      </w:pPr>
      <w:r w:rsidRPr="00C95E3D">
        <w:rPr>
          <w:rFonts w:ascii="Arial" w:eastAsia="Yu Mincho" w:hAnsi="Arial" w:cs="Arial"/>
          <w:kern w:val="0"/>
          <w:lang w:val="en-GB"/>
          <w14:ligatures w14:val="none"/>
        </w:rPr>
        <w:t>Between-group difference in change (ΔΔ): −2.70 mmHg.</w:t>
      </w:r>
    </w:p>
    <w:p w14:paraId="56347797" w14:textId="77777777" w:rsidR="00C95E3D" w:rsidRPr="00C95E3D" w:rsidRDefault="00C95E3D" w:rsidP="00096CAD">
      <w:pPr>
        <w:spacing w:before="100" w:beforeAutospacing="1" w:after="100" w:afterAutospacing="1" w:line="360" w:lineRule="auto"/>
        <w:rPr>
          <w:rFonts w:ascii="Arial" w:eastAsia="Yu Mincho" w:hAnsi="Arial" w:cs="Arial"/>
          <w:kern w:val="0"/>
          <w:lang w:val="en-GB"/>
          <w14:ligatures w14:val="none"/>
        </w:rPr>
      </w:pPr>
    </w:p>
    <w:p w14:paraId="04731B2B" w14:textId="26A999D6" w:rsidR="00C95E3D" w:rsidRPr="00C95E3D" w:rsidRDefault="00C95E3D" w:rsidP="00096CAD">
      <w:pPr>
        <w:spacing w:before="100" w:beforeAutospacing="1" w:after="100" w:afterAutospacing="1" w:line="360" w:lineRule="auto"/>
        <w:rPr>
          <w:rFonts w:ascii="Arial" w:eastAsia="Yu Mincho" w:hAnsi="Arial" w:cs="Arial"/>
          <w:kern w:val="0"/>
          <w:lang w:val="en-GB"/>
          <w14:ligatures w14:val="none"/>
        </w:rPr>
      </w:pPr>
      <w:r>
        <w:rPr>
          <w:noProof/>
        </w:rPr>
        <w:lastRenderedPageBreak/>
        <w:drawing>
          <wp:inline distT="0" distB="0" distL="0" distR="0" wp14:anchorId="537F69CD" wp14:editId="5A0ACD1D">
            <wp:extent cx="5410200" cy="3187700"/>
            <wp:effectExtent l="0" t="0" r="0" b="0"/>
            <wp:docPr id="1435728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728551" name="Picture 1"/>
                    <pic:cNvPicPr>
                      <a:picLocks noChangeAspect="1"/>
                    </pic:cNvPicPr>
                  </pic:nvPicPr>
                  <pic:blipFill>
                    <a:blip r:embed="rId13"/>
                    <a:stretch>
                      <a:fillRect/>
                    </a:stretch>
                  </pic:blipFill>
                  <pic:spPr>
                    <a:xfrm>
                      <a:off x="0" y="0"/>
                      <a:ext cx="5410200" cy="3187700"/>
                    </a:xfrm>
                    <a:prstGeom prst="rect">
                      <a:avLst/>
                    </a:prstGeom>
                  </pic:spPr>
                </pic:pic>
              </a:graphicData>
            </a:graphic>
          </wp:inline>
        </w:drawing>
      </w:r>
    </w:p>
    <w:p w14:paraId="787B40D5" w14:textId="77777777" w:rsidR="00C95E3D" w:rsidRDefault="00C95E3D" w:rsidP="00096CAD">
      <w:pPr>
        <w:spacing w:before="100" w:beforeAutospacing="1" w:after="100" w:afterAutospacing="1" w:line="360" w:lineRule="auto"/>
        <w:rPr>
          <w:rFonts w:ascii="Arial" w:eastAsia="Yu Mincho" w:hAnsi="Arial" w:cs="Arial"/>
          <w:kern w:val="0"/>
          <w:lang w:val="en-GB"/>
          <w14:ligatures w14:val="none"/>
        </w:rPr>
      </w:pPr>
      <w:r w:rsidRPr="00C95E3D">
        <w:rPr>
          <w:rFonts w:ascii="Arial" w:eastAsia="Yu Mincho" w:hAnsi="Arial" w:cs="Arial"/>
          <w:b/>
          <w:bCs/>
          <w:color w:val="000000" w:themeColor="text1"/>
          <w:kern w:val="0"/>
          <w:lang w:val="en-GB"/>
          <w14:ligatures w14:val="none"/>
        </w:rPr>
        <w:t>Figure 4.3</w:t>
      </w:r>
      <w:r w:rsidRPr="00C95E3D">
        <w:rPr>
          <w:rFonts w:ascii="Arial" w:eastAsia="Yu Mincho" w:hAnsi="Arial" w:cs="Arial"/>
          <w:color w:val="000000" w:themeColor="text1"/>
          <w:kern w:val="0"/>
          <w:lang w:val="en-GB"/>
          <w14:ligatures w14:val="none"/>
        </w:rPr>
        <w:t xml:space="preserve">  </w:t>
      </w:r>
      <w:r w:rsidRPr="00C95E3D">
        <w:rPr>
          <w:rFonts w:ascii="Arial" w:eastAsia="Yu Mincho" w:hAnsi="Arial" w:cs="Arial"/>
          <w:kern w:val="0"/>
          <w:lang w:val="en-GB"/>
          <w14:ligatures w14:val="none"/>
        </w:rPr>
        <w:t>Diastolic blood pressure (mmHg) at baseline and post-intervention in the omega-3 (INT O3) and control (CON) groups. Values represent estimated marginal means with 95% confidence intervals.</w:t>
      </w:r>
    </w:p>
    <w:p w14:paraId="680C6281" w14:textId="77777777" w:rsidR="003A260F" w:rsidRPr="00C95E3D" w:rsidRDefault="003A260F" w:rsidP="00096CAD">
      <w:pPr>
        <w:spacing w:before="100" w:beforeAutospacing="1" w:after="100" w:afterAutospacing="1" w:line="360" w:lineRule="auto"/>
        <w:rPr>
          <w:rFonts w:ascii="Arial" w:eastAsia="Yu Mincho" w:hAnsi="Arial" w:cs="Arial"/>
          <w:kern w:val="0"/>
          <w:lang w:val="en-GB"/>
          <w14:ligatures w14:val="none"/>
        </w:rPr>
      </w:pPr>
    </w:p>
    <w:p w14:paraId="2B733566" w14:textId="77777777" w:rsidR="00C95E3D" w:rsidRPr="00C95E3D" w:rsidRDefault="00C95E3D" w:rsidP="00096CAD">
      <w:pPr>
        <w:spacing w:before="100" w:beforeAutospacing="1" w:after="100" w:afterAutospacing="1" w:line="360" w:lineRule="auto"/>
        <w:rPr>
          <w:rFonts w:ascii="Arial" w:eastAsia="Yu Mincho" w:hAnsi="Arial" w:cs="Arial"/>
          <w:kern w:val="0"/>
          <w:lang w:val="en-GB"/>
          <w14:ligatures w14:val="none"/>
        </w:rPr>
      </w:pPr>
      <w:r w:rsidRPr="00C95E3D">
        <w:rPr>
          <w:rFonts w:ascii="Arial" w:eastAsia="Yu Mincho" w:hAnsi="Arial" w:cs="Arial"/>
          <w:lang w:val="en-GB"/>
        </w:rPr>
        <w:t>A two-way mixed ANOVA showed no significant main effect of time, F(1,18) = 0.223, p = .643, partial η² = .012, no significant main effect of group, F(1,18) = 1.928, p = .182, partial η² = .097, and no significant time × group interaction, F(1,18) = 0.562, p = .463, partial η² = .030.</w:t>
      </w:r>
    </w:p>
    <w:p w14:paraId="55A7B548" w14:textId="77777777" w:rsidR="00C95E3D" w:rsidRPr="00C95E3D" w:rsidRDefault="00C95E3D" w:rsidP="00096CAD">
      <w:pPr>
        <w:spacing w:before="100" w:beforeAutospacing="1" w:after="100" w:afterAutospacing="1" w:line="360" w:lineRule="auto"/>
        <w:rPr>
          <w:rFonts w:ascii="Arial" w:eastAsia="Yu Mincho" w:hAnsi="Arial" w:cs="Arial"/>
          <w:kern w:val="0"/>
          <w:lang w:val="en-GB"/>
          <w14:ligatures w14:val="none"/>
        </w:rPr>
      </w:pPr>
      <w:r w:rsidRPr="00C95E3D">
        <w:rPr>
          <w:rFonts w:ascii="Arial" w:eastAsia="Yu Mincho" w:hAnsi="Arial" w:cs="Arial"/>
          <w:kern w:val="0"/>
          <w:lang w:val="en-GB"/>
          <w14:ligatures w14:val="none"/>
        </w:rPr>
        <w:t>Bonferroni-adjusted pairwise comparisons showed no significant between-group difference at baseline (p = .164) or post-intervention (p = .322). Within-group comparisons showed no significant pre- to post-intervention change in the omega-3 group (p = .847) or control group (p = .399).</w:t>
      </w:r>
    </w:p>
    <w:p w14:paraId="0DE79771" w14:textId="77777777" w:rsidR="00C95E3D" w:rsidRDefault="00C95E3D" w:rsidP="00096CAD">
      <w:pPr>
        <w:spacing w:before="100" w:beforeAutospacing="1" w:after="100" w:afterAutospacing="1" w:line="360" w:lineRule="auto"/>
        <w:rPr>
          <w:rFonts w:ascii="Arial" w:eastAsia="Yu Mincho" w:hAnsi="Arial" w:cs="Arial"/>
          <w:kern w:val="0"/>
          <w:lang w:val="en-GB"/>
          <w14:ligatures w14:val="none"/>
        </w:rPr>
      </w:pPr>
      <w:r w:rsidRPr="00C95E3D">
        <w:rPr>
          <w:rFonts w:ascii="Arial" w:eastAsia="Yu Mincho" w:hAnsi="Arial" w:cs="Arial"/>
          <w:kern w:val="0"/>
          <w:lang w:val="en-GB"/>
          <w14:ligatures w14:val="none"/>
        </w:rPr>
        <w:t xml:space="preserve">Descriptively, diastolic blood pressure changed from 78.5 ± 11.80 mmHg to 78.0 ± 8.69 mmHg (Δ = −0.5 mmHg; −0.6%) in the omega-3 group and from 72.0 ± 7.85 mmHg to </w:t>
      </w:r>
      <w:r w:rsidRPr="00C95E3D">
        <w:rPr>
          <w:rFonts w:ascii="Arial" w:eastAsia="Yu Mincho" w:hAnsi="Arial" w:cs="Arial"/>
          <w:kern w:val="0"/>
          <w:lang w:val="en-GB"/>
          <w14:ligatures w14:val="none"/>
        </w:rPr>
        <w:lastRenderedPageBreak/>
        <w:t>74.2 ± 7.98 mmHg (Δ = +2.2 mmHg; +3.1%) in the control group, resulting in a between-group difference in change (ΔΔ) of −2.7 mmHg.</w:t>
      </w:r>
    </w:p>
    <w:p w14:paraId="277D0FCD" w14:textId="77777777" w:rsidR="003A260F" w:rsidRDefault="003A260F" w:rsidP="00096CAD">
      <w:pPr>
        <w:spacing w:before="100" w:beforeAutospacing="1" w:after="100" w:afterAutospacing="1" w:line="360" w:lineRule="auto"/>
        <w:rPr>
          <w:rFonts w:ascii="Arial" w:eastAsia="Yu Mincho" w:hAnsi="Arial" w:cs="Arial"/>
          <w:kern w:val="0"/>
          <w:lang w:val="en-GB"/>
          <w14:ligatures w14:val="none"/>
        </w:rPr>
      </w:pPr>
    </w:p>
    <w:p w14:paraId="3EE90B4A" w14:textId="0B59F6B4" w:rsidR="00C95E3D" w:rsidRDefault="00C95E3D" w:rsidP="0095246C">
      <w:pPr>
        <w:pStyle w:val="Heading3"/>
        <w:rPr>
          <w:rFonts w:eastAsia="Yu Mincho"/>
          <w:lang w:val="en-GB"/>
        </w:rPr>
      </w:pPr>
      <w:bookmarkStart w:id="65" w:name="_Toc228218301"/>
      <w:r w:rsidRPr="00C95E3D">
        <w:rPr>
          <w:rFonts w:eastAsia="Yu Mincho"/>
          <w:lang w:val="en-GB"/>
        </w:rPr>
        <w:t>4.</w:t>
      </w:r>
      <w:r w:rsidR="005D1897">
        <w:rPr>
          <w:rFonts w:eastAsia="Yu Mincho"/>
          <w:lang w:val="en-GB"/>
        </w:rPr>
        <w:t>2</w:t>
      </w:r>
      <w:r w:rsidRPr="00C95E3D">
        <w:rPr>
          <w:rFonts w:eastAsia="Yu Mincho"/>
          <w:lang w:val="en-GB"/>
        </w:rPr>
        <w:t>.4</w:t>
      </w:r>
      <w:r>
        <w:rPr>
          <w:rFonts w:eastAsia="Yu Mincho"/>
          <w:lang w:val="en-GB"/>
        </w:rPr>
        <w:t xml:space="preserve"> </w:t>
      </w:r>
      <w:r w:rsidRPr="00C95E3D">
        <w:rPr>
          <w:rFonts w:eastAsia="Yu Mincho"/>
          <w:lang w:val="en-GB"/>
        </w:rPr>
        <w:t>Chester Treadmill Test Average Heart Rate (CTTAveHR).</w:t>
      </w:r>
      <w:bookmarkEnd w:id="65"/>
    </w:p>
    <w:p w14:paraId="330FDF7C" w14:textId="77777777" w:rsidR="003A260F" w:rsidRPr="00C95E3D" w:rsidRDefault="003A260F" w:rsidP="00096CAD">
      <w:pPr>
        <w:spacing w:before="100" w:beforeAutospacing="1" w:after="100" w:afterAutospacing="1" w:line="360" w:lineRule="auto"/>
        <w:rPr>
          <w:rFonts w:ascii="Arial" w:eastAsia="Yu Mincho" w:hAnsi="Arial" w:cs="Arial"/>
          <w:kern w:val="0"/>
          <w:lang w:val="en-GB"/>
          <w14:ligatures w14:val="none"/>
        </w:rPr>
      </w:pPr>
    </w:p>
    <w:p w14:paraId="61975DA3" w14:textId="43F8677C" w:rsidR="00C95E3D" w:rsidRDefault="00C95E3D" w:rsidP="00096CAD">
      <w:pPr>
        <w:spacing w:before="100" w:beforeAutospacing="1" w:after="100" w:afterAutospacing="1" w:line="360" w:lineRule="auto"/>
        <w:rPr>
          <w:rFonts w:ascii="Arial" w:eastAsia="Yu Mincho" w:hAnsi="Arial" w:cs="Arial"/>
          <w:kern w:val="0"/>
          <w:lang w:val="en-GB"/>
          <w14:ligatures w14:val="none"/>
        </w:rPr>
      </w:pPr>
      <w:r w:rsidRPr="00C95E3D">
        <w:rPr>
          <w:rFonts w:ascii="Arial" w:eastAsia="Yu Mincho" w:hAnsi="Arial" w:cs="Arial"/>
          <w:kern w:val="0"/>
          <w:lang w:val="en-GB"/>
          <w14:ligatures w14:val="none"/>
        </w:rPr>
        <w:t>Chester treadmill test average heart rate (CTTAveHR) was assessed at baseline and post-intervention in the omega-3 (INT O3) and control (CON) groups. A two-way mixed ANOVA was conducted to examine the effects of time (baseline vs post-intervention), group (omega-3 vs control), and the time × group interaction on CTTAveHR.</w:t>
      </w:r>
    </w:p>
    <w:p w14:paraId="26D54E03" w14:textId="77777777" w:rsidR="00806682" w:rsidRPr="003D4333" w:rsidRDefault="00806682" w:rsidP="00096CAD">
      <w:pPr>
        <w:spacing w:before="100" w:beforeAutospacing="1" w:after="100" w:afterAutospacing="1" w:line="360" w:lineRule="auto"/>
        <w:rPr>
          <w:rFonts w:ascii="Times New Roman" w:eastAsia="Yu Mincho" w:hAnsi="Times New Roman" w:cs="Times New Roman"/>
          <w:b/>
          <w:bCs/>
          <w:kern w:val="0"/>
          <w14:ligatures w14:val="none"/>
        </w:rPr>
      </w:pPr>
    </w:p>
    <w:p w14:paraId="478442A1" w14:textId="2BA6C9A1" w:rsidR="00C95E3D" w:rsidRPr="00C95E3D" w:rsidRDefault="00C95E3D" w:rsidP="00096CAD">
      <w:pPr>
        <w:spacing w:before="100" w:beforeAutospacing="1" w:after="100" w:afterAutospacing="1" w:line="360" w:lineRule="auto"/>
        <w:rPr>
          <w:rFonts w:ascii="Times New Roman" w:eastAsia="Yu Mincho" w:hAnsi="Times New Roman" w:cs="Times New Roman"/>
          <w:noProof/>
          <w:kern w:val="0"/>
          <w14:ligatures w14:val="none"/>
        </w:rPr>
      </w:pPr>
      <w:r w:rsidRPr="003D4333">
        <w:rPr>
          <w:b/>
          <w:bCs/>
          <w:lang w:val="en-GB"/>
        </w:rPr>
        <w:t>Table 4.8</w:t>
      </w:r>
      <w:r w:rsidRPr="00B01FDA">
        <w:rPr>
          <w:lang w:val="en-GB"/>
        </w:rPr>
        <w:t xml:space="preserve"> CTT Average Heart Rate (bpm) at Baseline and Post-Intervention by Group </w:t>
      </w:r>
      <w:r w:rsidRPr="00C95E3D">
        <w:rPr>
          <w:rFonts w:ascii="Arial" w:eastAsia="Yu Mincho" w:hAnsi="Arial" w:cs="Arial"/>
          <w:kern w:val="0"/>
          <w:lang w:val="en-GB"/>
          <w14:ligatures w14:val="none"/>
        </w:rPr>
        <w:t>(n = 10 per group)</w:t>
      </w:r>
      <w:r w:rsidRPr="00C95E3D">
        <w:rPr>
          <w:rFonts w:ascii="Arial" w:eastAsia="Yu Mincho" w:hAnsi="Arial" w:cs="Arial"/>
          <w:noProof/>
          <w:kern w:val="0"/>
          <w:lang w:val="en-GB"/>
          <w14:ligatures w14:val="none"/>
        </w:rPr>
        <w:t xml:space="preserve"> </w:t>
      </w:r>
    </w:p>
    <w:tbl>
      <w:tblPr>
        <w:tblW w:w="0" w:type="auto"/>
        <w:tblCellSpacing w:w="15" w:type="dxa"/>
        <w:tblLook w:val="04A0" w:firstRow="1" w:lastRow="0" w:firstColumn="1" w:lastColumn="0" w:noHBand="0" w:noVBand="1"/>
      </w:tblPr>
      <w:tblGrid>
        <w:gridCol w:w="1054"/>
        <w:gridCol w:w="2613"/>
        <w:gridCol w:w="2216"/>
        <w:gridCol w:w="2328"/>
        <w:gridCol w:w="1149"/>
      </w:tblGrid>
      <w:tr w:rsidR="00C95E3D" w:rsidRPr="00C95E3D" w14:paraId="0850E05B" w14:textId="77777777">
        <w:trPr>
          <w:tblHeader/>
          <w:tblCellSpacing w:w="15" w:type="dxa"/>
        </w:trPr>
        <w:tc>
          <w:tcPr>
            <w:tcW w:w="0" w:type="auto"/>
            <w:tcMar>
              <w:top w:w="15" w:type="dxa"/>
              <w:left w:w="15" w:type="dxa"/>
              <w:bottom w:w="15" w:type="dxa"/>
              <w:right w:w="15" w:type="dxa"/>
            </w:tcMar>
            <w:vAlign w:val="center"/>
            <w:hideMark/>
          </w:tcPr>
          <w:p w14:paraId="37FD026A" w14:textId="77777777" w:rsidR="00C95E3D" w:rsidRPr="00C95E3D" w:rsidRDefault="00C95E3D" w:rsidP="00096CAD">
            <w:pPr>
              <w:spacing w:before="100" w:beforeAutospacing="1" w:after="100" w:afterAutospacing="1" w:line="360" w:lineRule="auto"/>
              <w:jc w:val="center"/>
              <w:rPr>
                <w:rFonts w:ascii="Arial" w:eastAsia="Yu Mincho" w:hAnsi="Arial" w:cs="Arial"/>
                <w:kern w:val="0"/>
                <w14:ligatures w14:val="none"/>
              </w:rPr>
            </w:pPr>
            <w:r w:rsidRPr="00C95E3D">
              <w:rPr>
                <w:rFonts w:ascii="Arial" w:eastAsia="Yu Mincho" w:hAnsi="Arial" w:cs="Arial"/>
                <w:kern w:val="0"/>
                <w14:ligatures w14:val="none"/>
              </w:rPr>
              <w:t>Group</w:t>
            </w:r>
          </w:p>
        </w:tc>
        <w:tc>
          <w:tcPr>
            <w:tcW w:w="0" w:type="auto"/>
            <w:tcMar>
              <w:top w:w="15" w:type="dxa"/>
              <w:left w:w="15" w:type="dxa"/>
              <w:bottom w:w="15" w:type="dxa"/>
              <w:right w:w="15" w:type="dxa"/>
            </w:tcMar>
            <w:vAlign w:val="center"/>
            <w:hideMark/>
          </w:tcPr>
          <w:p w14:paraId="005273E1" w14:textId="77777777" w:rsidR="00C95E3D" w:rsidRPr="00C95E3D" w:rsidRDefault="00C95E3D" w:rsidP="00096CAD">
            <w:pPr>
              <w:spacing w:before="100" w:beforeAutospacing="1" w:after="100" w:afterAutospacing="1" w:line="360" w:lineRule="auto"/>
              <w:jc w:val="center"/>
              <w:rPr>
                <w:rFonts w:ascii="Arial" w:eastAsia="Yu Mincho" w:hAnsi="Arial" w:cs="Arial"/>
                <w:kern w:val="0"/>
                <w14:ligatures w14:val="none"/>
              </w:rPr>
            </w:pPr>
            <w:r w:rsidRPr="00C95E3D">
              <w:rPr>
                <w:rFonts w:ascii="Arial" w:eastAsia="Yu Mincho" w:hAnsi="Arial" w:cs="Arial"/>
                <w:kern w:val="0"/>
                <w14:ligatures w14:val="none"/>
              </w:rPr>
              <w:t>Baseline Mean ± SD (bpm)</w:t>
            </w:r>
          </w:p>
        </w:tc>
        <w:tc>
          <w:tcPr>
            <w:tcW w:w="0" w:type="auto"/>
            <w:tcMar>
              <w:top w:w="15" w:type="dxa"/>
              <w:left w:w="15" w:type="dxa"/>
              <w:bottom w:w="15" w:type="dxa"/>
              <w:right w:w="15" w:type="dxa"/>
            </w:tcMar>
            <w:vAlign w:val="center"/>
            <w:hideMark/>
          </w:tcPr>
          <w:p w14:paraId="76342A45" w14:textId="77777777" w:rsidR="00C95E3D" w:rsidRPr="00C95E3D" w:rsidRDefault="00C95E3D" w:rsidP="00096CAD">
            <w:pPr>
              <w:spacing w:before="100" w:beforeAutospacing="1" w:after="100" w:afterAutospacing="1" w:line="360" w:lineRule="auto"/>
              <w:jc w:val="center"/>
              <w:rPr>
                <w:rFonts w:ascii="Arial" w:eastAsia="Yu Mincho" w:hAnsi="Arial" w:cs="Arial"/>
                <w:kern w:val="0"/>
                <w14:ligatures w14:val="none"/>
              </w:rPr>
            </w:pPr>
            <w:r w:rsidRPr="00C95E3D">
              <w:rPr>
                <w:rFonts w:ascii="Arial" w:eastAsia="Yu Mincho" w:hAnsi="Arial" w:cs="Arial"/>
                <w:kern w:val="0"/>
                <w14:ligatures w14:val="none"/>
              </w:rPr>
              <w:t>Post Mean ± SD (bpm)</w:t>
            </w:r>
          </w:p>
        </w:tc>
        <w:tc>
          <w:tcPr>
            <w:tcW w:w="0" w:type="auto"/>
            <w:tcMar>
              <w:top w:w="15" w:type="dxa"/>
              <w:left w:w="15" w:type="dxa"/>
              <w:bottom w:w="15" w:type="dxa"/>
              <w:right w:w="15" w:type="dxa"/>
            </w:tcMar>
            <w:vAlign w:val="center"/>
            <w:hideMark/>
          </w:tcPr>
          <w:p w14:paraId="4A46875D" w14:textId="77777777" w:rsidR="00C95E3D" w:rsidRPr="00C95E3D" w:rsidRDefault="00C95E3D" w:rsidP="00096CAD">
            <w:pPr>
              <w:spacing w:before="100" w:beforeAutospacing="1" w:after="100" w:afterAutospacing="1" w:line="360" w:lineRule="auto"/>
              <w:jc w:val="center"/>
              <w:rPr>
                <w:rFonts w:ascii="Arial" w:eastAsia="Yu Mincho" w:hAnsi="Arial" w:cs="Arial"/>
                <w:kern w:val="0"/>
                <w14:ligatures w14:val="none"/>
              </w:rPr>
            </w:pPr>
            <w:r w:rsidRPr="00C95E3D">
              <w:rPr>
                <w:rFonts w:ascii="Arial" w:eastAsia="Yu Mincho" w:hAnsi="Arial" w:cs="Arial"/>
                <w:kern w:val="0"/>
                <w14:ligatures w14:val="none"/>
              </w:rPr>
              <w:t>Absolute Change (bpm)</w:t>
            </w:r>
          </w:p>
        </w:tc>
        <w:tc>
          <w:tcPr>
            <w:tcW w:w="0" w:type="auto"/>
            <w:tcMar>
              <w:top w:w="15" w:type="dxa"/>
              <w:left w:w="15" w:type="dxa"/>
              <w:bottom w:w="15" w:type="dxa"/>
              <w:right w:w="15" w:type="dxa"/>
            </w:tcMar>
            <w:vAlign w:val="center"/>
            <w:hideMark/>
          </w:tcPr>
          <w:p w14:paraId="0EC3CB09" w14:textId="77777777" w:rsidR="00C95E3D" w:rsidRPr="00C95E3D" w:rsidRDefault="00C95E3D" w:rsidP="00096CAD">
            <w:pPr>
              <w:spacing w:before="100" w:beforeAutospacing="1" w:after="100" w:afterAutospacing="1" w:line="360" w:lineRule="auto"/>
              <w:jc w:val="center"/>
              <w:rPr>
                <w:rFonts w:ascii="Arial" w:eastAsia="Yu Mincho" w:hAnsi="Arial" w:cs="Arial"/>
                <w:kern w:val="0"/>
                <w14:ligatures w14:val="none"/>
              </w:rPr>
            </w:pPr>
            <w:r w:rsidRPr="00C95E3D">
              <w:rPr>
                <w:rFonts w:ascii="Arial" w:eastAsia="Yu Mincho" w:hAnsi="Arial" w:cs="Arial"/>
                <w:kern w:val="0"/>
                <w14:ligatures w14:val="none"/>
              </w:rPr>
              <w:t>% Change</w:t>
            </w:r>
          </w:p>
        </w:tc>
      </w:tr>
      <w:tr w:rsidR="00C95E3D" w:rsidRPr="00C95E3D" w14:paraId="66C7885F" w14:textId="77777777">
        <w:trPr>
          <w:tblCellSpacing w:w="15" w:type="dxa"/>
        </w:trPr>
        <w:tc>
          <w:tcPr>
            <w:tcW w:w="0" w:type="auto"/>
            <w:tcMar>
              <w:top w:w="15" w:type="dxa"/>
              <w:left w:w="15" w:type="dxa"/>
              <w:bottom w:w="15" w:type="dxa"/>
              <w:right w:w="15" w:type="dxa"/>
            </w:tcMar>
            <w:vAlign w:val="center"/>
            <w:hideMark/>
          </w:tcPr>
          <w:p w14:paraId="21BBAC7F"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Omega-3</w:t>
            </w:r>
          </w:p>
        </w:tc>
        <w:tc>
          <w:tcPr>
            <w:tcW w:w="0" w:type="auto"/>
            <w:tcMar>
              <w:top w:w="15" w:type="dxa"/>
              <w:left w:w="15" w:type="dxa"/>
              <w:bottom w:w="15" w:type="dxa"/>
              <w:right w:w="15" w:type="dxa"/>
            </w:tcMar>
            <w:vAlign w:val="center"/>
            <w:hideMark/>
          </w:tcPr>
          <w:p w14:paraId="37D548C6"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119.10 ± 22.01</w:t>
            </w:r>
          </w:p>
        </w:tc>
        <w:tc>
          <w:tcPr>
            <w:tcW w:w="0" w:type="auto"/>
            <w:tcMar>
              <w:top w:w="15" w:type="dxa"/>
              <w:left w:w="15" w:type="dxa"/>
              <w:bottom w:w="15" w:type="dxa"/>
              <w:right w:w="15" w:type="dxa"/>
            </w:tcMar>
            <w:vAlign w:val="center"/>
            <w:hideMark/>
          </w:tcPr>
          <w:p w14:paraId="0C559618"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112.00 ± 19.99</w:t>
            </w:r>
          </w:p>
        </w:tc>
        <w:tc>
          <w:tcPr>
            <w:tcW w:w="0" w:type="auto"/>
            <w:tcMar>
              <w:top w:w="15" w:type="dxa"/>
              <w:left w:w="15" w:type="dxa"/>
              <w:bottom w:w="15" w:type="dxa"/>
              <w:right w:w="15" w:type="dxa"/>
            </w:tcMar>
            <w:vAlign w:val="center"/>
            <w:hideMark/>
          </w:tcPr>
          <w:p w14:paraId="4A6BD91B"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−7.10</w:t>
            </w:r>
          </w:p>
        </w:tc>
        <w:tc>
          <w:tcPr>
            <w:tcW w:w="0" w:type="auto"/>
            <w:tcMar>
              <w:top w:w="15" w:type="dxa"/>
              <w:left w:w="15" w:type="dxa"/>
              <w:bottom w:w="15" w:type="dxa"/>
              <w:right w:w="15" w:type="dxa"/>
            </w:tcMar>
            <w:vAlign w:val="center"/>
            <w:hideMark/>
          </w:tcPr>
          <w:p w14:paraId="2674B81A"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−5.96%</w:t>
            </w:r>
          </w:p>
        </w:tc>
      </w:tr>
      <w:tr w:rsidR="00C95E3D" w:rsidRPr="00C95E3D" w14:paraId="664E2987" w14:textId="77777777">
        <w:trPr>
          <w:tblCellSpacing w:w="15" w:type="dxa"/>
        </w:trPr>
        <w:tc>
          <w:tcPr>
            <w:tcW w:w="0" w:type="auto"/>
            <w:tcMar>
              <w:top w:w="15" w:type="dxa"/>
              <w:left w:w="15" w:type="dxa"/>
              <w:bottom w:w="15" w:type="dxa"/>
              <w:right w:w="15" w:type="dxa"/>
            </w:tcMar>
            <w:vAlign w:val="center"/>
            <w:hideMark/>
          </w:tcPr>
          <w:p w14:paraId="0FC796EE"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Control</w:t>
            </w:r>
          </w:p>
        </w:tc>
        <w:tc>
          <w:tcPr>
            <w:tcW w:w="0" w:type="auto"/>
            <w:tcMar>
              <w:top w:w="15" w:type="dxa"/>
              <w:left w:w="15" w:type="dxa"/>
              <w:bottom w:w="15" w:type="dxa"/>
              <w:right w:w="15" w:type="dxa"/>
            </w:tcMar>
            <w:vAlign w:val="center"/>
            <w:hideMark/>
          </w:tcPr>
          <w:p w14:paraId="76F5E9F2"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113.80 ± 16.00</w:t>
            </w:r>
          </w:p>
        </w:tc>
        <w:tc>
          <w:tcPr>
            <w:tcW w:w="0" w:type="auto"/>
            <w:tcMar>
              <w:top w:w="15" w:type="dxa"/>
              <w:left w:w="15" w:type="dxa"/>
              <w:bottom w:w="15" w:type="dxa"/>
              <w:right w:w="15" w:type="dxa"/>
            </w:tcMar>
            <w:vAlign w:val="center"/>
            <w:hideMark/>
          </w:tcPr>
          <w:p w14:paraId="531CDFAD"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115.10 ± 15.30</w:t>
            </w:r>
          </w:p>
        </w:tc>
        <w:tc>
          <w:tcPr>
            <w:tcW w:w="0" w:type="auto"/>
            <w:tcMar>
              <w:top w:w="15" w:type="dxa"/>
              <w:left w:w="15" w:type="dxa"/>
              <w:bottom w:w="15" w:type="dxa"/>
              <w:right w:w="15" w:type="dxa"/>
            </w:tcMar>
            <w:vAlign w:val="center"/>
            <w:hideMark/>
          </w:tcPr>
          <w:p w14:paraId="15BDC5F1"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+1.30</w:t>
            </w:r>
          </w:p>
        </w:tc>
        <w:tc>
          <w:tcPr>
            <w:tcW w:w="0" w:type="auto"/>
            <w:tcMar>
              <w:top w:w="15" w:type="dxa"/>
              <w:left w:w="15" w:type="dxa"/>
              <w:bottom w:w="15" w:type="dxa"/>
              <w:right w:w="15" w:type="dxa"/>
            </w:tcMar>
            <w:vAlign w:val="center"/>
            <w:hideMark/>
          </w:tcPr>
          <w:p w14:paraId="2C5F7D14"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+1.14%</w:t>
            </w:r>
          </w:p>
        </w:tc>
      </w:tr>
      <w:tr w:rsidR="00C95E3D" w:rsidRPr="00C95E3D" w14:paraId="68A11A2A" w14:textId="77777777">
        <w:trPr>
          <w:tblCellSpacing w:w="15" w:type="dxa"/>
        </w:trPr>
        <w:tc>
          <w:tcPr>
            <w:tcW w:w="0" w:type="auto"/>
            <w:tcMar>
              <w:top w:w="15" w:type="dxa"/>
              <w:left w:w="15" w:type="dxa"/>
              <w:bottom w:w="15" w:type="dxa"/>
              <w:right w:w="15" w:type="dxa"/>
            </w:tcMar>
            <w:vAlign w:val="center"/>
          </w:tcPr>
          <w:p w14:paraId="5F9C01E6"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p>
        </w:tc>
        <w:tc>
          <w:tcPr>
            <w:tcW w:w="0" w:type="auto"/>
            <w:tcMar>
              <w:top w:w="15" w:type="dxa"/>
              <w:left w:w="15" w:type="dxa"/>
              <w:bottom w:w="15" w:type="dxa"/>
              <w:right w:w="15" w:type="dxa"/>
            </w:tcMar>
            <w:vAlign w:val="center"/>
          </w:tcPr>
          <w:p w14:paraId="7F01B6EF"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p>
        </w:tc>
        <w:tc>
          <w:tcPr>
            <w:tcW w:w="0" w:type="auto"/>
            <w:tcMar>
              <w:top w:w="15" w:type="dxa"/>
              <w:left w:w="15" w:type="dxa"/>
              <w:bottom w:w="15" w:type="dxa"/>
              <w:right w:w="15" w:type="dxa"/>
            </w:tcMar>
            <w:vAlign w:val="center"/>
          </w:tcPr>
          <w:p w14:paraId="7FD3DB9E"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p>
        </w:tc>
        <w:tc>
          <w:tcPr>
            <w:tcW w:w="0" w:type="auto"/>
            <w:tcMar>
              <w:top w:w="15" w:type="dxa"/>
              <w:left w:w="15" w:type="dxa"/>
              <w:bottom w:w="15" w:type="dxa"/>
              <w:right w:w="15" w:type="dxa"/>
            </w:tcMar>
            <w:vAlign w:val="center"/>
          </w:tcPr>
          <w:p w14:paraId="7D9D32B5"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p>
        </w:tc>
        <w:tc>
          <w:tcPr>
            <w:tcW w:w="0" w:type="auto"/>
            <w:tcMar>
              <w:top w:w="15" w:type="dxa"/>
              <w:left w:w="15" w:type="dxa"/>
              <w:bottom w:w="15" w:type="dxa"/>
              <w:right w:w="15" w:type="dxa"/>
            </w:tcMar>
            <w:vAlign w:val="center"/>
          </w:tcPr>
          <w:p w14:paraId="12AF42C4"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p>
        </w:tc>
      </w:tr>
    </w:tbl>
    <w:p w14:paraId="0775A99C" w14:textId="77777777" w:rsidR="00C95E3D" w:rsidRPr="00C95E3D" w:rsidRDefault="00C95E3D" w:rsidP="00096CAD">
      <w:pPr>
        <w:spacing w:before="100" w:beforeAutospacing="1" w:after="100" w:afterAutospacing="1" w:line="360" w:lineRule="auto"/>
        <w:rPr>
          <w:rFonts w:ascii="Arial" w:eastAsia="Yu Mincho" w:hAnsi="Arial" w:cs="Arial"/>
          <w:kern w:val="0"/>
          <w:lang w:val="en-GB"/>
          <w14:ligatures w14:val="none"/>
        </w:rPr>
      </w:pPr>
      <w:r w:rsidRPr="00C95E3D">
        <w:rPr>
          <w:rFonts w:ascii="Arial" w:eastAsia="Yu Mincho" w:hAnsi="Arial" w:cs="Arial"/>
          <w:kern w:val="0"/>
          <w:lang w:val="en-GB"/>
          <w14:ligatures w14:val="none"/>
        </w:rPr>
        <w:t>Between-group difference in change (ΔΔ): -8.40 bpm</w:t>
      </w:r>
    </w:p>
    <w:p w14:paraId="47F86BCF" w14:textId="42849DA3" w:rsidR="00C95E3D" w:rsidRPr="00C95E3D" w:rsidRDefault="00C95E3D" w:rsidP="00096CAD">
      <w:pPr>
        <w:spacing w:before="100" w:beforeAutospacing="1" w:after="100" w:afterAutospacing="1" w:line="360" w:lineRule="auto"/>
        <w:rPr>
          <w:rFonts w:ascii="Times New Roman" w:eastAsia="Yu Mincho" w:hAnsi="Times New Roman" w:cs="Times New Roman"/>
          <w:kern w:val="0"/>
          <w14:ligatures w14:val="none"/>
        </w:rPr>
      </w:pPr>
      <w:r>
        <w:rPr>
          <w:noProof/>
        </w:rPr>
        <w:lastRenderedPageBreak/>
        <w:drawing>
          <wp:inline distT="0" distB="0" distL="0" distR="0" wp14:anchorId="74A0597E" wp14:editId="46962A76">
            <wp:extent cx="5410200" cy="3187700"/>
            <wp:effectExtent l="0" t="0" r="0" b="0"/>
            <wp:docPr id="1832768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768149" name="Picture 1"/>
                    <pic:cNvPicPr>
                      <a:picLocks noChangeAspect="1"/>
                    </pic:cNvPicPr>
                  </pic:nvPicPr>
                  <pic:blipFill>
                    <a:blip r:embed="rId14"/>
                    <a:stretch>
                      <a:fillRect/>
                    </a:stretch>
                  </pic:blipFill>
                  <pic:spPr>
                    <a:xfrm>
                      <a:off x="0" y="0"/>
                      <a:ext cx="5410200" cy="3187700"/>
                    </a:xfrm>
                    <a:prstGeom prst="rect">
                      <a:avLst/>
                    </a:prstGeom>
                  </pic:spPr>
                </pic:pic>
              </a:graphicData>
            </a:graphic>
          </wp:inline>
        </w:drawing>
      </w:r>
    </w:p>
    <w:p w14:paraId="3DC1192C" w14:textId="0F0007C2" w:rsidR="00C95E3D" w:rsidRPr="00C95E3D" w:rsidRDefault="00C95E3D" w:rsidP="00096CAD">
      <w:pPr>
        <w:spacing w:before="100" w:beforeAutospacing="1" w:after="100" w:afterAutospacing="1" w:line="360" w:lineRule="auto"/>
        <w:rPr>
          <w:rFonts w:ascii="Times New Roman" w:eastAsia="Yu Mincho" w:hAnsi="Times New Roman" w:cs="Times New Roman"/>
          <w:kern w:val="0"/>
          <w14:ligatures w14:val="none"/>
        </w:rPr>
      </w:pPr>
      <w:r w:rsidRPr="00C95E3D">
        <w:rPr>
          <w:rFonts w:ascii="Arial" w:eastAsia="Yu Mincho" w:hAnsi="Arial" w:cs="Arial"/>
          <w:kern w:val="0"/>
          <w:lang w:val="en-GB"/>
          <w14:ligatures w14:val="none"/>
        </w:rPr>
        <w:t xml:space="preserve"> </w:t>
      </w:r>
      <w:r w:rsidRPr="00C95E3D">
        <w:rPr>
          <w:rFonts w:ascii="Arial" w:eastAsia="Yu Mincho" w:hAnsi="Arial" w:cs="Arial"/>
          <w:b/>
          <w:bCs/>
          <w:kern w:val="0"/>
          <w:lang w:val="en-GB"/>
          <w14:ligatures w14:val="none"/>
        </w:rPr>
        <w:t>Figure 4.4</w:t>
      </w:r>
      <w:r w:rsidRPr="00C95E3D">
        <w:rPr>
          <w:rFonts w:ascii="Arial" w:eastAsia="Yu Mincho" w:hAnsi="Arial" w:cs="Arial"/>
          <w:kern w:val="0"/>
          <w:lang w:val="en-GB"/>
          <w14:ligatures w14:val="none"/>
        </w:rPr>
        <w:t xml:space="preserve"> Average heart rate during the Chester Treadmill Test (bpm) at baseline and post-intervention in the omega-3 (INT O3) and control (CON) groups. Values represent estimated marginal means with 95% confidence intervals.</w:t>
      </w:r>
    </w:p>
    <w:p w14:paraId="06D7C10B" w14:textId="77777777" w:rsidR="00C95E3D" w:rsidRPr="00C95E3D" w:rsidRDefault="00C95E3D" w:rsidP="00096CAD">
      <w:pPr>
        <w:spacing w:before="100" w:beforeAutospacing="1" w:after="100" w:afterAutospacing="1" w:line="360" w:lineRule="auto"/>
        <w:rPr>
          <w:rFonts w:ascii="Arial" w:eastAsia="Yu Mincho" w:hAnsi="Arial" w:cs="Arial"/>
          <w:kern w:val="0"/>
          <w:lang w:val="en-GB"/>
          <w14:ligatures w14:val="none"/>
        </w:rPr>
      </w:pPr>
      <w:r w:rsidRPr="00C95E3D">
        <w:rPr>
          <w:rFonts w:ascii="Arial" w:eastAsia="Yu Mincho" w:hAnsi="Arial" w:cs="Arial"/>
          <w:kern w:val="0"/>
          <w:lang w:val="en-GB"/>
          <w14:ligatures w14:val="none"/>
        </w:rPr>
        <w:t>A two-way mixed ANOVA showed a significant main effect of time, F(1,18) = 10.333, p = .005, partial η² = .365, no significant main effect of group, F(1,18) = 0.018, p = .895, partial η² = .001, and a significant time × group interaction, F(1,18) = 21.674, p &lt; .001, partial η² = .546.</w:t>
      </w:r>
    </w:p>
    <w:p w14:paraId="39D62177" w14:textId="77777777" w:rsidR="00C95E3D" w:rsidRPr="00C95E3D" w:rsidRDefault="00C95E3D" w:rsidP="00096CAD">
      <w:pPr>
        <w:spacing w:before="100" w:beforeAutospacing="1" w:after="100" w:afterAutospacing="1" w:line="360" w:lineRule="auto"/>
        <w:rPr>
          <w:rFonts w:ascii="Arial" w:eastAsia="Yu Mincho" w:hAnsi="Arial" w:cs="Arial"/>
          <w:kern w:val="0"/>
          <w:lang w:val="en-GB"/>
          <w14:ligatures w14:val="none"/>
        </w:rPr>
      </w:pPr>
      <w:r w:rsidRPr="00C95E3D">
        <w:rPr>
          <w:rFonts w:ascii="Arial" w:eastAsia="Yu Mincho" w:hAnsi="Arial" w:cs="Arial"/>
          <w:kern w:val="0"/>
          <w:lang w:val="en-GB"/>
          <w14:ligatures w14:val="none"/>
        </w:rPr>
        <w:t>Bonferroni-adjusted pairwise comparisons showed no significant between-group difference at baseline (p = .546) or post-intervention (p = .702). Within-group comparisons showed a significant reduction in Chester Treadmill Test average heart rate in the omega-3 group (p &lt; .001), whereas no significant change was observed in the control group (p = .322).</w:t>
      </w:r>
    </w:p>
    <w:p w14:paraId="1F253D50" w14:textId="77777777" w:rsidR="00C95E3D" w:rsidRPr="00C95E3D" w:rsidRDefault="00C95E3D" w:rsidP="00096CAD">
      <w:pPr>
        <w:spacing w:before="100" w:beforeAutospacing="1" w:after="100" w:afterAutospacing="1" w:line="360" w:lineRule="auto"/>
        <w:rPr>
          <w:rFonts w:ascii="Arial" w:eastAsia="Yu Mincho" w:hAnsi="Arial" w:cs="Arial"/>
          <w:kern w:val="0"/>
          <w:lang w:val="en-GB"/>
          <w14:ligatures w14:val="none"/>
        </w:rPr>
      </w:pPr>
      <w:r w:rsidRPr="00C95E3D">
        <w:rPr>
          <w:rFonts w:ascii="Arial" w:eastAsia="Yu Mincho" w:hAnsi="Arial" w:cs="Arial"/>
          <w:kern w:val="0"/>
          <w:lang w:val="en-GB"/>
          <w14:ligatures w14:val="none"/>
        </w:rPr>
        <w:t>Descriptively, average treadmill heart rate decreased from 119.1 ± 22.01 bpm to 112.0 ± 19.99 bpm (Δ = −7.1 bpm; −6.0%) in the omega-3 group and increased from 113.8 ± 16.00 bpm to 115.1 ± 15.30 bpm (Δ = +1.3 bpm; +1.1%) in the control group, resulting in a between-group difference in change (ΔΔ) of −8.4 bpm.</w:t>
      </w:r>
    </w:p>
    <w:p w14:paraId="1E30AA8E" w14:textId="77777777" w:rsidR="00806682" w:rsidRDefault="00806682" w:rsidP="00096CAD">
      <w:pPr>
        <w:spacing w:before="100" w:beforeAutospacing="1" w:after="100" w:afterAutospacing="1" w:line="360" w:lineRule="auto"/>
        <w:outlineLvl w:val="2"/>
        <w:rPr>
          <w:rFonts w:ascii="Times New Roman" w:eastAsia="Yu Mincho" w:hAnsi="Times New Roman" w:cs="Times New Roman"/>
          <w:kern w:val="0"/>
          <w14:ligatures w14:val="none"/>
        </w:rPr>
      </w:pPr>
    </w:p>
    <w:p w14:paraId="05832D64" w14:textId="6CE5A3D2" w:rsidR="00C95E3D" w:rsidRDefault="00C95E3D" w:rsidP="003E03F1">
      <w:pPr>
        <w:pStyle w:val="Heading3"/>
        <w:rPr>
          <w:rFonts w:eastAsia="Times New Roman"/>
          <w:lang w:val="en-GB"/>
        </w:rPr>
      </w:pPr>
      <w:bookmarkStart w:id="66" w:name="_Toc228218302"/>
      <w:r w:rsidRPr="00C95E3D">
        <w:rPr>
          <w:rFonts w:eastAsia="Times New Roman"/>
          <w:lang w:val="en-GB"/>
        </w:rPr>
        <w:t>4</w:t>
      </w:r>
      <w:r w:rsidR="003E03F1">
        <w:rPr>
          <w:rFonts w:eastAsia="Times New Roman"/>
          <w:lang w:val="en-GB"/>
        </w:rPr>
        <w:t>.2</w:t>
      </w:r>
      <w:r w:rsidRPr="00C95E3D">
        <w:rPr>
          <w:rFonts w:eastAsia="Times New Roman"/>
          <w:lang w:val="en-GB"/>
        </w:rPr>
        <w:t>.5 Chester Treadmill Test End Heart Rate</w:t>
      </w:r>
      <w:bookmarkEnd w:id="66"/>
    </w:p>
    <w:p w14:paraId="7BCAE4AD" w14:textId="77777777" w:rsidR="00806682" w:rsidRPr="00C95E3D" w:rsidRDefault="00806682" w:rsidP="00096CAD">
      <w:pPr>
        <w:spacing w:before="100" w:beforeAutospacing="1" w:after="100" w:afterAutospacing="1" w:line="360" w:lineRule="auto"/>
        <w:outlineLvl w:val="2"/>
        <w:rPr>
          <w:rFonts w:ascii="Arial" w:eastAsia="Times New Roman" w:hAnsi="Arial" w:cs="Arial"/>
          <w:b/>
          <w:bCs/>
          <w:kern w:val="0"/>
          <w:lang w:val="en-GB"/>
          <w14:ligatures w14:val="none"/>
        </w:rPr>
      </w:pPr>
    </w:p>
    <w:p w14:paraId="4FB09567" w14:textId="77777777" w:rsidR="00C95E3D" w:rsidRDefault="00C95E3D" w:rsidP="00096CAD">
      <w:pPr>
        <w:spacing w:before="100" w:beforeAutospacing="1" w:after="100" w:afterAutospacing="1" w:line="360" w:lineRule="auto"/>
        <w:rPr>
          <w:rFonts w:ascii="Arial" w:eastAsia="Yu Mincho" w:hAnsi="Arial" w:cs="Arial"/>
          <w:kern w:val="0"/>
          <w:lang w:val="en-GB"/>
          <w14:ligatures w14:val="none"/>
        </w:rPr>
      </w:pPr>
      <w:r w:rsidRPr="00C95E3D">
        <w:rPr>
          <w:rFonts w:ascii="Arial" w:eastAsia="Yu Mincho" w:hAnsi="Arial" w:cs="Arial"/>
          <w:kern w:val="0"/>
          <w:lang w:val="en-GB"/>
          <w14:ligatures w14:val="none"/>
        </w:rPr>
        <w:t>End-stage heart rate during the Chester Treadmill Test (CTTEndHR) was assessed at baseline and post-intervention in the omega-3 (INT O3) and control (CON) groups. A two-way mixed ANOVA was conducted to examine the effects of time (baseline vs post-intervention), group (omega-3 vs control), and the time × group interaction on end-stage exercise heart rate.</w:t>
      </w:r>
    </w:p>
    <w:p w14:paraId="5763C882" w14:textId="77777777" w:rsidR="00806682" w:rsidRPr="005014EC" w:rsidRDefault="00806682" w:rsidP="00096CAD">
      <w:pPr>
        <w:spacing w:before="100" w:beforeAutospacing="1" w:after="100" w:afterAutospacing="1" w:line="360" w:lineRule="auto"/>
        <w:rPr>
          <w:rFonts w:ascii="Arial" w:eastAsia="Yu Mincho" w:hAnsi="Arial" w:cs="Arial"/>
          <w:b/>
          <w:bCs/>
          <w:kern w:val="0"/>
          <w:lang w:val="en-GB"/>
          <w14:ligatures w14:val="none"/>
        </w:rPr>
      </w:pPr>
    </w:p>
    <w:p w14:paraId="4434DC7D" w14:textId="77777777" w:rsidR="00C95E3D" w:rsidRPr="00C95E3D" w:rsidRDefault="00C95E3D" w:rsidP="00096CAD">
      <w:pPr>
        <w:spacing w:before="100" w:beforeAutospacing="1" w:after="100" w:afterAutospacing="1" w:line="360" w:lineRule="auto"/>
        <w:rPr>
          <w:rFonts w:ascii="Times New Roman" w:eastAsia="Yu Mincho" w:hAnsi="Times New Roman" w:cs="Arial"/>
          <w:kern w:val="0"/>
          <w14:ligatures w14:val="none"/>
        </w:rPr>
      </w:pPr>
      <w:r w:rsidRPr="005014EC">
        <w:rPr>
          <w:b/>
          <w:bCs/>
          <w:lang w:val="en-GB"/>
        </w:rPr>
        <w:t>Table 4.9</w:t>
      </w:r>
      <w:r w:rsidRPr="00B01FDA">
        <w:rPr>
          <w:lang w:val="en-GB"/>
        </w:rPr>
        <w:t>. Chester Treadmill Test End Heart Rate (bpm) at Baseline and Post-</w:t>
      </w:r>
      <w:r w:rsidRPr="00C95E3D">
        <w:rPr>
          <w:rFonts w:ascii="Arial" w:eastAsia="Yu Mincho" w:hAnsi="Arial" w:cs="Arial"/>
          <w:kern w:val="0"/>
          <w:lang w:val="en-GB"/>
          <w14:ligatures w14:val="none"/>
        </w:rPr>
        <w:t>Intervention by Group (n = 10 per group)</w:t>
      </w:r>
    </w:p>
    <w:tbl>
      <w:tblPr>
        <w:tblW w:w="0" w:type="auto"/>
        <w:tblCellSpacing w:w="15" w:type="dxa"/>
        <w:tblLook w:val="04A0" w:firstRow="1" w:lastRow="0" w:firstColumn="1" w:lastColumn="0" w:noHBand="0" w:noVBand="1"/>
      </w:tblPr>
      <w:tblGrid>
        <w:gridCol w:w="814"/>
        <w:gridCol w:w="2927"/>
        <w:gridCol w:w="2999"/>
        <w:gridCol w:w="1517"/>
        <w:gridCol w:w="1103"/>
      </w:tblGrid>
      <w:tr w:rsidR="00C95E3D" w:rsidRPr="00C95E3D" w14:paraId="7C7F1CAB" w14:textId="77777777">
        <w:trPr>
          <w:tblHeader/>
          <w:tblCellSpacing w:w="15" w:type="dxa"/>
        </w:trPr>
        <w:tc>
          <w:tcPr>
            <w:tcW w:w="0" w:type="auto"/>
            <w:tcMar>
              <w:top w:w="15" w:type="dxa"/>
              <w:left w:w="15" w:type="dxa"/>
              <w:bottom w:w="15" w:type="dxa"/>
              <w:right w:w="15" w:type="dxa"/>
            </w:tcMar>
            <w:vAlign w:val="center"/>
            <w:hideMark/>
          </w:tcPr>
          <w:p w14:paraId="3AFB91BC" w14:textId="77777777" w:rsidR="00C95E3D" w:rsidRPr="00C95E3D" w:rsidRDefault="00C95E3D" w:rsidP="00096CAD">
            <w:pPr>
              <w:spacing w:before="100" w:beforeAutospacing="1" w:after="100" w:afterAutospacing="1" w:line="360" w:lineRule="auto"/>
              <w:jc w:val="center"/>
              <w:rPr>
                <w:rFonts w:ascii="Aptos" w:eastAsia="Yu Mincho" w:hAnsi="Aptos" w:cs="Arial"/>
                <w:kern w:val="0"/>
                <w14:ligatures w14:val="none"/>
              </w:rPr>
            </w:pPr>
            <w:r w:rsidRPr="00C95E3D">
              <w:rPr>
                <w:rFonts w:ascii="Arial" w:eastAsia="Yu Mincho" w:hAnsi="Arial" w:cs="Arial"/>
                <w:kern w:val="0"/>
                <w14:ligatures w14:val="none"/>
              </w:rPr>
              <w:t>Group</w:t>
            </w:r>
          </w:p>
        </w:tc>
        <w:tc>
          <w:tcPr>
            <w:tcW w:w="0" w:type="auto"/>
            <w:tcMar>
              <w:top w:w="15" w:type="dxa"/>
              <w:left w:w="15" w:type="dxa"/>
              <w:bottom w:w="15" w:type="dxa"/>
              <w:right w:w="15" w:type="dxa"/>
            </w:tcMar>
            <w:vAlign w:val="center"/>
            <w:hideMark/>
          </w:tcPr>
          <w:p w14:paraId="6012A978" w14:textId="77777777" w:rsidR="00C95E3D" w:rsidRPr="00C95E3D" w:rsidRDefault="00C95E3D" w:rsidP="00096CAD">
            <w:pPr>
              <w:spacing w:before="100" w:beforeAutospacing="1" w:after="100" w:afterAutospacing="1" w:line="360" w:lineRule="auto"/>
              <w:jc w:val="center"/>
              <w:rPr>
                <w:rFonts w:ascii="Arial" w:eastAsia="Yu Mincho" w:hAnsi="Arial" w:cs="Arial"/>
                <w:kern w:val="0"/>
                <w14:ligatures w14:val="none"/>
              </w:rPr>
            </w:pPr>
            <w:r w:rsidRPr="00C95E3D">
              <w:rPr>
                <w:rFonts w:ascii="Arial" w:eastAsia="Yu Mincho" w:hAnsi="Arial" w:cs="Arial"/>
                <w:kern w:val="0"/>
                <w14:ligatures w14:val="none"/>
              </w:rPr>
              <w:t>Pre-Intervention Mean ± SD (bpm)</w:t>
            </w:r>
          </w:p>
        </w:tc>
        <w:tc>
          <w:tcPr>
            <w:tcW w:w="0" w:type="auto"/>
            <w:tcMar>
              <w:top w:w="15" w:type="dxa"/>
              <w:left w:w="15" w:type="dxa"/>
              <w:bottom w:w="15" w:type="dxa"/>
              <w:right w:w="15" w:type="dxa"/>
            </w:tcMar>
            <w:vAlign w:val="center"/>
            <w:hideMark/>
          </w:tcPr>
          <w:p w14:paraId="46FC4812" w14:textId="77777777" w:rsidR="00C95E3D" w:rsidRPr="00C95E3D" w:rsidRDefault="00C95E3D" w:rsidP="00096CAD">
            <w:pPr>
              <w:spacing w:before="100" w:beforeAutospacing="1" w:after="100" w:afterAutospacing="1" w:line="360" w:lineRule="auto"/>
              <w:jc w:val="center"/>
              <w:rPr>
                <w:rFonts w:ascii="Arial" w:eastAsia="Yu Mincho" w:hAnsi="Arial" w:cs="Arial"/>
                <w:kern w:val="0"/>
                <w14:ligatures w14:val="none"/>
              </w:rPr>
            </w:pPr>
            <w:r w:rsidRPr="00C95E3D">
              <w:rPr>
                <w:rFonts w:ascii="Arial" w:eastAsia="Yu Mincho" w:hAnsi="Arial" w:cs="Arial"/>
                <w:kern w:val="0"/>
                <w14:ligatures w14:val="none"/>
              </w:rPr>
              <w:t>Post-Intervention Mean ± SD (bpm)</w:t>
            </w:r>
          </w:p>
        </w:tc>
        <w:tc>
          <w:tcPr>
            <w:tcW w:w="0" w:type="auto"/>
            <w:tcMar>
              <w:top w:w="15" w:type="dxa"/>
              <w:left w:w="15" w:type="dxa"/>
              <w:bottom w:w="15" w:type="dxa"/>
              <w:right w:w="15" w:type="dxa"/>
            </w:tcMar>
            <w:vAlign w:val="center"/>
            <w:hideMark/>
          </w:tcPr>
          <w:p w14:paraId="5765AE75" w14:textId="77777777" w:rsidR="00C95E3D" w:rsidRPr="00C95E3D" w:rsidRDefault="00C95E3D" w:rsidP="00096CAD">
            <w:pPr>
              <w:spacing w:before="100" w:beforeAutospacing="1" w:after="100" w:afterAutospacing="1" w:line="360" w:lineRule="auto"/>
              <w:jc w:val="center"/>
              <w:rPr>
                <w:rFonts w:ascii="Arial" w:eastAsia="Yu Mincho" w:hAnsi="Arial" w:cs="Arial"/>
                <w:kern w:val="0"/>
                <w14:ligatures w14:val="none"/>
              </w:rPr>
            </w:pPr>
            <w:r w:rsidRPr="00C95E3D">
              <w:rPr>
                <w:rFonts w:ascii="Arial" w:eastAsia="Yu Mincho" w:hAnsi="Arial" w:cs="Arial"/>
                <w:kern w:val="0"/>
                <w14:ligatures w14:val="none"/>
              </w:rPr>
              <w:t>Change (Δ bpm)</w:t>
            </w:r>
          </w:p>
        </w:tc>
        <w:tc>
          <w:tcPr>
            <w:tcW w:w="0" w:type="auto"/>
            <w:tcMar>
              <w:top w:w="15" w:type="dxa"/>
              <w:left w:w="15" w:type="dxa"/>
              <w:bottom w:w="15" w:type="dxa"/>
              <w:right w:w="15" w:type="dxa"/>
            </w:tcMar>
            <w:vAlign w:val="center"/>
            <w:hideMark/>
          </w:tcPr>
          <w:p w14:paraId="72E2A920" w14:textId="77777777" w:rsidR="00C95E3D" w:rsidRPr="00C95E3D" w:rsidRDefault="00C95E3D" w:rsidP="00096CAD">
            <w:pPr>
              <w:spacing w:before="100" w:beforeAutospacing="1" w:after="100" w:afterAutospacing="1" w:line="360" w:lineRule="auto"/>
              <w:jc w:val="center"/>
              <w:rPr>
                <w:rFonts w:ascii="Arial" w:eastAsia="Yu Mincho" w:hAnsi="Arial" w:cs="Arial"/>
                <w:kern w:val="0"/>
                <w14:ligatures w14:val="none"/>
              </w:rPr>
            </w:pPr>
            <w:r w:rsidRPr="00C95E3D">
              <w:rPr>
                <w:rFonts w:ascii="Arial" w:eastAsia="Yu Mincho" w:hAnsi="Arial" w:cs="Arial"/>
                <w:kern w:val="0"/>
                <w14:ligatures w14:val="none"/>
              </w:rPr>
              <w:t>% Change</w:t>
            </w:r>
          </w:p>
        </w:tc>
      </w:tr>
      <w:tr w:rsidR="00C95E3D" w:rsidRPr="00C95E3D" w14:paraId="3CAE8095" w14:textId="77777777">
        <w:trPr>
          <w:tblCellSpacing w:w="15" w:type="dxa"/>
        </w:trPr>
        <w:tc>
          <w:tcPr>
            <w:tcW w:w="0" w:type="auto"/>
            <w:tcMar>
              <w:top w:w="15" w:type="dxa"/>
              <w:left w:w="15" w:type="dxa"/>
              <w:bottom w:w="15" w:type="dxa"/>
              <w:right w:w="15" w:type="dxa"/>
            </w:tcMar>
            <w:vAlign w:val="center"/>
            <w:hideMark/>
          </w:tcPr>
          <w:p w14:paraId="337BC9A1"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INT O3</w:t>
            </w:r>
          </w:p>
        </w:tc>
        <w:tc>
          <w:tcPr>
            <w:tcW w:w="0" w:type="auto"/>
            <w:tcMar>
              <w:top w:w="15" w:type="dxa"/>
              <w:left w:w="15" w:type="dxa"/>
              <w:bottom w:w="15" w:type="dxa"/>
              <w:right w:w="15" w:type="dxa"/>
            </w:tcMar>
            <w:vAlign w:val="center"/>
            <w:hideMark/>
          </w:tcPr>
          <w:p w14:paraId="2EF2E28E"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149.60 ± 34.86</w:t>
            </w:r>
          </w:p>
        </w:tc>
        <w:tc>
          <w:tcPr>
            <w:tcW w:w="0" w:type="auto"/>
            <w:tcMar>
              <w:top w:w="15" w:type="dxa"/>
              <w:left w:w="15" w:type="dxa"/>
              <w:bottom w:w="15" w:type="dxa"/>
              <w:right w:w="15" w:type="dxa"/>
            </w:tcMar>
            <w:vAlign w:val="center"/>
            <w:hideMark/>
          </w:tcPr>
          <w:p w14:paraId="36EA3CD9"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138.80 ± 34.29</w:t>
            </w:r>
          </w:p>
        </w:tc>
        <w:tc>
          <w:tcPr>
            <w:tcW w:w="0" w:type="auto"/>
            <w:tcMar>
              <w:top w:w="15" w:type="dxa"/>
              <w:left w:w="15" w:type="dxa"/>
              <w:bottom w:w="15" w:type="dxa"/>
              <w:right w:w="15" w:type="dxa"/>
            </w:tcMar>
            <w:vAlign w:val="center"/>
            <w:hideMark/>
          </w:tcPr>
          <w:p w14:paraId="532D33D0"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−10.80</w:t>
            </w:r>
          </w:p>
        </w:tc>
        <w:tc>
          <w:tcPr>
            <w:tcW w:w="0" w:type="auto"/>
            <w:tcMar>
              <w:top w:w="15" w:type="dxa"/>
              <w:left w:w="15" w:type="dxa"/>
              <w:bottom w:w="15" w:type="dxa"/>
              <w:right w:w="15" w:type="dxa"/>
            </w:tcMar>
            <w:vAlign w:val="center"/>
            <w:hideMark/>
          </w:tcPr>
          <w:p w14:paraId="08298A62"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−7.2%</w:t>
            </w:r>
          </w:p>
        </w:tc>
      </w:tr>
      <w:tr w:rsidR="00C95E3D" w:rsidRPr="00C95E3D" w14:paraId="1F853DEF" w14:textId="77777777">
        <w:trPr>
          <w:tblCellSpacing w:w="15" w:type="dxa"/>
        </w:trPr>
        <w:tc>
          <w:tcPr>
            <w:tcW w:w="0" w:type="auto"/>
            <w:tcMar>
              <w:top w:w="15" w:type="dxa"/>
              <w:left w:w="15" w:type="dxa"/>
              <w:bottom w:w="15" w:type="dxa"/>
              <w:right w:w="15" w:type="dxa"/>
            </w:tcMar>
            <w:vAlign w:val="center"/>
            <w:hideMark/>
          </w:tcPr>
          <w:p w14:paraId="0D87A9B3"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CON</w:t>
            </w:r>
          </w:p>
        </w:tc>
        <w:tc>
          <w:tcPr>
            <w:tcW w:w="0" w:type="auto"/>
            <w:tcMar>
              <w:top w:w="15" w:type="dxa"/>
              <w:left w:w="15" w:type="dxa"/>
              <w:bottom w:w="15" w:type="dxa"/>
              <w:right w:w="15" w:type="dxa"/>
            </w:tcMar>
            <w:vAlign w:val="center"/>
            <w:hideMark/>
          </w:tcPr>
          <w:p w14:paraId="2885FC24"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140.50 ± 26.55</w:t>
            </w:r>
          </w:p>
        </w:tc>
        <w:tc>
          <w:tcPr>
            <w:tcW w:w="0" w:type="auto"/>
            <w:tcMar>
              <w:top w:w="15" w:type="dxa"/>
              <w:left w:w="15" w:type="dxa"/>
              <w:bottom w:w="15" w:type="dxa"/>
              <w:right w:w="15" w:type="dxa"/>
            </w:tcMar>
            <w:vAlign w:val="center"/>
            <w:hideMark/>
          </w:tcPr>
          <w:p w14:paraId="3726A8D3"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149.90 ± 27.07</w:t>
            </w:r>
          </w:p>
        </w:tc>
        <w:tc>
          <w:tcPr>
            <w:tcW w:w="0" w:type="auto"/>
            <w:tcMar>
              <w:top w:w="15" w:type="dxa"/>
              <w:left w:w="15" w:type="dxa"/>
              <w:bottom w:w="15" w:type="dxa"/>
              <w:right w:w="15" w:type="dxa"/>
            </w:tcMar>
            <w:vAlign w:val="center"/>
            <w:hideMark/>
          </w:tcPr>
          <w:p w14:paraId="612785E2"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+9.40</w:t>
            </w:r>
          </w:p>
        </w:tc>
        <w:tc>
          <w:tcPr>
            <w:tcW w:w="0" w:type="auto"/>
            <w:tcMar>
              <w:top w:w="15" w:type="dxa"/>
              <w:left w:w="15" w:type="dxa"/>
              <w:bottom w:w="15" w:type="dxa"/>
              <w:right w:w="15" w:type="dxa"/>
            </w:tcMar>
            <w:vAlign w:val="center"/>
            <w:hideMark/>
          </w:tcPr>
          <w:p w14:paraId="44482A22" w14:textId="77777777" w:rsidR="00C95E3D" w:rsidRPr="00C95E3D" w:rsidRDefault="00C95E3D" w:rsidP="00096CAD">
            <w:pPr>
              <w:spacing w:before="100" w:beforeAutospacing="1" w:after="100" w:afterAutospacing="1" w:line="360" w:lineRule="auto"/>
              <w:rPr>
                <w:rFonts w:ascii="Arial" w:eastAsia="Yu Mincho" w:hAnsi="Arial" w:cs="Arial"/>
                <w:kern w:val="0"/>
                <w14:ligatures w14:val="none"/>
              </w:rPr>
            </w:pPr>
            <w:r w:rsidRPr="00C95E3D">
              <w:rPr>
                <w:rFonts w:ascii="Arial" w:eastAsia="Yu Mincho" w:hAnsi="Arial" w:cs="Arial"/>
                <w:kern w:val="0"/>
                <w14:ligatures w14:val="none"/>
              </w:rPr>
              <w:t>+6.7%</w:t>
            </w:r>
          </w:p>
        </w:tc>
      </w:tr>
    </w:tbl>
    <w:p w14:paraId="55A5BCA9" w14:textId="77777777" w:rsidR="00C95E3D" w:rsidRDefault="00C95E3D" w:rsidP="00096CAD">
      <w:pPr>
        <w:spacing w:before="100" w:beforeAutospacing="1" w:after="100" w:afterAutospacing="1" w:line="360" w:lineRule="auto"/>
        <w:rPr>
          <w:rFonts w:ascii="Arial" w:eastAsia="Yu Mincho" w:hAnsi="Arial" w:cs="Arial"/>
          <w:kern w:val="0"/>
          <w:lang w:val="en-GB"/>
          <w14:ligatures w14:val="none"/>
        </w:rPr>
      </w:pPr>
      <w:r w:rsidRPr="00C95E3D">
        <w:rPr>
          <w:rFonts w:ascii="Arial" w:eastAsia="Yu Mincho" w:hAnsi="Arial" w:cs="Arial"/>
          <w:kern w:val="0"/>
          <w:lang w:val="en-GB"/>
          <w14:ligatures w14:val="none"/>
        </w:rPr>
        <w:t>Between-group difference in change (ΔΔ): −20.20 bpm (−13.9%).</w:t>
      </w:r>
    </w:p>
    <w:p w14:paraId="49872A18" w14:textId="77777777" w:rsidR="00806682" w:rsidRDefault="00C95E3D" w:rsidP="00096CAD">
      <w:pPr>
        <w:spacing w:before="100" w:beforeAutospacing="1" w:after="100" w:afterAutospacing="1" w:line="360" w:lineRule="auto"/>
        <w:rPr>
          <w:rFonts w:ascii="Arial" w:eastAsia="Yu Mincho" w:hAnsi="Arial" w:cs="Arial"/>
          <w:kern w:val="0"/>
          <w:lang w:val="en-GB"/>
          <w14:ligatures w14:val="none"/>
        </w:rPr>
      </w:pPr>
      <w:r>
        <w:rPr>
          <w:noProof/>
        </w:rPr>
        <w:lastRenderedPageBreak/>
        <w:drawing>
          <wp:inline distT="0" distB="0" distL="0" distR="0" wp14:anchorId="49C1B55D" wp14:editId="275782AF">
            <wp:extent cx="5410200" cy="3187700"/>
            <wp:effectExtent l="0" t="0" r="0" b="0"/>
            <wp:docPr id="2113497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497580" name="Picture 1"/>
                    <pic:cNvPicPr>
                      <a:picLocks noChangeAspect="1"/>
                    </pic:cNvPicPr>
                  </pic:nvPicPr>
                  <pic:blipFill>
                    <a:blip r:embed="rId15"/>
                    <a:stretch>
                      <a:fillRect/>
                    </a:stretch>
                  </pic:blipFill>
                  <pic:spPr>
                    <a:xfrm>
                      <a:off x="0" y="0"/>
                      <a:ext cx="5410200" cy="3187700"/>
                    </a:xfrm>
                    <a:prstGeom prst="rect">
                      <a:avLst/>
                    </a:prstGeom>
                  </pic:spPr>
                </pic:pic>
              </a:graphicData>
            </a:graphic>
          </wp:inline>
        </w:drawing>
      </w:r>
    </w:p>
    <w:p w14:paraId="0C3D3C36" w14:textId="5868DA2F" w:rsidR="00C95E3D" w:rsidRPr="00C95E3D" w:rsidRDefault="00C95E3D" w:rsidP="00096CAD">
      <w:pPr>
        <w:spacing w:before="100" w:beforeAutospacing="1" w:after="100" w:afterAutospacing="1" w:line="360" w:lineRule="auto"/>
        <w:rPr>
          <w:rFonts w:ascii="Arial" w:eastAsia="Yu Mincho" w:hAnsi="Arial" w:cs="Arial"/>
          <w:kern w:val="0"/>
          <w:lang w:val="en-GB"/>
          <w14:ligatures w14:val="none"/>
        </w:rPr>
      </w:pPr>
      <w:r w:rsidRPr="00C95E3D">
        <w:rPr>
          <w:rFonts w:ascii="Arial" w:eastAsia="Yu Mincho" w:hAnsi="Arial" w:cs="Arial"/>
          <w:b/>
          <w:bCs/>
          <w:kern w:val="0"/>
          <w:lang w:val="en-GB"/>
          <w14:ligatures w14:val="none"/>
        </w:rPr>
        <w:t>Figure 4.5</w:t>
      </w:r>
      <w:r w:rsidRPr="00C95E3D">
        <w:rPr>
          <w:rFonts w:ascii="Arial" w:eastAsia="Yu Mincho" w:hAnsi="Arial" w:cs="Arial"/>
          <w:kern w:val="0"/>
          <w:lang w:val="en-GB"/>
          <w14:ligatures w14:val="none"/>
        </w:rPr>
        <w:t>. End-stage heart rate during the Chester Treadmill Test (bpm) at baseline and post-intervention in the omega-3 (INT O3) and control (CON) groups. Values represent estimated marginal means with 95% confidence intervals.</w:t>
      </w:r>
    </w:p>
    <w:p w14:paraId="243B9C1B" w14:textId="77777777" w:rsidR="00C95E3D" w:rsidRPr="00C95E3D" w:rsidRDefault="00C95E3D" w:rsidP="00096CAD">
      <w:pPr>
        <w:spacing w:before="100" w:beforeAutospacing="1" w:after="100" w:afterAutospacing="1" w:line="360" w:lineRule="auto"/>
        <w:rPr>
          <w:rFonts w:ascii="Arial" w:eastAsia="Yu Mincho" w:hAnsi="Arial" w:cs="Arial"/>
          <w:kern w:val="0"/>
          <w:lang w:val="en-GB"/>
          <w14:ligatures w14:val="none"/>
        </w:rPr>
      </w:pPr>
    </w:p>
    <w:p w14:paraId="05723B0E" w14:textId="3EFB60F7" w:rsidR="003E03F1" w:rsidRPr="00C95E3D" w:rsidRDefault="00C95E3D" w:rsidP="008715C0">
      <w:pPr>
        <w:spacing w:before="100" w:beforeAutospacing="1" w:after="100" w:afterAutospacing="1" w:line="360" w:lineRule="auto"/>
        <w:rPr>
          <w:rFonts w:ascii="Arial" w:eastAsia="Yu Mincho" w:hAnsi="Arial" w:cs="Arial"/>
          <w:kern w:val="0"/>
          <w:lang w:val="en-GB"/>
          <w14:ligatures w14:val="none"/>
        </w:rPr>
      </w:pPr>
      <w:r w:rsidRPr="00C95E3D">
        <w:rPr>
          <w:rFonts w:ascii="Arial" w:eastAsia="Yu Mincho" w:hAnsi="Arial" w:cs="Arial"/>
          <w:kern w:val="0"/>
          <w:lang w:val="en-GB"/>
          <w14:ligatures w14:val="none"/>
        </w:rPr>
        <w:t>A two-way mixed ANOVA showed no significant main effect of time, F(1,18) = 0.044, p = .836, partial η² = .002, and no significant main effect of group, F(1,18) = 0.006, p = .941, partial η² &lt; .001. A significant time × group interaction was observed, F(1,18) = 9.153, p = .007, partial η² = .337.</w:t>
      </w:r>
    </w:p>
    <w:p w14:paraId="46D26154" w14:textId="328A0180" w:rsidR="00C95E3D" w:rsidRDefault="00C95E3D" w:rsidP="008715C0">
      <w:pPr>
        <w:spacing w:before="100" w:beforeAutospacing="1" w:after="100" w:afterAutospacing="1" w:line="360" w:lineRule="auto"/>
        <w:rPr>
          <w:rFonts w:ascii="Arial" w:eastAsia="Yu Mincho" w:hAnsi="Arial" w:cs="Arial"/>
          <w:kern w:val="0"/>
          <w:lang w:val="en-GB"/>
          <w14:ligatures w14:val="none"/>
        </w:rPr>
      </w:pPr>
      <w:r w:rsidRPr="00C95E3D">
        <w:rPr>
          <w:rFonts w:ascii="Arial" w:eastAsia="Yu Mincho" w:hAnsi="Arial" w:cs="Arial"/>
          <w:kern w:val="0"/>
          <w:lang w:val="en-GB"/>
          <w14:ligatures w14:val="none"/>
        </w:rPr>
        <w:t>Bonferroni-adjusted pairwise comparisons showed no significant between-group difference at baseline (p = .520) or post-intervention (p = .432). Within-group comparisons showed a significant reduction in Chester Treadmill Test end heart rate in the omega-3 group (p = .034), whereas no significant change was observed in the control group (p = .062).</w:t>
      </w:r>
    </w:p>
    <w:p w14:paraId="161C7E0D" w14:textId="77777777" w:rsidR="003E03F1" w:rsidRPr="00C95E3D" w:rsidRDefault="003E03F1" w:rsidP="008715C0">
      <w:pPr>
        <w:spacing w:before="100" w:beforeAutospacing="1" w:after="100" w:afterAutospacing="1" w:line="360" w:lineRule="auto"/>
        <w:rPr>
          <w:rFonts w:ascii="Arial" w:eastAsia="Yu Mincho" w:hAnsi="Arial" w:cs="Arial"/>
          <w:kern w:val="0"/>
          <w:lang w:val="en-GB"/>
          <w14:ligatures w14:val="none"/>
        </w:rPr>
      </w:pPr>
    </w:p>
    <w:p w14:paraId="0FECBA9F" w14:textId="77777777" w:rsidR="00C95E3D" w:rsidRPr="00C95E3D" w:rsidRDefault="00C95E3D" w:rsidP="008715C0">
      <w:pPr>
        <w:spacing w:before="100" w:beforeAutospacing="1" w:after="100" w:afterAutospacing="1" w:line="360" w:lineRule="auto"/>
        <w:rPr>
          <w:rFonts w:ascii="Arial" w:eastAsia="Yu Mincho" w:hAnsi="Arial" w:cs="Arial"/>
          <w:kern w:val="0"/>
          <w:lang w:val="en-GB"/>
          <w14:ligatures w14:val="none"/>
        </w:rPr>
      </w:pPr>
      <w:r w:rsidRPr="00C95E3D">
        <w:rPr>
          <w:rFonts w:ascii="Arial" w:eastAsia="Yu Mincho" w:hAnsi="Arial" w:cs="Arial"/>
          <w:kern w:val="0"/>
          <w:lang w:val="en-GB"/>
          <w14:ligatures w14:val="none"/>
        </w:rPr>
        <w:lastRenderedPageBreak/>
        <w:t>Descriptively, end heart rate decreased from 149.6 ± 34.86 bpm to 138.8 ± 34.29 bpm (Δ = −10.8 bpm; −7.2%) in the omega-3 group and increased from 140.5 ± 26.55 bpm to 149.9 ± 27.07 bpm (Δ = +9.4 bpm; +6.7%) in the control group, resulting in a between-group difference in change (ΔΔ) of −20.2 bpm.</w:t>
      </w:r>
    </w:p>
    <w:p w14:paraId="685460C4" w14:textId="77777777" w:rsidR="002A0A9B" w:rsidRPr="00440200" w:rsidRDefault="002A0A9B" w:rsidP="008715C0">
      <w:pPr>
        <w:pStyle w:val="p1"/>
        <w:spacing w:line="360" w:lineRule="auto"/>
        <w:rPr>
          <w:rFonts w:ascii="Arial" w:hAnsi="Arial" w:cs="Arial"/>
        </w:rPr>
      </w:pPr>
      <w:r w:rsidRPr="00440200">
        <w:rPr>
          <w:rFonts w:ascii="Arial" w:hAnsi="Arial" w:cs="Arial"/>
        </w:rPr>
        <w:t>The next chapter discusses these findings in relation to the study aims and wider literature.</w:t>
      </w:r>
    </w:p>
    <w:p w14:paraId="07C016D8" w14:textId="77777777" w:rsidR="00C95E3D" w:rsidRPr="00C95E3D" w:rsidRDefault="00C95E3D" w:rsidP="008715C0">
      <w:pPr>
        <w:spacing w:before="100" w:beforeAutospacing="1" w:after="100" w:afterAutospacing="1" w:line="360" w:lineRule="auto"/>
        <w:rPr>
          <w:rFonts w:ascii="Arial" w:eastAsia="Yu Mincho" w:hAnsi="Arial" w:cs="Arial"/>
          <w:kern w:val="0"/>
          <w:lang w:val="en-GB"/>
          <w14:ligatures w14:val="none"/>
        </w:rPr>
      </w:pPr>
    </w:p>
    <w:p w14:paraId="7B002A44" w14:textId="77777777" w:rsidR="00C95E3D" w:rsidRDefault="00C95E3D" w:rsidP="008715C0">
      <w:pPr>
        <w:spacing w:after="0" w:line="360" w:lineRule="auto"/>
        <w:rPr>
          <w:rFonts w:ascii="Arial" w:eastAsia="Yu Mincho" w:hAnsi="Arial" w:cs="Arial"/>
          <w:kern w:val="0"/>
          <w:lang w:val="en-GB"/>
          <w14:ligatures w14:val="none"/>
        </w:rPr>
      </w:pPr>
    </w:p>
    <w:p w14:paraId="043BAC5B" w14:textId="77777777" w:rsidR="00C95E3D" w:rsidRDefault="00C95E3D" w:rsidP="008715C0">
      <w:pPr>
        <w:spacing w:after="0" w:line="360" w:lineRule="auto"/>
        <w:rPr>
          <w:rFonts w:ascii="Arial" w:eastAsia="Yu Mincho" w:hAnsi="Arial" w:cs="Arial"/>
          <w:kern w:val="0"/>
          <w:lang w:val="en-GB"/>
          <w14:ligatures w14:val="none"/>
        </w:rPr>
      </w:pPr>
    </w:p>
    <w:p w14:paraId="0F303BC2" w14:textId="77777777" w:rsidR="00C95E3D" w:rsidRDefault="00C95E3D" w:rsidP="008715C0">
      <w:pPr>
        <w:spacing w:after="0" w:line="360" w:lineRule="auto"/>
        <w:rPr>
          <w:rFonts w:ascii="Arial" w:eastAsia="Yu Mincho" w:hAnsi="Arial" w:cs="Arial"/>
          <w:kern w:val="0"/>
          <w:lang w:val="en-GB"/>
          <w14:ligatures w14:val="none"/>
        </w:rPr>
      </w:pPr>
    </w:p>
    <w:p w14:paraId="41A844E4" w14:textId="77777777" w:rsidR="003E03F1" w:rsidRDefault="003E03F1" w:rsidP="008715C0">
      <w:pPr>
        <w:spacing w:after="0" w:line="360" w:lineRule="auto"/>
        <w:rPr>
          <w:rFonts w:ascii="Arial" w:eastAsia="Yu Mincho" w:hAnsi="Arial" w:cs="Arial"/>
          <w:kern w:val="0"/>
          <w:lang w:val="en-GB"/>
          <w14:ligatures w14:val="none"/>
        </w:rPr>
      </w:pPr>
    </w:p>
    <w:p w14:paraId="7A4C5C78" w14:textId="77777777" w:rsidR="003E03F1" w:rsidRDefault="003E03F1" w:rsidP="008715C0">
      <w:pPr>
        <w:spacing w:after="0" w:line="360" w:lineRule="auto"/>
        <w:rPr>
          <w:rFonts w:ascii="Arial" w:eastAsia="Yu Mincho" w:hAnsi="Arial" w:cs="Arial"/>
          <w:kern w:val="0"/>
          <w:lang w:val="en-GB"/>
          <w14:ligatures w14:val="none"/>
        </w:rPr>
      </w:pPr>
    </w:p>
    <w:p w14:paraId="182193C6" w14:textId="77777777" w:rsidR="003E03F1" w:rsidRDefault="003E03F1" w:rsidP="008715C0">
      <w:pPr>
        <w:spacing w:after="0" w:line="360" w:lineRule="auto"/>
        <w:rPr>
          <w:rFonts w:ascii="Arial" w:eastAsia="Yu Mincho" w:hAnsi="Arial" w:cs="Arial"/>
          <w:kern w:val="0"/>
          <w:lang w:val="en-GB"/>
          <w14:ligatures w14:val="none"/>
        </w:rPr>
      </w:pPr>
    </w:p>
    <w:p w14:paraId="2DF124C5" w14:textId="77777777" w:rsidR="003E03F1" w:rsidRDefault="003E03F1" w:rsidP="008715C0">
      <w:pPr>
        <w:spacing w:after="0" w:line="360" w:lineRule="auto"/>
        <w:rPr>
          <w:rFonts w:ascii="Arial" w:eastAsia="Yu Mincho" w:hAnsi="Arial" w:cs="Arial"/>
          <w:kern w:val="0"/>
          <w:lang w:val="en-GB"/>
          <w14:ligatures w14:val="none"/>
        </w:rPr>
      </w:pPr>
    </w:p>
    <w:p w14:paraId="3A44C5CA" w14:textId="77777777" w:rsidR="003E03F1" w:rsidRDefault="003E03F1" w:rsidP="008715C0">
      <w:pPr>
        <w:spacing w:after="0" w:line="360" w:lineRule="auto"/>
        <w:rPr>
          <w:rFonts w:ascii="Arial" w:eastAsia="Yu Mincho" w:hAnsi="Arial" w:cs="Arial"/>
          <w:kern w:val="0"/>
          <w:lang w:val="en-GB"/>
          <w14:ligatures w14:val="none"/>
        </w:rPr>
      </w:pPr>
    </w:p>
    <w:p w14:paraId="5F95BA37" w14:textId="77777777" w:rsidR="003E03F1" w:rsidRDefault="003E03F1" w:rsidP="008715C0">
      <w:pPr>
        <w:spacing w:after="0" w:line="360" w:lineRule="auto"/>
        <w:rPr>
          <w:rFonts w:ascii="Arial" w:eastAsia="Yu Mincho" w:hAnsi="Arial" w:cs="Arial"/>
          <w:kern w:val="0"/>
          <w:lang w:val="en-GB"/>
          <w14:ligatures w14:val="none"/>
        </w:rPr>
      </w:pPr>
    </w:p>
    <w:p w14:paraId="72E98EE3" w14:textId="77777777" w:rsidR="003E03F1" w:rsidRDefault="003E03F1" w:rsidP="008715C0">
      <w:pPr>
        <w:spacing w:after="0" w:line="360" w:lineRule="auto"/>
        <w:rPr>
          <w:rFonts w:ascii="Arial" w:eastAsia="Yu Mincho" w:hAnsi="Arial" w:cs="Arial"/>
          <w:kern w:val="0"/>
          <w:lang w:val="en-GB"/>
          <w14:ligatures w14:val="none"/>
        </w:rPr>
      </w:pPr>
    </w:p>
    <w:p w14:paraId="0B494F11" w14:textId="77777777" w:rsidR="003E03F1" w:rsidRDefault="003E03F1" w:rsidP="008715C0">
      <w:pPr>
        <w:spacing w:after="0" w:line="360" w:lineRule="auto"/>
        <w:rPr>
          <w:rFonts w:ascii="Arial" w:eastAsia="Yu Mincho" w:hAnsi="Arial" w:cs="Arial"/>
          <w:kern w:val="0"/>
          <w:lang w:val="en-GB"/>
          <w14:ligatures w14:val="none"/>
        </w:rPr>
      </w:pPr>
    </w:p>
    <w:p w14:paraId="20339F1C" w14:textId="77777777" w:rsidR="003E03F1" w:rsidRDefault="003E03F1" w:rsidP="008715C0">
      <w:pPr>
        <w:spacing w:after="0" w:line="360" w:lineRule="auto"/>
        <w:rPr>
          <w:rFonts w:ascii="Arial" w:eastAsia="Yu Mincho" w:hAnsi="Arial" w:cs="Arial"/>
          <w:kern w:val="0"/>
          <w:lang w:val="en-GB"/>
          <w14:ligatures w14:val="none"/>
        </w:rPr>
      </w:pPr>
    </w:p>
    <w:p w14:paraId="79EF45EE" w14:textId="77777777" w:rsidR="003E03F1" w:rsidRDefault="003E03F1" w:rsidP="008715C0">
      <w:pPr>
        <w:spacing w:after="0" w:line="360" w:lineRule="auto"/>
        <w:rPr>
          <w:rFonts w:ascii="Arial" w:eastAsia="Yu Mincho" w:hAnsi="Arial" w:cs="Arial"/>
          <w:kern w:val="0"/>
          <w:lang w:val="en-GB"/>
          <w14:ligatures w14:val="none"/>
        </w:rPr>
      </w:pPr>
    </w:p>
    <w:p w14:paraId="0F12A638" w14:textId="77777777" w:rsidR="003E03F1" w:rsidRDefault="003E03F1" w:rsidP="008715C0">
      <w:pPr>
        <w:spacing w:after="0" w:line="360" w:lineRule="auto"/>
        <w:rPr>
          <w:rFonts w:ascii="Arial" w:eastAsia="Yu Mincho" w:hAnsi="Arial" w:cs="Arial"/>
          <w:kern w:val="0"/>
          <w:lang w:val="en-GB"/>
          <w14:ligatures w14:val="none"/>
        </w:rPr>
      </w:pPr>
    </w:p>
    <w:p w14:paraId="0A351B26" w14:textId="77777777" w:rsidR="003E03F1" w:rsidRDefault="003E03F1" w:rsidP="008715C0">
      <w:pPr>
        <w:spacing w:after="0" w:line="360" w:lineRule="auto"/>
        <w:rPr>
          <w:rFonts w:ascii="Arial" w:eastAsia="Yu Mincho" w:hAnsi="Arial" w:cs="Arial"/>
          <w:kern w:val="0"/>
          <w:lang w:val="en-GB"/>
          <w14:ligatures w14:val="none"/>
        </w:rPr>
      </w:pPr>
    </w:p>
    <w:p w14:paraId="0CA15A96" w14:textId="77777777" w:rsidR="003E03F1" w:rsidRDefault="003E03F1" w:rsidP="008715C0">
      <w:pPr>
        <w:spacing w:after="0" w:line="360" w:lineRule="auto"/>
        <w:rPr>
          <w:rFonts w:ascii="Arial" w:eastAsia="Yu Mincho" w:hAnsi="Arial" w:cs="Arial"/>
          <w:kern w:val="0"/>
          <w:lang w:val="en-GB"/>
          <w14:ligatures w14:val="none"/>
        </w:rPr>
      </w:pPr>
    </w:p>
    <w:p w14:paraId="6013BB67" w14:textId="77777777" w:rsidR="003E03F1" w:rsidRDefault="003E03F1" w:rsidP="008715C0">
      <w:pPr>
        <w:spacing w:after="0" w:line="360" w:lineRule="auto"/>
        <w:rPr>
          <w:rFonts w:ascii="Arial" w:eastAsia="Yu Mincho" w:hAnsi="Arial" w:cs="Arial"/>
          <w:kern w:val="0"/>
          <w:lang w:val="en-GB"/>
          <w14:ligatures w14:val="none"/>
        </w:rPr>
      </w:pPr>
    </w:p>
    <w:p w14:paraId="2DDF80B8" w14:textId="77777777" w:rsidR="003E03F1" w:rsidRDefault="003E03F1" w:rsidP="008715C0">
      <w:pPr>
        <w:spacing w:after="0" w:line="360" w:lineRule="auto"/>
        <w:rPr>
          <w:rFonts w:ascii="Arial" w:eastAsia="Yu Mincho" w:hAnsi="Arial" w:cs="Arial"/>
          <w:kern w:val="0"/>
          <w:lang w:val="en-GB"/>
          <w14:ligatures w14:val="none"/>
        </w:rPr>
      </w:pPr>
    </w:p>
    <w:p w14:paraId="7A84392A" w14:textId="77777777" w:rsidR="003E03F1" w:rsidRDefault="003E03F1" w:rsidP="008715C0">
      <w:pPr>
        <w:spacing w:after="0" w:line="360" w:lineRule="auto"/>
        <w:rPr>
          <w:rFonts w:ascii="Arial" w:eastAsia="Yu Mincho" w:hAnsi="Arial" w:cs="Arial"/>
          <w:kern w:val="0"/>
          <w:lang w:val="en-GB"/>
          <w14:ligatures w14:val="none"/>
        </w:rPr>
      </w:pPr>
    </w:p>
    <w:p w14:paraId="2203A4D4" w14:textId="77777777" w:rsidR="003E03F1" w:rsidRDefault="003E03F1" w:rsidP="008715C0">
      <w:pPr>
        <w:spacing w:after="0" w:line="360" w:lineRule="auto"/>
        <w:rPr>
          <w:rFonts w:ascii="Arial" w:eastAsia="Yu Mincho" w:hAnsi="Arial" w:cs="Arial"/>
          <w:kern w:val="0"/>
          <w:lang w:val="en-GB"/>
          <w14:ligatures w14:val="none"/>
        </w:rPr>
      </w:pPr>
    </w:p>
    <w:p w14:paraId="56741F05" w14:textId="77777777" w:rsidR="003E03F1" w:rsidRDefault="003E03F1" w:rsidP="008715C0">
      <w:pPr>
        <w:spacing w:after="0" w:line="360" w:lineRule="auto"/>
        <w:rPr>
          <w:rFonts w:ascii="Arial" w:eastAsia="Yu Mincho" w:hAnsi="Arial" w:cs="Arial"/>
          <w:kern w:val="0"/>
          <w:lang w:val="en-GB"/>
          <w14:ligatures w14:val="none"/>
        </w:rPr>
      </w:pPr>
    </w:p>
    <w:p w14:paraId="32D8BF47" w14:textId="77777777" w:rsidR="003E03F1" w:rsidRDefault="003E03F1" w:rsidP="008715C0">
      <w:pPr>
        <w:spacing w:after="0" w:line="360" w:lineRule="auto"/>
        <w:rPr>
          <w:rFonts w:ascii="Arial" w:eastAsia="Yu Mincho" w:hAnsi="Arial" w:cs="Arial"/>
          <w:kern w:val="0"/>
          <w:lang w:val="en-GB"/>
          <w14:ligatures w14:val="none"/>
        </w:rPr>
      </w:pPr>
    </w:p>
    <w:p w14:paraId="27580335" w14:textId="6A202231" w:rsidR="00C95E3D" w:rsidRPr="005014EC" w:rsidRDefault="00C95E3D" w:rsidP="00CE453D">
      <w:pPr>
        <w:pStyle w:val="Heading1"/>
        <w:rPr>
          <w:lang w:val="en-GB"/>
        </w:rPr>
      </w:pPr>
      <w:bookmarkStart w:id="67" w:name="_Toc228218303"/>
      <w:r w:rsidRPr="005014EC">
        <w:rPr>
          <w:lang w:val="en-GB"/>
        </w:rPr>
        <w:lastRenderedPageBreak/>
        <w:t>Chapter 5: Discussion</w:t>
      </w:r>
      <w:bookmarkEnd w:id="67"/>
    </w:p>
    <w:p w14:paraId="29311AB2" w14:textId="77777777" w:rsidR="00A4672A" w:rsidRDefault="00A4672A" w:rsidP="00A4672A">
      <w:pPr>
        <w:spacing w:line="360" w:lineRule="auto"/>
        <w:rPr>
          <w:rFonts w:ascii="Arial" w:hAnsi="Arial" w:cs="Arial"/>
          <w:b/>
          <w:bCs/>
          <w:sz w:val="28"/>
          <w:szCs w:val="28"/>
          <w:lang w:val="en-GB"/>
        </w:rPr>
      </w:pPr>
    </w:p>
    <w:p w14:paraId="4755AE53" w14:textId="13F5DDB9" w:rsidR="00A4672A" w:rsidRPr="00285402" w:rsidRDefault="00285402" w:rsidP="00A37A7C">
      <w:pPr>
        <w:spacing w:line="360" w:lineRule="auto"/>
        <w:rPr>
          <w:rFonts w:ascii="Arial" w:hAnsi="Arial" w:cs="Arial"/>
          <w:lang w:val="en-GB"/>
        </w:rPr>
      </w:pPr>
      <w:r>
        <w:rPr>
          <w:rFonts w:ascii="Arial" w:hAnsi="Arial" w:cs="Arial"/>
          <w:lang w:val="en-GB"/>
        </w:rPr>
        <w:t>This chapter interprets the findings in relation to the study aims, the wider literature</w:t>
      </w:r>
      <w:r w:rsidR="00CE4541">
        <w:rPr>
          <w:rFonts w:ascii="Arial" w:hAnsi="Arial" w:cs="Arial"/>
          <w:lang w:val="en-GB"/>
        </w:rPr>
        <w:t>, and their practical relevance to FFs</w:t>
      </w:r>
      <w:r w:rsidR="00F51480">
        <w:rPr>
          <w:rFonts w:ascii="Arial" w:hAnsi="Arial" w:cs="Arial"/>
          <w:lang w:val="en-GB"/>
        </w:rPr>
        <w:t xml:space="preserve"> as TA.</w:t>
      </w:r>
    </w:p>
    <w:p w14:paraId="1085F841" w14:textId="77777777" w:rsidR="00420B14" w:rsidRPr="00C95E3D" w:rsidRDefault="00420B14" w:rsidP="00A37A7C">
      <w:pPr>
        <w:spacing w:line="360" w:lineRule="auto"/>
        <w:jc w:val="center"/>
        <w:rPr>
          <w:rFonts w:ascii="Arial" w:hAnsi="Arial" w:cs="Arial"/>
          <w:b/>
          <w:bCs/>
          <w:sz w:val="28"/>
          <w:szCs w:val="28"/>
          <w:lang w:val="en-GB"/>
        </w:rPr>
      </w:pPr>
    </w:p>
    <w:p w14:paraId="767FC95D" w14:textId="77777777" w:rsidR="00C95E3D" w:rsidRDefault="00C95E3D" w:rsidP="00A37A7C">
      <w:pPr>
        <w:pStyle w:val="Heading2"/>
        <w:spacing w:line="360" w:lineRule="auto"/>
        <w:rPr>
          <w:rFonts w:eastAsia="Times New Roman"/>
          <w:lang w:val="en-GB"/>
        </w:rPr>
      </w:pPr>
      <w:bookmarkStart w:id="68" w:name="_Toc228218304"/>
      <w:r w:rsidRPr="00C95E3D">
        <w:rPr>
          <w:rFonts w:eastAsia="Times New Roman"/>
          <w:lang w:val="en-GB"/>
        </w:rPr>
        <w:t>5.1 Exercise HR responses d</w:t>
      </w:r>
      <w:r>
        <w:rPr>
          <w:rFonts w:eastAsia="Times New Roman"/>
          <w:lang w:val="en-GB"/>
        </w:rPr>
        <w:t>uring the CTT (CTTAveHR and CTTEndHR)</w:t>
      </w:r>
      <w:bookmarkEnd w:id="68"/>
    </w:p>
    <w:p w14:paraId="68786214" w14:textId="77777777" w:rsidR="00FD3F9D" w:rsidRDefault="00FD3F9D" w:rsidP="00A37A7C">
      <w:pPr>
        <w:spacing w:before="100" w:beforeAutospacing="1" w:after="100" w:afterAutospacing="1" w:line="360" w:lineRule="auto"/>
        <w:outlineLvl w:val="2"/>
        <w:rPr>
          <w:rFonts w:ascii="Arial" w:eastAsia="Times New Roman" w:hAnsi="Arial" w:cs="Arial"/>
          <w:b/>
          <w:bCs/>
          <w:kern w:val="0"/>
          <w:lang w:val="en-GB"/>
          <w14:ligatures w14:val="none"/>
        </w:rPr>
      </w:pPr>
    </w:p>
    <w:p w14:paraId="637AFC7F" w14:textId="7C45E2E4" w:rsidR="00FD3F9D" w:rsidRPr="00BA69CD" w:rsidRDefault="00C95E3D" w:rsidP="00A37A7C">
      <w:pPr>
        <w:spacing w:before="100" w:beforeAutospacing="1" w:after="100" w:afterAutospacing="1" w:line="360" w:lineRule="auto"/>
        <w:rPr>
          <w:rFonts w:ascii="Arial" w:hAnsi="Arial" w:cs="Arial"/>
          <w:kern w:val="0"/>
          <w:lang w:val="en-GB"/>
          <w14:ligatures w14:val="none"/>
        </w:rPr>
      </w:pPr>
      <w:r>
        <w:rPr>
          <w:rFonts w:ascii="Arial" w:hAnsi="Arial" w:cs="Arial"/>
          <w:kern w:val="0"/>
          <w:lang w:val="en-GB"/>
          <w14:ligatures w14:val="none"/>
        </w:rPr>
        <w:t>The strongest benefit evidence was observed in CTT outcomes. CTTAveHR showed significant main effects of time and time × group interaction, with significant within-group reduction in the O3-group, without significant change in CG (Table 4.8; Figure 4.4). Descriptively, CTTAveHR decreased 7.1 bpm (−6.0%) in the O3-group and increased 1.3 bpm (+1.1%) in CG, yielding a between-group difference in change (ΔΔ) of −8.4 bpm.</w:t>
      </w:r>
      <w:r w:rsidR="00FD3F9D">
        <w:rPr>
          <w:rFonts w:ascii="Arial" w:eastAsiaTheme="minorEastAsia" w:hAnsi="Arial" w:cs="Arial"/>
          <w:kern w:val="0"/>
          <w:lang w:val="en-GB"/>
          <w14:ligatures w14:val="none"/>
        </w:rPr>
        <w:t xml:space="preserve"> </w:t>
      </w:r>
      <w:r>
        <w:rPr>
          <w:rFonts w:ascii="Arial" w:hAnsi="Arial" w:cs="Arial"/>
          <w:kern w:val="0"/>
          <w:lang w:val="en-GB"/>
          <w14:ligatures w14:val="none"/>
        </w:rPr>
        <w:t>Similar patterns was observed for CTTEndHR. The time × group interaction was significant, with significant within-group reduction in O3-group and non-significant increase in CG (Table 4.9; Figure 4.5). Descriptively, CTTEndHR decreased by 10.8 bpm (−7.2%) in O3-group and increased 9.4 bpm (+6.7%) in CG, producing a ΔΔ of −20.2 bpm.</w:t>
      </w:r>
    </w:p>
    <w:p w14:paraId="21356E8A" w14:textId="23FFE2B7" w:rsidR="00FD3F9D" w:rsidRDefault="00C95E3D" w:rsidP="00A37A7C">
      <w:pPr>
        <w:spacing w:before="100" w:beforeAutospacing="1" w:after="100" w:afterAutospacing="1" w:line="360" w:lineRule="auto"/>
        <w:rPr>
          <w:rFonts w:ascii="Arial" w:hAnsi="Arial" w:cs="Arial"/>
          <w:kern w:val="0"/>
          <w:lang w:val="en-GB"/>
          <w14:ligatures w14:val="none"/>
        </w:rPr>
      </w:pPr>
      <w:r>
        <w:rPr>
          <w:rFonts w:ascii="Arial" w:hAnsi="Arial" w:cs="Arial"/>
          <w:kern w:val="0"/>
          <w:lang w:val="en-GB"/>
          <w14:ligatures w14:val="none"/>
        </w:rPr>
        <w:t>Convergence across average submaximal and end-stage HR metrics strengthens confidence in interpretation. The divergent trajectories in Figures 4.4 and 4.5 support interaction effects and suggest the intervention altered CV response to a standardised workload rather than simply shifting resting physiology.</w:t>
      </w:r>
    </w:p>
    <w:p w14:paraId="05A52FC3" w14:textId="783D8FC6" w:rsidR="00FD3F9D" w:rsidRDefault="00C95E3D" w:rsidP="00A37A7C">
      <w:pPr>
        <w:pStyle w:val="p1"/>
        <w:spacing w:line="360" w:lineRule="auto"/>
        <w:rPr>
          <w:rFonts w:ascii="Arial" w:hAnsi="Arial" w:cs="Arial"/>
          <w:lang w:val="en-GB"/>
        </w:rPr>
      </w:pPr>
      <w:r>
        <w:rPr>
          <w:rFonts w:ascii="Arial" w:hAnsi="Arial" w:cs="Arial"/>
          <w:lang w:val="en-GB"/>
        </w:rPr>
        <w:t xml:space="preserve">These outcomes are occupationally relevant because FFs often work at sustained submaximal intensities but elevated HR under operational stress (Barnard and Duncan, 1975; Sothman </w:t>
      </w:r>
      <w:r w:rsidRPr="00A7058C">
        <w:rPr>
          <w:rFonts w:ascii="Arial" w:hAnsi="Arial" w:cs="Arial"/>
          <w:i/>
          <w:lang w:val="en-GB"/>
        </w:rPr>
        <w:t>et al.</w:t>
      </w:r>
      <w:r>
        <w:rPr>
          <w:rFonts w:ascii="Arial" w:hAnsi="Arial" w:cs="Arial"/>
          <w:lang w:val="en-GB"/>
        </w:rPr>
        <w:t xml:space="preserve">, 1992; Windisch </w:t>
      </w:r>
      <w:r w:rsidRPr="00A7058C">
        <w:rPr>
          <w:rFonts w:ascii="Arial" w:hAnsi="Arial" w:cs="Arial"/>
          <w:i/>
          <w:lang w:val="en-GB"/>
        </w:rPr>
        <w:t>et al.</w:t>
      </w:r>
      <w:r>
        <w:rPr>
          <w:rFonts w:ascii="Arial" w:hAnsi="Arial" w:cs="Arial"/>
          <w:lang w:val="en-GB"/>
        </w:rPr>
        <w:t xml:space="preserve">, 2017; Gledhill and Jamnik, 1992; Vandersmissen </w:t>
      </w:r>
      <w:r w:rsidRPr="00A7058C">
        <w:rPr>
          <w:rFonts w:ascii="Arial" w:hAnsi="Arial" w:cs="Arial"/>
          <w:i/>
          <w:lang w:val="en-GB"/>
        </w:rPr>
        <w:t>et al.</w:t>
      </w:r>
      <w:r>
        <w:rPr>
          <w:rFonts w:ascii="Arial" w:hAnsi="Arial" w:cs="Arial"/>
          <w:lang w:val="en-GB"/>
        </w:rPr>
        <w:t xml:space="preserve">, 2014; Elsner and Kolkhorst, 2008). Results suggest O3 may lower working HR, potentially reflecting improved CV efficiency and reduced CV strain </w:t>
      </w:r>
      <w:r>
        <w:rPr>
          <w:rFonts w:ascii="Arial" w:hAnsi="Arial" w:cs="Arial"/>
          <w:lang w:val="en-GB"/>
        </w:rPr>
        <w:lastRenderedPageBreak/>
        <w:t>at the same work demand, consistent with evidence linking improved fitness with better task performance and recovery</w:t>
      </w:r>
      <w:r>
        <w:rPr>
          <w:rStyle w:val="apple-converted-space"/>
          <w:rFonts w:ascii="Arial" w:hAnsi="Arial" w:cs="Arial"/>
          <w:lang w:val="en-GB"/>
        </w:rPr>
        <w:t> </w:t>
      </w:r>
      <w:r>
        <w:rPr>
          <w:rFonts w:ascii="Arial" w:hAnsi="Arial" w:cs="Arial"/>
          <w:lang w:val="en-GB"/>
        </w:rPr>
        <w:t xml:space="preserve">(Olshansky </w:t>
      </w:r>
      <w:r w:rsidRPr="00A7058C">
        <w:rPr>
          <w:rFonts w:ascii="Arial" w:hAnsi="Arial" w:cs="Arial"/>
          <w:i/>
          <w:lang w:val="en-GB"/>
        </w:rPr>
        <w:t>et al.</w:t>
      </w:r>
      <w:r>
        <w:rPr>
          <w:rFonts w:ascii="Arial" w:hAnsi="Arial" w:cs="Arial"/>
          <w:lang w:val="en-GB"/>
        </w:rPr>
        <w:t xml:space="preserve">, 2023; Elsner </w:t>
      </w:r>
      <w:r w:rsidRPr="00A7058C">
        <w:rPr>
          <w:rFonts w:ascii="Arial" w:hAnsi="Arial" w:cs="Arial"/>
          <w:i/>
          <w:lang w:val="en-GB"/>
        </w:rPr>
        <w:t>et al.</w:t>
      </w:r>
      <w:r>
        <w:rPr>
          <w:rFonts w:ascii="Arial" w:hAnsi="Arial" w:cs="Arial"/>
          <w:lang w:val="en-GB"/>
        </w:rPr>
        <w:t xml:space="preserve">, 2008; Marcel-Millet </w:t>
      </w:r>
      <w:r w:rsidRPr="00A7058C">
        <w:rPr>
          <w:rFonts w:ascii="Arial" w:hAnsi="Arial" w:cs="Arial"/>
          <w:i/>
          <w:lang w:val="en-GB"/>
        </w:rPr>
        <w:t>et al.</w:t>
      </w:r>
      <w:r>
        <w:rPr>
          <w:rFonts w:ascii="Arial" w:hAnsi="Arial" w:cs="Arial"/>
          <w:lang w:val="en-GB"/>
        </w:rPr>
        <w:t>, 2022).</w:t>
      </w:r>
    </w:p>
    <w:p w14:paraId="27B4C199" w14:textId="13370E3F" w:rsidR="00FD3F9D" w:rsidRDefault="00C95E3D" w:rsidP="00A37A7C">
      <w:pPr>
        <w:spacing w:before="100" w:beforeAutospacing="1" w:after="100" w:afterAutospacing="1" w:line="360" w:lineRule="auto"/>
        <w:rPr>
          <w:rFonts w:ascii="Arial" w:hAnsi="Arial" w:cs="Arial"/>
          <w:kern w:val="0"/>
          <w:lang w:val="en-GB"/>
          <w14:ligatures w14:val="none"/>
        </w:rPr>
      </w:pPr>
      <w:r>
        <w:rPr>
          <w:rFonts w:ascii="Arial" w:hAnsi="Arial" w:cs="Arial"/>
          <w:kern w:val="0"/>
          <w:lang w:val="en-GB"/>
          <w14:ligatures w14:val="none"/>
        </w:rPr>
        <w:t xml:space="preserve">Given duty-related SCE accounts for 45% of deaths in some reports, reductions in physiological strain during exertion may be relevant within a broader CV risk-mitigation framework (Fahy </w:t>
      </w:r>
      <w:r w:rsidRPr="00A7058C">
        <w:rPr>
          <w:rFonts w:ascii="Arial" w:hAnsi="Arial" w:cs="Arial"/>
          <w:i/>
          <w:kern w:val="0"/>
          <w:lang w:val="en-GB"/>
          <w14:ligatures w14:val="none"/>
        </w:rPr>
        <w:t>et al.</w:t>
      </w:r>
      <w:r>
        <w:rPr>
          <w:rFonts w:ascii="Arial" w:hAnsi="Arial" w:cs="Arial"/>
          <w:kern w:val="0"/>
          <w:lang w:val="en-GB"/>
          <w14:ligatures w14:val="none"/>
        </w:rPr>
        <w:t xml:space="preserve">, 2021; Kales </w:t>
      </w:r>
      <w:r w:rsidRPr="00A7058C">
        <w:rPr>
          <w:rFonts w:ascii="Arial" w:hAnsi="Arial" w:cs="Arial"/>
          <w:i/>
          <w:kern w:val="0"/>
          <w:lang w:val="en-GB"/>
          <w14:ligatures w14:val="none"/>
        </w:rPr>
        <w:t>et al.</w:t>
      </w:r>
      <w:r>
        <w:rPr>
          <w:rFonts w:ascii="Arial" w:hAnsi="Arial" w:cs="Arial"/>
          <w:kern w:val="0"/>
          <w:lang w:val="en-GB"/>
          <w14:ligatures w14:val="none"/>
        </w:rPr>
        <w:t xml:space="preserve">, 2009; Smith </w:t>
      </w:r>
      <w:r w:rsidRPr="00A7058C">
        <w:rPr>
          <w:rFonts w:ascii="Arial" w:hAnsi="Arial" w:cs="Arial"/>
          <w:i/>
          <w:kern w:val="0"/>
          <w:lang w:val="en-GB"/>
          <w14:ligatures w14:val="none"/>
        </w:rPr>
        <w:t>et al.</w:t>
      </w:r>
      <w:r>
        <w:rPr>
          <w:rFonts w:ascii="Arial" w:hAnsi="Arial" w:cs="Arial"/>
          <w:kern w:val="0"/>
          <w:lang w:val="en-GB"/>
          <w14:ligatures w14:val="none"/>
        </w:rPr>
        <w:t xml:space="preserve">, 2013; Gonzalez </w:t>
      </w:r>
      <w:r w:rsidRPr="00A7058C">
        <w:rPr>
          <w:rFonts w:ascii="Arial" w:hAnsi="Arial" w:cs="Arial"/>
          <w:i/>
          <w:kern w:val="0"/>
          <w:lang w:val="en-GB"/>
          <w14:ligatures w14:val="none"/>
        </w:rPr>
        <w:t>et al.</w:t>
      </w:r>
      <w:r>
        <w:rPr>
          <w:rFonts w:ascii="Arial" w:hAnsi="Arial" w:cs="Arial"/>
          <w:kern w:val="0"/>
          <w:lang w:val="en-GB"/>
          <w14:ligatures w14:val="none"/>
        </w:rPr>
        <w:t xml:space="preserve">, 2024). However, clinical endpoints were not assessed, </w:t>
      </w:r>
      <w:r w:rsidR="00812F8C">
        <w:rPr>
          <w:rFonts w:ascii="Arial" w:hAnsi="Arial" w:cs="Arial"/>
          <w:kern w:val="0"/>
          <w:lang w:val="en-GB"/>
          <w14:ligatures w14:val="none"/>
        </w:rPr>
        <w:t>thus</w:t>
      </w:r>
      <w:r>
        <w:rPr>
          <w:rFonts w:ascii="Arial" w:hAnsi="Arial" w:cs="Arial"/>
          <w:kern w:val="0"/>
          <w:lang w:val="en-GB"/>
          <w14:ligatures w14:val="none"/>
        </w:rPr>
        <w:t xml:space="preserve">  no inference can be made regarding SCE incidence or risk.   </w:t>
      </w:r>
    </w:p>
    <w:p w14:paraId="61040376" w14:textId="507007B9" w:rsidR="00FD3F9D" w:rsidRDefault="00C95E3D" w:rsidP="00A37A7C">
      <w:pPr>
        <w:pStyle w:val="p1"/>
        <w:spacing w:line="360" w:lineRule="auto"/>
        <w:rPr>
          <w:rFonts w:ascii="Arial" w:hAnsi="Arial" w:cs="Arial"/>
          <w:lang w:val="en-GB"/>
        </w:rPr>
      </w:pPr>
      <w:r>
        <w:rPr>
          <w:rFonts w:ascii="Arial" w:hAnsi="Arial" w:cs="Arial"/>
          <w:lang w:val="en-GB"/>
        </w:rPr>
        <w:t xml:space="preserve">The direction of findings aligns with O3 research reporting improved submaximal HR responses. </w:t>
      </w:r>
      <w:r>
        <w:rPr>
          <w:rStyle w:val="apple-converted-space"/>
          <w:rFonts w:ascii="Arial" w:hAnsi="Arial" w:cs="Arial"/>
          <w:lang w:val="en-GB"/>
        </w:rPr>
        <w:t> </w:t>
      </w:r>
      <w:r>
        <w:rPr>
          <w:rFonts w:ascii="Arial" w:hAnsi="Arial" w:cs="Arial"/>
          <w:lang w:val="en-GB"/>
        </w:rPr>
        <w:t xml:space="preserve">Peoples </w:t>
      </w:r>
      <w:r w:rsidRPr="00A7058C">
        <w:rPr>
          <w:rFonts w:ascii="Arial" w:hAnsi="Arial" w:cs="Arial"/>
          <w:i/>
          <w:lang w:val="en-GB"/>
        </w:rPr>
        <w:t>et al.</w:t>
      </w:r>
      <w:r>
        <w:rPr>
          <w:rFonts w:ascii="Arial" w:hAnsi="Arial" w:cs="Arial"/>
          <w:lang w:val="en-GB"/>
        </w:rPr>
        <w:t xml:space="preserve"> (2008) and Buckley </w:t>
      </w:r>
      <w:r w:rsidRPr="00A7058C">
        <w:rPr>
          <w:rFonts w:ascii="Arial" w:hAnsi="Arial" w:cs="Arial"/>
          <w:i/>
          <w:lang w:val="en-GB"/>
        </w:rPr>
        <w:t>et al.</w:t>
      </w:r>
      <w:r>
        <w:rPr>
          <w:rFonts w:ascii="Arial" w:hAnsi="Arial" w:cs="Arial"/>
          <w:lang w:val="en-GB"/>
        </w:rPr>
        <w:t xml:space="preserve"> (2009) both reported reduced submaximal HR after supplementation, despite limited resting HR changes in the latter study. Broader synthesis indicates HR responses vary with baseline status, participant characteristics, and protocol design, with higher baseline HR potentially eliciting greater CV strain reductions (Mozaffarian </w:t>
      </w:r>
      <w:r w:rsidRPr="00A7058C">
        <w:rPr>
          <w:rFonts w:ascii="Arial" w:hAnsi="Arial" w:cs="Arial"/>
          <w:i/>
          <w:lang w:val="en-GB"/>
        </w:rPr>
        <w:t>et al.</w:t>
      </w:r>
      <w:r>
        <w:rPr>
          <w:rFonts w:ascii="Arial" w:hAnsi="Arial" w:cs="Arial"/>
          <w:lang w:val="en-GB"/>
        </w:rPr>
        <w:t xml:space="preserve">, 2005; Innes and Calder, 2020; Rittenhouse </w:t>
      </w:r>
      <w:r w:rsidRPr="00A7058C">
        <w:rPr>
          <w:rFonts w:ascii="Arial" w:hAnsi="Arial" w:cs="Arial"/>
          <w:i/>
          <w:lang w:val="en-GB"/>
        </w:rPr>
        <w:t>et al.</w:t>
      </w:r>
      <w:r>
        <w:rPr>
          <w:rFonts w:ascii="Arial" w:hAnsi="Arial" w:cs="Arial"/>
          <w:lang w:val="en-GB"/>
        </w:rPr>
        <w:t xml:space="preserve">, 2025; Mozaffarian and Wu, 2011; </w:t>
      </w:r>
      <w:proofErr w:type="spellStart"/>
      <w:r>
        <w:rPr>
          <w:rFonts w:ascii="Arial" w:hAnsi="Arial" w:cs="Arial"/>
          <w:lang w:val="en-GB"/>
        </w:rPr>
        <w:t>Sauder</w:t>
      </w:r>
      <w:proofErr w:type="spellEnd"/>
      <w:r>
        <w:rPr>
          <w:rFonts w:ascii="Arial" w:hAnsi="Arial" w:cs="Arial"/>
          <w:lang w:val="en-GB"/>
        </w:rPr>
        <w:t xml:space="preserve"> </w:t>
      </w:r>
      <w:r w:rsidRPr="00A7058C">
        <w:rPr>
          <w:rFonts w:ascii="Arial" w:hAnsi="Arial" w:cs="Arial"/>
          <w:i/>
          <w:lang w:val="en-GB"/>
        </w:rPr>
        <w:t>et al.</w:t>
      </w:r>
      <w:r>
        <w:rPr>
          <w:rFonts w:ascii="Arial" w:hAnsi="Arial" w:cs="Arial"/>
          <w:lang w:val="en-GB"/>
        </w:rPr>
        <w:t xml:space="preserve">, 2013; Gammone </w:t>
      </w:r>
      <w:r w:rsidRPr="00A7058C">
        <w:rPr>
          <w:rFonts w:ascii="Arial" w:hAnsi="Arial" w:cs="Arial"/>
          <w:i/>
          <w:lang w:val="en-GB"/>
        </w:rPr>
        <w:t>et al.</w:t>
      </w:r>
      <w:r>
        <w:rPr>
          <w:rFonts w:ascii="Arial" w:hAnsi="Arial" w:cs="Arial"/>
          <w:lang w:val="en-GB"/>
        </w:rPr>
        <w:t xml:space="preserve">, 2019). In the present study, both groups were within the normal adult RHR range, both were overweight by BMI classification, and SBP was above the optimal &lt;120 mmHg in both groups.  This baseline profile is broadly consistent with FF literature describing high prevalence of overweight, obesity, and clustered CV risk factors, which may shape performance and amplify occupational strain (Poston </w:t>
      </w:r>
      <w:r w:rsidRPr="00A7058C">
        <w:rPr>
          <w:rFonts w:ascii="Arial" w:hAnsi="Arial" w:cs="Arial"/>
          <w:i/>
          <w:lang w:val="en-GB"/>
        </w:rPr>
        <w:t>et al.</w:t>
      </w:r>
      <w:r>
        <w:rPr>
          <w:rFonts w:ascii="Arial" w:hAnsi="Arial" w:cs="Arial"/>
          <w:lang w:val="en-GB"/>
        </w:rPr>
        <w:t xml:space="preserve">, 2011; Munir </w:t>
      </w:r>
      <w:r w:rsidRPr="00A7058C">
        <w:rPr>
          <w:rFonts w:ascii="Arial" w:hAnsi="Arial" w:cs="Arial"/>
          <w:i/>
          <w:lang w:val="en-GB"/>
        </w:rPr>
        <w:t>et al.</w:t>
      </w:r>
      <w:r>
        <w:rPr>
          <w:rFonts w:ascii="Arial" w:hAnsi="Arial" w:cs="Arial"/>
          <w:lang w:val="en-GB"/>
        </w:rPr>
        <w:t xml:space="preserve">, 2012; Soteriades </w:t>
      </w:r>
      <w:r w:rsidRPr="00A7058C">
        <w:rPr>
          <w:rFonts w:ascii="Arial" w:hAnsi="Arial" w:cs="Arial"/>
          <w:i/>
          <w:lang w:val="en-GB"/>
        </w:rPr>
        <w:t>et al.</w:t>
      </w:r>
      <w:r>
        <w:rPr>
          <w:rFonts w:ascii="Arial" w:hAnsi="Arial" w:cs="Arial"/>
          <w:lang w:val="en-GB"/>
        </w:rPr>
        <w:t xml:space="preserve">, 2005; Yoo and Franke, 2009; Jeung </w:t>
      </w:r>
      <w:r w:rsidRPr="00A7058C">
        <w:rPr>
          <w:rFonts w:ascii="Arial" w:hAnsi="Arial" w:cs="Arial"/>
          <w:i/>
          <w:lang w:val="en-GB"/>
        </w:rPr>
        <w:t>et al.</w:t>
      </w:r>
      <w:r>
        <w:rPr>
          <w:rFonts w:ascii="Arial" w:hAnsi="Arial" w:cs="Arial"/>
          <w:lang w:val="en-GB"/>
        </w:rPr>
        <w:t>, 2022).</w:t>
      </w:r>
    </w:p>
    <w:p w14:paraId="04ADE45F" w14:textId="1D1BDD64" w:rsidR="002043B1" w:rsidRDefault="00C95E3D" w:rsidP="00A37A7C">
      <w:pPr>
        <w:pStyle w:val="p1"/>
        <w:spacing w:line="360" w:lineRule="auto"/>
        <w:rPr>
          <w:rFonts w:ascii="Arial" w:hAnsi="Arial" w:cs="Arial"/>
          <w:lang w:val="en-GB"/>
        </w:rPr>
      </w:pPr>
      <w:r>
        <w:rPr>
          <w:rFonts w:ascii="Arial" w:hAnsi="Arial" w:cs="Arial"/>
          <w:lang w:val="en-GB"/>
        </w:rPr>
        <w:t>Mechanistically, reductions in CTTAveHR and CTTEndHR are compatible with evidence that EPA</w:t>
      </w:r>
      <w:r w:rsidR="00C07742">
        <w:rPr>
          <w:rFonts w:ascii="Arial" w:hAnsi="Arial" w:cs="Arial"/>
          <w:lang w:val="en-GB"/>
        </w:rPr>
        <w:t>+</w:t>
      </w:r>
      <w:r>
        <w:rPr>
          <w:rFonts w:ascii="Arial" w:hAnsi="Arial" w:cs="Arial"/>
          <w:lang w:val="en-GB"/>
        </w:rPr>
        <w:t xml:space="preserve">DHA influence inflammatory signalling, vascular tone, endothelial function, and autonomic regulation (Das, 2010; Dangardt </w:t>
      </w:r>
      <w:r w:rsidRPr="00A7058C">
        <w:rPr>
          <w:rFonts w:ascii="Arial" w:hAnsi="Arial" w:cs="Arial"/>
          <w:i/>
          <w:lang w:val="en-GB"/>
        </w:rPr>
        <w:t>et al.</w:t>
      </w:r>
      <w:r>
        <w:rPr>
          <w:rFonts w:ascii="Arial" w:hAnsi="Arial" w:cs="Arial"/>
          <w:lang w:val="en-GB"/>
        </w:rPr>
        <w:t xml:space="preserve">, 2010; Calder, 2010; 2017; 2020; Innes and Calder, 2020; Tomczyk </w:t>
      </w:r>
      <w:r w:rsidRPr="00A7058C">
        <w:rPr>
          <w:rFonts w:ascii="Arial" w:hAnsi="Arial" w:cs="Arial"/>
          <w:i/>
          <w:lang w:val="en-GB"/>
        </w:rPr>
        <w:t>et al.</w:t>
      </w:r>
      <w:r>
        <w:rPr>
          <w:rFonts w:ascii="Arial" w:hAnsi="Arial" w:cs="Arial"/>
          <w:lang w:val="en-GB"/>
        </w:rPr>
        <w:t xml:space="preserve">, 2023; Jäger </w:t>
      </w:r>
      <w:r w:rsidRPr="00A7058C">
        <w:rPr>
          <w:rFonts w:ascii="Arial" w:hAnsi="Arial" w:cs="Arial"/>
          <w:i/>
          <w:lang w:val="en-GB"/>
        </w:rPr>
        <w:t>et al.</w:t>
      </w:r>
      <w:r>
        <w:rPr>
          <w:rFonts w:ascii="Arial" w:hAnsi="Arial" w:cs="Arial"/>
          <w:lang w:val="en-GB"/>
        </w:rPr>
        <w:t>, 2025). However, this remains inferential because biomarkers were not collected to confirm O3 incorporation or downstream physiological change. Although O3I and inflammatory markers can support mechanistic interpretation, biomarker findings remain heterogeneous</w:t>
      </w:r>
      <w:r>
        <w:rPr>
          <w:rStyle w:val="apple-converted-space"/>
          <w:rFonts w:ascii="Arial" w:hAnsi="Arial" w:cs="Arial"/>
          <w:lang w:val="en-GB"/>
        </w:rPr>
        <w:t> </w:t>
      </w:r>
      <w:r>
        <w:rPr>
          <w:rFonts w:ascii="Arial" w:hAnsi="Arial" w:cs="Arial"/>
          <w:lang w:val="en-GB"/>
        </w:rPr>
        <w:t xml:space="preserve">(Dempsey </w:t>
      </w:r>
      <w:r w:rsidRPr="00A7058C">
        <w:rPr>
          <w:rFonts w:ascii="Arial" w:hAnsi="Arial" w:cs="Arial"/>
          <w:i/>
          <w:lang w:val="en-GB"/>
        </w:rPr>
        <w:t>et al.</w:t>
      </w:r>
      <w:r>
        <w:rPr>
          <w:rFonts w:ascii="Arial" w:hAnsi="Arial" w:cs="Arial"/>
          <w:lang w:val="en-GB"/>
        </w:rPr>
        <w:t xml:space="preserve">, 2023; Handeland </w:t>
      </w:r>
      <w:r w:rsidRPr="00A7058C">
        <w:rPr>
          <w:rFonts w:ascii="Arial" w:hAnsi="Arial" w:cs="Arial"/>
          <w:i/>
          <w:lang w:val="en-GB"/>
        </w:rPr>
        <w:t>et al.</w:t>
      </w:r>
      <w:r>
        <w:rPr>
          <w:rFonts w:ascii="Arial" w:hAnsi="Arial" w:cs="Arial"/>
          <w:lang w:val="en-GB"/>
        </w:rPr>
        <w:t xml:space="preserve">, 2018; Medoro </w:t>
      </w:r>
      <w:r w:rsidRPr="00A7058C">
        <w:rPr>
          <w:rFonts w:ascii="Arial" w:hAnsi="Arial" w:cs="Arial"/>
          <w:i/>
          <w:lang w:val="en-GB"/>
        </w:rPr>
        <w:t>et al.</w:t>
      </w:r>
      <w:r>
        <w:rPr>
          <w:rFonts w:ascii="Arial" w:hAnsi="Arial" w:cs="Arial"/>
          <w:lang w:val="en-GB"/>
        </w:rPr>
        <w:t xml:space="preserve">, 2024). Evidence concerning </w:t>
      </w:r>
      <w:r>
        <w:rPr>
          <w:rFonts w:ascii="Arial" w:hAnsi="Arial" w:cs="Arial"/>
          <w:lang w:val="en-GB"/>
        </w:rPr>
        <w:lastRenderedPageBreak/>
        <w:t xml:space="preserve">oxidative and inflammatory pathways in occupational exposures also implicates O3 within plausible mechanisms linked to NF-κB signalling and CRP-related responses, although biomarker findings are heterogeneous (Medoro </w:t>
      </w:r>
      <w:r w:rsidRPr="00A7058C">
        <w:rPr>
          <w:rFonts w:ascii="Arial" w:hAnsi="Arial" w:cs="Arial"/>
          <w:i/>
          <w:lang w:val="en-GB"/>
        </w:rPr>
        <w:t>et al.</w:t>
      </w:r>
      <w:r>
        <w:rPr>
          <w:rFonts w:ascii="Arial" w:hAnsi="Arial" w:cs="Arial"/>
          <w:lang w:val="en-GB"/>
        </w:rPr>
        <w:t xml:space="preserve">, 2024; DiLorenzo </w:t>
      </w:r>
      <w:r w:rsidRPr="00A7058C">
        <w:rPr>
          <w:rFonts w:ascii="Arial" w:hAnsi="Arial" w:cs="Arial"/>
          <w:i/>
          <w:lang w:val="en-GB"/>
        </w:rPr>
        <w:t>et al.</w:t>
      </w:r>
      <w:r>
        <w:rPr>
          <w:rFonts w:ascii="Arial" w:hAnsi="Arial" w:cs="Arial"/>
          <w:lang w:val="en-GB"/>
        </w:rPr>
        <w:t>, 2014). The findings should therefore be interpreted as functional outcomes consistent with proposed pathways rather than direct mechanistic confirmation.</w:t>
      </w:r>
      <w:r w:rsidR="002043B1">
        <w:rPr>
          <w:rFonts w:ascii="Arial" w:hAnsi="Arial" w:cs="Arial"/>
          <w:lang w:val="en-GB"/>
        </w:rPr>
        <w:t xml:space="preserve">  </w:t>
      </w:r>
    </w:p>
    <w:p w14:paraId="1ED880FF" w14:textId="6FE959A0" w:rsidR="002043B1" w:rsidRDefault="002043B1" w:rsidP="00A37A7C">
      <w:pPr>
        <w:pStyle w:val="p1"/>
        <w:spacing w:line="360" w:lineRule="auto"/>
        <w:rPr>
          <w:rFonts w:ascii="Arial" w:hAnsi="Arial" w:cs="Arial"/>
          <w:lang w:val="en-GB"/>
        </w:rPr>
      </w:pPr>
      <w:r>
        <w:rPr>
          <w:rFonts w:ascii="Arial" w:hAnsi="Arial" w:cs="Arial"/>
          <w:lang w:val="en-GB"/>
        </w:rPr>
        <w:t xml:space="preserve">These findings are also consistent with the AL and </w:t>
      </w:r>
      <w:r w:rsidR="00FA5573">
        <w:rPr>
          <w:rFonts w:ascii="Arial" w:hAnsi="Arial" w:cs="Arial"/>
          <w:lang w:val="en-GB"/>
        </w:rPr>
        <w:t xml:space="preserve">TA frameworks, which help explain how reducing CV strain during repeated submaximal </w:t>
      </w:r>
      <w:r w:rsidR="00CE2134">
        <w:rPr>
          <w:rFonts w:ascii="Arial" w:hAnsi="Arial" w:cs="Arial"/>
          <w:lang w:val="en-GB"/>
        </w:rPr>
        <w:t>work may support readiness, recovery, and FF performance longevity.</w:t>
      </w:r>
    </w:p>
    <w:p w14:paraId="6DFFA6AB" w14:textId="77777777" w:rsidR="00FD3F9D" w:rsidRDefault="00FD3F9D" w:rsidP="00A37A7C">
      <w:pPr>
        <w:pStyle w:val="p1"/>
        <w:spacing w:line="360" w:lineRule="auto"/>
        <w:rPr>
          <w:rFonts w:ascii="Arial" w:hAnsi="Arial" w:cs="Arial"/>
          <w:lang w:val="en-GB"/>
        </w:rPr>
      </w:pPr>
    </w:p>
    <w:p w14:paraId="3C0F62EF" w14:textId="5DDF48C4" w:rsidR="00C95E3D" w:rsidRDefault="00C95E3D" w:rsidP="00A37A7C">
      <w:pPr>
        <w:pStyle w:val="Heading2"/>
        <w:spacing w:line="360" w:lineRule="auto"/>
        <w:rPr>
          <w:rFonts w:eastAsia="Times New Roman"/>
          <w:lang w:val="en-GB"/>
        </w:rPr>
      </w:pPr>
      <w:bookmarkStart w:id="69" w:name="_Toc228218305"/>
      <w:r>
        <w:rPr>
          <w:rFonts w:eastAsia="Times New Roman"/>
          <w:lang w:val="en-GB"/>
        </w:rPr>
        <w:t>5.2</w:t>
      </w:r>
      <w:r w:rsidR="001C7FB7">
        <w:rPr>
          <w:rFonts w:eastAsia="Times New Roman"/>
          <w:lang w:val="en-GB"/>
        </w:rPr>
        <w:t xml:space="preserve"> </w:t>
      </w:r>
      <w:r>
        <w:rPr>
          <w:rFonts w:eastAsia="Times New Roman"/>
          <w:lang w:val="en-GB"/>
        </w:rPr>
        <w:t xml:space="preserve"> Resting HR (AveRHR)</w:t>
      </w:r>
      <w:bookmarkEnd w:id="69"/>
    </w:p>
    <w:p w14:paraId="5127DC27" w14:textId="77777777" w:rsidR="00FD3F9D" w:rsidRDefault="00FD3F9D" w:rsidP="00A37A7C">
      <w:pPr>
        <w:spacing w:before="100" w:beforeAutospacing="1" w:after="100" w:afterAutospacing="1" w:line="360" w:lineRule="auto"/>
        <w:outlineLvl w:val="2"/>
        <w:rPr>
          <w:rFonts w:ascii="Arial" w:eastAsia="Times New Roman" w:hAnsi="Arial" w:cs="Arial"/>
          <w:b/>
          <w:bCs/>
          <w:kern w:val="0"/>
          <w:lang w:val="en-GB"/>
          <w14:ligatures w14:val="none"/>
        </w:rPr>
      </w:pPr>
    </w:p>
    <w:p w14:paraId="530007A6" w14:textId="77777777" w:rsidR="00C95E3D" w:rsidRDefault="00C95E3D" w:rsidP="00A37A7C">
      <w:pPr>
        <w:spacing w:before="100" w:beforeAutospacing="1" w:after="100" w:afterAutospacing="1" w:line="360" w:lineRule="auto"/>
        <w:rPr>
          <w:rFonts w:ascii="Arial" w:hAnsi="Arial" w:cs="Arial"/>
          <w:kern w:val="0"/>
          <w:lang w:val="en-GB"/>
          <w14:ligatures w14:val="none"/>
        </w:rPr>
      </w:pPr>
      <w:r>
        <w:rPr>
          <w:rFonts w:ascii="Arial" w:hAnsi="Arial" w:cs="Arial"/>
          <w:kern w:val="0"/>
          <w:lang w:val="en-GB"/>
          <w14:ligatures w14:val="none"/>
        </w:rPr>
        <w:t>AveRHR showed a less definitive pattern than CTT HR outcomes. AveRHR decreased in the O3-group by 4.0 bpm (−6.1%) and increased in the CG by 1.8 bpm (+2.9%), producing a ΔΔ of −5.8 bpm (Table 4.5; Figure 4.1). However, the time × group interaction was not statistically significant (p = .072), and Bonferroni-adjusted comparisons indicated no significant between-group differences at baseline (p = .602) or post-intervention (p = .616), and no significant within-group change in either the O3-group (p = .079) or CG (p = .412). Overall, this suggests a favourable direction of effect for AveRHR, but weaker statistical support than for CTTAveHR and CTTEndHR.</w:t>
      </w:r>
    </w:p>
    <w:p w14:paraId="47E983A8" w14:textId="7BB2F90C" w:rsidR="0096388C" w:rsidRDefault="00C95E3D" w:rsidP="00A37A7C">
      <w:pPr>
        <w:spacing w:before="100" w:beforeAutospacing="1" w:after="100" w:afterAutospacing="1" w:line="360" w:lineRule="auto"/>
        <w:rPr>
          <w:rFonts w:ascii="Arial" w:hAnsi="Arial" w:cs="Arial"/>
          <w:kern w:val="0"/>
          <w:lang w:val="en-GB"/>
          <w14:ligatures w14:val="none"/>
        </w:rPr>
      </w:pPr>
      <w:r>
        <w:rPr>
          <w:rFonts w:ascii="Arial" w:hAnsi="Arial" w:cs="Arial"/>
          <w:kern w:val="0"/>
          <w:lang w:val="en-GB"/>
          <w14:ligatures w14:val="none"/>
        </w:rPr>
        <w:t xml:space="preserve">O3-related RHR reductions are typically modest and appear more consistently under certain conditions. Mozaffarian </w:t>
      </w:r>
      <w:r w:rsidRPr="00A7058C">
        <w:rPr>
          <w:rFonts w:ascii="Arial" w:hAnsi="Arial" w:cs="Arial"/>
          <w:i/>
          <w:kern w:val="0"/>
          <w:lang w:val="en-GB"/>
          <w14:ligatures w14:val="none"/>
        </w:rPr>
        <w:t>et al.</w:t>
      </w:r>
      <w:r>
        <w:rPr>
          <w:rFonts w:ascii="Arial" w:hAnsi="Arial" w:cs="Arial"/>
          <w:kern w:val="0"/>
          <w:lang w:val="en-GB"/>
          <w14:ligatures w14:val="none"/>
        </w:rPr>
        <w:t xml:space="preserve"> (2005) reported mean HR reductions of approximately 1.6 bpm where baseline HR was &lt;69 bpm and 2.5 bpm where baseline HR was &gt;69 bpm, and noted that shorter interventions (&lt;12 weeks) tended to show smaller effects than longer durations. In the present study, baseline AveRHR was 65.5 ± 14.0 bpm in the O3-group and 62.5 ± 11.1 bpm in the CG (Table 4.5; Figure 4.1), placing both within the &lt;69 bpm category. Although the O3-group reduction exceeded the average reported by Mozaffarian </w:t>
      </w:r>
      <w:r w:rsidRPr="00A7058C">
        <w:rPr>
          <w:rFonts w:ascii="Arial" w:hAnsi="Arial" w:cs="Arial"/>
          <w:i/>
          <w:kern w:val="0"/>
          <w:lang w:val="en-GB"/>
          <w14:ligatures w14:val="none"/>
        </w:rPr>
        <w:t>et al.</w:t>
      </w:r>
      <w:r>
        <w:rPr>
          <w:rFonts w:ascii="Arial" w:hAnsi="Arial" w:cs="Arial"/>
          <w:kern w:val="0"/>
          <w:lang w:val="en-GB"/>
          <w14:ligatures w14:val="none"/>
        </w:rPr>
        <w:t xml:space="preserve"> (2005), that meta-analysis included a wide </w:t>
      </w:r>
      <w:r>
        <w:rPr>
          <w:rFonts w:ascii="Arial" w:hAnsi="Arial" w:cs="Arial"/>
          <w:kern w:val="0"/>
          <w:lang w:val="en-GB"/>
          <w14:ligatures w14:val="none"/>
        </w:rPr>
        <w:lastRenderedPageBreak/>
        <w:t xml:space="preserve">dose range (0.81–15 g/day) and varied EPA:DHA ratios, likely contributing to heterogeneity in </w:t>
      </w:r>
      <w:r w:rsidR="000F1EA0">
        <w:rPr>
          <w:rFonts w:ascii="Arial" w:hAnsi="Arial" w:cs="Arial"/>
          <w:kern w:val="0"/>
          <w:lang w:val="en-GB"/>
          <w14:ligatures w14:val="none"/>
        </w:rPr>
        <w:t>R</w:t>
      </w:r>
      <w:r>
        <w:rPr>
          <w:rFonts w:ascii="Arial" w:hAnsi="Arial" w:cs="Arial"/>
          <w:kern w:val="0"/>
          <w:lang w:val="en-GB"/>
          <w14:ligatures w14:val="none"/>
        </w:rPr>
        <w:t>HR responses. It is plausible that the relatively high dose contributed to the magnitude of change, but the effect did not reach significance, potentially reflecting short intervention duration and limited power (n = 10 per group).</w:t>
      </w:r>
    </w:p>
    <w:p w14:paraId="129F4C10" w14:textId="360AAFDD" w:rsidR="00C95E3D" w:rsidRDefault="00C95E3D" w:rsidP="00A37A7C">
      <w:pPr>
        <w:pStyle w:val="p1"/>
        <w:spacing w:line="360" w:lineRule="auto"/>
        <w:rPr>
          <w:rFonts w:ascii="Arial" w:hAnsi="Arial" w:cs="Arial"/>
          <w:lang w:val="en-GB"/>
        </w:rPr>
      </w:pPr>
      <w:r>
        <w:rPr>
          <w:rFonts w:ascii="Arial" w:hAnsi="Arial" w:cs="Arial"/>
          <w:lang w:val="en-GB"/>
        </w:rPr>
        <w:t xml:space="preserve">RHR responses may also vary with population characteristics and testing context. Buckley </w:t>
      </w:r>
      <w:r w:rsidRPr="00A7058C">
        <w:rPr>
          <w:rFonts w:ascii="Arial" w:hAnsi="Arial" w:cs="Arial"/>
          <w:i/>
          <w:lang w:val="en-GB"/>
        </w:rPr>
        <w:t>et al.</w:t>
      </w:r>
      <w:r>
        <w:rPr>
          <w:rFonts w:ascii="Arial" w:hAnsi="Arial" w:cs="Arial"/>
          <w:lang w:val="en-GB"/>
        </w:rPr>
        <w:t xml:space="preserve"> (2009) reported reduced submaximal HR but not clearly RHR, whereas Macartney </w:t>
      </w:r>
      <w:r w:rsidRPr="00A7058C">
        <w:rPr>
          <w:rFonts w:ascii="Arial" w:hAnsi="Arial" w:cs="Arial"/>
          <w:i/>
          <w:lang w:val="en-GB"/>
        </w:rPr>
        <w:t>et al.</w:t>
      </w:r>
      <w:r>
        <w:rPr>
          <w:rFonts w:ascii="Arial" w:hAnsi="Arial" w:cs="Arial"/>
          <w:lang w:val="en-GB"/>
        </w:rPr>
        <w:t xml:space="preserve"> (2022) reported an approximately 5 bpm reduction in RHR, illustrating variability across cohorts and protocols. In FFs, anticipatory stress may also elevate HR before testing and reduce sensitivity for detecting small intervention effects (MacNeal </w:t>
      </w:r>
      <w:r w:rsidRPr="00A7058C">
        <w:rPr>
          <w:rFonts w:ascii="Arial" w:hAnsi="Arial" w:cs="Arial"/>
          <w:i/>
          <w:lang w:val="en-GB"/>
        </w:rPr>
        <w:t>et al.</w:t>
      </w:r>
      <w:r>
        <w:rPr>
          <w:rFonts w:ascii="Arial" w:hAnsi="Arial" w:cs="Arial"/>
          <w:lang w:val="en-GB"/>
        </w:rPr>
        <w:t>, 2016).</w:t>
      </w:r>
    </w:p>
    <w:p w14:paraId="389D66E8" w14:textId="26437949" w:rsidR="0096388C" w:rsidRDefault="00C95E3D" w:rsidP="00A37A7C">
      <w:pPr>
        <w:pStyle w:val="p1"/>
        <w:spacing w:line="360" w:lineRule="auto"/>
        <w:rPr>
          <w:rFonts w:ascii="Arial" w:hAnsi="Arial" w:cs="Arial"/>
          <w:lang w:val="en-GB"/>
        </w:rPr>
      </w:pPr>
      <w:r>
        <w:rPr>
          <w:rFonts w:ascii="Arial" w:hAnsi="Arial" w:cs="Arial"/>
          <w:lang w:val="en-GB"/>
        </w:rPr>
        <w:t>RHR is sensitive to contextual factors that are difficult to standardise in shift-working populations. Sleep disruption, sustained alertness, and psychological stress may have increased residual variability in FFs and reduced the likelihood of detecting small intervention effects</w:t>
      </w:r>
      <w:r>
        <w:rPr>
          <w:rStyle w:val="apple-converted-space"/>
          <w:rFonts w:ascii="Arial" w:hAnsi="Arial" w:cs="Arial"/>
          <w:lang w:val="en-GB"/>
        </w:rPr>
        <w:t> </w:t>
      </w:r>
      <w:r>
        <w:rPr>
          <w:rFonts w:ascii="Arial" w:hAnsi="Arial" w:cs="Arial"/>
          <w:lang w:val="en-GB"/>
        </w:rPr>
        <w:t xml:space="preserve">(Wolk </w:t>
      </w:r>
      <w:r w:rsidRPr="00D26DE8">
        <w:rPr>
          <w:rFonts w:ascii="Arial" w:hAnsi="Arial" w:cs="Arial"/>
          <w:i/>
          <w:lang w:val="en-GB"/>
        </w:rPr>
        <w:t>et al.</w:t>
      </w:r>
      <w:r>
        <w:rPr>
          <w:rFonts w:ascii="Arial" w:hAnsi="Arial" w:cs="Arial"/>
          <w:lang w:val="en-GB"/>
        </w:rPr>
        <w:t xml:space="preserve">, 2005; Thayer </w:t>
      </w:r>
      <w:r w:rsidRPr="00A7058C">
        <w:rPr>
          <w:rFonts w:ascii="Arial" w:hAnsi="Arial" w:cs="Arial"/>
          <w:i/>
          <w:lang w:val="en-GB"/>
        </w:rPr>
        <w:t>et al.</w:t>
      </w:r>
      <w:r>
        <w:rPr>
          <w:rFonts w:ascii="Arial" w:hAnsi="Arial" w:cs="Arial"/>
          <w:lang w:val="en-GB"/>
        </w:rPr>
        <w:t xml:space="preserve">, 2009; Buckley and Kaloupek, 2001; Morris </w:t>
      </w:r>
      <w:r w:rsidRPr="00A7058C">
        <w:rPr>
          <w:rFonts w:ascii="Arial" w:hAnsi="Arial" w:cs="Arial"/>
          <w:i/>
          <w:lang w:val="en-GB"/>
        </w:rPr>
        <w:t>et al.</w:t>
      </w:r>
      <w:r>
        <w:rPr>
          <w:rFonts w:ascii="Arial" w:hAnsi="Arial" w:cs="Arial"/>
          <w:lang w:val="en-GB"/>
        </w:rPr>
        <w:t>, 2016). In FFs, these influences may increase residual variability, reducing the likelihood of detecting small intervention effects even when direction of change appears favourable.</w:t>
      </w:r>
    </w:p>
    <w:p w14:paraId="4B621937" w14:textId="0CB22474" w:rsidR="0096388C" w:rsidRDefault="00C95E3D" w:rsidP="00A37A7C">
      <w:pPr>
        <w:spacing w:before="100" w:beforeAutospacing="1" w:after="100" w:afterAutospacing="1" w:line="360" w:lineRule="auto"/>
        <w:rPr>
          <w:rFonts w:ascii="Arial" w:hAnsi="Arial" w:cs="Arial"/>
          <w:kern w:val="0"/>
          <w:lang w:val="en-GB"/>
          <w14:ligatures w14:val="none"/>
        </w:rPr>
      </w:pPr>
      <w:r>
        <w:rPr>
          <w:rFonts w:ascii="Arial" w:hAnsi="Arial" w:cs="Arial"/>
          <w:kern w:val="0"/>
          <w:lang w:val="en-GB"/>
          <w14:ligatures w14:val="none"/>
        </w:rPr>
        <w:t>A further interpretation is that O3 may influence HR strain at a fixed workload more readily than RHR over shorter timeframes. In this context, stronger effects in CTTAveHR and CTTEndHR, alongside trend-level changes in AveRHR, may reflect outcome sensitivity rather than absence of physiological impact.</w:t>
      </w:r>
    </w:p>
    <w:p w14:paraId="68A0B408" w14:textId="77777777" w:rsidR="00C95E3D" w:rsidRDefault="00C95E3D" w:rsidP="00A37A7C">
      <w:pPr>
        <w:pStyle w:val="p1"/>
        <w:spacing w:line="360" w:lineRule="auto"/>
        <w:rPr>
          <w:rFonts w:ascii="Arial" w:hAnsi="Arial" w:cs="Arial"/>
          <w:lang w:val="en-GB"/>
        </w:rPr>
      </w:pPr>
      <w:r>
        <w:rPr>
          <w:rFonts w:ascii="Arial" w:hAnsi="Arial" w:cs="Arial"/>
          <w:lang w:val="en-GB"/>
        </w:rPr>
        <w:t xml:space="preserve">Several caveats remain important. Limited statistical power, the open-label design, and the absence of biomarkers or autonomic indices such as HRV restrict interpretation of the RHR trend. The most defensible conclusion is therefore that AveRHR changes were directionally favourable but not statistically robust, and that RHR may be less sensitive than standardised exercise HR measures for detecting short-term intervention effects in FF populations (Mozaffarian </w:t>
      </w:r>
      <w:r w:rsidRPr="00A7058C">
        <w:rPr>
          <w:rFonts w:ascii="Arial" w:hAnsi="Arial" w:cs="Arial"/>
          <w:i/>
          <w:lang w:val="en-GB"/>
        </w:rPr>
        <w:t>et al.</w:t>
      </w:r>
      <w:r>
        <w:rPr>
          <w:rFonts w:ascii="Arial" w:hAnsi="Arial" w:cs="Arial"/>
          <w:lang w:val="en-GB"/>
        </w:rPr>
        <w:t xml:space="preserve">, 2005; Buckley </w:t>
      </w:r>
      <w:r w:rsidRPr="00A7058C">
        <w:rPr>
          <w:rFonts w:ascii="Arial" w:hAnsi="Arial" w:cs="Arial"/>
          <w:i/>
          <w:lang w:val="en-GB"/>
        </w:rPr>
        <w:t>et al.</w:t>
      </w:r>
      <w:r>
        <w:rPr>
          <w:rFonts w:ascii="Arial" w:hAnsi="Arial" w:cs="Arial"/>
          <w:lang w:val="en-GB"/>
        </w:rPr>
        <w:t>, 2009).</w:t>
      </w:r>
    </w:p>
    <w:p w14:paraId="71CAFEDF" w14:textId="77777777" w:rsidR="00C95E3D" w:rsidRDefault="00C95E3D" w:rsidP="00A37A7C">
      <w:pPr>
        <w:pStyle w:val="p1"/>
        <w:spacing w:line="360" w:lineRule="auto"/>
        <w:rPr>
          <w:rFonts w:ascii="Arial" w:hAnsi="Arial" w:cs="Arial"/>
          <w:lang w:val="en-GB"/>
        </w:rPr>
      </w:pPr>
    </w:p>
    <w:p w14:paraId="78278905" w14:textId="6F0D6220" w:rsidR="00C95E3D" w:rsidRDefault="00C95E3D" w:rsidP="00A37A7C">
      <w:pPr>
        <w:pStyle w:val="Heading2"/>
        <w:spacing w:line="360" w:lineRule="auto"/>
        <w:rPr>
          <w:rFonts w:eastAsia="Times New Roman"/>
          <w:lang w:val="en-GB"/>
        </w:rPr>
      </w:pPr>
      <w:bookmarkStart w:id="70" w:name="_Toc228218306"/>
      <w:r>
        <w:rPr>
          <w:rFonts w:eastAsia="Times New Roman"/>
          <w:lang w:val="en-GB"/>
        </w:rPr>
        <w:lastRenderedPageBreak/>
        <w:t>5.3 Resting BP (SBP and DBP)</w:t>
      </w:r>
      <w:bookmarkEnd w:id="70"/>
    </w:p>
    <w:p w14:paraId="6286498B" w14:textId="77777777" w:rsidR="00C95E3D" w:rsidRDefault="00C95E3D" w:rsidP="00A37A7C">
      <w:pPr>
        <w:spacing w:before="100" w:beforeAutospacing="1" w:after="100" w:afterAutospacing="1" w:line="360" w:lineRule="auto"/>
        <w:outlineLvl w:val="2"/>
        <w:rPr>
          <w:rFonts w:ascii="Arial" w:eastAsia="Times New Roman" w:hAnsi="Arial" w:cs="Arial"/>
          <w:b/>
          <w:bCs/>
          <w:kern w:val="0"/>
          <w:lang w:val="en-GB"/>
          <w14:ligatures w14:val="none"/>
        </w:rPr>
      </w:pPr>
    </w:p>
    <w:p w14:paraId="557E1430" w14:textId="2EE4C8AD" w:rsidR="0096388C" w:rsidRPr="00887F05" w:rsidRDefault="00C95E3D" w:rsidP="00A37A7C">
      <w:pPr>
        <w:spacing w:before="100" w:beforeAutospacing="1" w:after="100" w:afterAutospacing="1" w:line="360" w:lineRule="auto"/>
        <w:rPr>
          <w:rFonts w:ascii="Arial" w:hAnsi="Arial" w:cs="Arial"/>
          <w:kern w:val="0"/>
          <w:lang w:val="en-GB"/>
          <w14:ligatures w14:val="none"/>
        </w:rPr>
      </w:pPr>
      <w:r>
        <w:rPr>
          <w:rFonts w:ascii="Arial" w:hAnsi="Arial" w:cs="Arial"/>
          <w:kern w:val="0"/>
          <w:lang w:val="en-GB"/>
          <w14:ligatures w14:val="none"/>
        </w:rPr>
        <w:t>Resting BP showed a divergent pattern between SBP and DBP and should be interpreted together. SBP showed a hypothesis-consistent pattern in the O3-group, while the CG remained largely unchanged (Table 4.6; Figure 4.2). SBP fell from 136.5 ± 15.73 mmHg to 124.1 ± 11.26 mmHg in the O3-group (Δ = −12.4 mmHg; −9.1%), compared with 132.4 ± 15.69 mmHg to 133.4 ± 7.58 mmHg in the CG (Δ = +1.0 mmHg; +0.8%), producing a ΔΔ of −13.4 mmHg (Table 4.6). Pairwise comparisons indicated no baseline between-group difference (p = .567) but a significant post-intervention difference (p = .044), alongside a significant within-group SBP reduction in the O3-group (p = .026) and no change in the CG (p = .847). However, the omnibus time × group interaction did not meet p &lt; .05 (F(1,18) = 3.437, p = .080), despite a moderate effect size (partial η² = .160). Overall, the SBP findings appear hypothesis-consistent but provisional.</w:t>
      </w:r>
    </w:p>
    <w:p w14:paraId="35A81A90" w14:textId="77777777" w:rsidR="00C95E3D" w:rsidRDefault="00C95E3D" w:rsidP="00A37A7C">
      <w:pPr>
        <w:spacing w:before="100" w:beforeAutospacing="1" w:after="100" w:afterAutospacing="1" w:line="360" w:lineRule="auto"/>
        <w:rPr>
          <w:rFonts w:ascii="Arial" w:hAnsi="Arial" w:cs="Arial"/>
          <w:kern w:val="0"/>
          <w:lang w:val="en-GB"/>
          <w14:ligatures w14:val="none"/>
        </w:rPr>
      </w:pPr>
      <w:r>
        <w:rPr>
          <w:rFonts w:ascii="Arial" w:hAnsi="Arial" w:cs="Arial"/>
          <w:kern w:val="0"/>
          <w:lang w:val="en-GB"/>
          <w14:ligatures w14:val="none"/>
        </w:rPr>
        <w:t xml:space="preserve">The magnitude and direction of change align with evidence that O3 supplementation can reduce BP, with SBP effects often more apparent than DBP, but with considerable heterogeneity linked to baseline CV risk, dose, and duration (Miller </w:t>
      </w:r>
      <w:r w:rsidRPr="00A7058C">
        <w:rPr>
          <w:rFonts w:ascii="Arial" w:hAnsi="Arial" w:cs="Arial"/>
          <w:i/>
          <w:kern w:val="0"/>
          <w:lang w:val="en-GB"/>
          <w14:ligatures w14:val="none"/>
        </w:rPr>
        <w:t>et al.</w:t>
      </w:r>
      <w:r>
        <w:rPr>
          <w:rFonts w:ascii="Arial" w:hAnsi="Arial" w:cs="Arial"/>
          <w:kern w:val="0"/>
          <w:lang w:val="en-GB"/>
          <w14:ligatures w14:val="none"/>
        </w:rPr>
        <w:t xml:space="preserve">, 2014; </w:t>
      </w:r>
      <w:proofErr w:type="spellStart"/>
      <w:r>
        <w:rPr>
          <w:rFonts w:ascii="Arial" w:hAnsi="Arial" w:cs="Arial"/>
          <w:kern w:val="0"/>
          <w:lang w:val="en-GB"/>
          <w14:ligatures w14:val="none"/>
        </w:rPr>
        <w:t>Micallef</w:t>
      </w:r>
      <w:proofErr w:type="spellEnd"/>
      <w:r>
        <w:rPr>
          <w:rFonts w:ascii="Arial" w:hAnsi="Arial" w:cs="Arial"/>
          <w:kern w:val="0"/>
          <w:lang w:val="en-GB"/>
          <w14:ligatures w14:val="none"/>
        </w:rPr>
        <w:t xml:space="preserve"> and </w:t>
      </w:r>
      <w:proofErr w:type="spellStart"/>
      <w:r>
        <w:rPr>
          <w:rFonts w:ascii="Arial" w:hAnsi="Arial" w:cs="Arial"/>
          <w:kern w:val="0"/>
          <w:lang w:val="en-GB"/>
          <w14:ligatures w14:val="none"/>
        </w:rPr>
        <w:t>Garg</w:t>
      </w:r>
      <w:proofErr w:type="spellEnd"/>
      <w:r>
        <w:rPr>
          <w:rFonts w:ascii="Arial" w:hAnsi="Arial" w:cs="Arial"/>
          <w:kern w:val="0"/>
          <w:lang w:val="en-GB"/>
          <w14:ligatures w14:val="none"/>
        </w:rPr>
        <w:t xml:space="preserve">, 2009; Zhang </w:t>
      </w:r>
      <w:r w:rsidRPr="00A7058C">
        <w:rPr>
          <w:rFonts w:ascii="Arial" w:hAnsi="Arial" w:cs="Arial"/>
          <w:i/>
          <w:kern w:val="0"/>
          <w:lang w:val="en-GB"/>
          <w14:ligatures w14:val="none"/>
        </w:rPr>
        <w:t>et al.</w:t>
      </w:r>
      <w:r>
        <w:rPr>
          <w:rFonts w:ascii="Arial" w:hAnsi="Arial" w:cs="Arial"/>
          <w:kern w:val="0"/>
          <w:lang w:val="en-GB"/>
          <w14:ligatures w14:val="none"/>
        </w:rPr>
        <w:t xml:space="preserve">, 2022). Consistent with this, SBP reductions are typically more evident in cohorts with higher baseline BP and when higher daily EPA+DHA doses are used, whereas effects are smaller or inconsistent in normotensive or mixed cohorts (Miller </w:t>
      </w:r>
      <w:r w:rsidRPr="00A7058C">
        <w:rPr>
          <w:rFonts w:ascii="Arial" w:hAnsi="Arial" w:cs="Arial"/>
          <w:i/>
          <w:kern w:val="0"/>
          <w:lang w:val="en-GB"/>
          <w14:ligatures w14:val="none"/>
        </w:rPr>
        <w:t>et al.</w:t>
      </w:r>
      <w:r>
        <w:rPr>
          <w:rFonts w:ascii="Arial" w:hAnsi="Arial" w:cs="Arial"/>
          <w:kern w:val="0"/>
          <w:lang w:val="en-GB"/>
          <w14:ligatures w14:val="none"/>
        </w:rPr>
        <w:t xml:space="preserve">, 2014; Zhang </w:t>
      </w:r>
      <w:r w:rsidRPr="00A7058C">
        <w:rPr>
          <w:rFonts w:ascii="Arial" w:hAnsi="Arial" w:cs="Arial"/>
          <w:i/>
          <w:kern w:val="0"/>
          <w:lang w:val="en-GB"/>
          <w14:ligatures w14:val="none"/>
        </w:rPr>
        <w:t>et al.</w:t>
      </w:r>
      <w:r>
        <w:rPr>
          <w:rFonts w:ascii="Arial" w:hAnsi="Arial" w:cs="Arial"/>
          <w:kern w:val="0"/>
          <w:lang w:val="en-GB"/>
          <w14:ligatures w14:val="none"/>
        </w:rPr>
        <w:t>, 2022). Baseline SBP was elevated on average in the present sample (Table 4.6), which may have increased potential for detectable change. The pattern of significant pairwise differences alongside a near-threshold omnibus interaction is therefore consistent with a plausible effect moderated by inter-individual variability and limited power.</w:t>
      </w:r>
    </w:p>
    <w:p w14:paraId="0AA3B567" w14:textId="77777777" w:rsidR="0096388C" w:rsidRDefault="0096388C" w:rsidP="00A37A7C">
      <w:pPr>
        <w:spacing w:before="100" w:beforeAutospacing="1" w:after="100" w:afterAutospacing="1" w:line="360" w:lineRule="auto"/>
        <w:rPr>
          <w:rFonts w:ascii="Arial" w:hAnsi="Arial" w:cs="Arial"/>
          <w:kern w:val="0"/>
          <w:lang w:val="en-GB"/>
          <w14:ligatures w14:val="none"/>
        </w:rPr>
      </w:pPr>
    </w:p>
    <w:p w14:paraId="36619AF8" w14:textId="6E2A9BC3" w:rsidR="00C95E3D" w:rsidRDefault="00C95E3D" w:rsidP="00A37A7C">
      <w:pPr>
        <w:spacing w:before="100" w:beforeAutospacing="1" w:after="100" w:afterAutospacing="1" w:line="360" w:lineRule="auto"/>
        <w:rPr>
          <w:rFonts w:ascii="Arial" w:hAnsi="Arial" w:cs="Arial"/>
          <w:kern w:val="0"/>
          <w:lang w:val="en-GB"/>
          <w14:ligatures w14:val="none"/>
        </w:rPr>
      </w:pPr>
      <w:r>
        <w:rPr>
          <w:rFonts w:ascii="Arial" w:hAnsi="Arial" w:cs="Arial"/>
          <w:kern w:val="0"/>
          <w:lang w:val="en-GB"/>
          <w14:ligatures w14:val="none"/>
        </w:rPr>
        <w:lastRenderedPageBreak/>
        <w:t xml:space="preserve">Despite the need for statistical caution, the magnitude of SBP reduction may still be meaningful in an occupational context where CV risk is clinically relevant. Large-scale epidemiological evidence indicates sustained SBP reductions are associated with lower long-term CVD risk, including stroke and coronary outcomes (Prospective Studies Collaboration, 2002; Ettehad </w:t>
      </w:r>
      <w:r w:rsidRPr="00A7058C">
        <w:rPr>
          <w:rFonts w:ascii="Arial" w:hAnsi="Arial" w:cs="Arial"/>
          <w:i/>
          <w:kern w:val="0"/>
          <w:lang w:val="en-GB"/>
          <w14:ligatures w14:val="none"/>
        </w:rPr>
        <w:t>et al.</w:t>
      </w:r>
      <w:r>
        <w:rPr>
          <w:rFonts w:ascii="Arial" w:hAnsi="Arial" w:cs="Arial"/>
          <w:kern w:val="0"/>
          <w:lang w:val="en-GB"/>
          <w14:ligatures w14:val="none"/>
        </w:rPr>
        <w:t xml:space="preserve">, 2016). Miller </w:t>
      </w:r>
      <w:r w:rsidRPr="00A7058C">
        <w:rPr>
          <w:rFonts w:ascii="Arial" w:hAnsi="Arial" w:cs="Arial"/>
          <w:i/>
          <w:kern w:val="0"/>
          <w:lang w:val="en-GB"/>
          <w14:ligatures w14:val="none"/>
        </w:rPr>
        <w:t>et al.</w:t>
      </w:r>
      <w:r>
        <w:rPr>
          <w:rFonts w:ascii="Arial" w:hAnsi="Arial" w:cs="Arial"/>
          <w:kern w:val="0"/>
          <w:lang w:val="en-GB"/>
          <w14:ligatures w14:val="none"/>
        </w:rPr>
        <w:t xml:space="preserve"> (2014) reported that just 1.25 mmHg SBP reduction may delay age-related SBP progression by 2 years, suggesting potential applied relevance for CV health with early O3 intervention, although direct performance effects were not measured. Accordingly, the present SBP pattern supports cautious applied relevance, while reinforcing the need for replication with a larger FF cohort and, ideally, biomarker-supported uptake assessment to better characterise responders and reduce uncertainty.</w:t>
      </w:r>
    </w:p>
    <w:p w14:paraId="5982E7EC" w14:textId="77777777" w:rsidR="00C95E3D" w:rsidRDefault="00C95E3D" w:rsidP="00A37A7C">
      <w:pPr>
        <w:spacing w:before="100" w:beforeAutospacing="1" w:after="100" w:afterAutospacing="1" w:line="360" w:lineRule="auto"/>
        <w:rPr>
          <w:rFonts w:ascii="Arial" w:hAnsi="Arial" w:cs="Arial"/>
          <w:kern w:val="0"/>
          <w:lang w:val="en-GB"/>
          <w14:ligatures w14:val="none"/>
        </w:rPr>
      </w:pPr>
      <w:r>
        <w:rPr>
          <w:rFonts w:ascii="Arial" w:hAnsi="Arial" w:cs="Arial"/>
          <w:kern w:val="0"/>
          <w:lang w:val="en-GB"/>
          <w14:ligatures w14:val="none"/>
        </w:rPr>
        <w:t xml:space="preserve">In contrast, DBP showed no meaningful response (Table 4.7; Figure 4.3). Changes were small (O3-group: −0.5 mmHg; −0.6%; CG: +2.2 mmHg; +3.1%; ΔΔ = −2.7 mmHg), and omnibus and pairwise outcomes were non-significant (Time: F(1,18) = 0.223, p = .643; Group: F(1,18) = 1.928, p = .182; Time × Group: F(1,18) = 0.562, p = .463; baseline p = .164; post p = .322; O3-group pre–post p = .847; CG pre–post p = .399). This may reflect limited scope for improvement given baseline DBP values, reduced DBP sensitivity to O3 over eight weeks, and/or insufficient power to detect small effects. This is consistent with evidence that DBP effects are often smaller and less consistent than SBP effects in O3 trials, and may depend more strongly on baseline hypertension status and study characteristics (Miller </w:t>
      </w:r>
      <w:r w:rsidRPr="00A7058C">
        <w:rPr>
          <w:rFonts w:ascii="Arial" w:hAnsi="Arial" w:cs="Arial"/>
          <w:i/>
          <w:kern w:val="0"/>
          <w:lang w:val="en-GB"/>
          <w14:ligatures w14:val="none"/>
        </w:rPr>
        <w:t>et al.</w:t>
      </w:r>
      <w:r>
        <w:rPr>
          <w:rFonts w:ascii="Arial" w:hAnsi="Arial" w:cs="Arial"/>
          <w:kern w:val="0"/>
          <w:lang w:val="en-GB"/>
          <w14:ligatures w14:val="none"/>
        </w:rPr>
        <w:t xml:space="preserve">, 2014; Zhang </w:t>
      </w:r>
      <w:r w:rsidRPr="00A7058C">
        <w:rPr>
          <w:rFonts w:ascii="Arial" w:hAnsi="Arial" w:cs="Arial"/>
          <w:i/>
          <w:kern w:val="0"/>
          <w:lang w:val="en-GB"/>
          <w14:ligatures w14:val="none"/>
        </w:rPr>
        <w:t>et al.</w:t>
      </w:r>
      <w:r>
        <w:rPr>
          <w:rFonts w:ascii="Arial" w:hAnsi="Arial" w:cs="Arial"/>
          <w:kern w:val="0"/>
          <w:lang w:val="en-GB"/>
          <w14:ligatures w14:val="none"/>
        </w:rPr>
        <w:t>, 2022).</w:t>
      </w:r>
    </w:p>
    <w:p w14:paraId="0E081BAF" w14:textId="1C421B10" w:rsidR="00C95E3D" w:rsidRDefault="00C95E3D" w:rsidP="00A37A7C">
      <w:pPr>
        <w:spacing w:before="100" w:beforeAutospacing="1" w:after="100" w:afterAutospacing="1" w:line="360" w:lineRule="auto"/>
        <w:rPr>
          <w:rFonts w:ascii="Arial" w:hAnsi="Arial" w:cs="Arial"/>
          <w:kern w:val="0"/>
          <w:lang w:val="en-GB"/>
          <w14:ligatures w14:val="none"/>
        </w:rPr>
      </w:pPr>
      <w:r>
        <w:rPr>
          <w:rFonts w:ascii="Arial" w:hAnsi="Arial" w:cs="Arial"/>
          <w:kern w:val="0"/>
          <w:lang w:val="en-GB"/>
          <w14:ligatures w14:val="none"/>
        </w:rPr>
        <w:t>BP outcomes indicate a potentially meaningful but less definitive SBP signal alongside limited evidence of DBP change. Combined with clearer effects for CTT HR strain outcomes, the overall pattern suggests O3 may influence functional CV strain during exertion more consistently than resting haemodynamic markers within an eight-week operational FF intervention.</w:t>
      </w:r>
      <w:r w:rsidR="00A17772">
        <w:rPr>
          <w:rFonts w:ascii="Arial" w:hAnsi="Arial" w:cs="Arial"/>
          <w:kern w:val="0"/>
          <w:lang w:val="en-GB"/>
          <w14:ligatures w14:val="none"/>
        </w:rPr>
        <w:t xml:space="preserve">  An </w:t>
      </w:r>
      <w:r w:rsidR="008840FE">
        <w:rPr>
          <w:rFonts w:ascii="Arial" w:hAnsi="Arial" w:cs="Arial"/>
          <w:kern w:val="0"/>
          <w:lang w:val="en-GB"/>
          <w14:ligatures w14:val="none"/>
        </w:rPr>
        <w:t xml:space="preserve">unexpected finding was that exercise HR strain showed clearer and </w:t>
      </w:r>
      <w:r w:rsidR="00F2405C">
        <w:rPr>
          <w:rFonts w:ascii="Arial" w:hAnsi="Arial" w:cs="Arial"/>
          <w:kern w:val="0"/>
          <w:lang w:val="en-GB"/>
          <w14:ligatures w14:val="none"/>
        </w:rPr>
        <w:t>more consistent improvement than resting haemodynamic markers, suggesting submaximal exercise responses may be more sens</w:t>
      </w:r>
      <w:r w:rsidR="00D24817">
        <w:rPr>
          <w:rFonts w:ascii="Arial" w:hAnsi="Arial" w:cs="Arial"/>
          <w:kern w:val="0"/>
          <w:lang w:val="en-GB"/>
          <w14:ligatures w14:val="none"/>
        </w:rPr>
        <w:t>itive to short-term O3 interventions in FFs.</w:t>
      </w:r>
    </w:p>
    <w:p w14:paraId="651D2B59" w14:textId="3C6DD26A" w:rsidR="00C95E3D" w:rsidRDefault="00C95E3D" w:rsidP="00A37A7C">
      <w:pPr>
        <w:pStyle w:val="Heading2"/>
        <w:spacing w:line="360" w:lineRule="auto"/>
        <w:rPr>
          <w:rFonts w:eastAsia="Times New Roman"/>
          <w:lang w:val="en-GB"/>
        </w:rPr>
      </w:pPr>
      <w:bookmarkStart w:id="71" w:name="_Toc228218307"/>
      <w:r>
        <w:rPr>
          <w:rFonts w:eastAsia="Times New Roman"/>
          <w:lang w:val="en-GB"/>
        </w:rPr>
        <w:lastRenderedPageBreak/>
        <w:t>5.</w:t>
      </w:r>
      <w:r w:rsidR="005719E3">
        <w:rPr>
          <w:rFonts w:eastAsia="Times New Roman"/>
          <w:lang w:val="en-GB"/>
        </w:rPr>
        <w:t>4</w:t>
      </w:r>
      <w:r>
        <w:rPr>
          <w:rFonts w:eastAsia="Times New Roman"/>
          <w:lang w:val="en-GB"/>
        </w:rPr>
        <w:t xml:space="preserve"> Contextual interpretation using anthropometric and dietary findings</w:t>
      </w:r>
      <w:bookmarkEnd w:id="71"/>
    </w:p>
    <w:p w14:paraId="2B14EDD1" w14:textId="77777777" w:rsidR="00C95E3D" w:rsidRDefault="00C95E3D" w:rsidP="00A37A7C">
      <w:pPr>
        <w:spacing w:before="100" w:beforeAutospacing="1" w:after="100" w:afterAutospacing="1" w:line="360" w:lineRule="auto"/>
        <w:rPr>
          <w:rFonts w:ascii="Arial" w:eastAsiaTheme="minorEastAsia" w:hAnsi="Arial" w:cs="Arial"/>
          <w:kern w:val="0"/>
          <w:lang w:val="en-GB"/>
          <w14:ligatures w14:val="none"/>
        </w:rPr>
      </w:pPr>
    </w:p>
    <w:p w14:paraId="2271DFB4" w14:textId="3B861E30" w:rsidR="00C95E3D" w:rsidRDefault="00C95E3D" w:rsidP="00A37A7C">
      <w:pPr>
        <w:spacing w:before="100" w:beforeAutospacing="1" w:after="100" w:afterAutospacing="1" w:line="360" w:lineRule="auto"/>
        <w:rPr>
          <w:rFonts w:ascii="Arial" w:hAnsi="Arial" w:cs="Arial"/>
          <w:kern w:val="0"/>
          <w:lang w:val="en-GB"/>
          <w14:ligatures w14:val="none"/>
        </w:rPr>
      </w:pPr>
      <w:r>
        <w:rPr>
          <w:rFonts w:ascii="Arial" w:hAnsi="Arial" w:cs="Arial"/>
          <w:kern w:val="0"/>
          <w:lang w:val="en-GB"/>
          <w14:ligatures w14:val="none"/>
        </w:rPr>
        <w:t xml:space="preserve">Anthropometric and dietary profiles provide important context for baseline risk and responsiveness. Participants were generally overweight by BMI classification (Table 4.2), and the O3-group had greater waist and hip circumferences but no difference in waist-to-hip ratio compared with the CG (Table 4.1). This suggests larger absolute body size in the O3-group with similar fat distribution, relevant because central adiposity is associated with elevated cardiometabolic risk even when distribution indices are comparable (Shah </w:t>
      </w:r>
      <w:r w:rsidRPr="00A7058C">
        <w:rPr>
          <w:rFonts w:ascii="Arial" w:hAnsi="Arial" w:cs="Arial"/>
          <w:i/>
          <w:kern w:val="0"/>
          <w:lang w:val="en-GB"/>
          <w14:ligatures w14:val="none"/>
        </w:rPr>
        <w:t>et al.</w:t>
      </w:r>
      <w:r>
        <w:rPr>
          <w:rFonts w:ascii="Arial" w:hAnsi="Arial" w:cs="Arial"/>
          <w:kern w:val="0"/>
          <w:lang w:val="en-GB"/>
          <w14:ligatures w14:val="none"/>
        </w:rPr>
        <w:t xml:space="preserve">, 2014). Baseline SBP values were above commonly cited optimal levels, whereas mean DBP and AveRHR were within more typical ranges (Table 4.1). Although this study was not designed to diagnose hypertension, this profile supports relevance of interventions targeting CV strain and longer-term CV health in operational FFs and is consistent with evidence that FFs often present clustered cardiometabolic risk factors despite occupational physical demands (Tsismenakis </w:t>
      </w:r>
      <w:r w:rsidRPr="00A7058C">
        <w:rPr>
          <w:rFonts w:ascii="Arial" w:hAnsi="Arial" w:cs="Arial"/>
          <w:i/>
          <w:kern w:val="0"/>
          <w:lang w:val="en-GB"/>
          <w14:ligatures w14:val="none"/>
        </w:rPr>
        <w:t>et al.</w:t>
      </w:r>
      <w:r>
        <w:rPr>
          <w:rFonts w:ascii="Arial" w:hAnsi="Arial" w:cs="Arial"/>
          <w:kern w:val="0"/>
          <w:lang w:val="en-GB"/>
          <w14:ligatures w14:val="none"/>
        </w:rPr>
        <w:t xml:space="preserve">, 2009; Soteriades </w:t>
      </w:r>
      <w:r w:rsidRPr="00A7058C">
        <w:rPr>
          <w:rFonts w:ascii="Arial" w:hAnsi="Arial" w:cs="Arial"/>
          <w:i/>
          <w:kern w:val="0"/>
          <w:lang w:val="en-GB"/>
          <w14:ligatures w14:val="none"/>
        </w:rPr>
        <w:t>et al.</w:t>
      </w:r>
      <w:r>
        <w:rPr>
          <w:rFonts w:ascii="Arial" w:hAnsi="Arial" w:cs="Arial"/>
          <w:kern w:val="0"/>
          <w:lang w:val="en-GB"/>
          <w14:ligatures w14:val="none"/>
        </w:rPr>
        <w:t xml:space="preserve">, 2011; Jeung </w:t>
      </w:r>
      <w:r w:rsidRPr="00A7058C">
        <w:rPr>
          <w:rFonts w:ascii="Arial" w:hAnsi="Arial" w:cs="Arial"/>
          <w:i/>
          <w:kern w:val="0"/>
          <w:lang w:val="en-GB"/>
          <w14:ligatures w14:val="none"/>
        </w:rPr>
        <w:t>et al.</w:t>
      </w:r>
      <w:r>
        <w:rPr>
          <w:rFonts w:ascii="Arial" w:hAnsi="Arial" w:cs="Arial"/>
          <w:kern w:val="0"/>
          <w:lang w:val="en-GB"/>
          <w14:ligatures w14:val="none"/>
        </w:rPr>
        <w:t xml:space="preserve">, 2022; Khaja </w:t>
      </w:r>
      <w:r w:rsidRPr="00A7058C">
        <w:rPr>
          <w:rFonts w:ascii="Arial" w:hAnsi="Arial" w:cs="Arial"/>
          <w:i/>
          <w:kern w:val="0"/>
          <w:lang w:val="en-GB"/>
          <w14:ligatures w14:val="none"/>
        </w:rPr>
        <w:t>et al.</w:t>
      </w:r>
      <w:r>
        <w:rPr>
          <w:rFonts w:ascii="Arial" w:hAnsi="Arial" w:cs="Arial"/>
          <w:kern w:val="0"/>
          <w:lang w:val="en-GB"/>
          <w14:ligatures w14:val="none"/>
        </w:rPr>
        <w:t>, 2021).</w:t>
      </w:r>
    </w:p>
    <w:p w14:paraId="5E243B8A" w14:textId="145D6656" w:rsidR="00C95E3D" w:rsidRDefault="00C95E3D" w:rsidP="00A37A7C">
      <w:pPr>
        <w:spacing w:before="100" w:beforeAutospacing="1" w:after="100" w:afterAutospacing="1" w:line="360" w:lineRule="auto"/>
        <w:rPr>
          <w:rFonts w:ascii="Arial" w:hAnsi="Arial" w:cs="Arial"/>
          <w:kern w:val="0"/>
          <w:lang w:val="en-GB"/>
          <w14:ligatures w14:val="none"/>
        </w:rPr>
      </w:pPr>
      <w:r>
        <w:rPr>
          <w:rFonts w:ascii="Arial" w:hAnsi="Arial" w:cs="Arial"/>
          <w:kern w:val="0"/>
          <w:lang w:val="en-GB"/>
          <w14:ligatures w14:val="none"/>
        </w:rPr>
        <w:t xml:space="preserve">Dietary intake further contextualised the response pattern. Intake profiles were consistent with a WDP, characterised by lower nutrient density and greater reliance on refined components, which has been associated with pro-inflammatory signalling and oxidative stress relative to more nutrient-dense patterns such as the MD (Esposito </w:t>
      </w:r>
      <w:r w:rsidRPr="00A7058C">
        <w:rPr>
          <w:rFonts w:ascii="Arial" w:hAnsi="Arial" w:cs="Arial"/>
          <w:i/>
          <w:kern w:val="0"/>
          <w:lang w:val="en-GB"/>
          <w14:ligatures w14:val="none"/>
        </w:rPr>
        <w:t>et al.</w:t>
      </w:r>
      <w:r>
        <w:rPr>
          <w:rFonts w:ascii="Arial" w:hAnsi="Arial" w:cs="Arial"/>
          <w:kern w:val="0"/>
          <w:lang w:val="en-GB"/>
          <w14:ligatures w14:val="none"/>
        </w:rPr>
        <w:t xml:space="preserve">, 2004; Tan </w:t>
      </w:r>
      <w:r w:rsidRPr="00A7058C">
        <w:rPr>
          <w:rFonts w:ascii="Arial" w:hAnsi="Arial" w:cs="Arial"/>
          <w:i/>
          <w:kern w:val="0"/>
          <w:lang w:val="en-GB"/>
          <w14:ligatures w14:val="none"/>
        </w:rPr>
        <w:t>et al.</w:t>
      </w:r>
      <w:r>
        <w:rPr>
          <w:rFonts w:ascii="Arial" w:hAnsi="Arial" w:cs="Arial"/>
          <w:kern w:val="0"/>
          <w:lang w:val="en-GB"/>
          <w14:ligatures w14:val="none"/>
        </w:rPr>
        <w:t xml:space="preserve">, 2018; Clemente-Suárez </w:t>
      </w:r>
      <w:r w:rsidRPr="00A7058C">
        <w:rPr>
          <w:rFonts w:ascii="Arial" w:hAnsi="Arial" w:cs="Arial"/>
          <w:i/>
          <w:kern w:val="0"/>
          <w:lang w:val="en-GB"/>
          <w14:ligatures w14:val="none"/>
        </w:rPr>
        <w:t>et al.</w:t>
      </w:r>
      <w:r>
        <w:rPr>
          <w:rFonts w:ascii="Arial" w:hAnsi="Arial" w:cs="Arial"/>
          <w:kern w:val="0"/>
          <w:lang w:val="en-GB"/>
          <w14:ligatures w14:val="none"/>
        </w:rPr>
        <w:t xml:space="preserve">, 2022; Marx </w:t>
      </w:r>
      <w:r w:rsidRPr="00A7058C">
        <w:rPr>
          <w:rFonts w:ascii="Arial" w:hAnsi="Arial" w:cs="Arial"/>
          <w:i/>
          <w:kern w:val="0"/>
          <w:lang w:val="en-GB"/>
          <w14:ligatures w14:val="none"/>
        </w:rPr>
        <w:t>et al.</w:t>
      </w:r>
      <w:r>
        <w:rPr>
          <w:rFonts w:ascii="Arial" w:hAnsi="Arial" w:cs="Arial"/>
          <w:kern w:val="0"/>
          <w:lang w:val="en-GB"/>
          <w14:ligatures w14:val="none"/>
        </w:rPr>
        <w:t xml:space="preserve">, 2021; Tosti </w:t>
      </w:r>
      <w:r w:rsidRPr="00A7058C">
        <w:rPr>
          <w:rFonts w:ascii="Arial" w:hAnsi="Arial" w:cs="Arial"/>
          <w:i/>
          <w:kern w:val="0"/>
          <w:lang w:val="en-GB"/>
          <w14:ligatures w14:val="none"/>
        </w:rPr>
        <w:t>et al.</w:t>
      </w:r>
      <w:r>
        <w:rPr>
          <w:rFonts w:ascii="Arial" w:hAnsi="Arial" w:cs="Arial"/>
          <w:kern w:val="0"/>
          <w:lang w:val="en-GB"/>
          <w14:ligatures w14:val="none"/>
        </w:rPr>
        <w:t xml:space="preserve">, 2018; Estruch </w:t>
      </w:r>
      <w:r w:rsidRPr="00A7058C">
        <w:rPr>
          <w:rFonts w:ascii="Arial" w:hAnsi="Arial" w:cs="Arial"/>
          <w:i/>
          <w:kern w:val="0"/>
          <w:lang w:val="en-GB"/>
          <w14:ligatures w14:val="none"/>
        </w:rPr>
        <w:t>et al.</w:t>
      </w:r>
      <w:r>
        <w:rPr>
          <w:rFonts w:ascii="Arial" w:hAnsi="Arial" w:cs="Arial"/>
          <w:kern w:val="0"/>
          <w:lang w:val="en-GB"/>
          <w14:ligatures w14:val="none"/>
        </w:rPr>
        <w:t xml:space="preserve">, 2018). Habitual intake appeared suboptimal relative to occupational demands, including low carbohydrate, potassium, magnesium, vitamin D, fluid, and zinc intakes (Table 4.3). This aligns with FF dietary research indicating that achieving optimal fuelling and micronutrient adequacy can be challenging under shift patterns and operational constraints (Dempsey </w:t>
      </w:r>
      <w:r w:rsidRPr="00A7058C">
        <w:rPr>
          <w:rFonts w:ascii="Arial" w:hAnsi="Arial" w:cs="Arial"/>
          <w:i/>
          <w:kern w:val="0"/>
          <w:lang w:val="en-GB"/>
          <w14:ligatures w14:val="none"/>
        </w:rPr>
        <w:t>et al.</w:t>
      </w:r>
      <w:r>
        <w:rPr>
          <w:rFonts w:ascii="Arial" w:hAnsi="Arial" w:cs="Arial"/>
          <w:kern w:val="0"/>
          <w:lang w:val="en-GB"/>
          <w14:ligatures w14:val="none"/>
        </w:rPr>
        <w:t xml:space="preserve">, 2023; Heilson </w:t>
      </w:r>
      <w:r w:rsidRPr="00A7058C">
        <w:rPr>
          <w:rFonts w:ascii="Arial" w:hAnsi="Arial" w:cs="Arial"/>
          <w:i/>
          <w:kern w:val="0"/>
          <w:lang w:val="en-GB"/>
          <w14:ligatures w14:val="none"/>
        </w:rPr>
        <w:t>et al.</w:t>
      </w:r>
      <w:r>
        <w:rPr>
          <w:rFonts w:ascii="Arial" w:hAnsi="Arial" w:cs="Arial"/>
          <w:kern w:val="0"/>
          <w:lang w:val="en-GB"/>
          <w14:ligatures w14:val="none"/>
        </w:rPr>
        <w:t xml:space="preserve">, 2025). Habitual omega-3 intake met minimum public-health guidance (Table 4.3) but remained far below intervention dose, supporting supplementation as a pragmatic strategy when food-first intake is unlikely to achieve consistent EPA:DHA exposure (Kris-Etherton </w:t>
      </w:r>
      <w:r w:rsidRPr="00A7058C">
        <w:rPr>
          <w:rFonts w:ascii="Arial" w:hAnsi="Arial" w:cs="Arial"/>
          <w:i/>
          <w:kern w:val="0"/>
          <w:lang w:val="en-GB"/>
          <w14:ligatures w14:val="none"/>
        </w:rPr>
        <w:t xml:space="preserve">et </w:t>
      </w:r>
      <w:r w:rsidRPr="00A7058C">
        <w:rPr>
          <w:rFonts w:ascii="Arial" w:hAnsi="Arial" w:cs="Arial"/>
          <w:i/>
          <w:kern w:val="0"/>
          <w:lang w:val="en-GB"/>
          <w14:ligatures w14:val="none"/>
        </w:rPr>
        <w:lastRenderedPageBreak/>
        <w:t>al.</w:t>
      </w:r>
      <w:r>
        <w:rPr>
          <w:rFonts w:ascii="Arial" w:hAnsi="Arial" w:cs="Arial"/>
          <w:kern w:val="0"/>
          <w:lang w:val="en-GB"/>
          <w14:ligatures w14:val="none"/>
        </w:rPr>
        <w:t xml:space="preserve">, 2002; Handeland </w:t>
      </w:r>
      <w:r w:rsidRPr="00A7058C">
        <w:rPr>
          <w:rFonts w:ascii="Arial" w:hAnsi="Arial" w:cs="Arial"/>
          <w:i/>
          <w:kern w:val="0"/>
          <w:lang w:val="en-GB"/>
          <w14:ligatures w14:val="none"/>
        </w:rPr>
        <w:t>et al.</w:t>
      </w:r>
      <w:r>
        <w:rPr>
          <w:rFonts w:ascii="Arial" w:hAnsi="Arial" w:cs="Arial"/>
          <w:kern w:val="0"/>
          <w:lang w:val="en-GB"/>
          <w14:ligatures w14:val="none"/>
        </w:rPr>
        <w:t xml:space="preserve">, 2018; Dempsey </w:t>
      </w:r>
      <w:r w:rsidRPr="00A7058C">
        <w:rPr>
          <w:rFonts w:ascii="Arial" w:hAnsi="Arial" w:cs="Arial"/>
          <w:i/>
          <w:kern w:val="0"/>
          <w:lang w:val="en-GB"/>
          <w14:ligatures w14:val="none"/>
        </w:rPr>
        <w:t>et al.</w:t>
      </w:r>
      <w:r>
        <w:rPr>
          <w:rFonts w:ascii="Arial" w:hAnsi="Arial" w:cs="Arial"/>
          <w:kern w:val="0"/>
          <w:lang w:val="en-GB"/>
          <w14:ligatures w14:val="none"/>
        </w:rPr>
        <w:t xml:space="preserve">, 2023; Heilson </w:t>
      </w:r>
      <w:r w:rsidRPr="00A7058C">
        <w:rPr>
          <w:rFonts w:ascii="Arial" w:hAnsi="Arial" w:cs="Arial"/>
          <w:i/>
          <w:kern w:val="0"/>
          <w:lang w:val="en-GB"/>
          <w14:ligatures w14:val="none"/>
        </w:rPr>
        <w:t>et al.</w:t>
      </w:r>
      <w:r>
        <w:rPr>
          <w:rFonts w:ascii="Arial" w:hAnsi="Arial" w:cs="Arial"/>
          <w:kern w:val="0"/>
          <w:lang w:val="en-GB"/>
          <w14:ligatures w14:val="none"/>
        </w:rPr>
        <w:t xml:space="preserve">, 2025; Gonzalez </w:t>
      </w:r>
      <w:r w:rsidRPr="00A7058C">
        <w:rPr>
          <w:rFonts w:ascii="Arial" w:hAnsi="Arial" w:cs="Arial"/>
          <w:i/>
          <w:kern w:val="0"/>
          <w:lang w:val="en-GB"/>
          <w14:ligatures w14:val="none"/>
        </w:rPr>
        <w:t>et al.</w:t>
      </w:r>
      <w:r>
        <w:rPr>
          <w:rFonts w:ascii="Arial" w:hAnsi="Arial" w:cs="Arial"/>
          <w:kern w:val="0"/>
          <w:lang w:val="en-GB"/>
          <w14:ligatures w14:val="none"/>
        </w:rPr>
        <w:t xml:space="preserve">, </w:t>
      </w:r>
      <w:r w:rsidR="00D65013">
        <w:rPr>
          <w:rFonts w:ascii="Arial" w:hAnsi="Arial" w:cs="Arial"/>
          <w:kern w:val="0"/>
          <w:lang w:val="en-GB"/>
          <w14:ligatures w14:val="none"/>
        </w:rPr>
        <w:t>2024</w:t>
      </w:r>
      <w:r>
        <w:rPr>
          <w:rFonts w:ascii="Arial" w:hAnsi="Arial" w:cs="Arial"/>
          <w:kern w:val="0"/>
          <w:lang w:val="en-GB"/>
          <w14:ligatures w14:val="none"/>
        </w:rPr>
        <w:t>).</w:t>
      </w:r>
    </w:p>
    <w:p w14:paraId="2F0CF57A" w14:textId="77777777" w:rsidR="00C95E3D" w:rsidRDefault="00C95E3D" w:rsidP="00A37A7C">
      <w:pPr>
        <w:spacing w:before="100" w:beforeAutospacing="1" w:after="100" w:afterAutospacing="1" w:line="360" w:lineRule="auto"/>
        <w:rPr>
          <w:rFonts w:ascii="Arial" w:hAnsi="Arial" w:cs="Arial"/>
          <w:kern w:val="0"/>
          <w:lang w:val="en-GB"/>
          <w14:ligatures w14:val="none"/>
        </w:rPr>
      </w:pPr>
      <w:r>
        <w:rPr>
          <w:rFonts w:ascii="Arial" w:hAnsi="Arial" w:cs="Arial"/>
          <w:kern w:val="0"/>
          <w:lang w:val="en-GB"/>
          <w14:ligatures w14:val="none"/>
        </w:rPr>
        <w:t xml:space="preserve">A potential confounder is the higher baseline dietary omega-3 intake in the CG. However, both groups remained below 1 g/day, substantially lower than the intervention dose and below higher dose ranges more often associated with measurable physiological effects in supplementation trials (Miller </w:t>
      </w:r>
      <w:r w:rsidRPr="00A7058C">
        <w:rPr>
          <w:rFonts w:ascii="Arial" w:hAnsi="Arial" w:cs="Arial"/>
          <w:i/>
          <w:kern w:val="0"/>
          <w:lang w:val="en-GB"/>
          <w14:ligatures w14:val="none"/>
        </w:rPr>
        <w:t>et al.</w:t>
      </w:r>
      <w:r>
        <w:rPr>
          <w:rFonts w:ascii="Arial" w:hAnsi="Arial" w:cs="Arial"/>
          <w:kern w:val="0"/>
          <w:lang w:val="en-GB"/>
          <w14:ligatures w14:val="none"/>
        </w:rPr>
        <w:t xml:space="preserve">, 2014; Zhang </w:t>
      </w:r>
      <w:r w:rsidRPr="00A7058C">
        <w:rPr>
          <w:rFonts w:ascii="Arial" w:hAnsi="Arial" w:cs="Arial"/>
          <w:i/>
          <w:kern w:val="0"/>
          <w:lang w:val="en-GB"/>
          <w14:ligatures w14:val="none"/>
        </w:rPr>
        <w:t>et al.</w:t>
      </w:r>
      <w:r>
        <w:rPr>
          <w:rFonts w:ascii="Arial" w:hAnsi="Arial" w:cs="Arial"/>
          <w:kern w:val="0"/>
          <w:lang w:val="en-GB"/>
          <w14:ligatures w14:val="none"/>
        </w:rPr>
        <w:t xml:space="preserve">, 2022; Jäger </w:t>
      </w:r>
      <w:r w:rsidRPr="00A7058C">
        <w:rPr>
          <w:rFonts w:ascii="Arial" w:hAnsi="Arial" w:cs="Arial"/>
          <w:i/>
          <w:kern w:val="0"/>
          <w:lang w:val="en-GB"/>
          <w14:ligatures w14:val="none"/>
        </w:rPr>
        <w:t>et al.</w:t>
      </w:r>
      <w:r>
        <w:rPr>
          <w:rFonts w:ascii="Arial" w:hAnsi="Arial" w:cs="Arial"/>
          <w:kern w:val="0"/>
          <w:lang w:val="en-GB"/>
          <w14:ligatures w14:val="none"/>
        </w:rPr>
        <w:t>, 2019). This reduces, but does not eliminate, the likelihood that baseline dietary omega-3 intake explains the observed CTT HR outcomes. The same principle applies to baseline caffeine differences; although statistical group differences existed, absolute intakes were very low (Table 4.3) and are unlikely to explain the pattern of change in exercise HR strain. Additionally, all participants adhered to caffeine abstinence before testing, further reducing likelihood that caffeine confounded HR findings.</w:t>
      </w:r>
    </w:p>
    <w:p w14:paraId="1F3202B8" w14:textId="77777777" w:rsidR="00C95E3D" w:rsidRDefault="00C95E3D" w:rsidP="00A37A7C">
      <w:pPr>
        <w:spacing w:before="100" w:beforeAutospacing="1" w:after="100" w:afterAutospacing="1" w:line="360" w:lineRule="auto"/>
        <w:rPr>
          <w:rFonts w:ascii="Arial" w:hAnsi="Arial" w:cs="Arial"/>
          <w:kern w:val="0"/>
          <w:lang w:val="en-GB"/>
          <w14:ligatures w14:val="none"/>
        </w:rPr>
      </w:pPr>
    </w:p>
    <w:p w14:paraId="5C9F0590" w14:textId="1358FD39" w:rsidR="00C95E3D" w:rsidRDefault="00C95E3D" w:rsidP="00A37A7C">
      <w:pPr>
        <w:pStyle w:val="Heading2"/>
        <w:spacing w:line="360" w:lineRule="auto"/>
        <w:rPr>
          <w:rFonts w:eastAsia="Times New Roman"/>
          <w:lang w:val="en-GB"/>
        </w:rPr>
      </w:pPr>
      <w:bookmarkStart w:id="72" w:name="_Toc228218308"/>
      <w:r>
        <w:rPr>
          <w:rFonts w:eastAsia="Times New Roman"/>
          <w:lang w:val="en-GB"/>
        </w:rPr>
        <w:t>5.</w:t>
      </w:r>
      <w:r w:rsidR="005719E3">
        <w:rPr>
          <w:rFonts w:eastAsia="Times New Roman"/>
          <w:lang w:val="en-GB"/>
        </w:rPr>
        <w:t>5</w:t>
      </w:r>
      <w:r>
        <w:rPr>
          <w:rFonts w:eastAsia="Times New Roman"/>
          <w:lang w:val="en-GB"/>
        </w:rPr>
        <w:t xml:space="preserve"> Comparison with previous research and methodological context</w:t>
      </w:r>
      <w:bookmarkEnd w:id="72"/>
    </w:p>
    <w:p w14:paraId="5BA55268" w14:textId="77777777" w:rsidR="00C95E3D" w:rsidRDefault="00C95E3D" w:rsidP="00A37A7C">
      <w:pPr>
        <w:spacing w:before="100" w:beforeAutospacing="1" w:after="100" w:afterAutospacing="1" w:line="360" w:lineRule="auto"/>
        <w:rPr>
          <w:rFonts w:ascii="Arial" w:eastAsiaTheme="minorEastAsia" w:hAnsi="Arial" w:cs="Arial"/>
          <w:kern w:val="0"/>
          <w:lang w:val="en-GB"/>
          <w14:ligatures w14:val="none"/>
        </w:rPr>
      </w:pPr>
    </w:p>
    <w:p w14:paraId="70574B9A" w14:textId="77777777" w:rsidR="00C95E3D" w:rsidRDefault="00C95E3D" w:rsidP="00A37A7C">
      <w:pPr>
        <w:spacing w:before="100" w:beforeAutospacing="1" w:after="100" w:afterAutospacing="1" w:line="360" w:lineRule="auto"/>
        <w:rPr>
          <w:rFonts w:ascii="Arial" w:hAnsi="Arial" w:cs="Arial"/>
          <w:kern w:val="0"/>
          <w:lang w:val="en-GB"/>
          <w14:ligatures w14:val="none"/>
        </w:rPr>
      </w:pPr>
      <w:r>
        <w:rPr>
          <w:rFonts w:ascii="Arial" w:hAnsi="Arial" w:cs="Arial"/>
          <w:kern w:val="0"/>
          <w:lang w:val="en-GB"/>
          <w14:ligatures w14:val="none"/>
        </w:rPr>
        <w:t xml:space="preserve">The present findings are strengthened by comparison with wider O3 evidence. Meta-analytic synthesis highlights substantial heterogeneity across trials in dose, duration, EPA:DHA ratios, participant characteristics, and protocol design, including whether cohorts are healthy adults, clinical samples, or athletic populations, and whether outcomes are primarily biomarker-based or functional (Rittenhouse </w:t>
      </w:r>
      <w:r w:rsidRPr="00A7058C">
        <w:rPr>
          <w:rFonts w:ascii="Arial" w:hAnsi="Arial" w:cs="Arial"/>
          <w:i/>
          <w:kern w:val="0"/>
          <w:lang w:val="en-GB"/>
          <w14:ligatures w14:val="none"/>
        </w:rPr>
        <w:t>et al.</w:t>
      </w:r>
      <w:r>
        <w:rPr>
          <w:rFonts w:ascii="Arial" w:hAnsi="Arial" w:cs="Arial"/>
          <w:kern w:val="0"/>
          <w:lang w:val="en-GB"/>
          <w14:ligatures w14:val="none"/>
        </w:rPr>
        <w:t>, 2025). The present study differs by using an operational FF cohort, an open-label pragmatic RCT design, and service-feasible outcomes directly relevant to CV strain and occupational performance. This improves ecological validity and translational relevance for FFs, but provides less internal control than placebo-controlled laboratory trials.</w:t>
      </w:r>
    </w:p>
    <w:p w14:paraId="6210EBB5" w14:textId="663720E4" w:rsidR="0096388C" w:rsidRDefault="00C95E3D" w:rsidP="00A37A7C">
      <w:pPr>
        <w:spacing w:before="100" w:beforeAutospacing="1" w:after="100" w:afterAutospacing="1" w:line="360" w:lineRule="auto"/>
        <w:rPr>
          <w:rFonts w:ascii="Arial" w:hAnsi="Arial" w:cs="Arial"/>
          <w:kern w:val="0"/>
          <w:lang w:val="en-GB"/>
          <w14:ligatures w14:val="none"/>
        </w:rPr>
      </w:pPr>
      <w:r>
        <w:rPr>
          <w:rFonts w:ascii="Arial" w:hAnsi="Arial" w:cs="Arial"/>
          <w:kern w:val="0"/>
          <w:lang w:val="en-GB"/>
          <w14:ligatures w14:val="none"/>
        </w:rPr>
        <w:t xml:space="preserve">This trade-off is important. Biomarker responses to O3 can be heterogeneous, and some studies report modest or non-significant changes in markers such as CRP despite </w:t>
      </w:r>
      <w:r>
        <w:rPr>
          <w:rFonts w:ascii="Arial" w:hAnsi="Arial" w:cs="Arial"/>
          <w:kern w:val="0"/>
          <w:lang w:val="en-GB"/>
          <w14:ligatures w14:val="none"/>
        </w:rPr>
        <w:lastRenderedPageBreak/>
        <w:t xml:space="preserve">supplementation, potentially reflecting baseline status, sampling timing, and duration (DiLorenzo </w:t>
      </w:r>
      <w:r w:rsidRPr="00A7058C">
        <w:rPr>
          <w:rFonts w:ascii="Arial" w:hAnsi="Arial" w:cs="Arial"/>
          <w:i/>
          <w:kern w:val="0"/>
          <w:lang w:val="en-GB"/>
          <w14:ligatures w14:val="none"/>
        </w:rPr>
        <w:t>et al.</w:t>
      </w:r>
      <w:r>
        <w:rPr>
          <w:rFonts w:ascii="Arial" w:hAnsi="Arial" w:cs="Arial"/>
          <w:kern w:val="0"/>
          <w:lang w:val="en-GB"/>
          <w14:ligatures w14:val="none"/>
        </w:rPr>
        <w:t xml:space="preserve">, 2014; Rittenhouse </w:t>
      </w:r>
      <w:r w:rsidRPr="00A7058C">
        <w:rPr>
          <w:rFonts w:ascii="Arial" w:hAnsi="Arial" w:cs="Arial"/>
          <w:i/>
          <w:kern w:val="0"/>
          <w:lang w:val="en-GB"/>
          <w14:ligatures w14:val="none"/>
        </w:rPr>
        <w:t>et al.</w:t>
      </w:r>
      <w:r>
        <w:rPr>
          <w:rFonts w:ascii="Arial" w:hAnsi="Arial" w:cs="Arial"/>
          <w:kern w:val="0"/>
          <w:lang w:val="en-GB"/>
          <w14:ligatures w14:val="none"/>
        </w:rPr>
        <w:t>, 2025). This supports evaluating O3 using both mechanistic markers and functional outcomes relevant to occupational populations, such as BP and HR responses during standardised work. In this context, the study showed functional changes in exercise HR strain during the CTT, but cannot confirm underlying biological pathways because biomarkers were not included.</w:t>
      </w:r>
    </w:p>
    <w:p w14:paraId="3683841D" w14:textId="755BFED3" w:rsidR="00C95E3D" w:rsidRDefault="00C95E3D" w:rsidP="00A37A7C">
      <w:pPr>
        <w:spacing w:before="100" w:beforeAutospacing="1" w:after="100" w:afterAutospacing="1" w:line="360" w:lineRule="auto"/>
        <w:rPr>
          <w:rFonts w:ascii="Arial" w:hAnsi="Arial" w:cs="Arial"/>
          <w:kern w:val="0"/>
          <w:lang w:val="en-GB"/>
          <w14:ligatures w14:val="none"/>
        </w:rPr>
      </w:pPr>
      <w:r>
        <w:rPr>
          <w:rFonts w:ascii="Arial" w:hAnsi="Arial" w:cs="Arial"/>
          <w:kern w:val="0"/>
          <w:lang w:val="en-GB"/>
          <w14:ligatures w14:val="none"/>
        </w:rPr>
        <w:t xml:space="preserve">The measurement approach also influences interpretation. Resting HR and BP were derived from the mean of four daily means, each based on averaged morning and evening readings, likely improving stability and reducing random noise relative to single-point measures. This is particularly relevant in FFs, where shift patterns and acute occupational stress can influence resting CV measures (Gledhill and Jamnik, 1992; MacNeal </w:t>
      </w:r>
      <w:r w:rsidRPr="00A7058C">
        <w:rPr>
          <w:rFonts w:ascii="Arial" w:hAnsi="Arial" w:cs="Arial"/>
          <w:i/>
          <w:kern w:val="0"/>
          <w:lang w:val="en-GB"/>
          <w14:ligatures w14:val="none"/>
        </w:rPr>
        <w:t>et al.</w:t>
      </w:r>
      <w:r>
        <w:rPr>
          <w:rFonts w:ascii="Arial" w:hAnsi="Arial" w:cs="Arial"/>
          <w:kern w:val="0"/>
          <w:lang w:val="en-GB"/>
          <w14:ligatures w14:val="none"/>
        </w:rPr>
        <w:t xml:space="preserve">, 2016). Use of the CTT aligns with UK practice, where occupational aerobic benchmarks are often operationalised using the CTT to provide a service-feasible estimate of aerobic fitness and quantify HR strain under standardised submaximal workload (Barr </w:t>
      </w:r>
      <w:r w:rsidRPr="00A7058C">
        <w:rPr>
          <w:rFonts w:ascii="Arial" w:hAnsi="Arial" w:cs="Arial"/>
          <w:i/>
          <w:kern w:val="0"/>
          <w:lang w:val="en-GB"/>
          <w14:ligatures w14:val="none"/>
        </w:rPr>
        <w:t>et al.</w:t>
      </w:r>
      <w:r>
        <w:rPr>
          <w:rFonts w:ascii="Arial" w:hAnsi="Arial" w:cs="Arial"/>
          <w:kern w:val="0"/>
          <w:lang w:val="en-GB"/>
          <w14:ligatures w14:val="none"/>
        </w:rPr>
        <w:t xml:space="preserve">, 2010). Occupational task distributions further indicate that most firefighting work is performed at submaximal intensities, supporting relevance of submaximal testing and HR strain outcomes for evaluating occupational readiness (Gledhill and Jamnik, 1992; Tierney </w:t>
      </w:r>
      <w:r w:rsidRPr="00A7058C">
        <w:rPr>
          <w:rFonts w:ascii="Arial" w:hAnsi="Arial" w:cs="Arial"/>
          <w:i/>
          <w:kern w:val="0"/>
          <w:lang w:val="en-GB"/>
          <w14:ligatures w14:val="none"/>
        </w:rPr>
        <w:t>et al.</w:t>
      </w:r>
      <w:r>
        <w:rPr>
          <w:rFonts w:ascii="Arial" w:hAnsi="Arial" w:cs="Arial"/>
          <w:kern w:val="0"/>
          <w:lang w:val="en-GB"/>
          <w14:ligatures w14:val="none"/>
        </w:rPr>
        <w:t xml:space="preserve">, 2010; Windisch </w:t>
      </w:r>
      <w:r w:rsidRPr="00A7058C">
        <w:rPr>
          <w:rFonts w:ascii="Arial" w:hAnsi="Arial" w:cs="Arial"/>
          <w:i/>
          <w:kern w:val="0"/>
          <w:lang w:val="en-GB"/>
          <w14:ligatures w14:val="none"/>
        </w:rPr>
        <w:t>et al.</w:t>
      </w:r>
      <w:r>
        <w:rPr>
          <w:rFonts w:ascii="Arial" w:hAnsi="Arial" w:cs="Arial"/>
          <w:kern w:val="0"/>
          <w:lang w:val="en-GB"/>
          <w14:ligatures w14:val="none"/>
        </w:rPr>
        <w:t>, 2017).</w:t>
      </w:r>
    </w:p>
    <w:p w14:paraId="6E700ED8" w14:textId="3E727727" w:rsidR="00C95E3D" w:rsidRDefault="00C95E3D" w:rsidP="00A37A7C">
      <w:pPr>
        <w:spacing w:before="100" w:beforeAutospacing="1" w:after="100" w:afterAutospacing="1" w:line="360" w:lineRule="auto"/>
        <w:rPr>
          <w:rFonts w:ascii="Arial" w:hAnsi="Arial" w:cs="Arial"/>
          <w:kern w:val="0"/>
          <w:lang w:val="en-GB"/>
          <w14:ligatures w14:val="none"/>
        </w:rPr>
      </w:pPr>
      <w:r>
        <w:rPr>
          <w:rFonts w:ascii="Arial" w:hAnsi="Arial" w:cs="Arial"/>
          <w:kern w:val="0"/>
          <w:lang w:val="en-GB"/>
          <w14:ligatures w14:val="none"/>
        </w:rPr>
        <w:t>Intervention dosage and duration also frame interpretation. Evidence suggests 2–3 g/day EPA+DHA represents a plausible intake range for BP and CV effects, while shorter interventions may produce null findings for some haemodynamic outcomes (</w:t>
      </w:r>
      <w:proofErr w:type="spellStart"/>
      <w:r>
        <w:rPr>
          <w:rFonts w:ascii="Arial" w:hAnsi="Arial" w:cs="Arial"/>
          <w:kern w:val="0"/>
          <w:lang w:val="en-GB"/>
          <w14:ligatures w14:val="none"/>
        </w:rPr>
        <w:t>Micallef</w:t>
      </w:r>
      <w:proofErr w:type="spellEnd"/>
      <w:r>
        <w:rPr>
          <w:rFonts w:ascii="Arial" w:hAnsi="Arial" w:cs="Arial"/>
          <w:kern w:val="0"/>
          <w:lang w:val="en-GB"/>
          <w14:ligatures w14:val="none"/>
        </w:rPr>
        <w:t xml:space="preserve"> and </w:t>
      </w:r>
      <w:proofErr w:type="spellStart"/>
      <w:r>
        <w:rPr>
          <w:rFonts w:ascii="Arial" w:hAnsi="Arial" w:cs="Arial"/>
          <w:kern w:val="0"/>
          <w:lang w:val="en-GB"/>
          <w14:ligatures w14:val="none"/>
        </w:rPr>
        <w:t>Garg</w:t>
      </w:r>
      <w:proofErr w:type="spellEnd"/>
      <w:r>
        <w:rPr>
          <w:rFonts w:ascii="Arial" w:hAnsi="Arial" w:cs="Arial"/>
          <w:kern w:val="0"/>
          <w:lang w:val="en-GB"/>
          <w14:ligatures w14:val="none"/>
        </w:rPr>
        <w:t xml:space="preserve">, 2009; Zhang </w:t>
      </w:r>
      <w:r w:rsidRPr="00A7058C">
        <w:rPr>
          <w:rFonts w:ascii="Arial" w:hAnsi="Arial" w:cs="Arial"/>
          <w:i/>
          <w:kern w:val="0"/>
          <w:lang w:val="en-GB"/>
          <w14:ligatures w14:val="none"/>
        </w:rPr>
        <w:t>et al.</w:t>
      </w:r>
      <w:r>
        <w:rPr>
          <w:rFonts w:ascii="Arial" w:hAnsi="Arial" w:cs="Arial"/>
          <w:kern w:val="0"/>
          <w:lang w:val="en-GB"/>
          <w14:ligatures w14:val="none"/>
        </w:rPr>
        <w:t xml:space="preserve">, 2022). Protocol differences in dose, duration, and EPA:DHA ratio also contribute to variable findings across trials (Rittenhouse </w:t>
      </w:r>
      <w:r w:rsidRPr="00A7058C">
        <w:rPr>
          <w:rFonts w:ascii="Arial" w:hAnsi="Arial" w:cs="Arial"/>
          <w:i/>
          <w:kern w:val="0"/>
          <w:lang w:val="en-GB"/>
          <w14:ligatures w14:val="none"/>
        </w:rPr>
        <w:t>et al.</w:t>
      </w:r>
      <w:r>
        <w:rPr>
          <w:rFonts w:ascii="Arial" w:hAnsi="Arial" w:cs="Arial"/>
          <w:kern w:val="0"/>
          <w:lang w:val="en-GB"/>
          <w14:ligatures w14:val="none"/>
        </w:rPr>
        <w:t>, 2025). The present study used 3 g/day (1700 mg EPA</w:t>
      </w:r>
      <w:r w:rsidR="005A0054">
        <w:rPr>
          <w:rFonts w:ascii="Arial" w:hAnsi="Arial" w:cs="Arial"/>
          <w:kern w:val="0"/>
          <w:lang w:val="en-GB"/>
          <w14:ligatures w14:val="none"/>
        </w:rPr>
        <w:t>+</w:t>
      </w:r>
      <w:r>
        <w:rPr>
          <w:rFonts w:ascii="Arial" w:hAnsi="Arial" w:cs="Arial"/>
          <w:kern w:val="0"/>
          <w:lang w:val="en-GB"/>
          <w14:ligatures w14:val="none"/>
        </w:rPr>
        <w:t>1300 mg DHA) for eight weeks, which appeared sufficient to generate a clear signal in exercise HR strain outcomes, but may not have been sufficient, in a small heterogeneous operational cohort, to produce statistically robust changes across all measures. This interpretation is more consistent with the heterogeneous evidence base than assuming a uniform response across HR and BP endpoints.</w:t>
      </w:r>
    </w:p>
    <w:p w14:paraId="1779AC95" w14:textId="595EDFEA" w:rsidR="00C95E3D" w:rsidRDefault="00C95E3D" w:rsidP="00A37A7C">
      <w:pPr>
        <w:pStyle w:val="Heading2"/>
        <w:spacing w:line="360" w:lineRule="auto"/>
        <w:rPr>
          <w:rFonts w:eastAsia="Times New Roman"/>
          <w:lang w:val="en-GB"/>
        </w:rPr>
      </w:pPr>
      <w:bookmarkStart w:id="73" w:name="_Toc228218309"/>
      <w:r>
        <w:rPr>
          <w:rFonts w:eastAsia="Times New Roman"/>
          <w:lang w:val="en-GB"/>
        </w:rPr>
        <w:lastRenderedPageBreak/>
        <w:t>5.</w:t>
      </w:r>
      <w:r w:rsidR="008E2B8D">
        <w:rPr>
          <w:rFonts w:eastAsia="Times New Roman"/>
          <w:lang w:val="en-GB"/>
        </w:rPr>
        <w:t>6</w:t>
      </w:r>
      <w:r>
        <w:rPr>
          <w:rFonts w:eastAsia="Times New Roman"/>
          <w:lang w:val="en-GB"/>
        </w:rPr>
        <w:t xml:space="preserve"> Methodological strengths and limitations</w:t>
      </w:r>
      <w:bookmarkEnd w:id="73"/>
    </w:p>
    <w:p w14:paraId="31DE9BCF" w14:textId="77777777" w:rsidR="00C95E3D" w:rsidRDefault="00C95E3D" w:rsidP="00A37A7C">
      <w:pPr>
        <w:spacing w:before="100" w:beforeAutospacing="1" w:after="100" w:afterAutospacing="1" w:line="360" w:lineRule="auto"/>
        <w:rPr>
          <w:rFonts w:ascii="Arial" w:eastAsiaTheme="minorEastAsia" w:hAnsi="Arial" w:cs="Arial"/>
          <w:kern w:val="0"/>
          <w:lang w:val="en-GB"/>
          <w14:ligatures w14:val="none"/>
        </w:rPr>
      </w:pPr>
    </w:p>
    <w:p w14:paraId="1F2FEB42" w14:textId="47FA05AB" w:rsidR="00C95E3D" w:rsidRDefault="00C95E3D" w:rsidP="00A37A7C">
      <w:pPr>
        <w:spacing w:before="100" w:beforeAutospacing="1" w:after="100" w:afterAutospacing="1" w:line="360" w:lineRule="auto"/>
        <w:rPr>
          <w:rFonts w:ascii="Arial" w:hAnsi="Arial" w:cs="Arial"/>
          <w:kern w:val="0"/>
          <w:lang w:val="en-GB"/>
          <w14:ligatures w14:val="none"/>
        </w:rPr>
      </w:pPr>
      <w:r>
        <w:rPr>
          <w:rFonts w:ascii="Arial" w:hAnsi="Arial" w:cs="Arial"/>
          <w:kern w:val="0"/>
          <w:lang w:val="en-GB"/>
          <w14:ligatures w14:val="none"/>
        </w:rPr>
        <w:t>Several strengths support confidence in the applied relevance of the findings. First, the study used a firefighter-specific randomised intervention design with operational participants and standardised testing protocols, strengthening population relevance and ecological validity (Sections 3.4–3.7). Second, there were no dropouts and no missing outcome data, supporting feasibility and internal consistency in an operational setting (Section 3.9). Third, the statistical approach was appropriate for a repeated-measures design, examining time, group, and time × group effects, with simple main effects used to clarify within- and between-group changes (Section 3.9). In addition, repeated resting measurements likely improved stability of RHR and BP estimates compared with single-point measures, particularly relevant in shift-working cohorts (Section 3.7).</w:t>
      </w:r>
    </w:p>
    <w:p w14:paraId="0C611720" w14:textId="77777777" w:rsidR="00C95E3D" w:rsidRDefault="00C95E3D" w:rsidP="00A37A7C">
      <w:pPr>
        <w:spacing w:before="100" w:beforeAutospacing="1" w:after="100" w:afterAutospacing="1" w:line="360" w:lineRule="auto"/>
        <w:rPr>
          <w:rFonts w:ascii="Arial" w:hAnsi="Arial" w:cs="Arial"/>
          <w:kern w:val="0"/>
          <w:lang w:val="en-GB"/>
          <w14:ligatures w14:val="none"/>
        </w:rPr>
      </w:pPr>
      <w:r>
        <w:rPr>
          <w:rFonts w:ascii="Arial" w:hAnsi="Arial" w:cs="Arial"/>
          <w:kern w:val="0"/>
          <w:lang w:val="en-GB"/>
          <w14:ligatures w14:val="none"/>
        </w:rPr>
        <w:t>Limitations remain The sample size was small (n = 20; 10 per group), limiting statistical power and increasing uncertainty around effect estimates, particularly for outcomes expected to change modestly, such as AveRHR and DBP. The open-label design without placebo increases potential for expectancy effects or subtle behavioural change, although outcomes were objective physiological measures and participants were instructed to maintain habitual diet, training, and lifestyle patterns (Sections 3.4 and 3.6). The absence of biomarkers such as O3I, inflammatory markers, endothelial function measures, or autonomic markers limits mechanistic interpretation and prevents confirmation of biological uptake beyond adherence logs and capsule return (Section 3.6). Finally, the eight-week duration may have been sufficient to detect changes in functional CV strain outcomes but insufficient to produce statistically robust changes across all resting haemodynamic markers in a heterogeneous operational cohort.</w:t>
      </w:r>
    </w:p>
    <w:p w14:paraId="03C0D96E" w14:textId="77777777" w:rsidR="00C95E3D" w:rsidRDefault="00C95E3D" w:rsidP="00A37A7C">
      <w:pPr>
        <w:spacing w:before="100" w:beforeAutospacing="1" w:after="100" w:afterAutospacing="1" w:line="360" w:lineRule="auto"/>
        <w:rPr>
          <w:rFonts w:ascii="Arial" w:hAnsi="Arial" w:cs="Arial"/>
          <w:kern w:val="0"/>
          <w:lang w:val="en-GB"/>
          <w14:ligatures w14:val="none"/>
        </w:rPr>
      </w:pPr>
      <w:r>
        <w:rPr>
          <w:rFonts w:ascii="Arial" w:hAnsi="Arial" w:cs="Arial"/>
          <w:kern w:val="0"/>
          <w:lang w:val="en-GB"/>
          <w14:ligatures w14:val="none"/>
        </w:rPr>
        <w:t>Findings are best interpreted as preliminary FF-specific evidence, with clear rationale for replication using larger samples, longer follow-up, and biomarker-supported uptake assessment.</w:t>
      </w:r>
    </w:p>
    <w:p w14:paraId="04314447" w14:textId="36B30AE7" w:rsidR="00C95E3D" w:rsidRDefault="00C95E3D" w:rsidP="00A37A7C">
      <w:pPr>
        <w:pStyle w:val="Heading2"/>
        <w:spacing w:line="360" w:lineRule="auto"/>
        <w:rPr>
          <w:rFonts w:eastAsia="Times New Roman"/>
          <w:lang w:val="en-GB"/>
        </w:rPr>
      </w:pPr>
      <w:bookmarkStart w:id="74" w:name="_Toc228218310"/>
      <w:r>
        <w:rPr>
          <w:rFonts w:eastAsia="Times New Roman"/>
          <w:lang w:val="en-GB"/>
        </w:rPr>
        <w:lastRenderedPageBreak/>
        <w:t>5.</w:t>
      </w:r>
      <w:r w:rsidR="008E2B8D">
        <w:rPr>
          <w:rFonts w:eastAsia="Times New Roman"/>
          <w:lang w:val="en-GB"/>
        </w:rPr>
        <w:t>7</w:t>
      </w:r>
      <w:r>
        <w:rPr>
          <w:rFonts w:eastAsia="Times New Roman"/>
          <w:lang w:val="en-GB"/>
        </w:rPr>
        <w:t xml:space="preserve"> Practical implications for FFs as tactical athletes</w:t>
      </w:r>
      <w:bookmarkEnd w:id="74"/>
    </w:p>
    <w:p w14:paraId="7114FC48" w14:textId="77777777" w:rsidR="00C95E3D" w:rsidRDefault="00C95E3D" w:rsidP="00A37A7C">
      <w:pPr>
        <w:spacing w:before="100" w:beforeAutospacing="1" w:after="100" w:afterAutospacing="1" w:line="360" w:lineRule="auto"/>
        <w:rPr>
          <w:rFonts w:ascii="Arial" w:eastAsiaTheme="minorEastAsia" w:hAnsi="Arial" w:cs="Arial"/>
          <w:kern w:val="0"/>
          <w:lang w:val="en-GB"/>
          <w14:ligatures w14:val="none"/>
        </w:rPr>
      </w:pPr>
    </w:p>
    <w:p w14:paraId="43249D11" w14:textId="100D82C4" w:rsidR="00C95E3D" w:rsidRDefault="00C95E3D" w:rsidP="00A37A7C">
      <w:pPr>
        <w:spacing w:before="100" w:beforeAutospacing="1" w:after="100" w:afterAutospacing="1" w:line="360" w:lineRule="auto"/>
        <w:rPr>
          <w:rFonts w:ascii="Arial" w:hAnsi="Arial" w:cs="Arial"/>
          <w:kern w:val="0"/>
          <w:lang w:val="en-GB"/>
          <w14:ligatures w14:val="none"/>
        </w:rPr>
      </w:pPr>
      <w:r>
        <w:rPr>
          <w:rFonts w:ascii="Arial" w:hAnsi="Arial" w:cs="Arial"/>
          <w:kern w:val="0"/>
          <w:lang w:val="en-GB"/>
          <w14:ligatures w14:val="none"/>
        </w:rPr>
        <w:t xml:space="preserve">The practical implications are strongest for exercise CV strain. Reductions in CTTAveHR and CTTEndHR in the O3-group suggest O3 supplementation may improve CV responses to a standardised </w:t>
      </w:r>
      <w:proofErr w:type="spellStart"/>
      <w:r>
        <w:rPr>
          <w:rFonts w:ascii="Arial" w:hAnsi="Arial" w:cs="Arial"/>
          <w:kern w:val="0"/>
          <w:lang w:val="en-GB"/>
          <w14:ligatures w14:val="none"/>
        </w:rPr>
        <w:t>exertional</w:t>
      </w:r>
      <w:proofErr w:type="spellEnd"/>
      <w:r>
        <w:rPr>
          <w:rFonts w:ascii="Arial" w:hAnsi="Arial" w:cs="Arial"/>
          <w:kern w:val="0"/>
          <w:lang w:val="en-GB"/>
          <w14:ligatures w14:val="none"/>
        </w:rPr>
        <w:t xml:space="preserve"> task (Tables 4.8–4.9; Figures 4.4–4.5). This is likely relevant to FF work requiring repeated task performance under elevated physiological load, where simulated and live task data show sustained CV strain and HR responses approaching high percentages of MaxHR, particularly under heat, smoke, restricted visibility, and psychological stress (Barnard and Duncan, 1975; Sothman </w:t>
      </w:r>
      <w:r w:rsidRPr="00A7058C">
        <w:rPr>
          <w:rFonts w:ascii="Arial" w:hAnsi="Arial" w:cs="Arial"/>
          <w:i/>
          <w:kern w:val="0"/>
          <w:lang w:val="en-GB"/>
          <w14:ligatures w14:val="none"/>
        </w:rPr>
        <w:t>et al.</w:t>
      </w:r>
      <w:r>
        <w:rPr>
          <w:rFonts w:ascii="Arial" w:hAnsi="Arial" w:cs="Arial"/>
          <w:kern w:val="0"/>
          <w:lang w:val="en-GB"/>
          <w14:ligatures w14:val="none"/>
        </w:rPr>
        <w:t xml:space="preserve">, 1992; Windisch </w:t>
      </w:r>
      <w:r w:rsidRPr="00A7058C">
        <w:rPr>
          <w:rFonts w:ascii="Arial" w:hAnsi="Arial" w:cs="Arial"/>
          <w:i/>
          <w:kern w:val="0"/>
          <w:lang w:val="en-GB"/>
          <w14:ligatures w14:val="none"/>
        </w:rPr>
        <w:t>et al.</w:t>
      </w:r>
      <w:r>
        <w:rPr>
          <w:rFonts w:ascii="Arial" w:hAnsi="Arial" w:cs="Arial"/>
          <w:kern w:val="0"/>
          <w:lang w:val="en-GB"/>
          <w14:ligatures w14:val="none"/>
        </w:rPr>
        <w:t xml:space="preserve">, 2017). In practical terms, lower HR responses during standardised submaximal work may indicate improved CV efficiency or reduced CV strain for a given workload, aligning with a tactical-athlete framework in which performance longevity and repeated readiness are central (Scofield and Kardouni, 2015; Barnhart, 2018; Gonzalez </w:t>
      </w:r>
      <w:r w:rsidRPr="00A7058C">
        <w:rPr>
          <w:rFonts w:ascii="Arial" w:hAnsi="Arial" w:cs="Arial"/>
          <w:i/>
          <w:kern w:val="0"/>
          <w:lang w:val="en-GB"/>
          <w14:ligatures w14:val="none"/>
        </w:rPr>
        <w:t>et al.</w:t>
      </w:r>
      <w:r>
        <w:rPr>
          <w:rFonts w:ascii="Arial" w:hAnsi="Arial" w:cs="Arial"/>
          <w:kern w:val="0"/>
          <w:lang w:val="en-GB"/>
          <w14:ligatures w14:val="none"/>
        </w:rPr>
        <w:t xml:space="preserve">, 2022; </w:t>
      </w:r>
      <w:r w:rsidR="00D65013">
        <w:rPr>
          <w:rFonts w:ascii="Arial" w:hAnsi="Arial" w:cs="Arial"/>
          <w:kern w:val="0"/>
          <w:lang w:val="en-GB"/>
          <w14:ligatures w14:val="none"/>
        </w:rPr>
        <w:t>2024</w:t>
      </w:r>
      <w:r>
        <w:rPr>
          <w:rFonts w:ascii="Arial" w:hAnsi="Arial" w:cs="Arial"/>
          <w:kern w:val="0"/>
          <w:lang w:val="en-GB"/>
          <w14:ligatures w14:val="none"/>
        </w:rPr>
        <w:t xml:space="preserve">; Romero and Alvar, 2021). Occupational evidence further indicates that sustained submaximal work with elevated HR is a defining feature of FF activity, with ~90% of tasks performed at submaximal intensities, supporting strategies that reduce physiological strain during prolonged work rather than maximal capacity alone (Gledhill and Jamnik, 1992; Tierney </w:t>
      </w:r>
      <w:r w:rsidRPr="00A7058C">
        <w:rPr>
          <w:rFonts w:ascii="Arial" w:hAnsi="Arial" w:cs="Arial"/>
          <w:i/>
          <w:kern w:val="0"/>
          <w:lang w:val="en-GB"/>
          <w14:ligatures w14:val="none"/>
        </w:rPr>
        <w:t>et al.</w:t>
      </w:r>
      <w:r>
        <w:rPr>
          <w:rFonts w:ascii="Arial" w:hAnsi="Arial" w:cs="Arial"/>
          <w:kern w:val="0"/>
          <w:lang w:val="en-GB"/>
          <w14:ligatures w14:val="none"/>
        </w:rPr>
        <w:t xml:space="preserve">, 2010; Barr </w:t>
      </w:r>
      <w:r w:rsidRPr="00A7058C">
        <w:rPr>
          <w:rFonts w:ascii="Arial" w:hAnsi="Arial" w:cs="Arial"/>
          <w:i/>
          <w:kern w:val="0"/>
          <w:lang w:val="en-GB"/>
          <w14:ligatures w14:val="none"/>
        </w:rPr>
        <w:t>et al.</w:t>
      </w:r>
      <w:r>
        <w:rPr>
          <w:rFonts w:ascii="Arial" w:hAnsi="Arial" w:cs="Arial"/>
          <w:kern w:val="0"/>
          <w:lang w:val="en-GB"/>
          <w14:ligatures w14:val="none"/>
        </w:rPr>
        <w:t xml:space="preserve">, 2010). Across a career, recurring stress responses and cumulative exposures may also contribute to progressive physiological strain and reduced performance longevity, consistent with AL frameworks (McEwen and Stellar, 1993; McEwen, 1998; Smith, 2011; Gonzalez </w:t>
      </w:r>
      <w:r w:rsidRPr="00A7058C">
        <w:rPr>
          <w:rFonts w:ascii="Arial" w:hAnsi="Arial" w:cs="Arial"/>
          <w:i/>
          <w:kern w:val="0"/>
          <w:lang w:val="en-GB"/>
          <w14:ligatures w14:val="none"/>
        </w:rPr>
        <w:t>et al.</w:t>
      </w:r>
      <w:r>
        <w:rPr>
          <w:rFonts w:ascii="Arial" w:hAnsi="Arial" w:cs="Arial"/>
          <w:kern w:val="0"/>
          <w:lang w:val="en-GB"/>
          <w14:ligatures w14:val="none"/>
        </w:rPr>
        <w:t xml:space="preserve">, </w:t>
      </w:r>
      <w:r w:rsidR="00D65013">
        <w:rPr>
          <w:rFonts w:ascii="Arial" w:hAnsi="Arial" w:cs="Arial"/>
          <w:kern w:val="0"/>
          <w:lang w:val="en-GB"/>
          <w14:ligatures w14:val="none"/>
        </w:rPr>
        <w:t>2024</w:t>
      </w:r>
      <w:r>
        <w:rPr>
          <w:rFonts w:ascii="Arial" w:hAnsi="Arial" w:cs="Arial"/>
          <w:kern w:val="0"/>
          <w:lang w:val="en-GB"/>
          <w14:ligatures w14:val="none"/>
        </w:rPr>
        <w:t xml:space="preserve">; Xu </w:t>
      </w:r>
      <w:r w:rsidRPr="00A7058C">
        <w:rPr>
          <w:rFonts w:ascii="Arial" w:hAnsi="Arial" w:cs="Arial"/>
          <w:i/>
          <w:kern w:val="0"/>
          <w:lang w:val="en-GB"/>
          <w14:ligatures w14:val="none"/>
        </w:rPr>
        <w:t>et al.</w:t>
      </w:r>
      <w:r>
        <w:rPr>
          <w:rFonts w:ascii="Arial" w:hAnsi="Arial" w:cs="Arial"/>
          <w:kern w:val="0"/>
          <w:lang w:val="en-GB"/>
          <w14:ligatures w14:val="none"/>
        </w:rPr>
        <w:t>, 2024; Lye and Lee, 2025).</w:t>
      </w:r>
    </w:p>
    <w:p w14:paraId="1C0FD704" w14:textId="2A5FA58B" w:rsidR="00C95E3D" w:rsidRDefault="00C95E3D" w:rsidP="00A37A7C">
      <w:pPr>
        <w:spacing w:before="100" w:beforeAutospacing="1" w:after="100" w:afterAutospacing="1" w:line="360" w:lineRule="auto"/>
        <w:rPr>
          <w:rFonts w:ascii="Arial" w:hAnsi="Arial" w:cs="Arial"/>
          <w:kern w:val="0"/>
          <w:lang w:val="en-GB"/>
          <w14:ligatures w14:val="none"/>
        </w:rPr>
      </w:pPr>
      <w:r>
        <w:rPr>
          <w:rFonts w:ascii="Arial" w:hAnsi="Arial" w:cs="Arial"/>
          <w:kern w:val="0"/>
          <w:lang w:val="en-GB"/>
          <w14:ligatures w14:val="none"/>
        </w:rPr>
        <w:t xml:space="preserve">At the same time, findings do not support positioning O3 as a standalone solution. Baseline dietary analysis identified shortfalls relevant to CV strain and recovery capacity, including low carbohydrate relative to performance guidance, low potassium and magnesium, low vitamin D, low fluid intake (~1618 ± 547 ml/day), and low zinc (Table 4.3). Similar patterns have been reported in FF cohorts, suggesting under-fuelling and micronutrient shortfalls may recur under shift and operational constraints (Dempsey </w:t>
      </w:r>
      <w:r w:rsidRPr="00A7058C">
        <w:rPr>
          <w:rFonts w:ascii="Arial" w:hAnsi="Arial" w:cs="Arial"/>
          <w:i/>
          <w:kern w:val="0"/>
          <w:lang w:val="en-GB"/>
          <w14:ligatures w14:val="none"/>
        </w:rPr>
        <w:t>et al.</w:t>
      </w:r>
      <w:r>
        <w:rPr>
          <w:rFonts w:ascii="Arial" w:hAnsi="Arial" w:cs="Arial"/>
          <w:kern w:val="0"/>
          <w:lang w:val="en-GB"/>
          <w14:ligatures w14:val="none"/>
        </w:rPr>
        <w:t xml:space="preserve">, 2023; Heilson </w:t>
      </w:r>
      <w:r w:rsidRPr="00A7058C">
        <w:rPr>
          <w:rFonts w:ascii="Arial" w:hAnsi="Arial" w:cs="Arial"/>
          <w:i/>
          <w:kern w:val="0"/>
          <w:lang w:val="en-GB"/>
          <w14:ligatures w14:val="none"/>
        </w:rPr>
        <w:t>et al.</w:t>
      </w:r>
      <w:r>
        <w:rPr>
          <w:rFonts w:ascii="Arial" w:hAnsi="Arial" w:cs="Arial"/>
          <w:kern w:val="0"/>
          <w:lang w:val="en-GB"/>
          <w14:ligatures w14:val="none"/>
        </w:rPr>
        <w:t xml:space="preserve">, 2025). In environments characterised by extreme </w:t>
      </w:r>
      <w:r>
        <w:rPr>
          <w:rFonts w:ascii="Arial" w:hAnsi="Arial" w:cs="Arial"/>
          <w:kern w:val="0"/>
          <w:lang w:val="en-GB"/>
          <w14:ligatures w14:val="none"/>
        </w:rPr>
        <w:lastRenderedPageBreak/>
        <w:t xml:space="preserve">heat and hazard exposure, impaired thermoregulation and elevated metabolic demand increase CV strain, degrade performance, and contribute to repeated physiological stress (Louhevaara </w:t>
      </w:r>
      <w:r w:rsidRPr="00A7058C">
        <w:rPr>
          <w:rFonts w:ascii="Arial" w:hAnsi="Arial" w:cs="Arial"/>
          <w:i/>
          <w:kern w:val="0"/>
          <w:lang w:val="en-GB"/>
          <w14:ligatures w14:val="none"/>
        </w:rPr>
        <w:t>et al.</w:t>
      </w:r>
      <w:r>
        <w:rPr>
          <w:rFonts w:ascii="Arial" w:hAnsi="Arial" w:cs="Arial"/>
          <w:kern w:val="0"/>
          <w:lang w:val="en-GB"/>
          <w14:ligatures w14:val="none"/>
        </w:rPr>
        <w:t xml:space="preserve">, 1984; 1985; Eves </w:t>
      </w:r>
      <w:r w:rsidRPr="00A7058C">
        <w:rPr>
          <w:rFonts w:ascii="Arial" w:hAnsi="Arial" w:cs="Arial"/>
          <w:i/>
          <w:kern w:val="0"/>
          <w:lang w:val="en-GB"/>
          <w14:ligatures w14:val="none"/>
        </w:rPr>
        <w:t>et al.</w:t>
      </w:r>
      <w:r>
        <w:rPr>
          <w:rFonts w:ascii="Arial" w:hAnsi="Arial" w:cs="Arial"/>
          <w:kern w:val="0"/>
          <w:lang w:val="en-GB"/>
          <w14:ligatures w14:val="none"/>
        </w:rPr>
        <w:t xml:space="preserve">, 2005; Horn </w:t>
      </w:r>
      <w:r w:rsidRPr="00A7058C">
        <w:rPr>
          <w:rFonts w:ascii="Arial" w:hAnsi="Arial" w:cs="Arial"/>
          <w:i/>
          <w:kern w:val="0"/>
          <w:lang w:val="en-GB"/>
          <w14:ligatures w14:val="none"/>
        </w:rPr>
        <w:t>et al.</w:t>
      </w:r>
      <w:r>
        <w:rPr>
          <w:rFonts w:ascii="Arial" w:hAnsi="Arial" w:cs="Arial"/>
          <w:kern w:val="0"/>
          <w:lang w:val="en-GB"/>
          <w14:ligatures w14:val="none"/>
        </w:rPr>
        <w:t xml:space="preserve">, 2013; Lee </w:t>
      </w:r>
      <w:r w:rsidRPr="00A7058C">
        <w:rPr>
          <w:rFonts w:ascii="Arial" w:hAnsi="Arial" w:cs="Arial"/>
          <w:i/>
          <w:kern w:val="0"/>
          <w:lang w:val="en-GB"/>
          <w14:ligatures w14:val="none"/>
        </w:rPr>
        <w:t>et al.</w:t>
      </w:r>
      <w:r>
        <w:rPr>
          <w:rFonts w:ascii="Arial" w:hAnsi="Arial" w:cs="Arial"/>
          <w:kern w:val="0"/>
          <w:lang w:val="en-GB"/>
          <w14:ligatures w14:val="none"/>
        </w:rPr>
        <w:t xml:space="preserve">, 2013; </w:t>
      </w:r>
      <w:proofErr w:type="spellStart"/>
      <w:r>
        <w:rPr>
          <w:rFonts w:ascii="Arial" w:hAnsi="Arial" w:cs="Arial"/>
          <w:kern w:val="0"/>
          <w:lang w:val="en-GB"/>
          <w14:ligatures w14:val="none"/>
        </w:rPr>
        <w:t>Baran</w:t>
      </w:r>
      <w:proofErr w:type="spellEnd"/>
      <w:r>
        <w:rPr>
          <w:rFonts w:ascii="Arial" w:hAnsi="Arial" w:cs="Arial"/>
          <w:kern w:val="0"/>
          <w:lang w:val="en-GB"/>
          <w14:ligatures w14:val="none"/>
        </w:rPr>
        <w:t xml:space="preserve"> </w:t>
      </w:r>
      <w:r w:rsidRPr="00A7058C">
        <w:rPr>
          <w:rFonts w:ascii="Arial" w:hAnsi="Arial" w:cs="Arial"/>
          <w:i/>
          <w:kern w:val="0"/>
          <w:lang w:val="en-GB"/>
          <w14:ligatures w14:val="none"/>
        </w:rPr>
        <w:t>et al.</w:t>
      </w:r>
      <w:r>
        <w:rPr>
          <w:rFonts w:ascii="Arial" w:hAnsi="Arial" w:cs="Arial"/>
          <w:kern w:val="0"/>
          <w:lang w:val="en-GB"/>
          <w14:ligatures w14:val="none"/>
        </w:rPr>
        <w:t xml:space="preserve">, 2018; Smith </w:t>
      </w:r>
      <w:r w:rsidRPr="00A7058C">
        <w:rPr>
          <w:rFonts w:ascii="Arial" w:hAnsi="Arial" w:cs="Arial"/>
          <w:i/>
          <w:kern w:val="0"/>
          <w:lang w:val="en-GB"/>
          <w14:ligatures w14:val="none"/>
        </w:rPr>
        <w:t>et al.</w:t>
      </w:r>
      <w:r>
        <w:rPr>
          <w:rFonts w:ascii="Arial" w:hAnsi="Arial" w:cs="Arial"/>
          <w:kern w:val="0"/>
          <w:lang w:val="en-GB"/>
          <w14:ligatures w14:val="none"/>
        </w:rPr>
        <w:t xml:space="preserve">, 2005; 2019; Gonzalez </w:t>
      </w:r>
      <w:r w:rsidRPr="00A7058C">
        <w:rPr>
          <w:rFonts w:ascii="Arial" w:hAnsi="Arial" w:cs="Arial"/>
          <w:i/>
          <w:kern w:val="0"/>
          <w:lang w:val="en-GB"/>
          <w14:ligatures w14:val="none"/>
        </w:rPr>
        <w:t>et al.</w:t>
      </w:r>
      <w:r>
        <w:rPr>
          <w:rFonts w:ascii="Arial" w:hAnsi="Arial" w:cs="Arial"/>
          <w:kern w:val="0"/>
          <w:lang w:val="en-GB"/>
          <w14:ligatures w14:val="none"/>
        </w:rPr>
        <w:t xml:space="preserve">, 2023a; 2024; Dos Santos </w:t>
      </w:r>
      <w:r w:rsidRPr="00A7058C">
        <w:rPr>
          <w:rFonts w:ascii="Arial" w:hAnsi="Arial" w:cs="Arial"/>
          <w:i/>
          <w:kern w:val="0"/>
          <w:lang w:val="en-GB"/>
          <w14:ligatures w14:val="none"/>
        </w:rPr>
        <w:t>et al.</w:t>
      </w:r>
      <w:r>
        <w:rPr>
          <w:rFonts w:ascii="Arial" w:hAnsi="Arial" w:cs="Arial"/>
          <w:kern w:val="0"/>
          <w:lang w:val="en-GB"/>
          <w14:ligatures w14:val="none"/>
        </w:rPr>
        <w:t xml:space="preserve">, 2025). Suboptimal hydration and electrolyte-related dietary patterns may therefore plausibly amplify CV strain during work bouts and compromise recovery, particularly during repeated incidents or extended heat exposure (Eves </w:t>
      </w:r>
      <w:r w:rsidRPr="00A7058C">
        <w:rPr>
          <w:rFonts w:ascii="Arial" w:hAnsi="Arial" w:cs="Arial"/>
          <w:i/>
          <w:kern w:val="0"/>
          <w:lang w:val="en-GB"/>
          <w14:ligatures w14:val="none"/>
        </w:rPr>
        <w:t>et al.</w:t>
      </w:r>
      <w:r>
        <w:rPr>
          <w:rFonts w:ascii="Arial" w:hAnsi="Arial" w:cs="Arial"/>
          <w:kern w:val="0"/>
          <w:lang w:val="en-GB"/>
          <w14:ligatures w14:val="none"/>
        </w:rPr>
        <w:t xml:space="preserve">, 2005; Gonzalez </w:t>
      </w:r>
      <w:r w:rsidRPr="00A7058C">
        <w:rPr>
          <w:rFonts w:ascii="Arial" w:hAnsi="Arial" w:cs="Arial"/>
          <w:i/>
          <w:kern w:val="0"/>
          <w:lang w:val="en-GB"/>
          <w14:ligatures w14:val="none"/>
        </w:rPr>
        <w:t>et al.</w:t>
      </w:r>
      <w:r>
        <w:rPr>
          <w:rFonts w:ascii="Arial" w:hAnsi="Arial" w:cs="Arial"/>
          <w:kern w:val="0"/>
          <w:lang w:val="en-GB"/>
          <w14:ligatures w14:val="none"/>
        </w:rPr>
        <w:t xml:space="preserve">, </w:t>
      </w:r>
      <w:r w:rsidR="00D65013">
        <w:rPr>
          <w:rFonts w:ascii="Arial" w:hAnsi="Arial" w:cs="Arial"/>
          <w:kern w:val="0"/>
          <w:lang w:val="en-GB"/>
          <w14:ligatures w14:val="none"/>
        </w:rPr>
        <w:t>2024</w:t>
      </w:r>
      <w:r>
        <w:rPr>
          <w:rFonts w:ascii="Arial" w:hAnsi="Arial" w:cs="Arial"/>
          <w:kern w:val="0"/>
          <w:lang w:val="en-GB"/>
          <w14:ligatures w14:val="none"/>
        </w:rPr>
        <w:t xml:space="preserve">). Accordingly, O3 is best positioned as an adjunct within a broader FF health and performance strategy integrating diet quality, fuelling and hydration, conditioning, recovery practices, and occupational health monitoring (Romero and Alvar, 2021; Gonzalez </w:t>
      </w:r>
      <w:r w:rsidRPr="00A7058C">
        <w:rPr>
          <w:rFonts w:ascii="Arial" w:hAnsi="Arial" w:cs="Arial"/>
          <w:i/>
          <w:kern w:val="0"/>
          <w:lang w:val="en-GB"/>
          <w14:ligatures w14:val="none"/>
        </w:rPr>
        <w:t>et al.</w:t>
      </w:r>
      <w:r>
        <w:rPr>
          <w:rFonts w:ascii="Arial" w:hAnsi="Arial" w:cs="Arial"/>
          <w:kern w:val="0"/>
          <w:lang w:val="en-GB"/>
          <w14:ligatures w14:val="none"/>
        </w:rPr>
        <w:t xml:space="preserve">, 2022; Xu </w:t>
      </w:r>
      <w:r w:rsidRPr="00A7058C">
        <w:rPr>
          <w:rFonts w:ascii="Arial" w:hAnsi="Arial" w:cs="Arial"/>
          <w:i/>
          <w:kern w:val="0"/>
          <w:lang w:val="en-GB"/>
          <w14:ligatures w14:val="none"/>
        </w:rPr>
        <w:t>et al.</w:t>
      </w:r>
      <w:r>
        <w:rPr>
          <w:rFonts w:ascii="Arial" w:hAnsi="Arial" w:cs="Arial"/>
          <w:kern w:val="0"/>
          <w:lang w:val="en-GB"/>
          <w14:ligatures w14:val="none"/>
        </w:rPr>
        <w:t>, 2024).</w:t>
      </w:r>
    </w:p>
    <w:p w14:paraId="26B86B14" w14:textId="77777777" w:rsidR="00C95E3D" w:rsidRDefault="00C95E3D" w:rsidP="00A37A7C">
      <w:pPr>
        <w:spacing w:before="100" w:beforeAutospacing="1" w:after="100" w:afterAutospacing="1" w:line="360" w:lineRule="auto"/>
        <w:rPr>
          <w:rFonts w:ascii="Arial" w:hAnsi="Arial" w:cs="Arial"/>
          <w:kern w:val="0"/>
          <w:lang w:val="en-GB"/>
          <w14:ligatures w14:val="none"/>
        </w:rPr>
      </w:pPr>
      <w:r>
        <w:rPr>
          <w:rFonts w:ascii="Arial" w:hAnsi="Arial" w:cs="Arial"/>
          <w:kern w:val="0"/>
          <w:lang w:val="en-GB"/>
          <w14:ligatures w14:val="none"/>
        </w:rPr>
        <w:t xml:space="preserve">A further applied contribution is feasibility. The protocol achieved full data completion with no dropouts and high compliance (&gt;95%) based on capsule return and logs, indicating that O3 supplementation and simple monitoring procedures were workable in an operational cohort. This matters because broader dietary interventions can be difficult to implement consistently under shift work and organisational constraints. Workplace programmes show Mediterranean-style dietary adherence can be improved in FFs, but cardiometabolic changes may be modest and typically require sustained behavioural support (Elliot </w:t>
      </w:r>
      <w:r w:rsidRPr="00A7058C">
        <w:rPr>
          <w:rFonts w:ascii="Arial" w:hAnsi="Arial" w:cs="Arial"/>
          <w:i/>
          <w:kern w:val="0"/>
          <w:lang w:val="en-GB"/>
          <w14:ligatures w14:val="none"/>
        </w:rPr>
        <w:t>et al.</w:t>
      </w:r>
      <w:r>
        <w:rPr>
          <w:rFonts w:ascii="Arial" w:hAnsi="Arial" w:cs="Arial"/>
          <w:kern w:val="0"/>
          <w:lang w:val="en-GB"/>
          <w14:ligatures w14:val="none"/>
        </w:rPr>
        <w:t xml:space="preserve">, 2007; </w:t>
      </w:r>
      <w:proofErr w:type="spellStart"/>
      <w:r>
        <w:rPr>
          <w:rFonts w:ascii="Arial" w:hAnsi="Arial" w:cs="Arial"/>
          <w:kern w:val="0"/>
          <w:lang w:val="en-GB"/>
          <w14:ligatures w14:val="none"/>
        </w:rPr>
        <w:t>Ranby</w:t>
      </w:r>
      <w:proofErr w:type="spellEnd"/>
      <w:r>
        <w:rPr>
          <w:rFonts w:ascii="Arial" w:hAnsi="Arial" w:cs="Arial"/>
          <w:kern w:val="0"/>
          <w:lang w:val="en-GB"/>
          <w14:ligatures w14:val="none"/>
        </w:rPr>
        <w:t xml:space="preserve"> </w:t>
      </w:r>
      <w:r w:rsidRPr="00A7058C">
        <w:rPr>
          <w:rFonts w:ascii="Arial" w:hAnsi="Arial" w:cs="Arial"/>
          <w:i/>
          <w:kern w:val="0"/>
          <w:lang w:val="en-GB"/>
          <w14:ligatures w14:val="none"/>
        </w:rPr>
        <w:t>et al.</w:t>
      </w:r>
      <w:r>
        <w:rPr>
          <w:rFonts w:ascii="Arial" w:hAnsi="Arial" w:cs="Arial"/>
          <w:kern w:val="0"/>
          <w:lang w:val="en-GB"/>
          <w14:ligatures w14:val="none"/>
        </w:rPr>
        <w:t xml:space="preserve">, 2011; Sotos-Prieto </w:t>
      </w:r>
      <w:r w:rsidRPr="00A7058C">
        <w:rPr>
          <w:rFonts w:ascii="Arial" w:hAnsi="Arial" w:cs="Arial"/>
          <w:i/>
          <w:kern w:val="0"/>
          <w:lang w:val="en-GB"/>
          <w14:ligatures w14:val="none"/>
        </w:rPr>
        <w:t>et al.</w:t>
      </w:r>
      <w:r>
        <w:rPr>
          <w:rFonts w:ascii="Arial" w:hAnsi="Arial" w:cs="Arial"/>
          <w:kern w:val="0"/>
          <w:lang w:val="en-GB"/>
          <w14:ligatures w14:val="none"/>
        </w:rPr>
        <w:t xml:space="preserve">, 2020; Hershey </w:t>
      </w:r>
      <w:r w:rsidRPr="00A7058C">
        <w:rPr>
          <w:rFonts w:ascii="Arial" w:hAnsi="Arial" w:cs="Arial"/>
          <w:i/>
          <w:kern w:val="0"/>
          <w:lang w:val="en-GB"/>
          <w14:ligatures w14:val="none"/>
        </w:rPr>
        <w:t>et al.</w:t>
      </w:r>
      <w:r>
        <w:rPr>
          <w:rFonts w:ascii="Arial" w:hAnsi="Arial" w:cs="Arial"/>
          <w:kern w:val="0"/>
          <w:lang w:val="en-GB"/>
          <w14:ligatures w14:val="none"/>
        </w:rPr>
        <w:t xml:space="preserve">, 2023). Achieving consistent EPA and DHA exposure through fish intake alone may also be difficult in tactical populations, supporting supplementation as a pragmatic route to consistent dosing alongside broader dietary improvements (Kris-Etherton </w:t>
      </w:r>
      <w:r w:rsidRPr="00A7058C">
        <w:rPr>
          <w:rFonts w:ascii="Arial" w:hAnsi="Arial" w:cs="Arial"/>
          <w:i/>
          <w:kern w:val="0"/>
          <w:lang w:val="en-GB"/>
          <w14:ligatures w14:val="none"/>
        </w:rPr>
        <w:t>et al.</w:t>
      </w:r>
      <w:r>
        <w:rPr>
          <w:rFonts w:ascii="Arial" w:hAnsi="Arial" w:cs="Arial"/>
          <w:kern w:val="0"/>
          <w:lang w:val="en-GB"/>
          <w14:ligatures w14:val="none"/>
        </w:rPr>
        <w:t xml:space="preserve">, 2002; Dempsey </w:t>
      </w:r>
      <w:r w:rsidRPr="00A7058C">
        <w:rPr>
          <w:rFonts w:ascii="Arial" w:hAnsi="Arial" w:cs="Arial"/>
          <w:i/>
          <w:kern w:val="0"/>
          <w:lang w:val="en-GB"/>
          <w14:ligatures w14:val="none"/>
        </w:rPr>
        <w:t>et al.</w:t>
      </w:r>
      <w:r>
        <w:rPr>
          <w:rFonts w:ascii="Arial" w:hAnsi="Arial" w:cs="Arial"/>
          <w:kern w:val="0"/>
          <w:lang w:val="en-GB"/>
          <w14:ligatures w14:val="none"/>
        </w:rPr>
        <w:t xml:space="preserve">, 2023; Heilson </w:t>
      </w:r>
      <w:r w:rsidRPr="00A7058C">
        <w:rPr>
          <w:rFonts w:ascii="Arial" w:hAnsi="Arial" w:cs="Arial"/>
          <w:i/>
          <w:kern w:val="0"/>
          <w:lang w:val="en-GB"/>
          <w14:ligatures w14:val="none"/>
        </w:rPr>
        <w:t>et al.</w:t>
      </w:r>
      <w:r>
        <w:rPr>
          <w:rFonts w:ascii="Arial" w:hAnsi="Arial" w:cs="Arial"/>
          <w:kern w:val="0"/>
          <w:lang w:val="en-GB"/>
          <w14:ligatures w14:val="none"/>
        </w:rPr>
        <w:t>, 2025).</w:t>
      </w:r>
    </w:p>
    <w:p w14:paraId="0BF0A1B4" w14:textId="375F7409" w:rsidR="00C95E3D" w:rsidRDefault="00327D9C" w:rsidP="00A37A7C">
      <w:pPr>
        <w:spacing w:before="100" w:beforeAutospacing="1" w:after="100" w:afterAutospacing="1" w:line="360" w:lineRule="auto"/>
        <w:rPr>
          <w:rFonts w:ascii="Arial" w:hAnsi="Arial" w:cs="Arial"/>
          <w:kern w:val="0"/>
          <w:lang w:val="en-GB"/>
          <w14:ligatures w14:val="none"/>
        </w:rPr>
      </w:pPr>
      <w:r>
        <w:rPr>
          <w:rFonts w:ascii="Arial" w:hAnsi="Arial" w:cs="Arial"/>
          <w:kern w:val="0"/>
          <w:lang w:val="en-GB"/>
          <w14:ligatures w14:val="none"/>
        </w:rPr>
        <w:t xml:space="preserve">Overall, the discussion indicates that O3 produced the clearest effects on exercise HR strain, while resting </w:t>
      </w:r>
      <w:r w:rsidR="00DC6072">
        <w:rPr>
          <w:rFonts w:ascii="Arial" w:hAnsi="Arial" w:cs="Arial"/>
          <w:kern w:val="0"/>
          <w:lang w:val="en-GB"/>
          <w14:ligatures w14:val="none"/>
        </w:rPr>
        <w:t>markers showed less consistent change.  The following chapter presents the conclusions, key s</w:t>
      </w:r>
      <w:r w:rsidR="00081F8A">
        <w:rPr>
          <w:rFonts w:ascii="Arial" w:hAnsi="Arial" w:cs="Arial"/>
          <w:kern w:val="0"/>
          <w:lang w:val="en-GB"/>
          <w14:ligatures w14:val="none"/>
        </w:rPr>
        <w:t>trengths and limitations</w:t>
      </w:r>
      <w:r w:rsidR="000875AE">
        <w:rPr>
          <w:rFonts w:ascii="Arial" w:hAnsi="Arial" w:cs="Arial"/>
          <w:kern w:val="0"/>
          <w:lang w:val="en-GB"/>
          <w14:ligatures w14:val="none"/>
        </w:rPr>
        <w:t>, and recommendation</w:t>
      </w:r>
      <w:r w:rsidR="00442FA8">
        <w:rPr>
          <w:rFonts w:ascii="Arial" w:hAnsi="Arial" w:cs="Arial"/>
          <w:kern w:val="0"/>
          <w:lang w:val="en-GB"/>
          <w14:ligatures w14:val="none"/>
        </w:rPr>
        <w:t>s for future research.</w:t>
      </w:r>
    </w:p>
    <w:p w14:paraId="29783C27" w14:textId="77777777" w:rsidR="00C95E3D" w:rsidRDefault="00C95E3D" w:rsidP="00A37A7C">
      <w:pPr>
        <w:spacing w:before="100" w:beforeAutospacing="1" w:after="100" w:afterAutospacing="1" w:line="360" w:lineRule="auto"/>
        <w:rPr>
          <w:rFonts w:ascii="Arial" w:hAnsi="Arial" w:cs="Arial"/>
          <w:kern w:val="0"/>
          <w:lang w:val="en-GB"/>
          <w14:ligatures w14:val="none"/>
        </w:rPr>
      </w:pPr>
    </w:p>
    <w:p w14:paraId="205414FA" w14:textId="01AD2F51" w:rsidR="00C95E3D" w:rsidRDefault="0063221C" w:rsidP="00A37A7C">
      <w:pPr>
        <w:pStyle w:val="Heading1"/>
        <w:spacing w:line="360" w:lineRule="auto"/>
        <w:rPr>
          <w:rFonts w:eastAsia="Times New Roman"/>
          <w:lang w:val="en-GB"/>
        </w:rPr>
      </w:pPr>
      <w:bookmarkStart w:id="75" w:name="_Toc228218311"/>
      <w:r>
        <w:rPr>
          <w:rFonts w:eastAsia="Times New Roman"/>
          <w:lang w:val="en-GB"/>
        </w:rPr>
        <w:lastRenderedPageBreak/>
        <w:t xml:space="preserve">CHAPTER </w:t>
      </w:r>
      <w:r w:rsidR="00026466">
        <w:rPr>
          <w:rFonts w:eastAsia="Times New Roman"/>
          <w:lang w:val="en-GB"/>
        </w:rPr>
        <w:t xml:space="preserve">6: </w:t>
      </w:r>
      <w:r w:rsidR="004D7124">
        <w:rPr>
          <w:rFonts w:eastAsia="Times New Roman"/>
          <w:lang w:val="en-GB"/>
        </w:rPr>
        <w:t>CONCLUS</w:t>
      </w:r>
      <w:r w:rsidR="00A95E00">
        <w:rPr>
          <w:rFonts w:eastAsia="Times New Roman"/>
          <w:lang w:val="en-GB"/>
        </w:rPr>
        <w:t>ION</w:t>
      </w:r>
      <w:bookmarkEnd w:id="75"/>
    </w:p>
    <w:p w14:paraId="22CBC62B" w14:textId="77777777" w:rsidR="00AF5E81" w:rsidRPr="00861B18" w:rsidRDefault="00AF5E81" w:rsidP="00A37A7C">
      <w:pPr>
        <w:spacing w:before="100" w:beforeAutospacing="1" w:after="100" w:afterAutospacing="1" w:line="360" w:lineRule="auto"/>
        <w:jc w:val="center"/>
        <w:outlineLvl w:val="2"/>
        <w:rPr>
          <w:rFonts w:ascii="Arial" w:eastAsia="Times New Roman" w:hAnsi="Arial" w:cs="Arial"/>
          <w:b/>
          <w:bCs/>
          <w:kern w:val="0"/>
          <w:sz w:val="28"/>
          <w:szCs w:val="28"/>
          <w:lang w:val="en-GB"/>
          <w14:ligatures w14:val="none"/>
        </w:rPr>
      </w:pPr>
    </w:p>
    <w:p w14:paraId="52B0A49D" w14:textId="18A6A196" w:rsidR="00B467D2" w:rsidRPr="008254C8" w:rsidRDefault="00C95E3D" w:rsidP="00A37A7C">
      <w:pPr>
        <w:spacing w:line="360" w:lineRule="auto"/>
        <w:rPr>
          <w:rFonts w:eastAsiaTheme="minorEastAsia"/>
          <w:lang w:val="en-GB"/>
        </w:rPr>
      </w:pPr>
      <w:r>
        <w:rPr>
          <w:lang w:val="en-GB"/>
        </w:rPr>
        <w:t>This dissertation investigated whether eight weeks of O3 supplementation (3 g/day EPA+DHA; 1700 mg EPA and 1300 mg DHA) could improve CV markers and reduce CV strain in operational FFs conceptualised as TAs. A two-arm, parallel-group, open-label pragmatic RCT was conducted in 20 male operational FFs (10 O3-group; 10 CG), with no dropouts and &gt;95% compliance based on capsule return and logs.</w:t>
      </w:r>
    </w:p>
    <w:p w14:paraId="0EA96FB7" w14:textId="509BA2C0" w:rsidR="00F8231A" w:rsidRDefault="00C95E3D" w:rsidP="00A37A7C">
      <w:pPr>
        <w:spacing w:line="360" w:lineRule="auto"/>
        <w:rPr>
          <w:lang w:val="en-GB"/>
        </w:rPr>
      </w:pPr>
      <w:r>
        <w:rPr>
          <w:lang w:val="en-GB"/>
        </w:rPr>
        <w:t xml:space="preserve">Primary outcomes were AveRHR, SBP, DBP and CTT HR strain (CTTAveHR and CTTEndHR). Resting measures were derived from repeated home readings (morning and evening across four consecutive days at each </w:t>
      </w:r>
      <w:proofErr w:type="spellStart"/>
      <w:r>
        <w:rPr>
          <w:lang w:val="en-GB"/>
        </w:rPr>
        <w:t>timepoint</w:t>
      </w:r>
      <w:proofErr w:type="spellEnd"/>
      <w:r>
        <w:rPr>
          <w:lang w:val="en-GB"/>
        </w:rPr>
        <w:t>), and CTT outcomes were assessed under standardised conditions. Intervention effects were analysed using two-way mixed ANOVA (time × group), with Bonferroni-adjusted simple main effects to clarify within- and between-group differences.</w:t>
      </w:r>
    </w:p>
    <w:p w14:paraId="596B0663" w14:textId="53B8283D" w:rsidR="00C95E3D" w:rsidRDefault="00C95E3D" w:rsidP="00A37A7C">
      <w:pPr>
        <w:spacing w:line="360" w:lineRule="auto"/>
        <w:rPr>
          <w:lang w:val="en-GB"/>
        </w:rPr>
      </w:pPr>
      <w:r>
        <w:rPr>
          <w:lang w:val="en-GB"/>
        </w:rPr>
        <w:t>The strongest and most consistent effects were observed in exercise HR strain during the CTT. For CTTAveHR, the time × group interaction was significant (F(1,18) = 21.674, p &lt; .001, partial η² = .546), with a within-group reduction in the O3-group (−7.1 bpm; −6.0%) and no significant change in the CG (+1.3 bpm; +1.1%). For CTTEndHR, the time × group interaction was also significant (F(1,18) = 9.153, p = .007, partial η² = .337), with the O3-group decreasing (−10.8 bpm; −7.2%) and the CG increasing (+9.4 bpm; +6.7%).</w:t>
      </w:r>
    </w:p>
    <w:p w14:paraId="79E0FBD9" w14:textId="77777777" w:rsidR="00C95E3D" w:rsidRDefault="00C95E3D" w:rsidP="00A37A7C">
      <w:pPr>
        <w:spacing w:line="360" w:lineRule="auto"/>
        <w:rPr>
          <w:lang w:val="en-GB"/>
        </w:rPr>
      </w:pPr>
      <w:r>
        <w:rPr>
          <w:lang w:val="en-GB"/>
        </w:rPr>
        <w:t>Resting measures showed a mixed pattern. AveRHR trended favourably (O3-group −4.0 bpm; −6.1% vs CG +1.8 bpm; +2.9%) but the interaction was not statistically significant (p = .072). SBP showed a substantial descriptive reduction in the O3-group (−12.4 mmHg; −9.1%) with significant pairwise effects (O3-group pre–post p = .026; post between-group p = .044), although the omnibus interaction did not reach p &lt; .05 (p = .080). DBP showed no meaningful response (interaction p = .463).</w:t>
      </w:r>
    </w:p>
    <w:p w14:paraId="472AA5A6" w14:textId="77777777" w:rsidR="00C95E3D" w:rsidRDefault="00C95E3D" w:rsidP="00A37A7C">
      <w:pPr>
        <w:spacing w:line="360" w:lineRule="auto"/>
        <w:rPr>
          <w:lang w:val="en-GB"/>
        </w:rPr>
      </w:pPr>
    </w:p>
    <w:p w14:paraId="083101CF" w14:textId="51DC3157" w:rsidR="00C95E3D" w:rsidRDefault="00C95E3D" w:rsidP="00A37A7C">
      <w:pPr>
        <w:spacing w:line="360" w:lineRule="auto"/>
        <w:rPr>
          <w:lang w:val="en-GB"/>
        </w:rPr>
      </w:pPr>
      <w:r>
        <w:rPr>
          <w:lang w:val="en-GB"/>
        </w:rPr>
        <w:lastRenderedPageBreak/>
        <w:t>Baseline dietary analysis indicated suboptimal fuelling and micronutrient intake (notably lower carbohydrate intake, potassium, magnesium, vitamin D, fluid intake and zinc relative to reference values and performance guidance), supporting the positioning of O3 supplementation as an adjunct to broader FF nutrition and recovery strategies rather than a standalone solution.</w:t>
      </w:r>
    </w:p>
    <w:p w14:paraId="5B1F0ABC" w14:textId="04413A36" w:rsidR="00C95E3D" w:rsidRPr="001056C0" w:rsidRDefault="00C95E3D" w:rsidP="00A37A7C">
      <w:pPr>
        <w:spacing w:line="360" w:lineRule="auto"/>
        <w:rPr>
          <w:rFonts w:eastAsia="Times New Roman"/>
          <w:lang w:val="en-GB"/>
        </w:rPr>
      </w:pPr>
      <w:r>
        <w:rPr>
          <w:lang w:val="en-GB"/>
        </w:rPr>
        <w:t xml:space="preserve">Overall, these findings provide preliminary FF-specific evidence that eight weeks of O3 supplementation (3 g/day EPA+DHA; 1700 mg EPA/1300 mg DHA) may reduce CV strain during standardised submaximal work, with clearer effects on exercise HR strain than resting haemodynamic markers. </w:t>
      </w:r>
      <w:r w:rsidR="001056C0">
        <w:rPr>
          <w:rFonts w:eastAsia="Times New Roman"/>
          <w:lang w:val="en-GB"/>
        </w:rPr>
        <w:t xml:space="preserve">Key strengths were the pragmatic operational design, high compliance, and full data completion, while key limitations included the small sample, open-label design, male-only cohort, and absence of biomarker confirmation. </w:t>
      </w:r>
      <w:r>
        <w:rPr>
          <w:lang w:val="en-GB"/>
        </w:rPr>
        <w:t>The pragmatic, service-feasible design supports translation, but replication in larger samples (including female FFs), with placebo control and biomarker confirmation (e.g., O3I), is required to strengthen causal and mechanistic inference.</w:t>
      </w:r>
    </w:p>
    <w:p w14:paraId="3D75E931" w14:textId="77777777" w:rsidR="00C95E3D" w:rsidRPr="00C95E3D" w:rsidRDefault="00C95E3D" w:rsidP="00A37A7C">
      <w:pPr>
        <w:spacing w:line="360" w:lineRule="auto"/>
        <w:rPr>
          <w:rFonts w:ascii="Aptos" w:eastAsia="Yu Mincho" w:hAnsi="Aptos"/>
          <w:color w:val="000000" w:themeColor="text1"/>
        </w:rPr>
      </w:pPr>
    </w:p>
    <w:p w14:paraId="5D62BAA9" w14:textId="77777777" w:rsidR="00C51A2D" w:rsidRDefault="00C51A2D" w:rsidP="00A37A7C">
      <w:pPr>
        <w:spacing w:line="360" w:lineRule="auto"/>
        <w:rPr>
          <w:lang w:val="en-GB"/>
        </w:rPr>
      </w:pPr>
    </w:p>
    <w:p w14:paraId="262875C0" w14:textId="77777777" w:rsidR="00C51A2D" w:rsidRDefault="00C51A2D" w:rsidP="00A37A7C">
      <w:pPr>
        <w:spacing w:after="0" w:line="360" w:lineRule="auto"/>
        <w:rPr>
          <w:rFonts w:ascii="Arial" w:hAnsi="Arial" w:cs="Arial"/>
          <w:kern w:val="0"/>
          <w:lang w:val="en-GB"/>
          <w14:ligatures w14:val="none"/>
        </w:rPr>
      </w:pPr>
    </w:p>
    <w:p w14:paraId="793A1293" w14:textId="67833EB2" w:rsidR="00C51A2D" w:rsidRDefault="00D319F5" w:rsidP="00A37A7C">
      <w:pPr>
        <w:pStyle w:val="p2"/>
        <w:spacing w:line="360" w:lineRule="auto"/>
        <w:rPr>
          <w:rFonts w:ascii="Arial" w:hAnsi="Arial" w:cs="Arial"/>
          <w:lang w:val="en-GB"/>
        </w:rPr>
      </w:pPr>
      <w:r>
        <w:rPr>
          <w:rFonts w:ascii="Arial" w:hAnsi="Arial" w:cs="Arial"/>
          <w:lang w:val="en-GB"/>
        </w:rPr>
        <w:t xml:space="preserve">TOTAL </w:t>
      </w:r>
      <w:r w:rsidR="00260CEC">
        <w:rPr>
          <w:rFonts w:ascii="Arial" w:hAnsi="Arial" w:cs="Arial"/>
          <w:lang w:val="en-GB"/>
        </w:rPr>
        <w:t>WORDS 16,4</w:t>
      </w:r>
      <w:r w:rsidR="005D1AD7">
        <w:rPr>
          <w:rFonts w:ascii="Arial" w:hAnsi="Arial" w:cs="Arial"/>
          <w:lang w:val="en-GB"/>
        </w:rPr>
        <w:t>97</w:t>
      </w:r>
    </w:p>
    <w:p w14:paraId="43E78AB6" w14:textId="77777777" w:rsidR="00C51A2D" w:rsidRDefault="00C51A2D" w:rsidP="00F97B2D">
      <w:pPr>
        <w:spacing w:line="360" w:lineRule="auto"/>
        <w:rPr>
          <w:rFonts w:ascii="Arial" w:hAnsi="Arial" w:cs="Arial"/>
          <w:lang w:val="en-GB"/>
        </w:rPr>
      </w:pPr>
    </w:p>
    <w:p w14:paraId="138C90A6" w14:textId="77777777" w:rsidR="00AB1FC9" w:rsidRDefault="00AB1FC9" w:rsidP="00F97B2D">
      <w:pPr>
        <w:spacing w:line="360" w:lineRule="auto"/>
        <w:rPr>
          <w:rFonts w:ascii="Arial" w:hAnsi="Arial" w:cs="Arial"/>
          <w:lang w:val="en-GB"/>
        </w:rPr>
      </w:pPr>
    </w:p>
    <w:p w14:paraId="1CAC11AF" w14:textId="77777777" w:rsidR="00AB1FC9" w:rsidRDefault="00AB1FC9" w:rsidP="00F97B2D">
      <w:pPr>
        <w:spacing w:line="360" w:lineRule="auto"/>
        <w:rPr>
          <w:rFonts w:ascii="Arial" w:hAnsi="Arial" w:cs="Arial"/>
          <w:lang w:val="en-GB"/>
        </w:rPr>
      </w:pPr>
    </w:p>
    <w:p w14:paraId="79F8D70A" w14:textId="77777777" w:rsidR="00AB1FC9" w:rsidRDefault="00AB1FC9" w:rsidP="00F97B2D">
      <w:pPr>
        <w:spacing w:line="360" w:lineRule="auto"/>
        <w:rPr>
          <w:rFonts w:ascii="Arial" w:hAnsi="Arial" w:cs="Arial"/>
          <w:lang w:val="en-GB"/>
        </w:rPr>
      </w:pPr>
    </w:p>
    <w:p w14:paraId="77AC54D6" w14:textId="77777777" w:rsidR="00AB1FC9" w:rsidRDefault="00AB1FC9" w:rsidP="00F97B2D">
      <w:pPr>
        <w:spacing w:line="360" w:lineRule="auto"/>
        <w:rPr>
          <w:rFonts w:ascii="Arial" w:hAnsi="Arial" w:cs="Arial"/>
          <w:lang w:val="en-GB"/>
        </w:rPr>
      </w:pPr>
    </w:p>
    <w:p w14:paraId="7B44A5A8" w14:textId="77777777" w:rsidR="00EE76F8" w:rsidRDefault="00EE76F8" w:rsidP="00F97B2D">
      <w:pPr>
        <w:spacing w:line="360" w:lineRule="auto"/>
        <w:rPr>
          <w:rFonts w:ascii="Arial" w:hAnsi="Arial" w:cs="Arial"/>
          <w:lang w:val="en-GB"/>
        </w:rPr>
      </w:pPr>
    </w:p>
    <w:p w14:paraId="5B150F65" w14:textId="1F4B2869" w:rsidR="00462718" w:rsidRDefault="0002750F" w:rsidP="00CE453D">
      <w:pPr>
        <w:pStyle w:val="Heading1"/>
        <w:rPr>
          <w:lang w:val="en-GB"/>
        </w:rPr>
      </w:pPr>
      <w:bookmarkStart w:id="76" w:name="_Toc228218312"/>
      <w:r>
        <w:rPr>
          <w:lang w:val="en-GB"/>
        </w:rPr>
        <w:lastRenderedPageBreak/>
        <w:t>REFERENCES</w:t>
      </w:r>
      <w:bookmarkEnd w:id="76"/>
      <w:r>
        <w:rPr>
          <w:lang w:val="en-GB"/>
        </w:rPr>
        <w:t xml:space="preserve"> </w:t>
      </w:r>
    </w:p>
    <w:p w14:paraId="1D333F46" w14:textId="77777777" w:rsidR="00A66E6E" w:rsidRPr="00A66E6E" w:rsidRDefault="00A66E6E" w:rsidP="00A66E6E">
      <w:pPr>
        <w:rPr>
          <w:lang w:val="en-GB"/>
        </w:rPr>
      </w:pPr>
    </w:p>
    <w:p w14:paraId="7DF99E83" w14:textId="52EAB292" w:rsidR="008F4D29" w:rsidRPr="00222705" w:rsidRDefault="008F4D29" w:rsidP="00EF007D">
      <w:pPr>
        <w:rPr>
          <w:rFonts w:ascii="Arial" w:hAnsi="Arial" w:cs="Arial"/>
        </w:rPr>
      </w:pPr>
      <w:r w:rsidRPr="00222705">
        <w:rPr>
          <w:rFonts w:ascii="Arial" w:hAnsi="Arial" w:cs="Arial"/>
        </w:rPr>
        <w:t>Abdelmoaty, W.F., Watkins, S.L., Ayeni, A., Hurtado, D.A., McHill, A.W., Biggs, J.J., Hegmann, K.T., Shea, S.A., Bodner, T. and Bowles, N.P., 2025. Impact of firefighters’ work schedule on cardiovascular disease risk, wellbeing and safety in firefighters: protocol for the SWIFT study, a multidisciplinary prospective and cross-sectional study. BMJ Public Health, 3(2).</w:t>
      </w:r>
    </w:p>
    <w:p w14:paraId="58297674" w14:textId="77777777" w:rsidR="00270C36" w:rsidRPr="00222705" w:rsidRDefault="00270C36" w:rsidP="00EF007D">
      <w:pPr>
        <w:rPr>
          <w:rFonts w:ascii="Arial" w:hAnsi="Arial" w:cs="Arial"/>
        </w:rPr>
      </w:pPr>
    </w:p>
    <w:p w14:paraId="50C50B36" w14:textId="2AD15D56" w:rsidR="00300BD0" w:rsidRPr="00222705" w:rsidRDefault="008F4D29" w:rsidP="00EF007D">
      <w:pPr>
        <w:rPr>
          <w:rFonts w:ascii="Arial" w:eastAsia="Aptos" w:hAnsi="Arial" w:cs="Arial"/>
        </w:rPr>
      </w:pPr>
      <w:r w:rsidRPr="00222705">
        <w:rPr>
          <w:rFonts w:ascii="Arial" w:eastAsia="Aptos" w:hAnsi="Arial" w:cs="Arial"/>
        </w:rPr>
        <w:t>Abel, M.G., Palmer, T.G. and Trubee, N., 2015. Exercise program design for structural firefighters. Strength &amp; Conditioning Journal, 37(4), pp.8-19</w:t>
      </w:r>
    </w:p>
    <w:p w14:paraId="00704A76" w14:textId="77777777" w:rsidR="001E3759" w:rsidRPr="00222705" w:rsidRDefault="001E3759" w:rsidP="00EF007D">
      <w:pPr>
        <w:rPr>
          <w:rFonts w:ascii="Arial" w:eastAsia="Aptos" w:hAnsi="Arial" w:cs="Arial"/>
        </w:rPr>
      </w:pPr>
    </w:p>
    <w:p w14:paraId="25A811F0" w14:textId="43E5759E" w:rsidR="00300BD0" w:rsidRPr="00222705" w:rsidRDefault="008F4D29" w:rsidP="00EF007D">
      <w:pPr>
        <w:rPr>
          <w:rFonts w:ascii="Arial" w:eastAsia="Aptos" w:hAnsi="Arial" w:cs="Arial"/>
        </w:rPr>
      </w:pPr>
      <w:r w:rsidRPr="00222705">
        <w:rPr>
          <w:rFonts w:ascii="Arial" w:eastAsia="Aptos" w:hAnsi="Arial" w:cs="Arial"/>
        </w:rPr>
        <w:t>Abel, M.G., Sell, K. and Dennison, K., 2011. Design and implementation of fitness programs for firefighters. Strength &amp; Conditioning Journal, 33(4), pp.31-42.</w:t>
      </w:r>
    </w:p>
    <w:p w14:paraId="697F180A" w14:textId="77777777" w:rsidR="001E3759" w:rsidRPr="00222705" w:rsidRDefault="001E3759" w:rsidP="00EF007D">
      <w:pPr>
        <w:rPr>
          <w:rFonts w:ascii="Arial" w:eastAsia="Aptos" w:hAnsi="Arial" w:cs="Arial"/>
        </w:rPr>
      </w:pPr>
    </w:p>
    <w:p w14:paraId="67DDA4BC" w14:textId="40F22E63" w:rsidR="003542D2" w:rsidRPr="00222705" w:rsidRDefault="008F4D29" w:rsidP="00EF007D">
      <w:pPr>
        <w:rPr>
          <w:rFonts w:ascii="Arial" w:hAnsi="Arial" w:cs="Arial"/>
          <w:shd w:val="clear" w:color="auto" w:fill="FFFFFF"/>
        </w:rPr>
      </w:pPr>
      <w:r w:rsidRPr="00222705">
        <w:rPr>
          <w:rFonts w:ascii="Arial" w:hAnsi="Arial" w:cs="Arial"/>
          <w:shd w:val="clear" w:color="auto" w:fill="FFFFFF"/>
        </w:rPr>
        <w:t>Adetona, O., Reinhardt, T.E., Domitrovich, J., Broyles, G., Adetona, A.M., Kleinman, M.T., Ottmar, R.D. and Naeher, L.P., 2016. Review of the health effects of wildland fire smoke on wildland firefighters and the public. </w:t>
      </w:r>
      <w:r w:rsidRPr="00222705">
        <w:rPr>
          <w:rFonts w:ascii="Arial" w:hAnsi="Arial" w:cs="Arial"/>
        </w:rPr>
        <w:t>Inhalation toxicology</w:t>
      </w:r>
      <w:r w:rsidRPr="00222705">
        <w:rPr>
          <w:rFonts w:ascii="Arial" w:hAnsi="Arial" w:cs="Arial"/>
          <w:shd w:val="clear" w:color="auto" w:fill="FFFFFF"/>
        </w:rPr>
        <w:t>, </w:t>
      </w:r>
      <w:r w:rsidRPr="00222705">
        <w:rPr>
          <w:rFonts w:ascii="Arial" w:hAnsi="Arial" w:cs="Arial"/>
        </w:rPr>
        <w:t>28</w:t>
      </w:r>
      <w:r w:rsidRPr="00222705">
        <w:rPr>
          <w:rFonts w:ascii="Arial" w:hAnsi="Arial" w:cs="Arial"/>
          <w:shd w:val="clear" w:color="auto" w:fill="FFFFFF"/>
        </w:rPr>
        <w:t>(3), pp.95-139.</w:t>
      </w:r>
    </w:p>
    <w:p w14:paraId="2703A778" w14:textId="77777777" w:rsidR="001E3759" w:rsidRPr="00222705" w:rsidRDefault="001E3759" w:rsidP="00EF007D">
      <w:pPr>
        <w:rPr>
          <w:rFonts w:ascii="Arial" w:hAnsi="Arial" w:cs="Arial"/>
          <w:shd w:val="clear" w:color="auto" w:fill="FFFFFF"/>
        </w:rPr>
      </w:pPr>
    </w:p>
    <w:p w14:paraId="7A47821D" w14:textId="16B4A7B3" w:rsidR="009F77F3" w:rsidRPr="00222705" w:rsidRDefault="008F4D29" w:rsidP="00EF007D">
      <w:pPr>
        <w:rPr>
          <w:rFonts w:ascii="Arial" w:hAnsi="Arial" w:cs="Arial"/>
          <w:shd w:val="clear" w:color="auto" w:fill="FFFFFF"/>
        </w:rPr>
      </w:pPr>
      <w:r w:rsidRPr="00222705">
        <w:rPr>
          <w:rFonts w:ascii="Arial" w:hAnsi="Arial" w:cs="Arial"/>
          <w:shd w:val="clear" w:color="auto" w:fill="FFFFFF"/>
        </w:rPr>
        <w:t>Adetona, O., Zhang, J.J., Hall, D.B., Wang, J.S., Vena, J.E. and Naeher, L.P., 2013. Occupational exposure to woodsmoke and oxidative stress in wildland firefighters. </w:t>
      </w:r>
      <w:r w:rsidRPr="00222705">
        <w:rPr>
          <w:rFonts w:ascii="Arial" w:hAnsi="Arial" w:cs="Arial"/>
        </w:rPr>
        <w:t>Science of the total environment</w:t>
      </w:r>
      <w:r w:rsidRPr="00222705">
        <w:rPr>
          <w:rFonts w:ascii="Arial" w:hAnsi="Arial" w:cs="Arial"/>
          <w:shd w:val="clear" w:color="auto" w:fill="FFFFFF"/>
        </w:rPr>
        <w:t>, </w:t>
      </w:r>
      <w:r w:rsidRPr="00222705">
        <w:rPr>
          <w:rFonts w:ascii="Arial" w:hAnsi="Arial" w:cs="Arial"/>
        </w:rPr>
        <w:t>449</w:t>
      </w:r>
      <w:r w:rsidRPr="00222705">
        <w:rPr>
          <w:rFonts w:ascii="Arial" w:hAnsi="Arial" w:cs="Arial"/>
          <w:shd w:val="clear" w:color="auto" w:fill="FFFFFF"/>
        </w:rPr>
        <w:t>, pp.269-275.</w:t>
      </w:r>
    </w:p>
    <w:p w14:paraId="73439495" w14:textId="77777777" w:rsidR="001E3759" w:rsidRPr="00222705" w:rsidRDefault="001E3759" w:rsidP="00EF007D">
      <w:pPr>
        <w:rPr>
          <w:rFonts w:ascii="Arial" w:hAnsi="Arial" w:cs="Arial"/>
          <w:shd w:val="clear" w:color="auto" w:fill="FFFFFF"/>
        </w:rPr>
      </w:pPr>
    </w:p>
    <w:p w14:paraId="7E48D943" w14:textId="6DADF984" w:rsidR="00D322C4" w:rsidRPr="00222705" w:rsidRDefault="008F4D29" w:rsidP="00EF007D">
      <w:pPr>
        <w:rPr>
          <w:rFonts w:ascii="Arial" w:eastAsia="Aptos" w:hAnsi="Arial" w:cs="Arial"/>
        </w:rPr>
      </w:pPr>
      <w:r w:rsidRPr="00222705">
        <w:rPr>
          <w:rFonts w:ascii="Arial" w:eastAsia="Aptos" w:hAnsi="Arial" w:cs="Arial"/>
        </w:rPr>
        <w:t>Afonso, N., Galvão, A., Pinheiro, M. and Gomes, M.J., 2019. Felicidade, ansiedade, depressão e stress em bombeirosportugueses. Rev. Port. Enf. Saúde Mental, 7, pp.37-42.</w:t>
      </w:r>
    </w:p>
    <w:p w14:paraId="061082C0" w14:textId="77777777" w:rsidR="001E3759" w:rsidRPr="00222705" w:rsidRDefault="001E3759" w:rsidP="00EF007D">
      <w:pPr>
        <w:rPr>
          <w:rFonts w:ascii="Arial" w:eastAsia="Aptos" w:hAnsi="Arial" w:cs="Arial"/>
        </w:rPr>
      </w:pPr>
    </w:p>
    <w:p w14:paraId="50DB8B8B" w14:textId="428672F1" w:rsidR="00EB40C6" w:rsidRPr="00222705" w:rsidRDefault="008F4D29" w:rsidP="00EF007D">
      <w:pPr>
        <w:rPr>
          <w:rFonts w:ascii="Arial" w:hAnsi="Arial" w:cs="Arial"/>
        </w:rPr>
      </w:pPr>
      <w:r w:rsidRPr="00222705">
        <w:rPr>
          <w:rFonts w:ascii="Arial" w:hAnsi="Arial" w:cs="Arial"/>
        </w:rPr>
        <w:t>Agostinelli, P.J., Bordonie, N.C., Linder, B.A., Robbins, A.M., Jones, P.L., Reagan, L.F., Mobley, C.B., Miller, M.W., Murrah, W.M. and Sefton, J.M., 2025. The Effect of Fitness on Performance, Exertion, and Cognition During Simulated Firefighter Occupational Tasks. Journal of Functional Morphology and Kinesiology, 10(2), p.129.</w:t>
      </w:r>
    </w:p>
    <w:p w14:paraId="11BF043C" w14:textId="77777777" w:rsidR="001E3759" w:rsidRPr="00222705" w:rsidRDefault="001E3759" w:rsidP="00EF007D">
      <w:pPr>
        <w:rPr>
          <w:rFonts w:ascii="Arial" w:hAnsi="Arial" w:cs="Arial"/>
        </w:rPr>
      </w:pPr>
    </w:p>
    <w:p w14:paraId="3F71ADCE"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lastRenderedPageBreak/>
        <w:t>Allsopp, G.L. and Main, L.C., 2025. Acute and chronic inflammation in firefighters: A narrative review. Mutation Research-Reviews in Mutation Research, p.108569. </w:t>
      </w:r>
    </w:p>
    <w:p w14:paraId="3E1D62EC" w14:textId="77777777" w:rsidR="00EB40C6" w:rsidRPr="00222705" w:rsidRDefault="00EB40C6" w:rsidP="00EF007D">
      <w:pPr>
        <w:rPr>
          <w:rFonts w:ascii="Arial" w:eastAsia="Times New Roman" w:hAnsi="Arial" w:cs="Arial"/>
          <w:kern w:val="0"/>
          <w14:ligatures w14:val="none"/>
        </w:rPr>
      </w:pPr>
    </w:p>
    <w:p w14:paraId="376AEF84" w14:textId="211FD3B5" w:rsidR="00EB40C6" w:rsidRPr="00222705" w:rsidRDefault="008F4D29" w:rsidP="00EF007D">
      <w:pPr>
        <w:rPr>
          <w:rFonts w:ascii="Arial" w:hAnsi="Arial" w:cs="Arial"/>
        </w:rPr>
      </w:pPr>
      <w:r w:rsidRPr="00222705">
        <w:rPr>
          <w:rFonts w:ascii="Arial" w:hAnsi="Arial" w:cs="Arial"/>
        </w:rPr>
        <w:t>Andersen, M.H.G., Saber, A.T., Clausen, P.A., Pedersen, J.E., Løhr, M., Kermanizadeh, A., Loft, S., Ebbehøj, N., Hansen, Å.M., Pedersen, P.B. and Koponen, I.K., 2018. Association between polycyclic aromatic hydrocarbon exposure and peripheral blood mononuclear cell DNA damage in human volunteers during fire extinction exercises. Mutagenesis, 33(1), pp.105-115.</w:t>
      </w:r>
    </w:p>
    <w:p w14:paraId="09815503" w14:textId="77777777" w:rsidR="001E3759" w:rsidRPr="00222705" w:rsidRDefault="001E3759" w:rsidP="00EF007D">
      <w:pPr>
        <w:rPr>
          <w:rFonts w:ascii="Arial" w:hAnsi="Arial" w:cs="Arial"/>
        </w:rPr>
      </w:pPr>
    </w:p>
    <w:p w14:paraId="135A4CAC" w14:textId="4D6DDFBB" w:rsidR="00EB40C6" w:rsidRPr="00222705" w:rsidRDefault="008F4D29" w:rsidP="00EF007D">
      <w:pPr>
        <w:rPr>
          <w:rFonts w:ascii="Arial" w:hAnsi="Arial" w:cs="Arial"/>
          <w:shd w:val="clear" w:color="auto" w:fill="FFFFFF"/>
        </w:rPr>
      </w:pPr>
      <w:r w:rsidRPr="00222705">
        <w:rPr>
          <w:rFonts w:ascii="Arial" w:hAnsi="Arial" w:cs="Arial"/>
          <w:shd w:val="clear" w:color="auto" w:fill="FFFFFF"/>
        </w:rPr>
        <w:t>Araviiskaia, E., Berardesca, E., Bieber, T., Gontijo, G., Sanchez Viera, M., Marrot, L., Chuberre, B. and Dreno, B., 2019. The impact of airborne pollution on skin. </w:t>
      </w:r>
      <w:r w:rsidRPr="00222705">
        <w:rPr>
          <w:rFonts w:ascii="Arial" w:hAnsi="Arial" w:cs="Arial"/>
        </w:rPr>
        <w:t>Journal of the European Academy of Dermatology and Venereology</w:t>
      </w:r>
      <w:r w:rsidRPr="00222705">
        <w:rPr>
          <w:rFonts w:ascii="Arial" w:hAnsi="Arial" w:cs="Arial"/>
          <w:shd w:val="clear" w:color="auto" w:fill="FFFFFF"/>
        </w:rPr>
        <w:t>, </w:t>
      </w:r>
      <w:r w:rsidRPr="00222705">
        <w:rPr>
          <w:rFonts w:ascii="Arial" w:hAnsi="Arial" w:cs="Arial"/>
        </w:rPr>
        <w:t>33</w:t>
      </w:r>
      <w:r w:rsidRPr="00222705">
        <w:rPr>
          <w:rFonts w:ascii="Arial" w:hAnsi="Arial" w:cs="Arial"/>
          <w:shd w:val="clear" w:color="auto" w:fill="FFFFFF"/>
        </w:rPr>
        <w:t>(8), pp.1496-1505.</w:t>
      </w:r>
    </w:p>
    <w:p w14:paraId="41C8811B" w14:textId="77777777" w:rsidR="001E3759" w:rsidRPr="00222705" w:rsidRDefault="001E3759" w:rsidP="00EF007D">
      <w:pPr>
        <w:rPr>
          <w:rFonts w:ascii="Arial" w:hAnsi="Arial" w:cs="Arial"/>
          <w:shd w:val="clear" w:color="auto" w:fill="FFFFFF"/>
        </w:rPr>
      </w:pPr>
    </w:p>
    <w:p w14:paraId="400ED9ED" w14:textId="35C484DD" w:rsidR="00EB40C6" w:rsidRPr="00222705" w:rsidRDefault="008F4D29" w:rsidP="00EF007D">
      <w:pPr>
        <w:rPr>
          <w:rFonts w:ascii="Arial" w:eastAsia="Times New Roman" w:hAnsi="Arial" w:cs="Arial"/>
          <w:shd w:val="clear" w:color="auto" w:fill="FFFFFF"/>
          <w:lang w:val="en-GB" w:eastAsia="en-GB"/>
        </w:rPr>
      </w:pPr>
      <w:r w:rsidRPr="00222705">
        <w:rPr>
          <w:rFonts w:ascii="Arial" w:eastAsia="Times New Roman" w:hAnsi="Arial" w:cs="Arial"/>
          <w:shd w:val="clear" w:color="auto" w:fill="FFFFFF"/>
          <w:lang w:val="en-GB" w:eastAsia="en-GB"/>
        </w:rPr>
        <w:t>Armstrong, R.A., 2014. When to use the B onferroni correction. </w:t>
      </w:r>
      <w:r w:rsidRPr="00222705">
        <w:rPr>
          <w:rFonts w:ascii="Arial" w:eastAsia="Times New Roman" w:hAnsi="Arial" w:cs="Arial"/>
          <w:lang w:val="en-GB" w:eastAsia="en-GB"/>
        </w:rPr>
        <w:t>Ophthalmic and physiological optics</w:t>
      </w:r>
      <w:r w:rsidRPr="00222705">
        <w:rPr>
          <w:rFonts w:ascii="Arial" w:eastAsia="Times New Roman" w:hAnsi="Arial" w:cs="Arial"/>
          <w:shd w:val="clear" w:color="auto" w:fill="FFFFFF"/>
          <w:lang w:val="en-GB" w:eastAsia="en-GB"/>
        </w:rPr>
        <w:t>, </w:t>
      </w:r>
      <w:r w:rsidRPr="00222705">
        <w:rPr>
          <w:rFonts w:ascii="Arial" w:eastAsia="Times New Roman" w:hAnsi="Arial" w:cs="Arial"/>
          <w:lang w:val="en-GB" w:eastAsia="en-GB"/>
        </w:rPr>
        <w:t>34</w:t>
      </w:r>
      <w:r w:rsidRPr="00222705">
        <w:rPr>
          <w:rFonts w:ascii="Arial" w:eastAsia="Times New Roman" w:hAnsi="Arial" w:cs="Arial"/>
          <w:shd w:val="clear" w:color="auto" w:fill="FFFFFF"/>
          <w:lang w:val="en-GB" w:eastAsia="en-GB"/>
        </w:rPr>
        <w:t>(5), pp.502-508.</w:t>
      </w:r>
    </w:p>
    <w:p w14:paraId="5C228C4E" w14:textId="77777777" w:rsidR="001E3759" w:rsidRPr="00222705" w:rsidRDefault="001E3759" w:rsidP="00EF007D">
      <w:pPr>
        <w:rPr>
          <w:rFonts w:ascii="Arial" w:eastAsia="Times New Roman" w:hAnsi="Arial" w:cs="Arial"/>
          <w:shd w:val="clear" w:color="auto" w:fill="FFFFFF"/>
          <w:lang w:val="en-GB" w:eastAsia="en-GB"/>
        </w:rPr>
      </w:pPr>
    </w:p>
    <w:p w14:paraId="503D6C14" w14:textId="05DEEB9C" w:rsidR="00EB40C6" w:rsidRPr="00222705" w:rsidRDefault="008F4D29" w:rsidP="00EF007D">
      <w:pPr>
        <w:rPr>
          <w:rFonts w:ascii="Arial" w:hAnsi="Arial" w:cs="Arial"/>
        </w:rPr>
      </w:pPr>
      <w:r w:rsidRPr="00222705">
        <w:rPr>
          <w:rFonts w:ascii="Arial" w:hAnsi="Arial" w:cs="Arial"/>
        </w:rPr>
        <w:t>Ataei Ataabadi, E., Golshiri, K., Jüttner, A.A., de Vries, R., Van den Berg</w:t>
      </w:r>
      <w:r w:rsidRPr="00222705">
        <w:rPr>
          <w:rFonts w:ascii="Cambria Math" w:eastAsia="Cambria Math" w:hAnsi="Cambria Math" w:cs="Cambria Math"/>
        </w:rPr>
        <w:t>‐</w:t>
      </w:r>
      <w:r w:rsidRPr="00222705">
        <w:rPr>
          <w:rFonts w:ascii="Arial" w:hAnsi="Arial" w:cs="Arial"/>
        </w:rPr>
        <w:t>Garrelds, I., Nagtzaam, N.M., Khan, H.N., Leijten, F.P., Brandt, R.M., Dik, W.A. and van der Pluijm, I., 2022. Soluble guanylate cyclase activator BAY 54–6544 improves vasomotor function and survival in an accelerated ageing mouse model. Aging Cell, 21(9), p.e13683.</w:t>
      </w:r>
    </w:p>
    <w:p w14:paraId="68CF6626" w14:textId="77777777" w:rsidR="001E3759" w:rsidRPr="00222705" w:rsidRDefault="001E3759" w:rsidP="00EF007D">
      <w:pPr>
        <w:rPr>
          <w:rFonts w:ascii="Arial" w:hAnsi="Arial" w:cs="Arial"/>
        </w:rPr>
      </w:pPr>
    </w:p>
    <w:p w14:paraId="28E628F4" w14:textId="77777777" w:rsidR="008F4D29" w:rsidRPr="00222705" w:rsidRDefault="008F4D29" w:rsidP="00EF007D">
      <w:pPr>
        <w:rPr>
          <w:rFonts w:ascii="Arial" w:hAnsi="Arial" w:cs="Arial"/>
        </w:rPr>
      </w:pPr>
      <w:r w:rsidRPr="00222705">
        <w:rPr>
          <w:rFonts w:ascii="Arial" w:hAnsi="Arial" w:cs="Arial"/>
        </w:rPr>
        <w:t>Barbu, E., Popescu, M.R., Popescu, A.C. and Balanescu, S.M., 2022. Inflammation as a precursor of atherothrombosis, diabetes and early vascular aging. International journal of molecular sciences, 23(2), p.963.</w:t>
      </w:r>
    </w:p>
    <w:p w14:paraId="3801BA13" w14:textId="77777777" w:rsidR="001E3759" w:rsidRPr="00222705" w:rsidRDefault="001E3759" w:rsidP="00EF007D">
      <w:pPr>
        <w:rPr>
          <w:rFonts w:ascii="Arial" w:hAnsi="Arial" w:cs="Arial"/>
        </w:rPr>
      </w:pPr>
    </w:p>
    <w:p w14:paraId="369FA2C0" w14:textId="39246EB8" w:rsidR="00EB40C6" w:rsidRPr="00222705" w:rsidRDefault="008F4D29" w:rsidP="00EF007D">
      <w:pPr>
        <w:rPr>
          <w:rFonts w:ascii="Arial" w:hAnsi="Arial" w:cs="Arial"/>
        </w:rPr>
      </w:pPr>
      <w:r w:rsidRPr="00222705">
        <w:rPr>
          <w:rFonts w:ascii="Arial" w:hAnsi="Arial" w:cs="Arial"/>
        </w:rPr>
        <w:t>Barnard, R.J. and Duncan, H.W., 1975. Heart rate and ECG responses of fire fighters. Journal of Occupational Medicine, 17(4), pp.247-250.</w:t>
      </w:r>
    </w:p>
    <w:p w14:paraId="49D3803F" w14:textId="77777777" w:rsidR="001E3759" w:rsidRPr="00222705" w:rsidRDefault="001E3759" w:rsidP="00EF007D">
      <w:pPr>
        <w:rPr>
          <w:rFonts w:ascii="Arial" w:hAnsi="Arial" w:cs="Arial"/>
        </w:rPr>
      </w:pPr>
    </w:p>
    <w:p w14:paraId="7E795B77" w14:textId="10330EB5" w:rsidR="00234210" w:rsidRPr="00222705" w:rsidRDefault="008F4D29" w:rsidP="00EF007D">
      <w:pPr>
        <w:rPr>
          <w:rFonts w:ascii="Arial" w:eastAsiaTheme="minorEastAsia" w:hAnsi="Arial" w:cs="Arial"/>
          <w:kern w:val="0"/>
          <w:lang w:val="en-GB" w:eastAsia="en-GB"/>
          <w14:ligatures w14:val="none"/>
        </w:rPr>
      </w:pPr>
      <w:r w:rsidRPr="00222705">
        <w:rPr>
          <w:rFonts w:ascii="Arial" w:eastAsiaTheme="minorEastAsia" w:hAnsi="Arial" w:cs="Arial"/>
          <w:kern w:val="0"/>
          <w:lang w:val="en-GB" w:eastAsia="en-GB"/>
          <w14:ligatures w14:val="none"/>
        </w:rPr>
        <w:t>Barnhart, E. (2018) The Effect of Nutritional Ketosis on Strength and Power in Tactical Athletes. Doctoral dissertation. The Ohio State University.</w:t>
      </w:r>
    </w:p>
    <w:p w14:paraId="5F6540E0" w14:textId="77777777" w:rsidR="001E3759" w:rsidRPr="00222705" w:rsidRDefault="001E3759" w:rsidP="00EF007D">
      <w:pPr>
        <w:rPr>
          <w:rFonts w:ascii="Arial" w:eastAsiaTheme="minorEastAsia" w:hAnsi="Arial" w:cs="Arial"/>
          <w:kern w:val="0"/>
          <w:lang w:val="en-GB" w:eastAsia="en-GB"/>
          <w14:ligatures w14:val="none"/>
        </w:rPr>
      </w:pPr>
    </w:p>
    <w:p w14:paraId="047E9B99" w14:textId="77777777" w:rsidR="008F4D29" w:rsidRPr="00222705" w:rsidRDefault="008F4D29" w:rsidP="00EF007D">
      <w:pPr>
        <w:rPr>
          <w:rFonts w:ascii="Arial" w:hAnsi="Arial" w:cs="Arial"/>
        </w:rPr>
      </w:pPr>
      <w:r w:rsidRPr="00222705">
        <w:rPr>
          <w:rFonts w:ascii="Arial" w:hAnsi="Arial" w:cs="Arial"/>
        </w:rPr>
        <w:lastRenderedPageBreak/>
        <w:t>Barr, D., Gregson, W. and Reilly, T., 2010. The thermal ergonomics of firefighting reviewed. Applied ergonomics, 41(1), pp.161-172.</w:t>
      </w:r>
    </w:p>
    <w:p w14:paraId="49CBFE07" w14:textId="77777777" w:rsidR="001E3759" w:rsidRPr="00222705" w:rsidRDefault="001E3759" w:rsidP="00EF007D">
      <w:pPr>
        <w:rPr>
          <w:rFonts w:ascii="Arial" w:hAnsi="Arial" w:cs="Arial"/>
        </w:rPr>
      </w:pPr>
    </w:p>
    <w:p w14:paraId="0824015F"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Barros, B., Oliveira, M. and Morais, S., 2023. Biomonitoring of firefighting forces: a review on biomarkers of exposure to health-relevant pollutants released from fires. </w:t>
      </w:r>
      <w:r w:rsidRPr="00222705">
        <w:rPr>
          <w:rFonts w:ascii="Arial" w:hAnsi="Arial" w:cs="Arial"/>
        </w:rPr>
        <w:t>Journal of Toxicology and Environmental Health, Part B</w:t>
      </w:r>
      <w:r w:rsidRPr="00222705">
        <w:rPr>
          <w:rFonts w:ascii="Arial" w:hAnsi="Arial" w:cs="Arial"/>
          <w:shd w:val="clear" w:color="auto" w:fill="FFFFFF"/>
        </w:rPr>
        <w:t>, </w:t>
      </w:r>
      <w:r w:rsidRPr="00222705">
        <w:rPr>
          <w:rFonts w:ascii="Arial" w:hAnsi="Arial" w:cs="Arial"/>
        </w:rPr>
        <w:t>26</w:t>
      </w:r>
      <w:r w:rsidRPr="00222705">
        <w:rPr>
          <w:rFonts w:ascii="Arial" w:hAnsi="Arial" w:cs="Arial"/>
          <w:shd w:val="clear" w:color="auto" w:fill="FFFFFF"/>
        </w:rPr>
        <w:t>(3), pp.127-171.</w:t>
      </w:r>
    </w:p>
    <w:p w14:paraId="0AAC57EB" w14:textId="77777777" w:rsidR="001E3759" w:rsidRPr="00222705" w:rsidRDefault="001E3759" w:rsidP="00EF007D">
      <w:pPr>
        <w:rPr>
          <w:rFonts w:ascii="Arial" w:hAnsi="Arial" w:cs="Arial"/>
        </w:rPr>
      </w:pPr>
    </w:p>
    <w:p w14:paraId="6855433F"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lang w:val="en-GB"/>
          <w14:ligatures w14:val="none"/>
        </w:rPr>
        <w:t>Bautista, L.E., 2003. Inflammation, endothelial dysfunction, and the risk of high blood pressure: epidemiologic and biological evidence. Journal of human hypertension, 17(4), pp.223-230.</w:t>
      </w:r>
      <w:r w:rsidRPr="00222705">
        <w:rPr>
          <w:rFonts w:ascii="Arial" w:eastAsia="Times New Roman" w:hAnsi="Arial" w:cs="Arial"/>
          <w:kern w:val="0"/>
          <w14:ligatures w14:val="none"/>
        </w:rPr>
        <w:t> </w:t>
      </w:r>
    </w:p>
    <w:p w14:paraId="1F891FBF" w14:textId="77777777" w:rsidR="001E3759" w:rsidRPr="00222705" w:rsidRDefault="001E3759" w:rsidP="00EF007D">
      <w:pPr>
        <w:rPr>
          <w:rFonts w:ascii="Arial" w:eastAsia="Times New Roman" w:hAnsi="Arial" w:cs="Arial"/>
          <w:kern w:val="0"/>
          <w14:ligatures w14:val="none"/>
        </w:rPr>
      </w:pPr>
    </w:p>
    <w:p w14:paraId="2A01A865"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Bautista, L.E., Vera, L.M., Arenas, I.A. and Gamarra, G., 2005. Independent association between inflammatory markers (C-reactive protein, interleukin-6, and TNF-α) and essential hypertension. Journal of human hypertension, 19(2), pp.149-154. </w:t>
      </w:r>
    </w:p>
    <w:p w14:paraId="541C9893" w14:textId="77777777" w:rsidR="00A5234A" w:rsidRPr="00222705" w:rsidRDefault="00A5234A" w:rsidP="00EF007D">
      <w:pPr>
        <w:rPr>
          <w:rFonts w:ascii="Arial" w:eastAsia="Times New Roman" w:hAnsi="Arial" w:cs="Arial"/>
          <w:kern w:val="0"/>
          <w14:ligatures w14:val="none"/>
        </w:rPr>
      </w:pPr>
    </w:p>
    <w:p w14:paraId="1CA602BC"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Baxter, C.S., Hoffman, J.D., Knipp, M.J., Reponen, T. and Haynes, E.N., 2014. Exposure of firefighters to particulates and polycyclic aromatic hydrocarbons. </w:t>
      </w:r>
      <w:r w:rsidRPr="00222705">
        <w:rPr>
          <w:rFonts w:ascii="Arial" w:hAnsi="Arial" w:cs="Arial"/>
        </w:rPr>
        <w:t>Journal of occupational and environmental hygiene</w:t>
      </w:r>
      <w:r w:rsidRPr="00222705">
        <w:rPr>
          <w:rFonts w:ascii="Arial" w:hAnsi="Arial" w:cs="Arial"/>
          <w:shd w:val="clear" w:color="auto" w:fill="FFFFFF"/>
        </w:rPr>
        <w:t>, </w:t>
      </w:r>
      <w:r w:rsidRPr="00222705">
        <w:rPr>
          <w:rFonts w:ascii="Arial" w:hAnsi="Arial" w:cs="Arial"/>
        </w:rPr>
        <w:t>11</w:t>
      </w:r>
      <w:r w:rsidRPr="00222705">
        <w:rPr>
          <w:rFonts w:ascii="Arial" w:hAnsi="Arial" w:cs="Arial"/>
          <w:shd w:val="clear" w:color="auto" w:fill="FFFFFF"/>
        </w:rPr>
        <w:t>(7), pp.D85-D91.</w:t>
      </w:r>
    </w:p>
    <w:p w14:paraId="27C3AA2F"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Beckett, A., Scott, J.R., Chater, A.M., Ferrandino, L. and Aldous, J.W.F., 2023. The prevalence of metabolic syndrome and its components in firefighters: a systematic review and meta-analysis. </w:t>
      </w:r>
      <w:r w:rsidRPr="00222705">
        <w:rPr>
          <w:rFonts w:ascii="Arial" w:hAnsi="Arial" w:cs="Arial"/>
        </w:rPr>
        <w:t>International journal of environmental research and public health</w:t>
      </w:r>
      <w:r w:rsidRPr="00222705">
        <w:rPr>
          <w:rFonts w:ascii="Arial" w:hAnsi="Arial" w:cs="Arial"/>
          <w:shd w:val="clear" w:color="auto" w:fill="FFFFFF"/>
        </w:rPr>
        <w:t>, </w:t>
      </w:r>
      <w:r w:rsidRPr="00222705">
        <w:rPr>
          <w:rFonts w:ascii="Arial" w:hAnsi="Arial" w:cs="Arial"/>
        </w:rPr>
        <w:t>20</w:t>
      </w:r>
      <w:r w:rsidRPr="00222705">
        <w:rPr>
          <w:rFonts w:ascii="Arial" w:hAnsi="Arial" w:cs="Arial"/>
          <w:shd w:val="clear" w:color="auto" w:fill="FFFFFF"/>
        </w:rPr>
        <w:t>(19), p.6814.</w:t>
      </w:r>
    </w:p>
    <w:p w14:paraId="34A4DC3F" w14:textId="77777777" w:rsidR="00A5234A" w:rsidRPr="00222705" w:rsidRDefault="00A5234A" w:rsidP="00EF007D">
      <w:pPr>
        <w:rPr>
          <w:rFonts w:ascii="Arial" w:hAnsi="Arial" w:cs="Arial"/>
          <w:shd w:val="clear" w:color="auto" w:fill="FFFFFF"/>
        </w:rPr>
      </w:pPr>
    </w:p>
    <w:p w14:paraId="18649648"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Ben-Ezra, V. and Verstraete, R., 1988. Stair climbing: an alternative exercise modality for firefighters. </w:t>
      </w:r>
      <w:r w:rsidRPr="00222705">
        <w:rPr>
          <w:rFonts w:ascii="Arial" w:hAnsi="Arial" w:cs="Arial"/>
        </w:rPr>
        <w:t>Journal of occupational medicine</w:t>
      </w:r>
      <w:r w:rsidRPr="00222705">
        <w:rPr>
          <w:rFonts w:ascii="Arial" w:hAnsi="Arial" w:cs="Arial"/>
          <w:shd w:val="clear" w:color="auto" w:fill="FFFFFF"/>
        </w:rPr>
        <w:t>, pp.103-105.</w:t>
      </w:r>
    </w:p>
    <w:p w14:paraId="6EB8EAA8" w14:textId="77777777" w:rsidR="00A5234A" w:rsidRPr="00222705" w:rsidRDefault="00A5234A" w:rsidP="00EF007D">
      <w:pPr>
        <w:rPr>
          <w:rFonts w:ascii="Arial" w:hAnsi="Arial" w:cs="Arial"/>
          <w:shd w:val="clear" w:color="auto" w:fill="FFFFFF"/>
        </w:rPr>
      </w:pPr>
    </w:p>
    <w:p w14:paraId="65E60D63" w14:textId="77777777" w:rsidR="008F4D29" w:rsidRPr="00222705" w:rsidRDefault="008F4D29" w:rsidP="00EF007D">
      <w:pPr>
        <w:rPr>
          <w:rFonts w:ascii="Arial" w:eastAsia="Aptos" w:hAnsi="Arial" w:cs="Arial"/>
        </w:rPr>
      </w:pPr>
      <w:r w:rsidRPr="00222705">
        <w:rPr>
          <w:rFonts w:ascii="Arial" w:eastAsia="Aptos" w:hAnsi="Arial" w:cs="Arial"/>
        </w:rPr>
        <w:t>Bilzon, J.L.J., Allsopp, A.J. and Tipton, M.J., 2001. Assessment of physical fitness for occupations encompassing load</w:t>
      </w:r>
      <w:r w:rsidRPr="00222705">
        <w:rPr>
          <w:rFonts w:ascii="Cambria Math" w:eastAsia="Cambria Math" w:hAnsi="Cambria Math" w:cs="Cambria Math"/>
        </w:rPr>
        <w:t>‐</w:t>
      </w:r>
      <w:r w:rsidRPr="00222705">
        <w:rPr>
          <w:rFonts w:ascii="Arial" w:eastAsia="Aptos" w:hAnsi="Arial" w:cs="Arial"/>
        </w:rPr>
        <w:t>carriage tasks. Occupational Medicine, 51(5), pp.357-361.</w:t>
      </w:r>
    </w:p>
    <w:p w14:paraId="2B353253" w14:textId="77777777" w:rsidR="00A5234A" w:rsidRPr="00222705" w:rsidRDefault="00A5234A" w:rsidP="00EF007D">
      <w:pPr>
        <w:rPr>
          <w:rFonts w:ascii="Arial" w:hAnsi="Arial" w:cs="Arial"/>
        </w:rPr>
      </w:pPr>
    </w:p>
    <w:p w14:paraId="459C88E0" w14:textId="77777777" w:rsidR="008F4D29" w:rsidRPr="00222705" w:rsidRDefault="008F4D29" w:rsidP="00EF007D">
      <w:pPr>
        <w:rPr>
          <w:rFonts w:ascii="Arial" w:eastAsia="Aptos" w:hAnsi="Arial" w:cs="Arial"/>
        </w:rPr>
      </w:pPr>
      <w:r w:rsidRPr="00222705">
        <w:rPr>
          <w:rFonts w:ascii="Arial" w:eastAsia="Aptos" w:hAnsi="Arial" w:cs="Arial"/>
        </w:rPr>
        <w:t>Birben, E., Sahiner, U.M., Sackesen, C., Erzurum, S. and Kalayci, O., 2012. Oxidative stress and antioxidant defense. World allergy organization journal, 5(1), pp.9-19.</w:t>
      </w:r>
    </w:p>
    <w:p w14:paraId="40DC926F" w14:textId="77777777" w:rsidR="00BA04CF" w:rsidRPr="00222705" w:rsidRDefault="00BA04CF" w:rsidP="00EF007D">
      <w:pPr>
        <w:rPr>
          <w:rFonts w:ascii="Arial" w:eastAsia="Times New Roman" w:hAnsi="Arial" w:cs="Arial"/>
          <w:shd w:val="clear" w:color="auto" w:fill="FFFFFF"/>
          <w:lang w:val="en-GB" w:eastAsia="en-GB"/>
        </w:rPr>
      </w:pPr>
    </w:p>
    <w:p w14:paraId="0C6DF5D3" w14:textId="7027C5CF" w:rsidR="008F4D29" w:rsidRPr="00222705" w:rsidRDefault="008F4D29" w:rsidP="00EF007D">
      <w:pPr>
        <w:rPr>
          <w:rFonts w:ascii="Arial" w:eastAsia="Times New Roman" w:hAnsi="Arial" w:cs="Arial"/>
          <w:shd w:val="clear" w:color="auto" w:fill="FFFFFF"/>
          <w:lang w:val="en-GB" w:eastAsia="en-GB"/>
        </w:rPr>
      </w:pPr>
      <w:r w:rsidRPr="00222705">
        <w:rPr>
          <w:rFonts w:ascii="Arial" w:eastAsia="Times New Roman" w:hAnsi="Arial" w:cs="Arial"/>
          <w:shd w:val="clear" w:color="auto" w:fill="FFFFFF"/>
          <w:lang w:val="en-GB" w:eastAsia="en-GB"/>
        </w:rPr>
        <w:t xml:space="preserve">Birks, A., 2015. Validity and reliability of a modified version of the </w:t>
      </w:r>
      <w:proofErr w:type="spellStart"/>
      <w:r w:rsidRPr="00222705">
        <w:rPr>
          <w:rFonts w:ascii="Arial" w:eastAsia="Times New Roman" w:hAnsi="Arial" w:cs="Arial"/>
          <w:shd w:val="clear" w:color="auto" w:fill="FFFFFF"/>
          <w:lang w:val="en-GB" w:eastAsia="en-GB"/>
        </w:rPr>
        <w:t>chester</w:t>
      </w:r>
      <w:proofErr w:type="spellEnd"/>
      <w:r w:rsidRPr="00222705">
        <w:rPr>
          <w:rFonts w:ascii="Arial" w:eastAsia="Times New Roman" w:hAnsi="Arial" w:cs="Arial"/>
          <w:shd w:val="clear" w:color="auto" w:fill="FFFFFF"/>
          <w:lang w:val="en-GB" w:eastAsia="en-GB"/>
        </w:rPr>
        <w:t xml:space="preserve"> treadmill walking test (police) as an alternative to the 15-metre multi-stage police fitness test.</w:t>
      </w:r>
    </w:p>
    <w:p w14:paraId="06C55AF8" w14:textId="77777777" w:rsidR="00BA04CF" w:rsidRPr="00222705" w:rsidRDefault="00BA04CF" w:rsidP="00EF007D">
      <w:pPr>
        <w:rPr>
          <w:rFonts w:ascii="Arial" w:eastAsiaTheme="minorEastAsia" w:hAnsi="Arial" w:cs="Arial"/>
          <w:kern w:val="0"/>
          <w:lang w:val="en-GB" w:eastAsia="en-GB"/>
          <w14:ligatures w14:val="none"/>
        </w:rPr>
      </w:pPr>
    </w:p>
    <w:p w14:paraId="717C4E68" w14:textId="77777777" w:rsidR="008F4D29" w:rsidRPr="00222705" w:rsidRDefault="008F4D29" w:rsidP="00EF007D">
      <w:pPr>
        <w:rPr>
          <w:rFonts w:ascii="Arial" w:eastAsia="Aptos" w:hAnsi="Arial" w:cs="Arial"/>
          <w:lang w:val="en-GB"/>
        </w:rPr>
      </w:pPr>
      <w:r w:rsidRPr="00222705">
        <w:rPr>
          <w:rFonts w:ascii="Arial" w:eastAsia="Aptos" w:hAnsi="Arial" w:cs="Arial"/>
          <w:lang w:val="en-GB"/>
        </w:rPr>
        <w:t>Bisogni, V., Cerasari, A., Pucci, G. and Vaudo, G., 2020. Matrix metalloproteinases and hypertension-mediated organ damage: current insights. Integrated blood pressure control, pp.157-169.</w:t>
      </w:r>
    </w:p>
    <w:p w14:paraId="0F39D148" w14:textId="77777777" w:rsidR="00BA04CF" w:rsidRPr="00222705" w:rsidRDefault="00BA04CF" w:rsidP="00EF007D">
      <w:pPr>
        <w:rPr>
          <w:rFonts w:ascii="Arial" w:eastAsia="Aptos" w:hAnsi="Arial" w:cs="Arial"/>
          <w:lang w:val="en-GB"/>
        </w:rPr>
      </w:pPr>
    </w:p>
    <w:p w14:paraId="48D8D2CF"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lang w:val="en-GB"/>
          <w14:ligatures w14:val="none"/>
        </w:rPr>
        <w:t>British Heart Foundation (BHF) (2024) Your heart rate. Available at: https://www.bhf.org.uk/informationsupport/how-a-healthy-heart-works/your-heart-rate (Accessed: 25 February 2026).</w:t>
      </w:r>
      <w:r w:rsidRPr="00222705">
        <w:rPr>
          <w:rFonts w:ascii="Arial" w:eastAsia="Times New Roman" w:hAnsi="Arial" w:cs="Arial"/>
          <w:kern w:val="0"/>
          <w14:ligatures w14:val="none"/>
        </w:rPr>
        <w:t> </w:t>
      </w:r>
    </w:p>
    <w:p w14:paraId="411C1FBF" w14:textId="77777777" w:rsidR="008F4D29" w:rsidRPr="00222705" w:rsidRDefault="008F4D29" w:rsidP="00EF007D">
      <w:pPr>
        <w:rPr>
          <w:rFonts w:ascii="Arial" w:eastAsiaTheme="minorEastAsia" w:hAnsi="Arial" w:cs="Arial"/>
          <w:kern w:val="0"/>
          <w:lang w:val="en-GB" w:eastAsia="en-GB"/>
          <w14:ligatures w14:val="none"/>
        </w:rPr>
      </w:pPr>
      <w:r w:rsidRPr="00222705">
        <w:rPr>
          <w:rFonts w:ascii="Arial" w:eastAsiaTheme="minorEastAsia" w:hAnsi="Arial" w:cs="Arial"/>
          <w:kern w:val="0"/>
          <w:lang w:val="en-GB" w:eastAsia="en-GB"/>
          <w14:ligatures w14:val="none"/>
        </w:rPr>
        <w:t>Broom, A. and Willis, E. (2007) ‘Competing paradigms and health research’, in Saks, M. and Allsop, J. (eds.) Researching Health: Qualitative, Quantitative and Mixed Methods. London: SAGE, pp. 16–31.</w:t>
      </w:r>
    </w:p>
    <w:p w14:paraId="0204997E" w14:textId="77777777" w:rsidR="00BA04CF" w:rsidRPr="00222705" w:rsidRDefault="00BA04CF" w:rsidP="00EF007D">
      <w:pPr>
        <w:rPr>
          <w:rFonts w:ascii="Arial" w:eastAsiaTheme="minorEastAsia" w:hAnsi="Arial" w:cs="Arial"/>
          <w:kern w:val="0"/>
          <w:lang w:val="en-GB" w:eastAsia="en-GB"/>
          <w14:ligatures w14:val="none"/>
        </w:rPr>
      </w:pPr>
    </w:p>
    <w:p w14:paraId="6EFAC657"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Broussard, J., Haack, M., Serrador, J. and Mullington, J.M., 2004, January. Effects of sleep restriction on blood pressure. In </w:t>
      </w:r>
      <w:r w:rsidRPr="00222705">
        <w:rPr>
          <w:rFonts w:ascii="Arial" w:hAnsi="Arial" w:cs="Arial"/>
        </w:rPr>
        <w:t>Sleep</w:t>
      </w:r>
      <w:r w:rsidRPr="00222705">
        <w:rPr>
          <w:rFonts w:ascii="Arial" w:hAnsi="Arial" w:cs="Arial"/>
          <w:shd w:val="clear" w:color="auto" w:fill="FFFFFF"/>
        </w:rPr>
        <w:t> (Vol. 27, pp. 171-171). JOURNALS DEPT, 2001 EVANS RD, CARY, NC 27513 USA: OXFORD UNIV PRESS INC.</w:t>
      </w:r>
    </w:p>
    <w:p w14:paraId="47FC6263" w14:textId="77777777" w:rsidR="00BA04CF" w:rsidRPr="00222705" w:rsidRDefault="00BA04CF" w:rsidP="00EF007D">
      <w:pPr>
        <w:rPr>
          <w:rFonts w:ascii="Arial" w:hAnsi="Arial" w:cs="Arial"/>
          <w:shd w:val="clear" w:color="auto" w:fill="FFFFFF"/>
        </w:rPr>
      </w:pPr>
    </w:p>
    <w:p w14:paraId="2597DD49" w14:textId="77777777" w:rsidR="008F4D29" w:rsidRPr="00222705" w:rsidRDefault="008F4D29" w:rsidP="00EF007D">
      <w:pPr>
        <w:rPr>
          <w:rFonts w:ascii="Arial" w:eastAsia="Times New Roman" w:hAnsi="Arial" w:cs="Arial"/>
          <w:shd w:val="clear" w:color="auto" w:fill="FFFFFF"/>
          <w:lang w:val="en-GB" w:eastAsia="en-GB"/>
        </w:rPr>
      </w:pPr>
      <w:r w:rsidRPr="00222705">
        <w:rPr>
          <w:rFonts w:ascii="Arial" w:eastAsia="Times New Roman" w:hAnsi="Arial" w:cs="Arial"/>
          <w:shd w:val="clear" w:color="auto" w:fill="FFFFFF"/>
          <w:lang w:val="en-GB" w:eastAsia="en-GB"/>
        </w:rPr>
        <w:t>Bruce-Low, S.S., Cotterrell, D. and Jones, G.E., 2007. Effect of wearing personal protective clothing and self-contained breathing apparatus on heart rate, temperature and oxygen consumption during stepping exercise and live fire training exercises. </w:t>
      </w:r>
      <w:r w:rsidRPr="00222705">
        <w:rPr>
          <w:rFonts w:ascii="Arial" w:eastAsia="Times New Roman" w:hAnsi="Arial" w:cs="Arial"/>
          <w:lang w:val="en-GB" w:eastAsia="en-GB"/>
        </w:rPr>
        <w:t>Ergonomics</w:t>
      </w:r>
      <w:r w:rsidRPr="00222705">
        <w:rPr>
          <w:rFonts w:ascii="Arial" w:eastAsia="Times New Roman" w:hAnsi="Arial" w:cs="Arial"/>
          <w:shd w:val="clear" w:color="auto" w:fill="FFFFFF"/>
          <w:lang w:val="en-GB" w:eastAsia="en-GB"/>
        </w:rPr>
        <w:t>, </w:t>
      </w:r>
      <w:r w:rsidRPr="00222705">
        <w:rPr>
          <w:rFonts w:ascii="Arial" w:eastAsia="Times New Roman" w:hAnsi="Arial" w:cs="Arial"/>
          <w:lang w:val="en-GB" w:eastAsia="en-GB"/>
        </w:rPr>
        <w:t>50</w:t>
      </w:r>
      <w:r w:rsidRPr="00222705">
        <w:rPr>
          <w:rFonts w:ascii="Arial" w:eastAsia="Times New Roman" w:hAnsi="Arial" w:cs="Arial"/>
          <w:shd w:val="clear" w:color="auto" w:fill="FFFFFF"/>
          <w:lang w:val="en-GB" w:eastAsia="en-GB"/>
        </w:rPr>
        <w:t>(1), pp.80-98.</w:t>
      </w:r>
    </w:p>
    <w:p w14:paraId="0A940687" w14:textId="77777777" w:rsidR="00BA04CF" w:rsidRPr="00222705" w:rsidRDefault="00BA04CF" w:rsidP="00EF007D">
      <w:pPr>
        <w:rPr>
          <w:rFonts w:ascii="Arial" w:eastAsia="Times New Roman" w:hAnsi="Arial" w:cs="Arial"/>
          <w:shd w:val="clear" w:color="auto" w:fill="FFFFFF"/>
          <w:lang w:val="en-GB" w:eastAsia="en-GB"/>
        </w:rPr>
      </w:pPr>
    </w:p>
    <w:p w14:paraId="4E10FFBA" w14:textId="77777777" w:rsidR="008F4D29" w:rsidRPr="00222705" w:rsidRDefault="008F4D29" w:rsidP="00EF007D">
      <w:pPr>
        <w:rPr>
          <w:rFonts w:ascii="Arial" w:eastAsia="Times New Roman" w:hAnsi="Arial" w:cs="Arial"/>
          <w:kern w:val="0"/>
          <w:shd w:val="clear" w:color="auto" w:fill="FFFFFF"/>
          <w14:ligatures w14:val="none"/>
        </w:rPr>
      </w:pPr>
      <w:r w:rsidRPr="00222705">
        <w:rPr>
          <w:rFonts w:ascii="Arial" w:eastAsia="Times New Roman" w:hAnsi="Arial" w:cs="Arial"/>
          <w:kern w:val="0"/>
          <w:shd w:val="clear" w:color="auto" w:fill="FFFFFF"/>
          <w14:ligatures w14:val="none"/>
        </w:rPr>
        <w:t>Bucala, M. and Sweet, E., 2019. Obesity in the fire service: An inside look at the perceptions of firefighters towards obesity and other health issues.</w:t>
      </w:r>
    </w:p>
    <w:p w14:paraId="6A768776" w14:textId="77777777" w:rsidR="00BA04CF" w:rsidRPr="00222705" w:rsidRDefault="00BA04CF" w:rsidP="00EF007D">
      <w:pPr>
        <w:rPr>
          <w:rFonts w:ascii="Arial" w:eastAsia="Times New Roman" w:hAnsi="Arial" w:cs="Arial"/>
          <w:kern w:val="0"/>
          <w:shd w:val="clear" w:color="auto" w:fill="FFFFFF"/>
          <w14:ligatures w14:val="none"/>
        </w:rPr>
      </w:pPr>
    </w:p>
    <w:p w14:paraId="7D2F63F9"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Buchheit, M., 2014. Monitoring training status with HR measures: do all roads lead to Rome?.Frontiers in physiology, 5, p.73. </w:t>
      </w:r>
    </w:p>
    <w:p w14:paraId="507D892A" w14:textId="77777777" w:rsidR="00BA04CF" w:rsidRPr="00222705" w:rsidRDefault="00BA04CF" w:rsidP="00EF007D">
      <w:pPr>
        <w:rPr>
          <w:rFonts w:ascii="Arial" w:eastAsia="Times New Roman" w:hAnsi="Arial" w:cs="Arial"/>
          <w:kern w:val="0"/>
          <w14:ligatures w14:val="none"/>
        </w:rPr>
      </w:pPr>
    </w:p>
    <w:p w14:paraId="356AC559" w14:textId="1E1B3965" w:rsidR="00BA04CF" w:rsidRPr="00222705" w:rsidRDefault="00BA04CF" w:rsidP="00EF007D">
      <w:pPr>
        <w:rPr>
          <w:rFonts w:ascii="Arial" w:eastAsia="Times New Roman" w:hAnsi="Arial" w:cs="Arial"/>
          <w:kern w:val="0"/>
          <w14:ligatures w14:val="none"/>
        </w:rPr>
      </w:pPr>
      <w:r w:rsidRPr="00222705">
        <w:rPr>
          <w:rFonts w:ascii="Arial" w:eastAsia="Times New Roman" w:hAnsi="Arial" w:cs="Arial"/>
          <w:kern w:val="0"/>
          <w14:ligatures w14:val="none"/>
        </w:rPr>
        <w:lastRenderedPageBreak/>
        <w:t>Buckley, J.D., Burgess, S., Murphy, K.J. and Howe, P.R., 2009. DHA-rich fish oil lowers heart rate during submaximal exercise in elite Australian Rules footballers. Journal of Science and Medicine in Sport, 12(4), pp.503-507</w:t>
      </w:r>
    </w:p>
    <w:p w14:paraId="7A717687" w14:textId="77777777" w:rsidR="00BA04CF" w:rsidRPr="00222705" w:rsidRDefault="00BA04CF" w:rsidP="00EF007D">
      <w:pPr>
        <w:rPr>
          <w:rFonts w:ascii="Arial" w:eastAsia="Times New Roman" w:hAnsi="Arial" w:cs="Arial"/>
          <w:kern w:val="0"/>
          <w14:ligatures w14:val="none"/>
        </w:rPr>
      </w:pPr>
    </w:p>
    <w:p w14:paraId="185C675A" w14:textId="77777777" w:rsidR="008F4D29" w:rsidRPr="00222705" w:rsidRDefault="008F4D29" w:rsidP="00EF007D">
      <w:pPr>
        <w:rPr>
          <w:rFonts w:ascii="Arial" w:hAnsi="Arial" w:cs="Arial"/>
        </w:rPr>
      </w:pPr>
      <w:r w:rsidRPr="00222705">
        <w:rPr>
          <w:rFonts w:ascii="Arial" w:hAnsi="Arial" w:cs="Arial"/>
        </w:rPr>
        <w:t>Buckley, T.C. and Kaloupek, D.G., 2001. A meta-analytic examination of basal cardiovascular activity in posttraumatic stress disorder. Biopsychosocial Science and Medicine, 63(4), pp.585-594.</w:t>
      </w:r>
    </w:p>
    <w:p w14:paraId="55CDDB41" w14:textId="77777777" w:rsidR="00BA04CF" w:rsidRPr="00222705" w:rsidRDefault="00BA04CF" w:rsidP="00EF007D">
      <w:pPr>
        <w:rPr>
          <w:rFonts w:ascii="Arial" w:hAnsi="Arial" w:cs="Arial"/>
        </w:rPr>
      </w:pPr>
    </w:p>
    <w:p w14:paraId="2BF59601" w14:textId="77777777" w:rsidR="008F4D29" w:rsidRPr="00222705" w:rsidRDefault="008F4D29" w:rsidP="00EF007D">
      <w:pPr>
        <w:rPr>
          <w:rFonts w:ascii="Arial" w:eastAsiaTheme="minorEastAsia" w:hAnsi="Arial" w:cs="Arial"/>
          <w:kern w:val="0"/>
          <w:lang w:val="en-GB" w:eastAsia="en-GB"/>
          <w14:ligatures w14:val="none"/>
        </w:rPr>
      </w:pPr>
      <w:r w:rsidRPr="00222705">
        <w:rPr>
          <w:rFonts w:ascii="Arial" w:eastAsiaTheme="minorEastAsia" w:hAnsi="Arial" w:cs="Arial"/>
          <w:kern w:val="0"/>
          <w:lang w:val="en-GB" w:eastAsia="en-GB"/>
          <w14:ligatures w14:val="none"/>
        </w:rPr>
        <w:t>Burke, L. and Deakin, V. (2021) Clinical Sports Nutrition. 6th edn. McGraw Hill.</w:t>
      </w:r>
    </w:p>
    <w:p w14:paraId="52129C2B" w14:textId="77777777" w:rsidR="00BA04CF" w:rsidRPr="00222705" w:rsidRDefault="00BA04CF" w:rsidP="00EF007D">
      <w:pPr>
        <w:rPr>
          <w:rFonts w:ascii="Arial" w:eastAsiaTheme="minorEastAsia" w:hAnsi="Arial" w:cs="Arial"/>
          <w:kern w:val="0"/>
          <w:lang w:val="en-GB" w:eastAsia="en-GB"/>
          <w14:ligatures w14:val="none"/>
        </w:rPr>
      </w:pPr>
    </w:p>
    <w:p w14:paraId="07886195"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Buxton, O.M. and Marcelli, E., 2010. Short and long sleep are positively associated with obesity, diabetes, hypertension, and cardiovascular disease among adults in the United States. </w:t>
      </w:r>
      <w:r w:rsidRPr="00222705">
        <w:rPr>
          <w:rFonts w:ascii="Arial" w:hAnsi="Arial" w:cs="Arial"/>
        </w:rPr>
        <w:t>Social science &amp; medicine</w:t>
      </w:r>
      <w:r w:rsidRPr="00222705">
        <w:rPr>
          <w:rFonts w:ascii="Arial" w:hAnsi="Arial" w:cs="Arial"/>
          <w:shd w:val="clear" w:color="auto" w:fill="FFFFFF"/>
        </w:rPr>
        <w:t>, </w:t>
      </w:r>
      <w:r w:rsidRPr="00222705">
        <w:rPr>
          <w:rFonts w:ascii="Arial" w:hAnsi="Arial" w:cs="Arial"/>
        </w:rPr>
        <w:t>71</w:t>
      </w:r>
      <w:r w:rsidRPr="00222705">
        <w:rPr>
          <w:rFonts w:ascii="Arial" w:hAnsi="Arial" w:cs="Arial"/>
          <w:shd w:val="clear" w:color="auto" w:fill="FFFFFF"/>
        </w:rPr>
        <w:t>(5), pp.1027-1036.</w:t>
      </w:r>
    </w:p>
    <w:p w14:paraId="607706BA" w14:textId="77777777" w:rsidR="00BA04CF" w:rsidRPr="00222705" w:rsidRDefault="00BA04CF" w:rsidP="00EF007D">
      <w:pPr>
        <w:rPr>
          <w:rFonts w:ascii="Arial" w:hAnsi="Arial" w:cs="Arial"/>
          <w:shd w:val="clear" w:color="auto" w:fill="FFFFFF"/>
        </w:rPr>
      </w:pPr>
    </w:p>
    <w:p w14:paraId="161453F8" w14:textId="77777777" w:rsidR="008F4D29" w:rsidRPr="00222705" w:rsidRDefault="008F4D29" w:rsidP="00EF007D">
      <w:pPr>
        <w:rPr>
          <w:rFonts w:ascii="Arial" w:eastAsia="Aptos" w:hAnsi="Arial" w:cs="Arial"/>
          <w:lang w:val="en-GB"/>
        </w:rPr>
      </w:pPr>
      <w:r w:rsidRPr="00222705">
        <w:rPr>
          <w:rFonts w:ascii="Arial" w:eastAsia="Aptos" w:hAnsi="Arial" w:cs="Arial"/>
          <w:lang w:val="en-GB"/>
        </w:rPr>
        <w:t>Cai, Z., Gong, Z., Li, Z., Li, L. and Kong, W., 2021. Vascular extracellular matrix remodeling and hypertension. Antioxidants &amp; Redox Signaling, 34(10), pp.765-783.</w:t>
      </w:r>
    </w:p>
    <w:p w14:paraId="1B8A3575" w14:textId="77777777" w:rsidR="00BA04CF" w:rsidRPr="00222705" w:rsidRDefault="00BA04CF" w:rsidP="00EF007D">
      <w:pPr>
        <w:rPr>
          <w:rFonts w:ascii="Arial" w:eastAsia="Aptos" w:hAnsi="Arial" w:cs="Arial"/>
          <w:lang w:val="en-GB"/>
        </w:rPr>
      </w:pPr>
    </w:p>
    <w:p w14:paraId="24E60578" w14:textId="77777777" w:rsidR="008F4D29" w:rsidRPr="00222705" w:rsidRDefault="008F4D29" w:rsidP="00EF007D">
      <w:pPr>
        <w:rPr>
          <w:rFonts w:ascii="Arial" w:eastAsia="Times New Roman" w:hAnsi="Arial" w:cs="Arial"/>
          <w:color w:val="000000" w:themeColor="text1"/>
          <w:kern w:val="0"/>
          <w14:ligatures w14:val="none"/>
        </w:rPr>
      </w:pPr>
      <w:r w:rsidRPr="00222705">
        <w:rPr>
          <w:rFonts w:ascii="Arial" w:eastAsia="Times New Roman" w:hAnsi="Arial" w:cs="Arial"/>
          <w:color w:val="000000" w:themeColor="text1"/>
          <w:kern w:val="0"/>
          <w14:ligatures w14:val="none"/>
        </w:rPr>
        <w:t>Calder, P.C., 2008. The relationship between the fatty acid composition of immune cells and their function. Prostaglandins, Leukotrienes and Essential Fatty Acids, 79(3-5), pp.101-108. </w:t>
      </w:r>
    </w:p>
    <w:p w14:paraId="26B3EDED" w14:textId="77777777" w:rsidR="00BA04CF" w:rsidRPr="00222705" w:rsidRDefault="00BA04CF" w:rsidP="00EF007D">
      <w:pPr>
        <w:rPr>
          <w:rFonts w:ascii="Arial" w:eastAsia="Times New Roman" w:hAnsi="Arial" w:cs="Arial"/>
          <w:color w:val="000000"/>
          <w:kern w:val="0"/>
          <w14:ligatures w14:val="none"/>
        </w:rPr>
      </w:pPr>
    </w:p>
    <w:p w14:paraId="276CA529" w14:textId="77777777" w:rsidR="008F4D29" w:rsidRPr="00222705" w:rsidRDefault="008F4D29" w:rsidP="00EF007D">
      <w:pPr>
        <w:rPr>
          <w:rFonts w:ascii="Arial" w:eastAsia="Times New Roman" w:hAnsi="Arial" w:cs="Arial"/>
          <w:color w:val="000000" w:themeColor="text1"/>
          <w:kern w:val="0"/>
          <w14:ligatures w14:val="none"/>
        </w:rPr>
      </w:pPr>
      <w:r w:rsidRPr="00222705">
        <w:rPr>
          <w:rFonts w:ascii="Arial" w:eastAsia="Times New Roman" w:hAnsi="Arial" w:cs="Arial"/>
          <w:color w:val="000000" w:themeColor="text1"/>
          <w:kern w:val="0"/>
          <w14:ligatures w14:val="none"/>
        </w:rPr>
        <w:t>Calder, P.C., 2010. Omega-3 fatty acids and inflammatory processes. Nutrients, 2(3), pp.355-374. </w:t>
      </w:r>
    </w:p>
    <w:p w14:paraId="317918C8" w14:textId="77777777" w:rsidR="00BA04CF" w:rsidRPr="00222705" w:rsidRDefault="00BA04CF" w:rsidP="00EF007D">
      <w:pPr>
        <w:rPr>
          <w:rFonts w:ascii="Arial" w:eastAsia="Times New Roman" w:hAnsi="Arial" w:cs="Arial"/>
          <w:color w:val="000000"/>
          <w:kern w:val="0"/>
          <w14:ligatures w14:val="none"/>
        </w:rPr>
      </w:pPr>
    </w:p>
    <w:p w14:paraId="0E08E433" w14:textId="77777777" w:rsidR="008F4D29" w:rsidRPr="00222705" w:rsidRDefault="008F4D29" w:rsidP="00EF007D">
      <w:pPr>
        <w:rPr>
          <w:rFonts w:ascii="Arial" w:eastAsia="Times New Roman" w:hAnsi="Arial" w:cs="Arial"/>
          <w:color w:val="000000" w:themeColor="text1"/>
          <w:kern w:val="0"/>
          <w14:ligatures w14:val="none"/>
        </w:rPr>
      </w:pPr>
      <w:r w:rsidRPr="00222705">
        <w:rPr>
          <w:rFonts w:ascii="Arial" w:eastAsia="Times New Roman" w:hAnsi="Arial" w:cs="Arial"/>
          <w:color w:val="000000" w:themeColor="text1"/>
          <w:kern w:val="0"/>
          <w14:ligatures w14:val="none"/>
        </w:rPr>
        <w:t xml:space="preserve">Calder, P.C., 2017. Omega-3 fatty acids and inflammatory processes: from </w:t>
      </w:r>
      <w:proofErr w:type="spellStart"/>
      <w:r w:rsidRPr="00222705">
        <w:rPr>
          <w:rFonts w:ascii="Arial" w:eastAsia="Times New Roman" w:hAnsi="Arial" w:cs="Arial"/>
          <w:color w:val="000000" w:themeColor="text1"/>
          <w:kern w:val="0"/>
          <w14:ligatures w14:val="none"/>
        </w:rPr>
        <w:t>moleculesto</w:t>
      </w:r>
      <w:proofErr w:type="spellEnd"/>
      <w:r w:rsidRPr="00222705">
        <w:rPr>
          <w:rFonts w:ascii="Arial" w:eastAsia="Times New Roman" w:hAnsi="Arial" w:cs="Arial"/>
          <w:color w:val="000000" w:themeColor="text1"/>
          <w:kern w:val="0"/>
          <w14:ligatures w14:val="none"/>
        </w:rPr>
        <w:t> man. Biochemical Society Transactions, 45(5), pp.1105-1115. </w:t>
      </w:r>
    </w:p>
    <w:p w14:paraId="78812004" w14:textId="77777777" w:rsidR="00BA04CF" w:rsidRPr="00222705" w:rsidRDefault="00BA04CF" w:rsidP="00EF007D">
      <w:pPr>
        <w:rPr>
          <w:rFonts w:ascii="Arial" w:eastAsia="Times New Roman" w:hAnsi="Arial" w:cs="Arial"/>
          <w:color w:val="000000"/>
          <w:kern w:val="0"/>
          <w14:ligatures w14:val="none"/>
        </w:rPr>
      </w:pPr>
    </w:p>
    <w:p w14:paraId="062724E4" w14:textId="77777777" w:rsidR="008F4D29" w:rsidRPr="00222705" w:rsidRDefault="008F4D29" w:rsidP="00EF007D">
      <w:pPr>
        <w:rPr>
          <w:rFonts w:ascii="Arial" w:hAnsi="Arial" w:cs="Arial"/>
          <w:color w:val="000000" w:themeColor="text1"/>
        </w:rPr>
      </w:pPr>
      <w:r w:rsidRPr="00222705">
        <w:rPr>
          <w:rFonts w:ascii="Arial" w:hAnsi="Arial" w:cs="Arial"/>
          <w:color w:val="000000" w:themeColor="text1"/>
        </w:rPr>
        <w:t>Calder, P.C., Bosco, N., Bourdet-Sicard, R., Capuron, L., Delzenne, N., Doré, J., Franceschi, C., Lehtinen, M.J., Recker, T., Salvioli, S. and Visioli, F., 2017. Health relevance of the modification of low grade inflammation in ageing (inflammageing) and the role of nutrition. Ageing research reviews, 40, pp.95-119. </w:t>
      </w:r>
    </w:p>
    <w:p w14:paraId="26BEE053" w14:textId="658F28AC" w:rsidR="008F4D29" w:rsidRPr="00222705" w:rsidRDefault="008F4D29" w:rsidP="00EF007D">
      <w:pPr>
        <w:rPr>
          <w:rFonts w:ascii="Arial" w:eastAsia="Times New Roman" w:hAnsi="Arial" w:cs="Arial"/>
          <w:color w:val="000000" w:themeColor="text1"/>
          <w:kern w:val="0"/>
          <w14:ligatures w14:val="none"/>
        </w:rPr>
      </w:pPr>
    </w:p>
    <w:p w14:paraId="36A8ACAB" w14:textId="77777777" w:rsidR="00BA04CF" w:rsidRPr="00222705" w:rsidRDefault="00BA04CF" w:rsidP="00EF007D">
      <w:pPr>
        <w:rPr>
          <w:rFonts w:ascii="Arial" w:eastAsia="Times New Roman" w:hAnsi="Arial" w:cs="Arial"/>
          <w:color w:val="000000"/>
          <w:kern w:val="0"/>
          <w14:ligatures w14:val="none"/>
        </w:rPr>
      </w:pPr>
    </w:p>
    <w:p w14:paraId="03B08B0D" w14:textId="77777777" w:rsidR="008F4D29" w:rsidRPr="00222705" w:rsidRDefault="008F4D29" w:rsidP="00EF007D">
      <w:pPr>
        <w:rPr>
          <w:rFonts w:ascii="Arial" w:hAnsi="Arial" w:cs="Arial"/>
        </w:rPr>
      </w:pPr>
      <w:r w:rsidRPr="00222705">
        <w:rPr>
          <w:rFonts w:ascii="Arial" w:hAnsi="Arial" w:cs="Arial"/>
          <w:lang w:val="en-GB"/>
        </w:rPr>
        <w:t xml:space="preserve">Cameron, N.A., Shen, J., Rusk, K., Parker, R., </w:t>
      </w:r>
      <w:proofErr w:type="spellStart"/>
      <w:r w:rsidRPr="00222705">
        <w:rPr>
          <w:rFonts w:ascii="Arial" w:hAnsi="Arial" w:cs="Arial"/>
          <w:lang w:val="en-GB"/>
        </w:rPr>
        <w:t>Godino</w:t>
      </w:r>
      <w:proofErr w:type="spellEnd"/>
      <w:r w:rsidRPr="00222705">
        <w:rPr>
          <w:rFonts w:ascii="Arial" w:hAnsi="Arial" w:cs="Arial"/>
          <w:lang w:val="en-GB"/>
        </w:rPr>
        <w:t>, J.G. and Nichols, J.F., 2018. Longitudinal decline in cardiorespiratory fitness with age among male firefighters in San Diego, California, 2005–2015. American journal of public health, 108(10), pp.1388-1393.</w:t>
      </w:r>
      <w:r w:rsidRPr="00222705">
        <w:rPr>
          <w:rFonts w:ascii="Arial" w:hAnsi="Arial" w:cs="Arial"/>
        </w:rPr>
        <w:t> </w:t>
      </w:r>
    </w:p>
    <w:p w14:paraId="70CC6FB9" w14:textId="77777777" w:rsidR="00BA04CF" w:rsidRPr="00222705" w:rsidRDefault="00BA04CF" w:rsidP="00EF007D">
      <w:pPr>
        <w:rPr>
          <w:rFonts w:ascii="Arial" w:hAnsi="Arial" w:cs="Arial"/>
        </w:rPr>
      </w:pPr>
    </w:p>
    <w:p w14:paraId="26D31C5C"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 xml:space="preserve">Cannataro, R., Abrego-Guandique, D.M., Straface, N. and Cione, E., 2024. Omega-3 and sports: </w:t>
      </w:r>
      <w:proofErr w:type="spellStart"/>
      <w:r w:rsidRPr="00222705">
        <w:rPr>
          <w:rFonts w:ascii="Arial" w:eastAsia="Times New Roman" w:hAnsi="Arial" w:cs="Arial"/>
          <w:kern w:val="0"/>
          <w14:ligatures w14:val="none"/>
        </w:rPr>
        <w:t>focuson</w:t>
      </w:r>
      <w:proofErr w:type="spellEnd"/>
      <w:r w:rsidRPr="00222705">
        <w:rPr>
          <w:rFonts w:ascii="Arial" w:eastAsia="Times New Roman" w:hAnsi="Arial" w:cs="Arial"/>
          <w:kern w:val="0"/>
          <w14:ligatures w14:val="none"/>
        </w:rPr>
        <w:t> inflammation. Life, 14(10), p.1315. </w:t>
      </w:r>
    </w:p>
    <w:p w14:paraId="4FDA57AC" w14:textId="77777777" w:rsidR="00BA04CF" w:rsidRPr="00222705" w:rsidRDefault="00BA04CF" w:rsidP="00EF007D">
      <w:pPr>
        <w:rPr>
          <w:rFonts w:ascii="Arial" w:eastAsia="Times New Roman" w:hAnsi="Arial" w:cs="Arial"/>
          <w:kern w:val="0"/>
          <w14:ligatures w14:val="none"/>
        </w:rPr>
      </w:pPr>
    </w:p>
    <w:p w14:paraId="0BF3B677" w14:textId="77777777" w:rsidR="008F4D29" w:rsidRPr="00222705" w:rsidRDefault="008F4D29" w:rsidP="00EF007D">
      <w:pPr>
        <w:rPr>
          <w:rFonts w:ascii="Arial" w:eastAsia="Times New Roman" w:hAnsi="Arial" w:cs="Arial"/>
          <w:shd w:val="clear" w:color="auto" w:fill="FFFFFF"/>
          <w:lang w:val="en-GB" w:eastAsia="en-GB"/>
        </w:rPr>
      </w:pPr>
      <w:r w:rsidRPr="00222705">
        <w:rPr>
          <w:rFonts w:ascii="Arial" w:eastAsia="Times New Roman" w:hAnsi="Arial" w:cs="Arial"/>
          <w:shd w:val="clear" w:color="auto" w:fill="FFFFFF"/>
          <w:lang w:val="en-GB" w:eastAsia="en-GB"/>
        </w:rPr>
        <w:t>Carey, M.G., Al-Zaiti, S.S., Dean, G.E., Sessanna, L. and Finnell, D.S., 2011. Sleep problems, depression, substance use, social bonding, and quality of life in professional firefighters. </w:t>
      </w:r>
      <w:r w:rsidRPr="00222705">
        <w:rPr>
          <w:rFonts w:ascii="Arial" w:eastAsia="Times New Roman" w:hAnsi="Arial" w:cs="Arial"/>
          <w:lang w:val="en-GB" w:eastAsia="en-GB"/>
        </w:rPr>
        <w:t>Journal of occupational and environmental medicine</w:t>
      </w:r>
      <w:r w:rsidRPr="00222705">
        <w:rPr>
          <w:rFonts w:ascii="Arial" w:eastAsia="Times New Roman" w:hAnsi="Arial" w:cs="Arial"/>
          <w:shd w:val="clear" w:color="auto" w:fill="FFFFFF"/>
          <w:lang w:val="en-GB" w:eastAsia="en-GB"/>
        </w:rPr>
        <w:t>, </w:t>
      </w:r>
      <w:r w:rsidRPr="00222705">
        <w:rPr>
          <w:rFonts w:ascii="Arial" w:eastAsia="Times New Roman" w:hAnsi="Arial" w:cs="Arial"/>
          <w:lang w:val="en-GB" w:eastAsia="en-GB"/>
        </w:rPr>
        <w:t>53</w:t>
      </w:r>
      <w:r w:rsidRPr="00222705">
        <w:rPr>
          <w:rFonts w:ascii="Arial" w:eastAsia="Times New Roman" w:hAnsi="Arial" w:cs="Arial"/>
          <w:shd w:val="clear" w:color="auto" w:fill="FFFFFF"/>
          <w:lang w:val="en-GB" w:eastAsia="en-GB"/>
        </w:rPr>
        <w:t>(8), pp.928-933.</w:t>
      </w:r>
    </w:p>
    <w:p w14:paraId="02AFE3A3" w14:textId="77777777" w:rsidR="00BA04CF" w:rsidRPr="00222705" w:rsidRDefault="00BA04CF" w:rsidP="00EF007D">
      <w:pPr>
        <w:rPr>
          <w:rFonts w:ascii="Arial" w:eastAsia="Times New Roman" w:hAnsi="Arial" w:cs="Arial"/>
          <w:shd w:val="clear" w:color="auto" w:fill="FFFFFF"/>
          <w:lang w:val="en-GB" w:eastAsia="en-GB"/>
        </w:rPr>
      </w:pPr>
    </w:p>
    <w:p w14:paraId="1FAB99D2" w14:textId="77777777" w:rsidR="008F4D29" w:rsidRPr="00222705" w:rsidRDefault="008F4D29" w:rsidP="00EF007D">
      <w:pPr>
        <w:rPr>
          <w:rFonts w:ascii="Arial" w:eastAsia="Aptos" w:hAnsi="Arial" w:cs="Arial"/>
          <w:lang w:val="en-GB"/>
        </w:rPr>
      </w:pPr>
      <w:r w:rsidRPr="00222705">
        <w:rPr>
          <w:rFonts w:ascii="Arial" w:eastAsia="Aptos" w:hAnsi="Arial" w:cs="Arial"/>
          <w:lang w:val="en-GB"/>
        </w:rPr>
        <w:t>Cau, S.B., Bruder-Nascimento, A., Silva, M.B., Ramalho, F.N., Mestriner, F., Alves-Lopes, R., Ferreira, N., Tostes, R.C. and Bruder-Nascimento, T., 2021. Angiotensin-II activates vascular inflammasome and induces vascular damage. Vascular pharmacology, 139, p.106881.</w:t>
      </w:r>
    </w:p>
    <w:p w14:paraId="4E4230E8" w14:textId="77777777" w:rsidR="00BA04CF" w:rsidRPr="00222705" w:rsidRDefault="00BA04CF" w:rsidP="00EF007D">
      <w:pPr>
        <w:rPr>
          <w:rFonts w:ascii="Arial" w:eastAsia="Aptos" w:hAnsi="Arial" w:cs="Arial"/>
        </w:rPr>
      </w:pPr>
    </w:p>
    <w:p w14:paraId="1538D5AC"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Chae, C.U., Lee, R.T., Rifai, N. and Ridker, P.M., 2001. Blood pressure and inflammation in apparently healthy men. </w:t>
      </w:r>
      <w:r w:rsidRPr="00222705">
        <w:rPr>
          <w:rFonts w:ascii="Arial" w:hAnsi="Arial" w:cs="Arial"/>
        </w:rPr>
        <w:t>Hypertension</w:t>
      </w:r>
      <w:r w:rsidRPr="00222705">
        <w:rPr>
          <w:rFonts w:ascii="Arial" w:hAnsi="Arial" w:cs="Arial"/>
          <w:shd w:val="clear" w:color="auto" w:fill="FFFFFF"/>
        </w:rPr>
        <w:t>, </w:t>
      </w:r>
      <w:r w:rsidRPr="00222705">
        <w:rPr>
          <w:rFonts w:ascii="Arial" w:hAnsi="Arial" w:cs="Arial"/>
        </w:rPr>
        <w:t>38</w:t>
      </w:r>
      <w:r w:rsidRPr="00222705">
        <w:rPr>
          <w:rFonts w:ascii="Arial" w:hAnsi="Arial" w:cs="Arial"/>
          <w:shd w:val="clear" w:color="auto" w:fill="FFFFFF"/>
        </w:rPr>
        <w:t>(3), pp.399-403.</w:t>
      </w:r>
    </w:p>
    <w:p w14:paraId="2B78F59A" w14:textId="77777777" w:rsidR="00BA04CF" w:rsidRPr="00222705" w:rsidRDefault="00BA04CF" w:rsidP="00EF007D">
      <w:pPr>
        <w:rPr>
          <w:rFonts w:ascii="Arial" w:hAnsi="Arial" w:cs="Arial"/>
          <w:shd w:val="clear" w:color="auto" w:fill="FFFFFF"/>
        </w:rPr>
      </w:pPr>
    </w:p>
    <w:p w14:paraId="4069ECCB" w14:textId="77777777" w:rsidR="008F4D29" w:rsidRPr="00222705" w:rsidRDefault="008F4D29" w:rsidP="00EF007D">
      <w:pPr>
        <w:rPr>
          <w:rFonts w:ascii="Arial" w:hAnsi="Arial" w:cs="Arial"/>
        </w:rPr>
      </w:pPr>
      <w:r w:rsidRPr="00222705">
        <w:rPr>
          <w:rFonts w:ascii="Arial" w:hAnsi="Arial" w:cs="Arial"/>
        </w:rPr>
        <w:t>Chau, N.P., Safar, M.E., Weiss, Y.A., London, G.M., Simon, A.C. and Milliez, P.L., 1978. Relationships between cardiac output, heart rate and blood volume in essential hypertension. Clinical Science and Molecular Medicine, 54(2), pp.175-180. </w:t>
      </w:r>
    </w:p>
    <w:p w14:paraId="0190BCA0" w14:textId="77777777" w:rsidR="00BA04CF" w:rsidRPr="00222705" w:rsidRDefault="00BA04CF" w:rsidP="00EF007D">
      <w:pPr>
        <w:rPr>
          <w:rFonts w:ascii="Arial" w:hAnsi="Arial" w:cs="Arial"/>
        </w:rPr>
      </w:pPr>
    </w:p>
    <w:p w14:paraId="3AAE0243" w14:textId="77777777" w:rsidR="008F4D29" w:rsidRPr="00222705" w:rsidRDefault="008F4D29" w:rsidP="00EF007D">
      <w:pPr>
        <w:rPr>
          <w:rFonts w:ascii="Arial" w:eastAsia="Aptos" w:hAnsi="Arial" w:cs="Arial"/>
          <w:lang w:val="en-GB"/>
        </w:rPr>
      </w:pPr>
      <w:r w:rsidRPr="00222705">
        <w:rPr>
          <w:rFonts w:ascii="Arial" w:eastAsia="Aptos" w:hAnsi="Arial" w:cs="Arial"/>
          <w:lang w:val="en-GB"/>
        </w:rPr>
        <w:t>Chen, H., Samet, J.M., Bromberg, P.A. and Tong, H., 2021. Cardiovascular health impacts of wildfire smoke exposure. Particle and fibre toxicology, 18(1), p.2.</w:t>
      </w:r>
    </w:p>
    <w:p w14:paraId="415548F9" w14:textId="77777777" w:rsidR="00BA04CF" w:rsidRPr="00222705" w:rsidRDefault="00BA04CF" w:rsidP="00EF007D">
      <w:pPr>
        <w:rPr>
          <w:rFonts w:ascii="Arial" w:eastAsia="Aptos" w:hAnsi="Arial" w:cs="Arial"/>
        </w:rPr>
      </w:pPr>
    </w:p>
    <w:p w14:paraId="40998800" w14:textId="77777777" w:rsidR="008F4D29" w:rsidRPr="00222705" w:rsidRDefault="008F4D29" w:rsidP="00EF007D">
      <w:pPr>
        <w:rPr>
          <w:rFonts w:ascii="Arial" w:hAnsi="Arial" w:cs="Arial"/>
        </w:rPr>
      </w:pPr>
      <w:bookmarkStart w:id="77" w:name="OLE_LINK23"/>
      <w:r w:rsidRPr="00222705">
        <w:rPr>
          <w:rFonts w:ascii="Arial" w:hAnsi="Arial" w:cs="Arial"/>
        </w:rPr>
        <w:t>Cherry, N., Fedun, M., Galarneau, J.M., Senkevics, D. and Zadunayski, T., 2025. Health effects of repeated exposures during wildland firefighting: a data-linkage cohort study from Alberta, Canada. Annals of Work Exposures and Health, 69(2), pp.132-146.</w:t>
      </w:r>
    </w:p>
    <w:p w14:paraId="69E2E149" w14:textId="77777777" w:rsidR="00BA04CF" w:rsidRPr="00222705" w:rsidRDefault="00BA04CF" w:rsidP="00EF007D">
      <w:pPr>
        <w:rPr>
          <w:rFonts w:ascii="Arial" w:hAnsi="Arial" w:cs="Arial"/>
        </w:rPr>
      </w:pPr>
    </w:p>
    <w:bookmarkEnd w:id="77"/>
    <w:p w14:paraId="5D0342A9" w14:textId="77777777" w:rsidR="008F4D29" w:rsidRPr="00222705" w:rsidRDefault="008F4D29" w:rsidP="00EF007D">
      <w:pPr>
        <w:rPr>
          <w:rFonts w:ascii="Arial" w:hAnsi="Arial" w:cs="Arial"/>
        </w:rPr>
      </w:pPr>
      <w:r w:rsidRPr="00222705">
        <w:rPr>
          <w:rFonts w:ascii="Arial" w:hAnsi="Arial" w:cs="Arial"/>
        </w:rPr>
        <w:lastRenderedPageBreak/>
        <w:t>Chida, Y. and Steptoe, A., 2010. Greater cardiovascular responses to laboratory mental stress are associated with poor subsequent cardiovascular risk status: a meta-analysis of prospective evidence. Hypertension, 55(4), pp.1026-1032.</w:t>
      </w:r>
    </w:p>
    <w:p w14:paraId="79D938AB" w14:textId="77777777" w:rsidR="00BA04CF" w:rsidRPr="00222705" w:rsidRDefault="00BA04CF" w:rsidP="00EF007D">
      <w:pPr>
        <w:rPr>
          <w:rFonts w:ascii="Arial" w:hAnsi="Arial" w:cs="Arial"/>
        </w:rPr>
      </w:pPr>
    </w:p>
    <w:p w14:paraId="6121455A" w14:textId="77777777" w:rsidR="008F4D29" w:rsidRPr="00222705" w:rsidRDefault="008F4D29" w:rsidP="00EF007D">
      <w:pPr>
        <w:rPr>
          <w:rFonts w:ascii="Arial" w:hAnsi="Arial" w:cs="Arial"/>
        </w:rPr>
      </w:pPr>
      <w:r w:rsidRPr="00222705">
        <w:rPr>
          <w:rFonts w:ascii="Arial" w:hAnsi="Arial" w:cs="Arial"/>
        </w:rPr>
        <w:t>Choi, B., Dobson, M., Schnall, P. and Garcia</w:t>
      </w:r>
      <w:r w:rsidRPr="00222705">
        <w:rPr>
          <w:rFonts w:ascii="Cambria Math" w:hAnsi="Cambria Math" w:cs="Cambria Math"/>
        </w:rPr>
        <w:t>‐</w:t>
      </w:r>
      <w:r w:rsidRPr="00222705">
        <w:rPr>
          <w:rFonts w:ascii="Arial" w:hAnsi="Arial" w:cs="Arial"/>
        </w:rPr>
        <w:t>Rivas, J., 2016b. 24</w:t>
      </w:r>
      <w:r w:rsidRPr="00222705">
        <w:rPr>
          <w:rFonts w:ascii="Cambria Math" w:hAnsi="Cambria Math" w:cs="Cambria Math"/>
        </w:rPr>
        <w:t>‐</w:t>
      </w:r>
      <w:r w:rsidRPr="00222705">
        <w:rPr>
          <w:rFonts w:ascii="Arial" w:hAnsi="Arial" w:cs="Arial"/>
        </w:rPr>
        <w:t>hour work shifts, sedentary work, and obesity in male firefighters. American journal of industrial medicine, 59(6), pp.486-500. </w:t>
      </w:r>
    </w:p>
    <w:p w14:paraId="67E1C614" w14:textId="77777777" w:rsidR="00940471" w:rsidRPr="00222705" w:rsidRDefault="00940471" w:rsidP="00EF007D">
      <w:pPr>
        <w:rPr>
          <w:rFonts w:ascii="Arial" w:hAnsi="Arial" w:cs="Arial"/>
        </w:rPr>
      </w:pPr>
    </w:p>
    <w:p w14:paraId="455E12C1" w14:textId="6CE35338" w:rsidR="00940471" w:rsidRPr="00222705" w:rsidRDefault="0060652E" w:rsidP="00EF007D">
      <w:pPr>
        <w:rPr>
          <w:rFonts w:ascii="Arial" w:hAnsi="Arial" w:cs="Arial"/>
        </w:rPr>
      </w:pPr>
      <w:r w:rsidRPr="00222705">
        <w:rPr>
          <w:rFonts w:ascii="Arial" w:hAnsi="Arial" w:cs="Arial"/>
        </w:rPr>
        <w:t>Choi, B., Steiss, D., Garcia-Rivas, J., Kojaku, S., Schnall, P., Dobson, M. and Baker, D., 2016</w:t>
      </w:r>
      <w:r w:rsidR="008A091E" w:rsidRPr="00222705">
        <w:rPr>
          <w:rFonts w:ascii="Arial" w:hAnsi="Arial" w:cs="Arial"/>
        </w:rPr>
        <w:t>a</w:t>
      </w:r>
      <w:r w:rsidRPr="00222705">
        <w:rPr>
          <w:rFonts w:ascii="Arial" w:hAnsi="Arial" w:cs="Arial"/>
        </w:rPr>
        <w:t>. Comparison of body mass index with waist circumference and skinfold-based percent body fat in firefighters: adiposity classification and associations with cardiovascular disease risk factors. International archives of occupational and environmental health, 89(3), pp.435-448.</w:t>
      </w:r>
    </w:p>
    <w:p w14:paraId="0867ED21" w14:textId="77777777" w:rsidR="00BA04CF" w:rsidRPr="00222705" w:rsidRDefault="00BA04CF" w:rsidP="00EF007D">
      <w:pPr>
        <w:rPr>
          <w:rFonts w:ascii="Arial" w:hAnsi="Arial" w:cs="Arial"/>
        </w:rPr>
      </w:pPr>
    </w:p>
    <w:p w14:paraId="2F29EF08" w14:textId="212E4DB5" w:rsidR="008F4D29" w:rsidRPr="00222705" w:rsidRDefault="008F4D29" w:rsidP="00EF007D">
      <w:pPr>
        <w:rPr>
          <w:rFonts w:ascii="Arial" w:eastAsia="Times New Roman" w:hAnsi="Arial" w:cs="Arial"/>
          <w:shd w:val="clear" w:color="auto" w:fill="FFFFFF"/>
          <w:lang w:val="en-GB" w:eastAsia="en-GB"/>
        </w:rPr>
      </w:pPr>
      <w:r w:rsidRPr="00222705">
        <w:rPr>
          <w:rFonts w:ascii="Arial" w:eastAsia="Times New Roman" w:hAnsi="Arial" w:cs="Arial"/>
          <w:shd w:val="clear" w:color="auto" w:fill="FFFFFF"/>
          <w:lang w:val="en-GB" w:eastAsia="en-GB"/>
        </w:rPr>
        <w:t>Choudhury, N.A., Bush, K. and Saravanan, P., 2025, September. Firefighter Stressors: A Systematic Review on Individual, Occupational, and Environmental Stressors. In </w:t>
      </w:r>
      <w:r w:rsidRPr="00222705">
        <w:rPr>
          <w:rFonts w:ascii="Arial" w:eastAsia="Times New Roman" w:hAnsi="Arial" w:cs="Arial"/>
          <w:lang w:val="en-GB" w:eastAsia="en-GB"/>
        </w:rPr>
        <w:t>Proceedings of the Human Factors and Ergonomics Society Annual Meeting</w:t>
      </w:r>
      <w:r w:rsidRPr="00222705">
        <w:rPr>
          <w:rFonts w:ascii="Arial" w:eastAsia="Times New Roman" w:hAnsi="Arial" w:cs="Arial"/>
          <w:shd w:val="clear" w:color="auto" w:fill="FFFFFF"/>
          <w:lang w:val="en-GB" w:eastAsia="en-GB"/>
        </w:rPr>
        <w:t> (Vol. 69, No. 1, pp. 1608-1615). Sage CA: Los Angeles, CA: SAGE Publications.</w:t>
      </w:r>
    </w:p>
    <w:p w14:paraId="5AE1D54D" w14:textId="77777777" w:rsidR="008A091E" w:rsidRPr="00222705" w:rsidRDefault="008A091E" w:rsidP="00EF007D">
      <w:pPr>
        <w:rPr>
          <w:rFonts w:ascii="Arial" w:eastAsia="Times New Roman" w:hAnsi="Arial" w:cs="Arial"/>
          <w:shd w:val="clear" w:color="auto" w:fill="FFFFFF"/>
          <w:lang w:val="en-GB" w:eastAsia="en-GB"/>
        </w:rPr>
      </w:pPr>
    </w:p>
    <w:p w14:paraId="76C3D148"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Christodoulou, A., Christophi, C.A., Sotos-Prieto, M., Moffatt, S. and Kales, S.N., 2022. Eating habits among US firefighters and association with cardiometabolic outcomes. Nutrients, 14(13), p.2762 </w:t>
      </w:r>
    </w:p>
    <w:p w14:paraId="053131FC" w14:textId="77777777" w:rsidR="00BA04CF" w:rsidRPr="00222705" w:rsidRDefault="00BA04CF" w:rsidP="00EF007D">
      <w:pPr>
        <w:rPr>
          <w:rFonts w:ascii="Arial" w:eastAsia="Times New Roman" w:hAnsi="Arial" w:cs="Arial"/>
          <w:kern w:val="0"/>
          <w14:ligatures w14:val="none"/>
        </w:rPr>
      </w:pPr>
    </w:p>
    <w:p w14:paraId="5140AD05"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Chun, J., Conner, M.J., Mota, J.A., Newman, B., Dawes, J.J., Martin, S.E. and Gonzalez, D.E., 2025, August. Impact of Age and Years in the Fire Service on Firefighter Health and Physical Performance Outcomes. In Healthcare (Vol. 13, No. 16, p. 1946). MDPI. </w:t>
      </w:r>
    </w:p>
    <w:p w14:paraId="6C74FBE3" w14:textId="77777777" w:rsidR="00BA04CF" w:rsidRPr="00222705" w:rsidRDefault="00BA04CF" w:rsidP="00EF007D">
      <w:pPr>
        <w:rPr>
          <w:rFonts w:ascii="Arial" w:eastAsia="Times New Roman" w:hAnsi="Arial" w:cs="Arial"/>
          <w:kern w:val="0"/>
          <w14:ligatures w14:val="none"/>
        </w:rPr>
      </w:pPr>
    </w:p>
    <w:p w14:paraId="393A6804"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Clemente-Suárez, V.J., Mielgo-Ayuso, J., Martín-Rodríguez, A., Ramos-Campo, D.J., Redondo-Flórez, L. and Tornero-Aguilera, J.F., 2022. The Burden of Carbohydrates in Health and Disease. Nutrients 2022, 14, 3809  </w:t>
      </w:r>
    </w:p>
    <w:p w14:paraId="3C0166A6" w14:textId="77777777" w:rsidR="00BA04CF" w:rsidRPr="00222705" w:rsidRDefault="00BA04CF" w:rsidP="00EF007D">
      <w:pPr>
        <w:rPr>
          <w:rFonts w:ascii="Arial" w:eastAsia="Times New Roman" w:hAnsi="Arial" w:cs="Arial"/>
          <w:kern w:val="0"/>
          <w14:ligatures w14:val="none"/>
        </w:rPr>
      </w:pPr>
    </w:p>
    <w:p w14:paraId="10B53B12" w14:textId="77777777" w:rsidR="008F4D29" w:rsidRPr="00222705" w:rsidRDefault="008F4D29" w:rsidP="00EF007D">
      <w:pPr>
        <w:rPr>
          <w:rFonts w:ascii="Arial" w:eastAsia="Times New Roman" w:hAnsi="Arial" w:cs="Arial"/>
          <w:shd w:val="clear" w:color="auto" w:fill="FFFFFF"/>
          <w:lang w:val="en-GB" w:eastAsia="en-GB"/>
        </w:rPr>
      </w:pPr>
      <w:r w:rsidRPr="00222705">
        <w:rPr>
          <w:rFonts w:ascii="Arial" w:eastAsia="Times New Roman" w:hAnsi="Arial" w:cs="Arial"/>
          <w:shd w:val="clear" w:color="auto" w:fill="FFFFFF"/>
          <w:lang w:val="en-GB" w:eastAsia="en-GB"/>
        </w:rPr>
        <w:lastRenderedPageBreak/>
        <w:t>Crawford, P.B., Obarzanek, E., Morrison, J. and Sabry, Z.I., 1994. Comparative advantage of 3-day food records over 24-hour recall and 5-day food frequency validated by observation of 9-and 10-year-old girls. </w:t>
      </w:r>
      <w:r w:rsidRPr="00222705">
        <w:rPr>
          <w:rFonts w:ascii="Arial" w:eastAsia="Times New Roman" w:hAnsi="Arial" w:cs="Arial"/>
          <w:lang w:val="en-GB" w:eastAsia="en-GB"/>
        </w:rPr>
        <w:t>Journal of the American Dietetic Association</w:t>
      </w:r>
      <w:r w:rsidRPr="00222705">
        <w:rPr>
          <w:rFonts w:ascii="Arial" w:eastAsia="Times New Roman" w:hAnsi="Arial" w:cs="Arial"/>
          <w:shd w:val="clear" w:color="auto" w:fill="FFFFFF"/>
          <w:lang w:val="en-GB" w:eastAsia="en-GB"/>
        </w:rPr>
        <w:t>, </w:t>
      </w:r>
      <w:r w:rsidRPr="00222705">
        <w:rPr>
          <w:rFonts w:ascii="Arial" w:eastAsia="Times New Roman" w:hAnsi="Arial" w:cs="Arial"/>
          <w:lang w:val="en-GB" w:eastAsia="en-GB"/>
        </w:rPr>
        <w:t>94</w:t>
      </w:r>
      <w:r w:rsidRPr="00222705">
        <w:rPr>
          <w:rFonts w:ascii="Arial" w:eastAsia="Times New Roman" w:hAnsi="Arial" w:cs="Arial"/>
          <w:shd w:val="clear" w:color="auto" w:fill="FFFFFF"/>
          <w:lang w:val="en-GB" w:eastAsia="en-GB"/>
        </w:rPr>
        <w:t>(6), pp.626-630.</w:t>
      </w:r>
    </w:p>
    <w:p w14:paraId="51EC580D" w14:textId="77777777" w:rsidR="00BA04CF" w:rsidRPr="00222705" w:rsidRDefault="00BA04CF" w:rsidP="00EF007D">
      <w:pPr>
        <w:rPr>
          <w:rFonts w:ascii="Arial" w:eastAsiaTheme="minorEastAsia" w:hAnsi="Arial" w:cs="Arial"/>
          <w:kern w:val="0"/>
          <w:lang w:val="en-GB" w:eastAsia="en-GB"/>
          <w14:ligatures w14:val="none"/>
        </w:rPr>
      </w:pPr>
    </w:p>
    <w:p w14:paraId="13A7DE4F" w14:textId="77777777" w:rsidR="008F4D29" w:rsidRPr="00222705" w:rsidRDefault="008F4D29" w:rsidP="00EF007D">
      <w:pPr>
        <w:rPr>
          <w:rFonts w:ascii="Arial" w:eastAsia="Times New Roman" w:hAnsi="Arial" w:cs="Arial"/>
          <w:shd w:val="clear" w:color="auto" w:fill="FFFFFF"/>
          <w:lang w:val="en-GB" w:eastAsia="en-GB"/>
        </w:rPr>
      </w:pPr>
      <w:r w:rsidRPr="00222705">
        <w:rPr>
          <w:rFonts w:ascii="Arial" w:eastAsia="Times New Roman" w:hAnsi="Arial" w:cs="Arial"/>
          <w:shd w:val="clear" w:color="auto" w:fill="FFFFFF"/>
          <w:lang w:val="en-GB" w:eastAsia="en-GB"/>
        </w:rPr>
        <w:t>Cremona, A., Heidarian, H.M., Spillane, K., Coady, B. and Capling, L., 2026. Validation of the Modified Athlete Dietary Index (mADI) Against a 7</w:t>
      </w:r>
      <w:r w:rsidRPr="00222705">
        <w:rPr>
          <w:rFonts w:ascii="Cambria Math" w:eastAsia="Times New Roman" w:hAnsi="Cambria Math" w:cs="Cambria Math"/>
          <w:shd w:val="clear" w:color="auto" w:fill="FFFFFF"/>
          <w:lang w:val="en-GB" w:eastAsia="en-GB"/>
        </w:rPr>
        <w:t>‐</w:t>
      </w:r>
      <w:r w:rsidRPr="00222705">
        <w:rPr>
          <w:rFonts w:ascii="Arial" w:eastAsia="Times New Roman" w:hAnsi="Arial" w:cs="Arial"/>
          <w:shd w:val="clear" w:color="auto" w:fill="FFFFFF"/>
          <w:lang w:val="en-GB" w:eastAsia="en-GB"/>
        </w:rPr>
        <w:t>Day Food Record Assessing Food Consumption Among Irish Athletes. </w:t>
      </w:r>
      <w:r w:rsidRPr="00222705">
        <w:rPr>
          <w:rFonts w:ascii="Arial" w:eastAsia="Times New Roman" w:hAnsi="Arial" w:cs="Arial"/>
          <w:lang w:val="en-GB" w:eastAsia="en-GB"/>
        </w:rPr>
        <w:t>European Journal of Sport Science</w:t>
      </w:r>
      <w:r w:rsidRPr="00222705">
        <w:rPr>
          <w:rFonts w:ascii="Arial" w:eastAsia="Times New Roman" w:hAnsi="Arial" w:cs="Arial"/>
          <w:shd w:val="clear" w:color="auto" w:fill="FFFFFF"/>
          <w:lang w:val="en-GB" w:eastAsia="en-GB"/>
        </w:rPr>
        <w:t>, </w:t>
      </w:r>
      <w:r w:rsidRPr="00222705">
        <w:rPr>
          <w:rFonts w:ascii="Arial" w:eastAsia="Times New Roman" w:hAnsi="Arial" w:cs="Arial"/>
          <w:lang w:val="en-GB" w:eastAsia="en-GB"/>
        </w:rPr>
        <w:t>26</w:t>
      </w:r>
      <w:r w:rsidRPr="00222705">
        <w:rPr>
          <w:rFonts w:ascii="Arial" w:eastAsia="Times New Roman" w:hAnsi="Arial" w:cs="Arial"/>
          <w:shd w:val="clear" w:color="auto" w:fill="FFFFFF"/>
          <w:lang w:val="en-GB" w:eastAsia="en-GB"/>
        </w:rPr>
        <w:t>(1), p.e70110.</w:t>
      </w:r>
    </w:p>
    <w:p w14:paraId="1A1FB0CE" w14:textId="77777777" w:rsidR="00BA04CF" w:rsidRPr="00222705" w:rsidRDefault="00BA04CF" w:rsidP="00EF007D">
      <w:pPr>
        <w:rPr>
          <w:rFonts w:ascii="Arial" w:eastAsiaTheme="minorEastAsia" w:hAnsi="Arial" w:cs="Arial"/>
          <w:kern w:val="0"/>
          <w:lang w:val="en-GB" w:eastAsia="en-GB"/>
          <w14:ligatures w14:val="none"/>
        </w:rPr>
      </w:pPr>
    </w:p>
    <w:p w14:paraId="2A083C17" w14:textId="77777777" w:rsidR="008F4D29" w:rsidRPr="00222705" w:rsidRDefault="008F4D29" w:rsidP="00EF007D">
      <w:pPr>
        <w:rPr>
          <w:rFonts w:ascii="Arial" w:eastAsiaTheme="minorEastAsia" w:hAnsi="Arial" w:cs="Arial"/>
          <w:kern w:val="0"/>
          <w:lang w:val="en-GB" w:eastAsia="en-GB"/>
          <w14:ligatures w14:val="none"/>
        </w:rPr>
      </w:pPr>
      <w:r w:rsidRPr="00222705">
        <w:rPr>
          <w:rFonts w:ascii="Arial" w:eastAsiaTheme="minorEastAsia" w:hAnsi="Arial" w:cs="Arial"/>
          <w:kern w:val="0"/>
          <w:lang w:val="en-GB" w:eastAsia="en-GB"/>
          <w14:ligatures w14:val="none"/>
        </w:rPr>
        <w:t>Creswell, J.W. and Creswell, J.D. (2017) Research Design: Qualitative, Quantitative, and Mixed Methods Approaches. 5th edn. Thousand Oaks, CA: SAGE.</w:t>
      </w:r>
    </w:p>
    <w:p w14:paraId="18F60B76" w14:textId="77777777" w:rsidR="008F4D29" w:rsidRPr="00222705" w:rsidRDefault="008F4D29" w:rsidP="00EF007D">
      <w:pPr>
        <w:rPr>
          <w:rFonts w:ascii="Arial" w:eastAsia="Aptos" w:hAnsi="Arial" w:cs="Arial"/>
        </w:rPr>
      </w:pPr>
      <w:r w:rsidRPr="00222705">
        <w:rPr>
          <w:rFonts w:ascii="Arial" w:eastAsia="Aptos" w:hAnsi="Arial" w:cs="Arial"/>
        </w:rPr>
        <w:t>Cui, C., Yang, R., Chen, H., Li, D., Sun, X., Wang, Y. and Pan, Q., 2025. Air toxins disorder the NF-kB Pathway leads to immune disorders and immune diseases in the human health. Ecotoxicology and Environmental Safety, 302, p.118474.</w:t>
      </w:r>
    </w:p>
    <w:p w14:paraId="2B80B0AE" w14:textId="77777777" w:rsidR="00BA04CF" w:rsidRPr="00222705" w:rsidRDefault="00BA04CF" w:rsidP="00EF007D">
      <w:pPr>
        <w:rPr>
          <w:rFonts w:ascii="Arial" w:eastAsia="Aptos" w:hAnsi="Arial" w:cs="Arial"/>
        </w:rPr>
      </w:pPr>
    </w:p>
    <w:p w14:paraId="32225DD3"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 xml:space="preserve">Cyr, A.R., </w:t>
      </w:r>
      <w:proofErr w:type="spellStart"/>
      <w:r w:rsidRPr="00222705">
        <w:rPr>
          <w:rFonts w:ascii="Arial" w:hAnsi="Arial" w:cs="Arial"/>
          <w:shd w:val="clear" w:color="auto" w:fill="FFFFFF"/>
        </w:rPr>
        <w:t>Huckaby</w:t>
      </w:r>
      <w:proofErr w:type="spellEnd"/>
      <w:r w:rsidRPr="00222705">
        <w:rPr>
          <w:rFonts w:ascii="Arial" w:hAnsi="Arial" w:cs="Arial"/>
          <w:shd w:val="clear" w:color="auto" w:fill="FFFFFF"/>
        </w:rPr>
        <w:t>, L.V., Shiva, S.S. and Zuckerbraun, B.S., 2020. Nitric oxide and endothelial dysfunction. </w:t>
      </w:r>
      <w:r w:rsidRPr="00222705">
        <w:rPr>
          <w:rFonts w:ascii="Arial" w:hAnsi="Arial" w:cs="Arial"/>
        </w:rPr>
        <w:t>Critical care clinics</w:t>
      </w:r>
      <w:r w:rsidRPr="00222705">
        <w:rPr>
          <w:rFonts w:ascii="Arial" w:hAnsi="Arial" w:cs="Arial"/>
          <w:shd w:val="clear" w:color="auto" w:fill="FFFFFF"/>
        </w:rPr>
        <w:t>, </w:t>
      </w:r>
      <w:r w:rsidRPr="00222705">
        <w:rPr>
          <w:rFonts w:ascii="Arial" w:hAnsi="Arial" w:cs="Arial"/>
        </w:rPr>
        <w:t>36</w:t>
      </w:r>
      <w:r w:rsidRPr="00222705">
        <w:rPr>
          <w:rFonts w:ascii="Arial" w:hAnsi="Arial" w:cs="Arial"/>
          <w:shd w:val="clear" w:color="auto" w:fill="FFFFFF"/>
        </w:rPr>
        <w:t>(2), pp.307-321.</w:t>
      </w:r>
    </w:p>
    <w:p w14:paraId="39668CE1" w14:textId="77777777" w:rsidR="00BA04CF" w:rsidRPr="00222705" w:rsidRDefault="00BA04CF" w:rsidP="00EF007D">
      <w:pPr>
        <w:rPr>
          <w:rFonts w:ascii="Arial" w:hAnsi="Arial" w:cs="Arial"/>
          <w:shd w:val="clear" w:color="auto" w:fill="FFFFFF"/>
        </w:rPr>
      </w:pPr>
    </w:p>
    <w:p w14:paraId="6B7624B7"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Dangardt, F., Osika, W., Chen, Y., Nilsson, U., Gan, L.M., Gronowitz, E., Strandvik, B. and Friberg, P., 2010. Omega-3 fatty acid supplementation improves vascular function and reduces inflammation inobese adolescents. Atherosclerosis, 212(2), pp.580-585. </w:t>
      </w:r>
    </w:p>
    <w:p w14:paraId="1CEA0CAC" w14:textId="77777777" w:rsidR="00BA04CF" w:rsidRPr="00222705" w:rsidRDefault="00BA04CF" w:rsidP="00EF007D">
      <w:pPr>
        <w:rPr>
          <w:rFonts w:ascii="Arial" w:eastAsia="Times New Roman" w:hAnsi="Arial" w:cs="Arial"/>
          <w:kern w:val="0"/>
          <w14:ligatures w14:val="none"/>
        </w:rPr>
      </w:pPr>
    </w:p>
    <w:p w14:paraId="2E6B821C" w14:textId="77777777" w:rsidR="008F4D29" w:rsidRPr="00222705" w:rsidRDefault="008F4D29" w:rsidP="00EF007D">
      <w:pPr>
        <w:rPr>
          <w:rFonts w:ascii="Arial" w:hAnsi="Arial" w:cs="Arial"/>
        </w:rPr>
      </w:pPr>
      <w:r w:rsidRPr="00222705">
        <w:rPr>
          <w:rFonts w:ascii="Arial" w:hAnsi="Arial" w:cs="Arial"/>
        </w:rPr>
        <w:t>Daniele, G.I.U.S.E.P.P.E., Guardado Mendoza, R., Winnier, D., Fiorentino, T.V., Pengou, Z., Cornell, J., Andreozzi, F., Jenkinson, C., Cersosimo, E., Federici, M. and Tripathy, D., 2014. The inflammatory status score including IL-6, TNF-α, osteopontin, fractalkine, MCP-1 and adiponectin underlies whole-body insulin resistance and hyperglycemia in type 2 diabetes mellitus. Acta diabetologica, 51(1), pp.123-131.</w:t>
      </w:r>
    </w:p>
    <w:p w14:paraId="20EC2E1A" w14:textId="77777777" w:rsidR="00BA04CF" w:rsidRPr="00222705" w:rsidRDefault="00BA04CF" w:rsidP="00EF007D">
      <w:pPr>
        <w:rPr>
          <w:rFonts w:ascii="Arial" w:hAnsi="Arial" w:cs="Arial"/>
        </w:rPr>
      </w:pPr>
    </w:p>
    <w:p w14:paraId="6D6B28C9"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Das, U.N., 2010. Lipoxins, resolvins, protectins, maresins, and nitrolipids: connecting lipids, inflammation, and cardiovascular disease risk. Current Cardiovascular Risk Reports, 4(1), pp.24-31. </w:t>
      </w:r>
    </w:p>
    <w:p w14:paraId="72584C72" w14:textId="77777777" w:rsidR="00BA04CF" w:rsidRPr="00222705" w:rsidRDefault="00BA04CF" w:rsidP="00EF007D">
      <w:pPr>
        <w:rPr>
          <w:rFonts w:ascii="Arial" w:eastAsia="Times New Roman" w:hAnsi="Arial" w:cs="Arial"/>
          <w:kern w:val="0"/>
          <w14:ligatures w14:val="none"/>
        </w:rPr>
      </w:pPr>
    </w:p>
    <w:p w14:paraId="4308A533" w14:textId="77777777" w:rsidR="008F4D29" w:rsidRPr="00222705" w:rsidRDefault="008F4D29" w:rsidP="00EF007D">
      <w:pPr>
        <w:rPr>
          <w:rFonts w:ascii="Arial" w:hAnsi="Arial" w:cs="Arial"/>
        </w:rPr>
      </w:pPr>
      <w:r w:rsidRPr="00222705">
        <w:rPr>
          <w:rFonts w:ascii="Arial" w:hAnsi="Arial" w:cs="Arial"/>
        </w:rPr>
        <w:t>Dawson, E.A., Shave, R., George, K., Whyte, G., Ball, D., Gaze, D. and Collinson, P., 2005. Cardiac drift during prolonged exercise with echocardiographic evidence of reduced diastolic function of the heart. European journal of applied physiology, 94(3), pp.305-309. </w:t>
      </w:r>
    </w:p>
    <w:p w14:paraId="13589D59" w14:textId="77777777" w:rsidR="00BA04CF" w:rsidRPr="00222705" w:rsidRDefault="00BA04CF" w:rsidP="00EF007D">
      <w:pPr>
        <w:rPr>
          <w:rFonts w:ascii="Arial" w:hAnsi="Arial" w:cs="Arial"/>
        </w:rPr>
      </w:pPr>
    </w:p>
    <w:p w14:paraId="3DB66ADF"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de Visser, E.J., Dorfman, A., Chartrand, D., Lamon, J., Freedy, E. and Weltman, G., 2016. Building resilience with the Stress Resilience Training System: Design validation and applications. </w:t>
      </w:r>
      <w:r w:rsidRPr="00222705">
        <w:rPr>
          <w:rFonts w:ascii="Arial" w:hAnsi="Arial" w:cs="Arial"/>
        </w:rPr>
        <w:t>Work</w:t>
      </w:r>
      <w:r w:rsidRPr="00222705">
        <w:rPr>
          <w:rFonts w:ascii="Arial" w:hAnsi="Arial" w:cs="Arial"/>
          <w:shd w:val="clear" w:color="auto" w:fill="FFFFFF"/>
        </w:rPr>
        <w:t>, </w:t>
      </w:r>
      <w:r w:rsidRPr="00222705">
        <w:rPr>
          <w:rFonts w:ascii="Arial" w:hAnsi="Arial" w:cs="Arial"/>
        </w:rPr>
        <w:t>54</w:t>
      </w:r>
      <w:r w:rsidRPr="00222705">
        <w:rPr>
          <w:rFonts w:ascii="Arial" w:hAnsi="Arial" w:cs="Arial"/>
          <w:shd w:val="clear" w:color="auto" w:fill="FFFFFF"/>
        </w:rPr>
        <w:t>(2), pp.351-366.</w:t>
      </w:r>
    </w:p>
    <w:p w14:paraId="0E1990A7" w14:textId="77777777" w:rsidR="008D6288" w:rsidRPr="00222705" w:rsidRDefault="008D6288" w:rsidP="00EF007D">
      <w:pPr>
        <w:rPr>
          <w:rFonts w:ascii="Arial" w:hAnsi="Arial" w:cs="Arial"/>
          <w:shd w:val="clear" w:color="auto" w:fill="FFFFFF"/>
        </w:rPr>
      </w:pPr>
    </w:p>
    <w:p w14:paraId="1A2EC295" w14:textId="77777777" w:rsidR="008F4D29" w:rsidRPr="00222705" w:rsidRDefault="008F4D29" w:rsidP="00EF007D">
      <w:pPr>
        <w:rPr>
          <w:rFonts w:ascii="Arial" w:hAnsi="Arial" w:cs="Arial"/>
        </w:rPr>
      </w:pPr>
      <w:r w:rsidRPr="00222705">
        <w:rPr>
          <w:rFonts w:ascii="Arial" w:hAnsi="Arial" w:cs="Arial"/>
        </w:rPr>
        <w:t>Del Sal, M., Barbieri, E., Garbati, P., Sisti, D., Rocchi, M.B. and Stocchi, V., 2009. Physiologic responses of firefighter recruits during a supervised live-fire work performance test. The Journal of Strength &amp; Conditioning Research, 23(8), pp.2396-2404.</w:t>
      </w:r>
    </w:p>
    <w:p w14:paraId="752383D3" w14:textId="77777777" w:rsidR="008D6288" w:rsidRPr="00222705" w:rsidRDefault="008D6288" w:rsidP="00EF007D">
      <w:pPr>
        <w:rPr>
          <w:rFonts w:ascii="Arial" w:hAnsi="Arial" w:cs="Arial"/>
        </w:rPr>
      </w:pPr>
    </w:p>
    <w:p w14:paraId="0EEB923E"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Della Torre, S.B., Wild, P., Dorribo, V., Amati, F. and Danuser, B., 2019. Eating habits of professional firefighters: Comparison with national guidelines and impact healthy eating promotion program. Journal of occupational and environmental medicine, 61(5), pp.e183-e190. </w:t>
      </w:r>
    </w:p>
    <w:p w14:paraId="038A711C" w14:textId="77777777" w:rsidR="008D6288" w:rsidRPr="00222705" w:rsidRDefault="008D6288" w:rsidP="00EF007D">
      <w:pPr>
        <w:rPr>
          <w:rFonts w:ascii="Arial" w:eastAsia="Times New Roman" w:hAnsi="Arial" w:cs="Arial"/>
          <w:kern w:val="0"/>
          <w14:ligatures w14:val="none"/>
        </w:rPr>
      </w:pPr>
    </w:p>
    <w:p w14:paraId="7E560C44"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Demers, P.A., DeMarini, D.M., Fent, K.W., Glass, D.C., Hansen, J., Adetona, O., Andersen, M.H., Freeman, L.E.B., Caban-Martinez, A.J., Daniels, R.D. and Driscoll, T.R., 2022. Carcinogenicity of occupational exposure as a firefighter. </w:t>
      </w:r>
      <w:r w:rsidRPr="00222705">
        <w:rPr>
          <w:rFonts w:ascii="Arial" w:hAnsi="Arial" w:cs="Arial"/>
        </w:rPr>
        <w:t>The Lancet Oncology</w:t>
      </w:r>
      <w:r w:rsidRPr="00222705">
        <w:rPr>
          <w:rFonts w:ascii="Arial" w:hAnsi="Arial" w:cs="Arial"/>
          <w:shd w:val="clear" w:color="auto" w:fill="FFFFFF"/>
        </w:rPr>
        <w:t>, </w:t>
      </w:r>
      <w:r w:rsidRPr="00222705">
        <w:rPr>
          <w:rFonts w:ascii="Arial" w:hAnsi="Arial" w:cs="Arial"/>
        </w:rPr>
        <w:t>23</w:t>
      </w:r>
      <w:r w:rsidRPr="00222705">
        <w:rPr>
          <w:rFonts w:ascii="Arial" w:hAnsi="Arial" w:cs="Arial"/>
          <w:shd w:val="clear" w:color="auto" w:fill="FFFFFF"/>
        </w:rPr>
        <w:t>(8), pp.985-986.</w:t>
      </w:r>
    </w:p>
    <w:p w14:paraId="18C5446C" w14:textId="77777777" w:rsidR="008D6288" w:rsidRPr="00222705" w:rsidRDefault="008D6288" w:rsidP="00EF007D">
      <w:pPr>
        <w:rPr>
          <w:rFonts w:ascii="Arial" w:eastAsia="Aptos" w:hAnsi="Arial" w:cs="Arial"/>
        </w:rPr>
      </w:pPr>
    </w:p>
    <w:p w14:paraId="10F668B8" w14:textId="77777777" w:rsidR="008F4D29" w:rsidRPr="00222705" w:rsidRDefault="008F4D29" w:rsidP="00EF007D">
      <w:pPr>
        <w:rPr>
          <w:rFonts w:ascii="Arial" w:eastAsia="Aptos" w:hAnsi="Arial" w:cs="Arial"/>
        </w:rPr>
      </w:pPr>
      <w:proofErr w:type="spellStart"/>
      <w:r w:rsidRPr="00222705">
        <w:rPr>
          <w:rFonts w:ascii="Arial" w:eastAsia="Aptos" w:hAnsi="Arial" w:cs="Arial"/>
        </w:rPr>
        <w:t>Demirci-Çekiç</w:t>
      </w:r>
      <w:proofErr w:type="spellEnd"/>
      <w:r w:rsidRPr="00222705">
        <w:rPr>
          <w:rFonts w:ascii="Arial" w:eastAsia="Aptos" w:hAnsi="Arial" w:cs="Arial"/>
        </w:rPr>
        <w:t>, S., Özkan, G., Avan, A.N., Uzunboy, S., Çapanoğlu, E. and Apak, R., 2022. Biomarkers of oxidative stress and antioxidant defense. Journal of pharmaceutical and biomedical analysis, 209, p.114477.</w:t>
      </w:r>
    </w:p>
    <w:p w14:paraId="2ED837AD" w14:textId="77777777" w:rsidR="00FD6146" w:rsidRPr="00222705" w:rsidRDefault="00FD6146" w:rsidP="00EF007D">
      <w:pPr>
        <w:rPr>
          <w:rFonts w:ascii="Arial" w:eastAsia="Aptos" w:hAnsi="Arial" w:cs="Arial"/>
        </w:rPr>
      </w:pPr>
    </w:p>
    <w:p w14:paraId="581C1F07"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Dempsey, M., Rockwell, M.S. and Wentz, L.M., 2023. The influence of dietary and supplemental omega-3 fatty acids on the omega-3 index: A scoping review. Frontiers in Nutrition, 10, p.1072653 </w:t>
      </w:r>
    </w:p>
    <w:p w14:paraId="11230BF7" w14:textId="77777777" w:rsidR="008D6288" w:rsidRPr="00222705" w:rsidRDefault="008D6288" w:rsidP="00EF007D">
      <w:pPr>
        <w:rPr>
          <w:rFonts w:ascii="Arial" w:eastAsia="Times New Roman" w:hAnsi="Arial" w:cs="Arial"/>
          <w:kern w:val="0"/>
          <w14:ligatures w14:val="none"/>
        </w:rPr>
      </w:pPr>
    </w:p>
    <w:p w14:paraId="64EE2C90" w14:textId="7D975011" w:rsidR="008D6288" w:rsidRPr="00222705" w:rsidRDefault="008F4D29" w:rsidP="00EF007D">
      <w:pPr>
        <w:rPr>
          <w:rFonts w:ascii="Arial" w:eastAsia="Aptos" w:hAnsi="Arial" w:cs="Arial"/>
        </w:rPr>
      </w:pPr>
      <w:r w:rsidRPr="00222705">
        <w:rPr>
          <w:rFonts w:ascii="Arial" w:eastAsia="Aptos" w:hAnsi="Arial" w:cs="Arial"/>
        </w:rPr>
        <w:lastRenderedPageBreak/>
        <w:t>Dennison, K.J., Mullineaux, D.R., Yates, J.W. and Abel, M.G., 2012. The effect of fatigue and training status on firefighter performance. The Journal of Strength &amp; Conditioning Research, 26(4), pp.1101-1109</w:t>
      </w:r>
    </w:p>
    <w:p w14:paraId="4121DE81" w14:textId="77777777" w:rsidR="00DD0E6C" w:rsidRPr="00222705" w:rsidRDefault="00DD0E6C" w:rsidP="00EF007D">
      <w:pPr>
        <w:rPr>
          <w:rFonts w:ascii="Arial" w:eastAsia="Aptos" w:hAnsi="Arial" w:cs="Arial"/>
        </w:rPr>
      </w:pPr>
    </w:p>
    <w:p w14:paraId="12F292E1" w14:textId="77777777" w:rsidR="008F4D29" w:rsidRPr="00222705" w:rsidRDefault="008F4D29" w:rsidP="00EF007D">
      <w:pPr>
        <w:rPr>
          <w:rFonts w:ascii="Arial" w:hAnsi="Arial" w:cs="Arial"/>
        </w:rPr>
      </w:pPr>
      <w:r w:rsidRPr="00222705">
        <w:rPr>
          <w:rFonts w:ascii="Arial" w:hAnsi="Arial" w:cs="Arial"/>
        </w:rPr>
        <w:t>Dhingra, R., Gona, P., Nam, B.H., D’Agostino Sr, R.B., Wilson, P.W., Benjamin, E.J. and O’Donnell, C.J., 2007. C-reactive protein, inflammatory conditions, and cardiovascular disease risk. The American journal of medicine, 120(12), pp.1054-1062.</w:t>
      </w:r>
    </w:p>
    <w:p w14:paraId="002B0064" w14:textId="77777777" w:rsidR="008D6288" w:rsidRPr="00222705" w:rsidRDefault="008D6288" w:rsidP="00EF007D">
      <w:pPr>
        <w:rPr>
          <w:rFonts w:ascii="Arial" w:hAnsi="Arial" w:cs="Arial"/>
        </w:rPr>
      </w:pPr>
    </w:p>
    <w:p w14:paraId="7EF9706A"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Dickinson, H.O., Mason, J.M., Nicolson, D.J., Campbell, F., Beyer, F.R., Cook, J.V., Williams, B. and Ford, G.A., 2006. Lifestyle interventions to reduce raised blood pressure: a systematic review of randomized controlled trials. Journal of hypertension, 24(2), pp.215-233 </w:t>
      </w:r>
    </w:p>
    <w:p w14:paraId="705C0A7D" w14:textId="77777777" w:rsidR="008D6288" w:rsidRPr="00222705" w:rsidRDefault="008D6288" w:rsidP="00EF007D">
      <w:pPr>
        <w:rPr>
          <w:rFonts w:ascii="Arial" w:eastAsia="Times New Roman" w:hAnsi="Arial" w:cs="Arial"/>
          <w:kern w:val="0"/>
          <w14:ligatures w14:val="none"/>
        </w:rPr>
      </w:pPr>
    </w:p>
    <w:p w14:paraId="425A98EE"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DiLorenzo, F.M., Drager, C.J. and Rankin, J.W., 2014. Docosahexaenoic acid affects markers of inflammation and muscle damage after eccentric exercise. The Journal of Strength &amp; Conditioning Research, 28(10), pp.2768-2774. </w:t>
      </w:r>
    </w:p>
    <w:p w14:paraId="4E043AE8" w14:textId="77777777" w:rsidR="008D6288" w:rsidRPr="00222705" w:rsidRDefault="008D6288" w:rsidP="00EF007D">
      <w:pPr>
        <w:rPr>
          <w:rFonts w:ascii="Arial" w:eastAsia="Times New Roman" w:hAnsi="Arial" w:cs="Arial"/>
          <w:kern w:val="0"/>
          <w14:ligatures w14:val="none"/>
        </w:rPr>
      </w:pPr>
    </w:p>
    <w:p w14:paraId="28A9B70F"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Dimkpa, U., 2009. Post-exercise heart rate recovery: an index of cardiovascular fitness. </w:t>
      </w:r>
      <w:r w:rsidRPr="00222705">
        <w:rPr>
          <w:rFonts w:ascii="Arial" w:hAnsi="Arial" w:cs="Arial"/>
        </w:rPr>
        <w:t>Journal of Exercise Physiology online</w:t>
      </w:r>
      <w:r w:rsidRPr="00222705">
        <w:rPr>
          <w:rFonts w:ascii="Arial" w:hAnsi="Arial" w:cs="Arial"/>
          <w:shd w:val="clear" w:color="auto" w:fill="FFFFFF"/>
        </w:rPr>
        <w:t>, </w:t>
      </w:r>
      <w:r w:rsidRPr="00222705">
        <w:rPr>
          <w:rFonts w:ascii="Arial" w:hAnsi="Arial" w:cs="Arial"/>
        </w:rPr>
        <w:t>12</w:t>
      </w:r>
      <w:r w:rsidRPr="00222705">
        <w:rPr>
          <w:rFonts w:ascii="Arial" w:hAnsi="Arial" w:cs="Arial"/>
          <w:shd w:val="clear" w:color="auto" w:fill="FFFFFF"/>
        </w:rPr>
        <w:t>(2).</w:t>
      </w:r>
    </w:p>
    <w:p w14:paraId="337C80DB" w14:textId="77777777" w:rsidR="008D6288" w:rsidRPr="00222705" w:rsidRDefault="008D6288" w:rsidP="00EF007D">
      <w:pPr>
        <w:rPr>
          <w:rFonts w:ascii="Arial" w:hAnsi="Arial" w:cs="Arial"/>
          <w:shd w:val="clear" w:color="auto" w:fill="FFFFFF"/>
        </w:rPr>
      </w:pPr>
    </w:p>
    <w:p w14:paraId="11E070B3"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DiNicolantonio, J.J. and O’Keefe, J.H., 2020. The importance of marine omega-3s for brain development and the prevention and treatment of behavior, mood, and other brain disorders. Nutrients, 12(8), p.2333. </w:t>
      </w:r>
    </w:p>
    <w:p w14:paraId="18FC9DBD" w14:textId="77777777" w:rsidR="008D6288" w:rsidRPr="00222705" w:rsidRDefault="008D6288" w:rsidP="00EF007D">
      <w:pPr>
        <w:rPr>
          <w:rFonts w:ascii="Arial" w:eastAsia="Times New Roman" w:hAnsi="Arial" w:cs="Arial"/>
          <w:kern w:val="0"/>
          <w14:ligatures w14:val="none"/>
        </w:rPr>
      </w:pPr>
    </w:p>
    <w:p w14:paraId="6A5049FB" w14:textId="77777777" w:rsidR="008F4D29" w:rsidRPr="00222705" w:rsidRDefault="008F4D29" w:rsidP="00EF007D">
      <w:pPr>
        <w:rPr>
          <w:rFonts w:ascii="Arial" w:eastAsia="Aptos" w:hAnsi="Arial" w:cs="Arial"/>
          <w:lang w:val="en-GB"/>
        </w:rPr>
      </w:pPr>
      <w:r w:rsidRPr="00222705">
        <w:rPr>
          <w:rFonts w:ascii="Arial" w:eastAsia="Aptos" w:hAnsi="Arial" w:cs="Arial"/>
          <w:lang w:val="en-GB"/>
        </w:rPr>
        <w:t>Dixon, D.L., Wohlford IV, G.F. and Abbate, A., 2020. Inflammation and hypertension: causal or not?. Hypertension, 75(2), pp.297-298.</w:t>
      </w:r>
    </w:p>
    <w:p w14:paraId="03326EAE" w14:textId="77777777" w:rsidR="00DD0E6C" w:rsidRPr="00222705" w:rsidRDefault="00DD0E6C" w:rsidP="00EF007D">
      <w:pPr>
        <w:rPr>
          <w:rFonts w:ascii="Arial" w:eastAsia="Aptos" w:hAnsi="Arial" w:cs="Arial"/>
        </w:rPr>
      </w:pPr>
    </w:p>
    <w:p w14:paraId="253322EA"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Dockery, D.W., 2001. Epidemiologic evidence of cardiovascular effects of particulate air pollution. </w:t>
      </w:r>
      <w:r w:rsidRPr="00222705">
        <w:rPr>
          <w:rFonts w:ascii="Arial" w:hAnsi="Arial" w:cs="Arial"/>
        </w:rPr>
        <w:t>Environmental health perspectives</w:t>
      </w:r>
      <w:r w:rsidRPr="00222705">
        <w:rPr>
          <w:rFonts w:ascii="Arial" w:hAnsi="Arial" w:cs="Arial"/>
          <w:shd w:val="clear" w:color="auto" w:fill="FFFFFF"/>
        </w:rPr>
        <w:t>, </w:t>
      </w:r>
      <w:r w:rsidRPr="00222705">
        <w:rPr>
          <w:rFonts w:ascii="Arial" w:hAnsi="Arial" w:cs="Arial"/>
        </w:rPr>
        <w:t>109</w:t>
      </w:r>
      <w:r w:rsidRPr="00222705">
        <w:rPr>
          <w:rFonts w:ascii="Arial" w:hAnsi="Arial" w:cs="Arial"/>
          <w:shd w:val="clear" w:color="auto" w:fill="FFFFFF"/>
        </w:rPr>
        <w:t>(Suppl 4), p.483.</w:t>
      </w:r>
    </w:p>
    <w:p w14:paraId="52F20E4E" w14:textId="77777777" w:rsidR="008D6288" w:rsidRPr="00222705" w:rsidRDefault="008D6288" w:rsidP="00EF007D">
      <w:pPr>
        <w:rPr>
          <w:rFonts w:ascii="Arial" w:hAnsi="Arial" w:cs="Arial"/>
          <w:shd w:val="clear" w:color="auto" w:fill="FFFFFF"/>
        </w:rPr>
      </w:pPr>
    </w:p>
    <w:p w14:paraId="35CF20BB"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lastRenderedPageBreak/>
        <w:t>Domitrovich, J.W., Broyles, G.A., Ottmar, R.D., Reinhardt, T.E., Naeher, L.P., Kleinman, M.T., Navarro, K.M., Mackay, C.E. and Adetona, O., 2017. </w:t>
      </w:r>
      <w:r w:rsidRPr="00222705">
        <w:rPr>
          <w:rFonts w:ascii="Arial" w:hAnsi="Arial" w:cs="Arial"/>
        </w:rPr>
        <w:t>Wildland fire smoke health effects on wildland firefighters and the public</w:t>
      </w:r>
      <w:r w:rsidRPr="00222705">
        <w:rPr>
          <w:rFonts w:ascii="Arial" w:hAnsi="Arial" w:cs="Arial"/>
          <w:shd w:val="clear" w:color="auto" w:fill="FFFFFF"/>
        </w:rPr>
        <w:t>. Boise, ID: Joint Fire Science Program.</w:t>
      </w:r>
    </w:p>
    <w:p w14:paraId="609CF055" w14:textId="77777777" w:rsidR="008D6288" w:rsidRPr="00222705" w:rsidRDefault="008D6288" w:rsidP="00EF007D">
      <w:pPr>
        <w:rPr>
          <w:rFonts w:ascii="Arial" w:hAnsi="Arial" w:cs="Arial"/>
          <w:shd w:val="clear" w:color="auto" w:fill="FFFFFF"/>
        </w:rPr>
      </w:pPr>
    </w:p>
    <w:p w14:paraId="662788D6" w14:textId="77777777" w:rsidR="008F4D29" w:rsidRPr="00222705" w:rsidRDefault="008F4D29" w:rsidP="00EF007D">
      <w:pPr>
        <w:rPr>
          <w:rFonts w:ascii="Arial" w:hAnsi="Arial" w:cs="Arial"/>
        </w:rPr>
      </w:pPr>
      <w:r w:rsidRPr="00222705">
        <w:rPr>
          <w:rFonts w:ascii="Arial" w:hAnsi="Arial" w:cs="Arial"/>
        </w:rPr>
        <w:t>Dos Santos, M.L., Lockie, R.G., Orr, R., Dinyer-McNeely, T., Smith, D., McDonald, S. and Dawes, J., 2025. The Metabolic Demand of Firefighting: A Systematic Review. Physiologia, 5(2), p.12.</w:t>
      </w:r>
    </w:p>
    <w:p w14:paraId="0BFA4629" w14:textId="77777777" w:rsidR="008D6288" w:rsidRPr="00222705" w:rsidRDefault="008D6288" w:rsidP="00EF007D">
      <w:pPr>
        <w:rPr>
          <w:rFonts w:ascii="Arial" w:hAnsi="Arial" w:cs="Arial"/>
        </w:rPr>
      </w:pPr>
    </w:p>
    <w:p w14:paraId="15B970F5" w14:textId="77777777" w:rsidR="008F4D29" w:rsidRPr="00222705" w:rsidRDefault="008F4D29" w:rsidP="00EF007D">
      <w:pPr>
        <w:rPr>
          <w:rFonts w:ascii="Arial" w:eastAsia="Aptos" w:hAnsi="Arial" w:cs="Arial"/>
        </w:rPr>
      </w:pPr>
      <w:r w:rsidRPr="00222705">
        <w:rPr>
          <w:rFonts w:ascii="Arial" w:eastAsia="Aptos" w:hAnsi="Arial" w:cs="Arial"/>
        </w:rPr>
        <w:t>Dreger, R.W. and Petersen, S.R., 2007. Oxygen cost of the CF–DND fire fit test in males and females. Applied Physiology, Nutrition, and Metabolism, 32(3), pp.454-462.</w:t>
      </w:r>
    </w:p>
    <w:p w14:paraId="2507329E" w14:textId="77777777" w:rsidR="008D6288" w:rsidRPr="00222705" w:rsidRDefault="008D6288" w:rsidP="00EF007D">
      <w:pPr>
        <w:rPr>
          <w:rFonts w:ascii="Arial" w:eastAsia="Aptos" w:hAnsi="Arial" w:cs="Arial"/>
        </w:rPr>
      </w:pPr>
    </w:p>
    <w:p w14:paraId="062F1A1C" w14:textId="77777777" w:rsidR="008F4D29" w:rsidRPr="00222705" w:rsidRDefault="008F4D29" w:rsidP="00EF007D">
      <w:pPr>
        <w:rPr>
          <w:rFonts w:ascii="Arial" w:eastAsia="Times New Roman" w:hAnsi="Arial" w:cs="Arial"/>
          <w:shd w:val="clear" w:color="auto" w:fill="FFFFFF"/>
          <w:lang w:val="en-GB" w:eastAsia="en-GB"/>
        </w:rPr>
      </w:pPr>
      <w:r w:rsidRPr="00222705">
        <w:rPr>
          <w:rFonts w:ascii="Arial" w:eastAsia="Times New Roman" w:hAnsi="Arial" w:cs="Arial"/>
          <w:shd w:val="clear" w:color="auto" w:fill="FFFFFF"/>
          <w:lang w:val="en-GB" w:eastAsia="en-GB"/>
        </w:rPr>
        <w:t>Dreger, R.W., Jones, R.L. and Petersen, S.R., 2006. Effects of the self-contained breathing apparatus and fire protective clothing on maximal oxygen uptake. </w:t>
      </w:r>
      <w:r w:rsidRPr="00222705">
        <w:rPr>
          <w:rFonts w:ascii="Arial" w:eastAsia="Times New Roman" w:hAnsi="Arial" w:cs="Arial"/>
          <w:lang w:val="en-GB" w:eastAsia="en-GB"/>
        </w:rPr>
        <w:t>Ergonomics</w:t>
      </w:r>
      <w:r w:rsidRPr="00222705">
        <w:rPr>
          <w:rFonts w:ascii="Arial" w:eastAsia="Times New Roman" w:hAnsi="Arial" w:cs="Arial"/>
          <w:shd w:val="clear" w:color="auto" w:fill="FFFFFF"/>
          <w:lang w:val="en-GB" w:eastAsia="en-GB"/>
        </w:rPr>
        <w:t>, </w:t>
      </w:r>
      <w:r w:rsidRPr="00222705">
        <w:rPr>
          <w:rFonts w:ascii="Arial" w:eastAsia="Times New Roman" w:hAnsi="Arial" w:cs="Arial"/>
          <w:lang w:val="en-GB" w:eastAsia="en-GB"/>
        </w:rPr>
        <w:t>49</w:t>
      </w:r>
      <w:r w:rsidRPr="00222705">
        <w:rPr>
          <w:rFonts w:ascii="Arial" w:eastAsia="Times New Roman" w:hAnsi="Arial" w:cs="Arial"/>
          <w:shd w:val="clear" w:color="auto" w:fill="FFFFFF"/>
          <w:lang w:val="en-GB" w:eastAsia="en-GB"/>
        </w:rPr>
        <w:t>(10), pp.911-920.</w:t>
      </w:r>
    </w:p>
    <w:p w14:paraId="0E6F0277" w14:textId="77777777" w:rsidR="008D6288" w:rsidRPr="00222705" w:rsidRDefault="008D6288" w:rsidP="00EF007D">
      <w:pPr>
        <w:rPr>
          <w:rFonts w:ascii="Arial" w:eastAsia="Aptos" w:hAnsi="Arial" w:cs="Arial"/>
          <w:lang w:val="en-GB"/>
        </w:rPr>
      </w:pPr>
    </w:p>
    <w:p w14:paraId="58095300"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Elliot, A.J., Payen, V., Brisswalter, J., Cury, F. and Thayer, J.F., 2011. A subtle threat cue, heart rate variability, and cognitive performance. </w:t>
      </w:r>
      <w:r w:rsidRPr="00222705">
        <w:rPr>
          <w:rFonts w:ascii="Arial" w:hAnsi="Arial" w:cs="Arial"/>
        </w:rPr>
        <w:t>Psychophysiology</w:t>
      </w:r>
      <w:r w:rsidRPr="00222705">
        <w:rPr>
          <w:rFonts w:ascii="Arial" w:hAnsi="Arial" w:cs="Arial"/>
          <w:shd w:val="clear" w:color="auto" w:fill="FFFFFF"/>
        </w:rPr>
        <w:t>, </w:t>
      </w:r>
      <w:r w:rsidRPr="00222705">
        <w:rPr>
          <w:rFonts w:ascii="Arial" w:hAnsi="Arial" w:cs="Arial"/>
        </w:rPr>
        <w:t>48</w:t>
      </w:r>
      <w:r w:rsidRPr="00222705">
        <w:rPr>
          <w:rFonts w:ascii="Arial" w:hAnsi="Arial" w:cs="Arial"/>
          <w:shd w:val="clear" w:color="auto" w:fill="FFFFFF"/>
        </w:rPr>
        <w:t>(10), pp.1340-1345.</w:t>
      </w:r>
    </w:p>
    <w:p w14:paraId="44263608" w14:textId="77777777" w:rsidR="008D6288" w:rsidRPr="00222705" w:rsidRDefault="008D6288" w:rsidP="00EF007D">
      <w:pPr>
        <w:rPr>
          <w:rFonts w:ascii="Arial" w:hAnsi="Arial" w:cs="Arial"/>
          <w:shd w:val="clear" w:color="auto" w:fill="FFFFFF"/>
        </w:rPr>
      </w:pPr>
    </w:p>
    <w:p w14:paraId="78C214FE" w14:textId="77777777" w:rsidR="008F4D29" w:rsidRPr="00222705" w:rsidRDefault="008F4D29" w:rsidP="00EF007D">
      <w:pPr>
        <w:rPr>
          <w:rFonts w:ascii="Arial" w:hAnsi="Arial" w:cs="Arial"/>
        </w:rPr>
      </w:pPr>
      <w:r w:rsidRPr="00222705">
        <w:rPr>
          <w:rFonts w:ascii="Arial" w:hAnsi="Arial" w:cs="Arial"/>
          <w:lang w:val="en-GB"/>
        </w:rPr>
        <w:t>Elliot, D.L., Goldberg, L., Kuehl, K.S., Moe, E.L., Breger, R.K. and Pickering, M.A., 2007. The PHLAME (Promoting Healthy Lifestyles: Alternative Models’ Effects) firefighter study: outcomes of two models of </w:t>
      </w:r>
      <w:proofErr w:type="spellStart"/>
      <w:r w:rsidRPr="00222705">
        <w:rPr>
          <w:rFonts w:ascii="Arial" w:hAnsi="Arial" w:cs="Arial"/>
          <w:lang w:val="en-GB"/>
        </w:rPr>
        <w:t>behavior</w:t>
      </w:r>
      <w:proofErr w:type="spellEnd"/>
      <w:r w:rsidRPr="00222705">
        <w:rPr>
          <w:rFonts w:ascii="Arial" w:hAnsi="Arial" w:cs="Arial"/>
          <w:lang w:val="en-GB"/>
        </w:rPr>
        <w:t> change. Journal of Occupational and Environmental Medicine, 49(2), pp.204-213.</w:t>
      </w:r>
      <w:r w:rsidRPr="00222705">
        <w:rPr>
          <w:rFonts w:ascii="Arial" w:hAnsi="Arial" w:cs="Arial"/>
        </w:rPr>
        <w:t> </w:t>
      </w:r>
    </w:p>
    <w:p w14:paraId="48AC46FD" w14:textId="77777777" w:rsidR="008F4D29" w:rsidRPr="00222705" w:rsidRDefault="008F4D29" w:rsidP="00EF007D">
      <w:pPr>
        <w:rPr>
          <w:rFonts w:ascii="Arial" w:hAnsi="Arial" w:cs="Arial"/>
        </w:rPr>
      </w:pPr>
      <w:r w:rsidRPr="00222705">
        <w:rPr>
          <w:rFonts w:ascii="Arial" w:hAnsi="Arial" w:cs="Arial"/>
        </w:rPr>
        <w:t>Elsner, K.L. and Kolkhorst, F.W., 2008. Metabolic demands of simulated firefighting tasks. Ergonomics, 51(9), pp.1418-1425.</w:t>
      </w:r>
    </w:p>
    <w:p w14:paraId="38C1343E" w14:textId="77777777" w:rsidR="008D6288" w:rsidRPr="00222705" w:rsidRDefault="008D6288" w:rsidP="00EF007D">
      <w:pPr>
        <w:rPr>
          <w:rFonts w:ascii="Arial" w:hAnsi="Arial" w:cs="Arial"/>
        </w:rPr>
      </w:pPr>
    </w:p>
    <w:p w14:paraId="7F075E36" w14:textId="77777777" w:rsidR="008F4D29" w:rsidRPr="00222705" w:rsidRDefault="008F4D29" w:rsidP="00EF007D">
      <w:pPr>
        <w:rPr>
          <w:rFonts w:ascii="Arial" w:hAnsi="Arial" w:cs="Arial"/>
          <w:lang w:val="en-GB" w:eastAsia="en-GB"/>
        </w:rPr>
      </w:pPr>
      <w:r w:rsidRPr="00222705">
        <w:rPr>
          <w:rFonts w:ascii="Arial" w:hAnsi="Arial" w:cs="Arial"/>
          <w:lang w:val="en-GB" w:eastAsia="en-GB"/>
        </w:rPr>
        <w:t>Elstad, K., Malone, C., Luedke, J., Jaime, S.J., Dobbs, W.C., Almonroeder, T., Kerksick, C.M., Markert, A. and Jagim, A.R., 2023. The effects of protein and carbohydrate supplementation, with and without creatine, on occupational performance in firefighters. Nutrients, 15(24), p.5134.</w:t>
      </w:r>
    </w:p>
    <w:p w14:paraId="3B9C1D8F" w14:textId="77777777" w:rsidR="008D6288" w:rsidRPr="00222705" w:rsidRDefault="008D6288" w:rsidP="00EF007D">
      <w:pPr>
        <w:rPr>
          <w:rFonts w:ascii="Arial" w:eastAsiaTheme="minorEastAsia" w:hAnsi="Arial" w:cs="Arial"/>
          <w:lang w:val="en-GB" w:eastAsia="en-GB"/>
        </w:rPr>
      </w:pPr>
    </w:p>
    <w:p w14:paraId="58B63760"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 xml:space="preserve">Engelsman, M., Toms, L.M.L., Banks, A.P., Wang, X. and Mueller, J.F., 2020. Biomonitoring in firefighters for volatile organic compounds, semivolatile organic </w:t>
      </w:r>
      <w:r w:rsidRPr="00222705">
        <w:rPr>
          <w:rFonts w:ascii="Arial" w:hAnsi="Arial" w:cs="Arial"/>
          <w:shd w:val="clear" w:color="auto" w:fill="FFFFFF"/>
        </w:rPr>
        <w:lastRenderedPageBreak/>
        <w:t>compounds, persistent organic pollutants, and metals: A systematic review. </w:t>
      </w:r>
      <w:r w:rsidRPr="00222705">
        <w:rPr>
          <w:rFonts w:ascii="Arial" w:hAnsi="Arial" w:cs="Arial"/>
        </w:rPr>
        <w:t>Environmental research</w:t>
      </w:r>
      <w:r w:rsidRPr="00222705">
        <w:rPr>
          <w:rFonts w:ascii="Arial" w:hAnsi="Arial" w:cs="Arial"/>
          <w:shd w:val="clear" w:color="auto" w:fill="FFFFFF"/>
        </w:rPr>
        <w:t>, </w:t>
      </w:r>
      <w:r w:rsidRPr="00222705">
        <w:rPr>
          <w:rFonts w:ascii="Arial" w:hAnsi="Arial" w:cs="Arial"/>
        </w:rPr>
        <w:t>188</w:t>
      </w:r>
      <w:r w:rsidRPr="00222705">
        <w:rPr>
          <w:rFonts w:ascii="Arial" w:hAnsi="Arial" w:cs="Arial"/>
          <w:shd w:val="clear" w:color="auto" w:fill="FFFFFF"/>
        </w:rPr>
        <w:t>, p.109562.</w:t>
      </w:r>
    </w:p>
    <w:p w14:paraId="3FBFE012" w14:textId="77777777" w:rsidR="008D6288" w:rsidRPr="00222705" w:rsidRDefault="008D6288" w:rsidP="00EF007D">
      <w:pPr>
        <w:rPr>
          <w:rFonts w:ascii="Arial" w:hAnsi="Arial" w:cs="Arial"/>
          <w:shd w:val="clear" w:color="auto" w:fill="FFFFFF"/>
        </w:rPr>
      </w:pPr>
    </w:p>
    <w:p w14:paraId="61773E28" w14:textId="77777777" w:rsidR="008F4D29" w:rsidRPr="00222705" w:rsidRDefault="008F4D29" w:rsidP="00EF007D">
      <w:pPr>
        <w:rPr>
          <w:rFonts w:ascii="Arial" w:hAnsi="Arial" w:cs="Arial"/>
        </w:rPr>
      </w:pPr>
      <w:r w:rsidRPr="00222705">
        <w:rPr>
          <w:rFonts w:ascii="Arial" w:hAnsi="Arial" w:cs="Arial"/>
        </w:rPr>
        <w:t>Ensari, I., Motl, R.W., Klaren, R.E., Fernhall, B., Smith, D.L. and Horn, G.P., 2017. Firefighter exercise protocols conducted in an environmental chamber: developing a laboratory-based simulated firefighting protocol. Ergonomics, 60(5), pp.657-668.</w:t>
      </w:r>
    </w:p>
    <w:p w14:paraId="15A40A7F" w14:textId="77777777" w:rsidR="008D6288" w:rsidRPr="00222705" w:rsidRDefault="008D6288" w:rsidP="00EF007D">
      <w:pPr>
        <w:rPr>
          <w:rFonts w:ascii="Arial" w:hAnsi="Arial" w:cs="Arial"/>
        </w:rPr>
      </w:pPr>
    </w:p>
    <w:p w14:paraId="36986E08"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lang w:val="en-GB"/>
          <w14:ligatures w14:val="none"/>
        </w:rPr>
        <w:t xml:space="preserve">Esposito, K., Marfella, R., Ciotola, M., Di Palo, C., Giugliano, F., Giugliano, G., </w:t>
      </w:r>
      <w:proofErr w:type="spellStart"/>
      <w:r w:rsidRPr="00222705">
        <w:rPr>
          <w:rFonts w:ascii="Arial" w:eastAsia="Times New Roman" w:hAnsi="Arial" w:cs="Arial"/>
          <w:kern w:val="0"/>
          <w:lang w:val="en-GB"/>
          <w14:ligatures w14:val="none"/>
        </w:rPr>
        <w:t>D'Armiento</w:t>
      </w:r>
      <w:proofErr w:type="spellEnd"/>
      <w:r w:rsidRPr="00222705">
        <w:rPr>
          <w:rFonts w:ascii="Arial" w:eastAsia="Times New Roman" w:hAnsi="Arial" w:cs="Arial"/>
          <w:kern w:val="0"/>
          <w:lang w:val="en-GB"/>
          <w14:ligatures w14:val="none"/>
        </w:rPr>
        <w:t>, M., D'Andrea, F. and Giugliano, D., 2004. Effect of a Mediterranean-style diet on endothelial dysfunction and markers of vascular inflammation in the metabolic syndrome: a randomized trial. Jama, 292(12), pp.1440-1446.</w:t>
      </w:r>
      <w:r w:rsidRPr="00222705">
        <w:rPr>
          <w:rFonts w:ascii="Arial" w:eastAsia="Times New Roman" w:hAnsi="Arial" w:cs="Arial"/>
          <w:kern w:val="0"/>
          <w14:ligatures w14:val="none"/>
        </w:rPr>
        <w:t> </w:t>
      </w:r>
    </w:p>
    <w:p w14:paraId="3E7DB4F6" w14:textId="77777777" w:rsidR="008D6288" w:rsidRPr="00222705" w:rsidRDefault="008D6288" w:rsidP="00EF007D">
      <w:pPr>
        <w:rPr>
          <w:rFonts w:ascii="Arial" w:eastAsia="Times New Roman" w:hAnsi="Arial" w:cs="Arial"/>
          <w:kern w:val="0"/>
          <w14:ligatures w14:val="none"/>
        </w:rPr>
      </w:pPr>
    </w:p>
    <w:p w14:paraId="10C1F928" w14:textId="77777777" w:rsidR="008F4D29" w:rsidRPr="00222705" w:rsidRDefault="008F4D29" w:rsidP="00EF007D">
      <w:pPr>
        <w:rPr>
          <w:rFonts w:ascii="Arial" w:eastAsia="Times New Roman" w:hAnsi="Arial" w:cs="Arial"/>
          <w:shd w:val="clear" w:color="auto" w:fill="FFFFFF"/>
          <w:lang w:val="en-GB" w:eastAsia="en-GB"/>
        </w:rPr>
      </w:pPr>
      <w:r w:rsidRPr="00222705">
        <w:rPr>
          <w:rFonts w:ascii="Arial" w:eastAsia="Times New Roman" w:hAnsi="Arial" w:cs="Arial"/>
          <w:shd w:val="clear" w:color="auto" w:fill="FFFFFF"/>
          <w:lang w:val="en-GB" w:eastAsia="en-GB"/>
        </w:rPr>
        <w:t>Esteves, F., Madureira, J., Barros, B., Alves, S., Pires, J., Martins, S., Oliveira, M., Vaz, J., Slezakova, K., do Carmo Pereira, M. and Fernandes, A., 2025. Impact of occupational exposure to wildfire events on systemic inflammatory biomarkers in Portuguese wildland firefighters. </w:t>
      </w:r>
      <w:r w:rsidRPr="00222705">
        <w:rPr>
          <w:rFonts w:ascii="Arial" w:eastAsia="Times New Roman" w:hAnsi="Arial" w:cs="Arial"/>
          <w:lang w:val="en-GB" w:eastAsia="en-GB"/>
        </w:rPr>
        <w:t>Environmental Research</w:t>
      </w:r>
      <w:r w:rsidRPr="00222705">
        <w:rPr>
          <w:rFonts w:ascii="Arial" w:eastAsia="Times New Roman" w:hAnsi="Arial" w:cs="Arial"/>
          <w:shd w:val="clear" w:color="auto" w:fill="FFFFFF"/>
          <w:lang w:val="en-GB" w:eastAsia="en-GB"/>
        </w:rPr>
        <w:t>, </w:t>
      </w:r>
      <w:r w:rsidRPr="00222705">
        <w:rPr>
          <w:rFonts w:ascii="Arial" w:eastAsia="Times New Roman" w:hAnsi="Arial" w:cs="Arial"/>
          <w:lang w:val="en-GB" w:eastAsia="en-GB"/>
        </w:rPr>
        <w:t>277</w:t>
      </w:r>
      <w:r w:rsidRPr="00222705">
        <w:rPr>
          <w:rFonts w:ascii="Arial" w:eastAsia="Times New Roman" w:hAnsi="Arial" w:cs="Arial"/>
          <w:shd w:val="clear" w:color="auto" w:fill="FFFFFF"/>
          <w:lang w:val="en-GB" w:eastAsia="en-GB"/>
        </w:rPr>
        <w:t>, p.121608.</w:t>
      </w:r>
    </w:p>
    <w:p w14:paraId="06DC1DD4" w14:textId="77777777" w:rsidR="008D6288" w:rsidRPr="00222705" w:rsidRDefault="008D6288" w:rsidP="00EF007D">
      <w:pPr>
        <w:rPr>
          <w:rFonts w:ascii="Arial" w:eastAsia="Times New Roman" w:hAnsi="Arial" w:cs="Arial"/>
          <w:shd w:val="clear" w:color="auto" w:fill="DEDEDE"/>
          <w:lang w:val="en-GB" w:eastAsia="en-GB"/>
        </w:rPr>
      </w:pPr>
    </w:p>
    <w:p w14:paraId="7C803B9C"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shd w:val="clear" w:color="auto" w:fill="FFFFFF"/>
          <w:lang w:val="en-GB"/>
          <w14:ligatures w14:val="none"/>
        </w:rPr>
        <w:t>Estruch, R., Ros, E., Salas-Salvadó, J., Covas, M.I., Corella, D., Arós, F., Gómez-Gracia, E., Ruiz-Gutiérrez, V., Fiol, M., Lapetra, J. and Lamuela-Raventos, R.M., 2018. Primary prevention of cardiovascular disease with a Mediterranean diet supplemented with extra-virgin olive oil or nuts. </w:t>
      </w:r>
      <w:r w:rsidRPr="00222705">
        <w:rPr>
          <w:rFonts w:ascii="Arial" w:eastAsia="Times New Roman" w:hAnsi="Arial" w:cs="Arial"/>
          <w:kern w:val="0"/>
          <w:lang w:val="en-GB"/>
          <w14:ligatures w14:val="none"/>
        </w:rPr>
        <w:t>New England journal of medicine</w:t>
      </w:r>
      <w:r w:rsidRPr="00222705">
        <w:rPr>
          <w:rFonts w:ascii="Arial" w:eastAsia="Times New Roman" w:hAnsi="Arial" w:cs="Arial"/>
          <w:kern w:val="0"/>
          <w:shd w:val="clear" w:color="auto" w:fill="FFFFFF"/>
          <w:lang w:val="en-GB"/>
          <w14:ligatures w14:val="none"/>
        </w:rPr>
        <w:t>, </w:t>
      </w:r>
      <w:r w:rsidRPr="00222705">
        <w:rPr>
          <w:rFonts w:ascii="Arial" w:eastAsia="Times New Roman" w:hAnsi="Arial" w:cs="Arial"/>
          <w:kern w:val="0"/>
          <w:lang w:val="en-GB"/>
          <w14:ligatures w14:val="none"/>
        </w:rPr>
        <w:t>378</w:t>
      </w:r>
      <w:r w:rsidRPr="00222705">
        <w:rPr>
          <w:rFonts w:ascii="Arial" w:eastAsia="Times New Roman" w:hAnsi="Arial" w:cs="Arial"/>
          <w:kern w:val="0"/>
          <w:shd w:val="clear" w:color="auto" w:fill="FFFFFF"/>
          <w:lang w:val="en-GB"/>
          <w14:ligatures w14:val="none"/>
        </w:rPr>
        <w:t>(25), p.e34.</w:t>
      </w:r>
      <w:r w:rsidRPr="00222705">
        <w:rPr>
          <w:rFonts w:ascii="Arial" w:eastAsia="Times New Roman" w:hAnsi="Arial" w:cs="Arial"/>
          <w:kern w:val="0"/>
          <w14:ligatures w14:val="none"/>
        </w:rPr>
        <w:t> </w:t>
      </w:r>
    </w:p>
    <w:p w14:paraId="1A9558FC" w14:textId="77777777" w:rsidR="008D6288" w:rsidRPr="00222705" w:rsidRDefault="008D6288" w:rsidP="00EF007D">
      <w:pPr>
        <w:rPr>
          <w:rFonts w:ascii="Arial" w:eastAsia="Times New Roman" w:hAnsi="Arial" w:cs="Arial"/>
          <w:kern w:val="0"/>
          <w:shd w:val="clear" w:color="auto" w:fill="FFFFFF"/>
          <w:lang w:val="en-GB"/>
          <w14:ligatures w14:val="none"/>
        </w:rPr>
      </w:pPr>
    </w:p>
    <w:p w14:paraId="5E7BC5D5"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Ettehad, D., Emdin, C.A., Kiran, A., Anderson, S.G., Callender, T., Emberson, J., Chalmers, J., Rodgers, A. and Rahimi, K., 2016. Blood pressure lowering for prevention of cardiovascular disease and death: a systematic review and meta-analysis. The Lancet, 387(10022), pp.957-967. </w:t>
      </w:r>
    </w:p>
    <w:p w14:paraId="43BA05AE" w14:textId="77777777" w:rsidR="008D6288" w:rsidRPr="00222705" w:rsidRDefault="008D6288" w:rsidP="00EF007D">
      <w:pPr>
        <w:rPr>
          <w:rFonts w:ascii="Arial" w:eastAsia="Times New Roman" w:hAnsi="Arial" w:cs="Arial"/>
          <w:kern w:val="0"/>
          <w14:ligatures w14:val="none"/>
        </w:rPr>
      </w:pPr>
    </w:p>
    <w:p w14:paraId="7B599ED3" w14:textId="77777777" w:rsidR="008D6288" w:rsidRPr="00222705" w:rsidRDefault="008F4D29" w:rsidP="00EF007D">
      <w:pPr>
        <w:rPr>
          <w:rFonts w:ascii="Arial" w:hAnsi="Arial" w:cs="Arial"/>
        </w:rPr>
      </w:pPr>
      <w:r w:rsidRPr="00222705">
        <w:rPr>
          <w:rFonts w:ascii="Arial" w:hAnsi="Arial" w:cs="Arial"/>
        </w:rPr>
        <w:t>Fagard, R.H., 2002. Epidemiology of hypertension in the elderly. The American journal of geriatric cardiology, 11(1), pp.23-28.</w:t>
      </w:r>
    </w:p>
    <w:p w14:paraId="4D616773" w14:textId="5278B236" w:rsidR="008F4D29" w:rsidRPr="00222705" w:rsidRDefault="008F4D29" w:rsidP="00EF007D">
      <w:pPr>
        <w:rPr>
          <w:rFonts w:ascii="Arial" w:hAnsi="Arial" w:cs="Arial"/>
        </w:rPr>
      </w:pPr>
      <w:r w:rsidRPr="00222705">
        <w:rPr>
          <w:rFonts w:ascii="Arial" w:hAnsi="Arial" w:cs="Arial"/>
        </w:rPr>
        <w:t>  </w:t>
      </w:r>
    </w:p>
    <w:p w14:paraId="2CCA9646" w14:textId="77777777" w:rsidR="008F4D29" w:rsidRPr="00222705" w:rsidRDefault="008F4D29" w:rsidP="00EF007D">
      <w:pPr>
        <w:rPr>
          <w:rFonts w:ascii="Arial" w:eastAsia="Aptos" w:hAnsi="Arial" w:cs="Arial"/>
        </w:rPr>
      </w:pPr>
      <w:r w:rsidRPr="00222705">
        <w:rPr>
          <w:rFonts w:ascii="Arial" w:eastAsia="Aptos" w:hAnsi="Arial" w:cs="Arial"/>
        </w:rPr>
        <w:t>Fahs, C.A., Yan, H., Ranadive, S., Rossow, L.M., Agiovlasitis, S., Echols, G., Smith, D., Horn, G.P., Rowland, T., Lane, A. and Fernhall, B., 2011. Acute effects of firefighting on arterial stiffness and blood flow. Vascular medicine, 16(2), pp.113-118.</w:t>
      </w:r>
    </w:p>
    <w:p w14:paraId="7EA099E3" w14:textId="77777777" w:rsidR="008D6288" w:rsidRPr="00222705" w:rsidRDefault="008D6288" w:rsidP="00EF007D">
      <w:pPr>
        <w:rPr>
          <w:rFonts w:ascii="Arial" w:eastAsia="Aptos" w:hAnsi="Arial" w:cs="Arial"/>
        </w:rPr>
      </w:pPr>
    </w:p>
    <w:p w14:paraId="72F3B9B1" w14:textId="77777777" w:rsidR="008F4D29" w:rsidRPr="00222705" w:rsidRDefault="008F4D29" w:rsidP="00EF007D">
      <w:pPr>
        <w:rPr>
          <w:rFonts w:ascii="Arial" w:eastAsia="Aptos" w:hAnsi="Arial" w:cs="Arial"/>
        </w:rPr>
      </w:pPr>
      <w:r w:rsidRPr="00222705">
        <w:rPr>
          <w:rFonts w:ascii="Arial" w:eastAsia="Aptos" w:hAnsi="Arial" w:cs="Arial"/>
        </w:rPr>
        <w:t>Fahy, R.F. and Petrillo, J.T., 2021. Firefighter fatalities in the US in 2020. National Fire Protection Association, pp.1-22.</w:t>
      </w:r>
    </w:p>
    <w:p w14:paraId="1BB491B7" w14:textId="77777777" w:rsidR="008D6288" w:rsidRPr="00222705" w:rsidRDefault="008D6288" w:rsidP="00EF007D">
      <w:pPr>
        <w:rPr>
          <w:rFonts w:ascii="Arial" w:eastAsia="Aptos" w:hAnsi="Arial" w:cs="Arial"/>
        </w:rPr>
      </w:pPr>
    </w:p>
    <w:p w14:paraId="0B27B955" w14:textId="77777777" w:rsidR="008F4D29" w:rsidRPr="00222705" w:rsidRDefault="008F4D29" w:rsidP="00EF007D">
      <w:pPr>
        <w:rPr>
          <w:rFonts w:ascii="Arial" w:eastAsia="Aptos" w:hAnsi="Arial" w:cs="Arial"/>
        </w:rPr>
      </w:pPr>
      <w:r w:rsidRPr="00222705">
        <w:rPr>
          <w:rFonts w:ascii="Arial" w:eastAsia="Aptos" w:hAnsi="Arial" w:cs="Arial"/>
        </w:rPr>
        <w:t>Fent, K.W., Eisenberg, J., Snawder, J., Sammons, D., Pleil, J.D., Stiegel, M.A., Mueller, C., Horn, G.P. and Dalton, J., 2014. Systemic exposure to PAHs and benzene in firefighters suppressing controlled structure fires. Annals of occupational hygiene, 58(7), pp.830-845.</w:t>
      </w:r>
    </w:p>
    <w:p w14:paraId="2EF4C4DD" w14:textId="77777777" w:rsidR="008D6288" w:rsidRPr="00222705" w:rsidRDefault="008D6288" w:rsidP="00EF007D">
      <w:pPr>
        <w:rPr>
          <w:rFonts w:ascii="Arial" w:eastAsia="Aptos" w:hAnsi="Arial" w:cs="Arial"/>
        </w:rPr>
      </w:pPr>
    </w:p>
    <w:p w14:paraId="0DFDB94A"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Fent, K.W., Toennis, C., Sammons, D., Robertson, S., Bertke, S., Calafat, A.M., Pleil, J.D., Wallace, M.A.G., Kerber, S., Smith, D. and Horn, G.P., 2020. Firefighters’ absorption of PAHs and VOCs during controlled residential fires by job assignment and fire attack tactic. </w:t>
      </w:r>
      <w:r w:rsidRPr="00222705">
        <w:rPr>
          <w:rFonts w:ascii="Arial" w:hAnsi="Arial" w:cs="Arial"/>
        </w:rPr>
        <w:t>Journal of exposure science &amp; environmental epidemiology</w:t>
      </w:r>
      <w:r w:rsidRPr="00222705">
        <w:rPr>
          <w:rFonts w:ascii="Arial" w:hAnsi="Arial" w:cs="Arial"/>
          <w:shd w:val="clear" w:color="auto" w:fill="FFFFFF"/>
        </w:rPr>
        <w:t>, </w:t>
      </w:r>
      <w:r w:rsidRPr="00222705">
        <w:rPr>
          <w:rFonts w:ascii="Arial" w:hAnsi="Arial" w:cs="Arial"/>
        </w:rPr>
        <w:t>30</w:t>
      </w:r>
      <w:r w:rsidRPr="00222705">
        <w:rPr>
          <w:rFonts w:ascii="Arial" w:hAnsi="Arial" w:cs="Arial"/>
          <w:shd w:val="clear" w:color="auto" w:fill="FFFFFF"/>
        </w:rPr>
        <w:t>(2), pp.338-349.</w:t>
      </w:r>
    </w:p>
    <w:p w14:paraId="19F2B645" w14:textId="77777777" w:rsidR="008D6288" w:rsidRPr="00222705" w:rsidRDefault="008D6288" w:rsidP="00EF007D">
      <w:pPr>
        <w:rPr>
          <w:rFonts w:ascii="Arial" w:hAnsi="Arial" w:cs="Arial"/>
          <w:shd w:val="clear" w:color="auto" w:fill="FFFFFF"/>
        </w:rPr>
      </w:pPr>
    </w:p>
    <w:p w14:paraId="59BA0354" w14:textId="77777777" w:rsidR="008F4D29" w:rsidRPr="00222705" w:rsidRDefault="008F4D29" w:rsidP="00EF007D">
      <w:pPr>
        <w:rPr>
          <w:rFonts w:ascii="Arial" w:eastAsia="Times New Roman" w:hAnsi="Arial" w:cs="Arial"/>
          <w:shd w:val="clear" w:color="auto" w:fill="FFFFFF"/>
          <w:lang w:val="en-GB" w:eastAsia="en-GB"/>
        </w:rPr>
      </w:pPr>
      <w:bookmarkStart w:id="78" w:name="OLE_LINK35"/>
      <w:r w:rsidRPr="00222705">
        <w:rPr>
          <w:rFonts w:ascii="Arial" w:eastAsia="Times New Roman" w:hAnsi="Arial" w:cs="Arial"/>
          <w:shd w:val="clear" w:color="auto" w:fill="FFFFFF"/>
          <w:lang w:val="en-GB" w:eastAsia="en-GB"/>
        </w:rPr>
        <w:t>Fernhall, B., Fahs, C.A., Horn, G., Rowland, T. and Smith, D., 2012. Acute effects of firefighting on cardiac performance. </w:t>
      </w:r>
      <w:r w:rsidRPr="00222705">
        <w:rPr>
          <w:rFonts w:ascii="Arial" w:eastAsia="Times New Roman" w:hAnsi="Arial" w:cs="Arial"/>
          <w:lang w:val="en-GB" w:eastAsia="en-GB"/>
        </w:rPr>
        <w:t>European journal of applied physiology</w:t>
      </w:r>
      <w:r w:rsidRPr="00222705">
        <w:rPr>
          <w:rFonts w:ascii="Arial" w:eastAsia="Times New Roman" w:hAnsi="Arial" w:cs="Arial"/>
          <w:shd w:val="clear" w:color="auto" w:fill="FFFFFF"/>
          <w:lang w:val="en-GB" w:eastAsia="en-GB"/>
        </w:rPr>
        <w:t>, </w:t>
      </w:r>
      <w:r w:rsidRPr="00222705">
        <w:rPr>
          <w:rFonts w:ascii="Arial" w:eastAsia="Times New Roman" w:hAnsi="Arial" w:cs="Arial"/>
          <w:lang w:val="en-GB" w:eastAsia="en-GB"/>
        </w:rPr>
        <w:t>112</w:t>
      </w:r>
      <w:r w:rsidRPr="00222705">
        <w:rPr>
          <w:rFonts w:ascii="Arial" w:eastAsia="Times New Roman" w:hAnsi="Arial" w:cs="Arial"/>
          <w:shd w:val="clear" w:color="auto" w:fill="FFFFFF"/>
          <w:lang w:val="en-GB" w:eastAsia="en-GB"/>
        </w:rPr>
        <w:t>(2), pp.735-741.</w:t>
      </w:r>
    </w:p>
    <w:p w14:paraId="3835EACE" w14:textId="77777777" w:rsidR="008D6288" w:rsidRPr="00222705" w:rsidRDefault="008D6288" w:rsidP="00EF007D">
      <w:pPr>
        <w:rPr>
          <w:rFonts w:ascii="Arial" w:eastAsia="Aptos" w:hAnsi="Arial" w:cs="Arial"/>
        </w:rPr>
      </w:pPr>
    </w:p>
    <w:p w14:paraId="501E973D" w14:textId="77777777" w:rsidR="008F4D29" w:rsidRPr="00222705" w:rsidRDefault="008F4D29" w:rsidP="00EF007D">
      <w:pPr>
        <w:rPr>
          <w:rFonts w:ascii="Arial" w:hAnsi="Arial" w:cs="Arial"/>
        </w:rPr>
      </w:pPr>
      <w:bookmarkStart w:id="79" w:name="OLE_LINK62"/>
      <w:bookmarkEnd w:id="78"/>
      <w:r w:rsidRPr="00222705">
        <w:rPr>
          <w:rFonts w:ascii="Arial" w:hAnsi="Arial" w:cs="Arial"/>
        </w:rPr>
        <w:t>Fialho, G., Cavichio, L., Povoa, R. and Pimenta, J., 2006. Effects of 24-h shift work in the emergency room on ambulatory blood pressure monitoring values of medical residents. American journal of hypertension, 19(10), pp.1005-</w:t>
      </w:r>
    </w:p>
    <w:p w14:paraId="26A75FB4" w14:textId="77777777" w:rsidR="008D6288" w:rsidRPr="00222705" w:rsidRDefault="008D6288" w:rsidP="00EF007D">
      <w:pPr>
        <w:rPr>
          <w:rFonts w:ascii="Arial" w:eastAsia="Aptos" w:hAnsi="Arial" w:cs="Arial"/>
        </w:rPr>
      </w:pPr>
    </w:p>
    <w:bookmarkEnd w:id="79"/>
    <w:p w14:paraId="409CE450"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Frankenhaeuser, M., 1991. The psychophysiology of workload, stress, and health: Comparison between the sexes. </w:t>
      </w:r>
      <w:r w:rsidRPr="00222705">
        <w:rPr>
          <w:rFonts w:ascii="Arial" w:hAnsi="Arial" w:cs="Arial"/>
        </w:rPr>
        <w:t>Annals of Behavioral Medicine</w:t>
      </w:r>
      <w:r w:rsidRPr="00222705">
        <w:rPr>
          <w:rFonts w:ascii="Arial" w:hAnsi="Arial" w:cs="Arial"/>
          <w:shd w:val="clear" w:color="auto" w:fill="FFFFFF"/>
        </w:rPr>
        <w:t>, </w:t>
      </w:r>
      <w:r w:rsidRPr="00222705">
        <w:rPr>
          <w:rFonts w:ascii="Arial" w:hAnsi="Arial" w:cs="Arial"/>
        </w:rPr>
        <w:t>13</w:t>
      </w:r>
      <w:r w:rsidRPr="00222705">
        <w:rPr>
          <w:rFonts w:ascii="Arial" w:hAnsi="Arial" w:cs="Arial"/>
          <w:shd w:val="clear" w:color="auto" w:fill="FFFFFF"/>
        </w:rPr>
        <w:t>(4), pp.197-204.</w:t>
      </w:r>
    </w:p>
    <w:p w14:paraId="2A56CF15" w14:textId="77777777" w:rsidR="008D6288" w:rsidRPr="00222705" w:rsidRDefault="008D6288" w:rsidP="00EF007D">
      <w:pPr>
        <w:rPr>
          <w:rFonts w:ascii="Arial" w:eastAsia="Times New Roman" w:hAnsi="Arial" w:cs="Arial"/>
          <w:shd w:val="clear" w:color="auto" w:fill="FFFFFF"/>
          <w:lang w:val="en-GB" w:eastAsia="en-GB"/>
        </w:rPr>
      </w:pPr>
    </w:p>
    <w:p w14:paraId="5DEFB324"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Frumento, D. and Țãlu, Ș., 2024. Effects of wildfire exposure on the human immune system. </w:t>
      </w:r>
      <w:r w:rsidRPr="00222705">
        <w:rPr>
          <w:rFonts w:ascii="Arial" w:hAnsi="Arial" w:cs="Arial"/>
        </w:rPr>
        <w:t>Fire</w:t>
      </w:r>
      <w:r w:rsidRPr="00222705">
        <w:rPr>
          <w:rFonts w:ascii="Arial" w:hAnsi="Arial" w:cs="Arial"/>
          <w:shd w:val="clear" w:color="auto" w:fill="FFFFFF"/>
        </w:rPr>
        <w:t>, </w:t>
      </w:r>
      <w:r w:rsidRPr="00222705">
        <w:rPr>
          <w:rFonts w:ascii="Arial" w:hAnsi="Arial" w:cs="Arial"/>
        </w:rPr>
        <w:t>7</w:t>
      </w:r>
      <w:r w:rsidRPr="00222705">
        <w:rPr>
          <w:rFonts w:ascii="Arial" w:hAnsi="Arial" w:cs="Arial"/>
          <w:shd w:val="clear" w:color="auto" w:fill="FFFFFF"/>
        </w:rPr>
        <w:t>(12), p.469.</w:t>
      </w:r>
    </w:p>
    <w:p w14:paraId="6B354848" w14:textId="77777777" w:rsidR="008D6288" w:rsidRPr="00222705" w:rsidRDefault="008D6288" w:rsidP="00EF007D">
      <w:pPr>
        <w:rPr>
          <w:rFonts w:ascii="Arial" w:hAnsi="Arial" w:cs="Arial"/>
          <w:shd w:val="clear" w:color="auto" w:fill="FFFFFF"/>
        </w:rPr>
      </w:pPr>
    </w:p>
    <w:p w14:paraId="4FB8635D" w14:textId="77777777" w:rsidR="008F4D29" w:rsidRPr="00222705" w:rsidRDefault="008F4D29" w:rsidP="00EF007D">
      <w:pPr>
        <w:rPr>
          <w:rFonts w:ascii="Arial" w:eastAsia="Aptos" w:hAnsi="Arial" w:cs="Arial"/>
          <w:lang w:val="en-GB"/>
        </w:rPr>
      </w:pPr>
      <w:r w:rsidRPr="00222705">
        <w:rPr>
          <w:rFonts w:ascii="Arial" w:eastAsia="Aptos" w:hAnsi="Arial" w:cs="Arial"/>
          <w:lang w:val="en-GB"/>
        </w:rPr>
        <w:t>Gallo, G., Volpe, M. and Savoia, C., 2022. Endothelial dysfunction in hypertension: current conceptsand clinical implications. Frontiers in medicine, 8, p.798958.</w:t>
      </w:r>
    </w:p>
    <w:p w14:paraId="5821FFCD" w14:textId="77777777" w:rsidR="00233382" w:rsidRPr="00222705" w:rsidRDefault="00233382" w:rsidP="00EF007D">
      <w:pPr>
        <w:rPr>
          <w:rFonts w:ascii="Arial" w:eastAsia="Aptos" w:hAnsi="Arial" w:cs="Arial"/>
        </w:rPr>
      </w:pPr>
    </w:p>
    <w:p w14:paraId="6FC8C737"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lastRenderedPageBreak/>
        <w:t>Gammone, M.A., Riccioni, G., Parrinello, G. and D’Orazio, N., 2019. Omega-3 polyunsaturated fatty acids: benefits and endpoints in sport. Nutrients, 11(1), p.46. </w:t>
      </w:r>
    </w:p>
    <w:p w14:paraId="3636FF7B" w14:textId="77777777" w:rsidR="008D6288" w:rsidRPr="00222705" w:rsidRDefault="008D6288" w:rsidP="00EF007D">
      <w:pPr>
        <w:rPr>
          <w:rFonts w:ascii="Arial" w:eastAsia="Times New Roman" w:hAnsi="Arial" w:cs="Arial"/>
          <w:kern w:val="0"/>
          <w14:ligatures w14:val="none"/>
        </w:rPr>
      </w:pPr>
    </w:p>
    <w:p w14:paraId="048F806C" w14:textId="7F1E3A7D" w:rsidR="008F4D29" w:rsidRPr="00222705" w:rsidRDefault="008F4D29" w:rsidP="00EF007D">
      <w:pPr>
        <w:rPr>
          <w:rFonts w:ascii="Arial" w:hAnsi="Arial" w:cs="Arial"/>
        </w:rPr>
      </w:pPr>
      <w:r w:rsidRPr="00222705">
        <w:rPr>
          <w:rFonts w:ascii="Arial" w:hAnsi="Arial" w:cs="Arial"/>
        </w:rPr>
        <w:t>Gaughan, D.M., Christiani, D.C., Hughes, M.D., Baur, D.M., Kobzik, L., Wagner, G.R. and Kales, S.N., 2014</w:t>
      </w:r>
      <w:r w:rsidR="00D706C1" w:rsidRPr="00222705">
        <w:rPr>
          <w:rFonts w:ascii="Arial" w:hAnsi="Arial" w:cs="Arial"/>
        </w:rPr>
        <w:t>a</w:t>
      </w:r>
      <w:r w:rsidRPr="00222705">
        <w:rPr>
          <w:rFonts w:ascii="Arial" w:hAnsi="Arial" w:cs="Arial"/>
        </w:rPr>
        <w:t>. High hsCRP is associated with reduced lung function in structural firefighters. American journal of industrial medicine, 57(1), pp.31-37.</w:t>
      </w:r>
    </w:p>
    <w:p w14:paraId="036EEA16" w14:textId="77777777" w:rsidR="008D6288" w:rsidRPr="00222705" w:rsidRDefault="008D6288" w:rsidP="00EF007D">
      <w:pPr>
        <w:rPr>
          <w:rFonts w:ascii="Arial" w:hAnsi="Arial" w:cs="Arial"/>
        </w:rPr>
      </w:pPr>
    </w:p>
    <w:p w14:paraId="103E50E1" w14:textId="09288F16"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Gaughan, D.M., Siegel, P.D., Hughes, M.D., Chang, C.Y., Law, B.F., Campbell, C.R., Richards, J.C., Kales, S.F., Chertok, M., Kobzik, L. and Nguyen, P.S., 2014</w:t>
      </w:r>
      <w:r w:rsidR="00AD7E9F" w:rsidRPr="00222705">
        <w:rPr>
          <w:rFonts w:ascii="Arial" w:hAnsi="Arial" w:cs="Arial"/>
          <w:shd w:val="clear" w:color="auto" w:fill="FFFFFF"/>
        </w:rPr>
        <w:t>b</w:t>
      </w:r>
      <w:r w:rsidRPr="00222705">
        <w:rPr>
          <w:rFonts w:ascii="Arial" w:hAnsi="Arial" w:cs="Arial"/>
          <w:shd w:val="clear" w:color="auto" w:fill="FFFFFF"/>
        </w:rPr>
        <w:t>. Arterial stiffness, oxidative stress, and smoke exposure in wildland firefighters. </w:t>
      </w:r>
      <w:r w:rsidRPr="00222705">
        <w:rPr>
          <w:rFonts w:ascii="Arial" w:hAnsi="Arial" w:cs="Arial"/>
        </w:rPr>
        <w:t>American journal of industrial medicine</w:t>
      </w:r>
      <w:r w:rsidRPr="00222705">
        <w:rPr>
          <w:rFonts w:ascii="Arial" w:hAnsi="Arial" w:cs="Arial"/>
          <w:shd w:val="clear" w:color="auto" w:fill="FFFFFF"/>
        </w:rPr>
        <w:t>, </w:t>
      </w:r>
      <w:r w:rsidRPr="00222705">
        <w:rPr>
          <w:rFonts w:ascii="Arial" w:hAnsi="Arial" w:cs="Arial"/>
        </w:rPr>
        <w:t>57</w:t>
      </w:r>
      <w:r w:rsidRPr="00222705">
        <w:rPr>
          <w:rFonts w:ascii="Arial" w:hAnsi="Arial" w:cs="Arial"/>
          <w:shd w:val="clear" w:color="auto" w:fill="FFFFFF"/>
        </w:rPr>
        <w:t>(7), pp.748-756.</w:t>
      </w:r>
    </w:p>
    <w:p w14:paraId="77BA8BA1" w14:textId="77777777" w:rsidR="008D6288" w:rsidRPr="00222705" w:rsidRDefault="008D6288" w:rsidP="00EF007D">
      <w:pPr>
        <w:rPr>
          <w:rFonts w:ascii="Arial" w:hAnsi="Arial" w:cs="Arial"/>
          <w:shd w:val="clear" w:color="auto" w:fill="FFFFFF"/>
        </w:rPr>
      </w:pPr>
    </w:p>
    <w:p w14:paraId="41B19092" w14:textId="77777777" w:rsidR="008F4D29" w:rsidRPr="00222705" w:rsidRDefault="008F4D29" w:rsidP="00EF007D">
      <w:pPr>
        <w:rPr>
          <w:rFonts w:ascii="Arial" w:eastAsia="Times New Roman" w:hAnsi="Arial" w:cs="Arial"/>
          <w:shd w:val="clear" w:color="auto" w:fill="FFFFFF"/>
          <w:lang w:val="en-GB" w:eastAsia="en-GB"/>
        </w:rPr>
      </w:pPr>
      <w:r w:rsidRPr="00222705">
        <w:rPr>
          <w:rFonts w:ascii="Arial" w:eastAsia="Times New Roman" w:hAnsi="Arial" w:cs="Arial"/>
          <w:shd w:val="clear" w:color="auto" w:fill="FFFFFF"/>
          <w:lang w:val="en-GB" w:eastAsia="en-GB"/>
        </w:rPr>
        <w:t>Gianniou, N., Katsaounou, P., Dima, E., Giannakopoulou, C.E., Kardara, M., Saltagianni, V., Trigidou, R., Kokkini, A., Bakakos, P., Markozannes, E. and Litsiou, E., 2016. Prolonged occupational exposure leads to allergic airway sensitization and chronic airway and systemic inflammation in professional firefighters. </w:t>
      </w:r>
      <w:r w:rsidRPr="00222705">
        <w:rPr>
          <w:rFonts w:ascii="Arial" w:eastAsia="Times New Roman" w:hAnsi="Arial" w:cs="Arial"/>
          <w:lang w:val="en-GB" w:eastAsia="en-GB"/>
        </w:rPr>
        <w:t>Respiratory medicine</w:t>
      </w:r>
      <w:r w:rsidRPr="00222705">
        <w:rPr>
          <w:rFonts w:ascii="Arial" w:eastAsia="Times New Roman" w:hAnsi="Arial" w:cs="Arial"/>
          <w:shd w:val="clear" w:color="auto" w:fill="FFFFFF"/>
          <w:lang w:val="en-GB" w:eastAsia="en-GB"/>
        </w:rPr>
        <w:t>, </w:t>
      </w:r>
      <w:r w:rsidRPr="00222705">
        <w:rPr>
          <w:rFonts w:ascii="Arial" w:eastAsia="Times New Roman" w:hAnsi="Arial" w:cs="Arial"/>
          <w:lang w:val="en-GB" w:eastAsia="en-GB"/>
        </w:rPr>
        <w:t>118</w:t>
      </w:r>
      <w:r w:rsidRPr="00222705">
        <w:rPr>
          <w:rFonts w:ascii="Arial" w:eastAsia="Times New Roman" w:hAnsi="Arial" w:cs="Arial"/>
          <w:shd w:val="clear" w:color="auto" w:fill="FFFFFF"/>
          <w:lang w:val="en-GB" w:eastAsia="en-GB"/>
        </w:rPr>
        <w:t>, pp.7-14.</w:t>
      </w:r>
    </w:p>
    <w:p w14:paraId="67C52EB4" w14:textId="77777777" w:rsidR="008D6288" w:rsidRPr="00222705" w:rsidRDefault="008D6288" w:rsidP="00EF007D">
      <w:pPr>
        <w:rPr>
          <w:rFonts w:ascii="Arial" w:eastAsia="Times New Roman" w:hAnsi="Arial" w:cs="Arial"/>
          <w:shd w:val="clear" w:color="auto" w:fill="DEDEDE"/>
          <w:lang w:val="en-GB" w:eastAsia="en-GB"/>
        </w:rPr>
      </w:pPr>
    </w:p>
    <w:p w14:paraId="5403F9CB" w14:textId="77777777" w:rsidR="008F4D29" w:rsidRPr="00222705" w:rsidRDefault="008F4D29" w:rsidP="00EF007D">
      <w:pPr>
        <w:rPr>
          <w:rFonts w:ascii="Arial" w:eastAsia="Aptos" w:hAnsi="Arial" w:cs="Arial"/>
        </w:rPr>
      </w:pPr>
      <w:r w:rsidRPr="00222705">
        <w:rPr>
          <w:rFonts w:ascii="Arial" w:eastAsia="Aptos" w:hAnsi="Arial" w:cs="Arial"/>
        </w:rPr>
        <w:t>Gledhill, N. and Jamnik, V.K., 1992. Characterization of the physical demands of firefighting. Canadian journal of sport sciences= Journal canadien des sciences du sport, 17(3), pp.207-213.</w:t>
      </w:r>
    </w:p>
    <w:p w14:paraId="43836D21" w14:textId="77777777" w:rsidR="008D6288" w:rsidRPr="00222705" w:rsidRDefault="008D6288" w:rsidP="00EF007D">
      <w:pPr>
        <w:rPr>
          <w:rFonts w:ascii="Arial" w:eastAsia="Aptos" w:hAnsi="Arial" w:cs="Arial"/>
        </w:rPr>
      </w:pPr>
    </w:p>
    <w:p w14:paraId="3792C8E6"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Goldberg, M.S., Burnett, R.T., Bailar 3rd, J.C., Tamblyn, R., Ernst, P., Flegel, K., Brook, J., Bonvalot, Y., Singh, R., Valois, M.F. and Vincent, R., 2001. Identification of persons with cardiorespiratory conditions who are at risk of dying from the acute effects of ambient air particles. </w:t>
      </w:r>
      <w:r w:rsidRPr="00222705">
        <w:rPr>
          <w:rFonts w:ascii="Arial" w:hAnsi="Arial" w:cs="Arial"/>
        </w:rPr>
        <w:t>Environmental health perspectives</w:t>
      </w:r>
      <w:r w:rsidRPr="00222705">
        <w:rPr>
          <w:rFonts w:ascii="Arial" w:hAnsi="Arial" w:cs="Arial"/>
          <w:shd w:val="clear" w:color="auto" w:fill="FFFFFF"/>
        </w:rPr>
        <w:t>, </w:t>
      </w:r>
      <w:r w:rsidRPr="00222705">
        <w:rPr>
          <w:rFonts w:ascii="Arial" w:hAnsi="Arial" w:cs="Arial"/>
        </w:rPr>
        <w:t>109</w:t>
      </w:r>
      <w:r w:rsidRPr="00222705">
        <w:rPr>
          <w:rFonts w:ascii="Arial" w:hAnsi="Arial" w:cs="Arial"/>
          <w:shd w:val="clear" w:color="auto" w:fill="FFFFFF"/>
        </w:rPr>
        <w:t>(Suppl 4), p.487.</w:t>
      </w:r>
    </w:p>
    <w:p w14:paraId="6F1BE575" w14:textId="77777777" w:rsidR="008D6288" w:rsidRPr="00222705" w:rsidRDefault="008D6288" w:rsidP="00EF007D">
      <w:pPr>
        <w:rPr>
          <w:rFonts w:ascii="Arial" w:hAnsi="Arial" w:cs="Arial"/>
          <w:shd w:val="clear" w:color="auto" w:fill="FFFFFF"/>
        </w:rPr>
      </w:pPr>
    </w:p>
    <w:p w14:paraId="1531E577" w14:textId="77777777" w:rsidR="008F4D29" w:rsidRPr="00222705" w:rsidRDefault="008F4D29" w:rsidP="00EF007D">
      <w:pPr>
        <w:rPr>
          <w:rFonts w:ascii="Arial" w:hAnsi="Arial" w:cs="Arial"/>
        </w:rPr>
      </w:pPr>
      <w:r w:rsidRPr="00222705">
        <w:rPr>
          <w:rFonts w:ascii="Arial" w:hAnsi="Arial" w:cs="Arial"/>
        </w:rPr>
        <w:t>Golshiri, K., Ataabadi, E.A., Rubio-Beltran, E., Dutheil, S., Yao, W., Snyder, G.L., Davis, R.E., van der Pluijm, I., Brandt, R., Van den Berg-Garrelds, I.M. and MaassenVanDenBrink, A., 2021. Selective phosphodiesterase 1 inhibition ameliorates vascular function, reduces inflammatory response, and lowers blood pressure in aging animals. The Journal of pharmacology and experimental therapeutics, 378(2), pp.173-183.</w:t>
      </w:r>
    </w:p>
    <w:p w14:paraId="28F1F9C5" w14:textId="77777777" w:rsidR="008D6288" w:rsidRPr="00222705" w:rsidRDefault="008D6288" w:rsidP="00EF007D">
      <w:pPr>
        <w:rPr>
          <w:rFonts w:ascii="Arial" w:hAnsi="Arial" w:cs="Arial"/>
        </w:rPr>
      </w:pPr>
    </w:p>
    <w:p w14:paraId="363CCBC4"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lastRenderedPageBreak/>
        <w:t>González, C.M., Martínez, L., Ros, G. and Nieto, G., 2019. Evaluation of nutritional profile and total antioxidant capacity of the Mediterranean diet of southern Spain. Food science &amp; nutrition, 7(12), pp.3853-3862. </w:t>
      </w:r>
    </w:p>
    <w:p w14:paraId="583987CD" w14:textId="77777777" w:rsidR="00326DBA" w:rsidRPr="00222705" w:rsidRDefault="00326DBA" w:rsidP="00EF007D">
      <w:pPr>
        <w:rPr>
          <w:rFonts w:ascii="Arial" w:eastAsia="Times New Roman" w:hAnsi="Arial" w:cs="Arial"/>
          <w:kern w:val="0"/>
          <w14:ligatures w14:val="none"/>
        </w:rPr>
      </w:pPr>
    </w:p>
    <w:p w14:paraId="5561E742" w14:textId="4EA78E9D" w:rsidR="008F4D29" w:rsidRPr="00222705" w:rsidRDefault="008F4D29" w:rsidP="00EF007D">
      <w:pPr>
        <w:rPr>
          <w:rFonts w:ascii="Arial" w:eastAsia="Aptos" w:hAnsi="Arial" w:cs="Arial"/>
        </w:rPr>
      </w:pPr>
      <w:r w:rsidRPr="00222705">
        <w:rPr>
          <w:rFonts w:ascii="Arial" w:eastAsia="Aptos" w:hAnsi="Arial" w:cs="Arial"/>
        </w:rPr>
        <w:t>Gonzalez, D.E., Lanham, S.N., Martin, S.E., Cleveland, R.E., Wilson, T.E., Langford, E.L. and Abel, M.G., 2024, February. Firefighter health: A narrative review of occupational threats and countermeasures. In Healthcare (Vol. 12, No. 4, p. 440). MDPI.</w:t>
      </w:r>
    </w:p>
    <w:p w14:paraId="5352E3A3" w14:textId="77777777" w:rsidR="008D6288" w:rsidRPr="00222705" w:rsidRDefault="008D6288" w:rsidP="00EF007D">
      <w:pPr>
        <w:rPr>
          <w:rFonts w:ascii="Arial" w:eastAsia="Aptos" w:hAnsi="Arial" w:cs="Arial"/>
        </w:rPr>
      </w:pPr>
    </w:p>
    <w:p w14:paraId="27F1ACA4" w14:textId="77777777" w:rsidR="008F4D29" w:rsidRPr="00222705" w:rsidRDefault="008F4D29" w:rsidP="00EF007D">
      <w:pPr>
        <w:rPr>
          <w:rFonts w:ascii="Arial" w:hAnsi="Arial" w:cs="Arial"/>
        </w:rPr>
      </w:pPr>
      <w:r w:rsidRPr="00222705">
        <w:rPr>
          <w:rFonts w:ascii="Arial" w:hAnsi="Arial" w:cs="Arial"/>
        </w:rPr>
        <w:t>Gonzalez, D.E., McAllister, M.J., Waldman, H.S., Ferrando, A.A., Joyce, J., Barringer, N.D., Dawes, J.J., Kieffer, A.J., Harvey, T., Kerksick, C.M. and Stout, J.R., 2022. International society of sports nutrition position stand: tactical athlete nutrition. Journal of the International Society of Sports Nutrition, 19(1), pp.267-315.</w:t>
      </w:r>
    </w:p>
    <w:p w14:paraId="7B3F0BB6" w14:textId="77777777" w:rsidR="008D6288" w:rsidRPr="00222705" w:rsidRDefault="008D6288" w:rsidP="00EF007D">
      <w:pPr>
        <w:rPr>
          <w:rFonts w:ascii="Arial" w:hAnsi="Arial" w:cs="Arial"/>
        </w:rPr>
      </w:pPr>
    </w:p>
    <w:p w14:paraId="7D78C500"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Gottlieb, D.J., Redline, S., Nieto, F.J., Baldwin, C.M., Newman, A.B., Resnick, H.E. and Punjabi, N.M., 2006. Association of usual sleep duration with hypertension: the Sleep Heart Health Study. </w:t>
      </w:r>
      <w:r w:rsidRPr="00222705">
        <w:rPr>
          <w:rFonts w:ascii="Arial" w:hAnsi="Arial" w:cs="Arial"/>
        </w:rPr>
        <w:t>Sleep</w:t>
      </w:r>
      <w:r w:rsidRPr="00222705">
        <w:rPr>
          <w:rFonts w:ascii="Arial" w:hAnsi="Arial" w:cs="Arial"/>
          <w:shd w:val="clear" w:color="auto" w:fill="FFFFFF"/>
        </w:rPr>
        <w:t>, </w:t>
      </w:r>
      <w:r w:rsidRPr="00222705">
        <w:rPr>
          <w:rFonts w:ascii="Arial" w:hAnsi="Arial" w:cs="Arial"/>
        </w:rPr>
        <w:t>29</w:t>
      </w:r>
      <w:r w:rsidRPr="00222705">
        <w:rPr>
          <w:rFonts w:ascii="Arial" w:hAnsi="Arial" w:cs="Arial"/>
          <w:shd w:val="clear" w:color="auto" w:fill="FFFFFF"/>
        </w:rPr>
        <w:t>(8), pp.1009-1014.</w:t>
      </w:r>
    </w:p>
    <w:p w14:paraId="769519C7" w14:textId="77777777" w:rsidR="008D6288" w:rsidRPr="00222705" w:rsidRDefault="008D6288" w:rsidP="00EF007D">
      <w:pPr>
        <w:rPr>
          <w:rFonts w:ascii="Arial" w:hAnsi="Arial" w:cs="Arial"/>
          <w:shd w:val="clear" w:color="auto" w:fill="FFFFFF"/>
        </w:rPr>
      </w:pPr>
    </w:p>
    <w:p w14:paraId="1D2A7E66"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Griffin, S.C., Regan, T.L., Harber, P., Lutz, E.A., Hu, C., Peate, W.F. and Burgess, J.L., 2016. Evaluation of a fitness intervention for new firefighters: injury reduction and economic benefits. Injury prevention, 22(3), pp.181-188. </w:t>
      </w:r>
    </w:p>
    <w:p w14:paraId="023FCA07" w14:textId="77777777" w:rsidR="008F4D29" w:rsidRPr="00222705" w:rsidRDefault="008F4D29" w:rsidP="00EF007D">
      <w:pPr>
        <w:rPr>
          <w:rFonts w:ascii="Arial" w:hAnsi="Arial" w:cs="Arial"/>
        </w:rPr>
      </w:pPr>
      <w:r w:rsidRPr="00222705">
        <w:rPr>
          <w:rFonts w:ascii="Arial" w:hAnsi="Arial" w:cs="Arial"/>
        </w:rPr>
        <w:t>Guida, J.L., Alfini, A., Lee, K.C., Miller, C., Riscuta, G., Rusch, H.L., Wali, A. and Dixit, S., 2023. Integrating sleep health into resilience research. Stress and Health, 39(S1), pp.22-27.</w:t>
      </w:r>
    </w:p>
    <w:p w14:paraId="2AAD6152" w14:textId="77777777" w:rsidR="008D6288" w:rsidRPr="00222705" w:rsidRDefault="008D6288" w:rsidP="00EF007D">
      <w:pPr>
        <w:rPr>
          <w:rFonts w:ascii="Arial" w:hAnsi="Arial" w:cs="Arial"/>
        </w:rPr>
      </w:pPr>
    </w:p>
    <w:p w14:paraId="64362025"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shd w:val="clear" w:color="auto" w:fill="FFFFFF"/>
          <w:lang w:val="en-GB"/>
          <w14:ligatures w14:val="none"/>
        </w:rPr>
        <w:t>Guo, M. ed., 2024. </w:t>
      </w:r>
      <w:r w:rsidRPr="00222705">
        <w:rPr>
          <w:rFonts w:ascii="Arial" w:eastAsia="Times New Roman" w:hAnsi="Arial" w:cs="Arial"/>
          <w:kern w:val="0"/>
          <w:lang w:val="en-GB"/>
          <w14:ligatures w14:val="none"/>
        </w:rPr>
        <w:t>Functional foods: principles and technology</w:t>
      </w:r>
      <w:r w:rsidRPr="00222705">
        <w:rPr>
          <w:rFonts w:ascii="Arial" w:eastAsia="Times New Roman" w:hAnsi="Arial" w:cs="Arial"/>
          <w:kern w:val="0"/>
          <w:shd w:val="clear" w:color="auto" w:fill="FFFFFF"/>
          <w:lang w:val="en-GB"/>
          <w14:ligatures w14:val="none"/>
        </w:rPr>
        <w:t>. Elsevier.</w:t>
      </w:r>
      <w:r w:rsidRPr="00222705">
        <w:rPr>
          <w:rFonts w:ascii="Arial" w:eastAsia="Times New Roman" w:hAnsi="Arial" w:cs="Arial"/>
          <w:kern w:val="0"/>
          <w14:ligatures w14:val="none"/>
        </w:rPr>
        <w:t> </w:t>
      </w:r>
    </w:p>
    <w:p w14:paraId="0AF86E8F" w14:textId="77777777" w:rsidR="008D6288" w:rsidRPr="00222705" w:rsidRDefault="008D6288" w:rsidP="00EF007D">
      <w:pPr>
        <w:rPr>
          <w:rFonts w:ascii="Arial" w:eastAsia="Times New Roman" w:hAnsi="Arial" w:cs="Arial"/>
          <w:kern w:val="0"/>
          <w14:ligatures w14:val="none"/>
        </w:rPr>
      </w:pPr>
    </w:p>
    <w:p w14:paraId="0B7C0EBA" w14:textId="77777777" w:rsidR="008F4D29" w:rsidRPr="00222705" w:rsidRDefault="008F4D29" w:rsidP="00EF007D">
      <w:pPr>
        <w:rPr>
          <w:rFonts w:ascii="Arial" w:hAnsi="Arial" w:cs="Arial"/>
        </w:rPr>
      </w:pPr>
      <w:r w:rsidRPr="00222705">
        <w:rPr>
          <w:rFonts w:ascii="Arial" w:hAnsi="Arial" w:cs="Arial"/>
        </w:rPr>
        <w:t xml:space="preserve">Gurney, S.C., Christison, K.S., Williamson-Reisdorph, C.M., Sol, J.A., Quindry, T.S., Quindry, J.C. and </w:t>
      </w:r>
      <w:proofErr w:type="spellStart"/>
      <w:r w:rsidRPr="00222705">
        <w:rPr>
          <w:rFonts w:ascii="Arial" w:hAnsi="Arial" w:cs="Arial"/>
        </w:rPr>
        <w:t>Dumke</w:t>
      </w:r>
      <w:proofErr w:type="spellEnd"/>
      <w:r w:rsidRPr="00222705">
        <w:rPr>
          <w:rFonts w:ascii="Arial" w:hAnsi="Arial" w:cs="Arial"/>
        </w:rPr>
        <w:t>, C.L., 2021. Alterations in metabolic and cardiovascular risk factors during critical training in wildland firefighters. Journal of occupational and environmental medicine, 63(7), pp.594-599.</w:t>
      </w:r>
    </w:p>
    <w:p w14:paraId="2090980E" w14:textId="77777777" w:rsidR="008D6288" w:rsidRPr="00222705" w:rsidRDefault="008D6288" w:rsidP="00EF007D">
      <w:pPr>
        <w:rPr>
          <w:rFonts w:ascii="Arial" w:hAnsi="Arial" w:cs="Arial"/>
        </w:rPr>
      </w:pPr>
    </w:p>
    <w:p w14:paraId="314DB38A"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lastRenderedPageBreak/>
        <w:t>Gutiérrez, S., Svahn, S.L. and Johansson, M.E., 2019. Effects of omega-3 fatty acids on immune cells. International journal of molecular sciences, 20(20), p.5028. </w:t>
      </w:r>
    </w:p>
    <w:p w14:paraId="0CED70EE"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Guzik, T.J., Nosalski, R., Maffia, P. and Drummond, G.R., 2024. Immune and inflammatory mechanisms in hypertension. Nature Reviews Cardiology, 21(6), pp.396-416. </w:t>
      </w:r>
    </w:p>
    <w:p w14:paraId="5E6F789E" w14:textId="77777777" w:rsidR="008D6288" w:rsidRPr="00222705" w:rsidRDefault="008D6288" w:rsidP="00EF007D">
      <w:pPr>
        <w:rPr>
          <w:rFonts w:ascii="Arial" w:eastAsia="Times New Roman" w:hAnsi="Arial" w:cs="Arial"/>
          <w:kern w:val="0"/>
          <w14:ligatures w14:val="none"/>
        </w:rPr>
      </w:pPr>
    </w:p>
    <w:p w14:paraId="0C120BFE" w14:textId="77777777" w:rsidR="008F4D29" w:rsidRPr="00222705" w:rsidRDefault="008F4D29" w:rsidP="00EF007D">
      <w:pPr>
        <w:rPr>
          <w:rFonts w:ascii="Arial" w:eastAsia="Aptos" w:hAnsi="Arial" w:cs="Arial"/>
        </w:rPr>
      </w:pPr>
      <w:r w:rsidRPr="00222705">
        <w:rPr>
          <w:rFonts w:ascii="Arial" w:eastAsia="Aptos" w:hAnsi="Arial" w:cs="Arial"/>
        </w:rPr>
        <w:t>Ha, J.H., Lee, B.W., Yi, D.H., Lee, S.J., Kim, W.I., Pak, S.W., Kim, H.Y., Kim, S.H., Shin, I.S., Kim, J.C. and Lee, I.C., 2024. Particulate matter-mediated oxidative stress induces airway inflammation and pulmonary dysfunction through TXNIP/NF-κB and modulation of the SIRT1-mediated p53 and TGF-β/Smad3 pathways in mice. Food and Chemical Toxicology, 183, p.114201.</w:t>
      </w:r>
    </w:p>
    <w:p w14:paraId="5E14A6BA" w14:textId="77777777" w:rsidR="008D6288" w:rsidRPr="00222705" w:rsidRDefault="008D6288" w:rsidP="00EF007D">
      <w:pPr>
        <w:rPr>
          <w:rFonts w:ascii="Arial" w:eastAsia="Aptos" w:hAnsi="Arial" w:cs="Arial"/>
        </w:rPr>
      </w:pPr>
    </w:p>
    <w:p w14:paraId="2B62C539"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Hage, F.G., 2014. C-reactive protein and hypertension. Journal of human hypertension, 28(7), pp.410-415. </w:t>
      </w:r>
    </w:p>
    <w:p w14:paraId="7AD75C2D" w14:textId="77777777" w:rsidR="008D6288" w:rsidRPr="00222705" w:rsidRDefault="008D6288" w:rsidP="00EF007D">
      <w:pPr>
        <w:rPr>
          <w:rFonts w:ascii="Arial" w:eastAsia="Times New Roman" w:hAnsi="Arial" w:cs="Arial"/>
          <w:kern w:val="0"/>
          <w14:ligatures w14:val="none"/>
        </w:rPr>
      </w:pPr>
    </w:p>
    <w:p w14:paraId="0734ED28"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Handeland, K., Skotheim, S., Baste, V., Graff, I.E., Frøyland, L., Lie, Ø., Kjellevold, M., Markhus, M.W., Stormark, K.M., Øyen, J. and Dahl, L., 2018. The effects of fatty fish intake on adolescents’ nutritional status and associations with attention performance: results from the FINS-TEENSrandomized controlled trial. Nutrition journal, 17(1), p.30</w:t>
      </w:r>
    </w:p>
    <w:p w14:paraId="74434373" w14:textId="77777777" w:rsidR="008D6288" w:rsidRPr="00222705" w:rsidRDefault="008D6288" w:rsidP="00EF007D">
      <w:pPr>
        <w:rPr>
          <w:rFonts w:ascii="Arial" w:eastAsia="Times New Roman" w:hAnsi="Arial" w:cs="Arial"/>
          <w:kern w:val="0"/>
          <w14:ligatures w14:val="none"/>
        </w:rPr>
      </w:pPr>
    </w:p>
    <w:p w14:paraId="147ADC05" w14:textId="3B31E9BA" w:rsidR="008F4D29" w:rsidRPr="00222705" w:rsidRDefault="008F4D29" w:rsidP="00EF007D">
      <w:pPr>
        <w:rPr>
          <w:rFonts w:ascii="Arial" w:eastAsiaTheme="minorEastAsia" w:hAnsi="Arial" w:cs="Arial"/>
          <w:kern w:val="0"/>
          <w:lang w:val="en-GB" w:eastAsia="en-GB"/>
          <w14:ligatures w14:val="none"/>
        </w:rPr>
      </w:pPr>
      <w:r w:rsidRPr="00222705">
        <w:rPr>
          <w:rFonts w:ascii="Arial" w:eastAsiaTheme="minorEastAsia" w:hAnsi="Arial" w:cs="Arial"/>
          <w:kern w:val="0"/>
          <w:lang w:val="en-GB" w:eastAsia="en-GB"/>
          <w14:ligatures w14:val="none"/>
        </w:rPr>
        <w:t xml:space="preserve">Harriss, D.J., Jones, C. and MacSween, A. (2022) ‘Ethical standards in sport and exercise science research: 2022 update’, International Journal of Sports Medicine, 43(13), pp. 1065–1070. </w:t>
      </w:r>
      <w:hyperlink r:id="rId16" w:history="1">
        <w:r w:rsidR="008D6288" w:rsidRPr="00222705">
          <w:rPr>
            <w:rStyle w:val="Hyperlink"/>
            <w:rFonts w:ascii="Arial" w:eastAsiaTheme="minorEastAsia" w:hAnsi="Arial" w:cs="Arial"/>
            <w:kern w:val="0"/>
            <w:lang w:val="en-GB" w:eastAsia="en-GB"/>
            <w14:ligatures w14:val="none"/>
          </w:rPr>
          <w:t>https://doi.org/10.1055/a-1936-5270</w:t>
        </w:r>
      </w:hyperlink>
    </w:p>
    <w:p w14:paraId="615E8B88" w14:textId="77777777" w:rsidR="008D6288" w:rsidRPr="00222705" w:rsidRDefault="008D6288" w:rsidP="00EF007D">
      <w:pPr>
        <w:rPr>
          <w:rFonts w:ascii="Arial" w:eastAsiaTheme="minorEastAsia" w:hAnsi="Arial" w:cs="Arial"/>
          <w:kern w:val="0"/>
          <w:lang w:val="en-GB" w:eastAsia="en-GB"/>
          <w14:ligatures w14:val="none"/>
        </w:rPr>
      </w:pPr>
    </w:p>
    <w:p w14:paraId="4857600B" w14:textId="77777777" w:rsidR="008F4D29" w:rsidRPr="00222705" w:rsidRDefault="008F4D29" w:rsidP="00EF007D">
      <w:pPr>
        <w:rPr>
          <w:rFonts w:ascii="Arial" w:eastAsia="Times New Roman" w:hAnsi="Arial" w:cs="Arial"/>
          <w:shd w:val="clear" w:color="auto" w:fill="FFFFFF"/>
          <w:lang w:val="en-GB" w:eastAsia="en-GB"/>
        </w:rPr>
      </w:pPr>
      <w:r w:rsidRPr="00222705">
        <w:rPr>
          <w:rFonts w:ascii="Arial" w:eastAsia="Times New Roman" w:hAnsi="Arial" w:cs="Arial"/>
          <w:shd w:val="clear" w:color="auto" w:fill="FFFFFF"/>
          <w:lang w:val="en-GB" w:eastAsia="en-GB"/>
        </w:rPr>
        <w:t>Hart, W., Taylor, D. and Bishop, D.C., 2024. Validity of submaximal aerobic capacity and strength tests in firefighters. </w:t>
      </w:r>
      <w:r w:rsidRPr="00222705">
        <w:rPr>
          <w:rFonts w:ascii="Arial" w:eastAsia="Times New Roman" w:hAnsi="Arial" w:cs="Arial"/>
          <w:lang w:val="en-GB" w:eastAsia="en-GB"/>
        </w:rPr>
        <w:t>Occupational Medicine</w:t>
      </w:r>
      <w:r w:rsidRPr="00222705">
        <w:rPr>
          <w:rFonts w:ascii="Arial" w:eastAsia="Times New Roman" w:hAnsi="Arial" w:cs="Arial"/>
          <w:shd w:val="clear" w:color="auto" w:fill="FFFFFF"/>
          <w:lang w:val="en-GB" w:eastAsia="en-GB"/>
        </w:rPr>
        <w:t>, </w:t>
      </w:r>
      <w:r w:rsidRPr="00222705">
        <w:rPr>
          <w:rFonts w:ascii="Arial" w:eastAsia="Times New Roman" w:hAnsi="Arial" w:cs="Arial"/>
          <w:lang w:val="en-GB" w:eastAsia="en-GB"/>
        </w:rPr>
        <w:t>74</w:t>
      </w:r>
      <w:r w:rsidRPr="00222705">
        <w:rPr>
          <w:rFonts w:ascii="Arial" w:eastAsia="Times New Roman" w:hAnsi="Arial" w:cs="Arial"/>
          <w:shd w:val="clear" w:color="auto" w:fill="FFFFFF"/>
          <w:lang w:val="en-GB" w:eastAsia="en-GB"/>
        </w:rPr>
        <w:t>(2), pp.161-166.</w:t>
      </w:r>
    </w:p>
    <w:p w14:paraId="5C99803E" w14:textId="77777777" w:rsidR="008D6288" w:rsidRPr="00222705" w:rsidRDefault="008D6288" w:rsidP="00EF007D">
      <w:pPr>
        <w:rPr>
          <w:rFonts w:ascii="Arial" w:eastAsia="Times New Roman" w:hAnsi="Arial" w:cs="Arial"/>
          <w:shd w:val="clear" w:color="auto" w:fill="FFFFFF"/>
          <w:lang w:val="en-GB" w:eastAsia="en-GB"/>
        </w:rPr>
      </w:pPr>
    </w:p>
    <w:p w14:paraId="027DE0AC"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Heileson, J.L., Wallace, R.B., Sergi, T.E., Rittenhouse, M.A. and Peoples, G.E., 2025. The Omega-3 Index in Military Personnel: A Systematic Review. Military medicine, 190(9-10), pp.e1835-e1843 </w:t>
      </w:r>
    </w:p>
    <w:p w14:paraId="43AE7384" w14:textId="77777777" w:rsidR="008D6288" w:rsidRPr="00222705" w:rsidRDefault="008D6288" w:rsidP="00EF007D">
      <w:pPr>
        <w:rPr>
          <w:rFonts w:ascii="Arial" w:eastAsia="Times New Roman" w:hAnsi="Arial" w:cs="Arial"/>
          <w:kern w:val="0"/>
          <w14:ligatures w14:val="none"/>
        </w:rPr>
      </w:pPr>
    </w:p>
    <w:p w14:paraId="3220D218" w14:textId="77777777" w:rsidR="008F4D29" w:rsidRPr="00222705" w:rsidRDefault="008F4D29" w:rsidP="00EF007D">
      <w:pPr>
        <w:rPr>
          <w:rFonts w:ascii="Arial" w:hAnsi="Arial" w:cs="Arial"/>
        </w:rPr>
      </w:pPr>
      <w:r w:rsidRPr="00222705">
        <w:rPr>
          <w:rFonts w:ascii="Arial" w:hAnsi="Arial" w:cs="Arial"/>
        </w:rPr>
        <w:lastRenderedPageBreak/>
        <w:t>Hejl, A.M., Adetona, O., Diaz-Sanchez, D., Carter, J.D., Commodore, A.A., Rathbun, S.L. and Naeher, L.P., 2013. Inflammatory effects of woodsmoke exposure among wildland firefighters working at prescribed burns at the Savannah Riv</w:t>
      </w:r>
    </w:p>
    <w:p w14:paraId="0BF5CC76" w14:textId="77777777" w:rsidR="008D6288" w:rsidRPr="00222705" w:rsidRDefault="008D6288" w:rsidP="00EF007D">
      <w:pPr>
        <w:rPr>
          <w:rFonts w:ascii="Arial" w:hAnsi="Arial" w:cs="Arial"/>
        </w:rPr>
      </w:pPr>
    </w:p>
    <w:p w14:paraId="3028B19F" w14:textId="77777777" w:rsidR="008F4D29" w:rsidRPr="00222705" w:rsidRDefault="008F4D29" w:rsidP="00EF007D">
      <w:pPr>
        <w:rPr>
          <w:rFonts w:ascii="Arial" w:hAnsi="Arial" w:cs="Arial"/>
          <w:color w:val="000000" w:themeColor="text1"/>
        </w:rPr>
      </w:pPr>
      <w:r w:rsidRPr="00222705">
        <w:rPr>
          <w:rFonts w:ascii="Arial" w:hAnsi="Arial" w:cs="Arial"/>
          <w:color w:val="000000" w:themeColor="text1"/>
        </w:rPr>
        <w:t>Hershey, M.S., Chang, C.R., Sotos-Prieto, M., Fernandez-Montero, A., Cash, S.B., Christophi, C.A., Folta, S.C., Muegge, C., Kleinschmidt, V., Moffatt, S. and Mozaffarian, D., 2023. Effect of a nutrition intervention on Mediterranean diet adherence among firefighters: A cluster randomized clinical trial. JAMA Network Open, 6(8), pp.e2329147-e2329147. </w:t>
      </w:r>
    </w:p>
    <w:p w14:paraId="08C156B4" w14:textId="77777777" w:rsidR="008D6288" w:rsidRPr="00222705" w:rsidRDefault="008D6288" w:rsidP="00EF007D">
      <w:pPr>
        <w:rPr>
          <w:rFonts w:ascii="Arial" w:hAnsi="Arial" w:cs="Arial"/>
          <w:color w:val="000000"/>
        </w:rPr>
      </w:pPr>
    </w:p>
    <w:p w14:paraId="2432F582"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shd w:val="clear" w:color="auto" w:fill="FFFFFF"/>
          <w:lang w:val="en-GB"/>
          <w14:ligatures w14:val="none"/>
        </w:rPr>
        <w:t>Hidayat, K., Yang, J., Zhang, Z., Chen, G.C., Qin, L.Q., Eggersdorfer, M. and Zhang, W., 2018. Effect of omega-3 long-chain polyunsaturated fatty acid supplementation on heart rate: a meta-analysis of randomized controlled trials. </w:t>
      </w:r>
      <w:r w:rsidRPr="00222705">
        <w:rPr>
          <w:rFonts w:ascii="Arial" w:eastAsia="Times New Roman" w:hAnsi="Arial" w:cs="Arial"/>
          <w:kern w:val="0"/>
          <w:lang w:val="en-GB"/>
          <w14:ligatures w14:val="none"/>
        </w:rPr>
        <w:t>European Journal of Clinical Nutrition</w:t>
      </w:r>
      <w:r w:rsidRPr="00222705">
        <w:rPr>
          <w:rFonts w:ascii="Arial" w:eastAsia="Times New Roman" w:hAnsi="Arial" w:cs="Arial"/>
          <w:kern w:val="0"/>
          <w:shd w:val="clear" w:color="auto" w:fill="FFFFFF"/>
          <w:lang w:val="en-GB"/>
          <w14:ligatures w14:val="none"/>
        </w:rPr>
        <w:t>, </w:t>
      </w:r>
      <w:r w:rsidRPr="00222705">
        <w:rPr>
          <w:rFonts w:ascii="Arial" w:eastAsia="Times New Roman" w:hAnsi="Arial" w:cs="Arial"/>
          <w:kern w:val="0"/>
          <w:lang w:val="en-GB"/>
          <w14:ligatures w14:val="none"/>
        </w:rPr>
        <w:t>72</w:t>
      </w:r>
      <w:r w:rsidRPr="00222705">
        <w:rPr>
          <w:rFonts w:ascii="Arial" w:eastAsia="Times New Roman" w:hAnsi="Arial" w:cs="Arial"/>
          <w:kern w:val="0"/>
          <w:shd w:val="clear" w:color="auto" w:fill="FFFFFF"/>
          <w:lang w:val="en-GB"/>
          <w14:ligatures w14:val="none"/>
        </w:rPr>
        <w:t>(6), pp.805-817.</w:t>
      </w:r>
      <w:r w:rsidRPr="00222705">
        <w:rPr>
          <w:rFonts w:ascii="Arial" w:eastAsia="Times New Roman" w:hAnsi="Arial" w:cs="Arial"/>
          <w:kern w:val="0"/>
          <w14:ligatures w14:val="none"/>
        </w:rPr>
        <w:t> </w:t>
      </w:r>
    </w:p>
    <w:p w14:paraId="21F15DC1" w14:textId="77777777" w:rsidR="008D6288" w:rsidRPr="00222705" w:rsidRDefault="008D6288" w:rsidP="00EF007D">
      <w:pPr>
        <w:rPr>
          <w:rFonts w:ascii="Arial" w:eastAsia="Times New Roman" w:hAnsi="Arial" w:cs="Arial"/>
          <w:kern w:val="0"/>
          <w14:ligatures w14:val="none"/>
        </w:rPr>
      </w:pPr>
    </w:p>
    <w:p w14:paraId="52014069"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Hinton, J.W., Rotheiler, E.A., Gemmell, M. and Shewan, D., 1991. Heart rate, anxiety, anger, and arousal reactions to enforced time-wasting: dependence on reactive uncontrol, work involvement, and dominance factors of ‘type A’. </w:t>
      </w:r>
      <w:r w:rsidRPr="00222705">
        <w:rPr>
          <w:rFonts w:ascii="Arial" w:hAnsi="Arial" w:cs="Arial"/>
        </w:rPr>
        <w:t>International journal of psychophysiology</w:t>
      </w:r>
      <w:r w:rsidRPr="00222705">
        <w:rPr>
          <w:rFonts w:ascii="Arial" w:hAnsi="Arial" w:cs="Arial"/>
          <w:shd w:val="clear" w:color="auto" w:fill="FFFFFF"/>
        </w:rPr>
        <w:t>, </w:t>
      </w:r>
      <w:r w:rsidRPr="00222705">
        <w:rPr>
          <w:rFonts w:ascii="Arial" w:hAnsi="Arial" w:cs="Arial"/>
        </w:rPr>
        <w:t>11</w:t>
      </w:r>
      <w:r w:rsidRPr="00222705">
        <w:rPr>
          <w:rFonts w:ascii="Arial" w:hAnsi="Arial" w:cs="Arial"/>
          <w:shd w:val="clear" w:color="auto" w:fill="FFFFFF"/>
        </w:rPr>
        <w:t>(2), pp.115-124.</w:t>
      </w:r>
    </w:p>
    <w:p w14:paraId="64E7196B" w14:textId="77777777" w:rsidR="008D6288" w:rsidRPr="00222705" w:rsidRDefault="008D6288" w:rsidP="00EF007D">
      <w:pPr>
        <w:rPr>
          <w:rFonts w:ascii="Arial" w:hAnsi="Arial" w:cs="Arial"/>
          <w:shd w:val="clear" w:color="auto" w:fill="FFFFFF"/>
        </w:rPr>
      </w:pPr>
    </w:p>
    <w:p w14:paraId="1510E13A" w14:textId="77777777" w:rsidR="008F4D29" w:rsidRPr="00222705" w:rsidRDefault="008F4D29" w:rsidP="00EF007D">
      <w:pPr>
        <w:rPr>
          <w:rFonts w:ascii="Arial" w:eastAsia="Aptos" w:hAnsi="Arial" w:cs="Arial"/>
        </w:rPr>
      </w:pPr>
      <w:r w:rsidRPr="00222705">
        <w:rPr>
          <w:rFonts w:ascii="Arial" w:eastAsia="Aptos" w:hAnsi="Arial" w:cs="Arial"/>
        </w:rPr>
        <w:t>Hofman, J., 2015. Health concerns with the fire service and the benefits of a health and wellness program for a fire department. Strength &amp; Conditioning Journal, 37(4), pp.69-73.</w:t>
      </w:r>
    </w:p>
    <w:p w14:paraId="3EE87275" w14:textId="77777777" w:rsidR="008D6288" w:rsidRPr="00222705" w:rsidRDefault="008D6288" w:rsidP="00EF007D">
      <w:pPr>
        <w:rPr>
          <w:rFonts w:ascii="Arial" w:eastAsia="Aptos" w:hAnsi="Arial" w:cs="Arial"/>
        </w:rPr>
      </w:pPr>
    </w:p>
    <w:p w14:paraId="439D22D2"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Holland-Winkler, A.M. and Hamil, B.K., 2024. Hydration considerations to improve the physical performance and health of firefighters. </w:t>
      </w:r>
      <w:r w:rsidRPr="00222705">
        <w:rPr>
          <w:rFonts w:ascii="Arial" w:hAnsi="Arial" w:cs="Arial"/>
        </w:rPr>
        <w:t>Journal of Functional Morphology and Kinesiology</w:t>
      </w:r>
      <w:r w:rsidRPr="00222705">
        <w:rPr>
          <w:rFonts w:ascii="Arial" w:hAnsi="Arial" w:cs="Arial"/>
          <w:shd w:val="clear" w:color="auto" w:fill="FFFFFF"/>
        </w:rPr>
        <w:t>, </w:t>
      </w:r>
      <w:r w:rsidRPr="00222705">
        <w:rPr>
          <w:rFonts w:ascii="Arial" w:hAnsi="Arial" w:cs="Arial"/>
        </w:rPr>
        <w:t>9</w:t>
      </w:r>
      <w:r w:rsidRPr="00222705">
        <w:rPr>
          <w:rFonts w:ascii="Arial" w:hAnsi="Arial" w:cs="Arial"/>
          <w:shd w:val="clear" w:color="auto" w:fill="FFFFFF"/>
        </w:rPr>
        <w:t>(4), p.182.</w:t>
      </w:r>
    </w:p>
    <w:p w14:paraId="071E94DA" w14:textId="77777777" w:rsidR="008D6288" w:rsidRPr="00222705" w:rsidRDefault="008D6288" w:rsidP="00EF007D">
      <w:pPr>
        <w:rPr>
          <w:rFonts w:ascii="Arial" w:hAnsi="Arial" w:cs="Arial"/>
          <w:shd w:val="clear" w:color="auto" w:fill="FFFFFF"/>
        </w:rPr>
      </w:pPr>
    </w:p>
    <w:p w14:paraId="7E4DA754" w14:textId="77777777" w:rsidR="008F4D29" w:rsidRPr="00222705" w:rsidRDefault="008F4D29" w:rsidP="00EF007D">
      <w:pPr>
        <w:rPr>
          <w:rFonts w:ascii="Arial" w:eastAsia="Aptos" w:hAnsi="Arial" w:cs="Arial"/>
        </w:rPr>
      </w:pPr>
      <w:r w:rsidRPr="00222705">
        <w:rPr>
          <w:rFonts w:ascii="Arial" w:eastAsia="Aptos" w:hAnsi="Arial" w:cs="Arial"/>
        </w:rPr>
        <w:t>Horn, G.P., Blevins, S., Fernhall, B. and Smith, D.L., 2013. Core temperature and heart rate response to repeated bouts of firefighting activities. Ergonomics, 56(9), pp.1465-1473.</w:t>
      </w:r>
    </w:p>
    <w:p w14:paraId="4B0A471B" w14:textId="77777777" w:rsidR="008D6288" w:rsidRPr="00222705" w:rsidRDefault="008D6288" w:rsidP="00EF007D">
      <w:pPr>
        <w:rPr>
          <w:rFonts w:ascii="Arial" w:eastAsia="Aptos" w:hAnsi="Arial" w:cs="Arial"/>
        </w:rPr>
      </w:pPr>
    </w:p>
    <w:p w14:paraId="041947F1"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lastRenderedPageBreak/>
        <w:t>Houser, M.C., Smith, D.J., Rhodes, D., Glick-Smith, J.L., Chovan, P., Ferranti, E., Dunbar, S.B., Tansey, M.G., Hertzberg, V. and Mac, V.V., 2023. Inflammatory profiles, gut microbiome, and kidney function are impacted after high-fidelity firefighter training. </w:t>
      </w:r>
      <w:r w:rsidRPr="00222705">
        <w:rPr>
          <w:rFonts w:ascii="Arial" w:hAnsi="Arial" w:cs="Arial"/>
        </w:rPr>
        <w:t>International journal of hygiene and environmental health</w:t>
      </w:r>
      <w:r w:rsidRPr="00222705">
        <w:rPr>
          <w:rFonts w:ascii="Arial" w:hAnsi="Arial" w:cs="Arial"/>
          <w:shd w:val="clear" w:color="auto" w:fill="FFFFFF"/>
        </w:rPr>
        <w:t>, </w:t>
      </w:r>
      <w:r w:rsidRPr="00222705">
        <w:rPr>
          <w:rFonts w:ascii="Arial" w:hAnsi="Arial" w:cs="Arial"/>
        </w:rPr>
        <w:t>248</w:t>
      </w:r>
      <w:r w:rsidRPr="00222705">
        <w:rPr>
          <w:rFonts w:ascii="Arial" w:hAnsi="Arial" w:cs="Arial"/>
          <w:shd w:val="clear" w:color="auto" w:fill="FFFFFF"/>
        </w:rPr>
        <w:t>, p.114107.</w:t>
      </w:r>
    </w:p>
    <w:p w14:paraId="7A510778" w14:textId="77777777" w:rsidR="008D6288" w:rsidRPr="00222705" w:rsidRDefault="008D6288" w:rsidP="00EF007D">
      <w:pPr>
        <w:rPr>
          <w:rFonts w:ascii="Arial" w:hAnsi="Arial" w:cs="Arial"/>
          <w:shd w:val="clear" w:color="auto" w:fill="FFFFFF"/>
        </w:rPr>
      </w:pPr>
    </w:p>
    <w:p w14:paraId="144A5345" w14:textId="696FD503"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Howe, P.R., Evans, H.M., Kuszewski, J.C. and Wong, R.H., 2018. Effects of long chain omega-3 polyunsaturated fatty</w:t>
      </w:r>
      <w:r w:rsidR="008D6288" w:rsidRPr="00222705">
        <w:rPr>
          <w:rFonts w:ascii="Arial" w:eastAsia="Times New Roman" w:hAnsi="Arial" w:cs="Arial"/>
          <w:kern w:val="0"/>
          <w14:ligatures w14:val="none"/>
        </w:rPr>
        <w:t xml:space="preserve"> </w:t>
      </w:r>
      <w:r w:rsidRPr="00222705">
        <w:rPr>
          <w:rFonts w:ascii="Arial" w:eastAsia="Times New Roman" w:hAnsi="Arial" w:cs="Arial"/>
          <w:kern w:val="0"/>
          <w14:ligatures w14:val="none"/>
        </w:rPr>
        <w:t>acids on brain function in mildly hypertensive older adults. Nutrients, 10(10), p.1413. </w:t>
      </w:r>
    </w:p>
    <w:p w14:paraId="205615DE" w14:textId="77777777" w:rsidR="008D6288" w:rsidRPr="00222705" w:rsidRDefault="008D6288" w:rsidP="00EF007D">
      <w:pPr>
        <w:rPr>
          <w:rFonts w:ascii="Arial" w:eastAsia="Times New Roman" w:hAnsi="Arial" w:cs="Arial"/>
          <w:kern w:val="0"/>
          <w14:ligatures w14:val="none"/>
        </w:rPr>
      </w:pPr>
    </w:p>
    <w:p w14:paraId="02694507" w14:textId="77777777" w:rsidR="008F4D29" w:rsidRPr="00222705" w:rsidRDefault="008F4D29" w:rsidP="00EF007D">
      <w:pPr>
        <w:rPr>
          <w:rFonts w:ascii="Arial" w:eastAsia="Aptos" w:hAnsi="Arial" w:cs="Arial"/>
          <w:lang w:val="en-GB"/>
        </w:rPr>
      </w:pPr>
      <w:proofErr w:type="spellStart"/>
      <w:r w:rsidRPr="00222705">
        <w:rPr>
          <w:rFonts w:ascii="Arial" w:eastAsia="Aptos" w:hAnsi="Arial" w:cs="Arial"/>
          <w:lang w:val="en-GB"/>
        </w:rPr>
        <w:t>Hwang</w:t>
      </w:r>
      <w:proofErr w:type="spellEnd"/>
      <w:r w:rsidRPr="00222705">
        <w:rPr>
          <w:rFonts w:ascii="Arial" w:eastAsia="Aptos" w:hAnsi="Arial" w:cs="Arial"/>
          <w:lang w:val="en-GB"/>
        </w:rPr>
        <w:t>, J., Xu, C., Agnew, R.J., Clifton, S. and Malone, T.R., 2021. Health risks of structural firefightersfrom exposure to polycyclic aromatic hydrocarbons: a systematic review and meta-analysis. International journal of environmental research and public health, 18(8), p.4209.</w:t>
      </w:r>
    </w:p>
    <w:p w14:paraId="2DC3A4F8" w14:textId="77777777" w:rsidR="008D6288" w:rsidRPr="00222705" w:rsidRDefault="008D6288" w:rsidP="00EF007D">
      <w:pPr>
        <w:rPr>
          <w:rFonts w:ascii="Arial" w:eastAsia="Aptos" w:hAnsi="Arial" w:cs="Arial"/>
        </w:rPr>
      </w:pPr>
    </w:p>
    <w:p w14:paraId="1B89D18C"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IAFF, I., 2008. The fire service joint labor management wellness/fitness initiative. Washington, DC: International Association of Fire Fighters. </w:t>
      </w:r>
      <w:r w:rsidRPr="00222705">
        <w:rPr>
          <w:rFonts w:ascii="Arial" w:hAnsi="Arial" w:cs="Arial"/>
        </w:rPr>
        <w:t>International Association of Fire Chiefs</w:t>
      </w:r>
      <w:r w:rsidRPr="00222705">
        <w:rPr>
          <w:rFonts w:ascii="Arial" w:hAnsi="Arial" w:cs="Arial"/>
          <w:shd w:val="clear" w:color="auto" w:fill="FFFFFF"/>
        </w:rPr>
        <w:t>.</w:t>
      </w:r>
    </w:p>
    <w:p w14:paraId="20F6D199" w14:textId="77777777" w:rsidR="008D6288" w:rsidRPr="00222705" w:rsidRDefault="008D6288" w:rsidP="00EF007D">
      <w:pPr>
        <w:rPr>
          <w:rFonts w:ascii="Arial" w:hAnsi="Arial" w:cs="Arial"/>
          <w:shd w:val="clear" w:color="auto" w:fill="FFFFFF"/>
        </w:rPr>
      </w:pPr>
    </w:p>
    <w:p w14:paraId="11389D97"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IARC Working Group on the Evaluation of Carcinogenic Risks to Humans, 2010. Some non-heterocyclic polycyclic aromatic hydrocarbons and some related exposures. </w:t>
      </w:r>
      <w:r w:rsidRPr="00222705">
        <w:rPr>
          <w:rFonts w:ascii="Arial" w:hAnsi="Arial" w:cs="Arial"/>
        </w:rPr>
        <w:t>IARC Monographs on the evaluation of carcinogenic risks to humans</w:t>
      </w:r>
      <w:r w:rsidRPr="00222705">
        <w:rPr>
          <w:rFonts w:ascii="Arial" w:hAnsi="Arial" w:cs="Arial"/>
          <w:shd w:val="clear" w:color="auto" w:fill="FFFFFF"/>
        </w:rPr>
        <w:t>, </w:t>
      </w:r>
      <w:r w:rsidRPr="00222705">
        <w:rPr>
          <w:rFonts w:ascii="Arial" w:hAnsi="Arial" w:cs="Arial"/>
        </w:rPr>
        <w:t>92</w:t>
      </w:r>
      <w:r w:rsidRPr="00222705">
        <w:rPr>
          <w:rFonts w:ascii="Arial" w:hAnsi="Arial" w:cs="Arial"/>
          <w:shd w:val="clear" w:color="auto" w:fill="FFFFFF"/>
        </w:rPr>
        <w:t>, p.1.</w:t>
      </w:r>
    </w:p>
    <w:p w14:paraId="4F4A6A14" w14:textId="77777777" w:rsidR="008D6288" w:rsidRPr="00222705" w:rsidRDefault="008D6288" w:rsidP="00EF007D">
      <w:pPr>
        <w:rPr>
          <w:rFonts w:ascii="Arial" w:hAnsi="Arial" w:cs="Arial"/>
          <w:shd w:val="clear" w:color="auto" w:fill="FFFFFF"/>
        </w:rPr>
      </w:pPr>
    </w:p>
    <w:p w14:paraId="4402570A" w14:textId="77777777" w:rsidR="008F4D29" w:rsidRPr="00222705" w:rsidRDefault="008F4D29" w:rsidP="00EF007D">
      <w:pPr>
        <w:rPr>
          <w:rFonts w:ascii="Arial" w:eastAsiaTheme="minorEastAsia" w:hAnsi="Arial" w:cs="Arial"/>
          <w:lang w:val="en-GB" w:eastAsia="en-GB"/>
        </w:rPr>
      </w:pPr>
      <w:r w:rsidRPr="00222705">
        <w:rPr>
          <w:rFonts w:ascii="Arial" w:eastAsiaTheme="minorEastAsia" w:hAnsi="Arial" w:cs="Arial"/>
          <w:lang w:val="en-GB" w:eastAsia="en-GB"/>
        </w:rPr>
        <w:t>IBM Corp. (2023). IBM SPSS Statistics for Windows, Version 30.0. Armonk, NY: IBM Corp.</w:t>
      </w:r>
    </w:p>
    <w:p w14:paraId="135B999A" w14:textId="77777777" w:rsidR="008D6288" w:rsidRPr="00222705" w:rsidRDefault="008D6288" w:rsidP="00EF007D">
      <w:pPr>
        <w:rPr>
          <w:rFonts w:ascii="Arial" w:eastAsiaTheme="minorEastAsia" w:hAnsi="Arial" w:cs="Arial"/>
          <w:lang w:val="en-GB" w:eastAsia="en-GB"/>
        </w:rPr>
      </w:pPr>
    </w:p>
    <w:p w14:paraId="28D1E26A" w14:textId="77777777" w:rsidR="008F4D29" w:rsidRPr="00222705" w:rsidRDefault="008F4D29" w:rsidP="00EF007D">
      <w:pPr>
        <w:rPr>
          <w:rFonts w:ascii="Arial" w:hAnsi="Arial" w:cs="Arial"/>
        </w:rPr>
      </w:pPr>
      <w:r w:rsidRPr="00222705">
        <w:rPr>
          <w:rFonts w:ascii="Arial" w:hAnsi="Arial" w:cs="Arial"/>
        </w:rPr>
        <w:t>Identification, I.W.G., 2023. Occupational Exposure as a Firefighter.</w:t>
      </w:r>
    </w:p>
    <w:p w14:paraId="4246D8BB" w14:textId="77777777" w:rsidR="008D6288" w:rsidRPr="00222705" w:rsidRDefault="008D6288" w:rsidP="00EF007D">
      <w:pPr>
        <w:rPr>
          <w:rFonts w:ascii="Arial" w:hAnsi="Arial" w:cs="Arial"/>
        </w:rPr>
      </w:pPr>
    </w:p>
    <w:p w14:paraId="16E7D6CD"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Igboanugo, S., Bigelow, P.L. and Mielke, J.G., 2021. Health outcomes of psychosocial stress within firefighters: A systematic review of the research landscape. </w:t>
      </w:r>
      <w:r w:rsidRPr="00222705">
        <w:rPr>
          <w:rFonts w:ascii="Arial" w:hAnsi="Arial" w:cs="Arial"/>
        </w:rPr>
        <w:t>Journal of occupational health</w:t>
      </w:r>
      <w:r w:rsidRPr="00222705">
        <w:rPr>
          <w:rFonts w:ascii="Arial" w:hAnsi="Arial" w:cs="Arial"/>
          <w:shd w:val="clear" w:color="auto" w:fill="FFFFFF"/>
        </w:rPr>
        <w:t>, </w:t>
      </w:r>
      <w:r w:rsidRPr="00222705">
        <w:rPr>
          <w:rFonts w:ascii="Arial" w:hAnsi="Arial" w:cs="Arial"/>
        </w:rPr>
        <w:t>63</w:t>
      </w:r>
      <w:r w:rsidRPr="00222705">
        <w:rPr>
          <w:rFonts w:ascii="Arial" w:hAnsi="Arial" w:cs="Arial"/>
          <w:shd w:val="clear" w:color="auto" w:fill="FFFFFF"/>
        </w:rPr>
        <w:t>(1), p.e12219.</w:t>
      </w:r>
    </w:p>
    <w:p w14:paraId="5B54EA2A" w14:textId="77777777" w:rsidR="00301AE0" w:rsidRPr="00222705" w:rsidRDefault="00301AE0" w:rsidP="00EF007D">
      <w:pPr>
        <w:rPr>
          <w:rFonts w:ascii="Arial" w:hAnsi="Arial" w:cs="Arial"/>
          <w:shd w:val="clear" w:color="auto" w:fill="FFFFFF"/>
        </w:rPr>
      </w:pPr>
    </w:p>
    <w:p w14:paraId="0A884958" w14:textId="7D2C802F" w:rsidR="008D6288" w:rsidRPr="00222705" w:rsidRDefault="008F4D29" w:rsidP="00EF007D">
      <w:pPr>
        <w:rPr>
          <w:rFonts w:ascii="Arial" w:hAnsi="Arial" w:cs="Arial"/>
        </w:rPr>
      </w:pPr>
      <w:r w:rsidRPr="00222705">
        <w:rPr>
          <w:rFonts w:ascii="Arial" w:hAnsi="Arial" w:cs="Arial"/>
        </w:rPr>
        <w:lastRenderedPageBreak/>
        <w:t>Incalza, M.A., D'Oria, R., Natalicchio, A., Perrini, S., Laviola, L. and Giorgino, F., 2018. Oxidative stress and reactive oxygen species in endothelial dysfunction associated with cardiovascular and metabolic diseases. Vascular pharmacology, 100, pp.1-19.</w:t>
      </w:r>
    </w:p>
    <w:p w14:paraId="0C9D3E1D" w14:textId="77777777" w:rsidR="00B8131F" w:rsidRPr="00222705" w:rsidRDefault="00B8131F" w:rsidP="00EF007D">
      <w:pPr>
        <w:rPr>
          <w:rFonts w:ascii="Arial" w:hAnsi="Arial" w:cs="Arial"/>
        </w:rPr>
      </w:pPr>
    </w:p>
    <w:p w14:paraId="3A290919"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Innes, J.K. and Calder, P.C., 2020. Marine omega-3 (N-3) fatty acids for cardiovascular health: an update for 2020. International journal of molecular sciences, 21(4), p.1362. </w:t>
      </w:r>
    </w:p>
    <w:p w14:paraId="48F73D6E" w14:textId="77777777" w:rsidR="00301AE0" w:rsidRPr="00222705" w:rsidRDefault="008F4D29" w:rsidP="00EF007D">
      <w:pPr>
        <w:rPr>
          <w:rFonts w:ascii="Arial" w:eastAsia="Times New Roman" w:hAnsi="Arial" w:cs="Arial"/>
          <w:kern w:val="0"/>
          <w:shd w:val="clear" w:color="auto" w:fill="FFFFFF"/>
          <w14:ligatures w14:val="none"/>
        </w:rPr>
      </w:pPr>
      <w:r w:rsidRPr="00222705">
        <w:rPr>
          <w:rFonts w:ascii="Arial" w:eastAsia="Times New Roman" w:hAnsi="Arial" w:cs="Arial"/>
          <w:kern w:val="0"/>
          <w:shd w:val="clear" w:color="auto" w:fill="FFFFFF"/>
          <w14:ligatures w14:val="none"/>
        </w:rPr>
        <w:t>Jackson, P., 2025. Omega-3 fatty acids and sleep: recent advances in understanding effects and mechanisms. </w:t>
      </w:r>
      <w:r w:rsidRPr="00222705">
        <w:rPr>
          <w:rFonts w:ascii="Arial" w:eastAsia="Times New Roman" w:hAnsi="Arial" w:cs="Arial"/>
          <w:kern w:val="0"/>
          <w14:ligatures w14:val="none"/>
        </w:rPr>
        <w:t>Current Opinion in Clinical Nutrition &amp; Metabolic Care</w:t>
      </w:r>
      <w:r w:rsidRPr="00222705">
        <w:rPr>
          <w:rFonts w:ascii="Arial" w:eastAsia="Times New Roman" w:hAnsi="Arial" w:cs="Arial"/>
          <w:kern w:val="0"/>
          <w:shd w:val="clear" w:color="auto" w:fill="FFFFFF"/>
          <w14:ligatures w14:val="none"/>
        </w:rPr>
        <w:t>, </w:t>
      </w:r>
      <w:r w:rsidRPr="00222705">
        <w:rPr>
          <w:rFonts w:ascii="Arial" w:eastAsia="Times New Roman" w:hAnsi="Arial" w:cs="Arial"/>
          <w:kern w:val="0"/>
          <w14:ligatures w14:val="none"/>
        </w:rPr>
        <w:t>28</w:t>
      </w:r>
      <w:r w:rsidRPr="00222705">
        <w:rPr>
          <w:rFonts w:ascii="Arial" w:eastAsia="Times New Roman" w:hAnsi="Arial" w:cs="Arial"/>
          <w:kern w:val="0"/>
          <w:shd w:val="clear" w:color="auto" w:fill="FFFFFF"/>
          <w14:ligatures w14:val="none"/>
        </w:rPr>
        <w:t>(2), pp.61-65</w:t>
      </w:r>
    </w:p>
    <w:p w14:paraId="26E99A65" w14:textId="75DB0AFE" w:rsidR="008D6288"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shd w:val="clear" w:color="auto" w:fill="FFFFFF"/>
          <w14:ligatures w14:val="none"/>
        </w:rPr>
        <w:t>.</w:t>
      </w:r>
      <w:r w:rsidRPr="00222705">
        <w:rPr>
          <w:rFonts w:ascii="Arial" w:eastAsia="Times New Roman" w:hAnsi="Arial" w:cs="Arial"/>
          <w:kern w:val="0"/>
          <w14:ligatures w14:val="none"/>
        </w:rPr>
        <w:t> </w:t>
      </w:r>
    </w:p>
    <w:p w14:paraId="123D2893" w14:textId="77777777" w:rsidR="008F4D29" w:rsidRPr="00222705" w:rsidRDefault="008F4D29" w:rsidP="00EF007D">
      <w:pPr>
        <w:rPr>
          <w:rFonts w:ascii="Arial" w:eastAsia="Times New Roman" w:hAnsi="Arial" w:cs="Arial"/>
          <w:color w:val="000000" w:themeColor="text1"/>
          <w:kern w:val="0"/>
          <w14:ligatures w14:val="none"/>
        </w:rPr>
      </w:pPr>
      <w:r w:rsidRPr="00222705">
        <w:rPr>
          <w:rFonts w:ascii="Arial" w:eastAsia="Times New Roman" w:hAnsi="Arial" w:cs="Arial"/>
          <w:color w:val="000000" w:themeColor="text1"/>
          <w:kern w:val="0"/>
          <w14:ligatures w14:val="none"/>
        </w:rPr>
        <w:t>Jäger, R., Heileson, J.L., Abou </w:t>
      </w:r>
      <w:proofErr w:type="spellStart"/>
      <w:r w:rsidRPr="00222705">
        <w:rPr>
          <w:rFonts w:ascii="Arial" w:eastAsia="Times New Roman" w:hAnsi="Arial" w:cs="Arial"/>
          <w:color w:val="000000" w:themeColor="text1"/>
          <w:kern w:val="0"/>
          <w14:ligatures w14:val="none"/>
        </w:rPr>
        <w:t>Sawan</w:t>
      </w:r>
      <w:proofErr w:type="spellEnd"/>
      <w:r w:rsidRPr="00222705">
        <w:rPr>
          <w:rFonts w:ascii="Arial" w:eastAsia="Times New Roman" w:hAnsi="Arial" w:cs="Arial"/>
          <w:color w:val="000000" w:themeColor="text1"/>
          <w:kern w:val="0"/>
          <w14:ligatures w14:val="none"/>
        </w:rPr>
        <w:t>, S., Dickerson, B.L., Leonard, M., Kreider, R.B., Kerksick, C.M., Cornish, S.M., Candow, D.G., Cordingley, D.M. and Forbes, S.C., 2025. International society of sports nutrition position stand: long-chain omega-3 polyunsaturated fatty acids. Journal of the International Society of SportsNutrition, 22(1), p.2441775. </w:t>
      </w:r>
    </w:p>
    <w:p w14:paraId="04AA7646" w14:textId="77777777" w:rsidR="008D6288" w:rsidRPr="00222705" w:rsidRDefault="008D6288" w:rsidP="00EF007D">
      <w:pPr>
        <w:rPr>
          <w:rFonts w:ascii="Arial" w:eastAsia="Times New Roman" w:hAnsi="Arial" w:cs="Arial"/>
          <w:color w:val="000000"/>
          <w:kern w:val="0"/>
          <w14:ligatures w14:val="none"/>
        </w:rPr>
      </w:pPr>
    </w:p>
    <w:p w14:paraId="4F4A52D6" w14:textId="77777777" w:rsidR="008F4D29" w:rsidRPr="00222705" w:rsidRDefault="008F4D29" w:rsidP="00EF007D">
      <w:pPr>
        <w:rPr>
          <w:rFonts w:ascii="Arial" w:hAnsi="Arial" w:cs="Arial"/>
        </w:rPr>
      </w:pPr>
      <w:r w:rsidRPr="00222705">
        <w:rPr>
          <w:rFonts w:ascii="Arial" w:hAnsi="Arial" w:cs="Arial"/>
        </w:rPr>
        <w:t>Jahnke, S.A., Poston, W.S., Jitnarin, N. and Haddock, C.K., 2012. Health concerns of the US fire service: perspectives from the firehouse. American Journal of Health Promotion, 27(2), pp.111-118.</w:t>
      </w:r>
    </w:p>
    <w:p w14:paraId="70602F92" w14:textId="77777777" w:rsidR="008D6288" w:rsidRPr="00222705" w:rsidRDefault="008D6288" w:rsidP="00EF007D">
      <w:pPr>
        <w:rPr>
          <w:rFonts w:ascii="Arial" w:hAnsi="Arial" w:cs="Arial"/>
        </w:rPr>
      </w:pPr>
    </w:p>
    <w:p w14:paraId="7158C7DC" w14:textId="77777777" w:rsidR="008F4D29" w:rsidRPr="00222705" w:rsidRDefault="008F4D29" w:rsidP="00EF007D">
      <w:pPr>
        <w:rPr>
          <w:rFonts w:ascii="Arial" w:hAnsi="Arial" w:cs="Arial"/>
        </w:rPr>
      </w:pPr>
      <w:r w:rsidRPr="00222705">
        <w:rPr>
          <w:rFonts w:ascii="Arial" w:hAnsi="Arial" w:cs="Arial"/>
          <w:shd w:val="clear" w:color="auto" w:fill="FFFFFF"/>
          <w:lang w:val="en-GB"/>
        </w:rPr>
        <w:t>Jahnke, S.A., Poston, W.S.C., Haddock, C.K. and Jitnarin, N., 2013. Obesity and incident injury among career firefighters in the central United States. </w:t>
      </w:r>
      <w:r w:rsidRPr="00222705">
        <w:rPr>
          <w:rFonts w:ascii="Arial" w:hAnsi="Arial" w:cs="Arial"/>
          <w:lang w:val="en-GB"/>
        </w:rPr>
        <w:t>Obesity</w:t>
      </w:r>
      <w:r w:rsidRPr="00222705">
        <w:rPr>
          <w:rFonts w:ascii="Arial" w:hAnsi="Arial" w:cs="Arial"/>
          <w:shd w:val="clear" w:color="auto" w:fill="FFFFFF"/>
          <w:lang w:val="en-GB"/>
        </w:rPr>
        <w:t>, </w:t>
      </w:r>
      <w:r w:rsidRPr="00222705">
        <w:rPr>
          <w:rFonts w:ascii="Arial" w:hAnsi="Arial" w:cs="Arial"/>
          <w:lang w:val="en-GB"/>
        </w:rPr>
        <w:t>21</w:t>
      </w:r>
      <w:r w:rsidRPr="00222705">
        <w:rPr>
          <w:rFonts w:ascii="Arial" w:hAnsi="Arial" w:cs="Arial"/>
          <w:shd w:val="clear" w:color="auto" w:fill="FFFFFF"/>
          <w:lang w:val="en-GB"/>
        </w:rPr>
        <w:t>(8), pp.1505-1508.</w:t>
      </w:r>
      <w:r w:rsidRPr="00222705">
        <w:rPr>
          <w:rFonts w:ascii="Arial" w:hAnsi="Arial" w:cs="Arial"/>
        </w:rPr>
        <w:t> </w:t>
      </w:r>
    </w:p>
    <w:p w14:paraId="735A0087" w14:textId="77777777" w:rsidR="008D6288" w:rsidRPr="00222705" w:rsidRDefault="008D6288" w:rsidP="00EF007D">
      <w:pPr>
        <w:rPr>
          <w:rFonts w:ascii="Arial" w:hAnsi="Arial" w:cs="Arial"/>
        </w:rPr>
      </w:pPr>
    </w:p>
    <w:p w14:paraId="75F8473E" w14:textId="77777777" w:rsidR="008F4D29" w:rsidRPr="00222705" w:rsidRDefault="008F4D29" w:rsidP="00EF007D">
      <w:pPr>
        <w:rPr>
          <w:rFonts w:ascii="Arial" w:eastAsiaTheme="minorEastAsia" w:hAnsi="Arial" w:cs="Arial"/>
          <w:kern w:val="0"/>
          <w:lang w:val="en-GB" w:eastAsia="en-GB"/>
          <w14:ligatures w14:val="none"/>
        </w:rPr>
      </w:pPr>
      <w:r w:rsidRPr="00222705">
        <w:rPr>
          <w:rFonts w:ascii="Arial" w:eastAsiaTheme="minorEastAsia" w:hAnsi="Arial" w:cs="Arial"/>
          <w:kern w:val="0"/>
          <w:lang w:val="en-GB" w:eastAsia="en-GB"/>
          <w14:ligatures w14:val="none"/>
        </w:rPr>
        <w:t>Jeukendrup, A. and Gleeson, M. (2019) Sport Nutrition: An Introduction to Energy Production and Performance. 3rd edn. Champaign, IL: Human Kinetics.</w:t>
      </w:r>
    </w:p>
    <w:p w14:paraId="1E0B5E45" w14:textId="77777777" w:rsidR="00DF0E7B" w:rsidRPr="00222705" w:rsidRDefault="00DF0E7B" w:rsidP="00EF007D">
      <w:pPr>
        <w:rPr>
          <w:rFonts w:ascii="Arial" w:eastAsiaTheme="minorEastAsia" w:hAnsi="Arial" w:cs="Arial"/>
          <w:kern w:val="0"/>
          <w:lang w:val="en-GB" w:eastAsia="en-GB"/>
          <w14:ligatures w14:val="none"/>
        </w:rPr>
      </w:pPr>
    </w:p>
    <w:p w14:paraId="50D20D2F" w14:textId="77777777" w:rsidR="008F4D29" w:rsidRPr="00222705" w:rsidRDefault="008F4D29" w:rsidP="00EF007D">
      <w:pPr>
        <w:rPr>
          <w:rFonts w:ascii="Arial" w:hAnsi="Arial" w:cs="Arial"/>
        </w:rPr>
      </w:pPr>
      <w:r w:rsidRPr="00222705">
        <w:rPr>
          <w:rFonts w:ascii="Arial" w:hAnsi="Arial" w:cs="Arial"/>
        </w:rPr>
        <w:t>Jeung, D.Y., Hyun, D.S., Kim, I. and Chang, S.J., 2022. Effects of emergency duties on cardiovascular diseases in firefighters: a 13-year retrospective cohort study. Journal of occupational and environmental medicine, 64(6), pp.510-514. </w:t>
      </w:r>
    </w:p>
    <w:p w14:paraId="650B3A4B" w14:textId="77777777" w:rsidR="008D6288" w:rsidRPr="00222705" w:rsidRDefault="008D6288" w:rsidP="00EF007D">
      <w:pPr>
        <w:rPr>
          <w:rFonts w:ascii="Arial" w:hAnsi="Arial" w:cs="Arial"/>
        </w:rPr>
      </w:pPr>
    </w:p>
    <w:p w14:paraId="2550A110" w14:textId="77777777" w:rsidR="008F4D29" w:rsidRPr="00222705" w:rsidRDefault="008F4D29" w:rsidP="00EF007D">
      <w:pPr>
        <w:rPr>
          <w:rFonts w:ascii="Arial" w:hAnsi="Arial" w:cs="Arial"/>
        </w:rPr>
      </w:pPr>
      <w:r w:rsidRPr="00222705">
        <w:rPr>
          <w:rFonts w:ascii="Arial" w:hAnsi="Arial" w:cs="Arial"/>
        </w:rPr>
        <w:t xml:space="preserve">Ji, L.L., </w:t>
      </w:r>
      <w:proofErr w:type="spellStart"/>
      <w:r w:rsidRPr="00222705">
        <w:rPr>
          <w:rFonts w:ascii="Arial" w:hAnsi="Arial" w:cs="Arial"/>
        </w:rPr>
        <w:t>Radak</w:t>
      </w:r>
      <w:proofErr w:type="spellEnd"/>
      <w:r w:rsidRPr="00222705">
        <w:rPr>
          <w:rFonts w:ascii="Arial" w:hAnsi="Arial" w:cs="Arial"/>
        </w:rPr>
        <w:t>, Z. and Goto, S., 2008. Hormesis and exercise: how the cell copes with oxidative stress. American Journal of Pharmacology and Toxicology, 3(1), pp.41-55.</w:t>
      </w:r>
    </w:p>
    <w:p w14:paraId="746C9EBE" w14:textId="06D1DEAD" w:rsidR="008D6288" w:rsidRPr="00222705" w:rsidRDefault="008F4D29" w:rsidP="00EF007D">
      <w:pPr>
        <w:rPr>
          <w:rFonts w:ascii="Arial" w:eastAsia="Aptos" w:hAnsi="Arial" w:cs="Arial"/>
        </w:rPr>
      </w:pPr>
      <w:r w:rsidRPr="00222705">
        <w:rPr>
          <w:rFonts w:ascii="Arial" w:eastAsia="Aptos" w:hAnsi="Arial" w:cs="Arial"/>
        </w:rPr>
        <w:lastRenderedPageBreak/>
        <w:t>Joe, M.J., Hatsu, I.E., Tefft, A., Mok, S. and Adetona, O., 2022. Dietary behavior and diet interventions among structural firefighters: a narrative review. Nutrients, 14(21), p.4662.</w:t>
      </w:r>
    </w:p>
    <w:p w14:paraId="1FB4652A" w14:textId="77777777" w:rsidR="008D6288" w:rsidRPr="00222705" w:rsidRDefault="008D6288" w:rsidP="00EF007D">
      <w:pPr>
        <w:rPr>
          <w:rFonts w:ascii="Arial" w:eastAsia="Aptos" w:hAnsi="Arial" w:cs="Arial"/>
        </w:rPr>
      </w:pPr>
    </w:p>
    <w:p w14:paraId="368249B0" w14:textId="77777777" w:rsidR="008F4D29" w:rsidRPr="00222705" w:rsidRDefault="008F4D29" w:rsidP="00EF007D">
      <w:pPr>
        <w:rPr>
          <w:rFonts w:ascii="Arial" w:eastAsia="Times New Roman" w:hAnsi="Arial" w:cs="Arial"/>
          <w:kern w:val="0"/>
          <w:shd w:val="clear" w:color="auto" w:fill="FFFFFF"/>
          <w14:ligatures w14:val="none"/>
        </w:rPr>
      </w:pPr>
      <w:r w:rsidRPr="00222705">
        <w:rPr>
          <w:rFonts w:ascii="Arial" w:eastAsia="Times New Roman" w:hAnsi="Arial" w:cs="Arial"/>
          <w:kern w:val="0"/>
          <w:shd w:val="clear" w:color="auto" w:fill="FFFFFF"/>
          <w14:ligatures w14:val="none"/>
        </w:rPr>
        <w:t>Johnson, B.V. and Mayer, J.M., 2020. Evaluating nutrient intake of career firefighters compared to military dietary reference intakes. </w:t>
      </w:r>
      <w:r w:rsidRPr="00222705">
        <w:rPr>
          <w:rFonts w:ascii="Arial" w:eastAsia="Times New Roman" w:hAnsi="Arial" w:cs="Arial"/>
          <w:kern w:val="0"/>
          <w14:ligatures w14:val="none"/>
        </w:rPr>
        <w:t>Nutrients</w:t>
      </w:r>
      <w:r w:rsidRPr="00222705">
        <w:rPr>
          <w:rFonts w:ascii="Arial" w:eastAsia="Times New Roman" w:hAnsi="Arial" w:cs="Arial"/>
          <w:kern w:val="0"/>
          <w:shd w:val="clear" w:color="auto" w:fill="FFFFFF"/>
          <w14:ligatures w14:val="none"/>
        </w:rPr>
        <w:t>, </w:t>
      </w:r>
      <w:r w:rsidRPr="00222705">
        <w:rPr>
          <w:rFonts w:ascii="Arial" w:eastAsia="Times New Roman" w:hAnsi="Arial" w:cs="Arial"/>
          <w:kern w:val="0"/>
          <w14:ligatures w14:val="none"/>
        </w:rPr>
        <w:t>12</w:t>
      </w:r>
      <w:r w:rsidRPr="00222705">
        <w:rPr>
          <w:rFonts w:ascii="Arial" w:eastAsia="Times New Roman" w:hAnsi="Arial" w:cs="Arial"/>
          <w:kern w:val="0"/>
          <w:shd w:val="clear" w:color="auto" w:fill="FFFFFF"/>
          <w14:ligatures w14:val="none"/>
        </w:rPr>
        <w:t>(6), p.1876.</w:t>
      </w:r>
    </w:p>
    <w:p w14:paraId="3510C1C4" w14:textId="77777777" w:rsidR="008D6288" w:rsidRPr="00222705" w:rsidRDefault="008D6288" w:rsidP="00EF007D">
      <w:pPr>
        <w:rPr>
          <w:rFonts w:ascii="Arial" w:eastAsia="Times New Roman" w:hAnsi="Arial" w:cs="Arial"/>
          <w:kern w:val="0"/>
          <w:shd w:val="clear" w:color="auto" w:fill="FFFFFF"/>
          <w14:ligatures w14:val="none"/>
        </w:rPr>
      </w:pPr>
    </w:p>
    <w:p w14:paraId="3F51B63C" w14:textId="77777777" w:rsidR="008F4D29" w:rsidRPr="00222705" w:rsidRDefault="008F4D29" w:rsidP="00EF007D">
      <w:pPr>
        <w:rPr>
          <w:rFonts w:ascii="Arial" w:eastAsia="Times New Roman" w:hAnsi="Arial" w:cs="Arial"/>
          <w:shd w:val="clear" w:color="auto" w:fill="FFFFFF"/>
          <w:lang w:val="en-GB" w:eastAsia="en-GB"/>
        </w:rPr>
      </w:pPr>
      <w:r w:rsidRPr="00222705">
        <w:rPr>
          <w:rFonts w:ascii="Arial" w:eastAsia="Times New Roman" w:hAnsi="Arial" w:cs="Arial"/>
          <w:shd w:val="clear" w:color="auto" w:fill="FFFFFF"/>
          <w:lang w:val="en-GB" w:eastAsia="en-GB"/>
        </w:rPr>
        <w:t>Jospe, M.R., Fairbairn, K.A., Green, P. and Perry, T.L., 2015. Diet app use by sports dietitians: a survey in five countries. </w:t>
      </w:r>
      <w:r w:rsidRPr="00222705">
        <w:rPr>
          <w:rFonts w:ascii="Arial" w:eastAsia="Times New Roman" w:hAnsi="Arial" w:cs="Arial"/>
          <w:lang w:val="en-GB" w:eastAsia="en-GB"/>
        </w:rPr>
        <w:t>JMIR mHealth and uHealth</w:t>
      </w:r>
      <w:r w:rsidRPr="00222705">
        <w:rPr>
          <w:rFonts w:ascii="Arial" w:eastAsia="Times New Roman" w:hAnsi="Arial" w:cs="Arial"/>
          <w:shd w:val="clear" w:color="auto" w:fill="FFFFFF"/>
          <w:lang w:val="en-GB" w:eastAsia="en-GB"/>
        </w:rPr>
        <w:t>, </w:t>
      </w:r>
      <w:r w:rsidRPr="00222705">
        <w:rPr>
          <w:rFonts w:ascii="Arial" w:eastAsia="Times New Roman" w:hAnsi="Arial" w:cs="Arial"/>
          <w:lang w:val="en-GB" w:eastAsia="en-GB"/>
        </w:rPr>
        <w:t>3</w:t>
      </w:r>
      <w:r w:rsidRPr="00222705">
        <w:rPr>
          <w:rFonts w:ascii="Arial" w:eastAsia="Times New Roman" w:hAnsi="Arial" w:cs="Arial"/>
          <w:shd w:val="clear" w:color="auto" w:fill="FFFFFF"/>
          <w:lang w:val="en-GB" w:eastAsia="en-GB"/>
        </w:rPr>
        <w:t>(1), p.e3345.</w:t>
      </w:r>
    </w:p>
    <w:p w14:paraId="443AE448" w14:textId="77777777" w:rsidR="008D6288" w:rsidRPr="00222705" w:rsidRDefault="008D6288" w:rsidP="00EF007D">
      <w:pPr>
        <w:rPr>
          <w:rFonts w:ascii="Arial" w:eastAsia="Times New Roman" w:hAnsi="Arial" w:cs="Arial"/>
          <w:shd w:val="clear" w:color="auto" w:fill="FFFFFF"/>
          <w:lang w:val="en-GB" w:eastAsia="en-GB"/>
        </w:rPr>
      </w:pPr>
    </w:p>
    <w:p w14:paraId="3CC8F8B5"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Jung, A.M., Furlong, M.A., Goodrich, J.M., Cardenas, A., Beitel, S.C., Littau, S.R., Caban-Martinez, A.J., Gulotta, J.J., Wallentine, D.D., Urwin, D. and Gabriel, J., 2023. Associations between epigenetic age acceleration and microRNA expression among US firefighters. Epigenetics insights, 16, p.25168657231206301.  </w:t>
      </w:r>
    </w:p>
    <w:p w14:paraId="1E471AE8" w14:textId="77777777" w:rsidR="008D6288" w:rsidRPr="00222705" w:rsidRDefault="008D6288" w:rsidP="00EF007D">
      <w:pPr>
        <w:rPr>
          <w:rFonts w:ascii="Arial" w:eastAsia="Times New Roman" w:hAnsi="Arial" w:cs="Arial"/>
          <w:kern w:val="0"/>
          <w14:ligatures w14:val="none"/>
        </w:rPr>
      </w:pPr>
    </w:p>
    <w:p w14:paraId="04FA1A97" w14:textId="77777777" w:rsidR="008F4D29" w:rsidRPr="00222705" w:rsidRDefault="008F4D29" w:rsidP="00EF007D">
      <w:pPr>
        <w:rPr>
          <w:rFonts w:ascii="Arial" w:hAnsi="Arial" w:cs="Arial"/>
        </w:rPr>
      </w:pPr>
      <w:r w:rsidRPr="00222705">
        <w:rPr>
          <w:rFonts w:ascii="Arial" w:hAnsi="Arial" w:cs="Arial"/>
        </w:rPr>
        <w:t>Kales, S.N. and Smith, D.L., 2017. Firefighting and the heart: implications for prevention. Circulation, 135(14), pp.1296-1299.</w:t>
      </w:r>
    </w:p>
    <w:p w14:paraId="312028C3" w14:textId="77777777" w:rsidR="008D6288" w:rsidRPr="00222705" w:rsidRDefault="008D6288" w:rsidP="00EF007D">
      <w:pPr>
        <w:rPr>
          <w:rFonts w:ascii="Arial" w:hAnsi="Arial" w:cs="Arial"/>
        </w:rPr>
      </w:pPr>
    </w:p>
    <w:p w14:paraId="09DAB660" w14:textId="77777777" w:rsidR="008F4D29" w:rsidRPr="00222705" w:rsidRDefault="008F4D29" w:rsidP="00EF007D">
      <w:pPr>
        <w:rPr>
          <w:rFonts w:ascii="Arial" w:hAnsi="Arial" w:cs="Arial"/>
        </w:rPr>
      </w:pPr>
      <w:r w:rsidRPr="00222705">
        <w:rPr>
          <w:rFonts w:ascii="Arial" w:hAnsi="Arial" w:cs="Arial"/>
        </w:rPr>
        <w:t>Kales, S.N., Soteriades, E.S., Christophi, C.A. and Christiani, D.C., 2007. Emergency duties and deaths from heart disease among firefighters in the United States. New England Journal of Medicine, 356(12), pp.1207-1215.</w:t>
      </w:r>
    </w:p>
    <w:p w14:paraId="38F965E5" w14:textId="77777777" w:rsidR="00E15C0A" w:rsidRPr="00222705" w:rsidRDefault="00E15C0A" w:rsidP="00EF007D">
      <w:pPr>
        <w:rPr>
          <w:rFonts w:ascii="Arial" w:hAnsi="Arial" w:cs="Arial"/>
        </w:rPr>
      </w:pPr>
    </w:p>
    <w:p w14:paraId="26933819" w14:textId="77777777" w:rsidR="008F4D29" w:rsidRPr="00222705" w:rsidRDefault="008F4D29" w:rsidP="00EF007D">
      <w:pPr>
        <w:rPr>
          <w:rFonts w:ascii="Arial" w:hAnsi="Arial" w:cs="Arial"/>
        </w:rPr>
      </w:pPr>
      <w:r w:rsidRPr="00222705">
        <w:rPr>
          <w:rFonts w:ascii="Arial" w:hAnsi="Arial" w:cs="Arial"/>
        </w:rPr>
        <w:t>Kales, S.N., Tsismenakis, A.J., Zhang, C. and Soteriades, E.S., 2009. Blood pressure in firefighters, police officers, and other emergency responders. American journal of hypertension, 22(1), pp.11-20.</w:t>
      </w:r>
    </w:p>
    <w:p w14:paraId="5DF74CFF" w14:textId="77777777" w:rsidR="008D6288" w:rsidRPr="00222705" w:rsidRDefault="008D6288" w:rsidP="00EF007D">
      <w:pPr>
        <w:rPr>
          <w:rFonts w:ascii="Arial" w:hAnsi="Arial" w:cs="Arial"/>
        </w:rPr>
      </w:pPr>
    </w:p>
    <w:p w14:paraId="78DBEBE6"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lang w:val="en-GB"/>
          <w14:ligatures w14:val="none"/>
        </w:rPr>
        <w:t>Khaja, S.U., Mathias, K.C., Bode, E.D., Stewart, D.F., Jack, K., Moffatt, S.M. and Smith, D.L., 2021. Hypertension in the United States fire service. International journal of environmental researchandpublic health, 18(10), p.5432.</w:t>
      </w:r>
      <w:r w:rsidRPr="00222705">
        <w:rPr>
          <w:rFonts w:ascii="Arial" w:eastAsia="Times New Roman" w:hAnsi="Arial" w:cs="Arial"/>
          <w:kern w:val="0"/>
          <w14:ligatures w14:val="none"/>
        </w:rPr>
        <w:t> </w:t>
      </w:r>
    </w:p>
    <w:p w14:paraId="21609E54" w14:textId="77777777" w:rsidR="008D6288" w:rsidRPr="00222705" w:rsidRDefault="008D6288" w:rsidP="00EF007D">
      <w:pPr>
        <w:rPr>
          <w:rFonts w:ascii="Arial" w:eastAsia="Times New Roman" w:hAnsi="Arial" w:cs="Arial"/>
          <w:kern w:val="0"/>
          <w14:ligatures w14:val="none"/>
        </w:rPr>
      </w:pPr>
    </w:p>
    <w:p w14:paraId="27F5C813"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lastRenderedPageBreak/>
        <w:t>Khan, F., Elherik, K., Bolton-Smith, C., Barr, R., Hill, A., Murrie, I. and Belch, J.J., 2003. The effects of dietary fatty acid supplementation on endothelial function and vascular tone in healthy subjects. Cardiovascular Research, 59(4), pp.955-962. </w:t>
      </w:r>
    </w:p>
    <w:p w14:paraId="21A31EF6" w14:textId="77777777" w:rsidR="008D6288" w:rsidRPr="00222705" w:rsidRDefault="008D6288" w:rsidP="00EF007D">
      <w:pPr>
        <w:rPr>
          <w:rFonts w:ascii="Arial" w:eastAsia="Times New Roman" w:hAnsi="Arial" w:cs="Arial"/>
          <w:kern w:val="0"/>
          <w14:ligatures w14:val="none"/>
        </w:rPr>
      </w:pPr>
    </w:p>
    <w:p w14:paraId="1B093B93" w14:textId="77777777" w:rsidR="008F4D29" w:rsidRPr="00222705" w:rsidRDefault="008F4D29" w:rsidP="00EF007D">
      <w:pPr>
        <w:rPr>
          <w:rFonts w:ascii="Arial" w:eastAsia="Aptos" w:hAnsi="Arial" w:cs="Arial"/>
          <w:lang w:val="en-GB"/>
        </w:rPr>
      </w:pPr>
      <w:r w:rsidRPr="00222705">
        <w:rPr>
          <w:rFonts w:ascii="Arial" w:eastAsia="Aptos" w:hAnsi="Arial" w:cs="Arial"/>
          <w:lang w:val="en-GB"/>
        </w:rPr>
        <w:t>Kim, H.L., 2023. Arterial stiffness and hypertension. Clinical hypertension, 29(1), p.31.</w:t>
      </w:r>
    </w:p>
    <w:p w14:paraId="13F45E09" w14:textId="77777777" w:rsidR="008D6288" w:rsidRPr="00222705" w:rsidRDefault="008D6288" w:rsidP="00EF007D">
      <w:pPr>
        <w:rPr>
          <w:rFonts w:ascii="Arial" w:eastAsia="Aptos" w:hAnsi="Arial" w:cs="Arial"/>
          <w:lang w:val="en-GB"/>
        </w:rPr>
      </w:pPr>
    </w:p>
    <w:p w14:paraId="4C3F327F"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lang w:val="en-GB"/>
          <w14:ligatures w14:val="none"/>
        </w:rPr>
        <w:t xml:space="preserve">King, D.E., Egan, B.M., </w:t>
      </w:r>
      <w:proofErr w:type="spellStart"/>
      <w:r w:rsidRPr="00222705">
        <w:rPr>
          <w:rFonts w:ascii="Arial" w:eastAsia="Times New Roman" w:hAnsi="Arial" w:cs="Arial"/>
          <w:kern w:val="0"/>
          <w:lang w:val="en-GB"/>
          <w14:ligatures w14:val="none"/>
        </w:rPr>
        <w:t>Mainous</w:t>
      </w:r>
      <w:proofErr w:type="spellEnd"/>
      <w:r w:rsidRPr="00222705">
        <w:rPr>
          <w:rFonts w:ascii="Arial" w:eastAsia="Times New Roman" w:hAnsi="Arial" w:cs="Arial"/>
          <w:kern w:val="0"/>
          <w:lang w:val="en-GB"/>
          <w14:ligatures w14:val="none"/>
        </w:rPr>
        <w:t xml:space="preserve"> III, A.G. and </w:t>
      </w:r>
      <w:proofErr w:type="spellStart"/>
      <w:r w:rsidRPr="00222705">
        <w:rPr>
          <w:rFonts w:ascii="Arial" w:eastAsia="Times New Roman" w:hAnsi="Arial" w:cs="Arial"/>
          <w:kern w:val="0"/>
          <w:lang w:val="en-GB"/>
          <w14:ligatures w14:val="none"/>
        </w:rPr>
        <w:t>Geesey</w:t>
      </w:r>
      <w:proofErr w:type="spellEnd"/>
      <w:r w:rsidRPr="00222705">
        <w:rPr>
          <w:rFonts w:ascii="Arial" w:eastAsia="Times New Roman" w:hAnsi="Arial" w:cs="Arial"/>
          <w:kern w:val="0"/>
          <w:lang w:val="en-GB"/>
          <w14:ligatures w14:val="none"/>
        </w:rPr>
        <w:t>, M.E., 2004. Elevation of C</w:t>
      </w:r>
      <w:r w:rsidRPr="00222705">
        <w:rPr>
          <w:rFonts w:ascii="Cambria Math" w:eastAsia="Times New Roman" w:hAnsi="Cambria Math" w:cs="Cambria Math"/>
          <w:kern w:val="0"/>
          <w:lang w:val="en-GB"/>
          <w14:ligatures w14:val="none"/>
        </w:rPr>
        <w:t>‐</w:t>
      </w:r>
      <w:r w:rsidRPr="00222705">
        <w:rPr>
          <w:rFonts w:ascii="Arial" w:eastAsia="Times New Roman" w:hAnsi="Arial" w:cs="Arial"/>
          <w:kern w:val="0"/>
          <w:lang w:val="en-GB"/>
          <w14:ligatures w14:val="none"/>
        </w:rPr>
        <w:t>reactive protein </w:t>
      </w:r>
      <w:proofErr w:type="spellStart"/>
      <w:r w:rsidRPr="00222705">
        <w:rPr>
          <w:rFonts w:ascii="Arial" w:eastAsia="Times New Roman" w:hAnsi="Arial" w:cs="Arial"/>
          <w:kern w:val="0"/>
          <w:lang w:val="en-GB"/>
          <w14:ligatures w14:val="none"/>
        </w:rPr>
        <w:t>inpeople</w:t>
      </w:r>
      <w:proofErr w:type="spellEnd"/>
      <w:r w:rsidRPr="00222705">
        <w:rPr>
          <w:rFonts w:ascii="Arial" w:eastAsia="Times New Roman" w:hAnsi="Arial" w:cs="Arial"/>
          <w:kern w:val="0"/>
          <w:lang w:val="en-GB"/>
          <w14:ligatures w14:val="none"/>
        </w:rPr>
        <w:t> with prehypertension. The Journal of Clinical Hypertension, 6(10), pp.562-568.</w:t>
      </w:r>
      <w:r w:rsidRPr="00222705">
        <w:rPr>
          <w:rFonts w:ascii="Arial" w:eastAsia="Times New Roman" w:hAnsi="Arial" w:cs="Arial"/>
          <w:kern w:val="0"/>
          <w14:ligatures w14:val="none"/>
        </w:rPr>
        <w:t> </w:t>
      </w:r>
    </w:p>
    <w:p w14:paraId="3B77D940" w14:textId="77777777" w:rsidR="008D6288" w:rsidRPr="00222705" w:rsidRDefault="008D6288" w:rsidP="00EF007D">
      <w:pPr>
        <w:rPr>
          <w:rFonts w:ascii="Arial" w:eastAsia="Times New Roman" w:hAnsi="Arial" w:cs="Arial"/>
          <w:kern w:val="0"/>
          <w14:ligatures w14:val="none"/>
        </w:rPr>
      </w:pPr>
    </w:p>
    <w:p w14:paraId="2F80FF8A" w14:textId="77777777" w:rsidR="008F4D29" w:rsidRPr="00222705" w:rsidRDefault="008F4D29" w:rsidP="00EF007D">
      <w:pPr>
        <w:rPr>
          <w:rFonts w:ascii="Arial" w:hAnsi="Arial" w:cs="Arial"/>
        </w:rPr>
      </w:pPr>
      <w:r w:rsidRPr="00222705">
        <w:rPr>
          <w:rFonts w:ascii="Arial" w:hAnsi="Arial" w:cs="Arial"/>
        </w:rPr>
        <w:t xml:space="preserve">Kramer, F., </w:t>
      </w:r>
      <w:proofErr w:type="spellStart"/>
      <w:r w:rsidRPr="00222705">
        <w:rPr>
          <w:rFonts w:ascii="Arial" w:hAnsi="Arial" w:cs="Arial"/>
        </w:rPr>
        <w:t>Torzewski</w:t>
      </w:r>
      <w:proofErr w:type="spellEnd"/>
      <w:r w:rsidRPr="00222705">
        <w:rPr>
          <w:rFonts w:ascii="Arial" w:hAnsi="Arial" w:cs="Arial"/>
        </w:rPr>
        <w:t xml:space="preserve">, J., </w:t>
      </w:r>
      <w:proofErr w:type="spellStart"/>
      <w:r w:rsidRPr="00222705">
        <w:rPr>
          <w:rFonts w:ascii="Arial" w:hAnsi="Arial" w:cs="Arial"/>
        </w:rPr>
        <w:t>Kamenz</w:t>
      </w:r>
      <w:proofErr w:type="spellEnd"/>
      <w:r w:rsidRPr="00222705">
        <w:rPr>
          <w:rFonts w:ascii="Arial" w:hAnsi="Arial" w:cs="Arial"/>
        </w:rPr>
        <w:t xml:space="preserve">, J., </w:t>
      </w:r>
      <w:proofErr w:type="spellStart"/>
      <w:r w:rsidRPr="00222705">
        <w:rPr>
          <w:rFonts w:ascii="Arial" w:hAnsi="Arial" w:cs="Arial"/>
        </w:rPr>
        <w:t>Veit</w:t>
      </w:r>
      <w:proofErr w:type="spellEnd"/>
      <w:r w:rsidRPr="00222705">
        <w:rPr>
          <w:rFonts w:ascii="Arial" w:hAnsi="Arial" w:cs="Arial"/>
        </w:rPr>
        <w:t xml:space="preserve">, K., </w:t>
      </w:r>
      <w:proofErr w:type="spellStart"/>
      <w:r w:rsidRPr="00222705">
        <w:rPr>
          <w:rFonts w:ascii="Arial" w:hAnsi="Arial" w:cs="Arial"/>
        </w:rPr>
        <w:t>Hombach</w:t>
      </w:r>
      <w:proofErr w:type="spellEnd"/>
      <w:r w:rsidRPr="00222705">
        <w:rPr>
          <w:rFonts w:ascii="Arial" w:hAnsi="Arial" w:cs="Arial"/>
        </w:rPr>
        <w:t xml:space="preserve">, V., </w:t>
      </w:r>
      <w:proofErr w:type="spellStart"/>
      <w:r w:rsidRPr="00222705">
        <w:rPr>
          <w:rFonts w:ascii="Arial" w:hAnsi="Arial" w:cs="Arial"/>
        </w:rPr>
        <w:t>Dedio</w:t>
      </w:r>
      <w:proofErr w:type="spellEnd"/>
      <w:r w:rsidRPr="00222705">
        <w:rPr>
          <w:rFonts w:ascii="Arial" w:hAnsi="Arial" w:cs="Arial"/>
        </w:rPr>
        <w:t xml:space="preserve">, J. and </w:t>
      </w:r>
      <w:proofErr w:type="spellStart"/>
      <w:r w:rsidRPr="00222705">
        <w:rPr>
          <w:rFonts w:ascii="Arial" w:hAnsi="Arial" w:cs="Arial"/>
        </w:rPr>
        <w:t>Ivashchenko</w:t>
      </w:r>
      <w:proofErr w:type="spellEnd"/>
      <w:r w:rsidRPr="00222705">
        <w:rPr>
          <w:rFonts w:ascii="Arial" w:hAnsi="Arial" w:cs="Arial"/>
        </w:rPr>
        <w:t xml:space="preserve">, Y., 2008. Interleukin-1β stimulates acute phase response and C-reactive protein synthesis by inducing an NFκB-and C/EBPβ-dependent </w:t>
      </w:r>
      <w:proofErr w:type="spellStart"/>
      <w:r w:rsidRPr="00222705">
        <w:rPr>
          <w:rFonts w:ascii="Arial" w:hAnsi="Arial" w:cs="Arial"/>
        </w:rPr>
        <w:t>autocrine</w:t>
      </w:r>
      <w:proofErr w:type="spellEnd"/>
      <w:r w:rsidRPr="00222705">
        <w:rPr>
          <w:rFonts w:ascii="Arial" w:hAnsi="Arial" w:cs="Arial"/>
        </w:rPr>
        <w:t xml:space="preserve"> interleukin-6 loop. Molecular immunology, 45(9), pp.2678-2689.</w:t>
      </w:r>
    </w:p>
    <w:p w14:paraId="5754D42B" w14:textId="77777777" w:rsidR="008D6288" w:rsidRPr="00222705" w:rsidRDefault="008D6288" w:rsidP="00EF007D">
      <w:pPr>
        <w:rPr>
          <w:rFonts w:ascii="Arial" w:hAnsi="Arial" w:cs="Arial"/>
        </w:rPr>
      </w:pPr>
    </w:p>
    <w:p w14:paraId="02D81CF7"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Kris-Etherton, P.M., Harris, W.S. and Appel, L.J., 2002. Fish consumption, fish oil, omega-3 fatty acids, and cardiovascular disease. circulation, 106(21), pp.2747-2757. </w:t>
      </w:r>
    </w:p>
    <w:p w14:paraId="2E60DC85" w14:textId="77777777" w:rsidR="008D6288" w:rsidRPr="00222705" w:rsidRDefault="008D6288" w:rsidP="00EF007D">
      <w:pPr>
        <w:rPr>
          <w:rFonts w:ascii="Arial" w:eastAsia="Times New Roman" w:hAnsi="Arial" w:cs="Arial"/>
          <w:kern w:val="0"/>
          <w14:ligatures w14:val="none"/>
        </w:rPr>
      </w:pPr>
    </w:p>
    <w:p w14:paraId="37DBDC50"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Kuehl, K.S., Elliot, D.L., Goldberg, L., Moe, E.L., Perrier, E.and Smith, J. (2013) ‘Economic benefit of the PHLAME wellness programme on firefighter injury’, Occupational Medicine (Oxford, England), 63(3), pp. 203–209. </w:t>
      </w:r>
      <w:proofErr w:type="spellStart"/>
      <w:r w:rsidRPr="00222705">
        <w:rPr>
          <w:rFonts w:ascii="Arial" w:eastAsia="Times New Roman" w:hAnsi="Arial" w:cs="Arial"/>
          <w:kern w:val="0"/>
          <w14:ligatures w14:val="none"/>
        </w:rPr>
        <w:t>doi</w:t>
      </w:r>
      <w:proofErr w:type="spellEnd"/>
      <w:r w:rsidRPr="00222705">
        <w:rPr>
          <w:rFonts w:ascii="Arial" w:eastAsia="Times New Roman" w:hAnsi="Arial" w:cs="Arial"/>
          <w:kern w:val="0"/>
          <w14:ligatures w14:val="none"/>
        </w:rPr>
        <w:t>: 10.1093/</w:t>
      </w:r>
      <w:proofErr w:type="spellStart"/>
      <w:r w:rsidRPr="00222705">
        <w:rPr>
          <w:rFonts w:ascii="Arial" w:eastAsia="Times New Roman" w:hAnsi="Arial" w:cs="Arial"/>
          <w:kern w:val="0"/>
          <w14:ligatures w14:val="none"/>
        </w:rPr>
        <w:t>occmed</w:t>
      </w:r>
      <w:proofErr w:type="spellEnd"/>
      <w:r w:rsidRPr="00222705">
        <w:rPr>
          <w:rFonts w:ascii="Arial" w:eastAsia="Times New Roman" w:hAnsi="Arial" w:cs="Arial"/>
          <w:kern w:val="0"/>
          <w14:ligatures w14:val="none"/>
        </w:rPr>
        <w:t>/</w:t>
      </w:r>
      <w:proofErr w:type="spellStart"/>
      <w:r w:rsidRPr="00222705">
        <w:rPr>
          <w:rFonts w:ascii="Arial" w:eastAsia="Times New Roman" w:hAnsi="Arial" w:cs="Arial"/>
          <w:kern w:val="0"/>
          <w14:ligatures w14:val="none"/>
        </w:rPr>
        <w:t>kqs232</w:t>
      </w:r>
      <w:proofErr w:type="spellEnd"/>
      <w:r w:rsidRPr="00222705">
        <w:rPr>
          <w:rFonts w:ascii="Arial" w:eastAsia="Times New Roman" w:hAnsi="Arial" w:cs="Arial"/>
          <w:kern w:val="0"/>
          <w14:ligatures w14:val="none"/>
        </w:rPr>
        <w:t>. </w:t>
      </w:r>
    </w:p>
    <w:p w14:paraId="089FC5D4"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Kuszewski, J.C., Wong, R.H. and Howe, P.R., 2017. Effects of long-chain omega-3 polyunsaturated fatty acids on endothelial vasodilator function and cognition—are they interrelated?. Nutrients, 9(5), p.487. </w:t>
      </w:r>
    </w:p>
    <w:p w14:paraId="6360BCFF" w14:textId="77777777" w:rsidR="008D6288" w:rsidRPr="00222705" w:rsidRDefault="008D6288" w:rsidP="00EF007D">
      <w:pPr>
        <w:rPr>
          <w:rFonts w:ascii="Arial" w:eastAsia="Times New Roman" w:hAnsi="Arial" w:cs="Arial"/>
          <w:kern w:val="0"/>
          <w14:ligatures w14:val="none"/>
        </w:rPr>
      </w:pPr>
    </w:p>
    <w:p w14:paraId="74751B8C" w14:textId="0B051099" w:rsidR="008F4D29" w:rsidRPr="00222705" w:rsidRDefault="008F4D29" w:rsidP="00EF007D">
      <w:pPr>
        <w:rPr>
          <w:rFonts w:ascii="Arial" w:eastAsiaTheme="minorEastAsia" w:hAnsi="Arial" w:cs="Arial"/>
          <w:kern w:val="0"/>
          <w:lang w:val="en-GB" w:eastAsia="en-GB"/>
          <w14:ligatures w14:val="none"/>
        </w:rPr>
      </w:pPr>
      <w:proofErr w:type="spellStart"/>
      <w:r w:rsidRPr="00222705">
        <w:rPr>
          <w:rFonts w:ascii="Arial" w:eastAsiaTheme="minorEastAsia" w:hAnsi="Arial" w:cs="Arial"/>
          <w:kern w:val="0"/>
          <w:lang w:val="en-GB" w:eastAsia="en-GB"/>
          <w14:ligatures w14:val="none"/>
        </w:rPr>
        <w:t>Laidlaw</w:t>
      </w:r>
      <w:proofErr w:type="spellEnd"/>
      <w:r w:rsidRPr="00222705">
        <w:rPr>
          <w:rFonts w:ascii="Arial" w:eastAsiaTheme="minorEastAsia" w:hAnsi="Arial" w:cs="Arial"/>
          <w:kern w:val="0"/>
          <w:lang w:val="en-GB" w:eastAsia="en-GB"/>
          <w14:ligatures w14:val="none"/>
        </w:rPr>
        <w:t xml:space="preserve">, M., </w:t>
      </w:r>
      <w:proofErr w:type="spellStart"/>
      <w:r w:rsidRPr="00222705">
        <w:rPr>
          <w:rFonts w:ascii="Arial" w:eastAsiaTheme="minorEastAsia" w:hAnsi="Arial" w:cs="Arial"/>
          <w:kern w:val="0"/>
          <w:lang w:val="en-GB" w:eastAsia="en-GB"/>
          <w14:ligatures w14:val="none"/>
        </w:rPr>
        <w:t>Cockerline</w:t>
      </w:r>
      <w:proofErr w:type="spellEnd"/>
      <w:r w:rsidRPr="00222705">
        <w:rPr>
          <w:rFonts w:ascii="Arial" w:eastAsiaTheme="minorEastAsia" w:hAnsi="Arial" w:cs="Arial"/>
          <w:kern w:val="0"/>
          <w:lang w:val="en-GB" w:eastAsia="en-GB"/>
          <w14:ligatures w14:val="none"/>
        </w:rPr>
        <w:t xml:space="preserve">, C. and Rowe, W. (2014) ‘A randomized controlled trial of fish oil supplementation and its effect on omega-3 index in healthy adults’, Lipids in Health and Disease, 13, p. 99. </w:t>
      </w:r>
      <w:hyperlink r:id="rId17" w:history="1">
        <w:r w:rsidR="008D6288" w:rsidRPr="00222705">
          <w:rPr>
            <w:rStyle w:val="Hyperlink"/>
            <w:rFonts w:ascii="Arial" w:eastAsiaTheme="minorEastAsia" w:hAnsi="Arial" w:cs="Arial"/>
            <w:kern w:val="0"/>
            <w:lang w:val="en-GB" w:eastAsia="en-GB"/>
            <w14:ligatures w14:val="none"/>
          </w:rPr>
          <w:t>https://doi.org/10.1186/1476-511X-13-99</w:t>
        </w:r>
      </w:hyperlink>
    </w:p>
    <w:p w14:paraId="487AB298" w14:textId="77777777" w:rsidR="008D6288" w:rsidRPr="00222705" w:rsidRDefault="008D6288" w:rsidP="00EF007D">
      <w:pPr>
        <w:rPr>
          <w:rFonts w:ascii="Arial" w:eastAsiaTheme="minorEastAsia" w:hAnsi="Arial" w:cs="Arial"/>
          <w:kern w:val="0"/>
          <w:lang w:val="en-GB" w:eastAsia="en-GB"/>
          <w14:ligatures w14:val="none"/>
        </w:rPr>
      </w:pPr>
    </w:p>
    <w:p w14:paraId="4BAEB947"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lang w:val="en-GB"/>
          <w14:ligatures w14:val="none"/>
        </w:rPr>
        <w:t>Lakoski, S.G., Herrington, D.M., </w:t>
      </w:r>
      <w:proofErr w:type="spellStart"/>
      <w:r w:rsidRPr="00222705">
        <w:rPr>
          <w:rFonts w:ascii="Arial" w:eastAsia="Times New Roman" w:hAnsi="Arial" w:cs="Arial"/>
          <w:kern w:val="0"/>
          <w:lang w:val="en-GB"/>
          <w14:ligatures w14:val="none"/>
        </w:rPr>
        <w:t>Siscovick</w:t>
      </w:r>
      <w:proofErr w:type="spellEnd"/>
      <w:r w:rsidRPr="00222705">
        <w:rPr>
          <w:rFonts w:ascii="Arial" w:eastAsia="Times New Roman" w:hAnsi="Arial" w:cs="Arial"/>
          <w:kern w:val="0"/>
          <w:lang w:val="en-GB"/>
          <w14:ligatures w14:val="none"/>
        </w:rPr>
        <w:t xml:space="preserve">, D.M. and </w:t>
      </w:r>
      <w:proofErr w:type="spellStart"/>
      <w:r w:rsidRPr="00222705">
        <w:rPr>
          <w:rFonts w:ascii="Arial" w:eastAsia="Times New Roman" w:hAnsi="Arial" w:cs="Arial"/>
          <w:kern w:val="0"/>
          <w:lang w:val="en-GB"/>
          <w14:ligatures w14:val="none"/>
        </w:rPr>
        <w:t>Hulley</w:t>
      </w:r>
      <w:proofErr w:type="spellEnd"/>
      <w:r w:rsidRPr="00222705">
        <w:rPr>
          <w:rFonts w:ascii="Arial" w:eastAsia="Times New Roman" w:hAnsi="Arial" w:cs="Arial"/>
          <w:kern w:val="0"/>
          <w:lang w:val="en-GB"/>
          <w14:ligatures w14:val="none"/>
        </w:rPr>
        <w:t>, S.B., 2006. C-reactive </w:t>
      </w:r>
      <w:proofErr w:type="spellStart"/>
      <w:r w:rsidRPr="00222705">
        <w:rPr>
          <w:rFonts w:ascii="Arial" w:eastAsia="Times New Roman" w:hAnsi="Arial" w:cs="Arial"/>
          <w:kern w:val="0"/>
          <w:lang w:val="en-GB"/>
          <w14:ligatures w14:val="none"/>
        </w:rPr>
        <w:t>proteinconcentration</w:t>
      </w:r>
      <w:proofErr w:type="spellEnd"/>
      <w:r w:rsidRPr="00222705">
        <w:rPr>
          <w:rFonts w:ascii="Arial" w:eastAsia="Times New Roman" w:hAnsi="Arial" w:cs="Arial"/>
          <w:kern w:val="0"/>
          <w:lang w:val="en-GB"/>
          <w14:ligatures w14:val="none"/>
        </w:rPr>
        <w:t> and incident hypertension in young adults: the CARDIA study. Archives of internal medicine, 166(3), pp.345-349.</w:t>
      </w:r>
      <w:r w:rsidRPr="00222705">
        <w:rPr>
          <w:rFonts w:ascii="Arial" w:eastAsia="Times New Roman" w:hAnsi="Arial" w:cs="Arial"/>
          <w:kern w:val="0"/>
          <w14:ligatures w14:val="none"/>
        </w:rPr>
        <w:t> </w:t>
      </w:r>
    </w:p>
    <w:p w14:paraId="237DA93E" w14:textId="7209F333" w:rsidR="008D6288" w:rsidRPr="00222705" w:rsidRDefault="008D6288" w:rsidP="00EF007D">
      <w:pPr>
        <w:rPr>
          <w:rFonts w:ascii="Arial" w:eastAsia="Times New Roman" w:hAnsi="Arial" w:cs="Arial"/>
          <w:kern w:val="0"/>
          <w14:ligatures w14:val="none"/>
        </w:rPr>
      </w:pPr>
    </w:p>
    <w:p w14:paraId="0906B688"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 xml:space="preserve">Langtry, J., </w:t>
      </w:r>
      <w:proofErr w:type="spellStart"/>
      <w:r w:rsidRPr="00222705">
        <w:rPr>
          <w:rFonts w:ascii="Arial" w:hAnsi="Arial" w:cs="Arial"/>
          <w:shd w:val="clear" w:color="auto" w:fill="FFFFFF"/>
        </w:rPr>
        <w:t>Owczarek</w:t>
      </w:r>
      <w:proofErr w:type="spellEnd"/>
      <w:r w:rsidRPr="00222705">
        <w:rPr>
          <w:rFonts w:ascii="Arial" w:hAnsi="Arial" w:cs="Arial"/>
          <w:shd w:val="clear" w:color="auto" w:fill="FFFFFF"/>
        </w:rPr>
        <w:t xml:space="preserve">, M., </w:t>
      </w:r>
      <w:proofErr w:type="spellStart"/>
      <w:r w:rsidRPr="00222705">
        <w:rPr>
          <w:rFonts w:ascii="Arial" w:hAnsi="Arial" w:cs="Arial"/>
          <w:shd w:val="clear" w:color="auto" w:fill="FFFFFF"/>
        </w:rPr>
        <w:t>McAteer</w:t>
      </w:r>
      <w:proofErr w:type="spellEnd"/>
      <w:r w:rsidRPr="00222705">
        <w:rPr>
          <w:rFonts w:ascii="Arial" w:hAnsi="Arial" w:cs="Arial"/>
          <w:shd w:val="clear" w:color="auto" w:fill="FFFFFF"/>
        </w:rPr>
        <w:t xml:space="preserve">, D., Taggart, L., Gleeson, C., </w:t>
      </w:r>
      <w:proofErr w:type="spellStart"/>
      <w:r w:rsidRPr="00222705">
        <w:rPr>
          <w:rFonts w:ascii="Arial" w:hAnsi="Arial" w:cs="Arial"/>
          <w:shd w:val="clear" w:color="auto" w:fill="FFFFFF"/>
        </w:rPr>
        <w:t>Walshe</w:t>
      </w:r>
      <w:proofErr w:type="spellEnd"/>
      <w:r w:rsidRPr="00222705">
        <w:rPr>
          <w:rFonts w:ascii="Arial" w:hAnsi="Arial" w:cs="Arial"/>
          <w:shd w:val="clear" w:color="auto" w:fill="FFFFFF"/>
        </w:rPr>
        <w:t xml:space="preserve">, C. and </w:t>
      </w:r>
      <w:proofErr w:type="spellStart"/>
      <w:r w:rsidRPr="00222705">
        <w:rPr>
          <w:rFonts w:ascii="Arial" w:hAnsi="Arial" w:cs="Arial"/>
          <w:shd w:val="clear" w:color="auto" w:fill="FFFFFF"/>
        </w:rPr>
        <w:t>Shevlin</w:t>
      </w:r>
      <w:proofErr w:type="spellEnd"/>
      <w:r w:rsidRPr="00222705">
        <w:rPr>
          <w:rFonts w:ascii="Arial" w:hAnsi="Arial" w:cs="Arial"/>
          <w:shd w:val="clear" w:color="auto" w:fill="FFFFFF"/>
        </w:rPr>
        <w:t>, M., 2021. Predictors of PTSD and CPTSD in UK firefighters. </w:t>
      </w:r>
      <w:r w:rsidRPr="00222705">
        <w:rPr>
          <w:rFonts w:ascii="Arial" w:hAnsi="Arial" w:cs="Arial"/>
        </w:rPr>
        <w:t xml:space="preserve">European Journal of </w:t>
      </w:r>
      <w:proofErr w:type="spellStart"/>
      <w:r w:rsidRPr="00222705">
        <w:rPr>
          <w:rFonts w:ascii="Arial" w:hAnsi="Arial" w:cs="Arial"/>
        </w:rPr>
        <w:t>Psychotraumatology</w:t>
      </w:r>
      <w:proofErr w:type="spellEnd"/>
      <w:r w:rsidRPr="00222705">
        <w:rPr>
          <w:rFonts w:ascii="Arial" w:hAnsi="Arial" w:cs="Arial"/>
          <w:shd w:val="clear" w:color="auto" w:fill="FFFFFF"/>
        </w:rPr>
        <w:t>, </w:t>
      </w:r>
      <w:r w:rsidRPr="00222705">
        <w:rPr>
          <w:rFonts w:ascii="Arial" w:hAnsi="Arial" w:cs="Arial"/>
        </w:rPr>
        <w:t>12</w:t>
      </w:r>
      <w:r w:rsidRPr="00222705">
        <w:rPr>
          <w:rFonts w:ascii="Arial" w:hAnsi="Arial" w:cs="Arial"/>
          <w:shd w:val="clear" w:color="auto" w:fill="FFFFFF"/>
        </w:rPr>
        <w:t>(1), p.1849524.</w:t>
      </w:r>
    </w:p>
    <w:p w14:paraId="321D2C56" w14:textId="77777777" w:rsidR="008D6288" w:rsidRPr="00222705" w:rsidRDefault="008D6288" w:rsidP="00EF007D">
      <w:pPr>
        <w:rPr>
          <w:rFonts w:ascii="Arial" w:hAnsi="Arial" w:cs="Arial"/>
          <w:shd w:val="clear" w:color="auto" w:fill="FFFFFF"/>
        </w:rPr>
      </w:pPr>
    </w:p>
    <w:p w14:paraId="61953BCC"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 xml:space="preserve">Lao, X.Q., Liu, X., Deng, H.B., Chan, T.C., Ho, K.F., Wang, F., </w:t>
      </w:r>
      <w:proofErr w:type="spellStart"/>
      <w:r w:rsidRPr="00222705">
        <w:rPr>
          <w:rFonts w:ascii="Arial" w:hAnsi="Arial" w:cs="Arial"/>
          <w:shd w:val="clear" w:color="auto" w:fill="FFFFFF"/>
        </w:rPr>
        <w:t>Vermeulen</w:t>
      </w:r>
      <w:proofErr w:type="spellEnd"/>
      <w:r w:rsidRPr="00222705">
        <w:rPr>
          <w:rFonts w:ascii="Arial" w:hAnsi="Arial" w:cs="Arial"/>
          <w:shd w:val="clear" w:color="auto" w:fill="FFFFFF"/>
        </w:rPr>
        <w:t>, R., Tam, T., Wong, M.C., Tse, L.A. and Chang, L.Y., 2018. Sleep quality, sleep duration, and the risk of coronary heart disease: a prospective cohort study with 60,586 adults. </w:t>
      </w:r>
      <w:r w:rsidRPr="00222705">
        <w:rPr>
          <w:rFonts w:ascii="Arial" w:hAnsi="Arial" w:cs="Arial"/>
        </w:rPr>
        <w:t>Journal of Clinical Sleep Medicine</w:t>
      </w:r>
      <w:r w:rsidRPr="00222705">
        <w:rPr>
          <w:rFonts w:ascii="Arial" w:hAnsi="Arial" w:cs="Arial"/>
          <w:shd w:val="clear" w:color="auto" w:fill="FFFFFF"/>
        </w:rPr>
        <w:t>, </w:t>
      </w:r>
      <w:r w:rsidRPr="00222705">
        <w:rPr>
          <w:rFonts w:ascii="Arial" w:hAnsi="Arial" w:cs="Arial"/>
        </w:rPr>
        <w:t>14</w:t>
      </w:r>
      <w:r w:rsidRPr="00222705">
        <w:rPr>
          <w:rFonts w:ascii="Arial" w:hAnsi="Arial" w:cs="Arial"/>
          <w:shd w:val="clear" w:color="auto" w:fill="FFFFFF"/>
        </w:rPr>
        <w:t>(1), pp.109-117.</w:t>
      </w:r>
    </w:p>
    <w:p w14:paraId="796B7F5D" w14:textId="77777777" w:rsidR="008D6288" w:rsidRPr="00222705" w:rsidRDefault="008D6288" w:rsidP="00EF007D">
      <w:pPr>
        <w:rPr>
          <w:rFonts w:ascii="Arial" w:hAnsi="Arial" w:cs="Arial"/>
          <w:shd w:val="clear" w:color="auto" w:fill="FFFFFF"/>
        </w:rPr>
      </w:pPr>
    </w:p>
    <w:p w14:paraId="3523EA62"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 xml:space="preserve">Leaf, A., Rothschild, J.A., Sharpe, T.M., Sims, S.T., Macias, C.J., </w:t>
      </w:r>
      <w:proofErr w:type="spellStart"/>
      <w:r w:rsidRPr="00222705">
        <w:rPr>
          <w:rFonts w:ascii="Arial" w:eastAsia="Times New Roman" w:hAnsi="Arial" w:cs="Arial"/>
          <w:kern w:val="0"/>
          <w14:ligatures w14:val="none"/>
        </w:rPr>
        <w:t>Futch</w:t>
      </w:r>
      <w:proofErr w:type="spellEnd"/>
      <w:r w:rsidRPr="00222705">
        <w:rPr>
          <w:rFonts w:ascii="Arial" w:eastAsia="Times New Roman" w:hAnsi="Arial" w:cs="Arial"/>
          <w:kern w:val="0"/>
          <w14:ligatures w14:val="none"/>
        </w:rPr>
        <w:t xml:space="preserve">, G.G., Roberts, M.D., Stout, J.R., </w:t>
      </w:r>
      <w:proofErr w:type="spellStart"/>
      <w:r w:rsidRPr="00222705">
        <w:rPr>
          <w:rFonts w:ascii="Arial" w:eastAsia="Times New Roman" w:hAnsi="Arial" w:cs="Arial"/>
          <w:kern w:val="0"/>
          <w14:ligatures w14:val="none"/>
        </w:rPr>
        <w:t>Ormsbee</w:t>
      </w:r>
      <w:proofErr w:type="spellEnd"/>
      <w:r w:rsidRPr="00222705">
        <w:rPr>
          <w:rFonts w:ascii="Arial" w:eastAsia="Times New Roman" w:hAnsi="Arial" w:cs="Arial"/>
          <w:kern w:val="0"/>
          <w14:ligatures w14:val="none"/>
        </w:rPr>
        <w:t>, M.J., Aragon, A.A. and Campbell, B.I., 2024. International Society of Sports Nutrition PositionStand: Long-Chain Omega-3 Polyunsaturated Fatty Acids. Journal of the International Society of SportsNutrition, (1) </w:t>
      </w:r>
    </w:p>
    <w:p w14:paraId="66FB4184" w14:textId="77777777" w:rsidR="008D6288" w:rsidRPr="00222705" w:rsidRDefault="008D6288" w:rsidP="00EF007D">
      <w:pPr>
        <w:rPr>
          <w:rFonts w:ascii="Arial" w:eastAsia="Times New Roman" w:hAnsi="Arial" w:cs="Arial"/>
          <w:kern w:val="0"/>
          <w14:ligatures w14:val="none"/>
        </w:rPr>
      </w:pPr>
    </w:p>
    <w:p w14:paraId="3DE3934F" w14:textId="77777777" w:rsidR="008F4D29" w:rsidRPr="00222705" w:rsidRDefault="008F4D29" w:rsidP="00EF007D">
      <w:pPr>
        <w:rPr>
          <w:rFonts w:ascii="Arial" w:eastAsia="Times New Roman" w:hAnsi="Arial" w:cs="Arial"/>
          <w:shd w:val="clear" w:color="auto" w:fill="FFFFFF"/>
          <w:lang w:val="en-GB" w:eastAsia="en-GB"/>
        </w:rPr>
      </w:pPr>
      <w:r w:rsidRPr="00222705">
        <w:rPr>
          <w:rFonts w:ascii="Arial" w:eastAsia="Aptos" w:hAnsi="Arial" w:cs="Arial"/>
        </w:rPr>
        <w:t xml:space="preserve">Lee, J.H., Lee, D., Kim, J., </w:t>
      </w:r>
      <w:proofErr w:type="spellStart"/>
      <w:r w:rsidRPr="00222705">
        <w:rPr>
          <w:rFonts w:ascii="Arial" w:eastAsia="Aptos" w:hAnsi="Arial" w:cs="Arial"/>
        </w:rPr>
        <w:t>Jeon</w:t>
      </w:r>
      <w:proofErr w:type="spellEnd"/>
      <w:r w:rsidRPr="00222705">
        <w:rPr>
          <w:rFonts w:ascii="Arial" w:eastAsia="Aptos" w:hAnsi="Arial" w:cs="Arial"/>
        </w:rPr>
        <w:t>, K. and Sim, M., 2017. Duty</w:t>
      </w:r>
      <w:r w:rsidRPr="00222705">
        <w:rPr>
          <w:rFonts w:ascii="Cambria Math" w:eastAsia="Cambria Math" w:hAnsi="Cambria Math" w:cs="Cambria Math"/>
        </w:rPr>
        <w:t>‐</w:t>
      </w:r>
      <w:r w:rsidRPr="00222705">
        <w:rPr>
          <w:rFonts w:ascii="Arial" w:eastAsia="Aptos" w:hAnsi="Arial" w:cs="Arial"/>
        </w:rPr>
        <w:t>related trauma exposure and posttraumatic stress symptoms in professional firefighters. Journal of traumatic stress, 30(2), pp.133-141.</w:t>
      </w:r>
      <w:r w:rsidRPr="00222705">
        <w:rPr>
          <w:rFonts w:ascii="Arial" w:eastAsia="Times New Roman" w:hAnsi="Arial" w:cs="Arial"/>
          <w:shd w:val="clear" w:color="auto" w:fill="FFFFFF"/>
          <w:lang w:val="en-GB" w:eastAsia="en-GB"/>
        </w:rPr>
        <w:t xml:space="preserve"> </w:t>
      </w:r>
    </w:p>
    <w:p w14:paraId="2B64B2EC" w14:textId="77777777" w:rsidR="008D6288" w:rsidRPr="00222705" w:rsidRDefault="008D6288" w:rsidP="00EF007D">
      <w:pPr>
        <w:rPr>
          <w:rFonts w:ascii="Arial" w:eastAsia="Times New Roman" w:hAnsi="Arial" w:cs="Arial"/>
          <w:shd w:val="clear" w:color="auto" w:fill="FFFFFF"/>
          <w:lang w:val="en-GB" w:eastAsia="en-GB"/>
        </w:rPr>
      </w:pPr>
    </w:p>
    <w:p w14:paraId="5E971224" w14:textId="77777777" w:rsidR="008F4D29" w:rsidRPr="00222705" w:rsidRDefault="008F4D29" w:rsidP="00EF007D">
      <w:pPr>
        <w:rPr>
          <w:rFonts w:ascii="Arial" w:eastAsia="Aptos" w:hAnsi="Arial" w:cs="Arial"/>
        </w:rPr>
      </w:pPr>
      <w:r w:rsidRPr="00222705">
        <w:rPr>
          <w:rFonts w:ascii="Arial" w:eastAsia="Aptos" w:hAnsi="Arial" w:cs="Arial"/>
        </w:rPr>
        <w:t xml:space="preserve">Lee, J.Y., </w:t>
      </w:r>
      <w:proofErr w:type="spellStart"/>
      <w:r w:rsidRPr="00222705">
        <w:rPr>
          <w:rFonts w:ascii="Arial" w:eastAsia="Aptos" w:hAnsi="Arial" w:cs="Arial"/>
        </w:rPr>
        <w:t>Bakri</w:t>
      </w:r>
      <w:proofErr w:type="spellEnd"/>
      <w:r w:rsidRPr="00222705">
        <w:rPr>
          <w:rFonts w:ascii="Arial" w:eastAsia="Aptos" w:hAnsi="Arial" w:cs="Arial"/>
        </w:rPr>
        <w:t xml:space="preserve">, I., Kim, J.H., Son, S.Y. and </w:t>
      </w:r>
      <w:proofErr w:type="spellStart"/>
      <w:r w:rsidRPr="00222705">
        <w:rPr>
          <w:rFonts w:ascii="Arial" w:eastAsia="Aptos" w:hAnsi="Arial" w:cs="Arial"/>
        </w:rPr>
        <w:t>Tochihara</w:t>
      </w:r>
      <w:proofErr w:type="spellEnd"/>
      <w:r w:rsidRPr="00222705">
        <w:rPr>
          <w:rFonts w:ascii="Arial" w:eastAsia="Aptos" w:hAnsi="Arial" w:cs="Arial"/>
        </w:rPr>
        <w:t>, Y., 2013. The impact of firefighter personal protective equipment and treadmill protocol on maximal oxygen uptake. Journal of occupational and environmental hygiene, 10(7), pp.397-407.</w:t>
      </w:r>
    </w:p>
    <w:p w14:paraId="7A822CDA" w14:textId="77777777" w:rsidR="008D6288" w:rsidRPr="00222705" w:rsidRDefault="008D6288" w:rsidP="00EF007D">
      <w:pPr>
        <w:rPr>
          <w:rFonts w:ascii="Arial" w:hAnsi="Arial" w:cs="Arial"/>
        </w:rPr>
      </w:pPr>
    </w:p>
    <w:p w14:paraId="64FF2219" w14:textId="4BE3BACD"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Lesniak, A., Sell, K., Morris, C. and Abel, M., 2022. Relationship between heart rate variability vs. occupational performance, physical activity and fitness measures </w:t>
      </w:r>
      <w:proofErr w:type="spellStart"/>
      <w:r w:rsidRPr="00222705">
        <w:rPr>
          <w:rFonts w:ascii="Arial" w:eastAsia="Times New Roman" w:hAnsi="Arial" w:cs="Arial"/>
          <w:kern w:val="0"/>
          <w14:ligatures w14:val="none"/>
        </w:rPr>
        <w:t>instructural</w:t>
      </w:r>
      <w:proofErr w:type="spellEnd"/>
      <w:r w:rsidRPr="00222705">
        <w:rPr>
          <w:rFonts w:ascii="Arial" w:eastAsia="Times New Roman" w:hAnsi="Arial" w:cs="Arial"/>
          <w:kern w:val="0"/>
          <w14:ligatures w14:val="none"/>
        </w:rPr>
        <w:t xml:space="preserve"> firefighters. Journal of Sport and Human Performance, 10(1), pp.56-72. </w:t>
      </w:r>
    </w:p>
    <w:p w14:paraId="5DDD4738" w14:textId="77777777" w:rsidR="008D6288" w:rsidRPr="00222705" w:rsidRDefault="008D6288" w:rsidP="00EF007D">
      <w:pPr>
        <w:rPr>
          <w:rFonts w:ascii="Arial" w:eastAsia="Times New Roman" w:hAnsi="Arial" w:cs="Arial"/>
          <w:kern w:val="0"/>
          <w14:ligatures w14:val="none"/>
        </w:rPr>
      </w:pPr>
    </w:p>
    <w:p w14:paraId="2ACBF2B3"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Li, C. and Shang, S., 2021. Relationship between sleep and hypertension: findings from the NHANES (2007–2014). </w:t>
      </w:r>
      <w:r w:rsidRPr="00222705">
        <w:rPr>
          <w:rFonts w:ascii="Arial" w:hAnsi="Arial" w:cs="Arial"/>
        </w:rPr>
        <w:t>International journal of environmental research and public health</w:t>
      </w:r>
      <w:r w:rsidRPr="00222705">
        <w:rPr>
          <w:rFonts w:ascii="Arial" w:hAnsi="Arial" w:cs="Arial"/>
          <w:shd w:val="clear" w:color="auto" w:fill="FFFFFF"/>
        </w:rPr>
        <w:t>, </w:t>
      </w:r>
      <w:r w:rsidRPr="00222705">
        <w:rPr>
          <w:rFonts w:ascii="Arial" w:hAnsi="Arial" w:cs="Arial"/>
        </w:rPr>
        <w:t>18</w:t>
      </w:r>
      <w:r w:rsidRPr="00222705">
        <w:rPr>
          <w:rFonts w:ascii="Arial" w:hAnsi="Arial" w:cs="Arial"/>
          <w:shd w:val="clear" w:color="auto" w:fill="FFFFFF"/>
        </w:rPr>
        <w:t>(15), p.7867.</w:t>
      </w:r>
    </w:p>
    <w:p w14:paraId="26D2EBF3" w14:textId="77777777" w:rsidR="008D6288" w:rsidRPr="00222705" w:rsidRDefault="008D6288" w:rsidP="00EF007D">
      <w:pPr>
        <w:rPr>
          <w:rFonts w:ascii="Arial" w:hAnsi="Arial" w:cs="Arial"/>
          <w:shd w:val="clear" w:color="auto" w:fill="FFFFFF"/>
        </w:rPr>
      </w:pPr>
    </w:p>
    <w:p w14:paraId="6D2A79CB"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lastRenderedPageBreak/>
        <w:t>Liberale, L., </w:t>
      </w:r>
      <w:proofErr w:type="spellStart"/>
      <w:r w:rsidRPr="00222705">
        <w:rPr>
          <w:rFonts w:ascii="Arial" w:eastAsia="Times New Roman" w:hAnsi="Arial" w:cs="Arial"/>
          <w:kern w:val="0"/>
          <w14:ligatures w14:val="none"/>
        </w:rPr>
        <w:t>Montecucco</w:t>
      </w:r>
      <w:proofErr w:type="spellEnd"/>
      <w:r w:rsidRPr="00222705">
        <w:rPr>
          <w:rFonts w:ascii="Arial" w:eastAsia="Times New Roman" w:hAnsi="Arial" w:cs="Arial"/>
          <w:kern w:val="0"/>
          <w14:ligatures w14:val="none"/>
        </w:rPr>
        <w:t xml:space="preserve">, F., </w:t>
      </w:r>
      <w:proofErr w:type="spellStart"/>
      <w:r w:rsidRPr="00222705">
        <w:rPr>
          <w:rFonts w:ascii="Arial" w:eastAsia="Times New Roman" w:hAnsi="Arial" w:cs="Arial"/>
          <w:kern w:val="0"/>
          <w14:ligatures w14:val="none"/>
        </w:rPr>
        <w:t>Tardif</w:t>
      </w:r>
      <w:proofErr w:type="spellEnd"/>
      <w:r w:rsidRPr="00222705">
        <w:rPr>
          <w:rFonts w:ascii="Arial" w:eastAsia="Times New Roman" w:hAnsi="Arial" w:cs="Arial"/>
          <w:kern w:val="0"/>
          <w14:ligatures w14:val="none"/>
        </w:rPr>
        <w:t>, J.C., Libby, P. and </w:t>
      </w:r>
      <w:proofErr w:type="spellStart"/>
      <w:r w:rsidRPr="00222705">
        <w:rPr>
          <w:rFonts w:ascii="Arial" w:eastAsia="Times New Roman" w:hAnsi="Arial" w:cs="Arial"/>
          <w:kern w:val="0"/>
          <w14:ligatures w14:val="none"/>
        </w:rPr>
        <w:t>Camici</w:t>
      </w:r>
      <w:proofErr w:type="spellEnd"/>
      <w:r w:rsidRPr="00222705">
        <w:rPr>
          <w:rFonts w:ascii="Arial" w:eastAsia="Times New Roman" w:hAnsi="Arial" w:cs="Arial"/>
          <w:kern w:val="0"/>
          <w14:ligatures w14:val="none"/>
        </w:rPr>
        <w:t>, G.G., 2020. </w:t>
      </w:r>
      <w:proofErr w:type="spellStart"/>
      <w:r w:rsidRPr="00222705">
        <w:rPr>
          <w:rFonts w:ascii="Arial" w:eastAsia="Times New Roman" w:hAnsi="Arial" w:cs="Arial"/>
          <w:kern w:val="0"/>
          <w14:ligatures w14:val="none"/>
        </w:rPr>
        <w:t>Inflamm-ageing</w:t>
      </w:r>
      <w:proofErr w:type="spellEnd"/>
      <w:r w:rsidRPr="00222705">
        <w:rPr>
          <w:rFonts w:ascii="Arial" w:eastAsia="Times New Roman" w:hAnsi="Arial" w:cs="Arial"/>
          <w:kern w:val="0"/>
          <w14:ligatures w14:val="none"/>
        </w:rPr>
        <w:t>: the role of inflammation in age-dependent cardiovascular disease. European heart journal, 41(31), pp.2974-2982. </w:t>
      </w:r>
    </w:p>
    <w:p w14:paraId="502375DE" w14:textId="77777777" w:rsidR="008D6288" w:rsidRPr="00222705" w:rsidRDefault="008D6288" w:rsidP="00EF007D">
      <w:pPr>
        <w:rPr>
          <w:rFonts w:ascii="Arial" w:eastAsia="Times New Roman" w:hAnsi="Arial" w:cs="Arial"/>
          <w:kern w:val="0"/>
          <w14:ligatures w14:val="none"/>
        </w:rPr>
      </w:pPr>
    </w:p>
    <w:p w14:paraId="118F4680"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shd w:val="clear" w:color="auto" w:fill="FFFFFF"/>
          <w:lang w:val="en-GB"/>
          <w14:ligatures w14:val="none"/>
        </w:rPr>
        <w:t xml:space="preserve">Lin, J.S., O'Connor, E., Whitlock, E.P. and </w:t>
      </w:r>
      <w:proofErr w:type="spellStart"/>
      <w:r w:rsidRPr="00222705">
        <w:rPr>
          <w:rFonts w:ascii="Arial" w:eastAsia="Times New Roman" w:hAnsi="Arial" w:cs="Arial"/>
          <w:kern w:val="0"/>
          <w:shd w:val="clear" w:color="auto" w:fill="FFFFFF"/>
          <w:lang w:val="en-GB"/>
          <w14:ligatures w14:val="none"/>
        </w:rPr>
        <w:t>Beil</w:t>
      </w:r>
      <w:proofErr w:type="spellEnd"/>
      <w:r w:rsidRPr="00222705">
        <w:rPr>
          <w:rFonts w:ascii="Arial" w:eastAsia="Times New Roman" w:hAnsi="Arial" w:cs="Arial"/>
          <w:kern w:val="0"/>
          <w:shd w:val="clear" w:color="auto" w:fill="FFFFFF"/>
          <w:lang w:val="en-GB"/>
          <w14:ligatures w14:val="none"/>
        </w:rPr>
        <w:t>, T.L., 2010. </w:t>
      </w:r>
      <w:proofErr w:type="spellStart"/>
      <w:r w:rsidRPr="00222705">
        <w:rPr>
          <w:rFonts w:ascii="Arial" w:eastAsia="Times New Roman" w:hAnsi="Arial" w:cs="Arial"/>
          <w:kern w:val="0"/>
          <w:shd w:val="clear" w:color="auto" w:fill="FFFFFF"/>
          <w:lang w:val="en-GB"/>
          <w14:ligatures w14:val="none"/>
        </w:rPr>
        <w:t>Behavioral</w:t>
      </w:r>
      <w:proofErr w:type="spellEnd"/>
      <w:r w:rsidRPr="00222705">
        <w:rPr>
          <w:rFonts w:ascii="Arial" w:eastAsia="Times New Roman" w:hAnsi="Arial" w:cs="Arial"/>
          <w:kern w:val="0"/>
          <w:shd w:val="clear" w:color="auto" w:fill="FFFFFF"/>
          <w:lang w:val="en-GB"/>
          <w14:ligatures w14:val="none"/>
        </w:rPr>
        <w:t> </w:t>
      </w:r>
      <w:proofErr w:type="spellStart"/>
      <w:r w:rsidRPr="00222705">
        <w:rPr>
          <w:rFonts w:ascii="Arial" w:eastAsia="Times New Roman" w:hAnsi="Arial" w:cs="Arial"/>
          <w:kern w:val="0"/>
          <w:shd w:val="clear" w:color="auto" w:fill="FFFFFF"/>
          <w:lang w:val="en-GB"/>
          <w14:ligatures w14:val="none"/>
        </w:rPr>
        <w:t>counseling</w:t>
      </w:r>
      <w:proofErr w:type="spellEnd"/>
      <w:r w:rsidRPr="00222705">
        <w:rPr>
          <w:rFonts w:ascii="Arial" w:eastAsia="Times New Roman" w:hAnsi="Arial" w:cs="Arial"/>
          <w:kern w:val="0"/>
          <w:shd w:val="clear" w:color="auto" w:fill="FFFFFF"/>
          <w:lang w:val="en-GB"/>
          <w14:ligatures w14:val="none"/>
        </w:rPr>
        <w:t> to promote physical activity and a healthful diet to prevent cardiovascular disease in adults: a systematic review for the US Preventive Services Task Force. </w:t>
      </w:r>
      <w:r w:rsidRPr="00222705">
        <w:rPr>
          <w:rFonts w:ascii="Arial" w:eastAsia="Times New Roman" w:hAnsi="Arial" w:cs="Arial"/>
          <w:kern w:val="0"/>
          <w:lang w:val="en-GB"/>
          <w14:ligatures w14:val="none"/>
        </w:rPr>
        <w:t>Annals of internal medicine</w:t>
      </w:r>
      <w:r w:rsidRPr="00222705">
        <w:rPr>
          <w:rFonts w:ascii="Arial" w:eastAsia="Times New Roman" w:hAnsi="Arial" w:cs="Arial"/>
          <w:kern w:val="0"/>
          <w:shd w:val="clear" w:color="auto" w:fill="FFFFFF"/>
          <w:lang w:val="en-GB"/>
          <w14:ligatures w14:val="none"/>
        </w:rPr>
        <w:t>, </w:t>
      </w:r>
      <w:r w:rsidRPr="00222705">
        <w:rPr>
          <w:rFonts w:ascii="Arial" w:eastAsia="Times New Roman" w:hAnsi="Arial" w:cs="Arial"/>
          <w:kern w:val="0"/>
          <w:lang w:val="en-GB"/>
          <w14:ligatures w14:val="none"/>
        </w:rPr>
        <w:t>153</w:t>
      </w:r>
      <w:r w:rsidRPr="00222705">
        <w:rPr>
          <w:rFonts w:ascii="Arial" w:eastAsia="Times New Roman" w:hAnsi="Arial" w:cs="Arial"/>
          <w:kern w:val="0"/>
          <w:shd w:val="clear" w:color="auto" w:fill="FFFFFF"/>
          <w:lang w:val="en-GB"/>
          <w14:ligatures w14:val="none"/>
        </w:rPr>
        <w:t>(11), pp.736-750</w:t>
      </w:r>
      <w:r w:rsidRPr="00222705">
        <w:rPr>
          <w:rFonts w:ascii="Arial" w:eastAsia="Times New Roman" w:hAnsi="Arial" w:cs="Arial"/>
          <w:kern w:val="0"/>
          <w14:ligatures w14:val="none"/>
        </w:rPr>
        <w:t> </w:t>
      </w:r>
    </w:p>
    <w:p w14:paraId="3A1BB299" w14:textId="77777777" w:rsidR="008D6288" w:rsidRPr="00222705" w:rsidRDefault="008D6288" w:rsidP="00EF007D">
      <w:pPr>
        <w:rPr>
          <w:rFonts w:ascii="Arial" w:eastAsia="Times New Roman" w:hAnsi="Arial" w:cs="Arial"/>
          <w:kern w:val="0"/>
          <w14:ligatures w14:val="none"/>
        </w:rPr>
      </w:pPr>
    </w:p>
    <w:p w14:paraId="4090699A" w14:textId="77777777" w:rsidR="008F4D29" w:rsidRPr="00222705" w:rsidRDefault="008F4D29" w:rsidP="00EF007D">
      <w:pPr>
        <w:rPr>
          <w:rFonts w:ascii="Arial" w:eastAsia="Aptos" w:hAnsi="Arial" w:cs="Arial"/>
          <w:lang w:val="en-GB"/>
        </w:rPr>
      </w:pPr>
      <w:r w:rsidRPr="00222705">
        <w:rPr>
          <w:rFonts w:ascii="Arial" w:eastAsia="Aptos" w:hAnsi="Arial" w:cs="Arial"/>
          <w:lang w:val="en-GB"/>
        </w:rPr>
        <w:t xml:space="preserve">Ling, C., Cook, M.D., Grimm, H., </w:t>
      </w:r>
      <w:proofErr w:type="spellStart"/>
      <w:r w:rsidRPr="00222705">
        <w:rPr>
          <w:rFonts w:ascii="Arial" w:eastAsia="Aptos" w:hAnsi="Arial" w:cs="Arial"/>
          <w:lang w:val="en-GB"/>
        </w:rPr>
        <w:t>Aldokhayyil</w:t>
      </w:r>
      <w:proofErr w:type="spellEnd"/>
      <w:r w:rsidRPr="00222705">
        <w:rPr>
          <w:rFonts w:ascii="Arial" w:eastAsia="Aptos" w:hAnsi="Arial" w:cs="Arial"/>
          <w:lang w:val="en-GB"/>
        </w:rPr>
        <w:t>, M., Gomez, D. and Brown, M., 2021. The effect of race and shear stress on CRP</w:t>
      </w:r>
      <w:r w:rsidRPr="00222705">
        <w:rPr>
          <w:rFonts w:ascii="Cambria Math" w:eastAsia="Aptos" w:hAnsi="Cambria Math" w:cs="Cambria Math"/>
          <w:lang w:val="en-GB"/>
        </w:rPr>
        <w:t>‐</w:t>
      </w:r>
      <w:r w:rsidRPr="00222705">
        <w:rPr>
          <w:rFonts w:ascii="Arial" w:eastAsia="Aptos" w:hAnsi="Arial" w:cs="Arial"/>
          <w:lang w:val="en-GB"/>
        </w:rPr>
        <w:t>induced responses in endothelial cells. Mediators of Inflammation, 2021(1), p.6687250.</w:t>
      </w:r>
    </w:p>
    <w:p w14:paraId="7F300F42" w14:textId="77777777" w:rsidR="008F4D29" w:rsidRPr="00222705" w:rsidRDefault="008F4D29" w:rsidP="00EF007D">
      <w:pPr>
        <w:rPr>
          <w:rFonts w:ascii="Arial" w:hAnsi="Arial" w:cs="Arial"/>
        </w:rPr>
      </w:pPr>
      <w:r w:rsidRPr="00222705">
        <w:rPr>
          <w:rFonts w:ascii="Arial" w:hAnsi="Arial" w:cs="Arial"/>
        </w:rPr>
        <w:t xml:space="preserve">Lipscomb, T., VAN DER WEYDEN, M.S., </w:t>
      </w:r>
      <w:proofErr w:type="spellStart"/>
      <w:r w:rsidRPr="00222705">
        <w:rPr>
          <w:rFonts w:ascii="Arial" w:hAnsi="Arial" w:cs="Arial"/>
        </w:rPr>
        <w:t>Boolani</w:t>
      </w:r>
      <w:proofErr w:type="spellEnd"/>
      <w:r w:rsidRPr="00222705">
        <w:rPr>
          <w:rFonts w:ascii="Arial" w:hAnsi="Arial" w:cs="Arial"/>
        </w:rPr>
        <w:t>, A., St Andrews, B. and Martin, J., 2024. Agreement of air bike and treadmill protocols to assess maximal oxygen uptake: an exploratory study. International Journal of Exercise Science, 17(4), p.633.</w:t>
      </w:r>
    </w:p>
    <w:p w14:paraId="23E96F46" w14:textId="77777777" w:rsidR="008D6288" w:rsidRPr="00222705" w:rsidRDefault="008D6288" w:rsidP="00EF007D">
      <w:pPr>
        <w:rPr>
          <w:rFonts w:ascii="Arial" w:hAnsi="Arial" w:cs="Arial"/>
        </w:rPr>
      </w:pPr>
    </w:p>
    <w:p w14:paraId="71C660C4" w14:textId="77777777" w:rsidR="008F4D29" w:rsidRPr="00222705" w:rsidRDefault="008F4D29" w:rsidP="00EF007D">
      <w:pPr>
        <w:rPr>
          <w:rFonts w:ascii="Arial" w:eastAsia="Times New Roman" w:hAnsi="Arial" w:cs="Arial"/>
          <w:shd w:val="clear" w:color="auto" w:fill="FFFFFF"/>
          <w:lang w:val="en-GB" w:eastAsia="en-GB"/>
        </w:rPr>
      </w:pPr>
      <w:r w:rsidRPr="00222705">
        <w:rPr>
          <w:rFonts w:ascii="Arial" w:eastAsia="Times New Roman" w:hAnsi="Arial" w:cs="Arial"/>
          <w:shd w:val="clear" w:color="auto" w:fill="FFFFFF"/>
          <w:lang w:val="en-GB" w:eastAsia="en-GB"/>
        </w:rPr>
        <w:t>Liu, Y. and Tanaka, H., 2002. Overtime work, insufficient sleep, and risk of non-fatal acute myocardial infarction in Japanese men. </w:t>
      </w:r>
      <w:r w:rsidRPr="00222705">
        <w:rPr>
          <w:rFonts w:ascii="Arial" w:eastAsia="Times New Roman" w:hAnsi="Arial" w:cs="Arial"/>
          <w:lang w:val="en-GB" w:eastAsia="en-GB"/>
        </w:rPr>
        <w:t>Occupational and Environmental Medicine</w:t>
      </w:r>
      <w:r w:rsidRPr="00222705">
        <w:rPr>
          <w:rFonts w:ascii="Arial" w:eastAsia="Times New Roman" w:hAnsi="Arial" w:cs="Arial"/>
          <w:shd w:val="clear" w:color="auto" w:fill="FFFFFF"/>
          <w:lang w:val="en-GB" w:eastAsia="en-GB"/>
        </w:rPr>
        <w:t>, </w:t>
      </w:r>
      <w:r w:rsidRPr="00222705">
        <w:rPr>
          <w:rFonts w:ascii="Arial" w:eastAsia="Times New Roman" w:hAnsi="Arial" w:cs="Arial"/>
          <w:lang w:val="en-GB" w:eastAsia="en-GB"/>
        </w:rPr>
        <w:t>59</w:t>
      </w:r>
      <w:r w:rsidRPr="00222705">
        <w:rPr>
          <w:rFonts w:ascii="Arial" w:eastAsia="Times New Roman" w:hAnsi="Arial" w:cs="Arial"/>
          <w:shd w:val="clear" w:color="auto" w:fill="FFFFFF"/>
          <w:lang w:val="en-GB" w:eastAsia="en-GB"/>
        </w:rPr>
        <w:t>(7), pp.447-451.</w:t>
      </w:r>
    </w:p>
    <w:p w14:paraId="4201FE65" w14:textId="77777777" w:rsidR="008D6288" w:rsidRPr="00222705" w:rsidRDefault="008D6288" w:rsidP="00EF007D">
      <w:pPr>
        <w:rPr>
          <w:rFonts w:ascii="Arial" w:eastAsia="Times New Roman" w:hAnsi="Arial" w:cs="Arial"/>
          <w:shd w:val="clear" w:color="auto" w:fill="FFFFFF"/>
          <w:lang w:val="en-GB" w:eastAsia="en-GB"/>
        </w:rPr>
      </w:pPr>
    </w:p>
    <w:p w14:paraId="627B40E7" w14:textId="77777777" w:rsidR="008F4D29" w:rsidRPr="00222705" w:rsidRDefault="008F4D29" w:rsidP="00EF007D">
      <w:pPr>
        <w:rPr>
          <w:rFonts w:ascii="Arial" w:hAnsi="Arial" w:cs="Arial"/>
        </w:rPr>
      </w:pPr>
      <w:r w:rsidRPr="00222705">
        <w:rPr>
          <w:rFonts w:ascii="Arial" w:hAnsi="Arial" w:cs="Arial"/>
        </w:rPr>
        <w:t xml:space="preserve">Louhevaara, V., </w:t>
      </w:r>
      <w:proofErr w:type="spellStart"/>
      <w:r w:rsidRPr="00222705">
        <w:rPr>
          <w:rFonts w:ascii="Arial" w:hAnsi="Arial" w:cs="Arial"/>
        </w:rPr>
        <w:t>Ilmarinen</w:t>
      </w:r>
      <w:proofErr w:type="spellEnd"/>
      <w:r w:rsidRPr="00222705">
        <w:rPr>
          <w:rFonts w:ascii="Arial" w:hAnsi="Arial" w:cs="Arial"/>
        </w:rPr>
        <w:t xml:space="preserve">, R., </w:t>
      </w:r>
      <w:proofErr w:type="spellStart"/>
      <w:r w:rsidRPr="00222705">
        <w:rPr>
          <w:rFonts w:ascii="Arial" w:hAnsi="Arial" w:cs="Arial"/>
        </w:rPr>
        <w:t>Griefahn</w:t>
      </w:r>
      <w:proofErr w:type="spellEnd"/>
      <w:r w:rsidRPr="00222705">
        <w:rPr>
          <w:rFonts w:ascii="Arial" w:hAnsi="Arial" w:cs="Arial"/>
        </w:rPr>
        <w:t xml:space="preserve">, B., </w:t>
      </w:r>
      <w:proofErr w:type="spellStart"/>
      <w:r w:rsidRPr="00222705">
        <w:rPr>
          <w:rFonts w:ascii="Arial" w:hAnsi="Arial" w:cs="Arial"/>
        </w:rPr>
        <w:t>Künemund</w:t>
      </w:r>
      <w:proofErr w:type="spellEnd"/>
      <w:r w:rsidRPr="00222705">
        <w:rPr>
          <w:rFonts w:ascii="Arial" w:hAnsi="Arial" w:cs="Arial"/>
        </w:rPr>
        <w:t xml:space="preserve">, C. and </w:t>
      </w:r>
      <w:proofErr w:type="spellStart"/>
      <w:r w:rsidRPr="00222705">
        <w:rPr>
          <w:rFonts w:ascii="Arial" w:hAnsi="Arial" w:cs="Arial"/>
        </w:rPr>
        <w:t>Mäkinen</w:t>
      </w:r>
      <w:proofErr w:type="spellEnd"/>
      <w:r w:rsidRPr="00222705">
        <w:rPr>
          <w:rFonts w:ascii="Arial" w:hAnsi="Arial" w:cs="Arial"/>
        </w:rPr>
        <w:t>, H., 1995. Maximal physical work performance with European standard based fire-protective clothing system and equipment in relation to individual characteristics. European journal of applied physiology and occupational physiology, 71(2), pp.223-229.</w:t>
      </w:r>
    </w:p>
    <w:p w14:paraId="6B9BD820" w14:textId="77777777" w:rsidR="008D6288" w:rsidRPr="00222705" w:rsidRDefault="008D6288" w:rsidP="00EF007D">
      <w:pPr>
        <w:rPr>
          <w:rFonts w:ascii="Arial" w:hAnsi="Arial" w:cs="Arial"/>
        </w:rPr>
      </w:pPr>
    </w:p>
    <w:p w14:paraId="2D75C7F1" w14:textId="77777777" w:rsidR="008F4D29" w:rsidRPr="00222705" w:rsidRDefault="008F4D29" w:rsidP="00EF007D">
      <w:pPr>
        <w:rPr>
          <w:rFonts w:ascii="Arial" w:eastAsia="Aptos" w:hAnsi="Arial" w:cs="Arial"/>
        </w:rPr>
      </w:pPr>
      <w:r w:rsidRPr="00222705">
        <w:rPr>
          <w:rFonts w:ascii="Arial" w:eastAsia="Aptos" w:hAnsi="Arial" w:cs="Arial"/>
        </w:rPr>
        <w:t xml:space="preserve">Louhevaara, V., </w:t>
      </w:r>
      <w:proofErr w:type="spellStart"/>
      <w:r w:rsidRPr="00222705">
        <w:rPr>
          <w:rFonts w:ascii="Arial" w:eastAsia="Aptos" w:hAnsi="Arial" w:cs="Arial"/>
        </w:rPr>
        <w:t>Tuomi</w:t>
      </w:r>
      <w:proofErr w:type="spellEnd"/>
      <w:r w:rsidRPr="00222705">
        <w:rPr>
          <w:rFonts w:ascii="Arial" w:eastAsia="Aptos" w:hAnsi="Arial" w:cs="Arial"/>
        </w:rPr>
        <w:t xml:space="preserve">, T., </w:t>
      </w:r>
      <w:proofErr w:type="spellStart"/>
      <w:r w:rsidRPr="00222705">
        <w:rPr>
          <w:rFonts w:ascii="Arial" w:eastAsia="Aptos" w:hAnsi="Arial" w:cs="Arial"/>
        </w:rPr>
        <w:t>Korhonen</w:t>
      </w:r>
      <w:proofErr w:type="spellEnd"/>
      <w:r w:rsidRPr="00222705">
        <w:rPr>
          <w:rFonts w:ascii="Arial" w:eastAsia="Aptos" w:hAnsi="Arial" w:cs="Arial"/>
        </w:rPr>
        <w:t xml:space="preserve">, O. and </w:t>
      </w:r>
      <w:proofErr w:type="spellStart"/>
      <w:r w:rsidRPr="00222705">
        <w:rPr>
          <w:rFonts w:ascii="Arial" w:eastAsia="Aptos" w:hAnsi="Arial" w:cs="Arial"/>
        </w:rPr>
        <w:t>Jaakkola</w:t>
      </w:r>
      <w:proofErr w:type="spellEnd"/>
      <w:r w:rsidRPr="00222705">
        <w:rPr>
          <w:rFonts w:ascii="Arial" w:eastAsia="Aptos" w:hAnsi="Arial" w:cs="Arial"/>
        </w:rPr>
        <w:t>, J., 1984. Cardiorespiratory effects of respiratory protective devices during exercise in well-trained men. European journal of applied physiology and occupational physiology, 52(3), pp.340-345;</w:t>
      </w:r>
    </w:p>
    <w:p w14:paraId="4638892E" w14:textId="77777777" w:rsidR="008D6288" w:rsidRPr="00222705" w:rsidRDefault="008D6288" w:rsidP="00EF007D">
      <w:pPr>
        <w:rPr>
          <w:rFonts w:ascii="Arial" w:eastAsia="Aptos" w:hAnsi="Arial" w:cs="Arial"/>
        </w:rPr>
      </w:pPr>
    </w:p>
    <w:p w14:paraId="1A844337" w14:textId="77777777" w:rsidR="008F4D29" w:rsidRPr="00222705" w:rsidRDefault="008F4D29" w:rsidP="00EF007D">
      <w:pPr>
        <w:rPr>
          <w:rFonts w:ascii="Arial" w:hAnsi="Arial" w:cs="Arial"/>
        </w:rPr>
      </w:pPr>
      <w:r w:rsidRPr="00222705">
        <w:rPr>
          <w:rFonts w:ascii="Arial" w:hAnsi="Arial" w:cs="Arial"/>
        </w:rPr>
        <w:t xml:space="preserve">Luke, A., Maki, K.C., </w:t>
      </w:r>
      <w:proofErr w:type="spellStart"/>
      <w:r w:rsidRPr="00222705">
        <w:rPr>
          <w:rFonts w:ascii="Arial" w:hAnsi="Arial" w:cs="Arial"/>
        </w:rPr>
        <w:t>Barkey</w:t>
      </w:r>
      <w:proofErr w:type="spellEnd"/>
      <w:r w:rsidRPr="00222705">
        <w:rPr>
          <w:rFonts w:ascii="Arial" w:hAnsi="Arial" w:cs="Arial"/>
        </w:rPr>
        <w:t>, N.A.N.E.T.T.E., Cooper, R. and McGEE, D.A.N.I.E.L., 1997. Simultaneous monitoring of heart rate and motion to assess energy expenditure. Medicine and science in sports and exercise, 29(1), pp.144-148.</w:t>
      </w:r>
    </w:p>
    <w:p w14:paraId="75B72DA4" w14:textId="77777777" w:rsidR="008D6288" w:rsidRPr="00222705" w:rsidRDefault="008D6288" w:rsidP="00EF007D">
      <w:pPr>
        <w:rPr>
          <w:rFonts w:ascii="Arial" w:hAnsi="Arial" w:cs="Arial"/>
        </w:rPr>
      </w:pPr>
    </w:p>
    <w:p w14:paraId="5F136693" w14:textId="77777777" w:rsidR="008F4D29" w:rsidRPr="00222705" w:rsidRDefault="008F4D29" w:rsidP="00EF007D">
      <w:pPr>
        <w:rPr>
          <w:rFonts w:ascii="Arial" w:hAnsi="Arial" w:cs="Arial"/>
        </w:rPr>
      </w:pPr>
      <w:r w:rsidRPr="00222705">
        <w:rPr>
          <w:rFonts w:ascii="Arial" w:hAnsi="Arial" w:cs="Arial"/>
        </w:rPr>
        <w:lastRenderedPageBreak/>
        <w:t>Lye, J.C.T. and Lee, J.K.W., 2025. Nutrition for Tactical Athletes: Insights, Applications and Research Gaps. Sports Medicine, pp.1-20.</w:t>
      </w:r>
    </w:p>
    <w:p w14:paraId="4846F667" w14:textId="77777777" w:rsidR="008D6288" w:rsidRPr="00222705" w:rsidRDefault="008D6288" w:rsidP="00EF007D">
      <w:pPr>
        <w:rPr>
          <w:rFonts w:ascii="Arial" w:hAnsi="Arial" w:cs="Arial"/>
        </w:rPr>
      </w:pPr>
    </w:p>
    <w:p w14:paraId="06530E31"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Lyudinina, A.Y., </w:t>
      </w:r>
      <w:proofErr w:type="spellStart"/>
      <w:r w:rsidRPr="00222705">
        <w:rPr>
          <w:rFonts w:ascii="Arial" w:eastAsia="Times New Roman" w:hAnsi="Arial" w:cs="Arial"/>
          <w:kern w:val="0"/>
          <w14:ligatures w14:val="none"/>
        </w:rPr>
        <w:t>Parshukova</w:t>
      </w:r>
      <w:proofErr w:type="spellEnd"/>
      <w:r w:rsidRPr="00222705">
        <w:rPr>
          <w:rFonts w:ascii="Arial" w:eastAsia="Times New Roman" w:hAnsi="Arial" w:cs="Arial"/>
          <w:kern w:val="0"/>
          <w14:ligatures w14:val="none"/>
        </w:rPr>
        <w:t xml:space="preserve">, O.I. and </w:t>
      </w:r>
      <w:proofErr w:type="spellStart"/>
      <w:r w:rsidRPr="00222705">
        <w:rPr>
          <w:rFonts w:ascii="Arial" w:eastAsia="Times New Roman" w:hAnsi="Arial" w:cs="Arial"/>
          <w:kern w:val="0"/>
          <w14:ligatures w14:val="none"/>
        </w:rPr>
        <w:t>Bojko</w:t>
      </w:r>
      <w:proofErr w:type="spellEnd"/>
      <w:r w:rsidRPr="00222705">
        <w:rPr>
          <w:rFonts w:ascii="Arial" w:eastAsia="Times New Roman" w:hAnsi="Arial" w:cs="Arial"/>
          <w:kern w:val="0"/>
          <w14:ligatures w14:val="none"/>
        </w:rPr>
        <w:t>, E.R., 2024. n-3 Polyunsaturated fatty acids are associated with stable nitric oxide metabolites in highly trained athletes. Cells, 13(13), p.1110. </w:t>
      </w:r>
    </w:p>
    <w:p w14:paraId="46FBF2F3" w14:textId="77777777" w:rsidR="008D5DFB" w:rsidRPr="00222705" w:rsidRDefault="008D5DFB" w:rsidP="00EF007D">
      <w:pPr>
        <w:rPr>
          <w:rFonts w:ascii="Arial" w:eastAsia="Times New Roman" w:hAnsi="Arial" w:cs="Arial"/>
          <w:kern w:val="0"/>
          <w14:ligatures w14:val="none"/>
        </w:rPr>
      </w:pPr>
    </w:p>
    <w:p w14:paraId="53D348CC" w14:textId="77777777" w:rsidR="008D6288"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 xml:space="preserve">Macartney, M.J., </w:t>
      </w:r>
      <w:proofErr w:type="spellStart"/>
      <w:r w:rsidRPr="00222705">
        <w:rPr>
          <w:rFonts w:ascii="Arial" w:eastAsia="Times New Roman" w:hAnsi="Arial" w:cs="Arial"/>
          <w:kern w:val="0"/>
          <w14:ligatures w14:val="none"/>
        </w:rPr>
        <w:t>Ghodsian</w:t>
      </w:r>
      <w:proofErr w:type="spellEnd"/>
      <w:r w:rsidRPr="00222705">
        <w:rPr>
          <w:rFonts w:ascii="Arial" w:eastAsia="Times New Roman" w:hAnsi="Arial" w:cs="Arial"/>
          <w:kern w:val="0"/>
          <w14:ligatures w14:val="none"/>
        </w:rPr>
        <w:t xml:space="preserve">, M.M., Noel-Gough, B., McLennan, P.L. and Peoples, G.E., 2022. </w:t>
      </w:r>
      <w:proofErr w:type="spellStart"/>
      <w:r w:rsidRPr="00222705">
        <w:rPr>
          <w:rFonts w:ascii="Arial" w:eastAsia="Times New Roman" w:hAnsi="Arial" w:cs="Arial"/>
          <w:kern w:val="0"/>
          <w14:ligatures w14:val="none"/>
        </w:rPr>
        <w:t>DHA-richfish</w:t>
      </w:r>
      <w:proofErr w:type="spellEnd"/>
      <w:r w:rsidRPr="00222705">
        <w:rPr>
          <w:rFonts w:ascii="Arial" w:eastAsia="Times New Roman" w:hAnsi="Arial" w:cs="Arial"/>
          <w:kern w:val="0"/>
          <w14:ligatures w14:val="none"/>
        </w:rPr>
        <w:t> oil increases the omega-3 index in healthy adults and slows resting heart rate without altering cardiac autonomic reflex modulation. Journal of the American Nutrition Association, 41(7), pp.637-645. </w:t>
      </w:r>
    </w:p>
    <w:p w14:paraId="246DFF66" w14:textId="6567A289"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br/>
        <w:t xml:space="preserve">Macartney, M.J., </w:t>
      </w:r>
      <w:proofErr w:type="spellStart"/>
      <w:r w:rsidRPr="00222705">
        <w:rPr>
          <w:rFonts w:ascii="Arial" w:eastAsia="Times New Roman" w:hAnsi="Arial" w:cs="Arial"/>
          <w:kern w:val="0"/>
          <w14:ligatures w14:val="none"/>
        </w:rPr>
        <w:t>Hingley</w:t>
      </w:r>
      <w:proofErr w:type="spellEnd"/>
      <w:r w:rsidRPr="00222705">
        <w:rPr>
          <w:rFonts w:ascii="Arial" w:eastAsia="Times New Roman" w:hAnsi="Arial" w:cs="Arial"/>
          <w:kern w:val="0"/>
          <w14:ligatures w14:val="none"/>
        </w:rPr>
        <w:t>, L., Brown, M.A., Peoples, G.E. and McLennan, P.L., 2014. Intrinsic heart rate recovery after dynamic exercise is improved with an increased omega-3 index in healthy males. BritishJournal of Nutrition, 112(12), pp.1984-1992. </w:t>
      </w:r>
    </w:p>
    <w:p w14:paraId="6F7D531D" w14:textId="77777777" w:rsidR="008D6288" w:rsidRPr="00222705" w:rsidRDefault="008D6288" w:rsidP="00EF007D">
      <w:pPr>
        <w:rPr>
          <w:rFonts w:ascii="Arial" w:eastAsia="Times New Roman" w:hAnsi="Arial" w:cs="Arial"/>
          <w:kern w:val="0"/>
          <w14:ligatures w14:val="none"/>
        </w:rPr>
      </w:pPr>
    </w:p>
    <w:p w14:paraId="2AEBBB8E"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lang w:val="en-GB"/>
          <w14:ligatures w14:val="none"/>
        </w:rPr>
        <w:t xml:space="preserve">MacMahon, S., </w:t>
      </w:r>
      <w:proofErr w:type="spellStart"/>
      <w:r w:rsidRPr="00222705">
        <w:rPr>
          <w:rFonts w:ascii="Arial" w:eastAsia="Times New Roman" w:hAnsi="Arial" w:cs="Arial"/>
          <w:kern w:val="0"/>
          <w:lang w:val="en-GB"/>
          <w14:ligatures w14:val="none"/>
        </w:rPr>
        <w:t>Peto</w:t>
      </w:r>
      <w:proofErr w:type="spellEnd"/>
      <w:r w:rsidRPr="00222705">
        <w:rPr>
          <w:rFonts w:ascii="Arial" w:eastAsia="Times New Roman" w:hAnsi="Arial" w:cs="Arial"/>
          <w:kern w:val="0"/>
          <w:lang w:val="en-GB"/>
          <w14:ligatures w14:val="none"/>
        </w:rPr>
        <w:t>, R., Collins, R., Godwin, J., Cutler, J., </w:t>
      </w:r>
      <w:proofErr w:type="spellStart"/>
      <w:r w:rsidRPr="00222705">
        <w:rPr>
          <w:rFonts w:ascii="Arial" w:eastAsia="Times New Roman" w:hAnsi="Arial" w:cs="Arial"/>
          <w:kern w:val="0"/>
          <w:lang w:val="en-GB"/>
          <w14:ligatures w14:val="none"/>
        </w:rPr>
        <w:t>Sorlie</w:t>
      </w:r>
      <w:proofErr w:type="spellEnd"/>
      <w:r w:rsidRPr="00222705">
        <w:rPr>
          <w:rFonts w:ascii="Arial" w:eastAsia="Times New Roman" w:hAnsi="Arial" w:cs="Arial"/>
          <w:kern w:val="0"/>
          <w:lang w:val="en-GB"/>
          <w14:ligatures w14:val="none"/>
        </w:rPr>
        <w:t>, P., Abbott, R., </w:t>
      </w:r>
      <w:proofErr w:type="spellStart"/>
      <w:r w:rsidRPr="00222705">
        <w:rPr>
          <w:rFonts w:ascii="Arial" w:eastAsia="Times New Roman" w:hAnsi="Arial" w:cs="Arial"/>
          <w:kern w:val="0"/>
          <w:lang w:val="en-GB"/>
          <w14:ligatures w14:val="none"/>
        </w:rPr>
        <w:t>Neaton</w:t>
      </w:r>
      <w:proofErr w:type="spellEnd"/>
      <w:r w:rsidRPr="00222705">
        <w:rPr>
          <w:rFonts w:ascii="Arial" w:eastAsia="Times New Roman" w:hAnsi="Arial" w:cs="Arial"/>
          <w:kern w:val="0"/>
          <w:lang w:val="en-GB"/>
          <w14:ligatures w14:val="none"/>
        </w:rPr>
        <w:t>, J., Dyer, A. and </w:t>
      </w:r>
      <w:proofErr w:type="spellStart"/>
      <w:r w:rsidRPr="00222705">
        <w:rPr>
          <w:rFonts w:ascii="Arial" w:eastAsia="Times New Roman" w:hAnsi="Arial" w:cs="Arial"/>
          <w:kern w:val="0"/>
          <w:lang w:val="en-GB"/>
          <w14:ligatures w14:val="none"/>
        </w:rPr>
        <w:t>Stamler</w:t>
      </w:r>
      <w:proofErr w:type="spellEnd"/>
      <w:r w:rsidRPr="00222705">
        <w:rPr>
          <w:rFonts w:ascii="Arial" w:eastAsia="Times New Roman" w:hAnsi="Arial" w:cs="Arial"/>
          <w:kern w:val="0"/>
          <w:lang w:val="en-GB"/>
          <w14:ligatures w14:val="none"/>
        </w:rPr>
        <w:t>, J., 1990. Blood pressure, stroke, and coronary heart disease: part 1, prolonged differences in blood pressure: prospective observational studies corrected for the regression </w:t>
      </w:r>
      <w:proofErr w:type="spellStart"/>
      <w:r w:rsidRPr="00222705">
        <w:rPr>
          <w:rFonts w:ascii="Arial" w:eastAsia="Times New Roman" w:hAnsi="Arial" w:cs="Arial"/>
          <w:kern w:val="0"/>
          <w:lang w:val="en-GB"/>
          <w14:ligatures w14:val="none"/>
        </w:rPr>
        <w:t>dilutionbias</w:t>
      </w:r>
      <w:proofErr w:type="spellEnd"/>
      <w:r w:rsidRPr="00222705">
        <w:rPr>
          <w:rFonts w:ascii="Arial" w:eastAsia="Times New Roman" w:hAnsi="Arial" w:cs="Arial"/>
          <w:kern w:val="0"/>
          <w:lang w:val="en-GB"/>
          <w14:ligatures w14:val="none"/>
        </w:rPr>
        <w:t>. The Lancet, 335(8692), pp.765-774.</w:t>
      </w:r>
      <w:r w:rsidRPr="00222705">
        <w:rPr>
          <w:rFonts w:ascii="Arial" w:eastAsia="Times New Roman" w:hAnsi="Arial" w:cs="Arial"/>
          <w:kern w:val="0"/>
          <w14:ligatures w14:val="none"/>
        </w:rPr>
        <w:t> </w:t>
      </w:r>
    </w:p>
    <w:p w14:paraId="7CDAADF1" w14:textId="77777777" w:rsidR="008D6288" w:rsidRPr="00222705" w:rsidRDefault="008D6288" w:rsidP="00EF007D">
      <w:pPr>
        <w:rPr>
          <w:rFonts w:ascii="Arial" w:eastAsia="Times New Roman" w:hAnsi="Arial" w:cs="Arial"/>
          <w:kern w:val="0"/>
          <w14:ligatures w14:val="none"/>
        </w:rPr>
      </w:pPr>
    </w:p>
    <w:p w14:paraId="308705B6" w14:textId="77777777" w:rsidR="008F4D29" w:rsidRPr="00222705" w:rsidRDefault="008F4D29" w:rsidP="00EF007D">
      <w:pPr>
        <w:rPr>
          <w:rFonts w:ascii="Arial" w:hAnsi="Arial" w:cs="Arial"/>
        </w:rPr>
      </w:pPr>
      <w:r w:rsidRPr="00222705">
        <w:rPr>
          <w:rFonts w:ascii="Arial" w:hAnsi="Arial" w:cs="Arial"/>
        </w:rPr>
        <w:t xml:space="preserve">MacNeal, J.J., Cone, D.C. and </w:t>
      </w:r>
      <w:proofErr w:type="spellStart"/>
      <w:r w:rsidRPr="00222705">
        <w:rPr>
          <w:rFonts w:ascii="Arial" w:hAnsi="Arial" w:cs="Arial"/>
        </w:rPr>
        <w:t>Wistrom</w:t>
      </w:r>
      <w:proofErr w:type="spellEnd"/>
      <w:r w:rsidRPr="00222705">
        <w:rPr>
          <w:rFonts w:ascii="Arial" w:hAnsi="Arial" w:cs="Arial"/>
        </w:rPr>
        <w:t>, C.L., 2016. Effect of station-specific alerting and ramp-up tones on firefighters' alarm time heart rates. Journal of occupational and environmental hygiene, 13(11), pp.866-870. </w:t>
      </w:r>
    </w:p>
    <w:p w14:paraId="53C56FC2" w14:textId="77777777" w:rsidR="008D6288" w:rsidRPr="00222705" w:rsidRDefault="008D6288" w:rsidP="00EF007D">
      <w:pPr>
        <w:rPr>
          <w:rFonts w:ascii="Arial" w:hAnsi="Arial" w:cs="Arial"/>
        </w:rPr>
      </w:pPr>
    </w:p>
    <w:p w14:paraId="46F2E9C3" w14:textId="77777777" w:rsidR="008F4D29" w:rsidRPr="00222705" w:rsidRDefault="008F4D29" w:rsidP="00EF007D">
      <w:pPr>
        <w:rPr>
          <w:rFonts w:ascii="Arial" w:hAnsi="Arial" w:cs="Arial"/>
        </w:rPr>
      </w:pPr>
      <w:bookmarkStart w:id="80" w:name="OLE_LINK15"/>
      <w:r w:rsidRPr="00222705">
        <w:rPr>
          <w:rFonts w:ascii="Arial" w:hAnsi="Arial" w:cs="Arial"/>
        </w:rPr>
        <w:t xml:space="preserve">Main, L.C., Wolkow, A.P., Tait, J.L., Della </w:t>
      </w:r>
      <w:proofErr w:type="spellStart"/>
      <w:r w:rsidRPr="00222705">
        <w:rPr>
          <w:rFonts w:ascii="Arial" w:hAnsi="Arial" w:cs="Arial"/>
        </w:rPr>
        <w:t>Gatta</w:t>
      </w:r>
      <w:proofErr w:type="spellEnd"/>
      <w:r w:rsidRPr="00222705">
        <w:rPr>
          <w:rFonts w:ascii="Arial" w:hAnsi="Arial" w:cs="Arial"/>
        </w:rPr>
        <w:t xml:space="preserve">, P., Raines, J., Snow, R. and </w:t>
      </w:r>
      <w:proofErr w:type="spellStart"/>
      <w:r w:rsidRPr="00222705">
        <w:rPr>
          <w:rFonts w:ascii="Arial" w:hAnsi="Arial" w:cs="Arial"/>
        </w:rPr>
        <w:t>Aisbett</w:t>
      </w:r>
      <w:proofErr w:type="spellEnd"/>
      <w:r w:rsidRPr="00222705">
        <w:rPr>
          <w:rFonts w:ascii="Arial" w:hAnsi="Arial" w:cs="Arial"/>
        </w:rPr>
        <w:t>, B., 2020. Firefighter's acute inflammatory response to wildfire suppression. Journal of occupational and environmental medicine, 62(2), pp.145-148.</w:t>
      </w:r>
    </w:p>
    <w:p w14:paraId="4556246A" w14:textId="77777777" w:rsidR="008D6288" w:rsidRPr="00222705" w:rsidRDefault="008D6288" w:rsidP="00EF007D">
      <w:pPr>
        <w:rPr>
          <w:rFonts w:ascii="Arial" w:hAnsi="Arial" w:cs="Arial"/>
        </w:rPr>
      </w:pPr>
    </w:p>
    <w:bookmarkEnd w:id="80"/>
    <w:p w14:paraId="1BDBE8BC" w14:textId="77777777" w:rsidR="008F4D29" w:rsidRPr="00222705" w:rsidRDefault="008F4D29" w:rsidP="00EF007D">
      <w:pPr>
        <w:rPr>
          <w:rFonts w:ascii="Arial" w:eastAsiaTheme="minorEastAsia" w:hAnsi="Arial" w:cs="Arial"/>
          <w:kern w:val="0"/>
          <w:lang w:val="en-GB" w:eastAsia="en-GB"/>
          <w14:ligatures w14:val="none"/>
        </w:rPr>
      </w:pPr>
      <w:r w:rsidRPr="00222705">
        <w:rPr>
          <w:rFonts w:ascii="Arial" w:eastAsiaTheme="minorEastAsia" w:hAnsi="Arial" w:cs="Arial"/>
          <w:kern w:val="0"/>
          <w:lang w:val="en-GB" w:eastAsia="en-GB"/>
          <w14:ligatures w14:val="none"/>
        </w:rPr>
        <w:t xml:space="preserve">Malek, M.H., Coburn, J.W. and </w:t>
      </w:r>
      <w:proofErr w:type="spellStart"/>
      <w:r w:rsidRPr="00222705">
        <w:rPr>
          <w:rFonts w:ascii="Arial" w:eastAsiaTheme="minorEastAsia" w:hAnsi="Arial" w:cs="Arial"/>
          <w:kern w:val="0"/>
          <w:lang w:val="en-GB" w:eastAsia="en-GB"/>
          <w14:ligatures w14:val="none"/>
        </w:rPr>
        <w:t>Marelich</w:t>
      </w:r>
      <w:proofErr w:type="spellEnd"/>
      <w:r w:rsidRPr="00222705">
        <w:rPr>
          <w:rFonts w:ascii="Arial" w:eastAsiaTheme="minorEastAsia" w:hAnsi="Arial" w:cs="Arial"/>
          <w:kern w:val="0"/>
          <w:lang w:val="en-GB" w:eastAsia="en-GB"/>
          <w14:ligatures w14:val="none"/>
        </w:rPr>
        <w:t xml:space="preserve">, W.D. (2018) Advanced Statistics for Kinesiology and Exercise Science: A Practical Guide to ANOVA and Regression Analyses. Abingdon: </w:t>
      </w:r>
      <w:proofErr w:type="spellStart"/>
      <w:r w:rsidRPr="00222705">
        <w:rPr>
          <w:rFonts w:ascii="Arial" w:eastAsiaTheme="minorEastAsia" w:hAnsi="Arial" w:cs="Arial"/>
          <w:kern w:val="0"/>
          <w:lang w:val="en-GB" w:eastAsia="en-GB"/>
          <w14:ligatures w14:val="none"/>
        </w:rPr>
        <w:t>Routledge</w:t>
      </w:r>
      <w:proofErr w:type="spellEnd"/>
      <w:r w:rsidRPr="00222705">
        <w:rPr>
          <w:rFonts w:ascii="Arial" w:eastAsiaTheme="minorEastAsia" w:hAnsi="Arial" w:cs="Arial"/>
          <w:kern w:val="0"/>
          <w:lang w:val="en-GB" w:eastAsia="en-GB"/>
          <w14:ligatures w14:val="none"/>
        </w:rPr>
        <w:t>.</w:t>
      </w:r>
    </w:p>
    <w:p w14:paraId="47F07FA0" w14:textId="77777777" w:rsidR="008D6288" w:rsidRPr="00222705" w:rsidRDefault="008D6288" w:rsidP="00EF007D">
      <w:pPr>
        <w:rPr>
          <w:rFonts w:ascii="Arial" w:eastAsiaTheme="minorEastAsia" w:hAnsi="Arial" w:cs="Arial"/>
          <w:kern w:val="0"/>
          <w:lang w:val="en-GB" w:eastAsia="en-GB"/>
          <w14:ligatures w14:val="none"/>
        </w:rPr>
      </w:pPr>
    </w:p>
    <w:p w14:paraId="5E7C44FE" w14:textId="77777777" w:rsidR="008F4D29" w:rsidRPr="00222705" w:rsidRDefault="008F4D29" w:rsidP="00EF007D">
      <w:pPr>
        <w:rPr>
          <w:rFonts w:ascii="Arial" w:eastAsia="Aptos" w:hAnsi="Arial" w:cs="Arial"/>
          <w:lang w:val="en-GB"/>
        </w:rPr>
      </w:pPr>
      <w:r w:rsidRPr="00222705">
        <w:rPr>
          <w:rFonts w:ascii="Arial" w:eastAsia="Aptos" w:hAnsi="Arial" w:cs="Arial"/>
          <w:lang w:val="en-GB"/>
        </w:rPr>
        <w:t xml:space="preserve">Manoogian, E.N., </w:t>
      </w:r>
      <w:proofErr w:type="spellStart"/>
      <w:r w:rsidRPr="00222705">
        <w:rPr>
          <w:rFonts w:ascii="Arial" w:eastAsia="Aptos" w:hAnsi="Arial" w:cs="Arial"/>
          <w:lang w:val="en-GB"/>
        </w:rPr>
        <w:t>Zadourian</w:t>
      </w:r>
      <w:proofErr w:type="spellEnd"/>
      <w:r w:rsidRPr="00222705">
        <w:rPr>
          <w:rFonts w:ascii="Arial" w:eastAsia="Aptos" w:hAnsi="Arial" w:cs="Arial"/>
          <w:lang w:val="en-GB"/>
        </w:rPr>
        <w:t xml:space="preserve">, A., Lo, H.C., Gutierrez, N.R., </w:t>
      </w:r>
      <w:proofErr w:type="spellStart"/>
      <w:r w:rsidRPr="00222705">
        <w:rPr>
          <w:rFonts w:ascii="Arial" w:eastAsia="Aptos" w:hAnsi="Arial" w:cs="Arial"/>
          <w:lang w:val="en-GB"/>
        </w:rPr>
        <w:t>Shoghi</w:t>
      </w:r>
      <w:proofErr w:type="spellEnd"/>
      <w:r w:rsidRPr="00222705">
        <w:rPr>
          <w:rFonts w:ascii="Arial" w:eastAsia="Aptos" w:hAnsi="Arial" w:cs="Arial"/>
          <w:lang w:val="en-GB"/>
        </w:rPr>
        <w:t xml:space="preserve">, A., </w:t>
      </w:r>
      <w:proofErr w:type="spellStart"/>
      <w:r w:rsidRPr="00222705">
        <w:rPr>
          <w:rFonts w:ascii="Arial" w:eastAsia="Aptos" w:hAnsi="Arial" w:cs="Arial"/>
          <w:lang w:val="en-GB"/>
        </w:rPr>
        <w:t>Rosander</w:t>
      </w:r>
      <w:proofErr w:type="spellEnd"/>
      <w:r w:rsidRPr="00222705">
        <w:rPr>
          <w:rFonts w:ascii="Arial" w:eastAsia="Aptos" w:hAnsi="Arial" w:cs="Arial"/>
          <w:lang w:val="en-GB"/>
        </w:rPr>
        <w:t xml:space="preserve">, A., </w:t>
      </w:r>
      <w:proofErr w:type="spellStart"/>
      <w:r w:rsidRPr="00222705">
        <w:rPr>
          <w:rFonts w:ascii="Arial" w:eastAsia="Aptos" w:hAnsi="Arial" w:cs="Arial"/>
          <w:lang w:val="en-GB"/>
        </w:rPr>
        <w:t>Pazargadi</w:t>
      </w:r>
      <w:proofErr w:type="spellEnd"/>
      <w:r w:rsidRPr="00222705">
        <w:rPr>
          <w:rFonts w:ascii="Arial" w:eastAsia="Aptos" w:hAnsi="Arial" w:cs="Arial"/>
          <w:lang w:val="en-GB"/>
        </w:rPr>
        <w:t xml:space="preserve">, A., </w:t>
      </w:r>
      <w:proofErr w:type="spellStart"/>
      <w:r w:rsidRPr="00222705">
        <w:rPr>
          <w:rFonts w:ascii="Arial" w:eastAsia="Aptos" w:hAnsi="Arial" w:cs="Arial"/>
          <w:lang w:val="en-GB"/>
        </w:rPr>
        <w:t>Ormiston</w:t>
      </w:r>
      <w:proofErr w:type="spellEnd"/>
      <w:r w:rsidRPr="00222705">
        <w:rPr>
          <w:rFonts w:ascii="Arial" w:eastAsia="Aptos" w:hAnsi="Arial" w:cs="Arial"/>
          <w:lang w:val="en-GB"/>
        </w:rPr>
        <w:t xml:space="preserve">, C.K., Wang, X., Sui, J. and </w:t>
      </w:r>
      <w:proofErr w:type="spellStart"/>
      <w:r w:rsidRPr="00222705">
        <w:rPr>
          <w:rFonts w:ascii="Arial" w:eastAsia="Aptos" w:hAnsi="Arial" w:cs="Arial"/>
          <w:lang w:val="en-GB"/>
        </w:rPr>
        <w:t>Hou</w:t>
      </w:r>
      <w:proofErr w:type="spellEnd"/>
      <w:r w:rsidRPr="00222705">
        <w:rPr>
          <w:rFonts w:ascii="Arial" w:eastAsia="Aptos" w:hAnsi="Arial" w:cs="Arial"/>
          <w:lang w:val="en-GB"/>
        </w:rPr>
        <w:t>, Z., 2022. Feasibility of time-restricted eating and impacts on cardiometabolic health in 24-h shift workers: The Healthy Heroes randomized control trial. Cell metabolism, 34(10), pp.1442-1456.</w:t>
      </w:r>
    </w:p>
    <w:p w14:paraId="30FFEC06" w14:textId="77777777" w:rsidR="008D6288" w:rsidRPr="00222705" w:rsidRDefault="008D6288" w:rsidP="00EF007D">
      <w:pPr>
        <w:rPr>
          <w:rFonts w:ascii="Arial" w:eastAsia="Aptos" w:hAnsi="Arial" w:cs="Arial"/>
        </w:rPr>
      </w:pPr>
    </w:p>
    <w:p w14:paraId="606FB62A"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Marcel-Millet, P., </w:t>
      </w:r>
      <w:proofErr w:type="spellStart"/>
      <w:r w:rsidRPr="00222705">
        <w:rPr>
          <w:rFonts w:ascii="Arial" w:eastAsia="Times New Roman" w:hAnsi="Arial" w:cs="Arial"/>
          <w:kern w:val="0"/>
          <w14:ligatures w14:val="none"/>
        </w:rPr>
        <w:t>Ravier</w:t>
      </w:r>
      <w:proofErr w:type="spellEnd"/>
      <w:r w:rsidRPr="00222705">
        <w:rPr>
          <w:rFonts w:ascii="Arial" w:eastAsia="Times New Roman" w:hAnsi="Arial" w:cs="Arial"/>
          <w:kern w:val="0"/>
          <w14:ligatures w14:val="none"/>
        </w:rPr>
        <w:t xml:space="preserve">, G., </w:t>
      </w:r>
      <w:proofErr w:type="spellStart"/>
      <w:r w:rsidRPr="00222705">
        <w:rPr>
          <w:rFonts w:ascii="Arial" w:eastAsia="Times New Roman" w:hAnsi="Arial" w:cs="Arial"/>
          <w:kern w:val="0"/>
          <w14:ligatures w14:val="none"/>
        </w:rPr>
        <w:t>Esco</w:t>
      </w:r>
      <w:proofErr w:type="spellEnd"/>
      <w:r w:rsidRPr="00222705">
        <w:rPr>
          <w:rFonts w:ascii="Arial" w:eastAsia="Times New Roman" w:hAnsi="Arial" w:cs="Arial"/>
          <w:kern w:val="0"/>
          <w14:ligatures w14:val="none"/>
        </w:rPr>
        <w:t>, M.R. and </w:t>
      </w:r>
      <w:proofErr w:type="spellStart"/>
      <w:r w:rsidRPr="00222705">
        <w:rPr>
          <w:rFonts w:ascii="Arial" w:eastAsia="Times New Roman" w:hAnsi="Arial" w:cs="Arial"/>
          <w:kern w:val="0"/>
          <w14:ligatures w14:val="none"/>
        </w:rPr>
        <w:t>Groslambert</w:t>
      </w:r>
      <w:proofErr w:type="spellEnd"/>
      <w:r w:rsidRPr="00222705">
        <w:rPr>
          <w:rFonts w:ascii="Arial" w:eastAsia="Times New Roman" w:hAnsi="Arial" w:cs="Arial"/>
          <w:kern w:val="0"/>
          <w14:ligatures w14:val="none"/>
        </w:rPr>
        <w:t>, A., 2022. Does firefighters’ physical fitness influence their cardiac parasympathetic reactivation? Analysis with post-exercise heart rate variability and ultra-short-term measures. International Journal of Occupational Safety and Ergonomics, 28(1), pp.153-161. </w:t>
      </w:r>
    </w:p>
    <w:p w14:paraId="744EC4CD" w14:textId="77777777" w:rsidR="008D6288" w:rsidRPr="00222705" w:rsidRDefault="008D6288" w:rsidP="00EF007D">
      <w:pPr>
        <w:rPr>
          <w:rFonts w:ascii="Arial" w:eastAsia="Times New Roman" w:hAnsi="Arial" w:cs="Arial"/>
          <w:kern w:val="0"/>
          <w14:ligatures w14:val="none"/>
        </w:rPr>
      </w:pPr>
    </w:p>
    <w:p w14:paraId="38AC46B2"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Marraccini, P., </w:t>
      </w:r>
      <w:proofErr w:type="spellStart"/>
      <w:r w:rsidRPr="00222705">
        <w:rPr>
          <w:rFonts w:ascii="Arial" w:eastAsia="Times New Roman" w:hAnsi="Arial" w:cs="Arial"/>
          <w:kern w:val="0"/>
          <w14:ligatures w14:val="none"/>
        </w:rPr>
        <w:t>Palombo</w:t>
      </w:r>
      <w:proofErr w:type="spellEnd"/>
      <w:r w:rsidRPr="00222705">
        <w:rPr>
          <w:rFonts w:ascii="Arial" w:eastAsia="Times New Roman" w:hAnsi="Arial" w:cs="Arial"/>
          <w:kern w:val="0"/>
          <w14:ligatures w14:val="none"/>
        </w:rPr>
        <w:t>, C., </w:t>
      </w:r>
      <w:proofErr w:type="spellStart"/>
      <w:r w:rsidRPr="00222705">
        <w:rPr>
          <w:rFonts w:ascii="Arial" w:eastAsia="Times New Roman" w:hAnsi="Arial" w:cs="Arial"/>
          <w:kern w:val="0"/>
          <w14:ligatures w14:val="none"/>
        </w:rPr>
        <w:t>Giaconi</w:t>
      </w:r>
      <w:proofErr w:type="spellEnd"/>
      <w:r w:rsidRPr="00222705">
        <w:rPr>
          <w:rFonts w:ascii="Arial" w:eastAsia="Times New Roman" w:hAnsi="Arial" w:cs="Arial"/>
          <w:kern w:val="0"/>
          <w14:ligatures w14:val="none"/>
        </w:rPr>
        <w:t>, S., </w:t>
      </w:r>
      <w:proofErr w:type="spellStart"/>
      <w:r w:rsidRPr="00222705">
        <w:rPr>
          <w:rFonts w:ascii="Arial" w:eastAsia="Times New Roman" w:hAnsi="Arial" w:cs="Arial"/>
          <w:kern w:val="0"/>
          <w14:ligatures w14:val="none"/>
        </w:rPr>
        <w:t>Michelassi</w:t>
      </w:r>
      <w:proofErr w:type="spellEnd"/>
      <w:r w:rsidRPr="00222705">
        <w:rPr>
          <w:rFonts w:ascii="Arial" w:eastAsia="Times New Roman" w:hAnsi="Arial" w:cs="Arial"/>
          <w:kern w:val="0"/>
          <w14:ligatures w14:val="none"/>
        </w:rPr>
        <w:t xml:space="preserve">, C., </w:t>
      </w:r>
      <w:proofErr w:type="spellStart"/>
      <w:r w:rsidRPr="00222705">
        <w:rPr>
          <w:rFonts w:ascii="Arial" w:eastAsia="Times New Roman" w:hAnsi="Arial" w:cs="Arial"/>
          <w:kern w:val="0"/>
          <w14:ligatures w14:val="none"/>
        </w:rPr>
        <w:t>Genovesi-Ebert</w:t>
      </w:r>
      <w:proofErr w:type="spellEnd"/>
      <w:r w:rsidRPr="00222705">
        <w:rPr>
          <w:rFonts w:ascii="Arial" w:eastAsia="Times New Roman" w:hAnsi="Arial" w:cs="Arial"/>
          <w:kern w:val="0"/>
          <w14:ligatures w14:val="none"/>
        </w:rPr>
        <w:t>, A., </w:t>
      </w:r>
      <w:proofErr w:type="spellStart"/>
      <w:r w:rsidRPr="00222705">
        <w:rPr>
          <w:rFonts w:ascii="Arial" w:eastAsia="Times New Roman" w:hAnsi="Arial" w:cs="Arial"/>
          <w:kern w:val="0"/>
          <w14:ligatures w14:val="none"/>
        </w:rPr>
        <w:t>Marabotti</w:t>
      </w:r>
      <w:proofErr w:type="spellEnd"/>
      <w:r w:rsidRPr="00222705">
        <w:rPr>
          <w:rFonts w:ascii="Arial" w:eastAsia="Times New Roman" w:hAnsi="Arial" w:cs="Arial"/>
          <w:kern w:val="0"/>
          <w14:ligatures w14:val="none"/>
        </w:rPr>
        <w:t>, C., </w:t>
      </w:r>
      <w:proofErr w:type="spellStart"/>
      <w:r w:rsidRPr="00222705">
        <w:rPr>
          <w:rFonts w:ascii="Arial" w:eastAsia="Times New Roman" w:hAnsi="Arial" w:cs="Arial"/>
          <w:kern w:val="0"/>
          <w14:ligatures w14:val="none"/>
        </w:rPr>
        <w:t>Fommei</w:t>
      </w:r>
      <w:proofErr w:type="spellEnd"/>
      <w:r w:rsidRPr="00222705">
        <w:rPr>
          <w:rFonts w:ascii="Arial" w:eastAsia="Times New Roman" w:hAnsi="Arial" w:cs="Arial"/>
          <w:kern w:val="0"/>
          <w14:ligatures w14:val="none"/>
        </w:rPr>
        <w:t xml:space="preserve">, E., </w:t>
      </w:r>
      <w:proofErr w:type="spellStart"/>
      <w:r w:rsidRPr="00222705">
        <w:rPr>
          <w:rFonts w:ascii="Arial" w:eastAsia="Times New Roman" w:hAnsi="Arial" w:cs="Arial"/>
          <w:kern w:val="0"/>
          <w14:ligatures w14:val="none"/>
        </w:rPr>
        <w:t>Ghione</w:t>
      </w:r>
      <w:proofErr w:type="spellEnd"/>
      <w:r w:rsidRPr="00222705">
        <w:rPr>
          <w:rFonts w:ascii="Arial" w:eastAsia="Times New Roman" w:hAnsi="Arial" w:cs="Arial"/>
          <w:kern w:val="0"/>
          <w14:ligatures w14:val="none"/>
        </w:rPr>
        <w:t>, S. and L’Abbate, A., 1989. Reduced cardiovascular efficiency and increased reactivity during exercise in borderline and established hypertension. American Journal of Hypertension, 2(12_Pt_1), pp.913-916. </w:t>
      </w:r>
    </w:p>
    <w:p w14:paraId="29D95222" w14:textId="77777777" w:rsidR="008D6288" w:rsidRPr="00222705" w:rsidRDefault="008D6288" w:rsidP="00EF007D">
      <w:pPr>
        <w:rPr>
          <w:rFonts w:ascii="Arial" w:eastAsia="Times New Roman" w:hAnsi="Arial" w:cs="Arial"/>
          <w:kern w:val="0"/>
          <w14:ligatures w14:val="none"/>
        </w:rPr>
      </w:pPr>
    </w:p>
    <w:p w14:paraId="4420E18C" w14:textId="77777777" w:rsidR="008F4D29" w:rsidRPr="00222705" w:rsidRDefault="008F4D29" w:rsidP="00EF007D">
      <w:pPr>
        <w:rPr>
          <w:rFonts w:ascii="Arial" w:hAnsi="Arial" w:cs="Arial"/>
        </w:rPr>
      </w:pPr>
      <w:r w:rsidRPr="00222705">
        <w:rPr>
          <w:rFonts w:ascii="Arial" w:hAnsi="Arial" w:cs="Arial"/>
          <w:shd w:val="clear" w:color="auto" w:fill="FFFFFF"/>
          <w:lang w:val="en-GB"/>
        </w:rPr>
        <w:t xml:space="preserve">Martin, J., </w:t>
      </w:r>
      <w:proofErr w:type="spellStart"/>
      <w:r w:rsidRPr="00222705">
        <w:rPr>
          <w:rFonts w:ascii="Arial" w:hAnsi="Arial" w:cs="Arial"/>
          <w:shd w:val="clear" w:color="auto" w:fill="FFFFFF"/>
          <w:lang w:val="en-GB"/>
        </w:rPr>
        <w:t>Toczko</w:t>
      </w:r>
      <w:proofErr w:type="spellEnd"/>
      <w:r w:rsidRPr="00222705">
        <w:rPr>
          <w:rFonts w:ascii="Arial" w:hAnsi="Arial" w:cs="Arial"/>
          <w:shd w:val="clear" w:color="auto" w:fill="FFFFFF"/>
          <w:lang w:val="en-GB"/>
        </w:rPr>
        <w:t xml:space="preserve">, M., Miller, A. and </w:t>
      </w:r>
      <w:proofErr w:type="spellStart"/>
      <w:r w:rsidRPr="00222705">
        <w:rPr>
          <w:rFonts w:ascii="Arial" w:hAnsi="Arial" w:cs="Arial"/>
          <w:shd w:val="clear" w:color="auto" w:fill="FFFFFF"/>
          <w:lang w:val="en-GB"/>
        </w:rPr>
        <w:t>Caswell</w:t>
      </w:r>
      <w:proofErr w:type="spellEnd"/>
      <w:r w:rsidRPr="00222705">
        <w:rPr>
          <w:rFonts w:ascii="Arial" w:hAnsi="Arial" w:cs="Arial"/>
          <w:shd w:val="clear" w:color="auto" w:fill="FFFFFF"/>
          <w:lang w:val="en-GB"/>
        </w:rPr>
        <w:t xml:space="preserve">, S., 2025a. Firefighter Years: Mediating Effects of </w:t>
      </w:r>
      <w:proofErr w:type="spellStart"/>
      <w:r w:rsidRPr="00222705">
        <w:rPr>
          <w:rFonts w:ascii="Arial" w:hAnsi="Arial" w:cs="Arial"/>
          <w:shd w:val="clear" w:color="auto" w:fill="FFFFFF"/>
          <w:lang w:val="en-GB"/>
        </w:rPr>
        <w:t>Yearsof</w:t>
      </w:r>
      <w:proofErr w:type="spellEnd"/>
      <w:r w:rsidRPr="00222705">
        <w:rPr>
          <w:rFonts w:ascii="Arial" w:hAnsi="Arial" w:cs="Arial"/>
          <w:shd w:val="clear" w:color="auto" w:fill="FFFFFF"/>
          <w:lang w:val="en-GB"/>
        </w:rPr>
        <w:t> Service on Physical Fitness. </w:t>
      </w:r>
      <w:r w:rsidRPr="00222705">
        <w:rPr>
          <w:rFonts w:ascii="Arial" w:hAnsi="Arial" w:cs="Arial"/>
          <w:lang w:val="en-GB"/>
        </w:rPr>
        <w:t>Research in Health and Medicine</w:t>
      </w:r>
      <w:r w:rsidRPr="00222705">
        <w:rPr>
          <w:rFonts w:ascii="Arial" w:hAnsi="Arial" w:cs="Arial"/>
          <w:shd w:val="clear" w:color="auto" w:fill="FFFFFF"/>
          <w:lang w:val="en-GB"/>
        </w:rPr>
        <w:t>, </w:t>
      </w:r>
      <w:r w:rsidRPr="00222705">
        <w:rPr>
          <w:rFonts w:ascii="Arial" w:hAnsi="Arial" w:cs="Arial"/>
          <w:lang w:val="en-GB"/>
        </w:rPr>
        <w:t>5</w:t>
      </w:r>
      <w:r w:rsidRPr="00222705">
        <w:rPr>
          <w:rFonts w:ascii="Arial" w:hAnsi="Arial" w:cs="Arial"/>
          <w:shd w:val="clear" w:color="auto" w:fill="FFFFFF"/>
          <w:lang w:val="en-GB"/>
        </w:rPr>
        <w:t>(1).</w:t>
      </w:r>
      <w:r w:rsidRPr="00222705">
        <w:rPr>
          <w:rFonts w:ascii="Arial" w:hAnsi="Arial" w:cs="Arial"/>
        </w:rPr>
        <w:t> </w:t>
      </w:r>
    </w:p>
    <w:p w14:paraId="141567F8" w14:textId="77777777" w:rsidR="008D6288" w:rsidRPr="00222705" w:rsidRDefault="008D6288" w:rsidP="00EF007D">
      <w:pPr>
        <w:rPr>
          <w:rFonts w:ascii="Arial" w:hAnsi="Arial" w:cs="Arial"/>
        </w:rPr>
      </w:pPr>
    </w:p>
    <w:p w14:paraId="3C798B41" w14:textId="59409D16" w:rsidR="008F4D29" w:rsidRPr="00222705" w:rsidRDefault="008F4D29" w:rsidP="00EF007D">
      <w:pPr>
        <w:rPr>
          <w:rFonts w:ascii="Arial" w:eastAsia="Aptos" w:hAnsi="Arial" w:cs="Arial"/>
        </w:rPr>
      </w:pPr>
      <w:r w:rsidRPr="00222705">
        <w:rPr>
          <w:rFonts w:ascii="Arial" w:eastAsia="Aptos" w:hAnsi="Arial" w:cs="Arial"/>
        </w:rPr>
        <w:t xml:space="preserve">Martin, J.R., Clark, N.C., Newman, K., </w:t>
      </w:r>
      <w:proofErr w:type="spellStart"/>
      <w:r w:rsidRPr="00222705">
        <w:rPr>
          <w:rFonts w:ascii="Arial" w:eastAsia="Aptos" w:hAnsi="Arial" w:cs="Arial"/>
        </w:rPr>
        <w:t>Fyock-Martin</w:t>
      </w:r>
      <w:proofErr w:type="spellEnd"/>
      <w:r w:rsidRPr="00222705">
        <w:rPr>
          <w:rFonts w:ascii="Arial" w:eastAsia="Aptos" w:hAnsi="Arial" w:cs="Arial"/>
        </w:rPr>
        <w:t>, M. and Abel, M.G., 2025</w:t>
      </w:r>
      <w:r w:rsidR="008E4C49" w:rsidRPr="00222705">
        <w:rPr>
          <w:rFonts w:ascii="Arial" w:eastAsia="Aptos" w:hAnsi="Arial" w:cs="Arial"/>
        </w:rPr>
        <w:t>b</w:t>
      </w:r>
      <w:r w:rsidRPr="00222705">
        <w:rPr>
          <w:rFonts w:ascii="Arial" w:eastAsia="Aptos" w:hAnsi="Arial" w:cs="Arial"/>
        </w:rPr>
        <w:t>. The relationship between cardiorespiratory fitness and firefighter occupational performance: a systematic review and meta-analysis examining absolute versus relative VO2max. Ergonomics, pp.1-18.</w:t>
      </w:r>
    </w:p>
    <w:p w14:paraId="4FE96390" w14:textId="77777777" w:rsidR="008D6288" w:rsidRPr="00222705" w:rsidRDefault="008D6288" w:rsidP="00EF007D">
      <w:pPr>
        <w:rPr>
          <w:rFonts w:ascii="Arial" w:eastAsia="Aptos" w:hAnsi="Arial" w:cs="Arial"/>
        </w:rPr>
      </w:pPr>
    </w:p>
    <w:p w14:paraId="1DE01CD3" w14:textId="77777777" w:rsidR="008F4D29" w:rsidRPr="00222705" w:rsidRDefault="008F4D29" w:rsidP="00EF007D">
      <w:pPr>
        <w:rPr>
          <w:rFonts w:ascii="Arial" w:eastAsiaTheme="minorEastAsia" w:hAnsi="Arial" w:cs="Arial"/>
          <w:kern w:val="0"/>
          <w:lang w:val="en-GB" w:eastAsia="en-GB"/>
          <w14:ligatures w14:val="none"/>
        </w:rPr>
      </w:pPr>
      <w:r w:rsidRPr="00222705">
        <w:rPr>
          <w:rFonts w:ascii="Arial" w:eastAsiaTheme="minorEastAsia" w:hAnsi="Arial" w:cs="Arial"/>
          <w:kern w:val="0"/>
          <w:lang w:val="en-GB" w:eastAsia="en-GB"/>
          <w14:ligatures w14:val="none"/>
        </w:rPr>
        <w:t>Martin, W.E. and Bridgmon, K.D. (2012) Quantitative and Statistical Research Methods: From Hypothesis to Results. Hoboken: John Wiley &amp; Sons.</w:t>
      </w:r>
    </w:p>
    <w:p w14:paraId="7ADCCABE" w14:textId="77777777" w:rsidR="008D6288" w:rsidRPr="00222705" w:rsidRDefault="008D6288" w:rsidP="00EF007D">
      <w:pPr>
        <w:rPr>
          <w:rFonts w:ascii="Arial" w:eastAsiaTheme="minorEastAsia" w:hAnsi="Arial" w:cs="Arial"/>
          <w:kern w:val="0"/>
          <w:lang w:val="en-GB" w:eastAsia="en-GB"/>
          <w14:ligatures w14:val="none"/>
        </w:rPr>
      </w:pPr>
    </w:p>
    <w:p w14:paraId="39BE86D2" w14:textId="77777777" w:rsidR="008F4D29" w:rsidRPr="00222705" w:rsidRDefault="008F4D29" w:rsidP="00EF007D">
      <w:pPr>
        <w:rPr>
          <w:rFonts w:ascii="Arial" w:hAnsi="Arial" w:cs="Arial"/>
        </w:rPr>
      </w:pPr>
      <w:bookmarkStart w:id="81" w:name="OLE_LINK21"/>
      <w:r w:rsidRPr="00222705">
        <w:rPr>
          <w:rFonts w:ascii="Arial" w:hAnsi="Arial" w:cs="Arial"/>
        </w:rPr>
        <w:t>MARTINESCU-BĂDĂLAN, F. and MACOVEI, C.M., 2023. COMPONENTS OF THE TACTICAL ATHLETE MODEL. In International Conference KNOWLEDGE-BASED ORGANIZATION (Vol. 29, No. 2).</w:t>
      </w:r>
    </w:p>
    <w:p w14:paraId="50C1246C" w14:textId="77777777" w:rsidR="008D6288" w:rsidRPr="00222705" w:rsidRDefault="008D6288" w:rsidP="00EF007D">
      <w:pPr>
        <w:rPr>
          <w:rFonts w:ascii="Arial" w:hAnsi="Arial" w:cs="Arial"/>
        </w:rPr>
      </w:pPr>
    </w:p>
    <w:bookmarkEnd w:id="81"/>
    <w:p w14:paraId="5D46FAA8" w14:textId="77777777" w:rsidR="008F4D29" w:rsidRPr="00222705" w:rsidRDefault="008F4D29" w:rsidP="00EF007D">
      <w:pPr>
        <w:rPr>
          <w:rFonts w:ascii="Arial" w:hAnsi="Arial" w:cs="Arial"/>
        </w:rPr>
      </w:pPr>
      <w:r w:rsidRPr="00222705">
        <w:rPr>
          <w:rFonts w:ascii="Arial" w:hAnsi="Arial" w:cs="Arial"/>
        </w:rPr>
        <w:t xml:space="preserve">Marx, W., Veronese, N., Kelly, J.T., Smith, L., Hockey, M., Collins, S., </w:t>
      </w:r>
      <w:proofErr w:type="spellStart"/>
      <w:r w:rsidRPr="00222705">
        <w:rPr>
          <w:rFonts w:ascii="Arial" w:hAnsi="Arial" w:cs="Arial"/>
        </w:rPr>
        <w:t>Trakman</w:t>
      </w:r>
      <w:proofErr w:type="spellEnd"/>
      <w:r w:rsidRPr="00222705">
        <w:rPr>
          <w:rFonts w:ascii="Arial" w:hAnsi="Arial" w:cs="Arial"/>
        </w:rPr>
        <w:t xml:space="preserve">, G.L., Hoare, E., Teasdale, S.B., Wade, A. and Lane, M., 2021. The dietary inflammatory index </w:t>
      </w:r>
      <w:r w:rsidRPr="00222705">
        <w:rPr>
          <w:rFonts w:ascii="Arial" w:hAnsi="Arial" w:cs="Arial"/>
        </w:rPr>
        <w:lastRenderedPageBreak/>
        <w:t xml:space="preserve">and human health: </w:t>
      </w:r>
      <w:proofErr w:type="spellStart"/>
      <w:r w:rsidRPr="00222705">
        <w:rPr>
          <w:rFonts w:ascii="Arial" w:hAnsi="Arial" w:cs="Arial"/>
        </w:rPr>
        <w:t>anumbrella</w:t>
      </w:r>
      <w:proofErr w:type="spellEnd"/>
      <w:r w:rsidRPr="00222705">
        <w:rPr>
          <w:rFonts w:ascii="Arial" w:hAnsi="Arial" w:cs="Arial"/>
        </w:rPr>
        <w:t xml:space="preserve"> review of meta-analyses of observational studies. Advances in Nutrition, 12(5), pp.1681-1690. </w:t>
      </w:r>
    </w:p>
    <w:p w14:paraId="4459A23E" w14:textId="77777777" w:rsidR="008D6288" w:rsidRPr="00222705" w:rsidRDefault="008D6288" w:rsidP="00EF007D">
      <w:pPr>
        <w:rPr>
          <w:rFonts w:ascii="Arial" w:hAnsi="Arial" w:cs="Arial"/>
        </w:rPr>
      </w:pPr>
    </w:p>
    <w:p w14:paraId="070AED1B" w14:textId="77777777" w:rsidR="008F4D29" w:rsidRPr="00222705" w:rsidRDefault="008F4D29" w:rsidP="00EF007D">
      <w:pPr>
        <w:rPr>
          <w:rFonts w:ascii="Arial" w:eastAsia="Times New Roman" w:hAnsi="Arial" w:cs="Arial"/>
          <w:shd w:val="clear" w:color="auto" w:fill="FFFFFF"/>
          <w:lang w:val="en-GB" w:eastAsia="en-GB"/>
        </w:rPr>
      </w:pPr>
      <w:r w:rsidRPr="00222705">
        <w:rPr>
          <w:rFonts w:ascii="Arial" w:eastAsia="Times New Roman" w:hAnsi="Arial" w:cs="Arial"/>
          <w:shd w:val="clear" w:color="auto" w:fill="FFFFFF"/>
          <w:lang w:val="en-GB" w:eastAsia="en-GB"/>
        </w:rPr>
        <w:t xml:space="preserve">Mayer, J.M., </w:t>
      </w:r>
      <w:proofErr w:type="spellStart"/>
      <w:r w:rsidRPr="00222705">
        <w:rPr>
          <w:rFonts w:ascii="Arial" w:eastAsia="Times New Roman" w:hAnsi="Arial" w:cs="Arial"/>
          <w:shd w:val="clear" w:color="auto" w:fill="FFFFFF"/>
          <w:lang w:val="en-GB" w:eastAsia="en-GB"/>
        </w:rPr>
        <w:t>Nuzzo</w:t>
      </w:r>
      <w:proofErr w:type="spellEnd"/>
      <w:r w:rsidRPr="00222705">
        <w:rPr>
          <w:rFonts w:ascii="Arial" w:eastAsia="Times New Roman" w:hAnsi="Arial" w:cs="Arial"/>
          <w:shd w:val="clear" w:color="auto" w:fill="FFFFFF"/>
          <w:lang w:val="en-GB" w:eastAsia="en-GB"/>
        </w:rPr>
        <w:t xml:space="preserve">, J.L., Chen, R., </w:t>
      </w:r>
      <w:proofErr w:type="spellStart"/>
      <w:r w:rsidRPr="00222705">
        <w:rPr>
          <w:rFonts w:ascii="Arial" w:eastAsia="Times New Roman" w:hAnsi="Arial" w:cs="Arial"/>
          <w:shd w:val="clear" w:color="auto" w:fill="FFFFFF"/>
          <w:lang w:val="en-GB" w:eastAsia="en-GB"/>
        </w:rPr>
        <w:t>Quillen</w:t>
      </w:r>
      <w:proofErr w:type="spellEnd"/>
      <w:r w:rsidRPr="00222705">
        <w:rPr>
          <w:rFonts w:ascii="Arial" w:eastAsia="Times New Roman" w:hAnsi="Arial" w:cs="Arial"/>
          <w:shd w:val="clear" w:color="auto" w:fill="FFFFFF"/>
          <w:lang w:val="en-GB" w:eastAsia="en-GB"/>
        </w:rPr>
        <w:t xml:space="preserve">, W.S., Verna, J.L., </w:t>
      </w:r>
      <w:proofErr w:type="spellStart"/>
      <w:r w:rsidRPr="00222705">
        <w:rPr>
          <w:rFonts w:ascii="Arial" w:eastAsia="Times New Roman" w:hAnsi="Arial" w:cs="Arial"/>
          <w:shd w:val="clear" w:color="auto" w:fill="FFFFFF"/>
          <w:lang w:val="en-GB" w:eastAsia="en-GB"/>
        </w:rPr>
        <w:t>Miro</w:t>
      </w:r>
      <w:proofErr w:type="spellEnd"/>
      <w:r w:rsidRPr="00222705">
        <w:rPr>
          <w:rFonts w:ascii="Arial" w:eastAsia="Times New Roman" w:hAnsi="Arial" w:cs="Arial"/>
          <w:shd w:val="clear" w:color="auto" w:fill="FFFFFF"/>
          <w:lang w:val="en-GB" w:eastAsia="en-GB"/>
        </w:rPr>
        <w:t xml:space="preserve">, R. and </w:t>
      </w:r>
      <w:proofErr w:type="spellStart"/>
      <w:r w:rsidRPr="00222705">
        <w:rPr>
          <w:rFonts w:ascii="Arial" w:eastAsia="Times New Roman" w:hAnsi="Arial" w:cs="Arial"/>
          <w:shd w:val="clear" w:color="auto" w:fill="FFFFFF"/>
          <w:lang w:val="en-GB" w:eastAsia="en-GB"/>
        </w:rPr>
        <w:t>Dagenais</w:t>
      </w:r>
      <w:proofErr w:type="spellEnd"/>
      <w:r w:rsidRPr="00222705">
        <w:rPr>
          <w:rFonts w:ascii="Arial" w:eastAsia="Times New Roman" w:hAnsi="Arial" w:cs="Arial"/>
          <w:shd w:val="clear" w:color="auto" w:fill="FFFFFF"/>
          <w:lang w:val="en-GB" w:eastAsia="en-GB"/>
        </w:rPr>
        <w:t>, S., 2012. The impact of obesity on back and core muscular endurance in firefighters. </w:t>
      </w:r>
      <w:r w:rsidRPr="00222705">
        <w:rPr>
          <w:rFonts w:ascii="Arial" w:eastAsia="Times New Roman" w:hAnsi="Arial" w:cs="Arial"/>
          <w:lang w:val="en-GB" w:eastAsia="en-GB"/>
        </w:rPr>
        <w:t>Journal of obesity</w:t>
      </w:r>
      <w:r w:rsidRPr="00222705">
        <w:rPr>
          <w:rFonts w:ascii="Arial" w:eastAsia="Times New Roman" w:hAnsi="Arial" w:cs="Arial"/>
          <w:shd w:val="clear" w:color="auto" w:fill="FFFFFF"/>
          <w:lang w:val="en-GB" w:eastAsia="en-GB"/>
        </w:rPr>
        <w:t>, </w:t>
      </w:r>
      <w:r w:rsidRPr="00222705">
        <w:rPr>
          <w:rFonts w:ascii="Arial" w:eastAsia="Times New Roman" w:hAnsi="Arial" w:cs="Arial"/>
          <w:lang w:val="en-GB" w:eastAsia="en-GB"/>
        </w:rPr>
        <w:t>2012</w:t>
      </w:r>
      <w:r w:rsidRPr="00222705">
        <w:rPr>
          <w:rFonts w:ascii="Arial" w:eastAsia="Times New Roman" w:hAnsi="Arial" w:cs="Arial"/>
          <w:shd w:val="clear" w:color="auto" w:fill="FFFFFF"/>
          <w:lang w:val="en-GB" w:eastAsia="en-GB"/>
        </w:rPr>
        <w:t>(1), p.729283.</w:t>
      </w:r>
    </w:p>
    <w:p w14:paraId="59F2C985" w14:textId="77777777" w:rsidR="008D6288" w:rsidRPr="00222705" w:rsidRDefault="008D6288" w:rsidP="00EF007D">
      <w:pPr>
        <w:rPr>
          <w:rFonts w:ascii="Arial" w:eastAsia="Aptos" w:hAnsi="Arial" w:cs="Arial"/>
        </w:rPr>
      </w:pPr>
    </w:p>
    <w:p w14:paraId="4936D1C4"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 xml:space="preserve">Mazic, S., </w:t>
      </w:r>
      <w:proofErr w:type="spellStart"/>
      <w:r w:rsidRPr="00222705">
        <w:rPr>
          <w:rFonts w:ascii="Arial" w:eastAsia="Times New Roman" w:hAnsi="Arial" w:cs="Arial"/>
          <w:kern w:val="0"/>
          <w14:ligatures w14:val="none"/>
        </w:rPr>
        <w:t>Lazic</w:t>
      </w:r>
      <w:proofErr w:type="spellEnd"/>
      <w:r w:rsidRPr="00222705">
        <w:rPr>
          <w:rFonts w:ascii="Arial" w:eastAsia="Times New Roman" w:hAnsi="Arial" w:cs="Arial"/>
          <w:kern w:val="0"/>
          <w14:ligatures w14:val="none"/>
        </w:rPr>
        <w:t xml:space="preserve">, J.S., </w:t>
      </w:r>
      <w:proofErr w:type="spellStart"/>
      <w:r w:rsidRPr="00222705">
        <w:rPr>
          <w:rFonts w:ascii="Arial" w:eastAsia="Times New Roman" w:hAnsi="Arial" w:cs="Arial"/>
          <w:kern w:val="0"/>
          <w14:ligatures w14:val="none"/>
        </w:rPr>
        <w:t>Dekleva</w:t>
      </w:r>
      <w:proofErr w:type="spellEnd"/>
      <w:r w:rsidRPr="00222705">
        <w:rPr>
          <w:rFonts w:ascii="Arial" w:eastAsia="Times New Roman" w:hAnsi="Arial" w:cs="Arial"/>
          <w:kern w:val="0"/>
          <w14:ligatures w14:val="none"/>
        </w:rPr>
        <w:t>, M., Antic, M., </w:t>
      </w:r>
      <w:proofErr w:type="spellStart"/>
      <w:r w:rsidRPr="00222705">
        <w:rPr>
          <w:rFonts w:ascii="Arial" w:eastAsia="Times New Roman" w:hAnsi="Arial" w:cs="Arial"/>
          <w:kern w:val="0"/>
          <w14:ligatures w14:val="none"/>
        </w:rPr>
        <w:t>Soldatovic</w:t>
      </w:r>
      <w:proofErr w:type="spellEnd"/>
      <w:r w:rsidRPr="00222705">
        <w:rPr>
          <w:rFonts w:ascii="Arial" w:eastAsia="Times New Roman" w:hAnsi="Arial" w:cs="Arial"/>
          <w:kern w:val="0"/>
          <w14:ligatures w14:val="none"/>
        </w:rPr>
        <w:t>, I., </w:t>
      </w:r>
      <w:proofErr w:type="spellStart"/>
      <w:r w:rsidRPr="00222705">
        <w:rPr>
          <w:rFonts w:ascii="Arial" w:eastAsia="Times New Roman" w:hAnsi="Arial" w:cs="Arial"/>
          <w:kern w:val="0"/>
          <w14:ligatures w14:val="none"/>
        </w:rPr>
        <w:t>Djelic</w:t>
      </w:r>
      <w:proofErr w:type="spellEnd"/>
      <w:r w:rsidRPr="00222705">
        <w:rPr>
          <w:rFonts w:ascii="Arial" w:eastAsia="Times New Roman" w:hAnsi="Arial" w:cs="Arial"/>
          <w:kern w:val="0"/>
          <w14:ligatures w14:val="none"/>
        </w:rPr>
        <w:t>, M., </w:t>
      </w:r>
      <w:proofErr w:type="spellStart"/>
      <w:r w:rsidRPr="00222705">
        <w:rPr>
          <w:rFonts w:ascii="Arial" w:eastAsia="Times New Roman" w:hAnsi="Arial" w:cs="Arial"/>
          <w:kern w:val="0"/>
          <w14:ligatures w14:val="none"/>
        </w:rPr>
        <w:t>Nesic</w:t>
      </w:r>
      <w:proofErr w:type="spellEnd"/>
      <w:r w:rsidRPr="00222705">
        <w:rPr>
          <w:rFonts w:ascii="Arial" w:eastAsia="Times New Roman" w:hAnsi="Arial" w:cs="Arial"/>
          <w:kern w:val="0"/>
          <w14:ligatures w14:val="none"/>
        </w:rPr>
        <w:t xml:space="preserve">, D., </w:t>
      </w:r>
      <w:proofErr w:type="spellStart"/>
      <w:r w:rsidRPr="00222705">
        <w:rPr>
          <w:rFonts w:ascii="Arial" w:eastAsia="Times New Roman" w:hAnsi="Arial" w:cs="Arial"/>
          <w:kern w:val="0"/>
          <w14:ligatures w14:val="none"/>
        </w:rPr>
        <w:t>Acimovic</w:t>
      </w:r>
      <w:proofErr w:type="spellEnd"/>
      <w:r w:rsidRPr="00222705">
        <w:rPr>
          <w:rFonts w:ascii="Arial" w:eastAsia="Times New Roman" w:hAnsi="Arial" w:cs="Arial"/>
          <w:kern w:val="0"/>
          <w14:ligatures w14:val="none"/>
        </w:rPr>
        <w:t xml:space="preserve">, T., </w:t>
      </w:r>
      <w:proofErr w:type="spellStart"/>
      <w:r w:rsidRPr="00222705">
        <w:rPr>
          <w:rFonts w:ascii="Arial" w:eastAsia="Times New Roman" w:hAnsi="Arial" w:cs="Arial"/>
          <w:kern w:val="0"/>
          <w14:ligatures w14:val="none"/>
        </w:rPr>
        <w:t>Lazic</w:t>
      </w:r>
      <w:proofErr w:type="spellEnd"/>
      <w:r w:rsidRPr="00222705">
        <w:rPr>
          <w:rFonts w:ascii="Arial" w:eastAsia="Times New Roman" w:hAnsi="Arial" w:cs="Arial"/>
          <w:kern w:val="0"/>
          <w14:ligatures w14:val="none"/>
        </w:rPr>
        <w:t>, M., </w:t>
      </w:r>
      <w:proofErr w:type="spellStart"/>
      <w:r w:rsidRPr="00222705">
        <w:rPr>
          <w:rFonts w:ascii="Arial" w:eastAsia="Times New Roman" w:hAnsi="Arial" w:cs="Arial"/>
          <w:kern w:val="0"/>
          <w14:ligatures w14:val="none"/>
        </w:rPr>
        <w:t>Lazovic</w:t>
      </w:r>
      <w:proofErr w:type="spellEnd"/>
      <w:r w:rsidRPr="00222705">
        <w:rPr>
          <w:rFonts w:ascii="Arial" w:eastAsia="Times New Roman" w:hAnsi="Arial" w:cs="Arial"/>
          <w:kern w:val="0"/>
          <w14:ligatures w14:val="none"/>
        </w:rPr>
        <w:t>, B. and </w:t>
      </w:r>
      <w:proofErr w:type="spellStart"/>
      <w:r w:rsidRPr="00222705">
        <w:rPr>
          <w:rFonts w:ascii="Arial" w:eastAsia="Times New Roman" w:hAnsi="Arial" w:cs="Arial"/>
          <w:kern w:val="0"/>
          <w14:ligatures w14:val="none"/>
        </w:rPr>
        <w:t>Suzic</w:t>
      </w:r>
      <w:proofErr w:type="spellEnd"/>
      <w:r w:rsidRPr="00222705">
        <w:rPr>
          <w:rFonts w:ascii="Arial" w:eastAsia="Times New Roman" w:hAnsi="Arial" w:cs="Arial"/>
          <w:kern w:val="0"/>
          <w14:ligatures w14:val="none"/>
        </w:rPr>
        <w:t>, S., 2015. The impact of elevated blood pressure on exercise capacity in elite athletes. International journal of cardiology, 180, pp.171-177 </w:t>
      </w:r>
    </w:p>
    <w:p w14:paraId="29FADA55" w14:textId="77777777" w:rsidR="008D6288" w:rsidRPr="00222705" w:rsidRDefault="008D6288" w:rsidP="00EF007D">
      <w:pPr>
        <w:rPr>
          <w:rFonts w:ascii="Arial" w:eastAsia="Times New Roman" w:hAnsi="Arial" w:cs="Arial"/>
          <w:kern w:val="0"/>
          <w14:ligatures w14:val="none"/>
        </w:rPr>
      </w:pPr>
    </w:p>
    <w:p w14:paraId="571A2571"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shd w:val="clear" w:color="auto" w:fill="FFFFFF"/>
          <w:lang w:val="en-GB"/>
          <w14:ligatures w14:val="none"/>
        </w:rPr>
        <w:t>McAllister, M.J., Gonzalez, D.E., Leonard, M., </w:t>
      </w:r>
      <w:proofErr w:type="spellStart"/>
      <w:r w:rsidRPr="00222705">
        <w:rPr>
          <w:rFonts w:ascii="Arial" w:eastAsia="Times New Roman" w:hAnsi="Arial" w:cs="Arial"/>
          <w:kern w:val="0"/>
          <w:shd w:val="clear" w:color="auto" w:fill="FFFFFF"/>
          <w:lang w:val="en-GB"/>
          <w14:ligatures w14:val="none"/>
        </w:rPr>
        <w:t>Martaindale</w:t>
      </w:r>
      <w:proofErr w:type="spellEnd"/>
      <w:r w:rsidRPr="00222705">
        <w:rPr>
          <w:rFonts w:ascii="Arial" w:eastAsia="Times New Roman" w:hAnsi="Arial" w:cs="Arial"/>
          <w:kern w:val="0"/>
          <w:shd w:val="clear" w:color="auto" w:fill="FFFFFF"/>
          <w:lang w:val="en-GB"/>
          <w14:ligatures w14:val="none"/>
        </w:rPr>
        <w:t>, M.H., Bloomer, R.J., Pence, J. and Martin, S.E., 2022. Firefighters with higher cardiorespiratory fitness demonstrate lower markers of cardiovascular disease risk. </w:t>
      </w:r>
      <w:r w:rsidRPr="00222705">
        <w:rPr>
          <w:rFonts w:ascii="Arial" w:eastAsia="Times New Roman" w:hAnsi="Arial" w:cs="Arial"/>
          <w:kern w:val="0"/>
          <w:lang w:val="en-GB"/>
          <w14:ligatures w14:val="none"/>
        </w:rPr>
        <w:t>Journal of Occupational and Environmental Medicine</w:t>
      </w:r>
      <w:r w:rsidRPr="00222705">
        <w:rPr>
          <w:rFonts w:ascii="Arial" w:eastAsia="Times New Roman" w:hAnsi="Arial" w:cs="Arial"/>
          <w:kern w:val="0"/>
          <w:shd w:val="clear" w:color="auto" w:fill="FFFFFF"/>
          <w:lang w:val="en-GB"/>
          <w14:ligatures w14:val="none"/>
        </w:rPr>
        <w:t>, </w:t>
      </w:r>
      <w:r w:rsidRPr="00222705">
        <w:rPr>
          <w:rFonts w:ascii="Arial" w:eastAsia="Times New Roman" w:hAnsi="Arial" w:cs="Arial"/>
          <w:kern w:val="0"/>
          <w:lang w:val="en-GB"/>
          <w14:ligatures w14:val="none"/>
        </w:rPr>
        <w:t>64</w:t>
      </w:r>
      <w:r w:rsidRPr="00222705">
        <w:rPr>
          <w:rFonts w:ascii="Arial" w:eastAsia="Times New Roman" w:hAnsi="Arial" w:cs="Arial"/>
          <w:kern w:val="0"/>
          <w:shd w:val="clear" w:color="auto" w:fill="FFFFFF"/>
          <w:lang w:val="en-GB"/>
          <w14:ligatures w14:val="none"/>
        </w:rPr>
        <w:t>(12), pp.1036-1040.</w:t>
      </w:r>
      <w:r w:rsidRPr="00222705">
        <w:rPr>
          <w:rFonts w:ascii="Arial" w:eastAsia="Times New Roman" w:hAnsi="Arial" w:cs="Arial"/>
          <w:kern w:val="0"/>
          <w14:ligatures w14:val="none"/>
        </w:rPr>
        <w:t> </w:t>
      </w:r>
    </w:p>
    <w:p w14:paraId="0C8584B4" w14:textId="77777777" w:rsidR="008D6288" w:rsidRPr="00222705" w:rsidRDefault="008D6288" w:rsidP="00EF007D">
      <w:pPr>
        <w:rPr>
          <w:rFonts w:ascii="Arial" w:eastAsia="Times New Roman" w:hAnsi="Arial" w:cs="Arial"/>
          <w:kern w:val="0"/>
          <w14:ligatures w14:val="none"/>
        </w:rPr>
      </w:pPr>
    </w:p>
    <w:p w14:paraId="211B46B4"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shd w:val="clear" w:color="auto" w:fill="FFFFFF"/>
          <w:lang w:val="en-GB"/>
          <w14:ligatures w14:val="none"/>
        </w:rPr>
        <w:t>McAllister, M.J., Gonzalez, D.E., Leonard, M., </w:t>
      </w:r>
      <w:proofErr w:type="spellStart"/>
      <w:r w:rsidRPr="00222705">
        <w:rPr>
          <w:rFonts w:ascii="Arial" w:eastAsia="Times New Roman" w:hAnsi="Arial" w:cs="Arial"/>
          <w:kern w:val="0"/>
          <w:shd w:val="clear" w:color="auto" w:fill="FFFFFF"/>
          <w:lang w:val="en-GB"/>
          <w14:ligatures w14:val="none"/>
        </w:rPr>
        <w:t>Martaindale</w:t>
      </w:r>
      <w:proofErr w:type="spellEnd"/>
      <w:r w:rsidRPr="00222705">
        <w:rPr>
          <w:rFonts w:ascii="Arial" w:eastAsia="Times New Roman" w:hAnsi="Arial" w:cs="Arial"/>
          <w:kern w:val="0"/>
          <w:shd w:val="clear" w:color="auto" w:fill="FFFFFF"/>
          <w:lang w:val="en-GB"/>
          <w14:ligatures w14:val="none"/>
        </w:rPr>
        <w:t>, M.H., Bloomer, R.J., Pence, J. and Martin, S.E., 2023. Risk factors for cardiometabolic disease in professional firefighters. </w:t>
      </w:r>
      <w:r w:rsidRPr="00222705">
        <w:rPr>
          <w:rFonts w:ascii="Arial" w:eastAsia="Times New Roman" w:hAnsi="Arial" w:cs="Arial"/>
          <w:kern w:val="0"/>
          <w:lang w:val="en-GB"/>
          <w14:ligatures w14:val="none"/>
        </w:rPr>
        <w:t>Journal of Occupational and Environmental Medicine</w:t>
      </w:r>
      <w:r w:rsidRPr="00222705">
        <w:rPr>
          <w:rFonts w:ascii="Arial" w:eastAsia="Times New Roman" w:hAnsi="Arial" w:cs="Arial"/>
          <w:kern w:val="0"/>
          <w:shd w:val="clear" w:color="auto" w:fill="FFFFFF"/>
          <w:lang w:val="en-GB"/>
          <w14:ligatures w14:val="none"/>
        </w:rPr>
        <w:t>, </w:t>
      </w:r>
      <w:r w:rsidRPr="00222705">
        <w:rPr>
          <w:rFonts w:ascii="Arial" w:eastAsia="Times New Roman" w:hAnsi="Arial" w:cs="Arial"/>
          <w:kern w:val="0"/>
          <w:lang w:val="en-GB"/>
          <w14:ligatures w14:val="none"/>
        </w:rPr>
        <w:t>65</w:t>
      </w:r>
      <w:r w:rsidRPr="00222705">
        <w:rPr>
          <w:rFonts w:ascii="Arial" w:eastAsia="Times New Roman" w:hAnsi="Arial" w:cs="Arial"/>
          <w:kern w:val="0"/>
          <w:shd w:val="clear" w:color="auto" w:fill="FFFFFF"/>
          <w:lang w:val="en-GB"/>
          <w14:ligatures w14:val="none"/>
        </w:rPr>
        <w:t>(2), pp.119-124.</w:t>
      </w:r>
      <w:r w:rsidRPr="00222705">
        <w:rPr>
          <w:rFonts w:ascii="Arial" w:eastAsia="Times New Roman" w:hAnsi="Arial" w:cs="Arial"/>
          <w:kern w:val="0"/>
          <w14:ligatures w14:val="none"/>
        </w:rPr>
        <w:t> </w:t>
      </w:r>
    </w:p>
    <w:p w14:paraId="3FD85147" w14:textId="77777777" w:rsidR="008D6288" w:rsidRPr="00222705" w:rsidRDefault="008D6288" w:rsidP="00EF007D">
      <w:pPr>
        <w:rPr>
          <w:rFonts w:ascii="Arial" w:eastAsia="Times New Roman" w:hAnsi="Arial" w:cs="Arial"/>
          <w:kern w:val="0"/>
          <w14:ligatures w14:val="none"/>
        </w:rPr>
      </w:pPr>
    </w:p>
    <w:p w14:paraId="2E743B63" w14:textId="77777777" w:rsidR="008F4D29" w:rsidRPr="00222705" w:rsidRDefault="008F4D29" w:rsidP="00EF007D">
      <w:pPr>
        <w:rPr>
          <w:rFonts w:ascii="Arial" w:hAnsi="Arial" w:cs="Arial"/>
        </w:rPr>
      </w:pPr>
      <w:r w:rsidRPr="00222705">
        <w:rPr>
          <w:rFonts w:ascii="Arial" w:hAnsi="Arial" w:cs="Arial"/>
        </w:rPr>
        <w:t>McEwen, B.S. and Stellar, E., 1993. Stress and the individual: Mechanisms leading to disease. Archives of internal medicine, 153(18), pp.2093-2101.</w:t>
      </w:r>
    </w:p>
    <w:p w14:paraId="5BD50FBA" w14:textId="77777777" w:rsidR="008F4D29" w:rsidRPr="00222705" w:rsidRDefault="008F4D29" w:rsidP="00EF007D">
      <w:pPr>
        <w:rPr>
          <w:rFonts w:ascii="Arial" w:hAnsi="Arial" w:cs="Arial"/>
        </w:rPr>
      </w:pPr>
      <w:r w:rsidRPr="00222705">
        <w:rPr>
          <w:rFonts w:ascii="Arial" w:hAnsi="Arial" w:cs="Arial"/>
        </w:rPr>
        <w:t>McEwen, B.S., 1998. Stress, adaptation, and disease: Allostasis and allostatic load. Annals of the New York academy of sciences, 840(1), pp.33-44.</w:t>
      </w:r>
    </w:p>
    <w:p w14:paraId="54186C15" w14:textId="77777777" w:rsidR="008D6288" w:rsidRPr="00222705" w:rsidRDefault="008D6288" w:rsidP="00EF007D">
      <w:pPr>
        <w:rPr>
          <w:rFonts w:ascii="Arial" w:hAnsi="Arial" w:cs="Arial"/>
        </w:rPr>
      </w:pPr>
    </w:p>
    <w:p w14:paraId="17C929F1"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McGilloway, S., 2007. Living in critical times: The impact of critical incidents on frontline ambulance personnel--a qualitative perspective. </w:t>
      </w:r>
      <w:r w:rsidRPr="00222705">
        <w:rPr>
          <w:rFonts w:ascii="Arial" w:hAnsi="Arial" w:cs="Arial"/>
        </w:rPr>
        <w:t>PubMed</w:t>
      </w:r>
      <w:r w:rsidRPr="00222705">
        <w:rPr>
          <w:rFonts w:ascii="Arial" w:hAnsi="Arial" w:cs="Arial"/>
          <w:shd w:val="clear" w:color="auto" w:fill="FFFFFF"/>
        </w:rPr>
        <w:t>.</w:t>
      </w:r>
    </w:p>
    <w:p w14:paraId="72AB7C85" w14:textId="77777777" w:rsidR="008D6288" w:rsidRPr="00222705" w:rsidRDefault="008D6288" w:rsidP="00EF007D">
      <w:pPr>
        <w:rPr>
          <w:rFonts w:ascii="Arial" w:hAnsi="Arial" w:cs="Arial"/>
          <w:shd w:val="clear" w:color="auto" w:fill="FFFFFF"/>
        </w:rPr>
      </w:pPr>
    </w:p>
    <w:p w14:paraId="1B5AAE16"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McMorrow, C. and Feairheller, D.L., 2022. Blood pressure responses in firefighters: a review. Current Hypertension Reviews, 18(2), pp.145-152. </w:t>
      </w:r>
    </w:p>
    <w:p w14:paraId="01C6849E" w14:textId="77777777" w:rsidR="008D6288" w:rsidRPr="00222705" w:rsidRDefault="008D6288" w:rsidP="00EF007D">
      <w:pPr>
        <w:rPr>
          <w:rFonts w:ascii="Arial" w:eastAsia="Times New Roman" w:hAnsi="Arial" w:cs="Arial"/>
          <w:kern w:val="0"/>
          <w14:ligatures w14:val="none"/>
        </w:rPr>
      </w:pPr>
    </w:p>
    <w:p w14:paraId="00D549ED"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lastRenderedPageBreak/>
        <w:t>Medoro, A., </w:t>
      </w:r>
      <w:proofErr w:type="spellStart"/>
      <w:r w:rsidRPr="00222705">
        <w:rPr>
          <w:rFonts w:ascii="Arial" w:eastAsia="Times New Roman" w:hAnsi="Arial" w:cs="Arial"/>
          <w:kern w:val="0"/>
          <w14:ligatures w14:val="none"/>
        </w:rPr>
        <w:t>Buonsenso</w:t>
      </w:r>
      <w:proofErr w:type="spellEnd"/>
      <w:r w:rsidRPr="00222705">
        <w:rPr>
          <w:rFonts w:ascii="Arial" w:eastAsia="Times New Roman" w:hAnsi="Arial" w:cs="Arial"/>
          <w:kern w:val="0"/>
          <w14:ligatures w14:val="none"/>
        </w:rPr>
        <w:t>, A., </w:t>
      </w:r>
      <w:proofErr w:type="spellStart"/>
      <w:r w:rsidRPr="00222705">
        <w:rPr>
          <w:rFonts w:ascii="Arial" w:eastAsia="Times New Roman" w:hAnsi="Arial" w:cs="Arial"/>
          <w:kern w:val="0"/>
          <w14:ligatures w14:val="none"/>
        </w:rPr>
        <w:t>Centorbi</w:t>
      </w:r>
      <w:proofErr w:type="spellEnd"/>
      <w:r w:rsidRPr="00222705">
        <w:rPr>
          <w:rFonts w:ascii="Arial" w:eastAsia="Times New Roman" w:hAnsi="Arial" w:cs="Arial"/>
          <w:kern w:val="0"/>
          <w14:ligatures w14:val="none"/>
        </w:rPr>
        <w:t>, M., </w:t>
      </w:r>
      <w:proofErr w:type="spellStart"/>
      <w:r w:rsidRPr="00222705">
        <w:rPr>
          <w:rFonts w:ascii="Arial" w:eastAsia="Times New Roman" w:hAnsi="Arial" w:cs="Arial"/>
          <w:kern w:val="0"/>
          <w14:ligatures w14:val="none"/>
        </w:rPr>
        <w:t>Calcagno</w:t>
      </w:r>
      <w:proofErr w:type="spellEnd"/>
      <w:r w:rsidRPr="00222705">
        <w:rPr>
          <w:rFonts w:ascii="Arial" w:eastAsia="Times New Roman" w:hAnsi="Arial" w:cs="Arial"/>
          <w:kern w:val="0"/>
          <w14:ligatures w14:val="none"/>
        </w:rPr>
        <w:t>, G., </w:t>
      </w:r>
      <w:proofErr w:type="spellStart"/>
      <w:r w:rsidRPr="00222705">
        <w:rPr>
          <w:rFonts w:ascii="Arial" w:eastAsia="Times New Roman" w:hAnsi="Arial" w:cs="Arial"/>
          <w:kern w:val="0"/>
          <w14:ligatures w14:val="none"/>
        </w:rPr>
        <w:t>Scapagnini</w:t>
      </w:r>
      <w:proofErr w:type="spellEnd"/>
      <w:r w:rsidRPr="00222705">
        <w:rPr>
          <w:rFonts w:ascii="Arial" w:eastAsia="Times New Roman" w:hAnsi="Arial" w:cs="Arial"/>
          <w:kern w:val="0"/>
          <w14:ligatures w14:val="none"/>
        </w:rPr>
        <w:t xml:space="preserve">, G., </w:t>
      </w:r>
      <w:proofErr w:type="spellStart"/>
      <w:r w:rsidRPr="00222705">
        <w:rPr>
          <w:rFonts w:ascii="Arial" w:eastAsia="Times New Roman" w:hAnsi="Arial" w:cs="Arial"/>
          <w:kern w:val="0"/>
          <w14:ligatures w14:val="none"/>
        </w:rPr>
        <w:t>Fiorilli</w:t>
      </w:r>
      <w:proofErr w:type="spellEnd"/>
      <w:r w:rsidRPr="00222705">
        <w:rPr>
          <w:rFonts w:ascii="Arial" w:eastAsia="Times New Roman" w:hAnsi="Arial" w:cs="Arial"/>
          <w:kern w:val="0"/>
          <w14:ligatures w14:val="none"/>
        </w:rPr>
        <w:t>, G. and </w:t>
      </w:r>
      <w:proofErr w:type="spellStart"/>
      <w:r w:rsidRPr="00222705">
        <w:rPr>
          <w:rFonts w:ascii="Arial" w:eastAsia="Times New Roman" w:hAnsi="Arial" w:cs="Arial"/>
          <w:kern w:val="0"/>
          <w14:ligatures w14:val="none"/>
        </w:rPr>
        <w:t>Davinelli</w:t>
      </w:r>
      <w:proofErr w:type="spellEnd"/>
      <w:r w:rsidRPr="00222705">
        <w:rPr>
          <w:rFonts w:ascii="Arial" w:eastAsia="Times New Roman" w:hAnsi="Arial" w:cs="Arial"/>
          <w:kern w:val="0"/>
          <w14:ligatures w14:val="none"/>
        </w:rPr>
        <w:t>, S., 2024. Omega-3 index as a sport biomarker: Implications for cardiovascular health, injury prevention, and athletic performance. Journal of functional morphology and kinesiology, 9(2), p.91. </w:t>
      </w:r>
    </w:p>
    <w:p w14:paraId="4DF4072E" w14:textId="77777777" w:rsidR="008D6288" w:rsidRPr="00222705" w:rsidRDefault="008D6288" w:rsidP="00EF007D">
      <w:pPr>
        <w:rPr>
          <w:rFonts w:ascii="Arial" w:eastAsia="Times New Roman" w:hAnsi="Arial" w:cs="Arial"/>
          <w:kern w:val="0"/>
          <w14:ligatures w14:val="none"/>
        </w:rPr>
      </w:pPr>
    </w:p>
    <w:p w14:paraId="1181CAF6" w14:textId="77777777" w:rsidR="008F4D29" w:rsidRPr="00222705" w:rsidRDefault="008F4D29" w:rsidP="00EF007D">
      <w:pPr>
        <w:rPr>
          <w:rFonts w:ascii="Arial" w:hAnsi="Arial" w:cs="Arial"/>
        </w:rPr>
      </w:pPr>
      <w:r w:rsidRPr="00222705">
        <w:rPr>
          <w:rFonts w:ascii="Arial" w:hAnsi="Arial" w:cs="Arial"/>
        </w:rPr>
        <w:t xml:space="preserve">Merry, T.L. and Ristow, M., 2016. </w:t>
      </w:r>
      <w:proofErr w:type="spellStart"/>
      <w:r w:rsidRPr="00222705">
        <w:rPr>
          <w:rFonts w:ascii="Arial" w:hAnsi="Arial" w:cs="Arial"/>
        </w:rPr>
        <w:t>Mitohormesis</w:t>
      </w:r>
      <w:proofErr w:type="spellEnd"/>
      <w:r w:rsidRPr="00222705">
        <w:rPr>
          <w:rFonts w:ascii="Arial" w:hAnsi="Arial" w:cs="Arial"/>
        </w:rPr>
        <w:t xml:space="preserve"> in exercise training. Free Radical Biology and Medicine, 98, pp.123-130.</w:t>
      </w:r>
    </w:p>
    <w:p w14:paraId="74860C11" w14:textId="77777777" w:rsidR="008D6288" w:rsidRPr="00222705" w:rsidRDefault="008D6288" w:rsidP="00EF007D">
      <w:pPr>
        <w:rPr>
          <w:rFonts w:ascii="Arial" w:hAnsi="Arial" w:cs="Arial"/>
        </w:rPr>
      </w:pPr>
    </w:p>
    <w:p w14:paraId="3B540C3F" w14:textId="77777777" w:rsidR="008F4D29" w:rsidRPr="00222705" w:rsidRDefault="008F4D29" w:rsidP="00EF007D">
      <w:pPr>
        <w:rPr>
          <w:rFonts w:ascii="Arial" w:eastAsia="Times New Roman" w:hAnsi="Arial" w:cs="Arial"/>
          <w:kern w:val="0"/>
          <w14:ligatures w14:val="none"/>
        </w:rPr>
      </w:pPr>
      <w:proofErr w:type="spellStart"/>
      <w:r w:rsidRPr="00222705">
        <w:rPr>
          <w:rFonts w:ascii="Arial" w:eastAsia="Times New Roman" w:hAnsi="Arial" w:cs="Arial"/>
          <w:kern w:val="0"/>
          <w14:ligatures w14:val="none"/>
        </w:rPr>
        <w:t>Micallef</w:t>
      </w:r>
      <w:proofErr w:type="spellEnd"/>
      <w:r w:rsidRPr="00222705">
        <w:rPr>
          <w:rFonts w:ascii="Arial" w:eastAsia="Times New Roman" w:hAnsi="Arial" w:cs="Arial"/>
          <w:kern w:val="0"/>
          <w14:ligatures w14:val="none"/>
        </w:rPr>
        <w:t xml:space="preserve">, M.A. and </w:t>
      </w:r>
      <w:proofErr w:type="spellStart"/>
      <w:r w:rsidRPr="00222705">
        <w:rPr>
          <w:rFonts w:ascii="Arial" w:eastAsia="Times New Roman" w:hAnsi="Arial" w:cs="Arial"/>
          <w:kern w:val="0"/>
          <w14:ligatures w14:val="none"/>
        </w:rPr>
        <w:t>Garg</w:t>
      </w:r>
      <w:proofErr w:type="spellEnd"/>
      <w:r w:rsidRPr="00222705">
        <w:rPr>
          <w:rFonts w:ascii="Arial" w:eastAsia="Times New Roman" w:hAnsi="Arial" w:cs="Arial"/>
          <w:kern w:val="0"/>
          <w14:ligatures w14:val="none"/>
        </w:rPr>
        <w:t>, M.L., 2009. Anti-inflammatory and cardioprotective effects of n-3 polyunsaturated fatty acids and plant sterols in hyperlipidemic individuals. Atherosclerosis, 204(2), pp.476-482. </w:t>
      </w:r>
    </w:p>
    <w:p w14:paraId="08C9359A" w14:textId="77777777" w:rsidR="008D6288" w:rsidRPr="00222705" w:rsidRDefault="008D6288" w:rsidP="00EF007D">
      <w:pPr>
        <w:rPr>
          <w:rFonts w:ascii="Arial" w:eastAsia="Times New Roman" w:hAnsi="Arial" w:cs="Arial"/>
          <w:kern w:val="0"/>
          <w14:ligatures w14:val="none"/>
        </w:rPr>
      </w:pPr>
    </w:p>
    <w:p w14:paraId="226699CE" w14:textId="42671CD0"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Michaelides, M.A., </w:t>
      </w:r>
      <w:proofErr w:type="spellStart"/>
      <w:r w:rsidRPr="00222705">
        <w:rPr>
          <w:rFonts w:ascii="Arial" w:eastAsia="Times New Roman" w:hAnsi="Arial" w:cs="Arial"/>
          <w:kern w:val="0"/>
          <w14:ligatures w14:val="none"/>
        </w:rPr>
        <w:t>Parpa</w:t>
      </w:r>
      <w:proofErr w:type="spellEnd"/>
      <w:r w:rsidRPr="00222705">
        <w:rPr>
          <w:rFonts w:ascii="Arial" w:eastAsia="Times New Roman" w:hAnsi="Arial" w:cs="Arial"/>
          <w:kern w:val="0"/>
          <w14:ligatures w14:val="none"/>
        </w:rPr>
        <w:t>, K.M., Henry, L.J., Thompson, G.B. and Brown, B.S., 2011.</w:t>
      </w:r>
      <w:r w:rsidR="008D6288" w:rsidRPr="00222705">
        <w:rPr>
          <w:rFonts w:ascii="Arial" w:eastAsia="Times New Roman" w:hAnsi="Arial" w:cs="Arial"/>
          <w:kern w:val="0"/>
          <w14:ligatures w14:val="none"/>
        </w:rPr>
        <w:t xml:space="preserve"> </w:t>
      </w:r>
      <w:r w:rsidRPr="00222705">
        <w:rPr>
          <w:rFonts w:ascii="Arial" w:eastAsia="Times New Roman" w:hAnsi="Arial" w:cs="Arial"/>
          <w:kern w:val="0"/>
          <w14:ligatures w14:val="none"/>
        </w:rPr>
        <w:t>Assessment of physical fitness aspects and their relationship to firefighters' job abilities. The Journal of Strength &amp; Conditioning Research, 25(4), pp.956-965. </w:t>
      </w:r>
    </w:p>
    <w:p w14:paraId="43858B9F" w14:textId="77777777" w:rsidR="008D6288" w:rsidRPr="00222705" w:rsidRDefault="008D6288" w:rsidP="00EF007D">
      <w:pPr>
        <w:rPr>
          <w:rFonts w:ascii="Arial" w:eastAsia="Times New Roman" w:hAnsi="Arial" w:cs="Arial"/>
          <w:kern w:val="0"/>
          <w14:ligatures w14:val="none"/>
        </w:rPr>
      </w:pPr>
    </w:p>
    <w:p w14:paraId="55272596" w14:textId="77777777" w:rsidR="008F4D29" w:rsidRPr="00222705" w:rsidRDefault="008F4D29" w:rsidP="00EF007D">
      <w:pPr>
        <w:rPr>
          <w:rFonts w:ascii="Arial" w:hAnsi="Arial" w:cs="Arial"/>
        </w:rPr>
      </w:pPr>
      <w:r w:rsidRPr="00222705">
        <w:rPr>
          <w:rFonts w:ascii="Arial" w:hAnsi="Arial" w:cs="Arial"/>
        </w:rPr>
        <w:t>Miller, P.E., Van </w:t>
      </w:r>
      <w:proofErr w:type="spellStart"/>
      <w:r w:rsidRPr="00222705">
        <w:rPr>
          <w:rFonts w:ascii="Arial" w:hAnsi="Arial" w:cs="Arial"/>
        </w:rPr>
        <w:t>Elswyk</w:t>
      </w:r>
      <w:proofErr w:type="spellEnd"/>
      <w:r w:rsidRPr="00222705">
        <w:rPr>
          <w:rFonts w:ascii="Arial" w:hAnsi="Arial" w:cs="Arial"/>
        </w:rPr>
        <w:t>, M. and Alexander, D.D., 2014. Long-chain omega-3 fatty acids </w:t>
      </w:r>
      <w:proofErr w:type="spellStart"/>
      <w:r w:rsidRPr="00222705">
        <w:rPr>
          <w:rFonts w:ascii="Arial" w:hAnsi="Arial" w:cs="Arial"/>
        </w:rPr>
        <w:t>eicosapentaenoicacid</w:t>
      </w:r>
      <w:proofErr w:type="spellEnd"/>
      <w:r w:rsidRPr="00222705">
        <w:rPr>
          <w:rFonts w:ascii="Arial" w:hAnsi="Arial" w:cs="Arial"/>
        </w:rPr>
        <w:t xml:space="preserve"> and docosahexaenoic acid and blood pressure: a meta-analysis of randomized controlled trials. American journal of hypertension, 27(7), pp.885-896. </w:t>
      </w:r>
    </w:p>
    <w:p w14:paraId="2AAC73D3" w14:textId="77777777" w:rsidR="008D6288" w:rsidRPr="00222705" w:rsidRDefault="008D6288" w:rsidP="00EF007D">
      <w:pPr>
        <w:rPr>
          <w:rFonts w:ascii="Arial" w:hAnsi="Arial" w:cs="Arial"/>
        </w:rPr>
      </w:pPr>
    </w:p>
    <w:p w14:paraId="15F4F734" w14:textId="77777777" w:rsidR="008F4D29" w:rsidRPr="00222705" w:rsidRDefault="008F4D29" w:rsidP="00EF007D">
      <w:pPr>
        <w:rPr>
          <w:rFonts w:ascii="Arial" w:hAnsi="Arial" w:cs="Arial"/>
        </w:rPr>
      </w:pPr>
      <w:r w:rsidRPr="00222705">
        <w:rPr>
          <w:rFonts w:ascii="Arial" w:hAnsi="Arial" w:cs="Arial"/>
          <w:shd w:val="clear" w:color="auto" w:fill="FFFFFF"/>
          <w:lang w:val="en-GB"/>
        </w:rPr>
        <w:t xml:space="preserve">Minihane, A.M., </w:t>
      </w:r>
      <w:proofErr w:type="spellStart"/>
      <w:r w:rsidRPr="00222705">
        <w:rPr>
          <w:rFonts w:ascii="Arial" w:hAnsi="Arial" w:cs="Arial"/>
          <w:shd w:val="clear" w:color="auto" w:fill="FFFFFF"/>
          <w:lang w:val="en-GB"/>
        </w:rPr>
        <w:t>Vinoy</w:t>
      </w:r>
      <w:proofErr w:type="spellEnd"/>
      <w:r w:rsidRPr="00222705">
        <w:rPr>
          <w:rFonts w:ascii="Arial" w:hAnsi="Arial" w:cs="Arial"/>
          <w:shd w:val="clear" w:color="auto" w:fill="FFFFFF"/>
          <w:lang w:val="en-GB"/>
        </w:rPr>
        <w:t xml:space="preserve">, S., Russell, W.R., Baka, A., Roche, H.M., </w:t>
      </w:r>
      <w:proofErr w:type="spellStart"/>
      <w:r w:rsidRPr="00222705">
        <w:rPr>
          <w:rFonts w:ascii="Arial" w:hAnsi="Arial" w:cs="Arial"/>
          <w:shd w:val="clear" w:color="auto" w:fill="FFFFFF"/>
          <w:lang w:val="en-GB"/>
        </w:rPr>
        <w:t>Tuohy</w:t>
      </w:r>
      <w:proofErr w:type="spellEnd"/>
      <w:r w:rsidRPr="00222705">
        <w:rPr>
          <w:rFonts w:ascii="Arial" w:hAnsi="Arial" w:cs="Arial"/>
          <w:shd w:val="clear" w:color="auto" w:fill="FFFFFF"/>
          <w:lang w:val="en-GB"/>
        </w:rPr>
        <w:t xml:space="preserve">, K.M., </w:t>
      </w:r>
      <w:proofErr w:type="spellStart"/>
      <w:r w:rsidRPr="00222705">
        <w:rPr>
          <w:rFonts w:ascii="Arial" w:hAnsi="Arial" w:cs="Arial"/>
          <w:shd w:val="clear" w:color="auto" w:fill="FFFFFF"/>
          <w:lang w:val="en-GB"/>
        </w:rPr>
        <w:t>Teeling</w:t>
      </w:r>
      <w:proofErr w:type="spellEnd"/>
      <w:r w:rsidRPr="00222705">
        <w:rPr>
          <w:rFonts w:ascii="Arial" w:hAnsi="Arial" w:cs="Arial"/>
          <w:shd w:val="clear" w:color="auto" w:fill="FFFFFF"/>
          <w:lang w:val="en-GB"/>
        </w:rPr>
        <w:t xml:space="preserve">, J.L., </w:t>
      </w:r>
      <w:proofErr w:type="spellStart"/>
      <w:r w:rsidRPr="00222705">
        <w:rPr>
          <w:rFonts w:ascii="Arial" w:hAnsi="Arial" w:cs="Arial"/>
          <w:shd w:val="clear" w:color="auto" w:fill="FFFFFF"/>
          <w:lang w:val="en-GB"/>
        </w:rPr>
        <w:t>Blaak</w:t>
      </w:r>
      <w:proofErr w:type="spellEnd"/>
      <w:r w:rsidRPr="00222705">
        <w:rPr>
          <w:rFonts w:ascii="Arial" w:hAnsi="Arial" w:cs="Arial"/>
          <w:shd w:val="clear" w:color="auto" w:fill="FFFFFF"/>
          <w:lang w:val="en-GB"/>
        </w:rPr>
        <w:t xml:space="preserve">, E.E., </w:t>
      </w:r>
      <w:proofErr w:type="spellStart"/>
      <w:r w:rsidRPr="00222705">
        <w:rPr>
          <w:rFonts w:ascii="Arial" w:hAnsi="Arial" w:cs="Arial"/>
          <w:shd w:val="clear" w:color="auto" w:fill="FFFFFF"/>
          <w:lang w:val="en-GB"/>
        </w:rPr>
        <w:t>Fenech</w:t>
      </w:r>
      <w:proofErr w:type="spellEnd"/>
      <w:r w:rsidRPr="00222705">
        <w:rPr>
          <w:rFonts w:ascii="Arial" w:hAnsi="Arial" w:cs="Arial"/>
          <w:shd w:val="clear" w:color="auto" w:fill="FFFFFF"/>
          <w:lang w:val="en-GB"/>
        </w:rPr>
        <w:t>, M., </w:t>
      </w:r>
      <w:proofErr w:type="spellStart"/>
      <w:r w:rsidRPr="00222705">
        <w:rPr>
          <w:rFonts w:ascii="Arial" w:hAnsi="Arial" w:cs="Arial"/>
          <w:shd w:val="clear" w:color="auto" w:fill="FFFFFF"/>
          <w:lang w:val="en-GB"/>
        </w:rPr>
        <w:t>Vauzour</w:t>
      </w:r>
      <w:proofErr w:type="spellEnd"/>
      <w:r w:rsidRPr="00222705">
        <w:rPr>
          <w:rFonts w:ascii="Arial" w:hAnsi="Arial" w:cs="Arial"/>
          <w:shd w:val="clear" w:color="auto" w:fill="FFFFFF"/>
          <w:lang w:val="en-GB"/>
        </w:rPr>
        <w:t>, D. and McArdle, H.J., 2015. Low-grade inflammation, diet </w:t>
      </w:r>
      <w:proofErr w:type="spellStart"/>
      <w:r w:rsidRPr="00222705">
        <w:rPr>
          <w:rFonts w:ascii="Arial" w:hAnsi="Arial" w:cs="Arial"/>
          <w:shd w:val="clear" w:color="auto" w:fill="FFFFFF"/>
          <w:lang w:val="en-GB"/>
        </w:rPr>
        <w:t>compositionand</w:t>
      </w:r>
      <w:proofErr w:type="spellEnd"/>
      <w:r w:rsidRPr="00222705">
        <w:rPr>
          <w:rFonts w:ascii="Arial" w:hAnsi="Arial" w:cs="Arial"/>
          <w:shd w:val="clear" w:color="auto" w:fill="FFFFFF"/>
          <w:lang w:val="en-GB"/>
        </w:rPr>
        <w:t xml:space="preserve"> health: current research evidence and its translation. </w:t>
      </w:r>
      <w:r w:rsidRPr="00222705">
        <w:rPr>
          <w:rFonts w:ascii="Arial" w:hAnsi="Arial" w:cs="Arial"/>
          <w:lang w:val="en-GB"/>
        </w:rPr>
        <w:t>British Journal of Nutrition</w:t>
      </w:r>
      <w:r w:rsidRPr="00222705">
        <w:rPr>
          <w:rFonts w:ascii="Arial" w:hAnsi="Arial" w:cs="Arial"/>
          <w:shd w:val="clear" w:color="auto" w:fill="FFFFFF"/>
          <w:lang w:val="en-GB"/>
        </w:rPr>
        <w:t>, </w:t>
      </w:r>
      <w:r w:rsidRPr="00222705">
        <w:rPr>
          <w:rFonts w:ascii="Arial" w:hAnsi="Arial" w:cs="Arial"/>
          <w:lang w:val="en-GB"/>
        </w:rPr>
        <w:t>114</w:t>
      </w:r>
      <w:r w:rsidRPr="00222705">
        <w:rPr>
          <w:rFonts w:ascii="Arial" w:hAnsi="Arial" w:cs="Arial"/>
          <w:shd w:val="clear" w:color="auto" w:fill="FFFFFF"/>
          <w:lang w:val="en-GB"/>
        </w:rPr>
        <w:t>(7), pp.999-1012.</w:t>
      </w:r>
      <w:r w:rsidRPr="00222705">
        <w:rPr>
          <w:rFonts w:ascii="Arial" w:hAnsi="Arial" w:cs="Arial"/>
        </w:rPr>
        <w:t> </w:t>
      </w:r>
    </w:p>
    <w:p w14:paraId="33AF5315" w14:textId="77777777" w:rsidR="008D6288" w:rsidRPr="00222705" w:rsidRDefault="008D6288" w:rsidP="00EF007D">
      <w:pPr>
        <w:rPr>
          <w:rFonts w:ascii="Arial" w:hAnsi="Arial" w:cs="Arial"/>
        </w:rPr>
      </w:pPr>
    </w:p>
    <w:p w14:paraId="71BC4B7F" w14:textId="77777777" w:rsidR="008F4D29" w:rsidRPr="00222705" w:rsidRDefault="008F4D29" w:rsidP="00EF007D">
      <w:pPr>
        <w:rPr>
          <w:rFonts w:ascii="Arial" w:hAnsi="Arial" w:cs="Arial"/>
          <w:lang w:val="en-GB" w:eastAsia="en-GB"/>
        </w:rPr>
      </w:pPr>
      <w:r w:rsidRPr="00222705">
        <w:rPr>
          <w:rFonts w:ascii="Arial" w:hAnsi="Arial" w:cs="Arial"/>
          <w:lang w:val="en-GB" w:eastAsia="en-GB"/>
        </w:rPr>
        <w:t xml:space="preserve">Minton, S.T., </w:t>
      </w:r>
      <w:proofErr w:type="spellStart"/>
      <w:r w:rsidRPr="00222705">
        <w:rPr>
          <w:rFonts w:ascii="Arial" w:hAnsi="Arial" w:cs="Arial"/>
          <w:lang w:val="en-GB" w:eastAsia="en-GB"/>
        </w:rPr>
        <w:t>Almada</w:t>
      </w:r>
      <w:proofErr w:type="spellEnd"/>
      <w:r w:rsidRPr="00222705">
        <w:rPr>
          <w:rFonts w:ascii="Arial" w:hAnsi="Arial" w:cs="Arial"/>
          <w:lang w:val="en-GB" w:eastAsia="en-GB"/>
        </w:rPr>
        <w:t xml:space="preserve">, A.L., Evans, J.L., </w:t>
      </w:r>
      <w:proofErr w:type="spellStart"/>
      <w:r w:rsidRPr="00222705">
        <w:rPr>
          <w:rFonts w:ascii="Arial" w:hAnsi="Arial" w:cs="Arial"/>
          <w:lang w:val="en-GB" w:eastAsia="en-GB"/>
        </w:rPr>
        <w:t>Laidlaw</w:t>
      </w:r>
      <w:proofErr w:type="spellEnd"/>
      <w:r w:rsidRPr="00222705">
        <w:rPr>
          <w:rFonts w:ascii="Arial" w:hAnsi="Arial" w:cs="Arial"/>
          <w:lang w:val="en-GB" w:eastAsia="en-GB"/>
        </w:rPr>
        <w:t xml:space="preserve">, M. and </w:t>
      </w:r>
      <w:proofErr w:type="spellStart"/>
      <w:r w:rsidRPr="00222705">
        <w:rPr>
          <w:rFonts w:ascii="Arial" w:hAnsi="Arial" w:cs="Arial"/>
          <w:lang w:val="en-GB" w:eastAsia="en-GB"/>
        </w:rPr>
        <w:t>Opheim</w:t>
      </w:r>
      <w:proofErr w:type="spellEnd"/>
      <w:r w:rsidRPr="00222705">
        <w:rPr>
          <w:rFonts w:ascii="Arial" w:hAnsi="Arial" w:cs="Arial"/>
          <w:lang w:val="en-GB" w:eastAsia="en-GB"/>
        </w:rPr>
        <w:t>, J., 2023. Comparative membrane incorporation of omega-3 fish oil triglyceride preparations differing by degree of re-esterification: a sixteen-week randomized intervention trial. PLoS One, 18(1), p.e0265462.</w:t>
      </w:r>
    </w:p>
    <w:p w14:paraId="42D70E55" w14:textId="77777777" w:rsidR="008D6288" w:rsidRPr="00222705" w:rsidRDefault="008D6288" w:rsidP="00EF007D">
      <w:pPr>
        <w:rPr>
          <w:rFonts w:ascii="Arial" w:eastAsiaTheme="minorEastAsia" w:hAnsi="Arial" w:cs="Arial"/>
          <w:lang w:val="en-GB" w:eastAsia="en-GB"/>
        </w:rPr>
      </w:pPr>
    </w:p>
    <w:p w14:paraId="5FA93D86"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Mitjavila, M.T., </w:t>
      </w:r>
      <w:proofErr w:type="spellStart"/>
      <w:r w:rsidRPr="00222705">
        <w:rPr>
          <w:rFonts w:ascii="Arial" w:eastAsia="Times New Roman" w:hAnsi="Arial" w:cs="Arial"/>
          <w:kern w:val="0"/>
          <w14:ligatures w14:val="none"/>
        </w:rPr>
        <w:t>Fandos</w:t>
      </w:r>
      <w:proofErr w:type="spellEnd"/>
      <w:r w:rsidRPr="00222705">
        <w:rPr>
          <w:rFonts w:ascii="Arial" w:eastAsia="Times New Roman" w:hAnsi="Arial" w:cs="Arial"/>
          <w:kern w:val="0"/>
          <w14:ligatures w14:val="none"/>
        </w:rPr>
        <w:t xml:space="preserve">, M., Salas-Salvadó, J., Covas, M.I., </w:t>
      </w:r>
      <w:proofErr w:type="spellStart"/>
      <w:r w:rsidRPr="00222705">
        <w:rPr>
          <w:rFonts w:ascii="Arial" w:eastAsia="Times New Roman" w:hAnsi="Arial" w:cs="Arial"/>
          <w:kern w:val="0"/>
          <w14:ligatures w14:val="none"/>
        </w:rPr>
        <w:t>Borrego</w:t>
      </w:r>
      <w:proofErr w:type="spellEnd"/>
      <w:r w:rsidRPr="00222705">
        <w:rPr>
          <w:rFonts w:ascii="Arial" w:eastAsia="Times New Roman" w:hAnsi="Arial" w:cs="Arial"/>
          <w:kern w:val="0"/>
          <w14:ligatures w14:val="none"/>
        </w:rPr>
        <w:t>, S., Estruch, R., </w:t>
      </w:r>
      <w:proofErr w:type="spellStart"/>
      <w:r w:rsidRPr="00222705">
        <w:rPr>
          <w:rFonts w:ascii="Arial" w:eastAsia="Times New Roman" w:hAnsi="Arial" w:cs="Arial"/>
          <w:kern w:val="0"/>
          <w14:ligatures w14:val="none"/>
        </w:rPr>
        <w:t>Lamuela-Raventós</w:t>
      </w:r>
      <w:proofErr w:type="spellEnd"/>
      <w:r w:rsidRPr="00222705">
        <w:rPr>
          <w:rFonts w:ascii="Arial" w:eastAsia="Times New Roman" w:hAnsi="Arial" w:cs="Arial"/>
          <w:kern w:val="0"/>
          <w14:ligatures w14:val="none"/>
        </w:rPr>
        <w:t xml:space="preserve">, R., Corella, D., Martínez-Gonzalez, M.Á., Sánchez, J.M. </w:t>
      </w:r>
      <w:r w:rsidRPr="00222705">
        <w:rPr>
          <w:rFonts w:ascii="Arial" w:eastAsia="Times New Roman" w:hAnsi="Arial" w:cs="Arial"/>
          <w:kern w:val="0"/>
          <w14:ligatures w14:val="none"/>
        </w:rPr>
        <w:lastRenderedPageBreak/>
        <w:t>and </w:t>
      </w:r>
      <w:proofErr w:type="spellStart"/>
      <w:r w:rsidRPr="00222705">
        <w:rPr>
          <w:rFonts w:ascii="Arial" w:eastAsia="Times New Roman" w:hAnsi="Arial" w:cs="Arial"/>
          <w:kern w:val="0"/>
          <w14:ligatures w14:val="none"/>
        </w:rPr>
        <w:t>Bulló</w:t>
      </w:r>
      <w:proofErr w:type="spellEnd"/>
      <w:r w:rsidRPr="00222705">
        <w:rPr>
          <w:rFonts w:ascii="Arial" w:eastAsia="Times New Roman" w:hAnsi="Arial" w:cs="Arial"/>
          <w:kern w:val="0"/>
          <w14:ligatures w14:val="none"/>
        </w:rPr>
        <w:t>, M., 2013. The Mediterranean diet improves the systemic lipid and DNA oxidative damage in metabolic syndrome individuals. A randomized, controlled, trial. Clinical nutrition, 32(2), pp.172-178. </w:t>
      </w:r>
    </w:p>
    <w:p w14:paraId="73521038" w14:textId="77777777" w:rsidR="008D6288" w:rsidRPr="00222705" w:rsidRDefault="008D6288" w:rsidP="00EF007D">
      <w:pPr>
        <w:rPr>
          <w:rFonts w:ascii="Arial" w:eastAsia="Times New Roman" w:hAnsi="Arial" w:cs="Arial"/>
          <w:kern w:val="0"/>
          <w14:ligatures w14:val="none"/>
        </w:rPr>
      </w:pPr>
    </w:p>
    <w:p w14:paraId="7AAA1737"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Mittleman, M.A., 2007. Air pollution, exercise, and cardiovascular risk. </w:t>
      </w:r>
      <w:r w:rsidRPr="00222705">
        <w:rPr>
          <w:rFonts w:ascii="Arial" w:hAnsi="Arial" w:cs="Arial"/>
        </w:rPr>
        <w:t>New England Journal of Medicine</w:t>
      </w:r>
      <w:r w:rsidRPr="00222705">
        <w:rPr>
          <w:rFonts w:ascii="Arial" w:hAnsi="Arial" w:cs="Arial"/>
          <w:shd w:val="clear" w:color="auto" w:fill="FFFFFF"/>
        </w:rPr>
        <w:t>, </w:t>
      </w:r>
      <w:r w:rsidRPr="00222705">
        <w:rPr>
          <w:rFonts w:ascii="Arial" w:hAnsi="Arial" w:cs="Arial"/>
        </w:rPr>
        <w:t>357</w:t>
      </w:r>
      <w:r w:rsidRPr="00222705">
        <w:rPr>
          <w:rFonts w:ascii="Arial" w:hAnsi="Arial" w:cs="Arial"/>
          <w:shd w:val="clear" w:color="auto" w:fill="FFFFFF"/>
        </w:rPr>
        <w:t>(11), pp.1147-1149.</w:t>
      </w:r>
    </w:p>
    <w:p w14:paraId="2CD8D4D2" w14:textId="77777777" w:rsidR="008D6288" w:rsidRPr="00222705" w:rsidRDefault="008D6288" w:rsidP="00EF007D">
      <w:pPr>
        <w:rPr>
          <w:rFonts w:ascii="Arial" w:hAnsi="Arial" w:cs="Arial"/>
          <w:shd w:val="clear" w:color="auto" w:fill="FFFFFF"/>
        </w:rPr>
      </w:pPr>
    </w:p>
    <w:p w14:paraId="6A499B81"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Mori, T.A., Bao, D.Q., Burke, V., </w:t>
      </w:r>
      <w:proofErr w:type="spellStart"/>
      <w:r w:rsidRPr="00222705">
        <w:rPr>
          <w:rFonts w:ascii="Arial" w:eastAsia="Times New Roman" w:hAnsi="Arial" w:cs="Arial"/>
          <w:kern w:val="0"/>
          <w14:ligatures w14:val="none"/>
        </w:rPr>
        <w:t>Puddey</w:t>
      </w:r>
      <w:proofErr w:type="spellEnd"/>
      <w:r w:rsidRPr="00222705">
        <w:rPr>
          <w:rFonts w:ascii="Arial" w:eastAsia="Times New Roman" w:hAnsi="Arial" w:cs="Arial"/>
          <w:kern w:val="0"/>
          <w14:ligatures w14:val="none"/>
        </w:rPr>
        <w:t xml:space="preserve">, I.B. and </w:t>
      </w:r>
      <w:proofErr w:type="spellStart"/>
      <w:r w:rsidRPr="00222705">
        <w:rPr>
          <w:rFonts w:ascii="Arial" w:eastAsia="Times New Roman" w:hAnsi="Arial" w:cs="Arial"/>
          <w:kern w:val="0"/>
          <w14:ligatures w14:val="none"/>
        </w:rPr>
        <w:t>Beilin</w:t>
      </w:r>
      <w:proofErr w:type="spellEnd"/>
      <w:r w:rsidRPr="00222705">
        <w:rPr>
          <w:rFonts w:ascii="Arial" w:eastAsia="Times New Roman" w:hAnsi="Arial" w:cs="Arial"/>
          <w:kern w:val="0"/>
          <w14:ligatures w14:val="none"/>
        </w:rPr>
        <w:t>, L.J., 1999. Docosahexaenoic acid but not eicosapentaenoic acid lowers ambulatory blood pressure and heart rate in humans. Hypertension, 34(2), pp.253-260. </w:t>
      </w:r>
    </w:p>
    <w:p w14:paraId="24DF8DBD" w14:textId="77777777" w:rsidR="008F4D29" w:rsidRPr="00222705" w:rsidRDefault="008F4D29" w:rsidP="00EF007D">
      <w:pPr>
        <w:rPr>
          <w:rFonts w:ascii="Arial" w:hAnsi="Arial" w:cs="Arial"/>
        </w:rPr>
      </w:pPr>
      <w:r w:rsidRPr="00222705">
        <w:rPr>
          <w:rFonts w:ascii="Arial" w:hAnsi="Arial" w:cs="Arial"/>
        </w:rPr>
        <w:t xml:space="preserve">Morris, M.C., Hellman, N., </w:t>
      </w:r>
      <w:proofErr w:type="spellStart"/>
      <w:r w:rsidRPr="00222705">
        <w:rPr>
          <w:rFonts w:ascii="Arial" w:hAnsi="Arial" w:cs="Arial"/>
        </w:rPr>
        <w:t>Abelson</w:t>
      </w:r>
      <w:proofErr w:type="spellEnd"/>
      <w:r w:rsidRPr="00222705">
        <w:rPr>
          <w:rFonts w:ascii="Arial" w:hAnsi="Arial" w:cs="Arial"/>
        </w:rPr>
        <w:t>, J.L. and Rao, U., 2016. Cortisol, heart rate, and blood pressure as early markers of PTSD risk: A systematic review and meta-analysis. Clinical psychology review, 49, pp.79-91.</w:t>
      </w:r>
    </w:p>
    <w:p w14:paraId="00C75374" w14:textId="77777777" w:rsidR="008D6288" w:rsidRPr="00222705" w:rsidRDefault="008D6288" w:rsidP="00EF007D">
      <w:pPr>
        <w:rPr>
          <w:rFonts w:ascii="Arial" w:hAnsi="Arial" w:cs="Arial"/>
        </w:rPr>
      </w:pPr>
    </w:p>
    <w:p w14:paraId="1FF4142F" w14:textId="77777777" w:rsidR="008D6288" w:rsidRPr="00222705" w:rsidRDefault="008F4D29" w:rsidP="00EF007D">
      <w:pPr>
        <w:rPr>
          <w:rFonts w:ascii="Arial" w:eastAsia="Times New Roman" w:hAnsi="Arial" w:cs="Arial"/>
          <w:kern w:val="0"/>
          <w:lang w:val="en-GB"/>
          <w14:ligatures w14:val="none"/>
        </w:rPr>
      </w:pPr>
      <w:r w:rsidRPr="00222705">
        <w:rPr>
          <w:rFonts w:ascii="Arial" w:eastAsia="Times New Roman" w:hAnsi="Arial" w:cs="Arial"/>
          <w:kern w:val="0"/>
          <w:lang w:val="en-GB"/>
          <w14:ligatures w14:val="none"/>
        </w:rPr>
        <w:t>Mozaffarian, D. and Wu, J.H., 2011. Omega-3 fatty acids and cardiovascular disease: effects on risk factors, molecular pathways, and clinical events. Journal of the American College of Cardiology, 58(20), pp.2047-2067.</w:t>
      </w:r>
    </w:p>
    <w:p w14:paraId="2F4D5863" w14:textId="79D949E0"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 </w:t>
      </w:r>
    </w:p>
    <w:p w14:paraId="4544A7CE" w14:textId="77777777" w:rsidR="008F4D29" w:rsidRPr="00222705" w:rsidRDefault="008F4D29" w:rsidP="00EF007D">
      <w:pPr>
        <w:rPr>
          <w:rFonts w:ascii="Arial" w:eastAsia="Times New Roman" w:hAnsi="Arial" w:cs="Arial"/>
          <w:kern w:val="0"/>
          <w14:ligatures w14:val="none"/>
        </w:rPr>
      </w:pPr>
      <w:bookmarkStart w:id="82" w:name="OLE_LINK31"/>
      <w:r w:rsidRPr="00222705">
        <w:rPr>
          <w:rFonts w:ascii="Arial" w:eastAsia="Times New Roman" w:hAnsi="Arial" w:cs="Arial"/>
          <w:kern w:val="0"/>
          <w14:ligatures w14:val="none"/>
        </w:rPr>
        <w:t xml:space="preserve">Mozaffarian, D., </w:t>
      </w:r>
      <w:proofErr w:type="spellStart"/>
      <w:r w:rsidRPr="00222705">
        <w:rPr>
          <w:rFonts w:ascii="Arial" w:eastAsia="Times New Roman" w:hAnsi="Arial" w:cs="Arial"/>
          <w:kern w:val="0"/>
          <w14:ligatures w14:val="none"/>
        </w:rPr>
        <w:t>Geelen</w:t>
      </w:r>
      <w:proofErr w:type="spellEnd"/>
      <w:r w:rsidRPr="00222705">
        <w:rPr>
          <w:rFonts w:ascii="Arial" w:eastAsia="Times New Roman" w:hAnsi="Arial" w:cs="Arial"/>
          <w:kern w:val="0"/>
          <w14:ligatures w14:val="none"/>
        </w:rPr>
        <w:t>, A., Brouwer, I.A., </w:t>
      </w:r>
      <w:proofErr w:type="spellStart"/>
      <w:r w:rsidRPr="00222705">
        <w:rPr>
          <w:rFonts w:ascii="Arial" w:eastAsia="Times New Roman" w:hAnsi="Arial" w:cs="Arial"/>
          <w:kern w:val="0"/>
          <w14:ligatures w14:val="none"/>
        </w:rPr>
        <w:t>Geleijnse</w:t>
      </w:r>
      <w:proofErr w:type="spellEnd"/>
      <w:r w:rsidRPr="00222705">
        <w:rPr>
          <w:rFonts w:ascii="Arial" w:eastAsia="Times New Roman" w:hAnsi="Arial" w:cs="Arial"/>
          <w:kern w:val="0"/>
          <w14:ligatures w14:val="none"/>
        </w:rPr>
        <w:t xml:space="preserve">, J.M., </w:t>
      </w:r>
      <w:proofErr w:type="spellStart"/>
      <w:r w:rsidRPr="00222705">
        <w:rPr>
          <w:rFonts w:ascii="Arial" w:eastAsia="Times New Roman" w:hAnsi="Arial" w:cs="Arial"/>
          <w:kern w:val="0"/>
          <w14:ligatures w14:val="none"/>
        </w:rPr>
        <w:t>Zock</w:t>
      </w:r>
      <w:proofErr w:type="spellEnd"/>
      <w:r w:rsidRPr="00222705">
        <w:rPr>
          <w:rFonts w:ascii="Arial" w:eastAsia="Times New Roman" w:hAnsi="Arial" w:cs="Arial"/>
          <w:kern w:val="0"/>
          <w14:ligatures w14:val="none"/>
        </w:rPr>
        <w:t xml:space="preserve">, P.L. and </w:t>
      </w:r>
      <w:proofErr w:type="spellStart"/>
      <w:r w:rsidRPr="00222705">
        <w:rPr>
          <w:rFonts w:ascii="Arial" w:eastAsia="Times New Roman" w:hAnsi="Arial" w:cs="Arial"/>
          <w:kern w:val="0"/>
          <w14:ligatures w14:val="none"/>
        </w:rPr>
        <w:t>Katan</w:t>
      </w:r>
      <w:proofErr w:type="spellEnd"/>
      <w:r w:rsidRPr="00222705">
        <w:rPr>
          <w:rFonts w:ascii="Arial" w:eastAsia="Times New Roman" w:hAnsi="Arial" w:cs="Arial"/>
          <w:kern w:val="0"/>
          <w14:ligatures w14:val="none"/>
        </w:rPr>
        <w:t xml:space="preserve">, M.B., 2005. Effect of </w:t>
      </w:r>
      <w:proofErr w:type="spellStart"/>
      <w:r w:rsidRPr="00222705">
        <w:rPr>
          <w:rFonts w:ascii="Arial" w:eastAsia="Times New Roman" w:hAnsi="Arial" w:cs="Arial"/>
          <w:kern w:val="0"/>
          <w14:ligatures w14:val="none"/>
        </w:rPr>
        <w:t>fishoil</w:t>
      </w:r>
      <w:proofErr w:type="spellEnd"/>
      <w:r w:rsidRPr="00222705">
        <w:rPr>
          <w:rFonts w:ascii="Arial" w:eastAsia="Times New Roman" w:hAnsi="Arial" w:cs="Arial"/>
          <w:kern w:val="0"/>
          <w14:ligatures w14:val="none"/>
        </w:rPr>
        <w:t xml:space="preserve"> on heart rate in humans: a meta-analysis of randomized controlled trials. Circulation, 112(13), pp.1945-1952. </w:t>
      </w:r>
    </w:p>
    <w:p w14:paraId="167C1ACB" w14:textId="77777777" w:rsidR="008D6288" w:rsidRPr="00222705" w:rsidRDefault="008D6288" w:rsidP="00EF007D">
      <w:pPr>
        <w:rPr>
          <w:rFonts w:ascii="Arial" w:eastAsia="Times New Roman" w:hAnsi="Arial" w:cs="Arial"/>
          <w:kern w:val="0"/>
          <w14:ligatures w14:val="none"/>
        </w:rPr>
      </w:pPr>
    </w:p>
    <w:bookmarkEnd w:id="82"/>
    <w:p w14:paraId="75E65B81"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Mr, I., 2006. Sleep deprivation and activation of morning levels of cellular and genomic markers of inflammation. </w:t>
      </w:r>
      <w:r w:rsidRPr="00222705">
        <w:rPr>
          <w:rFonts w:ascii="Arial" w:hAnsi="Arial" w:cs="Arial"/>
        </w:rPr>
        <w:t>Arch Intern Med</w:t>
      </w:r>
      <w:r w:rsidRPr="00222705">
        <w:rPr>
          <w:rFonts w:ascii="Arial" w:hAnsi="Arial" w:cs="Arial"/>
          <w:shd w:val="clear" w:color="auto" w:fill="FFFFFF"/>
        </w:rPr>
        <w:t>, </w:t>
      </w:r>
      <w:r w:rsidRPr="00222705">
        <w:rPr>
          <w:rFonts w:ascii="Arial" w:hAnsi="Arial" w:cs="Arial"/>
        </w:rPr>
        <w:t>166</w:t>
      </w:r>
      <w:r w:rsidRPr="00222705">
        <w:rPr>
          <w:rFonts w:ascii="Arial" w:hAnsi="Arial" w:cs="Arial"/>
          <w:shd w:val="clear" w:color="auto" w:fill="FFFFFF"/>
        </w:rPr>
        <w:t>, pp.1756-1762.</w:t>
      </w:r>
    </w:p>
    <w:p w14:paraId="0FCF7736" w14:textId="77777777" w:rsidR="008D6288" w:rsidRPr="00222705" w:rsidRDefault="008D6288" w:rsidP="00EF007D">
      <w:pPr>
        <w:rPr>
          <w:rFonts w:ascii="Arial" w:hAnsi="Arial" w:cs="Arial"/>
          <w:shd w:val="clear" w:color="auto" w:fill="FFFFFF"/>
        </w:rPr>
      </w:pPr>
    </w:p>
    <w:p w14:paraId="2151639E"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 xml:space="preserve">Mullington, J.M., Haack, M. and Rifai, N., 2004. Cellular adhesion molecules (ICAM and VCAM), E-and </w:t>
      </w:r>
      <w:proofErr w:type="spellStart"/>
      <w:r w:rsidRPr="00222705">
        <w:rPr>
          <w:rFonts w:ascii="Arial" w:hAnsi="Arial" w:cs="Arial"/>
          <w:shd w:val="clear" w:color="auto" w:fill="FFFFFF"/>
        </w:rPr>
        <w:t>P-selectins</w:t>
      </w:r>
      <w:proofErr w:type="spellEnd"/>
      <w:r w:rsidRPr="00222705">
        <w:rPr>
          <w:rFonts w:ascii="Arial" w:hAnsi="Arial" w:cs="Arial"/>
          <w:shd w:val="clear" w:color="auto" w:fill="FFFFFF"/>
        </w:rPr>
        <w:t xml:space="preserve"> show diurnal rhythms with nadirs during sleep. </w:t>
      </w:r>
      <w:r w:rsidRPr="00222705">
        <w:rPr>
          <w:rFonts w:ascii="Arial" w:hAnsi="Arial" w:cs="Arial"/>
        </w:rPr>
        <w:t>J Sleep Res</w:t>
      </w:r>
      <w:r w:rsidRPr="00222705">
        <w:rPr>
          <w:rFonts w:ascii="Arial" w:hAnsi="Arial" w:cs="Arial"/>
          <w:shd w:val="clear" w:color="auto" w:fill="FFFFFF"/>
        </w:rPr>
        <w:t>, </w:t>
      </w:r>
      <w:r w:rsidRPr="00222705">
        <w:rPr>
          <w:rFonts w:ascii="Arial" w:hAnsi="Arial" w:cs="Arial"/>
        </w:rPr>
        <w:t>14</w:t>
      </w:r>
      <w:r w:rsidRPr="00222705">
        <w:rPr>
          <w:rFonts w:ascii="Arial" w:hAnsi="Arial" w:cs="Arial"/>
          <w:shd w:val="clear" w:color="auto" w:fill="FFFFFF"/>
        </w:rPr>
        <w:t>, p.s519.</w:t>
      </w:r>
      <w:r w:rsidRPr="00222705">
        <w:rPr>
          <w:rFonts w:ascii="Arial" w:hAnsi="Arial" w:cs="Arial"/>
          <w:shd w:val="clear" w:color="auto" w:fill="FFFFFF"/>
        </w:rPr>
        <w:br/>
      </w:r>
    </w:p>
    <w:p w14:paraId="4A6772B3"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 xml:space="preserve">Mullington, J.M., Haack, M., </w:t>
      </w:r>
      <w:proofErr w:type="spellStart"/>
      <w:r w:rsidRPr="00222705">
        <w:rPr>
          <w:rFonts w:ascii="Arial" w:hAnsi="Arial" w:cs="Arial"/>
          <w:shd w:val="clear" w:color="auto" w:fill="FFFFFF"/>
        </w:rPr>
        <w:t>Toth</w:t>
      </w:r>
      <w:proofErr w:type="spellEnd"/>
      <w:r w:rsidRPr="00222705">
        <w:rPr>
          <w:rFonts w:ascii="Arial" w:hAnsi="Arial" w:cs="Arial"/>
          <w:shd w:val="clear" w:color="auto" w:fill="FFFFFF"/>
        </w:rPr>
        <w:t xml:space="preserve">, M., Serrador, J.M. and </w:t>
      </w:r>
      <w:proofErr w:type="spellStart"/>
      <w:r w:rsidRPr="00222705">
        <w:rPr>
          <w:rFonts w:ascii="Arial" w:hAnsi="Arial" w:cs="Arial"/>
          <w:shd w:val="clear" w:color="auto" w:fill="FFFFFF"/>
        </w:rPr>
        <w:t>Meier-Ewert</w:t>
      </w:r>
      <w:proofErr w:type="spellEnd"/>
      <w:r w:rsidRPr="00222705">
        <w:rPr>
          <w:rFonts w:ascii="Arial" w:hAnsi="Arial" w:cs="Arial"/>
          <w:shd w:val="clear" w:color="auto" w:fill="FFFFFF"/>
        </w:rPr>
        <w:t>, H.K., 2009. Cardiovascular, inflammatory, and metabolic consequences of sleep deprivation. </w:t>
      </w:r>
      <w:r w:rsidRPr="00222705">
        <w:rPr>
          <w:rFonts w:ascii="Arial" w:hAnsi="Arial" w:cs="Arial"/>
        </w:rPr>
        <w:t>Progress in cardiovascular diseases</w:t>
      </w:r>
      <w:r w:rsidRPr="00222705">
        <w:rPr>
          <w:rFonts w:ascii="Arial" w:hAnsi="Arial" w:cs="Arial"/>
          <w:shd w:val="clear" w:color="auto" w:fill="FFFFFF"/>
        </w:rPr>
        <w:t>, </w:t>
      </w:r>
      <w:r w:rsidRPr="00222705">
        <w:rPr>
          <w:rFonts w:ascii="Arial" w:hAnsi="Arial" w:cs="Arial"/>
        </w:rPr>
        <w:t>51</w:t>
      </w:r>
      <w:r w:rsidRPr="00222705">
        <w:rPr>
          <w:rFonts w:ascii="Arial" w:hAnsi="Arial" w:cs="Arial"/>
          <w:shd w:val="clear" w:color="auto" w:fill="FFFFFF"/>
        </w:rPr>
        <w:t>(4), pp.294-302.</w:t>
      </w:r>
    </w:p>
    <w:p w14:paraId="5470B957" w14:textId="77777777" w:rsidR="008D6288" w:rsidRPr="00222705" w:rsidRDefault="008D6288" w:rsidP="00EF007D">
      <w:pPr>
        <w:rPr>
          <w:rFonts w:ascii="Arial" w:hAnsi="Arial" w:cs="Arial"/>
          <w:shd w:val="clear" w:color="auto" w:fill="FFFFFF"/>
        </w:rPr>
      </w:pPr>
    </w:p>
    <w:p w14:paraId="7DA80FBF"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lastRenderedPageBreak/>
        <w:t xml:space="preserve">Munir, F., </w:t>
      </w:r>
      <w:proofErr w:type="spellStart"/>
      <w:r w:rsidRPr="00222705">
        <w:rPr>
          <w:rFonts w:ascii="Arial" w:hAnsi="Arial" w:cs="Arial"/>
          <w:shd w:val="clear" w:color="auto" w:fill="FFFFFF"/>
        </w:rPr>
        <w:t>Clemes</w:t>
      </w:r>
      <w:proofErr w:type="spellEnd"/>
      <w:r w:rsidRPr="00222705">
        <w:rPr>
          <w:rFonts w:ascii="Arial" w:hAnsi="Arial" w:cs="Arial"/>
          <w:shd w:val="clear" w:color="auto" w:fill="FFFFFF"/>
        </w:rPr>
        <w:t xml:space="preserve">, S., </w:t>
      </w:r>
      <w:proofErr w:type="spellStart"/>
      <w:r w:rsidRPr="00222705">
        <w:rPr>
          <w:rFonts w:ascii="Arial" w:hAnsi="Arial" w:cs="Arial"/>
          <w:shd w:val="clear" w:color="auto" w:fill="FFFFFF"/>
        </w:rPr>
        <w:t>Houdmont</w:t>
      </w:r>
      <w:proofErr w:type="spellEnd"/>
      <w:r w:rsidRPr="00222705">
        <w:rPr>
          <w:rFonts w:ascii="Arial" w:hAnsi="Arial" w:cs="Arial"/>
          <w:shd w:val="clear" w:color="auto" w:fill="FFFFFF"/>
        </w:rPr>
        <w:t>, J. and Randall, R., 2012. Overweight and obesity in UK firefighters. </w:t>
      </w:r>
      <w:r w:rsidRPr="00222705">
        <w:rPr>
          <w:rFonts w:ascii="Arial" w:hAnsi="Arial" w:cs="Arial"/>
        </w:rPr>
        <w:t>Occupational medicine</w:t>
      </w:r>
      <w:r w:rsidRPr="00222705">
        <w:rPr>
          <w:rFonts w:ascii="Arial" w:hAnsi="Arial" w:cs="Arial"/>
          <w:shd w:val="clear" w:color="auto" w:fill="FFFFFF"/>
        </w:rPr>
        <w:t>, </w:t>
      </w:r>
      <w:r w:rsidRPr="00222705">
        <w:rPr>
          <w:rFonts w:ascii="Arial" w:hAnsi="Arial" w:cs="Arial"/>
        </w:rPr>
        <w:t>62</w:t>
      </w:r>
      <w:r w:rsidRPr="00222705">
        <w:rPr>
          <w:rFonts w:ascii="Arial" w:hAnsi="Arial" w:cs="Arial"/>
          <w:shd w:val="clear" w:color="auto" w:fill="FFFFFF"/>
        </w:rPr>
        <w:t>(5), pp.362-365.</w:t>
      </w:r>
    </w:p>
    <w:p w14:paraId="57815CC2" w14:textId="77777777" w:rsidR="008D6288" w:rsidRPr="00222705" w:rsidRDefault="008D6288" w:rsidP="00EF007D">
      <w:pPr>
        <w:rPr>
          <w:rFonts w:ascii="Arial" w:hAnsi="Arial" w:cs="Arial"/>
          <w:shd w:val="clear" w:color="auto" w:fill="FFFFFF"/>
        </w:rPr>
      </w:pPr>
    </w:p>
    <w:p w14:paraId="3371009B" w14:textId="77777777" w:rsidR="008F4D29" w:rsidRPr="00222705" w:rsidRDefault="008F4D29" w:rsidP="00EF007D">
      <w:pPr>
        <w:rPr>
          <w:rFonts w:ascii="Arial" w:eastAsia="Aptos" w:hAnsi="Arial" w:cs="Arial"/>
        </w:rPr>
      </w:pPr>
      <w:r w:rsidRPr="00222705">
        <w:rPr>
          <w:rFonts w:ascii="Arial" w:eastAsia="Aptos" w:hAnsi="Arial" w:cs="Arial"/>
        </w:rPr>
        <w:t>National Fire Protection Association, 2018. NFPA 1582, Standard on comprehensive occupational medical program for fire departments. National Fire Protection Association.</w:t>
      </w:r>
    </w:p>
    <w:p w14:paraId="11311BA5"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lang w:val="en-GB"/>
          <w14:ligatures w14:val="none"/>
        </w:rPr>
        <w:t>National Institute for Health and Care Excellence (NICE) (2019) Hypertension in adults: diagnosis and management (NG136). Available at: https://www.nice.org.uk/guidance/ng136 (Accessed: 25 February 2026).</w:t>
      </w:r>
      <w:r w:rsidRPr="00222705">
        <w:rPr>
          <w:rFonts w:ascii="Arial" w:eastAsia="Times New Roman" w:hAnsi="Arial" w:cs="Arial"/>
          <w:kern w:val="0"/>
          <w14:ligatures w14:val="none"/>
        </w:rPr>
        <w:t> </w:t>
      </w:r>
    </w:p>
    <w:p w14:paraId="0C29697B" w14:textId="77777777" w:rsidR="008D6288" w:rsidRPr="00222705" w:rsidRDefault="008D6288" w:rsidP="00EF007D">
      <w:pPr>
        <w:rPr>
          <w:rFonts w:ascii="Arial" w:eastAsia="Times New Roman" w:hAnsi="Arial" w:cs="Arial"/>
          <w:kern w:val="0"/>
          <w14:ligatures w14:val="none"/>
        </w:rPr>
      </w:pPr>
    </w:p>
    <w:p w14:paraId="23FE3A8C"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Navarro, K., 2020. Working in smoke: wildfire impacts on the health of firefighters and outdoor workers and mitigation strategies. Clinics in chest medicine, 41(4), p.763. </w:t>
      </w:r>
    </w:p>
    <w:p w14:paraId="0A5A02DD" w14:textId="77777777" w:rsidR="008D6288" w:rsidRPr="00222705" w:rsidRDefault="008D6288" w:rsidP="00EF007D">
      <w:pPr>
        <w:rPr>
          <w:rFonts w:ascii="Arial" w:eastAsia="Times New Roman" w:hAnsi="Arial" w:cs="Arial"/>
          <w:kern w:val="0"/>
          <w14:ligatures w14:val="none"/>
        </w:rPr>
      </w:pPr>
    </w:p>
    <w:p w14:paraId="6B18C9C6"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 xml:space="preserve">Navarro, K.M., Butler, C.R., Fent, K., Toennis, C., Sammons, D., Ramirez-Cardenas, A., Clark, K.A., Byrne, D.C., </w:t>
      </w:r>
      <w:proofErr w:type="spellStart"/>
      <w:r w:rsidRPr="00222705">
        <w:rPr>
          <w:rFonts w:ascii="Arial" w:hAnsi="Arial" w:cs="Arial"/>
          <w:shd w:val="clear" w:color="auto" w:fill="FFFFFF"/>
        </w:rPr>
        <w:t>Graydon</w:t>
      </w:r>
      <w:proofErr w:type="spellEnd"/>
      <w:r w:rsidRPr="00222705">
        <w:rPr>
          <w:rFonts w:ascii="Arial" w:hAnsi="Arial" w:cs="Arial"/>
          <w:shd w:val="clear" w:color="auto" w:fill="FFFFFF"/>
        </w:rPr>
        <w:t>, P.S., Hale, C.R. and Wilkinson, A.F., 2022. The wildland firefighter exposure and health effect (WFFEHE) study: Rationale, design, and methods of a repeated-measures study. </w:t>
      </w:r>
      <w:r w:rsidRPr="00222705">
        <w:rPr>
          <w:rFonts w:ascii="Arial" w:hAnsi="Arial" w:cs="Arial"/>
        </w:rPr>
        <w:t>Annals of work exposures and health</w:t>
      </w:r>
      <w:r w:rsidRPr="00222705">
        <w:rPr>
          <w:rFonts w:ascii="Arial" w:hAnsi="Arial" w:cs="Arial"/>
          <w:shd w:val="clear" w:color="auto" w:fill="FFFFFF"/>
        </w:rPr>
        <w:t>, </w:t>
      </w:r>
      <w:r w:rsidRPr="00222705">
        <w:rPr>
          <w:rFonts w:ascii="Arial" w:hAnsi="Arial" w:cs="Arial"/>
        </w:rPr>
        <w:t>66</w:t>
      </w:r>
      <w:r w:rsidRPr="00222705">
        <w:rPr>
          <w:rFonts w:ascii="Arial" w:hAnsi="Arial" w:cs="Arial"/>
          <w:shd w:val="clear" w:color="auto" w:fill="FFFFFF"/>
        </w:rPr>
        <w:t>(6), pp.714-727.</w:t>
      </w:r>
    </w:p>
    <w:p w14:paraId="5A56855F" w14:textId="77777777" w:rsidR="008D6288" w:rsidRPr="00222705" w:rsidRDefault="008D6288" w:rsidP="00EF007D">
      <w:pPr>
        <w:rPr>
          <w:rFonts w:ascii="Arial" w:hAnsi="Arial" w:cs="Arial"/>
          <w:shd w:val="clear" w:color="auto" w:fill="FFFFFF"/>
        </w:rPr>
      </w:pPr>
    </w:p>
    <w:p w14:paraId="3101A49F" w14:textId="77777777" w:rsidR="008F4D29" w:rsidRPr="00222705" w:rsidRDefault="008F4D29" w:rsidP="00EF007D">
      <w:pPr>
        <w:rPr>
          <w:rFonts w:ascii="Arial" w:hAnsi="Arial" w:cs="Arial"/>
        </w:rPr>
      </w:pPr>
      <w:r w:rsidRPr="00222705">
        <w:rPr>
          <w:rFonts w:ascii="Arial" w:hAnsi="Arial" w:cs="Arial"/>
          <w:shd w:val="clear" w:color="auto" w:fill="FFFFFF"/>
          <w:lang w:val="en-GB"/>
        </w:rPr>
        <w:t xml:space="preserve">Navarro, K.M., Kleinman, M.T., Mackay, C.E., Reinhardt, T.E., </w:t>
      </w:r>
      <w:proofErr w:type="spellStart"/>
      <w:r w:rsidRPr="00222705">
        <w:rPr>
          <w:rFonts w:ascii="Arial" w:hAnsi="Arial" w:cs="Arial"/>
          <w:shd w:val="clear" w:color="auto" w:fill="FFFFFF"/>
          <w:lang w:val="en-GB"/>
        </w:rPr>
        <w:t>Balmes</w:t>
      </w:r>
      <w:proofErr w:type="spellEnd"/>
      <w:r w:rsidRPr="00222705">
        <w:rPr>
          <w:rFonts w:ascii="Arial" w:hAnsi="Arial" w:cs="Arial"/>
          <w:shd w:val="clear" w:color="auto" w:fill="FFFFFF"/>
          <w:lang w:val="en-GB"/>
        </w:rPr>
        <w:t xml:space="preserve">, J.R., Broyles, G.A., Ottmar, R.D., </w:t>
      </w:r>
      <w:proofErr w:type="spellStart"/>
      <w:r w:rsidRPr="00222705">
        <w:rPr>
          <w:rFonts w:ascii="Arial" w:hAnsi="Arial" w:cs="Arial"/>
          <w:shd w:val="clear" w:color="auto" w:fill="FFFFFF"/>
          <w:lang w:val="en-GB"/>
        </w:rPr>
        <w:t>Naher</w:t>
      </w:r>
      <w:proofErr w:type="spellEnd"/>
      <w:r w:rsidRPr="00222705">
        <w:rPr>
          <w:rFonts w:ascii="Arial" w:hAnsi="Arial" w:cs="Arial"/>
          <w:shd w:val="clear" w:color="auto" w:fill="FFFFFF"/>
          <w:lang w:val="en-GB"/>
        </w:rPr>
        <w:t>, L.P. and Domitrovich, J.W., 2019. Wildland firefighter smoke exposure and risk of lung cancer and cardiovascular disease mortality. </w:t>
      </w:r>
      <w:r w:rsidRPr="00222705">
        <w:rPr>
          <w:rFonts w:ascii="Arial" w:hAnsi="Arial" w:cs="Arial"/>
          <w:lang w:val="en-GB"/>
        </w:rPr>
        <w:t>Environmental research</w:t>
      </w:r>
      <w:r w:rsidRPr="00222705">
        <w:rPr>
          <w:rFonts w:ascii="Arial" w:hAnsi="Arial" w:cs="Arial"/>
          <w:shd w:val="clear" w:color="auto" w:fill="FFFFFF"/>
          <w:lang w:val="en-GB"/>
        </w:rPr>
        <w:t>, </w:t>
      </w:r>
      <w:r w:rsidRPr="00222705">
        <w:rPr>
          <w:rFonts w:ascii="Arial" w:hAnsi="Arial" w:cs="Arial"/>
          <w:lang w:val="en-GB"/>
        </w:rPr>
        <w:t>173</w:t>
      </w:r>
      <w:r w:rsidRPr="00222705">
        <w:rPr>
          <w:rFonts w:ascii="Arial" w:hAnsi="Arial" w:cs="Arial"/>
          <w:shd w:val="clear" w:color="auto" w:fill="FFFFFF"/>
          <w:lang w:val="en-GB"/>
        </w:rPr>
        <w:t>, pp.462-468</w:t>
      </w:r>
      <w:r w:rsidRPr="00222705">
        <w:rPr>
          <w:rFonts w:ascii="Arial" w:hAnsi="Arial" w:cs="Arial"/>
        </w:rPr>
        <w:t> </w:t>
      </w:r>
    </w:p>
    <w:p w14:paraId="057F54E7" w14:textId="77777777" w:rsidR="008D6288" w:rsidRPr="00222705" w:rsidRDefault="008D6288" w:rsidP="00EF007D">
      <w:pPr>
        <w:rPr>
          <w:rFonts w:ascii="Arial" w:hAnsi="Arial" w:cs="Arial"/>
        </w:rPr>
      </w:pPr>
    </w:p>
    <w:p w14:paraId="27152C9F" w14:textId="77777777" w:rsidR="008F4D29" w:rsidRPr="00222705" w:rsidRDefault="008F4D29" w:rsidP="00EF007D">
      <w:pPr>
        <w:rPr>
          <w:rFonts w:ascii="Arial" w:eastAsia="Aptos" w:hAnsi="Arial" w:cs="Arial"/>
        </w:rPr>
      </w:pPr>
      <w:r w:rsidRPr="00222705">
        <w:rPr>
          <w:rFonts w:ascii="Arial" w:eastAsia="Aptos" w:hAnsi="Arial" w:cs="Arial"/>
        </w:rPr>
        <w:t xml:space="preserve">Nazari, G., </w:t>
      </w:r>
      <w:proofErr w:type="spellStart"/>
      <w:r w:rsidRPr="00222705">
        <w:rPr>
          <w:rFonts w:ascii="Arial" w:eastAsia="Aptos" w:hAnsi="Arial" w:cs="Arial"/>
        </w:rPr>
        <w:t>MacDermid</w:t>
      </w:r>
      <w:proofErr w:type="spellEnd"/>
      <w:r w:rsidRPr="00222705">
        <w:rPr>
          <w:rFonts w:ascii="Arial" w:eastAsia="Aptos" w:hAnsi="Arial" w:cs="Arial"/>
        </w:rPr>
        <w:t xml:space="preserve">, J.C., Sinden, K.E. and </w:t>
      </w:r>
      <w:proofErr w:type="spellStart"/>
      <w:r w:rsidRPr="00222705">
        <w:rPr>
          <w:rFonts w:ascii="Arial" w:eastAsia="Aptos" w:hAnsi="Arial" w:cs="Arial"/>
        </w:rPr>
        <w:t>Overend</w:t>
      </w:r>
      <w:proofErr w:type="spellEnd"/>
      <w:r w:rsidRPr="00222705">
        <w:rPr>
          <w:rFonts w:ascii="Arial" w:eastAsia="Aptos" w:hAnsi="Arial" w:cs="Arial"/>
        </w:rPr>
        <w:t>, T.J., 2018. The relationship between physical fitness and simulated firefighting task performance. Rehabilitation research and practice, 2018(1), p.3234176.</w:t>
      </w:r>
    </w:p>
    <w:p w14:paraId="7D8EE989" w14:textId="77777777" w:rsidR="008D6288" w:rsidRPr="00222705" w:rsidRDefault="008D6288" w:rsidP="00EF007D">
      <w:pPr>
        <w:rPr>
          <w:rFonts w:ascii="Arial" w:eastAsia="Aptos" w:hAnsi="Arial" w:cs="Arial"/>
        </w:rPr>
      </w:pPr>
    </w:p>
    <w:p w14:paraId="725DA6D3"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lang w:val="en-GB"/>
          <w14:ligatures w14:val="none"/>
        </w:rPr>
        <w:t>NHS (2023) Obesity. Available at: https://www.nhs.uk/conditions/obesity/ (Accessed: 25 February 2026).</w:t>
      </w:r>
      <w:r w:rsidRPr="00222705">
        <w:rPr>
          <w:rFonts w:ascii="Arial" w:eastAsia="Times New Roman" w:hAnsi="Arial" w:cs="Arial"/>
          <w:kern w:val="0"/>
          <w14:ligatures w14:val="none"/>
        </w:rPr>
        <w:t> </w:t>
      </w:r>
    </w:p>
    <w:p w14:paraId="5D2E7A67" w14:textId="77777777" w:rsidR="008D6288" w:rsidRPr="00222705" w:rsidRDefault="008D6288" w:rsidP="00EF007D">
      <w:pPr>
        <w:rPr>
          <w:rFonts w:ascii="Arial" w:eastAsia="Times New Roman" w:hAnsi="Arial" w:cs="Arial"/>
          <w:kern w:val="0"/>
          <w14:ligatures w14:val="none"/>
        </w:rPr>
      </w:pPr>
    </w:p>
    <w:p w14:paraId="0DD5EF68" w14:textId="77777777" w:rsidR="008F4D29" w:rsidRPr="00222705" w:rsidRDefault="008F4D29" w:rsidP="00EF007D">
      <w:pPr>
        <w:rPr>
          <w:rFonts w:ascii="Arial" w:hAnsi="Arial" w:cs="Arial"/>
        </w:rPr>
      </w:pPr>
      <w:r w:rsidRPr="00222705">
        <w:rPr>
          <w:rFonts w:ascii="Arial" w:hAnsi="Arial" w:cs="Arial"/>
        </w:rPr>
        <w:t xml:space="preserve">Niyatiwatchanchai, N., </w:t>
      </w:r>
      <w:proofErr w:type="spellStart"/>
      <w:r w:rsidRPr="00222705">
        <w:rPr>
          <w:rFonts w:ascii="Arial" w:hAnsi="Arial" w:cs="Arial"/>
        </w:rPr>
        <w:t>Pothirat</w:t>
      </w:r>
      <w:proofErr w:type="spellEnd"/>
      <w:r w:rsidRPr="00222705">
        <w:rPr>
          <w:rFonts w:ascii="Arial" w:hAnsi="Arial" w:cs="Arial"/>
        </w:rPr>
        <w:t xml:space="preserve">, C., </w:t>
      </w:r>
      <w:proofErr w:type="spellStart"/>
      <w:r w:rsidRPr="00222705">
        <w:rPr>
          <w:rFonts w:ascii="Arial" w:hAnsi="Arial" w:cs="Arial"/>
        </w:rPr>
        <w:t>Chaiwong</w:t>
      </w:r>
      <w:proofErr w:type="spellEnd"/>
      <w:r w:rsidRPr="00222705">
        <w:rPr>
          <w:rFonts w:ascii="Arial" w:hAnsi="Arial" w:cs="Arial"/>
        </w:rPr>
        <w:t xml:space="preserve">, W., </w:t>
      </w:r>
      <w:proofErr w:type="spellStart"/>
      <w:r w:rsidRPr="00222705">
        <w:rPr>
          <w:rFonts w:ascii="Arial" w:hAnsi="Arial" w:cs="Arial"/>
        </w:rPr>
        <w:t>Liwsrisakun</w:t>
      </w:r>
      <w:proofErr w:type="spellEnd"/>
      <w:r w:rsidRPr="00222705">
        <w:rPr>
          <w:rFonts w:ascii="Arial" w:hAnsi="Arial" w:cs="Arial"/>
        </w:rPr>
        <w:t xml:space="preserve">, C., </w:t>
      </w:r>
      <w:proofErr w:type="spellStart"/>
      <w:r w:rsidRPr="00222705">
        <w:rPr>
          <w:rFonts w:ascii="Arial" w:hAnsi="Arial" w:cs="Arial"/>
        </w:rPr>
        <w:t>Phetsuk</w:t>
      </w:r>
      <w:proofErr w:type="spellEnd"/>
      <w:r w:rsidRPr="00222705">
        <w:rPr>
          <w:rFonts w:ascii="Arial" w:hAnsi="Arial" w:cs="Arial"/>
        </w:rPr>
        <w:t xml:space="preserve">, N., </w:t>
      </w:r>
      <w:proofErr w:type="spellStart"/>
      <w:r w:rsidRPr="00222705">
        <w:rPr>
          <w:rFonts w:ascii="Arial" w:hAnsi="Arial" w:cs="Arial"/>
        </w:rPr>
        <w:t>Duangjit</w:t>
      </w:r>
      <w:proofErr w:type="spellEnd"/>
      <w:r w:rsidRPr="00222705">
        <w:rPr>
          <w:rFonts w:ascii="Arial" w:hAnsi="Arial" w:cs="Arial"/>
        </w:rPr>
        <w:t xml:space="preserve">, P. and </w:t>
      </w:r>
      <w:proofErr w:type="spellStart"/>
      <w:r w:rsidRPr="00222705">
        <w:rPr>
          <w:rFonts w:ascii="Arial" w:hAnsi="Arial" w:cs="Arial"/>
        </w:rPr>
        <w:t>Choomuang</w:t>
      </w:r>
      <w:proofErr w:type="spellEnd"/>
      <w:r w:rsidRPr="00222705">
        <w:rPr>
          <w:rFonts w:ascii="Arial" w:hAnsi="Arial" w:cs="Arial"/>
        </w:rPr>
        <w:t xml:space="preserve">, W., 2023. Short-term effects of air pollutant exposure on small airway dysfunction, spirometry, health-related quality of life, and inflammatory </w:t>
      </w:r>
      <w:r w:rsidRPr="00222705">
        <w:rPr>
          <w:rFonts w:ascii="Arial" w:hAnsi="Arial" w:cs="Arial"/>
        </w:rPr>
        <w:lastRenderedPageBreak/>
        <w:t>biomarkers in wildland firefighters: a pilot study. International Journal of Environmental Health Research, 33(9), pp.850-863.</w:t>
      </w:r>
    </w:p>
    <w:p w14:paraId="2B0D133F" w14:textId="77777777" w:rsidR="008D6288" w:rsidRPr="00222705" w:rsidRDefault="008D6288" w:rsidP="00EF007D">
      <w:pPr>
        <w:rPr>
          <w:rFonts w:ascii="Arial" w:hAnsi="Arial" w:cs="Arial"/>
        </w:rPr>
      </w:pPr>
    </w:p>
    <w:p w14:paraId="634E1AE8" w14:textId="77777777" w:rsidR="008F4D29" w:rsidRPr="00222705" w:rsidRDefault="008F4D29" w:rsidP="00EF007D">
      <w:pPr>
        <w:rPr>
          <w:rFonts w:ascii="Arial" w:eastAsiaTheme="minorEastAsia" w:hAnsi="Arial" w:cs="Arial"/>
          <w:lang w:val="en-GB" w:eastAsia="en-GB"/>
        </w:rPr>
      </w:pPr>
      <w:r w:rsidRPr="00222705">
        <w:rPr>
          <w:rFonts w:ascii="Arial" w:eastAsiaTheme="minorEastAsia" w:hAnsi="Arial" w:cs="Arial"/>
          <w:lang w:val="en-GB" w:eastAsia="en-GB"/>
        </w:rPr>
        <w:t>Nutritics Ltd. (2024). Nutritics Dietary Analysis Software. Dublin, Ireland: Nutritics Ltd.</w:t>
      </w:r>
    </w:p>
    <w:p w14:paraId="62438158" w14:textId="77777777" w:rsidR="008D6288" w:rsidRPr="00222705" w:rsidRDefault="008D6288" w:rsidP="00EF007D">
      <w:pPr>
        <w:rPr>
          <w:rFonts w:ascii="Arial" w:eastAsiaTheme="minorEastAsia" w:hAnsi="Arial" w:cs="Arial"/>
          <w:lang w:val="en-GB" w:eastAsia="en-GB"/>
        </w:rPr>
      </w:pPr>
    </w:p>
    <w:p w14:paraId="466B23FA" w14:textId="77777777" w:rsidR="008F4D29" w:rsidRPr="00222705" w:rsidRDefault="008F4D29" w:rsidP="00EF007D">
      <w:pPr>
        <w:rPr>
          <w:rFonts w:ascii="Arial" w:hAnsi="Arial" w:cs="Arial"/>
        </w:rPr>
      </w:pPr>
      <w:r w:rsidRPr="00222705">
        <w:rPr>
          <w:rFonts w:ascii="Arial" w:hAnsi="Arial" w:cs="Arial"/>
        </w:rPr>
        <w:t>Nwanaji-Enwerem, J.C., Cardenas, A., Goodrich, J.M., Furlong, M.A., Jung, A.M., </w:t>
      </w:r>
      <w:proofErr w:type="spellStart"/>
      <w:r w:rsidRPr="00222705">
        <w:rPr>
          <w:rFonts w:ascii="Arial" w:hAnsi="Arial" w:cs="Arial"/>
        </w:rPr>
        <w:t>Collender</w:t>
      </w:r>
      <w:proofErr w:type="spellEnd"/>
      <w:r w:rsidRPr="00222705">
        <w:rPr>
          <w:rFonts w:ascii="Arial" w:hAnsi="Arial" w:cs="Arial"/>
        </w:rPr>
        <w:t>, P.A., Caban-Martinez, A.J., Grant, C., Beitel, S.C., Littau, S. and Urwin, D.J., 2023. Occupational years of service and leukocyte epigenetic aging: relationships in United States firefighters. Journal of occupational and environmental medicine, 65(5), </w:t>
      </w:r>
      <w:proofErr w:type="spellStart"/>
      <w:r w:rsidRPr="00222705">
        <w:rPr>
          <w:rFonts w:ascii="Arial" w:hAnsi="Arial" w:cs="Arial"/>
        </w:rPr>
        <w:t>pp.e312-e318</w:t>
      </w:r>
      <w:proofErr w:type="spellEnd"/>
      <w:r w:rsidRPr="00222705">
        <w:rPr>
          <w:rFonts w:ascii="Arial" w:hAnsi="Arial" w:cs="Arial"/>
        </w:rPr>
        <w:t>.  </w:t>
      </w:r>
    </w:p>
    <w:p w14:paraId="1075FF5F" w14:textId="77777777" w:rsidR="008D6288" w:rsidRPr="00222705" w:rsidRDefault="008D6288" w:rsidP="00EF007D">
      <w:pPr>
        <w:rPr>
          <w:rFonts w:ascii="Arial" w:hAnsi="Arial" w:cs="Arial"/>
        </w:rPr>
      </w:pPr>
    </w:p>
    <w:p w14:paraId="175004AA" w14:textId="77777777" w:rsidR="008F4D29" w:rsidRPr="00222705" w:rsidRDefault="008F4D29" w:rsidP="00EF007D">
      <w:pPr>
        <w:rPr>
          <w:rFonts w:ascii="Arial" w:hAnsi="Arial" w:cs="Arial"/>
        </w:rPr>
      </w:pPr>
      <w:r w:rsidRPr="00222705">
        <w:rPr>
          <w:rFonts w:ascii="Arial" w:hAnsi="Arial" w:cs="Arial"/>
        </w:rPr>
        <w:t>Oberther, T.J., Moore, A.R., Kohler, A.A. and Holland-Winkler, A.M., 2025. Relationship Between Systemic Inflammation and Glycemic Control in Firefighters. Journal of Functional Morphology and Kinesiology, 10(2), p.148.</w:t>
      </w:r>
    </w:p>
    <w:p w14:paraId="3D6C5072" w14:textId="77777777" w:rsidR="008D6288" w:rsidRPr="00222705" w:rsidRDefault="008D6288" w:rsidP="00EF007D">
      <w:pPr>
        <w:rPr>
          <w:rFonts w:ascii="Arial" w:hAnsi="Arial" w:cs="Arial"/>
        </w:rPr>
      </w:pPr>
    </w:p>
    <w:p w14:paraId="73CFB53D"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Ochi, E. and Tsuchiya, Y., 2019. Eicosapentaenoic acid and docosahexaenoic acid in endurance performance and cardiovascular function. Exercise Science, 28(4), pp.317-323. </w:t>
      </w:r>
    </w:p>
    <w:p w14:paraId="479C7182" w14:textId="77777777" w:rsidR="008D6288" w:rsidRPr="00222705" w:rsidRDefault="008D6288" w:rsidP="00EF007D">
      <w:pPr>
        <w:rPr>
          <w:rFonts w:ascii="Arial" w:eastAsia="Times New Roman" w:hAnsi="Arial" w:cs="Arial"/>
          <w:kern w:val="0"/>
          <w14:ligatures w14:val="none"/>
        </w:rPr>
      </w:pPr>
    </w:p>
    <w:p w14:paraId="0268C9F1" w14:textId="77777777" w:rsidR="008F4D29" w:rsidRPr="00222705" w:rsidRDefault="008F4D29" w:rsidP="00EF007D">
      <w:pPr>
        <w:rPr>
          <w:rFonts w:ascii="Arial" w:hAnsi="Arial" w:cs="Arial"/>
        </w:rPr>
      </w:pPr>
      <w:r w:rsidRPr="00222705">
        <w:rPr>
          <w:rFonts w:ascii="Arial" w:hAnsi="Arial" w:cs="Arial"/>
        </w:rPr>
        <w:t>Olshansky, B., Ricci, F. and </w:t>
      </w:r>
      <w:proofErr w:type="spellStart"/>
      <w:r w:rsidRPr="00222705">
        <w:rPr>
          <w:rFonts w:ascii="Arial" w:hAnsi="Arial" w:cs="Arial"/>
        </w:rPr>
        <w:t>Fedorowski</w:t>
      </w:r>
      <w:proofErr w:type="spellEnd"/>
      <w:r w:rsidRPr="00222705">
        <w:rPr>
          <w:rFonts w:ascii="Arial" w:hAnsi="Arial" w:cs="Arial"/>
        </w:rPr>
        <w:t>, A., 2023. Importance of resting heart rate. Trends inCardiovascular Medicine, 33(8), pp.502-515. </w:t>
      </w:r>
    </w:p>
    <w:p w14:paraId="4CA7E116" w14:textId="77777777" w:rsidR="008D6288" w:rsidRPr="00222705" w:rsidRDefault="008D6288" w:rsidP="00EF007D">
      <w:pPr>
        <w:rPr>
          <w:rFonts w:ascii="Arial" w:hAnsi="Arial" w:cs="Arial"/>
        </w:rPr>
      </w:pPr>
    </w:p>
    <w:p w14:paraId="0917E1DE" w14:textId="77777777" w:rsidR="008F4D29" w:rsidRPr="00222705" w:rsidRDefault="008F4D29" w:rsidP="00EF007D">
      <w:pPr>
        <w:rPr>
          <w:rFonts w:ascii="Arial" w:eastAsia="Times New Roman" w:hAnsi="Arial" w:cs="Arial"/>
          <w:shd w:val="clear" w:color="auto" w:fill="FFFFFF"/>
          <w:lang w:val="en-GB" w:eastAsia="en-GB"/>
        </w:rPr>
      </w:pPr>
      <w:r w:rsidRPr="00222705">
        <w:rPr>
          <w:rFonts w:ascii="Arial" w:eastAsia="Times New Roman" w:hAnsi="Arial" w:cs="Arial"/>
          <w:shd w:val="clear" w:color="auto" w:fill="FFFFFF"/>
          <w:lang w:val="en-GB" w:eastAsia="en-GB"/>
        </w:rPr>
        <w:t xml:space="preserve">Ortega, R.M., Pérez-Rodrigo, C. and </w:t>
      </w:r>
      <w:proofErr w:type="spellStart"/>
      <w:r w:rsidRPr="00222705">
        <w:rPr>
          <w:rFonts w:ascii="Arial" w:eastAsia="Times New Roman" w:hAnsi="Arial" w:cs="Arial"/>
          <w:shd w:val="clear" w:color="auto" w:fill="FFFFFF"/>
          <w:lang w:val="en-GB" w:eastAsia="en-GB"/>
        </w:rPr>
        <w:t>López-Sobaler</w:t>
      </w:r>
      <w:proofErr w:type="spellEnd"/>
      <w:r w:rsidRPr="00222705">
        <w:rPr>
          <w:rFonts w:ascii="Arial" w:eastAsia="Times New Roman" w:hAnsi="Arial" w:cs="Arial"/>
          <w:shd w:val="clear" w:color="auto" w:fill="FFFFFF"/>
          <w:lang w:val="en-GB" w:eastAsia="en-GB"/>
        </w:rPr>
        <w:t>, A.M., 2015. Dietary assessment methods: dietary records. </w:t>
      </w:r>
      <w:proofErr w:type="spellStart"/>
      <w:r w:rsidRPr="00222705">
        <w:rPr>
          <w:rFonts w:ascii="Arial" w:eastAsia="Times New Roman" w:hAnsi="Arial" w:cs="Arial"/>
          <w:lang w:val="en-GB" w:eastAsia="en-GB"/>
        </w:rPr>
        <w:t>Nutricion</w:t>
      </w:r>
      <w:proofErr w:type="spellEnd"/>
      <w:r w:rsidRPr="00222705">
        <w:rPr>
          <w:rFonts w:ascii="Arial" w:eastAsia="Times New Roman" w:hAnsi="Arial" w:cs="Arial"/>
          <w:lang w:val="en-GB" w:eastAsia="en-GB"/>
        </w:rPr>
        <w:t xml:space="preserve"> </w:t>
      </w:r>
      <w:proofErr w:type="spellStart"/>
      <w:r w:rsidRPr="00222705">
        <w:rPr>
          <w:rFonts w:ascii="Arial" w:eastAsia="Times New Roman" w:hAnsi="Arial" w:cs="Arial"/>
          <w:lang w:val="en-GB" w:eastAsia="en-GB"/>
        </w:rPr>
        <w:t>hospitalaria</w:t>
      </w:r>
      <w:proofErr w:type="spellEnd"/>
      <w:r w:rsidRPr="00222705">
        <w:rPr>
          <w:rFonts w:ascii="Arial" w:eastAsia="Times New Roman" w:hAnsi="Arial" w:cs="Arial"/>
          <w:shd w:val="clear" w:color="auto" w:fill="FFFFFF"/>
          <w:lang w:val="en-GB" w:eastAsia="en-GB"/>
        </w:rPr>
        <w:t>, </w:t>
      </w:r>
      <w:r w:rsidRPr="00222705">
        <w:rPr>
          <w:rFonts w:ascii="Arial" w:eastAsia="Times New Roman" w:hAnsi="Arial" w:cs="Arial"/>
          <w:lang w:val="en-GB" w:eastAsia="en-GB"/>
        </w:rPr>
        <w:t>31</w:t>
      </w:r>
      <w:r w:rsidRPr="00222705">
        <w:rPr>
          <w:rFonts w:ascii="Arial" w:eastAsia="Times New Roman" w:hAnsi="Arial" w:cs="Arial"/>
          <w:shd w:val="clear" w:color="auto" w:fill="FFFFFF"/>
          <w:lang w:val="en-GB" w:eastAsia="en-GB"/>
        </w:rPr>
        <w:t>(3), pp.38-45.</w:t>
      </w:r>
    </w:p>
    <w:p w14:paraId="55ED919E" w14:textId="77777777" w:rsidR="008D6288" w:rsidRPr="00222705" w:rsidRDefault="008D6288" w:rsidP="00EF007D">
      <w:pPr>
        <w:rPr>
          <w:rFonts w:ascii="Arial" w:eastAsiaTheme="minorEastAsia" w:hAnsi="Arial" w:cs="Arial"/>
          <w:kern w:val="0"/>
          <w:lang w:val="en-GB" w:eastAsia="en-GB"/>
          <w14:ligatures w14:val="none"/>
        </w:rPr>
      </w:pPr>
    </w:p>
    <w:p w14:paraId="7440C7C8" w14:textId="77777777" w:rsidR="008F4D29" w:rsidRPr="00222705" w:rsidRDefault="008F4D29" w:rsidP="00EF007D">
      <w:pPr>
        <w:rPr>
          <w:rFonts w:ascii="Arial" w:eastAsia="Times New Roman" w:hAnsi="Arial" w:cs="Arial"/>
          <w:shd w:val="clear" w:color="auto" w:fill="DEDEDE"/>
          <w:lang w:val="en-GB" w:eastAsia="en-GB"/>
        </w:rPr>
      </w:pPr>
      <w:r w:rsidRPr="00222705">
        <w:rPr>
          <w:rFonts w:ascii="Arial" w:eastAsia="Times New Roman" w:hAnsi="Arial" w:cs="Arial"/>
          <w:shd w:val="clear" w:color="auto" w:fill="FFFFFF"/>
          <w:lang w:val="en-GB" w:eastAsia="en-GB"/>
        </w:rPr>
        <w:t xml:space="preserve">Orysiak, J., </w:t>
      </w:r>
      <w:proofErr w:type="spellStart"/>
      <w:r w:rsidRPr="00222705">
        <w:rPr>
          <w:rFonts w:ascii="Arial" w:eastAsia="Times New Roman" w:hAnsi="Arial" w:cs="Arial"/>
          <w:shd w:val="clear" w:color="auto" w:fill="FFFFFF"/>
          <w:lang w:val="en-GB" w:eastAsia="en-GB"/>
        </w:rPr>
        <w:t>Młynarczyk</w:t>
      </w:r>
      <w:proofErr w:type="spellEnd"/>
      <w:r w:rsidRPr="00222705">
        <w:rPr>
          <w:rFonts w:ascii="Arial" w:eastAsia="Times New Roman" w:hAnsi="Arial" w:cs="Arial"/>
          <w:shd w:val="clear" w:color="auto" w:fill="FFFFFF"/>
          <w:lang w:val="en-GB" w:eastAsia="en-GB"/>
        </w:rPr>
        <w:t xml:space="preserve">, M., </w:t>
      </w:r>
      <w:proofErr w:type="spellStart"/>
      <w:r w:rsidRPr="00222705">
        <w:rPr>
          <w:rFonts w:ascii="Arial" w:eastAsia="Times New Roman" w:hAnsi="Arial" w:cs="Arial"/>
          <w:shd w:val="clear" w:color="auto" w:fill="FFFFFF"/>
          <w:lang w:val="en-GB" w:eastAsia="en-GB"/>
        </w:rPr>
        <w:t>Piec</w:t>
      </w:r>
      <w:proofErr w:type="spellEnd"/>
      <w:r w:rsidRPr="00222705">
        <w:rPr>
          <w:rFonts w:ascii="Arial" w:eastAsia="Times New Roman" w:hAnsi="Arial" w:cs="Arial"/>
          <w:shd w:val="clear" w:color="auto" w:fill="FFFFFF"/>
          <w:lang w:val="en-GB" w:eastAsia="en-GB"/>
        </w:rPr>
        <w:t xml:space="preserve">, R. and </w:t>
      </w:r>
      <w:proofErr w:type="spellStart"/>
      <w:r w:rsidRPr="00222705">
        <w:rPr>
          <w:rFonts w:ascii="Arial" w:eastAsia="Times New Roman" w:hAnsi="Arial" w:cs="Arial"/>
          <w:shd w:val="clear" w:color="auto" w:fill="FFFFFF"/>
          <w:lang w:val="en-GB" w:eastAsia="en-GB"/>
        </w:rPr>
        <w:t>Jakubiak</w:t>
      </w:r>
      <w:proofErr w:type="spellEnd"/>
      <w:r w:rsidRPr="00222705">
        <w:rPr>
          <w:rFonts w:ascii="Arial" w:eastAsia="Times New Roman" w:hAnsi="Arial" w:cs="Arial"/>
          <w:shd w:val="clear" w:color="auto" w:fill="FFFFFF"/>
          <w:lang w:val="en-GB" w:eastAsia="en-GB"/>
        </w:rPr>
        <w:t>, A., 2022. Lifestyle and environmental factors may induce airway and systemic inflammation in firefighters. </w:t>
      </w:r>
      <w:r w:rsidRPr="00222705">
        <w:rPr>
          <w:rFonts w:ascii="Arial" w:eastAsia="Times New Roman" w:hAnsi="Arial" w:cs="Arial"/>
          <w:lang w:val="en-GB" w:eastAsia="en-GB"/>
        </w:rPr>
        <w:t>Environmental Science and Pollution Research</w:t>
      </w:r>
      <w:r w:rsidRPr="00222705">
        <w:rPr>
          <w:rFonts w:ascii="Arial" w:eastAsia="Times New Roman" w:hAnsi="Arial" w:cs="Arial"/>
          <w:shd w:val="clear" w:color="auto" w:fill="FFFFFF"/>
          <w:lang w:val="en-GB" w:eastAsia="en-GB"/>
        </w:rPr>
        <w:t>, </w:t>
      </w:r>
      <w:r w:rsidRPr="00222705">
        <w:rPr>
          <w:rFonts w:ascii="Arial" w:eastAsia="Times New Roman" w:hAnsi="Arial" w:cs="Arial"/>
          <w:lang w:val="en-GB" w:eastAsia="en-GB"/>
        </w:rPr>
        <w:t>29</w:t>
      </w:r>
      <w:r w:rsidRPr="00222705">
        <w:rPr>
          <w:rFonts w:ascii="Arial" w:eastAsia="Times New Roman" w:hAnsi="Arial" w:cs="Arial"/>
          <w:shd w:val="clear" w:color="auto" w:fill="FFFFFF"/>
          <w:lang w:val="en-GB" w:eastAsia="en-GB"/>
        </w:rPr>
        <w:t>(49), pp.73741-73768.</w:t>
      </w:r>
    </w:p>
    <w:p w14:paraId="68B54C8A" w14:textId="77777777" w:rsidR="008D6288" w:rsidRPr="00222705" w:rsidRDefault="008D6288" w:rsidP="00EF007D">
      <w:pPr>
        <w:rPr>
          <w:rFonts w:ascii="Arial" w:eastAsia="Times New Roman" w:hAnsi="Arial" w:cs="Arial"/>
          <w:shd w:val="clear" w:color="auto" w:fill="FFFFFF"/>
          <w:lang w:val="en-GB" w:eastAsia="en-GB"/>
        </w:rPr>
      </w:pPr>
      <w:bookmarkStart w:id="83" w:name="OLE_LINK104"/>
    </w:p>
    <w:p w14:paraId="5832E309" w14:textId="1C6BA568" w:rsidR="008F4D29" w:rsidRPr="00222705" w:rsidRDefault="008F4D29" w:rsidP="00EF007D">
      <w:pPr>
        <w:rPr>
          <w:rFonts w:ascii="Arial" w:hAnsi="Arial" w:cs="Arial"/>
        </w:rPr>
      </w:pPr>
      <w:r w:rsidRPr="00222705">
        <w:rPr>
          <w:rFonts w:ascii="Arial" w:hAnsi="Arial" w:cs="Arial"/>
        </w:rPr>
        <w:t xml:space="preserve">Pacinella, G., </w:t>
      </w:r>
      <w:proofErr w:type="spellStart"/>
      <w:r w:rsidRPr="00222705">
        <w:rPr>
          <w:rFonts w:ascii="Arial" w:hAnsi="Arial" w:cs="Arial"/>
        </w:rPr>
        <w:t>Ciaccio</w:t>
      </w:r>
      <w:proofErr w:type="spellEnd"/>
      <w:r w:rsidRPr="00222705">
        <w:rPr>
          <w:rFonts w:ascii="Arial" w:hAnsi="Arial" w:cs="Arial"/>
        </w:rPr>
        <w:t xml:space="preserve">, A.M. and </w:t>
      </w:r>
      <w:proofErr w:type="spellStart"/>
      <w:r w:rsidRPr="00222705">
        <w:rPr>
          <w:rFonts w:ascii="Arial" w:hAnsi="Arial" w:cs="Arial"/>
        </w:rPr>
        <w:t>Tuttolomondo</w:t>
      </w:r>
      <w:proofErr w:type="spellEnd"/>
      <w:r w:rsidRPr="00222705">
        <w:rPr>
          <w:rFonts w:ascii="Arial" w:hAnsi="Arial" w:cs="Arial"/>
        </w:rPr>
        <w:t>, A., 2022. Endothelial dysfunction and chronic inflammation: the cornerstones of vascular alterations in age-related diseases. International journal of molecular sciences, 23(24), p.15722.</w:t>
      </w:r>
    </w:p>
    <w:p w14:paraId="347CF204" w14:textId="77777777" w:rsidR="008D6288" w:rsidRPr="00222705" w:rsidRDefault="008D6288" w:rsidP="00EF007D">
      <w:pPr>
        <w:rPr>
          <w:rFonts w:ascii="Arial" w:hAnsi="Arial" w:cs="Arial"/>
        </w:rPr>
      </w:pPr>
    </w:p>
    <w:bookmarkEnd w:id="83"/>
    <w:p w14:paraId="333CA52A" w14:textId="77777777" w:rsidR="008F4D29" w:rsidRPr="00222705" w:rsidRDefault="008F4D29" w:rsidP="00EF007D">
      <w:pPr>
        <w:rPr>
          <w:rFonts w:ascii="Arial" w:hAnsi="Arial" w:cs="Arial"/>
        </w:rPr>
      </w:pPr>
      <w:proofErr w:type="spellStart"/>
      <w:r w:rsidRPr="00222705">
        <w:rPr>
          <w:rFonts w:ascii="Arial" w:hAnsi="Arial" w:cs="Arial"/>
        </w:rPr>
        <w:t>Pahwa</w:t>
      </w:r>
      <w:proofErr w:type="spellEnd"/>
      <w:r w:rsidRPr="00222705">
        <w:rPr>
          <w:rFonts w:ascii="Arial" w:hAnsi="Arial" w:cs="Arial"/>
        </w:rPr>
        <w:t xml:space="preserve">, R., Goyal, A. and </w:t>
      </w:r>
      <w:proofErr w:type="spellStart"/>
      <w:r w:rsidRPr="00222705">
        <w:rPr>
          <w:rFonts w:ascii="Arial" w:hAnsi="Arial" w:cs="Arial"/>
        </w:rPr>
        <w:t>Jialal</w:t>
      </w:r>
      <w:proofErr w:type="spellEnd"/>
      <w:r w:rsidRPr="00222705">
        <w:rPr>
          <w:rFonts w:ascii="Arial" w:hAnsi="Arial" w:cs="Arial"/>
        </w:rPr>
        <w:t>, I., 2023. StatPearls</w:t>
      </w:r>
    </w:p>
    <w:p w14:paraId="28A91E9B" w14:textId="77777777" w:rsidR="008D6288" w:rsidRPr="00222705" w:rsidRDefault="008D6288" w:rsidP="00EF007D">
      <w:pPr>
        <w:rPr>
          <w:rFonts w:ascii="Arial" w:hAnsi="Arial" w:cs="Arial"/>
        </w:rPr>
      </w:pPr>
    </w:p>
    <w:p w14:paraId="38990E61"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 xml:space="preserve">Palagini, L., Maria Bruno, R., </w:t>
      </w:r>
      <w:proofErr w:type="spellStart"/>
      <w:r w:rsidRPr="00222705">
        <w:rPr>
          <w:rFonts w:ascii="Arial" w:hAnsi="Arial" w:cs="Arial"/>
          <w:shd w:val="clear" w:color="auto" w:fill="FFFFFF"/>
        </w:rPr>
        <w:t>Gemignani</w:t>
      </w:r>
      <w:proofErr w:type="spellEnd"/>
      <w:r w:rsidRPr="00222705">
        <w:rPr>
          <w:rFonts w:ascii="Arial" w:hAnsi="Arial" w:cs="Arial"/>
          <w:shd w:val="clear" w:color="auto" w:fill="FFFFFF"/>
        </w:rPr>
        <w:t xml:space="preserve">, A., Baglioni, C., </w:t>
      </w:r>
      <w:proofErr w:type="spellStart"/>
      <w:r w:rsidRPr="00222705">
        <w:rPr>
          <w:rFonts w:ascii="Arial" w:hAnsi="Arial" w:cs="Arial"/>
          <w:shd w:val="clear" w:color="auto" w:fill="FFFFFF"/>
        </w:rPr>
        <w:t>Ghiadoni</w:t>
      </w:r>
      <w:proofErr w:type="spellEnd"/>
      <w:r w:rsidRPr="00222705">
        <w:rPr>
          <w:rFonts w:ascii="Arial" w:hAnsi="Arial" w:cs="Arial"/>
          <w:shd w:val="clear" w:color="auto" w:fill="FFFFFF"/>
        </w:rPr>
        <w:t>, L. and Riemann, D., 2013. Sleep loss and hypertension: a systematic review. </w:t>
      </w:r>
      <w:r w:rsidRPr="00222705">
        <w:rPr>
          <w:rFonts w:ascii="Arial" w:hAnsi="Arial" w:cs="Arial"/>
        </w:rPr>
        <w:t>Current pharmaceutical design</w:t>
      </w:r>
      <w:r w:rsidRPr="00222705">
        <w:rPr>
          <w:rFonts w:ascii="Arial" w:hAnsi="Arial" w:cs="Arial"/>
          <w:shd w:val="clear" w:color="auto" w:fill="FFFFFF"/>
        </w:rPr>
        <w:t>, </w:t>
      </w:r>
      <w:r w:rsidRPr="00222705">
        <w:rPr>
          <w:rFonts w:ascii="Arial" w:hAnsi="Arial" w:cs="Arial"/>
        </w:rPr>
        <w:t>19</w:t>
      </w:r>
      <w:r w:rsidRPr="00222705">
        <w:rPr>
          <w:rFonts w:ascii="Arial" w:hAnsi="Arial" w:cs="Arial"/>
          <w:shd w:val="clear" w:color="auto" w:fill="FFFFFF"/>
        </w:rPr>
        <w:t>(13), pp.2409-2419.</w:t>
      </w:r>
    </w:p>
    <w:p w14:paraId="4E46304B" w14:textId="77777777" w:rsidR="008D6288" w:rsidRPr="00222705" w:rsidRDefault="008D6288" w:rsidP="00EF007D">
      <w:pPr>
        <w:rPr>
          <w:rFonts w:ascii="Arial" w:hAnsi="Arial" w:cs="Arial"/>
          <w:shd w:val="clear" w:color="auto" w:fill="FFFFFF"/>
        </w:rPr>
      </w:pPr>
    </w:p>
    <w:p w14:paraId="62C97C13" w14:textId="77777777" w:rsidR="008F4D29" w:rsidRPr="00222705" w:rsidRDefault="008F4D29" w:rsidP="00EF007D">
      <w:pPr>
        <w:rPr>
          <w:rFonts w:ascii="Arial" w:hAnsi="Arial" w:cs="Arial"/>
        </w:rPr>
      </w:pPr>
      <w:r w:rsidRPr="00222705">
        <w:rPr>
          <w:rFonts w:ascii="Arial" w:hAnsi="Arial" w:cs="Arial"/>
          <w:shd w:val="clear" w:color="auto" w:fill="FFFFFF"/>
          <w:lang w:val="en-GB"/>
        </w:rPr>
        <w:t>Palatini, P., </w:t>
      </w:r>
      <w:proofErr w:type="spellStart"/>
      <w:r w:rsidRPr="00222705">
        <w:rPr>
          <w:rFonts w:ascii="Arial" w:hAnsi="Arial" w:cs="Arial"/>
          <w:shd w:val="clear" w:color="auto" w:fill="FFFFFF"/>
          <w:lang w:val="en-GB"/>
        </w:rPr>
        <w:t>Casiglia</w:t>
      </w:r>
      <w:proofErr w:type="spellEnd"/>
      <w:r w:rsidRPr="00222705">
        <w:rPr>
          <w:rFonts w:ascii="Arial" w:hAnsi="Arial" w:cs="Arial"/>
          <w:shd w:val="clear" w:color="auto" w:fill="FFFFFF"/>
          <w:lang w:val="en-GB"/>
        </w:rPr>
        <w:t>, E., </w:t>
      </w:r>
      <w:proofErr w:type="spellStart"/>
      <w:r w:rsidRPr="00222705">
        <w:rPr>
          <w:rFonts w:ascii="Arial" w:hAnsi="Arial" w:cs="Arial"/>
          <w:shd w:val="clear" w:color="auto" w:fill="FFFFFF"/>
          <w:lang w:val="en-GB"/>
        </w:rPr>
        <w:t>Gąsowski</w:t>
      </w:r>
      <w:proofErr w:type="spellEnd"/>
      <w:r w:rsidRPr="00222705">
        <w:rPr>
          <w:rFonts w:ascii="Arial" w:hAnsi="Arial" w:cs="Arial"/>
          <w:shd w:val="clear" w:color="auto" w:fill="FFFFFF"/>
          <w:lang w:val="en-GB"/>
        </w:rPr>
        <w:t>, J., </w:t>
      </w:r>
      <w:proofErr w:type="spellStart"/>
      <w:r w:rsidRPr="00222705">
        <w:rPr>
          <w:rFonts w:ascii="Arial" w:hAnsi="Arial" w:cs="Arial"/>
          <w:shd w:val="clear" w:color="auto" w:fill="FFFFFF"/>
          <w:lang w:val="en-GB"/>
        </w:rPr>
        <w:t>Głuszek</w:t>
      </w:r>
      <w:proofErr w:type="spellEnd"/>
      <w:r w:rsidRPr="00222705">
        <w:rPr>
          <w:rFonts w:ascii="Arial" w:hAnsi="Arial" w:cs="Arial"/>
          <w:shd w:val="clear" w:color="auto" w:fill="FFFFFF"/>
          <w:lang w:val="en-GB"/>
        </w:rPr>
        <w:t xml:space="preserve">, J., </w:t>
      </w:r>
      <w:proofErr w:type="spellStart"/>
      <w:r w:rsidRPr="00222705">
        <w:rPr>
          <w:rFonts w:ascii="Arial" w:hAnsi="Arial" w:cs="Arial"/>
          <w:shd w:val="clear" w:color="auto" w:fill="FFFFFF"/>
          <w:lang w:val="en-GB"/>
        </w:rPr>
        <w:t>Jankowski</w:t>
      </w:r>
      <w:proofErr w:type="spellEnd"/>
      <w:r w:rsidRPr="00222705">
        <w:rPr>
          <w:rFonts w:ascii="Arial" w:hAnsi="Arial" w:cs="Arial"/>
          <w:shd w:val="clear" w:color="auto" w:fill="FFFFFF"/>
          <w:lang w:val="en-GB"/>
        </w:rPr>
        <w:t xml:space="preserve">, P., </w:t>
      </w:r>
      <w:proofErr w:type="spellStart"/>
      <w:r w:rsidRPr="00222705">
        <w:rPr>
          <w:rFonts w:ascii="Arial" w:hAnsi="Arial" w:cs="Arial"/>
          <w:shd w:val="clear" w:color="auto" w:fill="FFFFFF"/>
          <w:lang w:val="en-GB"/>
        </w:rPr>
        <w:t>Narkiewicz</w:t>
      </w:r>
      <w:proofErr w:type="spellEnd"/>
      <w:r w:rsidRPr="00222705">
        <w:rPr>
          <w:rFonts w:ascii="Arial" w:hAnsi="Arial" w:cs="Arial"/>
          <w:shd w:val="clear" w:color="auto" w:fill="FFFFFF"/>
          <w:lang w:val="en-GB"/>
        </w:rPr>
        <w:t>, K., </w:t>
      </w:r>
      <w:proofErr w:type="spellStart"/>
      <w:r w:rsidRPr="00222705">
        <w:rPr>
          <w:rFonts w:ascii="Arial" w:hAnsi="Arial" w:cs="Arial"/>
          <w:shd w:val="clear" w:color="auto" w:fill="FFFFFF"/>
          <w:lang w:val="en-GB"/>
        </w:rPr>
        <w:t>Saladini</w:t>
      </w:r>
      <w:proofErr w:type="spellEnd"/>
      <w:r w:rsidRPr="00222705">
        <w:rPr>
          <w:rFonts w:ascii="Arial" w:hAnsi="Arial" w:cs="Arial"/>
          <w:shd w:val="clear" w:color="auto" w:fill="FFFFFF"/>
          <w:lang w:val="en-GB"/>
        </w:rPr>
        <w:t xml:space="preserve">, F., </w:t>
      </w:r>
      <w:proofErr w:type="spellStart"/>
      <w:r w:rsidRPr="00222705">
        <w:rPr>
          <w:rFonts w:ascii="Arial" w:hAnsi="Arial" w:cs="Arial"/>
          <w:shd w:val="clear" w:color="auto" w:fill="FFFFFF"/>
          <w:lang w:val="en-GB"/>
        </w:rPr>
        <w:t>Stolarz-Skrzypek</w:t>
      </w:r>
      <w:proofErr w:type="spellEnd"/>
      <w:r w:rsidRPr="00222705">
        <w:rPr>
          <w:rFonts w:ascii="Arial" w:hAnsi="Arial" w:cs="Arial"/>
          <w:shd w:val="clear" w:color="auto" w:fill="FFFFFF"/>
          <w:lang w:val="en-GB"/>
        </w:rPr>
        <w:t>, K., </w:t>
      </w:r>
      <w:proofErr w:type="spellStart"/>
      <w:r w:rsidRPr="00222705">
        <w:rPr>
          <w:rFonts w:ascii="Arial" w:hAnsi="Arial" w:cs="Arial"/>
          <w:shd w:val="clear" w:color="auto" w:fill="FFFFFF"/>
          <w:lang w:val="en-GB"/>
        </w:rPr>
        <w:t>Tikhonoff</w:t>
      </w:r>
      <w:proofErr w:type="spellEnd"/>
      <w:r w:rsidRPr="00222705">
        <w:rPr>
          <w:rFonts w:ascii="Arial" w:hAnsi="Arial" w:cs="Arial"/>
          <w:shd w:val="clear" w:color="auto" w:fill="FFFFFF"/>
          <w:lang w:val="en-GB"/>
        </w:rPr>
        <w:t xml:space="preserve">, V., Van </w:t>
      </w:r>
      <w:proofErr w:type="spellStart"/>
      <w:r w:rsidRPr="00222705">
        <w:rPr>
          <w:rFonts w:ascii="Arial" w:hAnsi="Arial" w:cs="Arial"/>
          <w:shd w:val="clear" w:color="auto" w:fill="FFFFFF"/>
          <w:lang w:val="en-GB"/>
        </w:rPr>
        <w:t>Bortel</w:t>
      </w:r>
      <w:proofErr w:type="spellEnd"/>
      <w:r w:rsidRPr="00222705">
        <w:rPr>
          <w:rFonts w:ascii="Arial" w:hAnsi="Arial" w:cs="Arial"/>
          <w:shd w:val="clear" w:color="auto" w:fill="FFFFFF"/>
          <w:lang w:val="en-GB"/>
        </w:rPr>
        <w:t xml:space="preserve">, L. and </w:t>
      </w:r>
      <w:proofErr w:type="spellStart"/>
      <w:r w:rsidRPr="00222705">
        <w:rPr>
          <w:rFonts w:ascii="Arial" w:hAnsi="Arial" w:cs="Arial"/>
          <w:shd w:val="clear" w:color="auto" w:fill="FFFFFF"/>
          <w:lang w:val="en-GB"/>
        </w:rPr>
        <w:t>Wojciechowska</w:t>
      </w:r>
      <w:proofErr w:type="spellEnd"/>
      <w:r w:rsidRPr="00222705">
        <w:rPr>
          <w:rFonts w:ascii="Arial" w:hAnsi="Arial" w:cs="Arial"/>
          <w:shd w:val="clear" w:color="auto" w:fill="FFFFFF"/>
          <w:lang w:val="en-GB"/>
        </w:rPr>
        <w:t>, W., 2011. Arterial stiffness, central </w:t>
      </w:r>
      <w:proofErr w:type="spellStart"/>
      <w:r w:rsidRPr="00222705">
        <w:rPr>
          <w:rFonts w:ascii="Arial" w:hAnsi="Arial" w:cs="Arial"/>
          <w:shd w:val="clear" w:color="auto" w:fill="FFFFFF"/>
          <w:lang w:val="en-GB"/>
        </w:rPr>
        <w:t>hemodynamics</w:t>
      </w:r>
      <w:proofErr w:type="spellEnd"/>
      <w:r w:rsidRPr="00222705">
        <w:rPr>
          <w:rFonts w:ascii="Arial" w:hAnsi="Arial" w:cs="Arial"/>
          <w:shd w:val="clear" w:color="auto" w:fill="FFFFFF"/>
          <w:lang w:val="en-GB"/>
        </w:rPr>
        <w:t>, and cardiovascular risk in hypertension. </w:t>
      </w:r>
      <w:r w:rsidRPr="00222705">
        <w:rPr>
          <w:rFonts w:ascii="Arial" w:hAnsi="Arial" w:cs="Arial"/>
          <w:lang w:val="en-GB"/>
        </w:rPr>
        <w:t>Vascular health and risk management</w:t>
      </w:r>
      <w:r w:rsidRPr="00222705">
        <w:rPr>
          <w:rFonts w:ascii="Arial" w:hAnsi="Arial" w:cs="Arial"/>
          <w:shd w:val="clear" w:color="auto" w:fill="FFFFFF"/>
          <w:lang w:val="en-GB"/>
        </w:rPr>
        <w:t>, pp.725-739.</w:t>
      </w:r>
      <w:r w:rsidRPr="00222705">
        <w:rPr>
          <w:rFonts w:ascii="Arial" w:hAnsi="Arial" w:cs="Arial"/>
        </w:rPr>
        <w:t> </w:t>
      </w:r>
    </w:p>
    <w:p w14:paraId="1B47D9DE" w14:textId="77777777" w:rsidR="008D6288" w:rsidRPr="00222705" w:rsidRDefault="008D6288" w:rsidP="00EF007D">
      <w:pPr>
        <w:rPr>
          <w:rFonts w:ascii="Arial" w:hAnsi="Arial" w:cs="Arial"/>
        </w:rPr>
      </w:pPr>
    </w:p>
    <w:p w14:paraId="66A9C0C3" w14:textId="77777777" w:rsidR="008F4D29" w:rsidRPr="00222705" w:rsidRDefault="008F4D29" w:rsidP="00EF007D">
      <w:pPr>
        <w:rPr>
          <w:rFonts w:ascii="Arial" w:eastAsia="Times New Roman" w:hAnsi="Arial" w:cs="Arial"/>
          <w:shd w:val="clear" w:color="auto" w:fill="FFFFFF"/>
          <w:lang w:val="en-GB" w:eastAsia="en-GB"/>
        </w:rPr>
      </w:pPr>
      <w:r w:rsidRPr="00222705">
        <w:rPr>
          <w:rFonts w:ascii="Arial" w:eastAsia="Times New Roman" w:hAnsi="Arial" w:cs="Arial"/>
          <w:shd w:val="clear" w:color="auto" w:fill="FFFFFF"/>
          <w:lang w:val="en-GB" w:eastAsia="en-GB"/>
        </w:rPr>
        <w:t>Park, H.S., Moon, K.K. and Ha, T.S., 2024. The impact of firefighters’ emotional labor on job performance: The moderating effects of transactional and transformational leadership. </w:t>
      </w:r>
      <w:r w:rsidRPr="00222705">
        <w:rPr>
          <w:rFonts w:ascii="Arial" w:eastAsia="Times New Roman" w:hAnsi="Arial" w:cs="Arial"/>
          <w:lang w:val="en-GB" w:eastAsia="en-GB"/>
        </w:rPr>
        <w:t>Fire</w:t>
      </w:r>
      <w:r w:rsidRPr="00222705">
        <w:rPr>
          <w:rFonts w:ascii="Arial" w:eastAsia="Times New Roman" w:hAnsi="Arial" w:cs="Arial"/>
          <w:shd w:val="clear" w:color="auto" w:fill="FFFFFF"/>
          <w:lang w:val="en-GB" w:eastAsia="en-GB"/>
        </w:rPr>
        <w:t>, </w:t>
      </w:r>
      <w:r w:rsidRPr="00222705">
        <w:rPr>
          <w:rFonts w:ascii="Arial" w:eastAsia="Times New Roman" w:hAnsi="Arial" w:cs="Arial"/>
          <w:lang w:val="en-GB" w:eastAsia="en-GB"/>
        </w:rPr>
        <w:t>7</w:t>
      </w:r>
      <w:r w:rsidRPr="00222705">
        <w:rPr>
          <w:rFonts w:ascii="Arial" w:eastAsia="Times New Roman" w:hAnsi="Arial" w:cs="Arial"/>
          <w:shd w:val="clear" w:color="auto" w:fill="FFFFFF"/>
          <w:lang w:val="en-GB" w:eastAsia="en-GB"/>
        </w:rPr>
        <w:t>(8), p.291.</w:t>
      </w:r>
    </w:p>
    <w:p w14:paraId="2CCB43EF" w14:textId="77777777" w:rsidR="008D6288" w:rsidRPr="00222705" w:rsidRDefault="008D6288" w:rsidP="00EF007D">
      <w:pPr>
        <w:rPr>
          <w:rFonts w:ascii="Arial" w:eastAsia="Aptos" w:hAnsi="Arial" w:cs="Arial"/>
        </w:rPr>
      </w:pPr>
    </w:p>
    <w:p w14:paraId="1954ED35" w14:textId="77777777" w:rsidR="008F4D29" w:rsidRPr="00222705" w:rsidRDefault="008F4D29" w:rsidP="00EF007D">
      <w:pPr>
        <w:rPr>
          <w:rFonts w:ascii="Arial" w:eastAsia="Aptos" w:hAnsi="Arial" w:cs="Arial"/>
          <w:lang w:val="en-GB"/>
        </w:rPr>
      </w:pPr>
      <w:r w:rsidRPr="00222705">
        <w:rPr>
          <w:rFonts w:ascii="Arial" w:eastAsia="Aptos" w:hAnsi="Arial" w:cs="Arial"/>
          <w:lang w:val="en-GB"/>
        </w:rPr>
        <w:t xml:space="preserve">Patterson, P.D., </w:t>
      </w:r>
      <w:proofErr w:type="spellStart"/>
      <w:r w:rsidRPr="00222705">
        <w:rPr>
          <w:rFonts w:ascii="Arial" w:eastAsia="Aptos" w:hAnsi="Arial" w:cs="Arial"/>
          <w:lang w:val="en-GB"/>
        </w:rPr>
        <w:t>Mountz</w:t>
      </w:r>
      <w:proofErr w:type="spellEnd"/>
      <w:r w:rsidRPr="00222705">
        <w:rPr>
          <w:rFonts w:ascii="Arial" w:eastAsia="Aptos" w:hAnsi="Arial" w:cs="Arial"/>
          <w:lang w:val="en-GB"/>
        </w:rPr>
        <w:t xml:space="preserve">, K.A., Budd, C.T., </w:t>
      </w:r>
      <w:proofErr w:type="spellStart"/>
      <w:r w:rsidRPr="00222705">
        <w:rPr>
          <w:rFonts w:ascii="Arial" w:eastAsia="Aptos" w:hAnsi="Arial" w:cs="Arial"/>
          <w:lang w:val="en-GB"/>
        </w:rPr>
        <w:t>Bubb</w:t>
      </w:r>
      <w:proofErr w:type="spellEnd"/>
      <w:r w:rsidRPr="00222705">
        <w:rPr>
          <w:rFonts w:ascii="Arial" w:eastAsia="Aptos" w:hAnsi="Arial" w:cs="Arial"/>
          <w:lang w:val="en-GB"/>
        </w:rPr>
        <w:t xml:space="preserve">, J.L., </w:t>
      </w:r>
      <w:proofErr w:type="spellStart"/>
      <w:r w:rsidRPr="00222705">
        <w:rPr>
          <w:rFonts w:ascii="Arial" w:eastAsia="Aptos" w:hAnsi="Arial" w:cs="Arial"/>
          <w:lang w:val="en-GB"/>
        </w:rPr>
        <w:t>Hsin</w:t>
      </w:r>
      <w:proofErr w:type="spellEnd"/>
      <w:r w:rsidRPr="00222705">
        <w:rPr>
          <w:rFonts w:ascii="Arial" w:eastAsia="Aptos" w:hAnsi="Arial" w:cs="Arial"/>
          <w:lang w:val="en-GB"/>
        </w:rPr>
        <w:t xml:space="preserve">, A.U., Weaver, M.D., Turner, R.L., Platt, T.E., </w:t>
      </w:r>
      <w:proofErr w:type="spellStart"/>
      <w:r w:rsidRPr="00222705">
        <w:rPr>
          <w:rFonts w:ascii="Arial" w:eastAsia="Aptos" w:hAnsi="Arial" w:cs="Arial"/>
          <w:lang w:val="en-GB"/>
        </w:rPr>
        <w:t>Guyette</w:t>
      </w:r>
      <w:proofErr w:type="spellEnd"/>
      <w:r w:rsidRPr="00222705">
        <w:rPr>
          <w:rFonts w:ascii="Arial" w:eastAsia="Aptos" w:hAnsi="Arial" w:cs="Arial"/>
          <w:lang w:val="en-GB"/>
        </w:rPr>
        <w:t>, F.X., Martin-Gill, C. and Buysse, D.J., 2020. Impact of shift work on blood pressure among emergency medical services clinicians and related shift workers: A systematic review and meta-analysis. Sleep health, 6(3), pp.387-398.</w:t>
      </w:r>
    </w:p>
    <w:p w14:paraId="55DC9B84" w14:textId="77777777" w:rsidR="009B0C90" w:rsidRPr="00222705" w:rsidRDefault="009B0C90" w:rsidP="00EF007D">
      <w:pPr>
        <w:rPr>
          <w:rFonts w:ascii="Arial" w:eastAsia="Aptos" w:hAnsi="Arial" w:cs="Arial"/>
        </w:rPr>
      </w:pPr>
    </w:p>
    <w:p w14:paraId="6A1CC119"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shd w:val="clear" w:color="auto" w:fill="FFFFFF"/>
          <w14:ligatures w14:val="none"/>
        </w:rPr>
        <w:t>Peoples, G.E., McLennan, P.L., Howe, P.R. and </w:t>
      </w:r>
      <w:proofErr w:type="spellStart"/>
      <w:r w:rsidRPr="00222705">
        <w:rPr>
          <w:rFonts w:ascii="Arial" w:eastAsia="Times New Roman" w:hAnsi="Arial" w:cs="Arial"/>
          <w:kern w:val="0"/>
          <w:shd w:val="clear" w:color="auto" w:fill="FFFFFF"/>
          <w14:ligatures w14:val="none"/>
        </w:rPr>
        <w:t>Groeller</w:t>
      </w:r>
      <w:proofErr w:type="spellEnd"/>
      <w:r w:rsidRPr="00222705">
        <w:rPr>
          <w:rFonts w:ascii="Arial" w:eastAsia="Times New Roman" w:hAnsi="Arial" w:cs="Arial"/>
          <w:kern w:val="0"/>
          <w:shd w:val="clear" w:color="auto" w:fill="FFFFFF"/>
          <w14:ligatures w14:val="none"/>
        </w:rPr>
        <w:t>, H., 2008. Fish oil reduces heart rate and oxygen consumption during exercise. </w:t>
      </w:r>
      <w:r w:rsidRPr="00222705">
        <w:rPr>
          <w:rFonts w:ascii="Arial" w:eastAsia="Times New Roman" w:hAnsi="Arial" w:cs="Arial"/>
          <w:kern w:val="0"/>
          <w14:ligatures w14:val="none"/>
        </w:rPr>
        <w:t>Journal of cardiovascular pharmacology</w:t>
      </w:r>
      <w:r w:rsidRPr="00222705">
        <w:rPr>
          <w:rFonts w:ascii="Arial" w:eastAsia="Times New Roman" w:hAnsi="Arial" w:cs="Arial"/>
          <w:kern w:val="0"/>
          <w:shd w:val="clear" w:color="auto" w:fill="FFFFFF"/>
          <w14:ligatures w14:val="none"/>
        </w:rPr>
        <w:t>, </w:t>
      </w:r>
      <w:r w:rsidRPr="00222705">
        <w:rPr>
          <w:rFonts w:ascii="Arial" w:eastAsia="Times New Roman" w:hAnsi="Arial" w:cs="Arial"/>
          <w:kern w:val="0"/>
          <w14:ligatures w14:val="none"/>
        </w:rPr>
        <w:t>52</w:t>
      </w:r>
      <w:r w:rsidRPr="00222705">
        <w:rPr>
          <w:rFonts w:ascii="Arial" w:eastAsia="Times New Roman" w:hAnsi="Arial" w:cs="Arial"/>
          <w:kern w:val="0"/>
          <w:shd w:val="clear" w:color="auto" w:fill="FFFFFF"/>
          <w14:ligatures w14:val="none"/>
        </w:rPr>
        <w:t>(6), pp.540-547.</w:t>
      </w:r>
      <w:r w:rsidRPr="00222705">
        <w:rPr>
          <w:rFonts w:ascii="Arial" w:eastAsia="Times New Roman" w:hAnsi="Arial" w:cs="Arial"/>
          <w:kern w:val="0"/>
          <w14:ligatures w14:val="none"/>
        </w:rPr>
        <w:t> </w:t>
      </w:r>
    </w:p>
    <w:p w14:paraId="6C97BA04" w14:textId="77777777" w:rsidR="008D6288" w:rsidRPr="00222705" w:rsidRDefault="008D6288" w:rsidP="00EF007D">
      <w:pPr>
        <w:rPr>
          <w:rFonts w:ascii="Arial" w:eastAsia="Times New Roman" w:hAnsi="Arial" w:cs="Arial"/>
          <w:kern w:val="0"/>
          <w14:ligatures w14:val="none"/>
        </w:rPr>
      </w:pPr>
    </w:p>
    <w:p w14:paraId="6C28DAC9" w14:textId="77777777" w:rsidR="008F4D29" w:rsidRPr="00222705" w:rsidRDefault="008F4D29" w:rsidP="00EF007D">
      <w:pPr>
        <w:rPr>
          <w:rFonts w:ascii="Arial" w:hAnsi="Arial" w:cs="Arial"/>
        </w:rPr>
      </w:pPr>
      <w:r w:rsidRPr="00222705">
        <w:rPr>
          <w:rFonts w:ascii="Arial" w:hAnsi="Arial" w:cs="Arial"/>
        </w:rPr>
        <w:t xml:space="preserve">Périard, J.D., </w:t>
      </w:r>
      <w:proofErr w:type="spellStart"/>
      <w:r w:rsidRPr="00222705">
        <w:rPr>
          <w:rFonts w:ascii="Arial" w:hAnsi="Arial" w:cs="Arial"/>
        </w:rPr>
        <w:t>Eijsvogels</w:t>
      </w:r>
      <w:proofErr w:type="spellEnd"/>
      <w:r w:rsidRPr="00222705">
        <w:rPr>
          <w:rFonts w:ascii="Arial" w:hAnsi="Arial" w:cs="Arial"/>
        </w:rPr>
        <w:t xml:space="preserve">, T.M. and </w:t>
      </w:r>
      <w:proofErr w:type="spellStart"/>
      <w:r w:rsidRPr="00222705">
        <w:rPr>
          <w:rFonts w:ascii="Arial" w:hAnsi="Arial" w:cs="Arial"/>
        </w:rPr>
        <w:t>Daanen</w:t>
      </w:r>
      <w:proofErr w:type="spellEnd"/>
      <w:r w:rsidRPr="00222705">
        <w:rPr>
          <w:rFonts w:ascii="Arial" w:hAnsi="Arial" w:cs="Arial"/>
        </w:rPr>
        <w:t>, H.A., 2021. Exercise under heat stress: thermoregulation, hydration, performance implications, and mitigation strategies. Physiological reviews.</w:t>
      </w:r>
    </w:p>
    <w:p w14:paraId="7EEF786A" w14:textId="77777777" w:rsidR="008D6288" w:rsidRPr="00222705" w:rsidRDefault="008D6288" w:rsidP="00EF007D">
      <w:pPr>
        <w:rPr>
          <w:rFonts w:ascii="Arial" w:hAnsi="Arial" w:cs="Arial"/>
        </w:rPr>
      </w:pPr>
    </w:p>
    <w:p w14:paraId="765E30C6" w14:textId="77777777" w:rsidR="008F4D29" w:rsidRPr="00222705" w:rsidRDefault="008F4D29" w:rsidP="00EF007D">
      <w:pPr>
        <w:rPr>
          <w:rFonts w:ascii="Arial" w:hAnsi="Arial" w:cs="Arial"/>
        </w:rPr>
      </w:pPr>
      <w:r w:rsidRPr="00222705">
        <w:rPr>
          <w:rFonts w:ascii="Arial" w:hAnsi="Arial" w:cs="Arial"/>
        </w:rPr>
        <w:t xml:space="preserve">Perroni, F., </w:t>
      </w:r>
      <w:proofErr w:type="spellStart"/>
      <w:r w:rsidRPr="00222705">
        <w:rPr>
          <w:rFonts w:ascii="Arial" w:hAnsi="Arial" w:cs="Arial"/>
        </w:rPr>
        <w:t>Guidetti</w:t>
      </w:r>
      <w:proofErr w:type="spellEnd"/>
      <w:r w:rsidRPr="00222705">
        <w:rPr>
          <w:rFonts w:ascii="Arial" w:hAnsi="Arial" w:cs="Arial"/>
        </w:rPr>
        <w:t xml:space="preserve">, L., </w:t>
      </w:r>
      <w:proofErr w:type="spellStart"/>
      <w:r w:rsidRPr="00222705">
        <w:rPr>
          <w:rFonts w:ascii="Arial" w:hAnsi="Arial" w:cs="Arial"/>
        </w:rPr>
        <w:t>Cignitti</w:t>
      </w:r>
      <w:proofErr w:type="spellEnd"/>
      <w:r w:rsidRPr="00222705">
        <w:rPr>
          <w:rFonts w:ascii="Arial" w:hAnsi="Arial" w:cs="Arial"/>
        </w:rPr>
        <w:t xml:space="preserve">, L. and </w:t>
      </w:r>
      <w:proofErr w:type="spellStart"/>
      <w:r w:rsidRPr="00222705">
        <w:rPr>
          <w:rFonts w:ascii="Arial" w:hAnsi="Arial" w:cs="Arial"/>
        </w:rPr>
        <w:t>Baldari</w:t>
      </w:r>
      <w:proofErr w:type="spellEnd"/>
      <w:r w:rsidRPr="00222705">
        <w:rPr>
          <w:rFonts w:ascii="Arial" w:hAnsi="Arial" w:cs="Arial"/>
        </w:rPr>
        <w:t>, C., 2015. Absolute vs. weight-related maximum oxygen uptake in firefighters: fitness evaluation with and without protective clothing and self-contained breathing apparatus among age group. PLoS One, 10(3), p.e0119757.</w:t>
      </w:r>
    </w:p>
    <w:p w14:paraId="3D873601" w14:textId="77777777" w:rsidR="008D6288" w:rsidRPr="00222705" w:rsidRDefault="008D6288" w:rsidP="00EF007D">
      <w:pPr>
        <w:rPr>
          <w:rFonts w:ascii="Arial" w:hAnsi="Arial" w:cs="Arial"/>
        </w:rPr>
      </w:pPr>
    </w:p>
    <w:p w14:paraId="16822161" w14:textId="77777777" w:rsidR="008F4D29" w:rsidRPr="00222705" w:rsidRDefault="008F4D29" w:rsidP="00EF007D">
      <w:pPr>
        <w:rPr>
          <w:rFonts w:ascii="Arial" w:hAnsi="Arial" w:cs="Arial"/>
        </w:rPr>
      </w:pPr>
      <w:r w:rsidRPr="00222705">
        <w:rPr>
          <w:rFonts w:ascii="Arial" w:hAnsi="Arial" w:cs="Arial"/>
        </w:rPr>
        <w:t xml:space="preserve">Perroni, F., </w:t>
      </w:r>
      <w:proofErr w:type="spellStart"/>
      <w:r w:rsidRPr="00222705">
        <w:rPr>
          <w:rFonts w:ascii="Arial" w:hAnsi="Arial" w:cs="Arial"/>
        </w:rPr>
        <w:t>Tessitore</w:t>
      </w:r>
      <w:proofErr w:type="spellEnd"/>
      <w:r w:rsidRPr="00222705">
        <w:rPr>
          <w:rFonts w:ascii="Arial" w:hAnsi="Arial" w:cs="Arial"/>
        </w:rPr>
        <w:t xml:space="preserve">, A., </w:t>
      </w:r>
      <w:proofErr w:type="spellStart"/>
      <w:r w:rsidRPr="00222705">
        <w:rPr>
          <w:rFonts w:ascii="Arial" w:hAnsi="Arial" w:cs="Arial"/>
        </w:rPr>
        <w:t>Cortis</w:t>
      </w:r>
      <w:proofErr w:type="spellEnd"/>
      <w:r w:rsidRPr="00222705">
        <w:rPr>
          <w:rFonts w:ascii="Arial" w:hAnsi="Arial" w:cs="Arial"/>
        </w:rPr>
        <w:t xml:space="preserve">, C., Lupo, C., </w:t>
      </w:r>
      <w:proofErr w:type="spellStart"/>
      <w:r w:rsidRPr="00222705">
        <w:rPr>
          <w:rFonts w:ascii="Arial" w:hAnsi="Arial" w:cs="Arial"/>
        </w:rPr>
        <w:t>D'artibale</w:t>
      </w:r>
      <w:proofErr w:type="spellEnd"/>
      <w:r w:rsidRPr="00222705">
        <w:rPr>
          <w:rFonts w:ascii="Arial" w:hAnsi="Arial" w:cs="Arial"/>
        </w:rPr>
        <w:t xml:space="preserve">, E., </w:t>
      </w:r>
      <w:proofErr w:type="spellStart"/>
      <w:r w:rsidRPr="00222705">
        <w:rPr>
          <w:rFonts w:ascii="Arial" w:hAnsi="Arial" w:cs="Arial"/>
        </w:rPr>
        <w:t>Cignitti</w:t>
      </w:r>
      <w:proofErr w:type="spellEnd"/>
      <w:r w:rsidRPr="00222705">
        <w:rPr>
          <w:rFonts w:ascii="Arial" w:hAnsi="Arial" w:cs="Arial"/>
        </w:rPr>
        <w:t xml:space="preserve">, L. and </w:t>
      </w:r>
      <w:proofErr w:type="spellStart"/>
      <w:r w:rsidRPr="00222705">
        <w:rPr>
          <w:rFonts w:ascii="Arial" w:hAnsi="Arial" w:cs="Arial"/>
        </w:rPr>
        <w:t>Capranica</w:t>
      </w:r>
      <w:proofErr w:type="spellEnd"/>
      <w:r w:rsidRPr="00222705">
        <w:rPr>
          <w:rFonts w:ascii="Arial" w:hAnsi="Arial" w:cs="Arial"/>
        </w:rPr>
        <w:t>, L., 2010. Energy cost and energy sources during a simulated firefighting activity. The Journal of Strength &amp; Conditioning Research, 24(12), pp.3457-3463.</w:t>
      </w:r>
    </w:p>
    <w:p w14:paraId="4642C02E" w14:textId="77777777" w:rsidR="008D6288" w:rsidRPr="00222705" w:rsidRDefault="008D6288" w:rsidP="00EF007D">
      <w:pPr>
        <w:rPr>
          <w:rFonts w:ascii="Arial" w:hAnsi="Arial" w:cs="Arial"/>
        </w:rPr>
      </w:pPr>
    </w:p>
    <w:p w14:paraId="19474D0C" w14:textId="77777777" w:rsidR="008F4D29" w:rsidRPr="00222705" w:rsidRDefault="008F4D29" w:rsidP="00EF007D">
      <w:pPr>
        <w:rPr>
          <w:rFonts w:ascii="Arial" w:hAnsi="Arial" w:cs="Arial"/>
        </w:rPr>
      </w:pPr>
      <w:r w:rsidRPr="00222705">
        <w:rPr>
          <w:rFonts w:ascii="Arial" w:hAnsi="Arial" w:cs="Arial"/>
        </w:rPr>
        <w:t xml:space="preserve">Perroni, F., </w:t>
      </w:r>
      <w:proofErr w:type="spellStart"/>
      <w:r w:rsidRPr="00222705">
        <w:rPr>
          <w:rFonts w:ascii="Arial" w:hAnsi="Arial" w:cs="Arial"/>
        </w:rPr>
        <w:t>Tessitore</w:t>
      </w:r>
      <w:proofErr w:type="spellEnd"/>
      <w:r w:rsidRPr="00222705">
        <w:rPr>
          <w:rFonts w:ascii="Arial" w:hAnsi="Arial" w:cs="Arial"/>
        </w:rPr>
        <w:t xml:space="preserve">, A., Lupo, C., </w:t>
      </w:r>
      <w:proofErr w:type="spellStart"/>
      <w:r w:rsidRPr="00222705">
        <w:rPr>
          <w:rFonts w:ascii="Arial" w:hAnsi="Arial" w:cs="Arial"/>
        </w:rPr>
        <w:t>Cortis</w:t>
      </w:r>
      <w:proofErr w:type="spellEnd"/>
      <w:r w:rsidRPr="00222705">
        <w:rPr>
          <w:rFonts w:ascii="Arial" w:hAnsi="Arial" w:cs="Arial"/>
        </w:rPr>
        <w:t xml:space="preserve">, C., </w:t>
      </w:r>
      <w:proofErr w:type="spellStart"/>
      <w:r w:rsidRPr="00222705">
        <w:rPr>
          <w:rFonts w:ascii="Arial" w:hAnsi="Arial" w:cs="Arial"/>
        </w:rPr>
        <w:t>Cignitti</w:t>
      </w:r>
      <w:proofErr w:type="spellEnd"/>
      <w:r w:rsidRPr="00222705">
        <w:rPr>
          <w:rFonts w:ascii="Arial" w:hAnsi="Arial" w:cs="Arial"/>
        </w:rPr>
        <w:t xml:space="preserve">, L. and </w:t>
      </w:r>
      <w:proofErr w:type="spellStart"/>
      <w:r w:rsidRPr="00222705">
        <w:rPr>
          <w:rFonts w:ascii="Arial" w:hAnsi="Arial" w:cs="Arial"/>
        </w:rPr>
        <w:t>Capranica</w:t>
      </w:r>
      <w:proofErr w:type="spellEnd"/>
      <w:r w:rsidRPr="00222705">
        <w:rPr>
          <w:rFonts w:ascii="Arial" w:hAnsi="Arial" w:cs="Arial"/>
        </w:rPr>
        <w:t>, L., 2008. Do Italian fire fighting recruits have an adequate physical fitness profile for fire fighting?. Sport Sciences for Health, 4(1), pp.27-32.</w:t>
      </w:r>
    </w:p>
    <w:p w14:paraId="747DC191" w14:textId="77777777" w:rsidR="008D6288" w:rsidRPr="00222705" w:rsidRDefault="008D6288" w:rsidP="00EF007D">
      <w:pPr>
        <w:rPr>
          <w:rFonts w:ascii="Arial" w:hAnsi="Arial" w:cs="Arial"/>
          <w:shd w:val="clear" w:color="auto" w:fill="FFFFFF"/>
        </w:rPr>
      </w:pPr>
    </w:p>
    <w:p w14:paraId="09DCB05A" w14:textId="797ABBA6"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 xml:space="preserve">Poston, W.S., Haddock, C.K., Jahnke, S.A., Jitnarin, N., </w:t>
      </w:r>
      <w:proofErr w:type="spellStart"/>
      <w:r w:rsidRPr="00222705">
        <w:rPr>
          <w:rFonts w:ascii="Arial" w:eastAsia="Times New Roman" w:hAnsi="Arial" w:cs="Arial"/>
          <w:kern w:val="0"/>
          <w14:ligatures w14:val="none"/>
        </w:rPr>
        <w:t>Tuley</w:t>
      </w:r>
      <w:proofErr w:type="spellEnd"/>
      <w:r w:rsidRPr="00222705">
        <w:rPr>
          <w:rFonts w:ascii="Arial" w:eastAsia="Times New Roman" w:hAnsi="Arial" w:cs="Arial"/>
          <w:kern w:val="0"/>
          <w14:ligatures w14:val="none"/>
        </w:rPr>
        <w:t>, B.C. and Kales, S.N., 2011. The prevalence of overweight, obesity, and substandard fitness in a population-based firefighter cohort. Journal of occupational and environmental medicine, 53(3), pp.266-273  </w:t>
      </w:r>
    </w:p>
    <w:p w14:paraId="6BA76439" w14:textId="77777777" w:rsidR="008D6288" w:rsidRPr="00222705" w:rsidRDefault="008D6288" w:rsidP="00EF007D">
      <w:pPr>
        <w:rPr>
          <w:rFonts w:ascii="Arial" w:eastAsia="Times New Roman" w:hAnsi="Arial" w:cs="Arial"/>
          <w:kern w:val="0"/>
          <w14:ligatures w14:val="none"/>
        </w:rPr>
      </w:pPr>
    </w:p>
    <w:p w14:paraId="7266287C" w14:textId="77777777" w:rsidR="008F4D29" w:rsidRPr="00222705" w:rsidRDefault="008F4D29" w:rsidP="00EF007D">
      <w:pPr>
        <w:rPr>
          <w:rFonts w:ascii="Arial" w:eastAsia="Aptos" w:hAnsi="Arial" w:cs="Arial"/>
        </w:rPr>
      </w:pPr>
      <w:r w:rsidRPr="00222705">
        <w:rPr>
          <w:rFonts w:ascii="Arial" w:eastAsia="Aptos" w:hAnsi="Arial" w:cs="Arial"/>
        </w:rPr>
        <w:t>Powers, S.K. and Jackson, M.J., 2008. Exercise-induced oxidative stress: cellular mechanisms and impact on muscle force production. Physiological reviews.</w:t>
      </w:r>
    </w:p>
    <w:p w14:paraId="3397EE3D" w14:textId="77777777" w:rsidR="005716FE" w:rsidRPr="00222705" w:rsidRDefault="005716FE" w:rsidP="00EF007D">
      <w:pPr>
        <w:rPr>
          <w:rFonts w:ascii="Arial" w:eastAsia="Aptos" w:hAnsi="Arial" w:cs="Arial"/>
        </w:rPr>
      </w:pPr>
    </w:p>
    <w:p w14:paraId="542C1B4D" w14:textId="77777777" w:rsidR="008F4D29" w:rsidRPr="00222705" w:rsidRDefault="008F4D29" w:rsidP="00EF007D">
      <w:pPr>
        <w:rPr>
          <w:rFonts w:ascii="Arial" w:hAnsi="Arial" w:cs="Arial"/>
        </w:rPr>
      </w:pPr>
      <w:r w:rsidRPr="00222705">
        <w:rPr>
          <w:rFonts w:ascii="Arial" w:hAnsi="Arial" w:cs="Arial"/>
        </w:rPr>
        <w:t>Prospective Studies Collaboration, 2002. Age-specific relevance of usual blood pressure to vascular mortality: a meta-analysis of individual data for one million adults in 61 prospective studies. The Lancet, 360(9349), pp.1903-1913. </w:t>
      </w:r>
    </w:p>
    <w:p w14:paraId="7259B137" w14:textId="77777777" w:rsidR="005716FE" w:rsidRPr="00222705" w:rsidRDefault="005716FE" w:rsidP="00EF007D">
      <w:pPr>
        <w:rPr>
          <w:rFonts w:ascii="Arial" w:hAnsi="Arial" w:cs="Arial"/>
        </w:rPr>
      </w:pPr>
    </w:p>
    <w:p w14:paraId="3B20355C" w14:textId="787DB7BA" w:rsidR="008F4D29" w:rsidRPr="00222705" w:rsidRDefault="008F4D29" w:rsidP="00EF007D">
      <w:pPr>
        <w:rPr>
          <w:rFonts w:ascii="Arial" w:eastAsiaTheme="minorEastAsia" w:hAnsi="Arial" w:cs="Arial"/>
          <w:kern w:val="0"/>
          <w:lang w:val="en-GB" w:eastAsia="en-GB"/>
          <w14:ligatures w14:val="none"/>
        </w:rPr>
      </w:pPr>
      <w:r w:rsidRPr="00222705">
        <w:rPr>
          <w:rFonts w:ascii="Arial" w:eastAsiaTheme="minorEastAsia" w:hAnsi="Arial" w:cs="Arial"/>
          <w:kern w:val="0"/>
          <w:lang w:val="en-GB" w:eastAsia="en-GB"/>
          <w14:ligatures w14:val="none"/>
        </w:rPr>
        <w:t xml:space="preserve">Queirós, A., </w:t>
      </w:r>
      <w:proofErr w:type="spellStart"/>
      <w:r w:rsidRPr="00222705">
        <w:rPr>
          <w:rFonts w:ascii="Arial" w:eastAsiaTheme="minorEastAsia" w:hAnsi="Arial" w:cs="Arial"/>
          <w:kern w:val="0"/>
          <w:lang w:val="en-GB" w:eastAsia="en-GB"/>
          <w14:ligatures w14:val="none"/>
        </w:rPr>
        <w:t>Faria</w:t>
      </w:r>
      <w:proofErr w:type="spellEnd"/>
      <w:r w:rsidRPr="00222705">
        <w:rPr>
          <w:rFonts w:ascii="Arial" w:eastAsiaTheme="minorEastAsia" w:hAnsi="Arial" w:cs="Arial"/>
          <w:kern w:val="0"/>
          <w:lang w:val="en-GB" w:eastAsia="en-GB"/>
          <w14:ligatures w14:val="none"/>
        </w:rPr>
        <w:t xml:space="preserve">, D. and Almeida, F. (2017) ‘Strengths and limitations of qualitative and quantitative research methods’, European Journal of Education Studies, 3(9), pp. 369–387. </w:t>
      </w:r>
      <w:hyperlink r:id="rId18" w:history="1">
        <w:r w:rsidR="008D6288" w:rsidRPr="00222705">
          <w:rPr>
            <w:rStyle w:val="Hyperlink"/>
            <w:rFonts w:ascii="Arial" w:eastAsiaTheme="minorEastAsia" w:hAnsi="Arial" w:cs="Arial"/>
            <w:kern w:val="0"/>
            <w:lang w:val="en-GB" w:eastAsia="en-GB"/>
            <w14:ligatures w14:val="none"/>
          </w:rPr>
          <w:t>https://doi.org/10.5281/zenodo.887089</w:t>
        </w:r>
      </w:hyperlink>
    </w:p>
    <w:p w14:paraId="5B7E454A" w14:textId="77777777" w:rsidR="008D6288" w:rsidRPr="00222705" w:rsidRDefault="008D6288" w:rsidP="00EF007D">
      <w:pPr>
        <w:rPr>
          <w:rFonts w:ascii="Arial" w:eastAsiaTheme="minorEastAsia" w:hAnsi="Arial" w:cs="Arial"/>
          <w:kern w:val="0"/>
          <w:lang w:val="en-GB" w:eastAsia="en-GB"/>
          <w14:ligatures w14:val="none"/>
        </w:rPr>
      </w:pPr>
    </w:p>
    <w:p w14:paraId="5DABE2D6" w14:textId="77777777" w:rsidR="008F4D29" w:rsidRPr="00222705" w:rsidRDefault="008F4D29" w:rsidP="00EF007D">
      <w:pPr>
        <w:rPr>
          <w:rFonts w:ascii="Arial" w:eastAsia="Aptos" w:hAnsi="Arial" w:cs="Arial"/>
        </w:rPr>
      </w:pPr>
      <w:proofErr w:type="spellStart"/>
      <w:r w:rsidRPr="00222705">
        <w:rPr>
          <w:rFonts w:ascii="Arial" w:eastAsia="Aptos" w:hAnsi="Arial" w:cs="Arial"/>
        </w:rPr>
        <w:t>Radak</w:t>
      </w:r>
      <w:proofErr w:type="spellEnd"/>
      <w:r w:rsidRPr="00222705">
        <w:rPr>
          <w:rFonts w:ascii="Arial" w:eastAsia="Aptos" w:hAnsi="Arial" w:cs="Arial"/>
        </w:rPr>
        <w:t xml:space="preserve">, Z., Chung, H.Y., </w:t>
      </w:r>
      <w:proofErr w:type="spellStart"/>
      <w:r w:rsidRPr="00222705">
        <w:rPr>
          <w:rFonts w:ascii="Arial" w:eastAsia="Aptos" w:hAnsi="Arial" w:cs="Arial"/>
        </w:rPr>
        <w:t>Koltai</w:t>
      </w:r>
      <w:proofErr w:type="spellEnd"/>
      <w:r w:rsidRPr="00222705">
        <w:rPr>
          <w:rFonts w:ascii="Arial" w:eastAsia="Aptos" w:hAnsi="Arial" w:cs="Arial"/>
        </w:rPr>
        <w:t>, E., Taylor, A.W. and Goto, S., 2008. Exercise, oxidative stress and hormesis. Ageing research reviews, 7(1), pp.34-42.</w:t>
      </w:r>
    </w:p>
    <w:p w14:paraId="38EF2D0B" w14:textId="77777777" w:rsidR="008D6288" w:rsidRPr="00222705" w:rsidRDefault="008D6288" w:rsidP="00EF007D">
      <w:pPr>
        <w:rPr>
          <w:rFonts w:ascii="Arial" w:eastAsia="Aptos" w:hAnsi="Arial" w:cs="Arial"/>
        </w:rPr>
      </w:pPr>
    </w:p>
    <w:p w14:paraId="262A1279" w14:textId="77777777" w:rsidR="008F4D29" w:rsidRPr="00222705" w:rsidRDefault="008F4D29" w:rsidP="00EF007D">
      <w:pPr>
        <w:rPr>
          <w:rFonts w:ascii="Arial" w:hAnsi="Arial" w:cs="Arial"/>
          <w:color w:val="000000" w:themeColor="text1"/>
        </w:rPr>
      </w:pPr>
      <w:proofErr w:type="spellStart"/>
      <w:r w:rsidRPr="00222705">
        <w:rPr>
          <w:rFonts w:ascii="Arial" w:hAnsi="Arial" w:cs="Arial"/>
          <w:color w:val="000000" w:themeColor="text1"/>
        </w:rPr>
        <w:t>Ranby</w:t>
      </w:r>
      <w:proofErr w:type="spellEnd"/>
      <w:r w:rsidRPr="00222705">
        <w:rPr>
          <w:rFonts w:ascii="Arial" w:hAnsi="Arial" w:cs="Arial"/>
          <w:color w:val="000000" w:themeColor="text1"/>
        </w:rPr>
        <w:t>, K.W., </w:t>
      </w:r>
      <w:proofErr w:type="spellStart"/>
      <w:r w:rsidRPr="00222705">
        <w:rPr>
          <w:rFonts w:ascii="Arial" w:hAnsi="Arial" w:cs="Arial"/>
          <w:color w:val="000000" w:themeColor="text1"/>
        </w:rPr>
        <w:t>MacKinnon</w:t>
      </w:r>
      <w:proofErr w:type="spellEnd"/>
      <w:r w:rsidRPr="00222705">
        <w:rPr>
          <w:rFonts w:ascii="Arial" w:hAnsi="Arial" w:cs="Arial"/>
          <w:color w:val="000000" w:themeColor="text1"/>
        </w:rPr>
        <w:t>, D.P., Fairchild, A.J., Elliot, D.L., Kuehl, K.S. and Goldberg, L., 2011. The PHLAME (Promoting Healthy Lifestyles: Alternative Models' Effects) firefighter study: testing mediating mechanisms. Journal of occupational health psychology, 16(4), p.501. </w:t>
      </w:r>
    </w:p>
    <w:p w14:paraId="71CCD5B9" w14:textId="77777777" w:rsidR="008D6288" w:rsidRPr="00222705" w:rsidRDefault="008D6288" w:rsidP="00EF007D">
      <w:pPr>
        <w:rPr>
          <w:rFonts w:ascii="Arial" w:hAnsi="Arial" w:cs="Arial"/>
          <w:color w:val="000000"/>
        </w:rPr>
      </w:pPr>
    </w:p>
    <w:p w14:paraId="3713608F" w14:textId="77777777" w:rsidR="008F4D29" w:rsidRPr="00222705" w:rsidRDefault="008F4D29" w:rsidP="00EF007D">
      <w:pPr>
        <w:rPr>
          <w:rFonts w:ascii="Arial" w:hAnsi="Arial" w:cs="Arial"/>
        </w:rPr>
      </w:pPr>
      <w:r w:rsidRPr="00222705">
        <w:rPr>
          <w:rFonts w:ascii="Arial" w:hAnsi="Arial" w:cs="Arial"/>
        </w:rPr>
        <w:t>Ras, J., 2025. Examining the Relationship between Firefighters' Performance on Physical Ability Test and Measures of Blood Pressure, Pulse Rate, and Aerobic Capacity. The Open Public Health Journal, 18(1). </w:t>
      </w:r>
    </w:p>
    <w:p w14:paraId="68FC2FCD" w14:textId="77777777" w:rsidR="00535F77" w:rsidRPr="00222705" w:rsidRDefault="00535F77" w:rsidP="00EF007D">
      <w:pPr>
        <w:rPr>
          <w:rFonts w:ascii="Arial" w:hAnsi="Arial" w:cs="Arial"/>
        </w:rPr>
      </w:pPr>
    </w:p>
    <w:p w14:paraId="7E3370C6" w14:textId="0FC13C9B" w:rsidR="008D6288" w:rsidRPr="00222705" w:rsidRDefault="00535F77" w:rsidP="00EF007D">
      <w:pPr>
        <w:rPr>
          <w:rFonts w:ascii="Arial" w:hAnsi="Arial" w:cs="Arial"/>
        </w:rPr>
      </w:pPr>
      <w:r w:rsidRPr="00222705">
        <w:rPr>
          <w:rFonts w:ascii="Arial" w:hAnsi="Arial" w:cs="Arial"/>
        </w:rPr>
        <w:t xml:space="preserve">Ras, J., </w:t>
      </w:r>
      <w:proofErr w:type="spellStart"/>
      <w:r w:rsidRPr="00222705">
        <w:rPr>
          <w:rFonts w:ascii="Arial" w:hAnsi="Arial" w:cs="Arial"/>
        </w:rPr>
        <w:t>Kengne</w:t>
      </w:r>
      <w:proofErr w:type="spellEnd"/>
      <w:r w:rsidRPr="00222705">
        <w:rPr>
          <w:rFonts w:ascii="Arial" w:hAnsi="Arial" w:cs="Arial"/>
        </w:rPr>
        <w:t>, A.P., Smith, D.L., Soteriades, E.S. and Leach, L., 2023</w:t>
      </w:r>
      <w:r w:rsidR="00CC7F8A" w:rsidRPr="00222705">
        <w:rPr>
          <w:rFonts w:ascii="Arial" w:hAnsi="Arial" w:cs="Arial"/>
        </w:rPr>
        <w:t>b</w:t>
      </w:r>
      <w:r w:rsidRPr="00222705">
        <w:rPr>
          <w:rFonts w:ascii="Arial" w:hAnsi="Arial" w:cs="Arial"/>
        </w:rPr>
        <w:t>. Association between cardiovascular disease risk factors and cardiorespiratory fitness in firefighters: a systematic review and meta-analysis. International journal of environmental research and public health, 20(4), p.2816.</w:t>
      </w:r>
    </w:p>
    <w:p w14:paraId="6DE2C4E5" w14:textId="77777777" w:rsidR="008D6288" w:rsidRPr="00222705" w:rsidRDefault="008D6288" w:rsidP="00EF007D">
      <w:pPr>
        <w:rPr>
          <w:rFonts w:ascii="Arial" w:eastAsia="Times New Roman" w:hAnsi="Arial" w:cs="Arial"/>
          <w:kern w:val="0"/>
          <w14:ligatures w14:val="none"/>
        </w:rPr>
      </w:pPr>
    </w:p>
    <w:p w14:paraId="3670A263" w14:textId="678B1239" w:rsidR="008F4D29" w:rsidRPr="00222705" w:rsidRDefault="008F4D29" w:rsidP="00EF007D">
      <w:pPr>
        <w:rPr>
          <w:rFonts w:ascii="Arial" w:eastAsia="Times New Roman" w:hAnsi="Arial" w:cs="Arial"/>
          <w:kern w:val="0"/>
          <w:shd w:val="clear" w:color="auto" w:fill="FFFFFF"/>
          <w14:ligatures w14:val="none"/>
        </w:rPr>
      </w:pPr>
      <w:r w:rsidRPr="00222705">
        <w:rPr>
          <w:rFonts w:ascii="Arial" w:eastAsia="Times New Roman" w:hAnsi="Arial" w:cs="Arial"/>
          <w:kern w:val="0"/>
          <w:shd w:val="clear" w:color="auto" w:fill="FFFFFF"/>
          <w14:ligatures w14:val="none"/>
        </w:rPr>
        <w:t xml:space="preserve">Ras, J., Smith, D.L., </w:t>
      </w:r>
      <w:proofErr w:type="spellStart"/>
      <w:r w:rsidRPr="00222705">
        <w:rPr>
          <w:rFonts w:ascii="Arial" w:eastAsia="Times New Roman" w:hAnsi="Arial" w:cs="Arial"/>
          <w:kern w:val="0"/>
          <w:shd w:val="clear" w:color="auto" w:fill="FFFFFF"/>
          <w14:ligatures w14:val="none"/>
        </w:rPr>
        <w:t>Kengne</w:t>
      </w:r>
      <w:proofErr w:type="spellEnd"/>
      <w:r w:rsidRPr="00222705">
        <w:rPr>
          <w:rFonts w:ascii="Arial" w:eastAsia="Times New Roman" w:hAnsi="Arial" w:cs="Arial"/>
          <w:kern w:val="0"/>
          <w:shd w:val="clear" w:color="auto" w:fill="FFFFFF"/>
          <w14:ligatures w14:val="none"/>
        </w:rPr>
        <w:t>, A.P., Soteriades, E.S. and Leach, L., 2023</w:t>
      </w:r>
      <w:r w:rsidR="00744590" w:rsidRPr="00222705">
        <w:rPr>
          <w:rFonts w:ascii="Arial" w:eastAsia="Times New Roman" w:hAnsi="Arial" w:cs="Arial"/>
          <w:kern w:val="0"/>
          <w:shd w:val="clear" w:color="auto" w:fill="FFFFFF"/>
          <w14:ligatures w14:val="none"/>
        </w:rPr>
        <w:t>a</w:t>
      </w:r>
      <w:r w:rsidRPr="00222705">
        <w:rPr>
          <w:rFonts w:ascii="Arial" w:eastAsia="Times New Roman" w:hAnsi="Arial" w:cs="Arial"/>
          <w:kern w:val="0"/>
          <w:shd w:val="clear" w:color="auto" w:fill="FFFFFF"/>
          <w14:ligatures w14:val="none"/>
        </w:rPr>
        <w:t>. Physical fitness, cardiovascular and musculoskeletal health, and occupational performance in firefighters. </w:t>
      </w:r>
      <w:r w:rsidRPr="00222705">
        <w:rPr>
          <w:rFonts w:ascii="Arial" w:eastAsia="Times New Roman" w:hAnsi="Arial" w:cs="Arial"/>
          <w:kern w:val="0"/>
          <w14:ligatures w14:val="none"/>
        </w:rPr>
        <w:t>Frontiers in Public Health</w:t>
      </w:r>
      <w:r w:rsidRPr="00222705">
        <w:rPr>
          <w:rFonts w:ascii="Arial" w:eastAsia="Times New Roman" w:hAnsi="Arial" w:cs="Arial"/>
          <w:kern w:val="0"/>
          <w:shd w:val="clear" w:color="auto" w:fill="FFFFFF"/>
          <w14:ligatures w14:val="none"/>
        </w:rPr>
        <w:t>, </w:t>
      </w:r>
      <w:r w:rsidRPr="00222705">
        <w:rPr>
          <w:rFonts w:ascii="Arial" w:eastAsia="Times New Roman" w:hAnsi="Arial" w:cs="Arial"/>
          <w:kern w:val="0"/>
          <w14:ligatures w14:val="none"/>
        </w:rPr>
        <w:t>11</w:t>
      </w:r>
      <w:r w:rsidRPr="00222705">
        <w:rPr>
          <w:rFonts w:ascii="Arial" w:eastAsia="Times New Roman" w:hAnsi="Arial" w:cs="Arial"/>
          <w:kern w:val="0"/>
          <w:shd w:val="clear" w:color="auto" w:fill="FFFFFF"/>
          <w14:ligatures w14:val="none"/>
        </w:rPr>
        <w:t>, p.1241250.</w:t>
      </w:r>
    </w:p>
    <w:p w14:paraId="6B4990F2" w14:textId="77777777" w:rsidR="008D6288" w:rsidRPr="00222705" w:rsidRDefault="008D6288" w:rsidP="00EF007D">
      <w:pPr>
        <w:rPr>
          <w:rFonts w:ascii="Arial" w:eastAsia="Times New Roman" w:hAnsi="Arial" w:cs="Arial"/>
          <w:kern w:val="0"/>
          <w:shd w:val="clear" w:color="auto" w:fill="FFFFFF"/>
          <w14:ligatures w14:val="none"/>
        </w:rPr>
      </w:pPr>
    </w:p>
    <w:p w14:paraId="1A1283D0"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lang w:val="en-GB"/>
          <w14:ligatures w14:val="none"/>
        </w:rPr>
        <w:t xml:space="preserve">Ras, J., Soteriades, E.S., Smith, D.L., </w:t>
      </w:r>
      <w:proofErr w:type="spellStart"/>
      <w:r w:rsidRPr="00222705">
        <w:rPr>
          <w:rFonts w:ascii="Arial" w:eastAsia="Times New Roman" w:hAnsi="Arial" w:cs="Arial"/>
          <w:kern w:val="0"/>
          <w:lang w:val="en-GB"/>
          <w14:ligatures w14:val="none"/>
        </w:rPr>
        <w:t>Kengne</w:t>
      </w:r>
      <w:proofErr w:type="spellEnd"/>
      <w:r w:rsidRPr="00222705">
        <w:rPr>
          <w:rFonts w:ascii="Arial" w:eastAsia="Times New Roman" w:hAnsi="Arial" w:cs="Arial"/>
          <w:kern w:val="0"/>
          <w:lang w:val="en-GB"/>
          <w14:ligatures w14:val="none"/>
        </w:rPr>
        <w:t>, A.P. and Leach, L., 2024. Evaluation of the relationship between occupational-specific task performance and measures of physical fitness, cardiovascular and musculoskeletal health in firefighters. BMC Public Health, 24(1), p.20.</w:t>
      </w:r>
      <w:r w:rsidRPr="00222705">
        <w:rPr>
          <w:rFonts w:ascii="Arial" w:eastAsia="Times New Roman" w:hAnsi="Arial" w:cs="Arial"/>
          <w:kern w:val="0"/>
          <w14:ligatures w14:val="none"/>
        </w:rPr>
        <w:t> </w:t>
      </w:r>
    </w:p>
    <w:p w14:paraId="43782A3E" w14:textId="77777777" w:rsidR="008D6288" w:rsidRPr="00222705" w:rsidRDefault="008D6288" w:rsidP="00EF007D">
      <w:pPr>
        <w:rPr>
          <w:rFonts w:ascii="Arial" w:eastAsia="Times New Roman" w:hAnsi="Arial" w:cs="Arial"/>
          <w:kern w:val="0"/>
          <w14:ligatures w14:val="none"/>
        </w:rPr>
      </w:pPr>
    </w:p>
    <w:p w14:paraId="53577FDA" w14:textId="77777777" w:rsidR="008F4D29" w:rsidRPr="00222705" w:rsidRDefault="008F4D29" w:rsidP="00EF007D">
      <w:pPr>
        <w:rPr>
          <w:rFonts w:ascii="Arial" w:hAnsi="Arial" w:cs="Arial"/>
        </w:rPr>
      </w:pPr>
      <w:r w:rsidRPr="00222705">
        <w:rPr>
          <w:rFonts w:ascii="Arial" w:hAnsi="Arial" w:cs="Arial"/>
        </w:rPr>
        <w:t xml:space="preserve">Reale, C., </w:t>
      </w:r>
      <w:proofErr w:type="spellStart"/>
      <w:r w:rsidRPr="00222705">
        <w:rPr>
          <w:rFonts w:ascii="Arial" w:hAnsi="Arial" w:cs="Arial"/>
        </w:rPr>
        <w:t>Salwei</w:t>
      </w:r>
      <w:proofErr w:type="spellEnd"/>
      <w:r w:rsidRPr="00222705">
        <w:rPr>
          <w:rFonts w:ascii="Arial" w:hAnsi="Arial" w:cs="Arial"/>
        </w:rPr>
        <w:t xml:space="preserve">, M.E., </w:t>
      </w:r>
      <w:proofErr w:type="spellStart"/>
      <w:r w:rsidRPr="00222705">
        <w:rPr>
          <w:rFonts w:ascii="Arial" w:hAnsi="Arial" w:cs="Arial"/>
        </w:rPr>
        <w:t>Militello</w:t>
      </w:r>
      <w:proofErr w:type="spellEnd"/>
      <w:r w:rsidRPr="00222705">
        <w:rPr>
          <w:rFonts w:ascii="Arial" w:hAnsi="Arial" w:cs="Arial"/>
        </w:rPr>
        <w:t xml:space="preserve">, L.G., </w:t>
      </w:r>
      <w:proofErr w:type="spellStart"/>
      <w:r w:rsidRPr="00222705">
        <w:rPr>
          <w:rFonts w:ascii="Arial" w:hAnsi="Arial" w:cs="Arial"/>
        </w:rPr>
        <w:t>Weinger</w:t>
      </w:r>
      <w:proofErr w:type="spellEnd"/>
      <w:r w:rsidRPr="00222705">
        <w:rPr>
          <w:rFonts w:ascii="Arial" w:hAnsi="Arial" w:cs="Arial"/>
        </w:rPr>
        <w:t xml:space="preserve">, M.B., Burden, A., </w:t>
      </w:r>
      <w:proofErr w:type="spellStart"/>
      <w:r w:rsidRPr="00222705">
        <w:rPr>
          <w:rFonts w:ascii="Arial" w:hAnsi="Arial" w:cs="Arial"/>
        </w:rPr>
        <w:t>Sushereba</w:t>
      </w:r>
      <w:proofErr w:type="spellEnd"/>
      <w:r w:rsidRPr="00222705">
        <w:rPr>
          <w:rFonts w:ascii="Arial" w:hAnsi="Arial" w:cs="Arial"/>
        </w:rPr>
        <w:t xml:space="preserve">, C., </w:t>
      </w:r>
      <w:proofErr w:type="spellStart"/>
      <w:r w:rsidRPr="00222705">
        <w:rPr>
          <w:rFonts w:ascii="Arial" w:hAnsi="Arial" w:cs="Arial"/>
        </w:rPr>
        <w:t>Torsher</w:t>
      </w:r>
      <w:proofErr w:type="spellEnd"/>
      <w:r w:rsidRPr="00222705">
        <w:rPr>
          <w:rFonts w:ascii="Arial" w:hAnsi="Arial" w:cs="Arial"/>
        </w:rPr>
        <w:t xml:space="preserve">, L.C., </w:t>
      </w:r>
      <w:proofErr w:type="spellStart"/>
      <w:r w:rsidRPr="00222705">
        <w:rPr>
          <w:rFonts w:ascii="Arial" w:hAnsi="Arial" w:cs="Arial"/>
        </w:rPr>
        <w:t>Andreae</w:t>
      </w:r>
      <w:proofErr w:type="spellEnd"/>
      <w:r w:rsidRPr="00222705">
        <w:rPr>
          <w:rFonts w:ascii="Arial" w:hAnsi="Arial" w:cs="Arial"/>
        </w:rPr>
        <w:t xml:space="preserve">, M.H., </w:t>
      </w:r>
      <w:proofErr w:type="spellStart"/>
      <w:r w:rsidRPr="00222705">
        <w:rPr>
          <w:rFonts w:ascii="Arial" w:hAnsi="Arial" w:cs="Arial"/>
        </w:rPr>
        <w:t>Gaba</w:t>
      </w:r>
      <w:proofErr w:type="spellEnd"/>
      <w:r w:rsidRPr="00222705">
        <w:rPr>
          <w:rFonts w:ascii="Arial" w:hAnsi="Arial" w:cs="Arial"/>
        </w:rPr>
        <w:t xml:space="preserve">, D.M., </w:t>
      </w:r>
      <w:proofErr w:type="spellStart"/>
      <w:r w:rsidRPr="00222705">
        <w:rPr>
          <w:rFonts w:ascii="Arial" w:hAnsi="Arial" w:cs="Arial"/>
        </w:rPr>
        <w:t>McIvor</w:t>
      </w:r>
      <w:proofErr w:type="spellEnd"/>
      <w:r w:rsidRPr="00222705">
        <w:rPr>
          <w:rFonts w:ascii="Arial" w:hAnsi="Arial" w:cs="Arial"/>
        </w:rPr>
        <w:t>, W.R. and Banerjee, A., 2023. Decision-making during high-risk events: a systematic literature review. Journal of Cognitive Engineering and Decision Making, 17(2), pp.188-212.</w:t>
      </w:r>
    </w:p>
    <w:p w14:paraId="3F5D9A6D" w14:textId="77777777" w:rsidR="008D6288" w:rsidRPr="00222705" w:rsidRDefault="008D6288" w:rsidP="00EF007D">
      <w:pPr>
        <w:rPr>
          <w:rFonts w:ascii="Arial" w:hAnsi="Arial" w:cs="Arial"/>
        </w:rPr>
      </w:pPr>
    </w:p>
    <w:p w14:paraId="5ED0BE5D" w14:textId="77777777" w:rsidR="008F4D29" w:rsidRPr="00222705" w:rsidRDefault="008F4D29" w:rsidP="00EF007D">
      <w:pPr>
        <w:rPr>
          <w:rFonts w:ascii="Arial" w:hAnsi="Arial" w:cs="Arial"/>
        </w:rPr>
      </w:pPr>
      <w:r w:rsidRPr="00222705">
        <w:rPr>
          <w:rFonts w:ascii="Arial" w:hAnsi="Arial" w:cs="Arial"/>
        </w:rPr>
        <w:t xml:space="preserve">Richardson, A., </w:t>
      </w:r>
      <w:proofErr w:type="spellStart"/>
      <w:r w:rsidRPr="00222705">
        <w:rPr>
          <w:rFonts w:ascii="Arial" w:hAnsi="Arial" w:cs="Arial"/>
        </w:rPr>
        <w:t>Terrazzini</w:t>
      </w:r>
      <w:proofErr w:type="spellEnd"/>
      <w:r w:rsidRPr="00222705">
        <w:rPr>
          <w:rFonts w:ascii="Arial" w:hAnsi="Arial" w:cs="Arial"/>
        </w:rPr>
        <w:t>, N., Gage, C., Lee, B.J., Bradley, R., Watt, P. and Watkins, E.R., 2023. Inflammatory and psychological consequences of chronic high exposure firefighting. Journal of thermal biology, 111, p.103399.</w:t>
      </w:r>
    </w:p>
    <w:p w14:paraId="60680920" w14:textId="77777777" w:rsidR="008D6288" w:rsidRPr="00222705" w:rsidRDefault="008D6288" w:rsidP="00EF007D">
      <w:pPr>
        <w:rPr>
          <w:rFonts w:ascii="Arial" w:hAnsi="Arial" w:cs="Arial"/>
          <w:shd w:val="clear" w:color="auto" w:fill="FFFFFF"/>
        </w:rPr>
      </w:pPr>
    </w:p>
    <w:p w14:paraId="3D65645C" w14:textId="643BACFB" w:rsidR="008F4D29" w:rsidRPr="00222705" w:rsidRDefault="008F4D29" w:rsidP="00EF007D">
      <w:pPr>
        <w:rPr>
          <w:rFonts w:ascii="Arial" w:eastAsia="Aptos" w:hAnsi="Arial" w:cs="Arial"/>
          <w:lang w:val="en-GB"/>
        </w:rPr>
      </w:pPr>
      <w:r w:rsidRPr="00222705">
        <w:rPr>
          <w:rFonts w:ascii="Arial" w:eastAsia="Aptos" w:hAnsi="Arial" w:cs="Arial"/>
          <w:lang w:val="en-GB"/>
        </w:rPr>
        <w:t xml:space="preserve">Richardson, L.A., </w:t>
      </w:r>
      <w:proofErr w:type="spellStart"/>
      <w:r w:rsidRPr="00222705">
        <w:rPr>
          <w:rFonts w:ascii="Arial" w:eastAsia="Aptos" w:hAnsi="Arial" w:cs="Arial"/>
          <w:lang w:val="en-GB"/>
        </w:rPr>
        <w:t>Basu</w:t>
      </w:r>
      <w:proofErr w:type="spellEnd"/>
      <w:r w:rsidRPr="00222705">
        <w:rPr>
          <w:rFonts w:ascii="Arial" w:eastAsia="Aptos" w:hAnsi="Arial" w:cs="Arial"/>
          <w:lang w:val="en-GB"/>
        </w:rPr>
        <w:t xml:space="preserve">, A., Chien, L.C., </w:t>
      </w:r>
      <w:proofErr w:type="spellStart"/>
      <w:r w:rsidRPr="00222705">
        <w:rPr>
          <w:rFonts w:ascii="Arial" w:eastAsia="Aptos" w:hAnsi="Arial" w:cs="Arial"/>
          <w:lang w:val="en-GB"/>
        </w:rPr>
        <w:t>Alman</w:t>
      </w:r>
      <w:proofErr w:type="spellEnd"/>
      <w:r w:rsidRPr="00222705">
        <w:rPr>
          <w:rFonts w:ascii="Arial" w:eastAsia="Aptos" w:hAnsi="Arial" w:cs="Arial"/>
          <w:lang w:val="en-GB"/>
        </w:rPr>
        <w:t xml:space="preserve">, A.C. and </w:t>
      </w:r>
      <w:proofErr w:type="spellStart"/>
      <w:r w:rsidRPr="00222705">
        <w:rPr>
          <w:rFonts w:ascii="Arial" w:eastAsia="Aptos" w:hAnsi="Arial" w:cs="Arial"/>
          <w:lang w:val="en-GB"/>
        </w:rPr>
        <w:t>Snell-Bergeon</w:t>
      </w:r>
      <w:proofErr w:type="spellEnd"/>
      <w:r w:rsidRPr="00222705">
        <w:rPr>
          <w:rFonts w:ascii="Arial" w:eastAsia="Aptos" w:hAnsi="Arial" w:cs="Arial"/>
          <w:lang w:val="en-GB"/>
        </w:rPr>
        <w:t>, J.K., 2023(b). Longitudinal associations of physical activity with inflammatory markers in US adults with and without type 1 diabetes. Diabetes research and clinical practice, 206, p.110978.</w:t>
      </w:r>
    </w:p>
    <w:p w14:paraId="487BD055" w14:textId="77777777" w:rsidR="008D6288" w:rsidRPr="00222705" w:rsidRDefault="008D6288" w:rsidP="00EF007D">
      <w:pPr>
        <w:rPr>
          <w:rFonts w:ascii="Arial" w:eastAsia="Aptos" w:hAnsi="Arial" w:cs="Arial"/>
        </w:rPr>
      </w:pPr>
    </w:p>
    <w:p w14:paraId="75C7E833" w14:textId="77777777" w:rsidR="008F4D29" w:rsidRPr="00222705" w:rsidRDefault="008F4D29" w:rsidP="00EF007D">
      <w:pPr>
        <w:rPr>
          <w:rFonts w:ascii="Arial" w:hAnsi="Arial" w:cs="Arial"/>
        </w:rPr>
      </w:pPr>
      <w:r w:rsidRPr="00222705">
        <w:rPr>
          <w:rFonts w:ascii="Arial" w:hAnsi="Arial" w:cs="Arial"/>
        </w:rPr>
        <w:lastRenderedPageBreak/>
        <w:t>Ridker, P.M., 2003. Clinical application of C-reactive protein for cardiovascular disease detection and prevention. Circulation, 107(3), pp.363-369.</w:t>
      </w:r>
    </w:p>
    <w:p w14:paraId="3F114E73" w14:textId="77777777" w:rsidR="008D6288" w:rsidRPr="00222705" w:rsidRDefault="008D6288" w:rsidP="00EF007D">
      <w:pPr>
        <w:rPr>
          <w:rFonts w:ascii="Arial" w:hAnsi="Arial" w:cs="Arial"/>
        </w:rPr>
      </w:pPr>
    </w:p>
    <w:p w14:paraId="1123D102" w14:textId="77777777" w:rsidR="008F4D29" w:rsidRPr="00222705" w:rsidRDefault="008F4D29" w:rsidP="00EF007D">
      <w:pPr>
        <w:rPr>
          <w:rFonts w:ascii="Arial" w:hAnsi="Arial" w:cs="Arial"/>
        </w:rPr>
      </w:pPr>
      <w:r w:rsidRPr="00222705">
        <w:rPr>
          <w:rFonts w:ascii="Arial" w:hAnsi="Arial" w:cs="Arial"/>
        </w:rPr>
        <w:t xml:space="preserve">Ridker, P.M., Rifai, N., </w:t>
      </w:r>
      <w:proofErr w:type="spellStart"/>
      <w:r w:rsidRPr="00222705">
        <w:rPr>
          <w:rFonts w:ascii="Arial" w:hAnsi="Arial" w:cs="Arial"/>
        </w:rPr>
        <w:t>Stampfer</w:t>
      </w:r>
      <w:proofErr w:type="spellEnd"/>
      <w:r w:rsidRPr="00222705">
        <w:rPr>
          <w:rFonts w:ascii="Arial" w:hAnsi="Arial" w:cs="Arial"/>
        </w:rPr>
        <w:t xml:space="preserve">, M.J. and </w:t>
      </w:r>
      <w:proofErr w:type="spellStart"/>
      <w:r w:rsidRPr="00222705">
        <w:rPr>
          <w:rFonts w:ascii="Arial" w:hAnsi="Arial" w:cs="Arial"/>
        </w:rPr>
        <w:t>Hennekens</w:t>
      </w:r>
      <w:proofErr w:type="spellEnd"/>
      <w:r w:rsidRPr="00222705">
        <w:rPr>
          <w:rFonts w:ascii="Arial" w:hAnsi="Arial" w:cs="Arial"/>
        </w:rPr>
        <w:t>, C.H., 2000. Plasma concentration of interleukin-6 and the risk of future myocardial infarction among apparently healthy men. Circulation, 101(15), pp.1767-1772.</w:t>
      </w:r>
    </w:p>
    <w:p w14:paraId="081D014C" w14:textId="77777777" w:rsidR="00744590" w:rsidRPr="00222705" w:rsidRDefault="00744590" w:rsidP="00EF007D">
      <w:pPr>
        <w:rPr>
          <w:rFonts w:ascii="Arial" w:hAnsi="Arial" w:cs="Arial"/>
        </w:rPr>
      </w:pPr>
    </w:p>
    <w:p w14:paraId="26160388"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 xml:space="preserve">Rittenhouse, M., </w:t>
      </w:r>
      <w:proofErr w:type="spellStart"/>
      <w:r w:rsidRPr="00222705">
        <w:rPr>
          <w:rFonts w:ascii="Arial" w:eastAsia="Times New Roman" w:hAnsi="Arial" w:cs="Arial"/>
          <w:kern w:val="0"/>
          <w14:ligatures w14:val="none"/>
        </w:rPr>
        <w:t>Khurana</w:t>
      </w:r>
      <w:proofErr w:type="spellEnd"/>
      <w:r w:rsidRPr="00222705">
        <w:rPr>
          <w:rFonts w:ascii="Arial" w:eastAsia="Times New Roman" w:hAnsi="Arial" w:cs="Arial"/>
          <w:kern w:val="0"/>
          <w14:ligatures w14:val="none"/>
        </w:rPr>
        <w:t>, S., </w:t>
      </w:r>
      <w:proofErr w:type="spellStart"/>
      <w:r w:rsidRPr="00222705">
        <w:rPr>
          <w:rFonts w:ascii="Arial" w:eastAsia="Times New Roman" w:hAnsi="Arial" w:cs="Arial"/>
          <w:kern w:val="0"/>
          <w14:ligatures w14:val="none"/>
        </w:rPr>
        <w:t>Scholl</w:t>
      </w:r>
      <w:proofErr w:type="spellEnd"/>
      <w:r w:rsidRPr="00222705">
        <w:rPr>
          <w:rFonts w:ascii="Arial" w:eastAsia="Times New Roman" w:hAnsi="Arial" w:cs="Arial"/>
          <w:kern w:val="0"/>
          <w14:ligatures w14:val="none"/>
        </w:rPr>
        <w:t>, S. and Emerson, C., 2025. Examining the Influence of Omega-3 Fatty Acids on Performance, Recovery, and Injury Management for Health Optimization: A Systematic Review Focused on Military Service Members. Nutrients, 17(2), p.307. </w:t>
      </w:r>
    </w:p>
    <w:p w14:paraId="6A761165" w14:textId="77777777" w:rsidR="008D6288" w:rsidRPr="00222705" w:rsidRDefault="008D6288" w:rsidP="00EF007D">
      <w:pPr>
        <w:rPr>
          <w:rFonts w:ascii="Arial" w:eastAsia="Times New Roman" w:hAnsi="Arial" w:cs="Arial"/>
          <w:kern w:val="0"/>
          <w14:ligatures w14:val="none"/>
        </w:rPr>
      </w:pPr>
    </w:p>
    <w:p w14:paraId="35924F06" w14:textId="77777777" w:rsidR="008F4D29" w:rsidRPr="00222705" w:rsidRDefault="008F4D29" w:rsidP="00EF007D">
      <w:pPr>
        <w:rPr>
          <w:rFonts w:ascii="Arial" w:eastAsia="Aptos" w:hAnsi="Arial" w:cs="Arial"/>
          <w:lang w:val="en-GB"/>
        </w:rPr>
      </w:pPr>
      <w:r w:rsidRPr="00222705">
        <w:rPr>
          <w:rFonts w:ascii="Arial" w:eastAsia="Aptos" w:hAnsi="Arial" w:cs="Arial"/>
          <w:lang w:val="en-GB"/>
        </w:rPr>
        <w:t xml:space="preserve">Romero Cabrera, J.L., Sotos-Prieto, M., García </w:t>
      </w:r>
      <w:proofErr w:type="spellStart"/>
      <w:r w:rsidRPr="00222705">
        <w:rPr>
          <w:rFonts w:ascii="Arial" w:eastAsia="Aptos" w:hAnsi="Arial" w:cs="Arial"/>
          <w:lang w:val="en-GB"/>
        </w:rPr>
        <w:t>Ríos</w:t>
      </w:r>
      <w:proofErr w:type="spellEnd"/>
      <w:r w:rsidRPr="00222705">
        <w:rPr>
          <w:rFonts w:ascii="Arial" w:eastAsia="Aptos" w:hAnsi="Arial" w:cs="Arial"/>
          <w:lang w:val="en-GB"/>
        </w:rPr>
        <w:t>, A., Moffatt, S., Christophi, C.A., Pérez-Martínez, P. and Kales, S.N., 2021. Sleep and association with cardiovascular risk among Midwestern US firefighters. Frontiers in endocrinology, 12, p.772848.</w:t>
      </w:r>
    </w:p>
    <w:p w14:paraId="0E9A798F" w14:textId="77777777" w:rsidR="008D6288" w:rsidRPr="00222705" w:rsidRDefault="008D6288" w:rsidP="00EF007D">
      <w:pPr>
        <w:rPr>
          <w:rFonts w:ascii="Arial" w:eastAsia="Aptos" w:hAnsi="Arial" w:cs="Arial"/>
        </w:rPr>
      </w:pPr>
    </w:p>
    <w:p w14:paraId="48EE721F" w14:textId="77777777" w:rsidR="008F4D29" w:rsidRPr="00222705" w:rsidRDefault="008F4D29" w:rsidP="00EF007D">
      <w:pPr>
        <w:rPr>
          <w:rFonts w:ascii="Arial" w:eastAsia="Aptos" w:hAnsi="Arial" w:cs="Arial"/>
        </w:rPr>
      </w:pPr>
      <w:r w:rsidRPr="00222705">
        <w:rPr>
          <w:rFonts w:ascii="Arial" w:eastAsia="Aptos" w:hAnsi="Arial" w:cs="Arial"/>
        </w:rPr>
        <w:t>Romero, M. and Alvar, B., 2021. A new model for optimizing firefighter human performance. Strength &amp; Conditioning Journal, 43(4), pp.19-31.</w:t>
      </w:r>
    </w:p>
    <w:p w14:paraId="54B03B1C" w14:textId="77777777" w:rsidR="008D6288" w:rsidRPr="00222705" w:rsidRDefault="008D6288" w:rsidP="00EF007D">
      <w:pPr>
        <w:rPr>
          <w:rFonts w:ascii="Arial" w:eastAsia="Aptos" w:hAnsi="Arial" w:cs="Arial"/>
        </w:rPr>
      </w:pPr>
    </w:p>
    <w:p w14:paraId="7E9CDA09" w14:textId="77777777" w:rsidR="008F4D29" w:rsidRPr="00222705" w:rsidRDefault="008F4D29" w:rsidP="00EF007D">
      <w:pPr>
        <w:rPr>
          <w:rFonts w:ascii="Arial" w:eastAsia="Times New Roman" w:hAnsi="Arial" w:cs="Arial"/>
          <w:shd w:val="clear" w:color="auto" w:fill="FFFFFF"/>
          <w:lang w:val="en-GB" w:eastAsia="en-GB"/>
        </w:rPr>
      </w:pPr>
      <w:bookmarkStart w:id="84" w:name="OLE_LINK55"/>
      <w:r w:rsidRPr="00222705">
        <w:rPr>
          <w:rFonts w:ascii="Arial" w:eastAsia="Times New Roman" w:hAnsi="Arial" w:cs="Arial"/>
          <w:shd w:val="clear" w:color="auto" w:fill="FFFFFF"/>
          <w:lang w:val="en-GB" w:eastAsia="en-GB"/>
        </w:rPr>
        <w:t xml:space="preserve">Rosekind, M.R., Gander, P.H., Gregory, K.B., Smith, R.M., Miller, D.L., </w:t>
      </w:r>
      <w:proofErr w:type="spellStart"/>
      <w:r w:rsidRPr="00222705">
        <w:rPr>
          <w:rFonts w:ascii="Arial" w:eastAsia="Times New Roman" w:hAnsi="Arial" w:cs="Arial"/>
          <w:shd w:val="clear" w:color="auto" w:fill="FFFFFF"/>
          <w:lang w:val="en-GB" w:eastAsia="en-GB"/>
        </w:rPr>
        <w:t>Oyung</w:t>
      </w:r>
      <w:proofErr w:type="spellEnd"/>
      <w:r w:rsidRPr="00222705">
        <w:rPr>
          <w:rFonts w:ascii="Arial" w:eastAsia="Times New Roman" w:hAnsi="Arial" w:cs="Arial"/>
          <w:shd w:val="clear" w:color="auto" w:fill="FFFFFF"/>
          <w:lang w:val="en-GB" w:eastAsia="en-GB"/>
        </w:rPr>
        <w:t xml:space="preserve">, R., </w:t>
      </w:r>
      <w:proofErr w:type="spellStart"/>
      <w:r w:rsidRPr="00222705">
        <w:rPr>
          <w:rFonts w:ascii="Arial" w:eastAsia="Times New Roman" w:hAnsi="Arial" w:cs="Arial"/>
          <w:shd w:val="clear" w:color="auto" w:fill="FFFFFF"/>
          <w:lang w:val="en-GB" w:eastAsia="en-GB"/>
        </w:rPr>
        <w:t>Webbon</w:t>
      </w:r>
      <w:proofErr w:type="spellEnd"/>
      <w:r w:rsidRPr="00222705">
        <w:rPr>
          <w:rFonts w:ascii="Arial" w:eastAsia="Times New Roman" w:hAnsi="Arial" w:cs="Arial"/>
          <w:shd w:val="clear" w:color="auto" w:fill="FFFFFF"/>
          <w:lang w:val="en-GB" w:eastAsia="en-GB"/>
        </w:rPr>
        <w:t>, L.L. and Johnson, J.M., 1997. Managing fatigue in operational settings 1: Physiological considerations and counter-measures. </w:t>
      </w:r>
      <w:r w:rsidRPr="00222705">
        <w:rPr>
          <w:rFonts w:ascii="Arial" w:eastAsia="Times New Roman" w:hAnsi="Arial" w:cs="Arial"/>
          <w:lang w:val="en-GB" w:eastAsia="en-GB"/>
        </w:rPr>
        <w:t>Hospital topics</w:t>
      </w:r>
      <w:r w:rsidRPr="00222705">
        <w:rPr>
          <w:rFonts w:ascii="Arial" w:eastAsia="Times New Roman" w:hAnsi="Arial" w:cs="Arial"/>
          <w:shd w:val="clear" w:color="auto" w:fill="FFFFFF"/>
          <w:lang w:val="en-GB" w:eastAsia="en-GB"/>
        </w:rPr>
        <w:t>, </w:t>
      </w:r>
      <w:r w:rsidRPr="00222705">
        <w:rPr>
          <w:rFonts w:ascii="Arial" w:eastAsia="Times New Roman" w:hAnsi="Arial" w:cs="Arial"/>
          <w:lang w:val="en-GB" w:eastAsia="en-GB"/>
        </w:rPr>
        <w:t>75</w:t>
      </w:r>
      <w:r w:rsidRPr="00222705">
        <w:rPr>
          <w:rFonts w:ascii="Arial" w:eastAsia="Times New Roman" w:hAnsi="Arial" w:cs="Arial"/>
          <w:shd w:val="clear" w:color="auto" w:fill="FFFFFF"/>
          <w:lang w:val="en-GB" w:eastAsia="en-GB"/>
        </w:rPr>
        <w:t>(3), pp.23-30.</w:t>
      </w:r>
    </w:p>
    <w:p w14:paraId="16C5F5D5" w14:textId="77777777" w:rsidR="008D6288" w:rsidRPr="00222705" w:rsidRDefault="008D6288" w:rsidP="00EF007D">
      <w:pPr>
        <w:rPr>
          <w:rFonts w:ascii="Arial" w:eastAsia="Aptos" w:hAnsi="Arial" w:cs="Arial"/>
        </w:rPr>
      </w:pPr>
    </w:p>
    <w:bookmarkEnd w:id="84"/>
    <w:p w14:paraId="6265961C" w14:textId="77777777" w:rsidR="008F4D29" w:rsidRPr="00222705" w:rsidRDefault="008F4D29" w:rsidP="00EF007D">
      <w:pPr>
        <w:rPr>
          <w:rFonts w:ascii="Arial" w:eastAsia="Aptos" w:hAnsi="Arial" w:cs="Arial"/>
          <w:lang w:val="en-GB"/>
        </w:rPr>
      </w:pPr>
      <w:r w:rsidRPr="00222705">
        <w:rPr>
          <w:rFonts w:ascii="Arial" w:eastAsia="Aptos" w:hAnsi="Arial" w:cs="Arial"/>
          <w:lang w:val="en-GB"/>
        </w:rPr>
        <w:t xml:space="preserve">Rothman, A.M., </w:t>
      </w:r>
      <w:proofErr w:type="spellStart"/>
      <w:r w:rsidRPr="00222705">
        <w:rPr>
          <w:rFonts w:ascii="Arial" w:eastAsia="Aptos" w:hAnsi="Arial" w:cs="Arial"/>
          <w:lang w:val="en-GB"/>
        </w:rPr>
        <w:t>MacFadyen</w:t>
      </w:r>
      <w:proofErr w:type="spellEnd"/>
      <w:r w:rsidRPr="00222705">
        <w:rPr>
          <w:rFonts w:ascii="Arial" w:eastAsia="Aptos" w:hAnsi="Arial" w:cs="Arial"/>
          <w:lang w:val="en-GB"/>
        </w:rPr>
        <w:t xml:space="preserve">, J., </w:t>
      </w:r>
      <w:proofErr w:type="spellStart"/>
      <w:r w:rsidRPr="00222705">
        <w:rPr>
          <w:rFonts w:ascii="Arial" w:eastAsia="Aptos" w:hAnsi="Arial" w:cs="Arial"/>
          <w:lang w:val="en-GB"/>
        </w:rPr>
        <w:t>Thuren</w:t>
      </w:r>
      <w:proofErr w:type="spellEnd"/>
      <w:r w:rsidRPr="00222705">
        <w:rPr>
          <w:rFonts w:ascii="Arial" w:eastAsia="Aptos" w:hAnsi="Arial" w:cs="Arial"/>
          <w:lang w:val="en-GB"/>
        </w:rPr>
        <w:t>, T., Webb, A., Harrison, D.G., Guzik, T.J., Libby, P., Glynn, R.J. and Ridker, P.M., 2020. Effects of interleukin-1β inhibition on blood pressure, incident hypertension, and residual inflammatory risk: a secondary analysis of CANTOS. Hypertension, 75(2), pp.477-482.</w:t>
      </w:r>
    </w:p>
    <w:p w14:paraId="23839CD3" w14:textId="77777777" w:rsidR="008D6288" w:rsidRPr="00222705" w:rsidRDefault="008D6288" w:rsidP="00EF007D">
      <w:pPr>
        <w:rPr>
          <w:rFonts w:ascii="Arial" w:eastAsia="Aptos" w:hAnsi="Arial" w:cs="Arial"/>
        </w:rPr>
      </w:pPr>
    </w:p>
    <w:p w14:paraId="6E3CA056"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 xml:space="preserve">Saijo, Y., </w:t>
      </w:r>
      <w:proofErr w:type="spellStart"/>
      <w:r w:rsidRPr="00222705">
        <w:rPr>
          <w:rFonts w:ascii="Arial" w:hAnsi="Arial" w:cs="Arial"/>
          <w:shd w:val="clear" w:color="auto" w:fill="FFFFFF"/>
        </w:rPr>
        <w:t>Ueno</w:t>
      </w:r>
      <w:proofErr w:type="spellEnd"/>
      <w:r w:rsidRPr="00222705">
        <w:rPr>
          <w:rFonts w:ascii="Arial" w:hAnsi="Arial" w:cs="Arial"/>
          <w:shd w:val="clear" w:color="auto" w:fill="FFFFFF"/>
        </w:rPr>
        <w:t>, T. and Hashimoto, Y., 2008. Twenty</w:t>
      </w:r>
      <w:r w:rsidRPr="00222705">
        <w:rPr>
          <w:rFonts w:ascii="Cambria Math" w:hAnsi="Cambria Math" w:cs="Cambria Math"/>
          <w:shd w:val="clear" w:color="auto" w:fill="FFFFFF"/>
        </w:rPr>
        <w:t>‐</w:t>
      </w:r>
      <w:r w:rsidRPr="00222705">
        <w:rPr>
          <w:rFonts w:ascii="Arial" w:hAnsi="Arial" w:cs="Arial"/>
          <w:shd w:val="clear" w:color="auto" w:fill="FFFFFF"/>
        </w:rPr>
        <w:t>four</w:t>
      </w:r>
      <w:r w:rsidRPr="00222705">
        <w:rPr>
          <w:rFonts w:ascii="Cambria Math" w:hAnsi="Cambria Math" w:cs="Cambria Math"/>
          <w:shd w:val="clear" w:color="auto" w:fill="FFFFFF"/>
        </w:rPr>
        <w:t>‐</w:t>
      </w:r>
      <w:r w:rsidRPr="00222705">
        <w:rPr>
          <w:rFonts w:ascii="Arial" w:hAnsi="Arial" w:cs="Arial"/>
          <w:shd w:val="clear" w:color="auto" w:fill="FFFFFF"/>
        </w:rPr>
        <w:t>hour shift work, depressive symptoms, and job dissatisfaction among Japanese firefighters. </w:t>
      </w:r>
      <w:r w:rsidRPr="00222705">
        <w:rPr>
          <w:rFonts w:ascii="Arial" w:hAnsi="Arial" w:cs="Arial"/>
        </w:rPr>
        <w:t>American journal of industrial medicine</w:t>
      </w:r>
      <w:r w:rsidRPr="00222705">
        <w:rPr>
          <w:rFonts w:ascii="Arial" w:hAnsi="Arial" w:cs="Arial"/>
          <w:shd w:val="clear" w:color="auto" w:fill="FFFFFF"/>
        </w:rPr>
        <w:t>, </w:t>
      </w:r>
      <w:r w:rsidRPr="00222705">
        <w:rPr>
          <w:rFonts w:ascii="Arial" w:hAnsi="Arial" w:cs="Arial"/>
        </w:rPr>
        <w:t>51</w:t>
      </w:r>
      <w:r w:rsidRPr="00222705">
        <w:rPr>
          <w:rFonts w:ascii="Arial" w:hAnsi="Arial" w:cs="Arial"/>
          <w:shd w:val="clear" w:color="auto" w:fill="FFFFFF"/>
        </w:rPr>
        <w:t>(5), pp.380-391.</w:t>
      </w:r>
    </w:p>
    <w:p w14:paraId="631D5A4A" w14:textId="77777777" w:rsidR="008D6288" w:rsidRPr="00222705" w:rsidRDefault="008D6288" w:rsidP="00EF007D">
      <w:pPr>
        <w:rPr>
          <w:rFonts w:ascii="Arial" w:hAnsi="Arial" w:cs="Arial"/>
          <w:shd w:val="clear" w:color="auto" w:fill="FFFFFF"/>
        </w:rPr>
      </w:pPr>
    </w:p>
    <w:p w14:paraId="26E00039" w14:textId="77777777" w:rsidR="008F4D29" w:rsidRPr="00222705" w:rsidRDefault="008F4D29" w:rsidP="00EF007D">
      <w:pPr>
        <w:rPr>
          <w:rFonts w:ascii="Arial" w:hAnsi="Arial" w:cs="Arial"/>
        </w:rPr>
      </w:pPr>
      <w:r w:rsidRPr="00222705">
        <w:rPr>
          <w:rFonts w:ascii="Arial" w:hAnsi="Arial" w:cs="Arial"/>
        </w:rPr>
        <w:lastRenderedPageBreak/>
        <w:t xml:space="preserve">Sandsund, M., </w:t>
      </w:r>
      <w:proofErr w:type="spellStart"/>
      <w:r w:rsidRPr="00222705">
        <w:rPr>
          <w:rFonts w:ascii="Arial" w:hAnsi="Arial" w:cs="Arial"/>
        </w:rPr>
        <w:t>Aamodt</w:t>
      </w:r>
      <w:proofErr w:type="spellEnd"/>
      <w:r w:rsidRPr="00222705">
        <w:rPr>
          <w:rFonts w:ascii="Arial" w:hAnsi="Arial" w:cs="Arial"/>
        </w:rPr>
        <w:t xml:space="preserve">, E. and </w:t>
      </w:r>
      <w:proofErr w:type="spellStart"/>
      <w:r w:rsidRPr="00222705">
        <w:rPr>
          <w:rFonts w:ascii="Arial" w:hAnsi="Arial" w:cs="Arial"/>
        </w:rPr>
        <w:t>Renberg</w:t>
      </w:r>
      <w:proofErr w:type="spellEnd"/>
      <w:r w:rsidRPr="00222705">
        <w:rPr>
          <w:rFonts w:ascii="Arial" w:hAnsi="Arial" w:cs="Arial"/>
        </w:rPr>
        <w:t>, J., 2024. Heat strain in professional firefighters: physiological responses to a simulated smoke dive in extremely hot environments and the subsequent recovery phase. Industrial health, 62(5), pp.312-323.</w:t>
      </w:r>
    </w:p>
    <w:p w14:paraId="24DB7AAA" w14:textId="77777777" w:rsidR="008D6288" w:rsidRPr="00222705" w:rsidRDefault="008D6288" w:rsidP="00EF007D">
      <w:pPr>
        <w:rPr>
          <w:rFonts w:ascii="Arial" w:hAnsi="Arial" w:cs="Arial"/>
        </w:rPr>
      </w:pPr>
    </w:p>
    <w:p w14:paraId="7A7563A5"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 xml:space="preserve">Santos, J.A.R., Rama, T.A., da Silva, D.J.L., Fernandes, R.J. and </w:t>
      </w:r>
      <w:proofErr w:type="spellStart"/>
      <w:r w:rsidRPr="00222705">
        <w:rPr>
          <w:rFonts w:ascii="Arial" w:eastAsia="Times New Roman" w:hAnsi="Arial" w:cs="Arial"/>
          <w:kern w:val="0"/>
          <w14:ligatures w14:val="none"/>
        </w:rPr>
        <w:t>Zacca</w:t>
      </w:r>
      <w:proofErr w:type="spellEnd"/>
      <w:r w:rsidRPr="00222705">
        <w:rPr>
          <w:rFonts w:ascii="Arial" w:eastAsia="Times New Roman" w:hAnsi="Arial" w:cs="Arial"/>
          <w:kern w:val="0"/>
          <w14:ligatures w14:val="none"/>
        </w:rPr>
        <w:t>, R., 2022. Supply of Antioxidants vs. Recruit Firefighters’ Cellular Immune Status: A Randomized Double-Blinded Placebo-Controlled Parallel-Group Trial. Life, 12(6), p.813. </w:t>
      </w:r>
    </w:p>
    <w:p w14:paraId="24EC911B" w14:textId="77777777" w:rsidR="008D6288" w:rsidRPr="00222705" w:rsidRDefault="008D6288" w:rsidP="00EF007D">
      <w:pPr>
        <w:rPr>
          <w:rFonts w:ascii="Arial" w:eastAsia="Times New Roman" w:hAnsi="Arial" w:cs="Arial"/>
          <w:kern w:val="0"/>
          <w14:ligatures w14:val="none"/>
        </w:rPr>
      </w:pPr>
    </w:p>
    <w:p w14:paraId="047CA216" w14:textId="77777777" w:rsidR="008F4D29" w:rsidRPr="00222705" w:rsidRDefault="008F4D29" w:rsidP="00EF007D">
      <w:pPr>
        <w:rPr>
          <w:rFonts w:ascii="Arial" w:eastAsia="Times New Roman" w:hAnsi="Arial" w:cs="Arial"/>
          <w:kern w:val="0"/>
          <w14:ligatures w14:val="none"/>
        </w:rPr>
      </w:pPr>
      <w:proofErr w:type="spellStart"/>
      <w:r w:rsidRPr="00222705">
        <w:rPr>
          <w:rFonts w:ascii="Arial" w:eastAsia="Times New Roman" w:hAnsi="Arial" w:cs="Arial"/>
          <w:kern w:val="0"/>
          <w:shd w:val="clear" w:color="auto" w:fill="FFFFFF"/>
          <w14:ligatures w14:val="none"/>
        </w:rPr>
        <w:t>Sauder</w:t>
      </w:r>
      <w:proofErr w:type="spellEnd"/>
      <w:r w:rsidRPr="00222705">
        <w:rPr>
          <w:rFonts w:ascii="Arial" w:eastAsia="Times New Roman" w:hAnsi="Arial" w:cs="Arial"/>
          <w:kern w:val="0"/>
          <w:shd w:val="clear" w:color="auto" w:fill="FFFFFF"/>
          <w14:ligatures w14:val="none"/>
        </w:rPr>
        <w:t>, K.A., </w:t>
      </w:r>
      <w:proofErr w:type="spellStart"/>
      <w:r w:rsidRPr="00222705">
        <w:rPr>
          <w:rFonts w:ascii="Arial" w:eastAsia="Times New Roman" w:hAnsi="Arial" w:cs="Arial"/>
          <w:kern w:val="0"/>
          <w:shd w:val="clear" w:color="auto" w:fill="FFFFFF"/>
          <w14:ligatures w14:val="none"/>
        </w:rPr>
        <w:t>Skulas-Ray</w:t>
      </w:r>
      <w:proofErr w:type="spellEnd"/>
      <w:r w:rsidRPr="00222705">
        <w:rPr>
          <w:rFonts w:ascii="Arial" w:eastAsia="Times New Roman" w:hAnsi="Arial" w:cs="Arial"/>
          <w:kern w:val="0"/>
          <w:shd w:val="clear" w:color="auto" w:fill="FFFFFF"/>
          <w14:ligatures w14:val="none"/>
        </w:rPr>
        <w:t xml:space="preserve">, A.C., Campbell, T.S., Johnson, J.A., Kris-Etherton, P.M. and West, S.G., 2013. Effects of omega-3 fatty acid supplementation on heart rate variability at rest and during acute stress in adults with moderate </w:t>
      </w:r>
      <w:proofErr w:type="spellStart"/>
      <w:r w:rsidRPr="00222705">
        <w:rPr>
          <w:rFonts w:ascii="Arial" w:eastAsia="Times New Roman" w:hAnsi="Arial" w:cs="Arial"/>
          <w:kern w:val="0"/>
          <w:shd w:val="clear" w:color="auto" w:fill="FFFFFF"/>
          <w14:ligatures w14:val="none"/>
        </w:rPr>
        <w:t>hypertriglyceridemia</w:t>
      </w:r>
      <w:proofErr w:type="spellEnd"/>
      <w:r w:rsidRPr="00222705">
        <w:rPr>
          <w:rFonts w:ascii="Arial" w:eastAsia="Times New Roman" w:hAnsi="Arial" w:cs="Arial"/>
          <w:kern w:val="0"/>
          <w:shd w:val="clear" w:color="auto" w:fill="FFFFFF"/>
          <w14:ligatures w14:val="none"/>
        </w:rPr>
        <w:t>. </w:t>
      </w:r>
      <w:r w:rsidRPr="00222705">
        <w:rPr>
          <w:rFonts w:ascii="Arial" w:eastAsia="Times New Roman" w:hAnsi="Arial" w:cs="Arial"/>
          <w:kern w:val="0"/>
          <w14:ligatures w14:val="none"/>
        </w:rPr>
        <w:t>Biopsychosocial Science and Medicine</w:t>
      </w:r>
      <w:r w:rsidRPr="00222705">
        <w:rPr>
          <w:rFonts w:ascii="Arial" w:eastAsia="Times New Roman" w:hAnsi="Arial" w:cs="Arial"/>
          <w:kern w:val="0"/>
          <w:shd w:val="clear" w:color="auto" w:fill="FFFFFF"/>
          <w14:ligatures w14:val="none"/>
        </w:rPr>
        <w:t>, </w:t>
      </w:r>
      <w:r w:rsidRPr="00222705">
        <w:rPr>
          <w:rFonts w:ascii="Arial" w:eastAsia="Times New Roman" w:hAnsi="Arial" w:cs="Arial"/>
          <w:kern w:val="0"/>
          <w14:ligatures w14:val="none"/>
        </w:rPr>
        <w:t>75</w:t>
      </w:r>
      <w:r w:rsidRPr="00222705">
        <w:rPr>
          <w:rFonts w:ascii="Arial" w:eastAsia="Times New Roman" w:hAnsi="Arial" w:cs="Arial"/>
          <w:kern w:val="0"/>
          <w:shd w:val="clear" w:color="auto" w:fill="FFFFFF"/>
          <w14:ligatures w14:val="none"/>
        </w:rPr>
        <w:t>(4), pp.382-389.</w:t>
      </w:r>
      <w:r w:rsidRPr="00222705">
        <w:rPr>
          <w:rFonts w:ascii="Arial" w:eastAsia="Times New Roman" w:hAnsi="Arial" w:cs="Arial"/>
          <w:kern w:val="0"/>
          <w14:ligatures w14:val="none"/>
        </w:rPr>
        <w:t> </w:t>
      </w:r>
    </w:p>
    <w:p w14:paraId="3C62E41C" w14:textId="77777777" w:rsidR="008F4D29" w:rsidRPr="00222705" w:rsidRDefault="008F4D29" w:rsidP="00EF007D">
      <w:pPr>
        <w:rPr>
          <w:rFonts w:ascii="Arial" w:hAnsi="Arial" w:cs="Arial"/>
        </w:rPr>
      </w:pPr>
    </w:p>
    <w:p w14:paraId="38D5CFE7" w14:textId="77777777" w:rsidR="008F4D29" w:rsidRPr="00222705" w:rsidRDefault="008F4D29" w:rsidP="00EF007D">
      <w:pPr>
        <w:rPr>
          <w:rFonts w:ascii="Arial" w:hAnsi="Arial" w:cs="Arial"/>
        </w:rPr>
      </w:pPr>
      <w:r w:rsidRPr="00222705">
        <w:rPr>
          <w:rFonts w:ascii="Arial" w:hAnsi="Arial" w:cs="Arial"/>
        </w:rPr>
        <w:t>Schneider, M. and Schwerdtfeger, A., 2020. Autonomic dysfunction in posttraumatic stress disorder indexed by heart rate variability: a meta-analysis. Psychological medicine, 50(12), pp.1937-1948.</w:t>
      </w:r>
    </w:p>
    <w:p w14:paraId="41E46C16" w14:textId="77777777" w:rsidR="008D6288" w:rsidRPr="00222705" w:rsidRDefault="008D6288" w:rsidP="00EF007D">
      <w:pPr>
        <w:rPr>
          <w:rFonts w:ascii="Arial" w:hAnsi="Arial" w:cs="Arial"/>
        </w:rPr>
      </w:pPr>
    </w:p>
    <w:p w14:paraId="7D95A090"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shd w:val="clear" w:color="auto" w:fill="FFFFFF"/>
          <w:lang w:val="en-GB"/>
          <w14:ligatures w14:val="none"/>
        </w:rPr>
        <w:t xml:space="preserve">Schulte, E.M., </w:t>
      </w:r>
      <w:proofErr w:type="spellStart"/>
      <w:r w:rsidRPr="00222705">
        <w:rPr>
          <w:rFonts w:ascii="Arial" w:eastAsia="Times New Roman" w:hAnsi="Arial" w:cs="Arial"/>
          <w:kern w:val="0"/>
          <w:shd w:val="clear" w:color="auto" w:fill="FFFFFF"/>
          <w:lang w:val="en-GB"/>
          <w14:ligatures w14:val="none"/>
        </w:rPr>
        <w:t>Avena</w:t>
      </w:r>
      <w:proofErr w:type="spellEnd"/>
      <w:r w:rsidRPr="00222705">
        <w:rPr>
          <w:rFonts w:ascii="Arial" w:eastAsia="Times New Roman" w:hAnsi="Arial" w:cs="Arial"/>
          <w:kern w:val="0"/>
          <w:shd w:val="clear" w:color="auto" w:fill="FFFFFF"/>
          <w:lang w:val="en-GB"/>
          <w14:ligatures w14:val="none"/>
        </w:rPr>
        <w:t xml:space="preserve">, N.M. and </w:t>
      </w:r>
      <w:proofErr w:type="spellStart"/>
      <w:r w:rsidRPr="00222705">
        <w:rPr>
          <w:rFonts w:ascii="Arial" w:eastAsia="Times New Roman" w:hAnsi="Arial" w:cs="Arial"/>
          <w:kern w:val="0"/>
          <w:shd w:val="clear" w:color="auto" w:fill="FFFFFF"/>
          <w:lang w:val="en-GB"/>
          <w14:ligatures w14:val="none"/>
        </w:rPr>
        <w:t>Gearhardt</w:t>
      </w:r>
      <w:proofErr w:type="spellEnd"/>
      <w:r w:rsidRPr="00222705">
        <w:rPr>
          <w:rFonts w:ascii="Arial" w:eastAsia="Times New Roman" w:hAnsi="Arial" w:cs="Arial"/>
          <w:kern w:val="0"/>
          <w:shd w:val="clear" w:color="auto" w:fill="FFFFFF"/>
          <w:lang w:val="en-GB"/>
          <w14:ligatures w14:val="none"/>
        </w:rPr>
        <w:t>, A.N., 2015. Which foods may be addictive? The roles of processing, fat content, and glycemic load. </w:t>
      </w:r>
      <w:proofErr w:type="spellStart"/>
      <w:r w:rsidRPr="00222705">
        <w:rPr>
          <w:rFonts w:ascii="Arial" w:eastAsia="Times New Roman" w:hAnsi="Arial" w:cs="Arial"/>
          <w:kern w:val="0"/>
          <w:lang w:val="en-GB"/>
          <w14:ligatures w14:val="none"/>
        </w:rPr>
        <w:t>PloS</w:t>
      </w:r>
      <w:proofErr w:type="spellEnd"/>
      <w:r w:rsidRPr="00222705">
        <w:rPr>
          <w:rFonts w:ascii="Arial" w:eastAsia="Times New Roman" w:hAnsi="Arial" w:cs="Arial"/>
          <w:kern w:val="0"/>
          <w:lang w:val="en-GB"/>
          <w14:ligatures w14:val="none"/>
        </w:rPr>
        <w:t> one</w:t>
      </w:r>
      <w:r w:rsidRPr="00222705">
        <w:rPr>
          <w:rFonts w:ascii="Arial" w:eastAsia="Times New Roman" w:hAnsi="Arial" w:cs="Arial"/>
          <w:kern w:val="0"/>
          <w:shd w:val="clear" w:color="auto" w:fill="FFFFFF"/>
          <w:lang w:val="en-GB"/>
          <w14:ligatures w14:val="none"/>
        </w:rPr>
        <w:t>, </w:t>
      </w:r>
      <w:r w:rsidRPr="00222705">
        <w:rPr>
          <w:rFonts w:ascii="Arial" w:eastAsia="Times New Roman" w:hAnsi="Arial" w:cs="Arial"/>
          <w:kern w:val="0"/>
          <w:lang w:val="en-GB"/>
          <w14:ligatures w14:val="none"/>
        </w:rPr>
        <w:t>10</w:t>
      </w:r>
      <w:r w:rsidRPr="00222705">
        <w:rPr>
          <w:rFonts w:ascii="Arial" w:eastAsia="Times New Roman" w:hAnsi="Arial" w:cs="Arial"/>
          <w:kern w:val="0"/>
          <w:shd w:val="clear" w:color="auto" w:fill="FFFFFF"/>
          <w:lang w:val="en-GB"/>
          <w14:ligatures w14:val="none"/>
        </w:rPr>
        <w:t>(2), p.e0117959.</w:t>
      </w:r>
      <w:r w:rsidRPr="00222705">
        <w:rPr>
          <w:rFonts w:ascii="Arial" w:eastAsia="Times New Roman" w:hAnsi="Arial" w:cs="Arial"/>
          <w:kern w:val="0"/>
          <w14:ligatures w14:val="none"/>
        </w:rPr>
        <w:t> </w:t>
      </w:r>
    </w:p>
    <w:p w14:paraId="49523D6A" w14:textId="77777777" w:rsidR="008D6288" w:rsidRPr="00222705" w:rsidRDefault="008D6288" w:rsidP="00EF007D">
      <w:pPr>
        <w:rPr>
          <w:rFonts w:ascii="Arial" w:eastAsia="Times New Roman" w:hAnsi="Arial" w:cs="Arial"/>
          <w:kern w:val="0"/>
          <w14:ligatures w14:val="none"/>
        </w:rPr>
      </w:pPr>
    </w:p>
    <w:p w14:paraId="703DB7BC" w14:textId="77777777" w:rsidR="008F4D29" w:rsidRPr="00222705" w:rsidRDefault="008F4D29" w:rsidP="00EF007D">
      <w:pPr>
        <w:rPr>
          <w:rFonts w:ascii="Arial" w:hAnsi="Arial" w:cs="Arial"/>
          <w:color w:val="000000" w:themeColor="text1"/>
        </w:rPr>
      </w:pPr>
      <w:r w:rsidRPr="00222705">
        <w:rPr>
          <w:rFonts w:ascii="Arial" w:hAnsi="Arial" w:cs="Arial"/>
          <w:color w:val="000000" w:themeColor="text1"/>
        </w:rPr>
        <w:t>Schwingshackl, L. and Hoffmann, G., 2014. Mediterranean dietary pattern, inflammation and endothelial function: a systematic review and meta-analysis of intervention trials. Nutrition, metabolism and cardiovascular diseases, 24(9), pp.929-939.  </w:t>
      </w:r>
    </w:p>
    <w:p w14:paraId="02CB677E" w14:textId="77777777" w:rsidR="008D6288" w:rsidRPr="00222705" w:rsidRDefault="008D6288" w:rsidP="00EF007D">
      <w:pPr>
        <w:rPr>
          <w:rFonts w:ascii="Arial" w:hAnsi="Arial" w:cs="Arial"/>
          <w:color w:val="000000"/>
        </w:rPr>
      </w:pPr>
    </w:p>
    <w:p w14:paraId="0ABE9811" w14:textId="77777777" w:rsidR="008F4D29" w:rsidRPr="00222705" w:rsidRDefault="008F4D29" w:rsidP="00EF007D">
      <w:pPr>
        <w:rPr>
          <w:rFonts w:ascii="Arial" w:eastAsia="Aptos" w:hAnsi="Arial" w:cs="Arial"/>
        </w:rPr>
      </w:pPr>
      <w:r w:rsidRPr="00222705">
        <w:rPr>
          <w:rFonts w:ascii="Arial" w:eastAsia="Aptos" w:hAnsi="Arial" w:cs="Arial"/>
        </w:rPr>
        <w:t>Scofield, D.E. and Kardouni, J.R., 2015. The tactical athlete: a product of 21st century strength and conditioning. Strength &amp; Conditioning Journal, 37(4), pp.2-7</w:t>
      </w:r>
    </w:p>
    <w:p w14:paraId="1DA0E42E" w14:textId="77777777" w:rsidR="004F2499" w:rsidRPr="00222705" w:rsidRDefault="004F2499" w:rsidP="00EF007D">
      <w:pPr>
        <w:rPr>
          <w:rFonts w:ascii="Arial" w:eastAsia="Aptos" w:hAnsi="Arial" w:cs="Arial"/>
        </w:rPr>
      </w:pPr>
    </w:p>
    <w:p w14:paraId="4CDC85E3"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 xml:space="preserve">Scott, H., </w:t>
      </w:r>
      <w:proofErr w:type="spellStart"/>
      <w:r w:rsidRPr="00222705">
        <w:rPr>
          <w:rFonts w:ascii="Arial" w:hAnsi="Arial" w:cs="Arial"/>
          <w:shd w:val="clear" w:color="auto" w:fill="FFFFFF"/>
        </w:rPr>
        <w:t>Naik</w:t>
      </w:r>
      <w:proofErr w:type="spellEnd"/>
      <w:r w:rsidRPr="00222705">
        <w:rPr>
          <w:rFonts w:ascii="Arial" w:hAnsi="Arial" w:cs="Arial"/>
          <w:shd w:val="clear" w:color="auto" w:fill="FFFFFF"/>
        </w:rPr>
        <w:t xml:space="preserve">, G., </w:t>
      </w:r>
      <w:proofErr w:type="spellStart"/>
      <w:r w:rsidRPr="00222705">
        <w:rPr>
          <w:rFonts w:ascii="Arial" w:hAnsi="Arial" w:cs="Arial"/>
          <w:shd w:val="clear" w:color="auto" w:fill="FFFFFF"/>
        </w:rPr>
        <w:t>Lechat</w:t>
      </w:r>
      <w:proofErr w:type="spellEnd"/>
      <w:r w:rsidRPr="00222705">
        <w:rPr>
          <w:rFonts w:ascii="Arial" w:hAnsi="Arial" w:cs="Arial"/>
          <w:shd w:val="clear" w:color="auto" w:fill="FFFFFF"/>
        </w:rPr>
        <w:t xml:space="preserve">, B., Manners, J., </w:t>
      </w:r>
      <w:proofErr w:type="spellStart"/>
      <w:r w:rsidRPr="00222705">
        <w:rPr>
          <w:rFonts w:ascii="Arial" w:hAnsi="Arial" w:cs="Arial"/>
          <w:shd w:val="clear" w:color="auto" w:fill="FFFFFF"/>
        </w:rPr>
        <w:t>Fitton</w:t>
      </w:r>
      <w:proofErr w:type="spellEnd"/>
      <w:r w:rsidRPr="00222705">
        <w:rPr>
          <w:rFonts w:ascii="Arial" w:hAnsi="Arial" w:cs="Arial"/>
          <w:shd w:val="clear" w:color="auto" w:fill="FFFFFF"/>
        </w:rPr>
        <w:t xml:space="preserve">, J., Nguyen, D.P., Hudson, A.L., Reynolds, A.C., </w:t>
      </w:r>
      <w:proofErr w:type="spellStart"/>
      <w:r w:rsidRPr="00222705">
        <w:rPr>
          <w:rFonts w:ascii="Arial" w:hAnsi="Arial" w:cs="Arial"/>
          <w:shd w:val="clear" w:color="auto" w:fill="FFFFFF"/>
        </w:rPr>
        <w:t>Sweetman</w:t>
      </w:r>
      <w:proofErr w:type="spellEnd"/>
      <w:r w:rsidRPr="00222705">
        <w:rPr>
          <w:rFonts w:ascii="Arial" w:hAnsi="Arial" w:cs="Arial"/>
          <w:shd w:val="clear" w:color="auto" w:fill="FFFFFF"/>
        </w:rPr>
        <w:t xml:space="preserve">, A., </w:t>
      </w:r>
      <w:proofErr w:type="spellStart"/>
      <w:r w:rsidRPr="00222705">
        <w:rPr>
          <w:rFonts w:ascii="Arial" w:hAnsi="Arial" w:cs="Arial"/>
          <w:shd w:val="clear" w:color="auto" w:fill="FFFFFF"/>
        </w:rPr>
        <w:t>Escourrou</w:t>
      </w:r>
      <w:proofErr w:type="spellEnd"/>
      <w:r w:rsidRPr="00222705">
        <w:rPr>
          <w:rFonts w:ascii="Arial" w:hAnsi="Arial" w:cs="Arial"/>
          <w:shd w:val="clear" w:color="auto" w:fill="FFFFFF"/>
        </w:rPr>
        <w:t xml:space="preserve">, P. and </w:t>
      </w:r>
      <w:proofErr w:type="spellStart"/>
      <w:r w:rsidRPr="00222705">
        <w:rPr>
          <w:rFonts w:ascii="Arial" w:hAnsi="Arial" w:cs="Arial"/>
          <w:shd w:val="clear" w:color="auto" w:fill="FFFFFF"/>
        </w:rPr>
        <w:t>Catcheside</w:t>
      </w:r>
      <w:proofErr w:type="spellEnd"/>
      <w:r w:rsidRPr="00222705">
        <w:rPr>
          <w:rFonts w:ascii="Arial" w:hAnsi="Arial" w:cs="Arial"/>
          <w:shd w:val="clear" w:color="auto" w:fill="FFFFFF"/>
        </w:rPr>
        <w:t>, P., 2024. Are we getting enough sleep? Frequent irregular sleep found in an analysis of over 11 million nights of objective in-home sleep data. </w:t>
      </w:r>
      <w:r w:rsidRPr="00222705">
        <w:rPr>
          <w:rFonts w:ascii="Arial" w:hAnsi="Arial" w:cs="Arial"/>
        </w:rPr>
        <w:t>Sleep Health</w:t>
      </w:r>
      <w:r w:rsidRPr="00222705">
        <w:rPr>
          <w:rFonts w:ascii="Arial" w:hAnsi="Arial" w:cs="Arial"/>
          <w:shd w:val="clear" w:color="auto" w:fill="FFFFFF"/>
        </w:rPr>
        <w:t>, </w:t>
      </w:r>
      <w:r w:rsidRPr="00222705">
        <w:rPr>
          <w:rFonts w:ascii="Arial" w:hAnsi="Arial" w:cs="Arial"/>
        </w:rPr>
        <w:t>10</w:t>
      </w:r>
      <w:r w:rsidRPr="00222705">
        <w:rPr>
          <w:rFonts w:ascii="Arial" w:hAnsi="Arial" w:cs="Arial"/>
          <w:shd w:val="clear" w:color="auto" w:fill="FFFFFF"/>
        </w:rPr>
        <w:t>(1), pp.91-97.</w:t>
      </w:r>
    </w:p>
    <w:p w14:paraId="5B8927A1" w14:textId="77777777" w:rsidR="008D6288" w:rsidRPr="00222705" w:rsidRDefault="008D6288" w:rsidP="00EF007D">
      <w:pPr>
        <w:rPr>
          <w:rFonts w:ascii="Arial" w:hAnsi="Arial" w:cs="Arial"/>
          <w:shd w:val="clear" w:color="auto" w:fill="FFFFFF"/>
        </w:rPr>
      </w:pPr>
    </w:p>
    <w:p w14:paraId="43093AC5" w14:textId="77777777" w:rsidR="008F4D29" w:rsidRPr="00222705" w:rsidRDefault="008F4D29" w:rsidP="00EF007D">
      <w:pPr>
        <w:rPr>
          <w:rFonts w:ascii="Arial" w:hAnsi="Arial" w:cs="Arial"/>
        </w:rPr>
      </w:pPr>
      <w:r w:rsidRPr="00222705">
        <w:rPr>
          <w:rFonts w:ascii="Arial" w:hAnsi="Arial" w:cs="Arial"/>
        </w:rPr>
        <w:t>Semmens, E.O., Domitrovich, J., Conway, K. and Noonan, C.W., 2016. A cross</w:t>
      </w:r>
      <w:r w:rsidRPr="00222705">
        <w:rPr>
          <w:rFonts w:ascii="Cambria Math" w:hAnsi="Cambria Math" w:cs="Cambria Math"/>
        </w:rPr>
        <w:t>‐</w:t>
      </w:r>
      <w:r w:rsidRPr="00222705">
        <w:rPr>
          <w:rFonts w:ascii="Arial" w:hAnsi="Arial" w:cs="Arial"/>
        </w:rPr>
        <w:t>sectional survey of occupational history as a wildland firefighter and health. American journal of industrial medicine, 59(4), pp.330-335. </w:t>
      </w:r>
    </w:p>
    <w:p w14:paraId="3112D72D" w14:textId="77777777" w:rsidR="008D6288" w:rsidRPr="00222705" w:rsidRDefault="008D6288" w:rsidP="00EF007D">
      <w:pPr>
        <w:rPr>
          <w:rFonts w:ascii="Arial" w:hAnsi="Arial" w:cs="Arial"/>
        </w:rPr>
      </w:pPr>
    </w:p>
    <w:p w14:paraId="54206138" w14:textId="77777777" w:rsidR="008F4D29" w:rsidRPr="00222705" w:rsidRDefault="008F4D29" w:rsidP="00EF007D">
      <w:pPr>
        <w:rPr>
          <w:rFonts w:ascii="Arial" w:hAnsi="Arial" w:cs="Arial"/>
        </w:rPr>
      </w:pPr>
      <w:r w:rsidRPr="00222705">
        <w:rPr>
          <w:rFonts w:ascii="Arial" w:hAnsi="Arial" w:cs="Arial"/>
        </w:rPr>
        <w:t>Serhan, C.N. and Savill, J., 2005. Resolution of inflammation: the beginning programs the end. Nature immunology, 6(12), pp.1191-1197. </w:t>
      </w:r>
    </w:p>
    <w:p w14:paraId="44C7DDC8" w14:textId="77777777" w:rsidR="00E23806" w:rsidRPr="00222705" w:rsidRDefault="00E23806" w:rsidP="00EF007D">
      <w:pPr>
        <w:rPr>
          <w:rFonts w:ascii="Arial" w:hAnsi="Arial" w:cs="Arial"/>
        </w:rPr>
      </w:pPr>
    </w:p>
    <w:p w14:paraId="793E9062"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shd w:val="clear" w:color="auto" w:fill="FFFFFF"/>
          <w:lang w:val="en-GB"/>
          <w14:ligatures w14:val="none"/>
        </w:rPr>
        <w:t>Seyedmehdi, S.M., </w:t>
      </w:r>
      <w:proofErr w:type="spellStart"/>
      <w:r w:rsidRPr="00222705">
        <w:rPr>
          <w:rFonts w:ascii="Arial" w:eastAsia="Times New Roman" w:hAnsi="Arial" w:cs="Arial"/>
          <w:kern w:val="0"/>
          <w:shd w:val="clear" w:color="auto" w:fill="FFFFFF"/>
          <w:lang w:val="en-GB"/>
          <w14:ligatures w14:val="none"/>
        </w:rPr>
        <w:t>Attarchi</w:t>
      </w:r>
      <w:proofErr w:type="spellEnd"/>
      <w:r w:rsidRPr="00222705">
        <w:rPr>
          <w:rFonts w:ascii="Arial" w:eastAsia="Times New Roman" w:hAnsi="Arial" w:cs="Arial"/>
          <w:kern w:val="0"/>
          <w:shd w:val="clear" w:color="auto" w:fill="FFFFFF"/>
          <w:lang w:val="en-GB"/>
          <w14:ligatures w14:val="none"/>
        </w:rPr>
        <w:t>, M., </w:t>
      </w:r>
      <w:proofErr w:type="spellStart"/>
      <w:r w:rsidRPr="00222705">
        <w:rPr>
          <w:rFonts w:ascii="Arial" w:eastAsia="Times New Roman" w:hAnsi="Arial" w:cs="Arial"/>
          <w:kern w:val="0"/>
          <w:shd w:val="clear" w:color="auto" w:fill="FFFFFF"/>
          <w:lang w:val="en-GB"/>
          <w14:ligatures w14:val="none"/>
        </w:rPr>
        <w:t>Cherati</w:t>
      </w:r>
      <w:proofErr w:type="spellEnd"/>
      <w:r w:rsidRPr="00222705">
        <w:rPr>
          <w:rFonts w:ascii="Arial" w:eastAsia="Times New Roman" w:hAnsi="Arial" w:cs="Arial"/>
          <w:kern w:val="0"/>
          <w:shd w:val="clear" w:color="auto" w:fill="FFFFFF"/>
          <w:lang w:val="en-GB"/>
          <w14:ligatures w14:val="none"/>
        </w:rPr>
        <w:t>, A.S., </w:t>
      </w:r>
      <w:proofErr w:type="spellStart"/>
      <w:r w:rsidRPr="00222705">
        <w:rPr>
          <w:rFonts w:ascii="Arial" w:eastAsia="Times New Roman" w:hAnsi="Arial" w:cs="Arial"/>
          <w:kern w:val="0"/>
          <w:shd w:val="clear" w:color="auto" w:fill="FFFFFF"/>
          <w:lang w:val="en-GB"/>
          <w14:ligatures w14:val="none"/>
        </w:rPr>
        <w:t>Hajsadeghi</w:t>
      </w:r>
      <w:proofErr w:type="spellEnd"/>
      <w:r w:rsidRPr="00222705">
        <w:rPr>
          <w:rFonts w:ascii="Arial" w:eastAsia="Times New Roman" w:hAnsi="Arial" w:cs="Arial"/>
          <w:kern w:val="0"/>
          <w:shd w:val="clear" w:color="auto" w:fill="FFFFFF"/>
          <w:lang w:val="en-GB"/>
          <w14:ligatures w14:val="none"/>
        </w:rPr>
        <w:t>, S., </w:t>
      </w:r>
      <w:proofErr w:type="spellStart"/>
      <w:r w:rsidRPr="00222705">
        <w:rPr>
          <w:rFonts w:ascii="Arial" w:eastAsia="Times New Roman" w:hAnsi="Arial" w:cs="Arial"/>
          <w:kern w:val="0"/>
          <w:shd w:val="clear" w:color="auto" w:fill="FFFFFF"/>
          <w:lang w:val="en-GB"/>
          <w14:ligatures w14:val="none"/>
        </w:rPr>
        <w:t>Tofighi</w:t>
      </w:r>
      <w:proofErr w:type="spellEnd"/>
      <w:r w:rsidRPr="00222705">
        <w:rPr>
          <w:rFonts w:ascii="Arial" w:eastAsia="Times New Roman" w:hAnsi="Arial" w:cs="Arial"/>
          <w:kern w:val="0"/>
          <w:shd w:val="clear" w:color="auto" w:fill="FFFFFF"/>
          <w:lang w:val="en-GB"/>
          <w14:ligatures w14:val="none"/>
        </w:rPr>
        <w:t>, R. and </w:t>
      </w:r>
      <w:proofErr w:type="spellStart"/>
      <w:r w:rsidRPr="00222705">
        <w:rPr>
          <w:rFonts w:ascii="Arial" w:eastAsia="Times New Roman" w:hAnsi="Arial" w:cs="Arial"/>
          <w:kern w:val="0"/>
          <w:shd w:val="clear" w:color="auto" w:fill="FFFFFF"/>
          <w:lang w:val="en-GB"/>
          <w14:ligatures w14:val="none"/>
        </w:rPr>
        <w:t>Jamaati</w:t>
      </w:r>
      <w:proofErr w:type="spellEnd"/>
      <w:r w:rsidRPr="00222705">
        <w:rPr>
          <w:rFonts w:ascii="Arial" w:eastAsia="Times New Roman" w:hAnsi="Arial" w:cs="Arial"/>
          <w:kern w:val="0"/>
          <w:shd w:val="clear" w:color="auto" w:fill="FFFFFF"/>
          <w:lang w:val="en-GB"/>
          <w14:ligatures w14:val="none"/>
        </w:rPr>
        <w:t>, H., 2016. Relationship of aerobic fitness with cardiovascular risk factors in firefighters. </w:t>
      </w:r>
      <w:r w:rsidRPr="00222705">
        <w:rPr>
          <w:rFonts w:ascii="Arial" w:eastAsia="Times New Roman" w:hAnsi="Arial" w:cs="Arial"/>
          <w:kern w:val="0"/>
          <w:lang w:val="en-GB"/>
          <w14:ligatures w14:val="none"/>
        </w:rPr>
        <w:t>Work</w:t>
      </w:r>
      <w:r w:rsidRPr="00222705">
        <w:rPr>
          <w:rFonts w:ascii="Arial" w:eastAsia="Times New Roman" w:hAnsi="Arial" w:cs="Arial"/>
          <w:kern w:val="0"/>
          <w:shd w:val="clear" w:color="auto" w:fill="FFFFFF"/>
          <w:lang w:val="en-GB"/>
          <w14:ligatures w14:val="none"/>
        </w:rPr>
        <w:t>, </w:t>
      </w:r>
      <w:r w:rsidRPr="00222705">
        <w:rPr>
          <w:rFonts w:ascii="Arial" w:eastAsia="Times New Roman" w:hAnsi="Arial" w:cs="Arial"/>
          <w:kern w:val="0"/>
          <w:lang w:val="en-GB"/>
          <w14:ligatures w14:val="none"/>
        </w:rPr>
        <w:t>55</w:t>
      </w:r>
      <w:r w:rsidRPr="00222705">
        <w:rPr>
          <w:rFonts w:ascii="Arial" w:eastAsia="Times New Roman" w:hAnsi="Arial" w:cs="Arial"/>
          <w:kern w:val="0"/>
          <w:shd w:val="clear" w:color="auto" w:fill="FFFFFF"/>
          <w:lang w:val="en-GB"/>
          <w14:ligatures w14:val="none"/>
        </w:rPr>
        <w:t>(1), pp.155-161.</w:t>
      </w:r>
      <w:r w:rsidRPr="00222705">
        <w:rPr>
          <w:rFonts w:ascii="Arial" w:eastAsia="Times New Roman" w:hAnsi="Arial" w:cs="Arial"/>
          <w:kern w:val="0"/>
          <w14:ligatures w14:val="none"/>
        </w:rPr>
        <w:t> </w:t>
      </w:r>
    </w:p>
    <w:p w14:paraId="23A8F02B" w14:textId="77777777" w:rsidR="008D6288" w:rsidRPr="00222705" w:rsidRDefault="008D6288" w:rsidP="00EF007D">
      <w:pPr>
        <w:rPr>
          <w:rFonts w:ascii="Arial" w:eastAsia="Times New Roman" w:hAnsi="Arial" w:cs="Arial"/>
          <w:kern w:val="0"/>
          <w14:ligatures w14:val="none"/>
        </w:rPr>
      </w:pPr>
    </w:p>
    <w:p w14:paraId="70360725"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 xml:space="preserve">Shah, R.V., Murthy, V.L., </w:t>
      </w:r>
      <w:proofErr w:type="spellStart"/>
      <w:r w:rsidRPr="00222705">
        <w:rPr>
          <w:rFonts w:ascii="Arial" w:hAnsi="Arial" w:cs="Arial"/>
          <w:shd w:val="clear" w:color="auto" w:fill="FFFFFF"/>
        </w:rPr>
        <w:t>Abbasi</w:t>
      </w:r>
      <w:proofErr w:type="spellEnd"/>
      <w:r w:rsidRPr="00222705">
        <w:rPr>
          <w:rFonts w:ascii="Arial" w:hAnsi="Arial" w:cs="Arial"/>
          <w:shd w:val="clear" w:color="auto" w:fill="FFFFFF"/>
        </w:rPr>
        <w:t xml:space="preserve">, S.A., </w:t>
      </w:r>
      <w:proofErr w:type="spellStart"/>
      <w:r w:rsidRPr="00222705">
        <w:rPr>
          <w:rFonts w:ascii="Arial" w:hAnsi="Arial" w:cs="Arial"/>
          <w:shd w:val="clear" w:color="auto" w:fill="FFFFFF"/>
        </w:rPr>
        <w:t>Blankstein</w:t>
      </w:r>
      <w:proofErr w:type="spellEnd"/>
      <w:r w:rsidRPr="00222705">
        <w:rPr>
          <w:rFonts w:ascii="Arial" w:hAnsi="Arial" w:cs="Arial"/>
          <w:shd w:val="clear" w:color="auto" w:fill="FFFFFF"/>
        </w:rPr>
        <w:t xml:space="preserve">, R., Kwong, R.Y., </w:t>
      </w:r>
      <w:proofErr w:type="spellStart"/>
      <w:r w:rsidRPr="00222705">
        <w:rPr>
          <w:rFonts w:ascii="Arial" w:hAnsi="Arial" w:cs="Arial"/>
          <w:shd w:val="clear" w:color="auto" w:fill="FFFFFF"/>
        </w:rPr>
        <w:t>Goldfine</w:t>
      </w:r>
      <w:proofErr w:type="spellEnd"/>
      <w:r w:rsidRPr="00222705">
        <w:rPr>
          <w:rFonts w:ascii="Arial" w:hAnsi="Arial" w:cs="Arial"/>
          <w:shd w:val="clear" w:color="auto" w:fill="FFFFFF"/>
        </w:rPr>
        <w:t xml:space="preserve">, A.B., </w:t>
      </w:r>
      <w:proofErr w:type="spellStart"/>
      <w:r w:rsidRPr="00222705">
        <w:rPr>
          <w:rFonts w:ascii="Arial" w:hAnsi="Arial" w:cs="Arial"/>
          <w:shd w:val="clear" w:color="auto" w:fill="FFFFFF"/>
        </w:rPr>
        <w:t>Jerosch-Herold</w:t>
      </w:r>
      <w:proofErr w:type="spellEnd"/>
      <w:r w:rsidRPr="00222705">
        <w:rPr>
          <w:rFonts w:ascii="Arial" w:hAnsi="Arial" w:cs="Arial"/>
          <w:shd w:val="clear" w:color="auto" w:fill="FFFFFF"/>
        </w:rPr>
        <w:t>, M., Lima, J.A., Ding, J. and Allison, M.A., 2014. Visceral adiposity and the risk of metabolic syndrome across body mass index: the MESA Study. </w:t>
      </w:r>
      <w:r w:rsidRPr="00222705">
        <w:rPr>
          <w:rFonts w:ascii="Arial" w:hAnsi="Arial" w:cs="Arial"/>
        </w:rPr>
        <w:t>JACC: Cardiovascular Imaging</w:t>
      </w:r>
      <w:r w:rsidRPr="00222705">
        <w:rPr>
          <w:rFonts w:ascii="Arial" w:hAnsi="Arial" w:cs="Arial"/>
          <w:shd w:val="clear" w:color="auto" w:fill="FFFFFF"/>
        </w:rPr>
        <w:t>, </w:t>
      </w:r>
      <w:r w:rsidRPr="00222705">
        <w:rPr>
          <w:rFonts w:ascii="Arial" w:hAnsi="Arial" w:cs="Arial"/>
        </w:rPr>
        <w:t>7</w:t>
      </w:r>
      <w:r w:rsidRPr="00222705">
        <w:rPr>
          <w:rFonts w:ascii="Arial" w:hAnsi="Arial" w:cs="Arial"/>
          <w:shd w:val="clear" w:color="auto" w:fill="FFFFFF"/>
        </w:rPr>
        <w:t>(12), pp.1221-1235.</w:t>
      </w:r>
    </w:p>
    <w:p w14:paraId="117CD013" w14:textId="77777777" w:rsidR="008D6288" w:rsidRPr="00222705" w:rsidRDefault="008D6288" w:rsidP="00EF007D">
      <w:pPr>
        <w:rPr>
          <w:rFonts w:ascii="Arial" w:hAnsi="Arial" w:cs="Arial"/>
          <w:shd w:val="clear" w:color="auto" w:fill="FFFFFF"/>
        </w:rPr>
      </w:pPr>
    </w:p>
    <w:p w14:paraId="63BD06E8" w14:textId="77777777" w:rsidR="008F4D29" w:rsidRPr="00222705" w:rsidRDefault="008F4D29" w:rsidP="00EF007D">
      <w:pPr>
        <w:rPr>
          <w:rFonts w:ascii="Arial" w:eastAsia="Aptos" w:hAnsi="Arial" w:cs="Arial"/>
          <w:lang w:val="en-GB"/>
        </w:rPr>
      </w:pPr>
      <w:r w:rsidRPr="00222705">
        <w:rPr>
          <w:rFonts w:ascii="Arial" w:eastAsia="Aptos" w:hAnsi="Arial" w:cs="Arial"/>
          <w:lang w:val="en-GB"/>
        </w:rPr>
        <w:t xml:space="preserve">Sharma, D., </w:t>
      </w:r>
      <w:proofErr w:type="spellStart"/>
      <w:r w:rsidRPr="00222705">
        <w:rPr>
          <w:rFonts w:ascii="Arial" w:eastAsia="Aptos" w:hAnsi="Arial" w:cs="Arial"/>
          <w:lang w:val="en-GB"/>
        </w:rPr>
        <w:t>DasMahapatra</w:t>
      </w:r>
      <w:proofErr w:type="spellEnd"/>
      <w:r w:rsidRPr="00222705">
        <w:rPr>
          <w:rFonts w:ascii="Arial" w:eastAsia="Aptos" w:hAnsi="Arial" w:cs="Arial"/>
          <w:lang w:val="en-GB"/>
        </w:rPr>
        <w:t>, P., Fernandez, C., Chen, W., Srinivasan, S.R., Xu, J. and Berenson, G.S., 2013. The association of c-reactive protein with arterial compliance in asymptomatic young adults: the Bogalusa heart study. Journal of Human Hypertension, 27(4), pp.256-260.</w:t>
      </w:r>
    </w:p>
    <w:p w14:paraId="527F7FB9" w14:textId="77777777" w:rsidR="008D6288" w:rsidRPr="00222705" w:rsidRDefault="008D6288" w:rsidP="00EF007D">
      <w:pPr>
        <w:rPr>
          <w:rFonts w:ascii="Arial" w:eastAsia="Aptos" w:hAnsi="Arial" w:cs="Arial"/>
          <w:lang w:val="en-GB"/>
        </w:rPr>
      </w:pPr>
    </w:p>
    <w:p w14:paraId="65BEE4D8"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 xml:space="preserve">Shearer, W.T., Reuben, J.M., Mullington, J.M., Price, N.J., Lee, B.N., Smith, E.B., </w:t>
      </w:r>
      <w:proofErr w:type="spellStart"/>
      <w:r w:rsidRPr="00222705">
        <w:rPr>
          <w:rFonts w:ascii="Arial" w:hAnsi="Arial" w:cs="Arial"/>
          <w:shd w:val="clear" w:color="auto" w:fill="FFFFFF"/>
        </w:rPr>
        <w:t>Szuba</w:t>
      </w:r>
      <w:proofErr w:type="spellEnd"/>
      <w:r w:rsidRPr="00222705">
        <w:rPr>
          <w:rFonts w:ascii="Arial" w:hAnsi="Arial" w:cs="Arial"/>
          <w:shd w:val="clear" w:color="auto" w:fill="FFFFFF"/>
        </w:rPr>
        <w:t xml:space="preserve">, M.P., Van </w:t>
      </w:r>
      <w:proofErr w:type="spellStart"/>
      <w:r w:rsidRPr="00222705">
        <w:rPr>
          <w:rFonts w:ascii="Arial" w:hAnsi="Arial" w:cs="Arial"/>
          <w:shd w:val="clear" w:color="auto" w:fill="FFFFFF"/>
        </w:rPr>
        <w:t>Dongen</w:t>
      </w:r>
      <w:proofErr w:type="spellEnd"/>
      <w:r w:rsidRPr="00222705">
        <w:rPr>
          <w:rFonts w:ascii="Arial" w:hAnsi="Arial" w:cs="Arial"/>
          <w:shd w:val="clear" w:color="auto" w:fill="FFFFFF"/>
        </w:rPr>
        <w:t>, H.P. and Dinges, D.F., 2001. Soluble TNF-α receptor 1 and IL-6 plasma levels in humans subjected to the sleep deprivation model of spaceflight. </w:t>
      </w:r>
      <w:r w:rsidRPr="00222705">
        <w:rPr>
          <w:rFonts w:ascii="Arial" w:hAnsi="Arial" w:cs="Arial"/>
        </w:rPr>
        <w:t>Journal of allergy and clinical immunology</w:t>
      </w:r>
      <w:r w:rsidRPr="00222705">
        <w:rPr>
          <w:rFonts w:ascii="Arial" w:hAnsi="Arial" w:cs="Arial"/>
          <w:shd w:val="clear" w:color="auto" w:fill="FFFFFF"/>
        </w:rPr>
        <w:t>, </w:t>
      </w:r>
      <w:r w:rsidRPr="00222705">
        <w:rPr>
          <w:rFonts w:ascii="Arial" w:hAnsi="Arial" w:cs="Arial"/>
        </w:rPr>
        <w:t>107</w:t>
      </w:r>
      <w:r w:rsidRPr="00222705">
        <w:rPr>
          <w:rFonts w:ascii="Arial" w:hAnsi="Arial" w:cs="Arial"/>
          <w:shd w:val="clear" w:color="auto" w:fill="FFFFFF"/>
        </w:rPr>
        <w:t>(1), pp.165-170.</w:t>
      </w:r>
    </w:p>
    <w:p w14:paraId="29055ECE" w14:textId="77777777" w:rsidR="008D6288" w:rsidRPr="00222705" w:rsidRDefault="008D6288" w:rsidP="00EF007D">
      <w:pPr>
        <w:rPr>
          <w:rFonts w:ascii="Arial" w:hAnsi="Arial" w:cs="Arial"/>
          <w:shd w:val="clear" w:color="auto" w:fill="FFFFFF"/>
        </w:rPr>
      </w:pPr>
    </w:p>
    <w:p w14:paraId="675E2841" w14:textId="77777777" w:rsidR="008F4D29" w:rsidRPr="00222705" w:rsidRDefault="008F4D29" w:rsidP="00EF007D">
      <w:pPr>
        <w:rPr>
          <w:rFonts w:ascii="Arial" w:hAnsi="Arial" w:cs="Arial"/>
        </w:rPr>
      </w:pPr>
      <w:r w:rsidRPr="00222705">
        <w:rPr>
          <w:rFonts w:ascii="Arial" w:eastAsiaTheme="minorEastAsia" w:hAnsi="Arial" w:cs="Arial"/>
          <w:kern w:val="0"/>
          <w:lang w:val="en-GB" w:eastAsia="en-GB"/>
          <w14:ligatures w14:val="none"/>
        </w:rPr>
        <w:t xml:space="preserve">Shephard, R.J. (2002) ‘Ethics in exercise science research’, Sports Medicine, 32(3), pp. 169–183. </w:t>
      </w:r>
      <w:hyperlink r:id="rId19">
        <w:r w:rsidRPr="00222705">
          <w:rPr>
            <w:rFonts w:ascii="Arial" w:eastAsiaTheme="minorEastAsia" w:hAnsi="Arial" w:cs="Arial"/>
            <w:color w:val="467886"/>
            <w:u w:val="single"/>
            <w:lang w:val="en-GB" w:eastAsia="en-GB"/>
          </w:rPr>
          <w:t>https://doi.org/10.2165/00007256-200232030-00003</w:t>
        </w:r>
      </w:hyperlink>
    </w:p>
    <w:p w14:paraId="3289B85E" w14:textId="77777777" w:rsidR="00F47CD3" w:rsidRPr="00222705" w:rsidRDefault="00F47CD3" w:rsidP="00EF007D">
      <w:pPr>
        <w:rPr>
          <w:rFonts w:ascii="Arial" w:hAnsi="Arial" w:cs="Arial"/>
        </w:rPr>
      </w:pPr>
    </w:p>
    <w:p w14:paraId="223B3422"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shd w:val="clear" w:color="auto" w:fill="FFFFFF"/>
          <w14:ligatures w14:val="none"/>
        </w:rPr>
        <w:t>Shimizu, K., </w:t>
      </w:r>
      <w:proofErr w:type="spellStart"/>
      <w:r w:rsidRPr="00222705">
        <w:rPr>
          <w:rFonts w:ascii="Arial" w:eastAsia="Times New Roman" w:hAnsi="Arial" w:cs="Arial"/>
          <w:kern w:val="0"/>
          <w:shd w:val="clear" w:color="auto" w:fill="FFFFFF"/>
          <w14:ligatures w14:val="none"/>
        </w:rPr>
        <w:t>Kuramochi</w:t>
      </w:r>
      <w:proofErr w:type="spellEnd"/>
      <w:r w:rsidRPr="00222705">
        <w:rPr>
          <w:rFonts w:ascii="Arial" w:eastAsia="Times New Roman" w:hAnsi="Arial" w:cs="Arial"/>
          <w:kern w:val="0"/>
          <w:shd w:val="clear" w:color="auto" w:fill="FFFFFF"/>
          <w14:ligatures w14:val="none"/>
        </w:rPr>
        <w:t>, Y. and </w:t>
      </w:r>
      <w:proofErr w:type="spellStart"/>
      <w:r w:rsidRPr="00222705">
        <w:rPr>
          <w:rFonts w:ascii="Arial" w:eastAsia="Times New Roman" w:hAnsi="Arial" w:cs="Arial"/>
          <w:kern w:val="0"/>
          <w:shd w:val="clear" w:color="auto" w:fill="FFFFFF"/>
          <w14:ligatures w14:val="none"/>
        </w:rPr>
        <w:t>Hayamizu</w:t>
      </w:r>
      <w:proofErr w:type="spellEnd"/>
      <w:r w:rsidRPr="00222705">
        <w:rPr>
          <w:rFonts w:ascii="Arial" w:eastAsia="Times New Roman" w:hAnsi="Arial" w:cs="Arial"/>
          <w:kern w:val="0"/>
          <w:shd w:val="clear" w:color="auto" w:fill="FFFFFF"/>
          <w14:ligatures w14:val="none"/>
        </w:rPr>
        <w:t>, K., 2024. Effect of omega-3 fatty acids on sleep:: a systematic review and meta-analysis of randomized controlled trials. </w:t>
      </w:r>
      <w:r w:rsidRPr="00222705">
        <w:rPr>
          <w:rFonts w:ascii="Arial" w:eastAsia="Times New Roman" w:hAnsi="Arial" w:cs="Arial"/>
          <w:kern w:val="0"/>
          <w14:ligatures w14:val="none"/>
        </w:rPr>
        <w:t>Journal of Clinical Biochemistry and Nutrition</w:t>
      </w:r>
      <w:r w:rsidRPr="00222705">
        <w:rPr>
          <w:rFonts w:ascii="Arial" w:eastAsia="Times New Roman" w:hAnsi="Arial" w:cs="Arial"/>
          <w:kern w:val="0"/>
          <w:shd w:val="clear" w:color="auto" w:fill="FFFFFF"/>
          <w14:ligatures w14:val="none"/>
        </w:rPr>
        <w:t>, </w:t>
      </w:r>
      <w:r w:rsidRPr="00222705">
        <w:rPr>
          <w:rFonts w:ascii="Arial" w:eastAsia="Times New Roman" w:hAnsi="Arial" w:cs="Arial"/>
          <w:kern w:val="0"/>
          <w14:ligatures w14:val="none"/>
        </w:rPr>
        <w:t>75</w:t>
      </w:r>
      <w:r w:rsidRPr="00222705">
        <w:rPr>
          <w:rFonts w:ascii="Arial" w:eastAsia="Times New Roman" w:hAnsi="Arial" w:cs="Arial"/>
          <w:kern w:val="0"/>
          <w:shd w:val="clear" w:color="auto" w:fill="FFFFFF"/>
          <w14:ligatures w14:val="none"/>
        </w:rPr>
        <w:t>(3), p.204.</w:t>
      </w:r>
      <w:r w:rsidRPr="00222705">
        <w:rPr>
          <w:rFonts w:ascii="Arial" w:eastAsia="Times New Roman" w:hAnsi="Arial" w:cs="Arial"/>
          <w:kern w:val="0"/>
          <w14:ligatures w14:val="none"/>
        </w:rPr>
        <w:t> </w:t>
      </w:r>
    </w:p>
    <w:p w14:paraId="0BCAC9FB" w14:textId="77777777" w:rsidR="008D6288" w:rsidRPr="00222705" w:rsidRDefault="008D6288" w:rsidP="00EF007D">
      <w:pPr>
        <w:rPr>
          <w:rFonts w:ascii="Arial" w:eastAsia="Times New Roman" w:hAnsi="Arial" w:cs="Arial"/>
          <w:kern w:val="0"/>
          <w14:ligatures w14:val="none"/>
        </w:rPr>
      </w:pPr>
    </w:p>
    <w:p w14:paraId="544BD31E"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Shin, J.H., Lee, J.Y., Yang, S.H., Lee, M.Y. and Chung, I.S., 2016. Factors related to heart rate variability among firefighters. </w:t>
      </w:r>
      <w:r w:rsidRPr="00222705">
        <w:rPr>
          <w:rFonts w:ascii="Arial" w:hAnsi="Arial" w:cs="Arial"/>
        </w:rPr>
        <w:t>Annals of occupational and environmental medicine</w:t>
      </w:r>
      <w:r w:rsidRPr="00222705">
        <w:rPr>
          <w:rFonts w:ascii="Arial" w:hAnsi="Arial" w:cs="Arial"/>
          <w:shd w:val="clear" w:color="auto" w:fill="FFFFFF"/>
        </w:rPr>
        <w:t>, </w:t>
      </w:r>
      <w:r w:rsidRPr="00222705">
        <w:rPr>
          <w:rFonts w:ascii="Arial" w:hAnsi="Arial" w:cs="Arial"/>
        </w:rPr>
        <w:t>28</w:t>
      </w:r>
      <w:r w:rsidRPr="00222705">
        <w:rPr>
          <w:rFonts w:ascii="Arial" w:hAnsi="Arial" w:cs="Arial"/>
          <w:shd w:val="clear" w:color="auto" w:fill="FFFFFF"/>
        </w:rPr>
        <w:t>(1), p.25.</w:t>
      </w:r>
    </w:p>
    <w:p w14:paraId="6473FFDB" w14:textId="77777777" w:rsidR="008D6288" w:rsidRPr="00222705" w:rsidRDefault="008D6288" w:rsidP="00EF007D">
      <w:pPr>
        <w:rPr>
          <w:rFonts w:ascii="Arial" w:hAnsi="Arial" w:cs="Arial"/>
          <w:shd w:val="clear" w:color="auto" w:fill="FFFFFF"/>
        </w:rPr>
      </w:pPr>
    </w:p>
    <w:p w14:paraId="7BEF0CC6"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 xml:space="preserve">Shukla, A., </w:t>
      </w:r>
      <w:proofErr w:type="spellStart"/>
      <w:r w:rsidRPr="00222705">
        <w:rPr>
          <w:rFonts w:ascii="Arial" w:hAnsi="Arial" w:cs="Arial"/>
          <w:shd w:val="clear" w:color="auto" w:fill="FFFFFF"/>
        </w:rPr>
        <w:t>Timblin</w:t>
      </w:r>
      <w:proofErr w:type="spellEnd"/>
      <w:r w:rsidRPr="00222705">
        <w:rPr>
          <w:rFonts w:ascii="Arial" w:hAnsi="Arial" w:cs="Arial"/>
          <w:shd w:val="clear" w:color="auto" w:fill="FFFFFF"/>
        </w:rPr>
        <w:t xml:space="preserve">, C., </w:t>
      </w:r>
      <w:proofErr w:type="spellStart"/>
      <w:r w:rsidRPr="00222705">
        <w:rPr>
          <w:rFonts w:ascii="Arial" w:hAnsi="Arial" w:cs="Arial"/>
          <w:shd w:val="clear" w:color="auto" w:fill="FFFFFF"/>
        </w:rPr>
        <w:t>BeruBe</w:t>
      </w:r>
      <w:proofErr w:type="spellEnd"/>
      <w:r w:rsidRPr="00222705">
        <w:rPr>
          <w:rFonts w:ascii="Arial" w:hAnsi="Arial" w:cs="Arial"/>
          <w:shd w:val="clear" w:color="auto" w:fill="FFFFFF"/>
        </w:rPr>
        <w:t xml:space="preserve">, K., Gordon, T., McKinney, W., Driscoll, K., </w:t>
      </w:r>
      <w:proofErr w:type="spellStart"/>
      <w:r w:rsidRPr="00222705">
        <w:rPr>
          <w:rFonts w:ascii="Arial" w:hAnsi="Arial" w:cs="Arial"/>
          <w:shd w:val="clear" w:color="auto" w:fill="FFFFFF"/>
        </w:rPr>
        <w:t>Vacek</w:t>
      </w:r>
      <w:proofErr w:type="spellEnd"/>
      <w:r w:rsidRPr="00222705">
        <w:rPr>
          <w:rFonts w:ascii="Arial" w:hAnsi="Arial" w:cs="Arial"/>
          <w:shd w:val="clear" w:color="auto" w:fill="FFFFFF"/>
        </w:rPr>
        <w:t>, P. and Mossman, B.T., 2000. Inhaled particulate matter causes expression of nuclear factor (NF)-κ B–related genes and oxidant-dependent NF-κ B activation in vitro. </w:t>
      </w:r>
      <w:r w:rsidRPr="00222705">
        <w:rPr>
          <w:rFonts w:ascii="Arial" w:hAnsi="Arial" w:cs="Arial"/>
        </w:rPr>
        <w:t>American journal of respiratory cell and molecular biology</w:t>
      </w:r>
      <w:r w:rsidRPr="00222705">
        <w:rPr>
          <w:rFonts w:ascii="Arial" w:hAnsi="Arial" w:cs="Arial"/>
          <w:shd w:val="clear" w:color="auto" w:fill="FFFFFF"/>
        </w:rPr>
        <w:t>, </w:t>
      </w:r>
      <w:r w:rsidRPr="00222705">
        <w:rPr>
          <w:rFonts w:ascii="Arial" w:hAnsi="Arial" w:cs="Arial"/>
        </w:rPr>
        <w:t>23</w:t>
      </w:r>
      <w:r w:rsidRPr="00222705">
        <w:rPr>
          <w:rFonts w:ascii="Arial" w:hAnsi="Arial" w:cs="Arial"/>
          <w:shd w:val="clear" w:color="auto" w:fill="FFFFFF"/>
        </w:rPr>
        <w:t>(2), pp.182-187.</w:t>
      </w:r>
    </w:p>
    <w:p w14:paraId="0A33F9A3" w14:textId="77777777" w:rsidR="008D6288" w:rsidRPr="00222705" w:rsidRDefault="008D6288" w:rsidP="00EF007D">
      <w:pPr>
        <w:rPr>
          <w:rFonts w:ascii="Arial" w:hAnsi="Arial" w:cs="Arial"/>
          <w:shd w:val="clear" w:color="auto" w:fill="FFFFFF"/>
        </w:rPr>
      </w:pPr>
    </w:p>
    <w:p w14:paraId="1CC9F0D5"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Shushan, T., McLaren, S.J., Buchheit, M., Scott, T.J., Barrett, S. and Lovell, R., 2022. Submaximal fitness tests in team sports: a theoretical framework for evaluating physiological state. SportsMedicine, 52(11), pp.2605-2626. </w:t>
      </w:r>
    </w:p>
    <w:p w14:paraId="2454E9F9" w14:textId="77777777" w:rsidR="008D6288" w:rsidRPr="00222705" w:rsidRDefault="008D6288" w:rsidP="00EF007D">
      <w:pPr>
        <w:rPr>
          <w:rFonts w:ascii="Arial" w:eastAsia="Times New Roman" w:hAnsi="Arial" w:cs="Arial"/>
          <w:kern w:val="0"/>
          <w14:ligatures w14:val="none"/>
        </w:rPr>
      </w:pPr>
    </w:p>
    <w:p w14:paraId="0A28DA3F" w14:textId="77777777" w:rsidR="008F4D29" w:rsidRPr="00222705" w:rsidRDefault="008F4D29" w:rsidP="00EF007D">
      <w:pPr>
        <w:rPr>
          <w:rFonts w:ascii="Arial" w:hAnsi="Arial" w:cs="Arial"/>
        </w:rPr>
      </w:pPr>
      <w:r w:rsidRPr="00222705">
        <w:rPr>
          <w:rFonts w:ascii="Arial" w:hAnsi="Arial" w:cs="Arial"/>
        </w:rPr>
        <w:t>Siddall, A.G., Stevenson, R.D., Turner, P.F.J., Stokes, K.A. and Bilzon, J.L., 2016. Development of role-related minimum cardiorespiratory fitness standards for firefighters and commanders. Ergonomics, 59(10), pp.1335-1343.</w:t>
      </w:r>
    </w:p>
    <w:p w14:paraId="7985C793" w14:textId="77777777" w:rsidR="008D6288" w:rsidRPr="00222705" w:rsidRDefault="008D6288" w:rsidP="00EF007D">
      <w:pPr>
        <w:rPr>
          <w:rFonts w:ascii="Arial" w:hAnsi="Arial" w:cs="Arial"/>
        </w:rPr>
      </w:pPr>
    </w:p>
    <w:p w14:paraId="5C496592" w14:textId="77777777" w:rsidR="008F4D29" w:rsidRPr="00222705" w:rsidRDefault="008F4D29" w:rsidP="00EF007D">
      <w:pPr>
        <w:rPr>
          <w:rFonts w:ascii="Arial" w:eastAsia="Times New Roman" w:hAnsi="Arial" w:cs="Arial"/>
          <w:shd w:val="clear" w:color="auto" w:fill="FFFFFF"/>
          <w:lang w:val="en-GB" w:eastAsia="en-GB"/>
        </w:rPr>
      </w:pPr>
      <w:r w:rsidRPr="00222705">
        <w:rPr>
          <w:rFonts w:ascii="Arial" w:eastAsia="Times New Roman" w:hAnsi="Arial" w:cs="Arial"/>
          <w:shd w:val="clear" w:color="auto" w:fill="FFFFFF"/>
          <w:lang w:val="en-GB" w:eastAsia="en-GB"/>
        </w:rPr>
        <w:t>Siddall, A.G., Stevenson, R.D., Turner, P.J. and Bilzon, J.L., 2018. Physical and physiological performance determinants of a firefighting simulation test. </w:t>
      </w:r>
      <w:r w:rsidRPr="00222705">
        <w:rPr>
          <w:rFonts w:ascii="Arial" w:eastAsia="Times New Roman" w:hAnsi="Arial" w:cs="Arial"/>
          <w:lang w:val="en-GB" w:eastAsia="en-GB"/>
        </w:rPr>
        <w:t>Journal of occupational and environmental medicine</w:t>
      </w:r>
      <w:r w:rsidRPr="00222705">
        <w:rPr>
          <w:rFonts w:ascii="Arial" w:eastAsia="Times New Roman" w:hAnsi="Arial" w:cs="Arial"/>
          <w:shd w:val="clear" w:color="auto" w:fill="FFFFFF"/>
          <w:lang w:val="en-GB" w:eastAsia="en-GB"/>
        </w:rPr>
        <w:t>, </w:t>
      </w:r>
      <w:r w:rsidRPr="00222705">
        <w:rPr>
          <w:rFonts w:ascii="Arial" w:eastAsia="Times New Roman" w:hAnsi="Arial" w:cs="Arial"/>
          <w:lang w:val="en-GB" w:eastAsia="en-GB"/>
        </w:rPr>
        <w:t>60</w:t>
      </w:r>
      <w:r w:rsidRPr="00222705">
        <w:rPr>
          <w:rFonts w:ascii="Arial" w:eastAsia="Times New Roman" w:hAnsi="Arial" w:cs="Arial"/>
          <w:shd w:val="clear" w:color="auto" w:fill="FFFFFF"/>
          <w:lang w:val="en-GB" w:eastAsia="en-GB"/>
        </w:rPr>
        <w:t>(7), pp.637-643.</w:t>
      </w:r>
    </w:p>
    <w:p w14:paraId="50C4D717" w14:textId="77777777" w:rsidR="008D6288" w:rsidRPr="00222705" w:rsidRDefault="008D6288" w:rsidP="00EF007D">
      <w:pPr>
        <w:rPr>
          <w:rFonts w:ascii="Arial" w:eastAsia="Times New Roman" w:hAnsi="Arial" w:cs="Arial"/>
          <w:shd w:val="clear" w:color="auto" w:fill="FFFFFF"/>
          <w:lang w:val="en-GB" w:eastAsia="en-GB"/>
        </w:rPr>
      </w:pPr>
    </w:p>
    <w:p w14:paraId="06CA8535"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Sidossis, A., Lan, F.Y., Hershey, M.S., </w:t>
      </w:r>
      <w:proofErr w:type="spellStart"/>
      <w:r w:rsidRPr="00222705">
        <w:rPr>
          <w:rFonts w:ascii="Arial" w:eastAsia="Times New Roman" w:hAnsi="Arial" w:cs="Arial"/>
          <w:kern w:val="0"/>
          <w14:ligatures w14:val="none"/>
        </w:rPr>
        <w:t>Hadkhale</w:t>
      </w:r>
      <w:proofErr w:type="spellEnd"/>
      <w:r w:rsidRPr="00222705">
        <w:rPr>
          <w:rFonts w:ascii="Arial" w:eastAsia="Times New Roman" w:hAnsi="Arial" w:cs="Arial"/>
          <w:kern w:val="0"/>
          <w14:ligatures w14:val="none"/>
        </w:rPr>
        <w:t>, K. and Kales, S.N., 2023. Cancer and potential prevention with lifestyle among career firefighters: A narrative review. Cancers, 15(9), p.2442. </w:t>
      </w:r>
    </w:p>
    <w:p w14:paraId="01BAD8E6" w14:textId="77777777" w:rsidR="008D6288" w:rsidRPr="00222705" w:rsidRDefault="008D6288" w:rsidP="00EF007D">
      <w:pPr>
        <w:rPr>
          <w:rFonts w:ascii="Arial" w:eastAsia="Times New Roman" w:hAnsi="Arial" w:cs="Arial"/>
          <w:kern w:val="0"/>
          <w14:ligatures w14:val="none"/>
        </w:rPr>
      </w:pPr>
    </w:p>
    <w:p w14:paraId="2264FCB3"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 xml:space="preserve">Simkhovich, B.Z., Kleinman, M.T. and </w:t>
      </w:r>
      <w:proofErr w:type="spellStart"/>
      <w:r w:rsidRPr="00222705">
        <w:rPr>
          <w:rFonts w:ascii="Arial" w:hAnsi="Arial" w:cs="Arial"/>
          <w:shd w:val="clear" w:color="auto" w:fill="FFFFFF"/>
        </w:rPr>
        <w:t>Kloner</w:t>
      </w:r>
      <w:proofErr w:type="spellEnd"/>
      <w:r w:rsidRPr="00222705">
        <w:rPr>
          <w:rFonts w:ascii="Arial" w:hAnsi="Arial" w:cs="Arial"/>
          <w:shd w:val="clear" w:color="auto" w:fill="FFFFFF"/>
        </w:rPr>
        <w:t>, R.A., 2009. Particulate air pollution and coronary heart disease. </w:t>
      </w:r>
      <w:r w:rsidRPr="00222705">
        <w:rPr>
          <w:rFonts w:ascii="Arial" w:hAnsi="Arial" w:cs="Arial"/>
        </w:rPr>
        <w:t>Current opinion in cardiology</w:t>
      </w:r>
      <w:r w:rsidRPr="00222705">
        <w:rPr>
          <w:rFonts w:ascii="Arial" w:hAnsi="Arial" w:cs="Arial"/>
          <w:shd w:val="clear" w:color="auto" w:fill="FFFFFF"/>
        </w:rPr>
        <w:t>, </w:t>
      </w:r>
      <w:r w:rsidRPr="00222705">
        <w:rPr>
          <w:rFonts w:ascii="Arial" w:hAnsi="Arial" w:cs="Arial"/>
        </w:rPr>
        <w:t>24</w:t>
      </w:r>
      <w:r w:rsidRPr="00222705">
        <w:rPr>
          <w:rFonts w:ascii="Arial" w:hAnsi="Arial" w:cs="Arial"/>
          <w:shd w:val="clear" w:color="auto" w:fill="FFFFFF"/>
        </w:rPr>
        <w:t>(6), pp.604-609.</w:t>
      </w:r>
    </w:p>
    <w:p w14:paraId="72E9029E" w14:textId="77777777" w:rsidR="008D6288" w:rsidRPr="00222705" w:rsidRDefault="008D6288" w:rsidP="00EF007D">
      <w:pPr>
        <w:rPr>
          <w:rFonts w:ascii="Arial" w:hAnsi="Arial" w:cs="Arial"/>
          <w:shd w:val="clear" w:color="auto" w:fill="FFFFFF"/>
        </w:rPr>
      </w:pPr>
    </w:p>
    <w:p w14:paraId="173F2C95" w14:textId="77777777" w:rsidR="008F4D29" w:rsidRPr="00222705" w:rsidRDefault="008F4D29" w:rsidP="00EF007D">
      <w:pPr>
        <w:rPr>
          <w:rFonts w:ascii="Arial" w:eastAsia="Aptos" w:hAnsi="Arial" w:cs="Arial"/>
          <w:lang w:val="en-GB"/>
        </w:rPr>
      </w:pPr>
      <w:proofErr w:type="spellStart"/>
      <w:r w:rsidRPr="00222705">
        <w:rPr>
          <w:rFonts w:ascii="Arial" w:eastAsia="Aptos" w:hAnsi="Arial" w:cs="Arial"/>
          <w:lang w:val="en-GB"/>
        </w:rPr>
        <w:t>Simonson</w:t>
      </w:r>
      <w:proofErr w:type="spellEnd"/>
      <w:r w:rsidRPr="00222705">
        <w:rPr>
          <w:rFonts w:ascii="Arial" w:eastAsia="Aptos" w:hAnsi="Arial" w:cs="Arial"/>
          <w:lang w:val="en-GB"/>
        </w:rPr>
        <w:t xml:space="preserve">, A.P., </w:t>
      </w:r>
      <w:proofErr w:type="spellStart"/>
      <w:r w:rsidRPr="00222705">
        <w:rPr>
          <w:rFonts w:ascii="Arial" w:eastAsia="Aptos" w:hAnsi="Arial" w:cs="Arial"/>
          <w:lang w:val="en-GB"/>
        </w:rPr>
        <w:t>Zera</w:t>
      </w:r>
      <w:proofErr w:type="spellEnd"/>
      <w:r w:rsidRPr="00222705">
        <w:rPr>
          <w:rFonts w:ascii="Arial" w:eastAsia="Aptos" w:hAnsi="Arial" w:cs="Arial"/>
          <w:lang w:val="en-GB"/>
        </w:rPr>
        <w:t>, J.N., Banerjee, P. and Baker, B.M., 2024. Associations between Dietary Intake and Cardiovascular Disease Risk in American Career Firefighters: An Observational Study. Journal of Functional Morphology and Kinesiology, 9(3), p.132.</w:t>
      </w:r>
    </w:p>
    <w:p w14:paraId="25BC9A44" w14:textId="77777777" w:rsidR="008D6288" w:rsidRPr="00222705" w:rsidRDefault="008D6288" w:rsidP="00EF007D">
      <w:pPr>
        <w:rPr>
          <w:rFonts w:ascii="Arial" w:eastAsia="Aptos" w:hAnsi="Arial" w:cs="Arial"/>
        </w:rPr>
      </w:pPr>
    </w:p>
    <w:p w14:paraId="6D9E0387"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Simopoulos, A.P., 2002. The importance of the ratio of omega-6/omega-3 essential fatty acids. Biomedicine &amp; pharmacotherapy, 56(8), pp.365-379. </w:t>
      </w:r>
    </w:p>
    <w:p w14:paraId="7DB239C9" w14:textId="77777777" w:rsidR="008D6288" w:rsidRPr="00222705" w:rsidRDefault="008D6288" w:rsidP="00EF007D">
      <w:pPr>
        <w:rPr>
          <w:rFonts w:ascii="Arial" w:eastAsia="Times New Roman" w:hAnsi="Arial" w:cs="Arial"/>
          <w:kern w:val="0"/>
          <w14:ligatures w14:val="none"/>
        </w:rPr>
      </w:pPr>
    </w:p>
    <w:p w14:paraId="61FA431C"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Simopoulos, A.P., 2004. Omega-6/omega-3 essential fatty acid ratio and </w:t>
      </w:r>
      <w:proofErr w:type="spellStart"/>
      <w:r w:rsidRPr="00222705">
        <w:rPr>
          <w:rFonts w:ascii="Arial" w:eastAsia="Times New Roman" w:hAnsi="Arial" w:cs="Arial"/>
          <w:kern w:val="0"/>
          <w14:ligatures w14:val="none"/>
        </w:rPr>
        <w:t>chronicdiseases</w:t>
      </w:r>
      <w:proofErr w:type="spellEnd"/>
      <w:r w:rsidRPr="00222705">
        <w:rPr>
          <w:rFonts w:ascii="Arial" w:eastAsia="Times New Roman" w:hAnsi="Arial" w:cs="Arial"/>
          <w:kern w:val="0"/>
          <w14:ligatures w14:val="none"/>
        </w:rPr>
        <w:t>. Food reviews international, 20(1), pp.77-90. </w:t>
      </w:r>
    </w:p>
    <w:p w14:paraId="1DB5AC5E" w14:textId="77777777" w:rsidR="008D6288" w:rsidRPr="00222705" w:rsidRDefault="008D6288" w:rsidP="00EF007D">
      <w:pPr>
        <w:rPr>
          <w:rFonts w:ascii="Arial" w:eastAsia="Times New Roman" w:hAnsi="Arial" w:cs="Arial"/>
          <w:kern w:val="0"/>
          <w14:ligatures w14:val="none"/>
        </w:rPr>
      </w:pPr>
    </w:p>
    <w:p w14:paraId="58ED66C2"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Simopoulos, A.P., 2010. The omega-6/omega-3 fatty acid ratio: health implications. </w:t>
      </w:r>
      <w:proofErr w:type="spellStart"/>
      <w:r w:rsidRPr="00222705">
        <w:rPr>
          <w:rFonts w:ascii="Arial" w:eastAsia="Times New Roman" w:hAnsi="Arial" w:cs="Arial"/>
          <w:kern w:val="0"/>
          <w14:ligatures w14:val="none"/>
        </w:rPr>
        <w:t>Oléagineux</w:t>
      </w:r>
      <w:proofErr w:type="spellEnd"/>
      <w:r w:rsidRPr="00222705">
        <w:rPr>
          <w:rFonts w:ascii="Arial" w:eastAsia="Times New Roman" w:hAnsi="Arial" w:cs="Arial"/>
          <w:kern w:val="0"/>
          <w14:ligatures w14:val="none"/>
        </w:rPr>
        <w:t xml:space="preserve">, </w:t>
      </w:r>
      <w:proofErr w:type="spellStart"/>
      <w:r w:rsidRPr="00222705">
        <w:rPr>
          <w:rFonts w:ascii="Arial" w:eastAsia="Times New Roman" w:hAnsi="Arial" w:cs="Arial"/>
          <w:kern w:val="0"/>
          <w14:ligatures w14:val="none"/>
        </w:rPr>
        <w:t>Corpsgras</w:t>
      </w:r>
      <w:proofErr w:type="spellEnd"/>
      <w:r w:rsidRPr="00222705">
        <w:rPr>
          <w:rFonts w:ascii="Arial" w:eastAsia="Times New Roman" w:hAnsi="Arial" w:cs="Arial"/>
          <w:kern w:val="0"/>
          <w14:ligatures w14:val="none"/>
        </w:rPr>
        <w:t>, Lipides, 17(5), pp.267-275. </w:t>
      </w:r>
    </w:p>
    <w:p w14:paraId="3C4C2881" w14:textId="77777777" w:rsidR="008D6288" w:rsidRPr="00222705" w:rsidRDefault="008D6288" w:rsidP="00EF007D">
      <w:pPr>
        <w:rPr>
          <w:rFonts w:ascii="Arial" w:eastAsia="Times New Roman" w:hAnsi="Arial" w:cs="Arial"/>
          <w:kern w:val="0"/>
          <w14:ligatures w14:val="none"/>
        </w:rPr>
      </w:pPr>
    </w:p>
    <w:p w14:paraId="268BF54C" w14:textId="77777777" w:rsidR="008F4D29" w:rsidRPr="00222705" w:rsidRDefault="008F4D29" w:rsidP="00EF007D">
      <w:pPr>
        <w:rPr>
          <w:rFonts w:ascii="Arial" w:hAnsi="Arial" w:cs="Arial"/>
        </w:rPr>
      </w:pPr>
      <w:r w:rsidRPr="00222705">
        <w:rPr>
          <w:rFonts w:ascii="Arial" w:hAnsi="Arial" w:cs="Arial"/>
        </w:rPr>
        <w:t>Singh, B., Goyal, A. and Patel, B.C., 2025. C-reactive protein: clinical relevance and interpretation. In StatPearls [Internet]. StatPearls Publishing.</w:t>
      </w:r>
    </w:p>
    <w:p w14:paraId="624E2FC3" w14:textId="77777777" w:rsidR="008F4D29" w:rsidRPr="00222705" w:rsidRDefault="008F4D29" w:rsidP="00EF007D">
      <w:pPr>
        <w:rPr>
          <w:rFonts w:ascii="Arial" w:hAnsi="Arial" w:cs="Arial"/>
        </w:rPr>
      </w:pPr>
      <w:r w:rsidRPr="00222705">
        <w:rPr>
          <w:rFonts w:ascii="Arial" w:hAnsi="Arial" w:cs="Arial"/>
        </w:rPr>
        <w:t xml:space="preserve">Singh, J.N., Nguyen, T., </w:t>
      </w:r>
      <w:proofErr w:type="spellStart"/>
      <w:r w:rsidRPr="00222705">
        <w:rPr>
          <w:rFonts w:ascii="Arial" w:hAnsi="Arial" w:cs="Arial"/>
        </w:rPr>
        <w:t>Kerndt</w:t>
      </w:r>
      <w:proofErr w:type="spellEnd"/>
      <w:r w:rsidRPr="00222705">
        <w:rPr>
          <w:rFonts w:ascii="Arial" w:hAnsi="Arial" w:cs="Arial"/>
        </w:rPr>
        <w:t>, C.C. and </w:t>
      </w:r>
      <w:proofErr w:type="spellStart"/>
      <w:r w:rsidRPr="00222705">
        <w:rPr>
          <w:rFonts w:ascii="Arial" w:hAnsi="Arial" w:cs="Arial"/>
        </w:rPr>
        <w:t>Dhamoon</w:t>
      </w:r>
      <w:proofErr w:type="spellEnd"/>
      <w:r w:rsidRPr="00222705">
        <w:rPr>
          <w:rFonts w:ascii="Arial" w:hAnsi="Arial" w:cs="Arial"/>
        </w:rPr>
        <w:t>, A.S., 2019. Physiology, blood pressure age related changes.  </w:t>
      </w:r>
    </w:p>
    <w:p w14:paraId="24705B0A" w14:textId="77777777" w:rsidR="008D6288" w:rsidRPr="00222705" w:rsidRDefault="008D6288" w:rsidP="00EF007D">
      <w:pPr>
        <w:rPr>
          <w:rFonts w:ascii="Arial" w:hAnsi="Arial" w:cs="Arial"/>
        </w:rPr>
      </w:pPr>
    </w:p>
    <w:p w14:paraId="6C8B2CCB"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 xml:space="preserve">Singh, J.P., Larson, M.G., </w:t>
      </w:r>
      <w:proofErr w:type="spellStart"/>
      <w:r w:rsidRPr="00222705">
        <w:rPr>
          <w:rFonts w:ascii="Arial" w:hAnsi="Arial" w:cs="Arial"/>
          <w:shd w:val="clear" w:color="auto" w:fill="FFFFFF"/>
        </w:rPr>
        <w:t>Tsuji</w:t>
      </w:r>
      <w:proofErr w:type="spellEnd"/>
      <w:r w:rsidRPr="00222705">
        <w:rPr>
          <w:rFonts w:ascii="Arial" w:hAnsi="Arial" w:cs="Arial"/>
          <w:shd w:val="clear" w:color="auto" w:fill="FFFFFF"/>
        </w:rPr>
        <w:t>, H., Evans, J.C., O’Donnell, C.J. and Levy, D., 1998. Reduced heart rate variability and new-onset hypertension: insights into pathogenesis of hypertension: the Framingham Heart Study. </w:t>
      </w:r>
      <w:r w:rsidRPr="00222705">
        <w:rPr>
          <w:rFonts w:ascii="Arial" w:hAnsi="Arial" w:cs="Arial"/>
        </w:rPr>
        <w:t>Hypertension</w:t>
      </w:r>
      <w:r w:rsidRPr="00222705">
        <w:rPr>
          <w:rFonts w:ascii="Arial" w:hAnsi="Arial" w:cs="Arial"/>
          <w:shd w:val="clear" w:color="auto" w:fill="FFFFFF"/>
        </w:rPr>
        <w:t>, </w:t>
      </w:r>
      <w:r w:rsidRPr="00222705">
        <w:rPr>
          <w:rFonts w:ascii="Arial" w:hAnsi="Arial" w:cs="Arial"/>
        </w:rPr>
        <w:t>32</w:t>
      </w:r>
      <w:r w:rsidRPr="00222705">
        <w:rPr>
          <w:rFonts w:ascii="Arial" w:hAnsi="Arial" w:cs="Arial"/>
          <w:shd w:val="clear" w:color="auto" w:fill="FFFFFF"/>
        </w:rPr>
        <w:t>(2), pp.293-297.</w:t>
      </w:r>
    </w:p>
    <w:p w14:paraId="047BE0EF" w14:textId="77777777" w:rsidR="008D6288" w:rsidRPr="00222705" w:rsidRDefault="008D6288" w:rsidP="00EF007D">
      <w:pPr>
        <w:rPr>
          <w:rFonts w:ascii="Arial" w:hAnsi="Arial" w:cs="Arial"/>
          <w:shd w:val="clear" w:color="auto" w:fill="FFFFFF"/>
        </w:rPr>
      </w:pPr>
    </w:p>
    <w:p w14:paraId="32426999" w14:textId="77777777" w:rsidR="008F4D29" w:rsidRPr="00222705" w:rsidRDefault="008F4D29" w:rsidP="00EF007D">
      <w:pPr>
        <w:rPr>
          <w:rFonts w:ascii="Arial" w:eastAsia="Aptos" w:hAnsi="Arial" w:cs="Arial"/>
          <w:lang w:val="en-GB"/>
        </w:rPr>
      </w:pPr>
      <w:r w:rsidRPr="00222705">
        <w:rPr>
          <w:rFonts w:ascii="Arial" w:eastAsia="Aptos" w:hAnsi="Arial" w:cs="Arial"/>
          <w:lang w:val="en-GB"/>
        </w:rPr>
        <w:t xml:space="preserve">Singh, U., </w:t>
      </w:r>
      <w:proofErr w:type="spellStart"/>
      <w:r w:rsidRPr="00222705">
        <w:rPr>
          <w:rFonts w:ascii="Arial" w:eastAsia="Aptos" w:hAnsi="Arial" w:cs="Arial"/>
          <w:lang w:val="en-GB"/>
        </w:rPr>
        <w:t>Devaraj</w:t>
      </w:r>
      <w:proofErr w:type="spellEnd"/>
      <w:r w:rsidRPr="00222705">
        <w:rPr>
          <w:rFonts w:ascii="Arial" w:eastAsia="Aptos" w:hAnsi="Arial" w:cs="Arial"/>
          <w:lang w:val="en-GB"/>
        </w:rPr>
        <w:t xml:space="preserve">, S., </w:t>
      </w:r>
      <w:proofErr w:type="spellStart"/>
      <w:r w:rsidRPr="00222705">
        <w:rPr>
          <w:rFonts w:ascii="Arial" w:eastAsia="Aptos" w:hAnsi="Arial" w:cs="Arial"/>
          <w:lang w:val="en-GB"/>
        </w:rPr>
        <w:t>Vasquez-Vivar</w:t>
      </w:r>
      <w:proofErr w:type="spellEnd"/>
      <w:r w:rsidRPr="00222705">
        <w:rPr>
          <w:rFonts w:ascii="Arial" w:eastAsia="Aptos" w:hAnsi="Arial" w:cs="Arial"/>
          <w:lang w:val="en-GB"/>
        </w:rPr>
        <w:t xml:space="preserve">, J. and </w:t>
      </w:r>
      <w:proofErr w:type="spellStart"/>
      <w:r w:rsidRPr="00222705">
        <w:rPr>
          <w:rFonts w:ascii="Arial" w:eastAsia="Aptos" w:hAnsi="Arial" w:cs="Arial"/>
          <w:lang w:val="en-GB"/>
        </w:rPr>
        <w:t>Jialal</w:t>
      </w:r>
      <w:proofErr w:type="spellEnd"/>
      <w:r w:rsidRPr="00222705">
        <w:rPr>
          <w:rFonts w:ascii="Arial" w:eastAsia="Aptos" w:hAnsi="Arial" w:cs="Arial"/>
          <w:lang w:val="en-GB"/>
        </w:rPr>
        <w:t>, I., 2007. C-reactive protein decreases endothelial nitric oxide synthase activity via uncoupling. Journal of molecular and cellular cardiology, 43(6), pp.780-791.</w:t>
      </w:r>
    </w:p>
    <w:p w14:paraId="4B34F5A6" w14:textId="77777777" w:rsidR="008D6288" w:rsidRPr="00222705" w:rsidRDefault="008D6288" w:rsidP="00EF007D">
      <w:pPr>
        <w:rPr>
          <w:rFonts w:ascii="Arial" w:eastAsia="Aptos" w:hAnsi="Arial" w:cs="Arial"/>
          <w:lang w:val="en-GB"/>
        </w:rPr>
      </w:pPr>
    </w:p>
    <w:p w14:paraId="38D9E42E" w14:textId="77777777" w:rsidR="008F4D29" w:rsidRPr="00222705" w:rsidRDefault="008F4D29" w:rsidP="00EF007D">
      <w:pPr>
        <w:rPr>
          <w:rFonts w:ascii="Arial" w:hAnsi="Arial" w:cs="Arial"/>
        </w:rPr>
      </w:pPr>
      <w:r w:rsidRPr="00222705">
        <w:rPr>
          <w:rFonts w:ascii="Arial" w:hAnsi="Arial" w:cs="Arial"/>
        </w:rPr>
        <w:t>Smith, D.L. and Petruzzello, S.J., 1998. Selected physiological and psychological responses to live-fire drills in different configurations of firefighting gear. Ergonomics, 41(8), pp.1141-1154.</w:t>
      </w:r>
    </w:p>
    <w:p w14:paraId="041FD1DD" w14:textId="77777777" w:rsidR="008D6288" w:rsidRPr="00222705" w:rsidRDefault="008D6288" w:rsidP="00EF007D">
      <w:pPr>
        <w:rPr>
          <w:rFonts w:ascii="Arial" w:hAnsi="Arial" w:cs="Arial"/>
        </w:rPr>
      </w:pPr>
    </w:p>
    <w:p w14:paraId="1A138B22" w14:textId="77777777" w:rsidR="008F4D29" w:rsidRPr="00222705" w:rsidRDefault="008F4D29" w:rsidP="00EF007D">
      <w:pPr>
        <w:rPr>
          <w:rFonts w:ascii="Arial" w:eastAsia="Aptos" w:hAnsi="Arial" w:cs="Arial"/>
        </w:rPr>
      </w:pPr>
      <w:r w:rsidRPr="00222705">
        <w:rPr>
          <w:rFonts w:ascii="Arial" w:eastAsia="Aptos" w:hAnsi="Arial" w:cs="Arial"/>
        </w:rPr>
        <w:t>Smith, D.L., 2011. Firefighter fitness: improving performance and preventing injuries and fatalities. Current sports medicine reports, 10(3), pp.167-172.</w:t>
      </w:r>
    </w:p>
    <w:p w14:paraId="4760BE37" w14:textId="77777777" w:rsidR="008D6288" w:rsidRPr="00222705" w:rsidRDefault="008D6288" w:rsidP="00EF007D">
      <w:pPr>
        <w:rPr>
          <w:rFonts w:ascii="Arial" w:eastAsia="Times New Roman" w:hAnsi="Arial" w:cs="Arial"/>
          <w:lang w:val="en-GB" w:eastAsia="en-GB"/>
        </w:rPr>
      </w:pPr>
      <w:bookmarkStart w:id="85" w:name="OLE_LINK18"/>
    </w:p>
    <w:bookmarkEnd w:id="85"/>
    <w:p w14:paraId="355CC368" w14:textId="12A3C2D0" w:rsidR="008F4D29" w:rsidRPr="00222705" w:rsidRDefault="008F4D29" w:rsidP="00EF007D">
      <w:pPr>
        <w:rPr>
          <w:rFonts w:ascii="Arial" w:eastAsia="Aptos" w:hAnsi="Arial" w:cs="Arial"/>
        </w:rPr>
      </w:pPr>
      <w:r w:rsidRPr="00222705">
        <w:rPr>
          <w:rFonts w:ascii="Arial" w:eastAsia="Aptos" w:hAnsi="Arial" w:cs="Arial"/>
        </w:rPr>
        <w:lastRenderedPageBreak/>
        <w:t xml:space="preserve">Smith, D.L., Barr, D.A. and Kales, S.N., 2013. Extreme sacrifice: sudden cardiac death in the US Fire Service. Extreme physiology &amp; medicine, 2, pp.1-9 </w:t>
      </w:r>
    </w:p>
    <w:p w14:paraId="7905F763" w14:textId="5769F326" w:rsidR="008D6288" w:rsidRPr="00222705" w:rsidRDefault="008D6288" w:rsidP="00EF007D">
      <w:pPr>
        <w:rPr>
          <w:rFonts w:ascii="Arial" w:eastAsia="Aptos" w:hAnsi="Arial" w:cs="Arial"/>
        </w:rPr>
      </w:pPr>
    </w:p>
    <w:p w14:paraId="42C13C48" w14:textId="77777777" w:rsidR="008F4D29" w:rsidRPr="00222705" w:rsidRDefault="008F4D29" w:rsidP="00EF007D">
      <w:pPr>
        <w:rPr>
          <w:rFonts w:ascii="Arial" w:hAnsi="Arial" w:cs="Arial"/>
        </w:rPr>
      </w:pPr>
      <w:bookmarkStart w:id="86" w:name="OLE_LINK41"/>
      <w:r w:rsidRPr="00222705">
        <w:rPr>
          <w:rFonts w:ascii="Arial" w:hAnsi="Arial" w:cs="Arial"/>
        </w:rPr>
        <w:t xml:space="preserve">Smith, D.L., Friedman, N.M., Bloom, S.I., </w:t>
      </w:r>
      <w:proofErr w:type="spellStart"/>
      <w:r w:rsidRPr="00222705">
        <w:rPr>
          <w:rFonts w:ascii="Arial" w:hAnsi="Arial" w:cs="Arial"/>
        </w:rPr>
        <w:t>Armero</w:t>
      </w:r>
      <w:proofErr w:type="spellEnd"/>
      <w:r w:rsidRPr="00222705">
        <w:rPr>
          <w:rFonts w:ascii="Arial" w:hAnsi="Arial" w:cs="Arial"/>
        </w:rPr>
        <w:t>, W.L., Pence, B.D., Cook, M.D., Fernhall, B., Horn, G.P. and Woods, J., 2019. Firefighting induces acute inflammatory responses that are not relieved by aspirin in older firefighters. Journal of occupational and environmental medicine, 61(7), pp.617-622.</w:t>
      </w:r>
    </w:p>
    <w:bookmarkEnd w:id="86"/>
    <w:p w14:paraId="52E5B251" w14:textId="77777777" w:rsidR="008D6288" w:rsidRPr="00222705" w:rsidRDefault="008D6288" w:rsidP="00EF007D">
      <w:pPr>
        <w:rPr>
          <w:rFonts w:ascii="Arial" w:eastAsia="Aptos" w:hAnsi="Arial" w:cs="Arial"/>
        </w:rPr>
      </w:pPr>
    </w:p>
    <w:p w14:paraId="21A3EB91" w14:textId="77777777" w:rsidR="008D6288" w:rsidRPr="00222705" w:rsidRDefault="008F4D29" w:rsidP="00EF007D">
      <w:pPr>
        <w:rPr>
          <w:rFonts w:ascii="Arial" w:hAnsi="Arial" w:cs="Arial"/>
        </w:rPr>
      </w:pPr>
      <w:r w:rsidRPr="00222705">
        <w:rPr>
          <w:rFonts w:ascii="Arial" w:hAnsi="Arial" w:cs="Arial"/>
        </w:rPr>
        <w:t>Smith, D.L., Graham, E., Stewart, D. and Mathias, K.C., 2020. Cardiovascular disease risk factor changes over 5 years among male and female US firefighters. Journal of occupational and environmental medicine, 62(6), pp.398-402.</w:t>
      </w:r>
    </w:p>
    <w:p w14:paraId="4A644DCD" w14:textId="50F6A850" w:rsidR="008F4D29" w:rsidRPr="00222705" w:rsidRDefault="008F4D29" w:rsidP="00EF007D">
      <w:pPr>
        <w:rPr>
          <w:rFonts w:ascii="Arial" w:hAnsi="Arial" w:cs="Arial"/>
        </w:rPr>
      </w:pPr>
      <w:r w:rsidRPr="00222705">
        <w:rPr>
          <w:rFonts w:ascii="Arial" w:hAnsi="Arial" w:cs="Arial"/>
        </w:rPr>
        <w:t> </w:t>
      </w:r>
    </w:p>
    <w:p w14:paraId="050998BA" w14:textId="77777777" w:rsidR="008F4D29" w:rsidRPr="00222705" w:rsidRDefault="008F4D29" w:rsidP="00EF007D">
      <w:pPr>
        <w:rPr>
          <w:rFonts w:ascii="Arial" w:eastAsia="Aptos" w:hAnsi="Arial" w:cs="Arial"/>
        </w:rPr>
      </w:pPr>
      <w:r w:rsidRPr="00222705">
        <w:rPr>
          <w:rFonts w:ascii="Arial" w:eastAsia="Aptos" w:hAnsi="Arial" w:cs="Arial"/>
        </w:rPr>
        <w:t xml:space="preserve">Smith, T.D., </w:t>
      </w:r>
      <w:proofErr w:type="spellStart"/>
      <w:r w:rsidRPr="00222705">
        <w:rPr>
          <w:rFonts w:ascii="Arial" w:eastAsia="Aptos" w:hAnsi="Arial" w:cs="Arial"/>
        </w:rPr>
        <w:t>Dyal</w:t>
      </w:r>
      <w:proofErr w:type="spellEnd"/>
      <w:r w:rsidRPr="00222705">
        <w:rPr>
          <w:rFonts w:ascii="Arial" w:eastAsia="Aptos" w:hAnsi="Arial" w:cs="Arial"/>
        </w:rPr>
        <w:t>, M.A. and DeJoy, D.M., 2023. Firefighter stress, anxiety, and diminished compliance-oriented safety behaviors: consequences of passive safety leadership in the fire service?. Fire, 6(6), p.241.</w:t>
      </w:r>
    </w:p>
    <w:p w14:paraId="58E402C4" w14:textId="77777777" w:rsidR="008D6288" w:rsidRPr="00222705" w:rsidRDefault="008D6288" w:rsidP="00EF007D">
      <w:pPr>
        <w:rPr>
          <w:rFonts w:ascii="Arial" w:eastAsia="Aptos" w:hAnsi="Arial" w:cs="Arial"/>
        </w:rPr>
      </w:pPr>
    </w:p>
    <w:p w14:paraId="5C34D695"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 xml:space="preserve">Soteriades, E.S., Hauser, R., </w:t>
      </w:r>
      <w:proofErr w:type="spellStart"/>
      <w:r w:rsidRPr="00222705">
        <w:rPr>
          <w:rFonts w:ascii="Arial" w:hAnsi="Arial" w:cs="Arial"/>
          <w:shd w:val="clear" w:color="auto" w:fill="FFFFFF"/>
        </w:rPr>
        <w:t>Kawachi</w:t>
      </w:r>
      <w:proofErr w:type="spellEnd"/>
      <w:r w:rsidRPr="00222705">
        <w:rPr>
          <w:rFonts w:ascii="Arial" w:hAnsi="Arial" w:cs="Arial"/>
          <w:shd w:val="clear" w:color="auto" w:fill="FFFFFF"/>
        </w:rPr>
        <w:t xml:space="preserve">, I., </w:t>
      </w:r>
      <w:proofErr w:type="spellStart"/>
      <w:r w:rsidRPr="00222705">
        <w:rPr>
          <w:rFonts w:ascii="Arial" w:hAnsi="Arial" w:cs="Arial"/>
          <w:shd w:val="clear" w:color="auto" w:fill="FFFFFF"/>
        </w:rPr>
        <w:t>Liarokapis</w:t>
      </w:r>
      <w:proofErr w:type="spellEnd"/>
      <w:r w:rsidRPr="00222705">
        <w:rPr>
          <w:rFonts w:ascii="Arial" w:hAnsi="Arial" w:cs="Arial"/>
          <w:shd w:val="clear" w:color="auto" w:fill="FFFFFF"/>
        </w:rPr>
        <w:t>, D., Christiani, D.C. and Kales, S.N., 2005. Obesity and cardiovascular disease risk factors in firefighters: a prospective cohort study. </w:t>
      </w:r>
      <w:r w:rsidRPr="00222705">
        <w:rPr>
          <w:rFonts w:ascii="Arial" w:hAnsi="Arial" w:cs="Arial"/>
        </w:rPr>
        <w:t>Obesity research</w:t>
      </w:r>
      <w:r w:rsidRPr="00222705">
        <w:rPr>
          <w:rFonts w:ascii="Arial" w:hAnsi="Arial" w:cs="Arial"/>
          <w:shd w:val="clear" w:color="auto" w:fill="FFFFFF"/>
        </w:rPr>
        <w:t>, </w:t>
      </w:r>
      <w:r w:rsidRPr="00222705">
        <w:rPr>
          <w:rFonts w:ascii="Arial" w:hAnsi="Arial" w:cs="Arial"/>
        </w:rPr>
        <w:t>13</w:t>
      </w:r>
      <w:r w:rsidRPr="00222705">
        <w:rPr>
          <w:rFonts w:ascii="Arial" w:hAnsi="Arial" w:cs="Arial"/>
          <w:shd w:val="clear" w:color="auto" w:fill="FFFFFF"/>
        </w:rPr>
        <w:t>(10), pp.1756-1763.</w:t>
      </w:r>
    </w:p>
    <w:p w14:paraId="5E5A67A5" w14:textId="77777777" w:rsidR="008D6288" w:rsidRPr="00222705" w:rsidRDefault="008D6288" w:rsidP="00EF007D">
      <w:pPr>
        <w:rPr>
          <w:rFonts w:ascii="Arial" w:hAnsi="Arial" w:cs="Arial"/>
          <w:shd w:val="clear" w:color="auto" w:fill="FFFFFF"/>
        </w:rPr>
      </w:pPr>
    </w:p>
    <w:p w14:paraId="7219091D" w14:textId="77777777" w:rsidR="008F4D29" w:rsidRPr="00222705" w:rsidRDefault="008F4D29" w:rsidP="00EF007D">
      <w:pPr>
        <w:rPr>
          <w:rFonts w:ascii="Arial" w:hAnsi="Arial" w:cs="Arial"/>
          <w:color w:val="000000" w:themeColor="text1"/>
        </w:rPr>
      </w:pPr>
      <w:r w:rsidRPr="00222705">
        <w:rPr>
          <w:rFonts w:ascii="Arial" w:hAnsi="Arial" w:cs="Arial"/>
          <w:color w:val="000000" w:themeColor="text1"/>
        </w:rPr>
        <w:t>Soteriades, E.S., Smith, D.L., Tsismenakis, A.J., Baur, D.M. and Kales, S.N., 2011. Cardiovascular disease in US firefighters: a systematic review. Cardiology in review, 19(4), pp.202-215). </w:t>
      </w:r>
    </w:p>
    <w:p w14:paraId="3CA556E8" w14:textId="77777777" w:rsidR="008D6288" w:rsidRPr="00222705" w:rsidRDefault="008D6288" w:rsidP="00EF007D">
      <w:pPr>
        <w:rPr>
          <w:rFonts w:ascii="Arial" w:hAnsi="Arial" w:cs="Arial"/>
          <w:color w:val="000000"/>
        </w:rPr>
      </w:pPr>
    </w:p>
    <w:p w14:paraId="457F8875"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 xml:space="preserve">Sothmann, M.S., </w:t>
      </w:r>
      <w:proofErr w:type="spellStart"/>
      <w:r w:rsidRPr="00222705">
        <w:rPr>
          <w:rFonts w:ascii="Arial" w:hAnsi="Arial" w:cs="Arial"/>
          <w:shd w:val="clear" w:color="auto" w:fill="FFFFFF"/>
        </w:rPr>
        <w:t>Saupe</w:t>
      </w:r>
      <w:proofErr w:type="spellEnd"/>
      <w:r w:rsidRPr="00222705">
        <w:rPr>
          <w:rFonts w:ascii="Arial" w:hAnsi="Arial" w:cs="Arial"/>
          <w:shd w:val="clear" w:color="auto" w:fill="FFFFFF"/>
        </w:rPr>
        <w:t xml:space="preserve">, K., </w:t>
      </w:r>
      <w:proofErr w:type="spellStart"/>
      <w:r w:rsidRPr="00222705">
        <w:rPr>
          <w:rFonts w:ascii="Arial" w:hAnsi="Arial" w:cs="Arial"/>
          <w:shd w:val="clear" w:color="auto" w:fill="FFFFFF"/>
        </w:rPr>
        <w:t>Jasenof</w:t>
      </w:r>
      <w:proofErr w:type="spellEnd"/>
      <w:r w:rsidRPr="00222705">
        <w:rPr>
          <w:rFonts w:ascii="Arial" w:hAnsi="Arial" w:cs="Arial"/>
          <w:shd w:val="clear" w:color="auto" w:fill="FFFFFF"/>
        </w:rPr>
        <w:t xml:space="preserve">, D. and </w:t>
      </w:r>
      <w:proofErr w:type="spellStart"/>
      <w:r w:rsidRPr="00222705">
        <w:rPr>
          <w:rFonts w:ascii="Arial" w:hAnsi="Arial" w:cs="Arial"/>
          <w:shd w:val="clear" w:color="auto" w:fill="FFFFFF"/>
        </w:rPr>
        <w:t>Blaney</w:t>
      </w:r>
      <w:proofErr w:type="spellEnd"/>
      <w:r w:rsidRPr="00222705">
        <w:rPr>
          <w:rFonts w:ascii="Arial" w:hAnsi="Arial" w:cs="Arial"/>
          <w:shd w:val="clear" w:color="auto" w:fill="FFFFFF"/>
        </w:rPr>
        <w:t>, J., 1992. Heart rate response of firefighters to actual emergencies: Implications for cardiorespiratory fitness. </w:t>
      </w:r>
      <w:r w:rsidRPr="00222705">
        <w:rPr>
          <w:rFonts w:ascii="Arial" w:hAnsi="Arial" w:cs="Arial"/>
        </w:rPr>
        <w:t>Journal of Occupational and Environmental Medicine</w:t>
      </w:r>
      <w:r w:rsidRPr="00222705">
        <w:rPr>
          <w:rFonts w:ascii="Arial" w:hAnsi="Arial" w:cs="Arial"/>
          <w:shd w:val="clear" w:color="auto" w:fill="FFFFFF"/>
        </w:rPr>
        <w:t>, </w:t>
      </w:r>
      <w:r w:rsidRPr="00222705">
        <w:rPr>
          <w:rFonts w:ascii="Arial" w:hAnsi="Arial" w:cs="Arial"/>
        </w:rPr>
        <w:t>34</w:t>
      </w:r>
      <w:r w:rsidRPr="00222705">
        <w:rPr>
          <w:rFonts w:ascii="Arial" w:hAnsi="Arial" w:cs="Arial"/>
          <w:shd w:val="clear" w:color="auto" w:fill="FFFFFF"/>
        </w:rPr>
        <w:t>(8), pp.797-800.</w:t>
      </w:r>
    </w:p>
    <w:p w14:paraId="52DE1F6A" w14:textId="77777777" w:rsidR="008D6288" w:rsidRPr="00222705" w:rsidRDefault="008D6288" w:rsidP="00EF007D">
      <w:pPr>
        <w:rPr>
          <w:rFonts w:ascii="Arial" w:hAnsi="Arial" w:cs="Arial"/>
        </w:rPr>
      </w:pPr>
    </w:p>
    <w:p w14:paraId="29645631" w14:textId="7B504E70" w:rsidR="008F4D29" w:rsidRPr="00222705" w:rsidRDefault="008F4D29" w:rsidP="00EF007D">
      <w:pPr>
        <w:rPr>
          <w:rFonts w:ascii="Arial" w:hAnsi="Arial" w:cs="Arial"/>
          <w:color w:val="000000" w:themeColor="text1"/>
        </w:rPr>
      </w:pPr>
      <w:r w:rsidRPr="00222705">
        <w:rPr>
          <w:rFonts w:ascii="Arial" w:hAnsi="Arial" w:cs="Arial"/>
          <w:color w:val="000000" w:themeColor="text1"/>
        </w:rPr>
        <w:t xml:space="preserve">Sotos-Prieto, M., </w:t>
      </w:r>
      <w:proofErr w:type="spellStart"/>
      <w:r w:rsidRPr="00222705">
        <w:rPr>
          <w:rFonts w:ascii="Arial" w:hAnsi="Arial" w:cs="Arial"/>
          <w:color w:val="000000" w:themeColor="text1"/>
        </w:rPr>
        <w:t>Ruiz-Canela</w:t>
      </w:r>
      <w:proofErr w:type="spellEnd"/>
      <w:r w:rsidRPr="00222705">
        <w:rPr>
          <w:rFonts w:ascii="Arial" w:hAnsi="Arial" w:cs="Arial"/>
          <w:color w:val="000000" w:themeColor="text1"/>
        </w:rPr>
        <w:t>, M., Song, Y., Christophi, C., </w:t>
      </w:r>
      <w:proofErr w:type="spellStart"/>
      <w:r w:rsidRPr="00222705">
        <w:rPr>
          <w:rFonts w:ascii="Arial" w:hAnsi="Arial" w:cs="Arial"/>
          <w:color w:val="000000" w:themeColor="text1"/>
        </w:rPr>
        <w:t>Mofatt</w:t>
      </w:r>
      <w:proofErr w:type="spellEnd"/>
      <w:r w:rsidRPr="00222705">
        <w:rPr>
          <w:rFonts w:ascii="Arial" w:hAnsi="Arial" w:cs="Arial"/>
          <w:color w:val="000000" w:themeColor="text1"/>
        </w:rPr>
        <w:t xml:space="preserve">, S., </w:t>
      </w:r>
      <w:proofErr w:type="spellStart"/>
      <w:r w:rsidRPr="00222705">
        <w:rPr>
          <w:rFonts w:ascii="Arial" w:hAnsi="Arial" w:cs="Arial"/>
          <w:color w:val="000000" w:themeColor="text1"/>
        </w:rPr>
        <w:t>Rodriguez-Artalejo</w:t>
      </w:r>
      <w:proofErr w:type="spellEnd"/>
      <w:r w:rsidRPr="00222705">
        <w:rPr>
          <w:rFonts w:ascii="Arial" w:hAnsi="Arial" w:cs="Arial"/>
          <w:color w:val="000000" w:themeColor="text1"/>
        </w:rPr>
        <w:t xml:space="preserve">, F. and Kales, S.N., 2020. The effects of a Mediterranean diet intervention on targeted plasma metabolic </w:t>
      </w:r>
      <w:proofErr w:type="spellStart"/>
      <w:r w:rsidRPr="00222705">
        <w:rPr>
          <w:rFonts w:ascii="Arial" w:hAnsi="Arial" w:cs="Arial"/>
          <w:color w:val="000000" w:themeColor="text1"/>
        </w:rPr>
        <w:t>biomarkersamong</w:t>
      </w:r>
      <w:proofErr w:type="spellEnd"/>
      <w:r w:rsidRPr="00222705">
        <w:rPr>
          <w:rFonts w:ascii="Arial" w:hAnsi="Arial" w:cs="Arial"/>
          <w:color w:val="000000" w:themeColor="text1"/>
        </w:rPr>
        <w:t xml:space="preserve"> US firefighters: a pilot cluster-randomized trial. Nutrients, 12(12), p.3610.  </w:t>
      </w:r>
    </w:p>
    <w:p w14:paraId="5281E1E8" w14:textId="77777777" w:rsidR="00582D03" w:rsidRPr="00222705" w:rsidRDefault="00582D03" w:rsidP="00EF007D">
      <w:pPr>
        <w:rPr>
          <w:rFonts w:ascii="Arial" w:hAnsi="Arial" w:cs="Arial"/>
          <w:color w:val="000000"/>
        </w:rPr>
      </w:pPr>
    </w:p>
    <w:p w14:paraId="094B689A"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lastRenderedPageBreak/>
        <w:t xml:space="preserve">Souissi, A., </w:t>
      </w:r>
      <w:proofErr w:type="spellStart"/>
      <w:r w:rsidRPr="00222705">
        <w:rPr>
          <w:rFonts w:ascii="Arial" w:eastAsia="Times New Roman" w:hAnsi="Arial" w:cs="Arial"/>
          <w:kern w:val="0"/>
          <w14:ligatures w14:val="none"/>
        </w:rPr>
        <w:t>Haddad</w:t>
      </w:r>
      <w:proofErr w:type="spellEnd"/>
      <w:r w:rsidRPr="00222705">
        <w:rPr>
          <w:rFonts w:ascii="Arial" w:eastAsia="Times New Roman" w:hAnsi="Arial" w:cs="Arial"/>
          <w:kern w:val="0"/>
          <w14:ligatures w14:val="none"/>
        </w:rPr>
        <w:t>, M., </w:t>
      </w:r>
      <w:proofErr w:type="spellStart"/>
      <w:r w:rsidRPr="00222705">
        <w:rPr>
          <w:rFonts w:ascii="Arial" w:eastAsia="Times New Roman" w:hAnsi="Arial" w:cs="Arial"/>
          <w:kern w:val="0"/>
          <w14:ligatures w14:val="none"/>
        </w:rPr>
        <w:t>Dergaa</w:t>
      </w:r>
      <w:proofErr w:type="spellEnd"/>
      <w:r w:rsidRPr="00222705">
        <w:rPr>
          <w:rFonts w:ascii="Arial" w:eastAsia="Times New Roman" w:hAnsi="Arial" w:cs="Arial"/>
          <w:kern w:val="0"/>
          <w14:ligatures w14:val="none"/>
        </w:rPr>
        <w:t>, I., Saad, H.B. and </w:t>
      </w:r>
      <w:proofErr w:type="spellStart"/>
      <w:r w:rsidRPr="00222705">
        <w:rPr>
          <w:rFonts w:ascii="Arial" w:eastAsia="Times New Roman" w:hAnsi="Arial" w:cs="Arial"/>
          <w:kern w:val="0"/>
          <w14:ligatures w14:val="none"/>
        </w:rPr>
        <w:t>Chamari</w:t>
      </w:r>
      <w:proofErr w:type="spellEnd"/>
      <w:r w:rsidRPr="00222705">
        <w:rPr>
          <w:rFonts w:ascii="Arial" w:eastAsia="Times New Roman" w:hAnsi="Arial" w:cs="Arial"/>
          <w:kern w:val="0"/>
          <w14:ligatures w14:val="none"/>
        </w:rPr>
        <w:t xml:space="preserve">, K., 2021. A new perspective </w:t>
      </w:r>
      <w:proofErr w:type="spellStart"/>
      <w:r w:rsidRPr="00222705">
        <w:rPr>
          <w:rFonts w:ascii="Arial" w:eastAsia="Times New Roman" w:hAnsi="Arial" w:cs="Arial"/>
          <w:kern w:val="0"/>
          <w14:ligatures w14:val="none"/>
        </w:rPr>
        <w:t>oncardiovascular</w:t>
      </w:r>
      <w:proofErr w:type="spellEnd"/>
      <w:r w:rsidRPr="00222705">
        <w:rPr>
          <w:rFonts w:ascii="Arial" w:eastAsia="Times New Roman" w:hAnsi="Arial" w:cs="Arial"/>
          <w:kern w:val="0"/>
          <w14:ligatures w14:val="none"/>
        </w:rPr>
        <w:t xml:space="preserve"> drift during prolonged exercise. Life sciences, 287, p.120109. </w:t>
      </w:r>
    </w:p>
    <w:p w14:paraId="6712071F" w14:textId="77777777" w:rsidR="008D6288" w:rsidRPr="00222705" w:rsidRDefault="008D6288" w:rsidP="00EF007D">
      <w:pPr>
        <w:rPr>
          <w:rFonts w:ascii="Arial" w:eastAsia="Times New Roman" w:hAnsi="Arial" w:cs="Arial"/>
          <w:kern w:val="0"/>
          <w14:ligatures w14:val="none"/>
        </w:rPr>
      </w:pPr>
    </w:p>
    <w:p w14:paraId="2CF88468"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 xml:space="preserve">Sousa, G., </w:t>
      </w:r>
      <w:proofErr w:type="spellStart"/>
      <w:r w:rsidRPr="00222705">
        <w:rPr>
          <w:rFonts w:ascii="Arial" w:hAnsi="Arial" w:cs="Arial"/>
          <w:shd w:val="clear" w:color="auto" w:fill="FFFFFF"/>
        </w:rPr>
        <w:t>Teixeira</w:t>
      </w:r>
      <w:proofErr w:type="spellEnd"/>
      <w:r w:rsidRPr="00222705">
        <w:rPr>
          <w:rFonts w:ascii="Arial" w:hAnsi="Arial" w:cs="Arial"/>
          <w:shd w:val="clear" w:color="auto" w:fill="FFFFFF"/>
        </w:rPr>
        <w:t xml:space="preserve">, J., </w:t>
      </w:r>
      <w:proofErr w:type="spellStart"/>
      <w:r w:rsidRPr="00222705">
        <w:rPr>
          <w:rFonts w:ascii="Arial" w:hAnsi="Arial" w:cs="Arial"/>
          <w:shd w:val="clear" w:color="auto" w:fill="FFFFFF"/>
        </w:rPr>
        <w:t>Delerue-Matos</w:t>
      </w:r>
      <w:proofErr w:type="spellEnd"/>
      <w:r w:rsidRPr="00222705">
        <w:rPr>
          <w:rFonts w:ascii="Arial" w:hAnsi="Arial" w:cs="Arial"/>
          <w:shd w:val="clear" w:color="auto" w:fill="FFFFFF"/>
        </w:rPr>
        <w:t xml:space="preserve">, C., </w:t>
      </w:r>
      <w:proofErr w:type="spellStart"/>
      <w:r w:rsidRPr="00222705">
        <w:rPr>
          <w:rFonts w:ascii="Arial" w:hAnsi="Arial" w:cs="Arial"/>
          <w:shd w:val="clear" w:color="auto" w:fill="FFFFFF"/>
        </w:rPr>
        <w:t>Sarmento</w:t>
      </w:r>
      <w:proofErr w:type="spellEnd"/>
      <w:r w:rsidRPr="00222705">
        <w:rPr>
          <w:rFonts w:ascii="Arial" w:hAnsi="Arial" w:cs="Arial"/>
          <w:shd w:val="clear" w:color="auto" w:fill="FFFFFF"/>
        </w:rPr>
        <w:t>, B., Morais, S., Wang, X., Rodrigues, F. and Oliveira, M., 2022. Exposure to PAHs during firefighting activities: a review on skin levels, in vitro/in vivo bioavailability, and health risks. </w:t>
      </w:r>
      <w:r w:rsidRPr="00222705">
        <w:rPr>
          <w:rFonts w:ascii="Arial" w:hAnsi="Arial" w:cs="Arial"/>
        </w:rPr>
        <w:t>International Journal of Environmental Research and Public Health</w:t>
      </w:r>
      <w:r w:rsidRPr="00222705">
        <w:rPr>
          <w:rFonts w:ascii="Arial" w:hAnsi="Arial" w:cs="Arial"/>
          <w:shd w:val="clear" w:color="auto" w:fill="FFFFFF"/>
        </w:rPr>
        <w:t>, </w:t>
      </w:r>
      <w:r w:rsidRPr="00222705">
        <w:rPr>
          <w:rFonts w:ascii="Arial" w:hAnsi="Arial" w:cs="Arial"/>
        </w:rPr>
        <w:t>19</w:t>
      </w:r>
      <w:r w:rsidRPr="00222705">
        <w:rPr>
          <w:rFonts w:ascii="Arial" w:hAnsi="Arial" w:cs="Arial"/>
          <w:shd w:val="clear" w:color="auto" w:fill="FFFFFF"/>
        </w:rPr>
        <w:t>(19), p.12677.</w:t>
      </w:r>
    </w:p>
    <w:p w14:paraId="02FF266D" w14:textId="77777777" w:rsidR="008D6288" w:rsidRPr="00222705" w:rsidRDefault="008D6288" w:rsidP="00EF007D">
      <w:pPr>
        <w:rPr>
          <w:rFonts w:ascii="Arial" w:hAnsi="Arial" w:cs="Arial"/>
          <w:shd w:val="clear" w:color="auto" w:fill="FFFFFF"/>
        </w:rPr>
      </w:pPr>
    </w:p>
    <w:p w14:paraId="54FC66EB"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Souza, H.C.D., </w:t>
      </w:r>
      <w:proofErr w:type="spellStart"/>
      <w:r w:rsidRPr="00222705">
        <w:rPr>
          <w:rFonts w:ascii="Arial" w:eastAsia="Times New Roman" w:hAnsi="Arial" w:cs="Arial"/>
          <w:kern w:val="0"/>
          <w14:ligatures w14:val="none"/>
        </w:rPr>
        <w:t>Philbois</w:t>
      </w:r>
      <w:proofErr w:type="spellEnd"/>
      <w:r w:rsidRPr="00222705">
        <w:rPr>
          <w:rFonts w:ascii="Arial" w:eastAsia="Times New Roman" w:hAnsi="Arial" w:cs="Arial"/>
          <w:kern w:val="0"/>
          <w14:ligatures w14:val="none"/>
        </w:rPr>
        <w:t xml:space="preserve">, S.V., </w:t>
      </w:r>
      <w:proofErr w:type="spellStart"/>
      <w:r w:rsidRPr="00222705">
        <w:rPr>
          <w:rFonts w:ascii="Arial" w:eastAsia="Times New Roman" w:hAnsi="Arial" w:cs="Arial"/>
          <w:kern w:val="0"/>
          <w14:ligatures w14:val="none"/>
        </w:rPr>
        <w:t>Veiga</w:t>
      </w:r>
      <w:proofErr w:type="spellEnd"/>
      <w:r w:rsidRPr="00222705">
        <w:rPr>
          <w:rFonts w:ascii="Arial" w:eastAsia="Times New Roman" w:hAnsi="Arial" w:cs="Arial"/>
          <w:kern w:val="0"/>
          <w14:ligatures w14:val="none"/>
        </w:rPr>
        <w:t>, A.C. and Aguilar, B.A., 2021. Heart rate variability and cardiovascular fitness: what we know so far. Vascular health and risk management, pp.701-711. </w:t>
      </w:r>
    </w:p>
    <w:p w14:paraId="56A28D98" w14:textId="77777777" w:rsidR="008D6288" w:rsidRPr="00222705" w:rsidRDefault="008D6288" w:rsidP="00EF007D">
      <w:pPr>
        <w:rPr>
          <w:rFonts w:ascii="Arial" w:eastAsia="Times New Roman" w:hAnsi="Arial" w:cs="Arial"/>
          <w:kern w:val="0"/>
          <w14:ligatures w14:val="none"/>
        </w:rPr>
      </w:pPr>
    </w:p>
    <w:p w14:paraId="720516BE" w14:textId="77777777" w:rsidR="008F4D29" w:rsidRPr="00222705" w:rsidRDefault="008F4D29" w:rsidP="00EF007D">
      <w:pPr>
        <w:rPr>
          <w:rFonts w:ascii="Arial" w:eastAsia="Aptos" w:hAnsi="Arial" w:cs="Arial"/>
        </w:rPr>
      </w:pPr>
      <w:r w:rsidRPr="00222705">
        <w:rPr>
          <w:rFonts w:ascii="Arial" w:eastAsia="Aptos" w:hAnsi="Arial" w:cs="Arial"/>
        </w:rPr>
        <w:t>Spriet, L.L., 2019. Performance nutrition for athletes. Sports Medicine, 49, pp.1-2.</w:t>
      </w:r>
    </w:p>
    <w:p w14:paraId="7D0D52B1" w14:textId="77777777" w:rsidR="008D6288" w:rsidRPr="00222705" w:rsidRDefault="008D6288" w:rsidP="00EF007D">
      <w:pPr>
        <w:rPr>
          <w:rFonts w:ascii="Arial" w:eastAsia="Aptos" w:hAnsi="Arial" w:cs="Arial"/>
          <w:lang w:val="en-GB"/>
        </w:rPr>
      </w:pPr>
    </w:p>
    <w:p w14:paraId="48465AE7" w14:textId="77777777" w:rsidR="008F4D29" w:rsidRPr="00222705" w:rsidRDefault="008F4D29" w:rsidP="00EF007D">
      <w:pPr>
        <w:rPr>
          <w:rFonts w:ascii="Arial" w:hAnsi="Arial" w:cs="Arial"/>
        </w:rPr>
      </w:pPr>
      <w:proofErr w:type="spellStart"/>
      <w:r w:rsidRPr="00222705">
        <w:rPr>
          <w:rFonts w:ascii="Arial" w:hAnsi="Arial" w:cs="Arial"/>
        </w:rPr>
        <w:t>Stec</w:t>
      </w:r>
      <w:proofErr w:type="spellEnd"/>
      <w:r w:rsidRPr="00222705">
        <w:rPr>
          <w:rFonts w:ascii="Arial" w:hAnsi="Arial" w:cs="Arial"/>
        </w:rPr>
        <w:t xml:space="preserve">, A.A., Dickens, K.E., </w:t>
      </w:r>
      <w:proofErr w:type="spellStart"/>
      <w:r w:rsidRPr="00222705">
        <w:rPr>
          <w:rFonts w:ascii="Arial" w:hAnsi="Arial" w:cs="Arial"/>
        </w:rPr>
        <w:t>Salden</w:t>
      </w:r>
      <w:proofErr w:type="spellEnd"/>
      <w:r w:rsidRPr="00222705">
        <w:rPr>
          <w:rFonts w:ascii="Arial" w:hAnsi="Arial" w:cs="Arial"/>
        </w:rPr>
        <w:t xml:space="preserve">, M., Hewitt, F.E., Watts, D.P., </w:t>
      </w:r>
      <w:proofErr w:type="spellStart"/>
      <w:r w:rsidRPr="00222705">
        <w:rPr>
          <w:rFonts w:ascii="Arial" w:hAnsi="Arial" w:cs="Arial"/>
        </w:rPr>
        <w:t>Houldsworth</w:t>
      </w:r>
      <w:proofErr w:type="spellEnd"/>
      <w:r w:rsidRPr="00222705">
        <w:rPr>
          <w:rFonts w:ascii="Arial" w:hAnsi="Arial" w:cs="Arial"/>
        </w:rPr>
        <w:t>, P.E. and Martin, F.L., 2018. Occupational exposure to polycyclic aromatic hydrocarbons and elevated cancer incidence in firefighters. Scientific reports, 8(1), p.2476.</w:t>
      </w:r>
    </w:p>
    <w:p w14:paraId="0B5BFFA6" w14:textId="77777777" w:rsidR="008D6288" w:rsidRPr="00222705" w:rsidRDefault="008D6288" w:rsidP="00EF007D">
      <w:pPr>
        <w:rPr>
          <w:rFonts w:ascii="Arial" w:hAnsi="Arial" w:cs="Arial"/>
        </w:rPr>
      </w:pPr>
    </w:p>
    <w:p w14:paraId="4E1A2EB4"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 xml:space="preserve">Stephenson, M.D., Thompson, A.G., </w:t>
      </w:r>
      <w:proofErr w:type="spellStart"/>
      <w:r w:rsidRPr="00222705">
        <w:rPr>
          <w:rFonts w:ascii="Arial" w:hAnsi="Arial" w:cs="Arial"/>
          <w:shd w:val="clear" w:color="auto" w:fill="FFFFFF"/>
        </w:rPr>
        <w:t>Merrigan</w:t>
      </w:r>
      <w:proofErr w:type="spellEnd"/>
      <w:r w:rsidRPr="00222705">
        <w:rPr>
          <w:rFonts w:ascii="Arial" w:hAnsi="Arial" w:cs="Arial"/>
          <w:shd w:val="clear" w:color="auto" w:fill="FFFFFF"/>
        </w:rPr>
        <w:t>, J.J., Stone, J.D. and Hagen, J.A., 2021. Applying heart rate variability to monitor health and performance in tactical personnel: A narrative review. </w:t>
      </w:r>
      <w:r w:rsidRPr="00222705">
        <w:rPr>
          <w:rFonts w:ascii="Arial" w:hAnsi="Arial" w:cs="Arial"/>
        </w:rPr>
        <w:t>International Journal of Environmental Research and Public Health</w:t>
      </w:r>
      <w:r w:rsidRPr="00222705">
        <w:rPr>
          <w:rFonts w:ascii="Arial" w:hAnsi="Arial" w:cs="Arial"/>
          <w:shd w:val="clear" w:color="auto" w:fill="FFFFFF"/>
        </w:rPr>
        <w:t>, </w:t>
      </w:r>
      <w:r w:rsidRPr="00222705">
        <w:rPr>
          <w:rFonts w:ascii="Arial" w:hAnsi="Arial" w:cs="Arial"/>
        </w:rPr>
        <w:t>18</w:t>
      </w:r>
      <w:r w:rsidRPr="00222705">
        <w:rPr>
          <w:rFonts w:ascii="Arial" w:hAnsi="Arial" w:cs="Arial"/>
          <w:shd w:val="clear" w:color="auto" w:fill="FFFFFF"/>
        </w:rPr>
        <w:t>(15), p.8143.</w:t>
      </w:r>
    </w:p>
    <w:p w14:paraId="22FC2101" w14:textId="77777777" w:rsidR="008D6288" w:rsidRPr="00222705" w:rsidRDefault="008D6288" w:rsidP="00EF007D">
      <w:pPr>
        <w:rPr>
          <w:rFonts w:ascii="Arial" w:hAnsi="Arial" w:cs="Arial"/>
          <w:shd w:val="clear" w:color="auto" w:fill="FFFFFF"/>
        </w:rPr>
      </w:pPr>
    </w:p>
    <w:p w14:paraId="5D7E809D" w14:textId="77777777" w:rsidR="008F4D29" w:rsidRPr="00222705" w:rsidRDefault="008F4D29" w:rsidP="00EF007D">
      <w:pPr>
        <w:rPr>
          <w:rFonts w:ascii="Arial" w:eastAsiaTheme="minorEastAsia" w:hAnsi="Arial" w:cs="Arial"/>
          <w:lang w:val="en-GB" w:eastAsia="en-GB"/>
        </w:rPr>
      </w:pPr>
      <w:r w:rsidRPr="00222705">
        <w:rPr>
          <w:rFonts w:ascii="Arial" w:hAnsi="Arial" w:cs="Arial"/>
          <w:lang w:val="en-GB" w:eastAsia="en-GB"/>
        </w:rPr>
        <w:t xml:space="preserve">Stergiou, G.S., Palatini, P., </w:t>
      </w:r>
      <w:proofErr w:type="spellStart"/>
      <w:r w:rsidRPr="00222705">
        <w:rPr>
          <w:rFonts w:ascii="Arial" w:hAnsi="Arial" w:cs="Arial"/>
          <w:lang w:val="en-GB" w:eastAsia="en-GB"/>
        </w:rPr>
        <w:t>Parati</w:t>
      </w:r>
      <w:proofErr w:type="spellEnd"/>
      <w:r w:rsidRPr="00222705">
        <w:rPr>
          <w:rFonts w:ascii="Arial" w:hAnsi="Arial" w:cs="Arial"/>
          <w:lang w:val="en-GB" w:eastAsia="en-GB"/>
        </w:rPr>
        <w:t xml:space="preserve">, G., O’Brien, E., </w:t>
      </w:r>
      <w:proofErr w:type="spellStart"/>
      <w:r w:rsidRPr="00222705">
        <w:rPr>
          <w:rFonts w:ascii="Arial" w:hAnsi="Arial" w:cs="Arial"/>
          <w:lang w:val="en-GB" w:eastAsia="en-GB"/>
        </w:rPr>
        <w:t>Januszewicz</w:t>
      </w:r>
      <w:proofErr w:type="spellEnd"/>
      <w:r w:rsidRPr="00222705">
        <w:rPr>
          <w:rFonts w:ascii="Arial" w:hAnsi="Arial" w:cs="Arial"/>
          <w:lang w:val="en-GB" w:eastAsia="en-GB"/>
        </w:rPr>
        <w:t xml:space="preserve">, A., </w:t>
      </w:r>
      <w:proofErr w:type="spellStart"/>
      <w:r w:rsidRPr="00222705">
        <w:rPr>
          <w:rFonts w:ascii="Arial" w:hAnsi="Arial" w:cs="Arial"/>
          <w:lang w:val="en-GB" w:eastAsia="en-GB"/>
        </w:rPr>
        <w:t>Lurbe</w:t>
      </w:r>
      <w:proofErr w:type="spellEnd"/>
      <w:r w:rsidRPr="00222705">
        <w:rPr>
          <w:rFonts w:ascii="Arial" w:hAnsi="Arial" w:cs="Arial"/>
          <w:lang w:val="en-GB" w:eastAsia="en-GB"/>
        </w:rPr>
        <w:t xml:space="preserve">, E., </w:t>
      </w:r>
      <w:proofErr w:type="spellStart"/>
      <w:r w:rsidRPr="00222705">
        <w:rPr>
          <w:rFonts w:ascii="Arial" w:hAnsi="Arial" w:cs="Arial"/>
          <w:lang w:val="en-GB" w:eastAsia="en-GB"/>
        </w:rPr>
        <w:t>Persu</w:t>
      </w:r>
      <w:proofErr w:type="spellEnd"/>
      <w:r w:rsidRPr="00222705">
        <w:rPr>
          <w:rFonts w:ascii="Arial" w:hAnsi="Arial" w:cs="Arial"/>
          <w:lang w:val="en-GB" w:eastAsia="en-GB"/>
        </w:rPr>
        <w:t xml:space="preserve">, A., </w:t>
      </w:r>
      <w:proofErr w:type="spellStart"/>
      <w:r w:rsidRPr="00222705">
        <w:rPr>
          <w:rFonts w:ascii="Arial" w:hAnsi="Arial" w:cs="Arial"/>
          <w:lang w:val="en-GB" w:eastAsia="en-GB"/>
        </w:rPr>
        <w:t>Mancia</w:t>
      </w:r>
      <w:proofErr w:type="spellEnd"/>
      <w:r w:rsidRPr="00222705">
        <w:rPr>
          <w:rFonts w:ascii="Arial" w:hAnsi="Arial" w:cs="Arial"/>
          <w:lang w:val="en-GB" w:eastAsia="en-GB"/>
        </w:rPr>
        <w:t xml:space="preserve">, G. and </w:t>
      </w:r>
      <w:proofErr w:type="spellStart"/>
      <w:r w:rsidRPr="00222705">
        <w:rPr>
          <w:rFonts w:ascii="Arial" w:hAnsi="Arial" w:cs="Arial"/>
          <w:lang w:val="en-GB" w:eastAsia="en-GB"/>
        </w:rPr>
        <w:t>Kreutz</w:t>
      </w:r>
      <w:proofErr w:type="spellEnd"/>
      <w:r w:rsidRPr="00222705">
        <w:rPr>
          <w:rFonts w:ascii="Arial" w:hAnsi="Arial" w:cs="Arial"/>
          <w:lang w:val="en-GB" w:eastAsia="en-GB"/>
        </w:rPr>
        <w:t>, R., 2021. 2021 European Society of Hypertension practice guidelines for office and out-of-office blood pressure measurement. Journal of hypertension, 39(7), pp.1293-1302.</w:t>
      </w:r>
    </w:p>
    <w:p w14:paraId="5918DCFA" w14:textId="77777777" w:rsidR="008F4D29" w:rsidRPr="00222705" w:rsidRDefault="008F4D29" w:rsidP="00EF007D">
      <w:pPr>
        <w:rPr>
          <w:rFonts w:ascii="Arial" w:eastAsia="Times New Roman" w:hAnsi="Arial" w:cs="Arial"/>
          <w:shd w:val="clear" w:color="auto" w:fill="FFFFFF"/>
          <w:lang w:val="en-GB" w:eastAsia="en-GB"/>
        </w:rPr>
      </w:pPr>
      <w:r w:rsidRPr="00222705">
        <w:rPr>
          <w:rFonts w:ascii="Arial" w:eastAsia="Times New Roman" w:hAnsi="Arial" w:cs="Arial"/>
          <w:shd w:val="clear" w:color="auto" w:fill="FFFFFF"/>
          <w:lang w:val="en-GB" w:eastAsia="en-GB"/>
        </w:rPr>
        <w:t xml:space="preserve">Stout, J.W., </w:t>
      </w:r>
      <w:proofErr w:type="spellStart"/>
      <w:r w:rsidRPr="00222705">
        <w:rPr>
          <w:rFonts w:ascii="Arial" w:eastAsia="Times New Roman" w:hAnsi="Arial" w:cs="Arial"/>
          <w:shd w:val="clear" w:color="auto" w:fill="FFFFFF"/>
          <w:lang w:val="en-GB" w:eastAsia="en-GB"/>
        </w:rPr>
        <w:t>Beidel</w:t>
      </w:r>
      <w:proofErr w:type="spellEnd"/>
      <w:r w:rsidRPr="00222705">
        <w:rPr>
          <w:rFonts w:ascii="Arial" w:eastAsia="Times New Roman" w:hAnsi="Arial" w:cs="Arial"/>
          <w:shd w:val="clear" w:color="auto" w:fill="FFFFFF"/>
          <w:lang w:val="en-GB" w:eastAsia="en-GB"/>
        </w:rPr>
        <w:t>, D.C., Brush, D. and Bowers, C., 2021. Sleep disturbance and cognitive functioning among firefighters. </w:t>
      </w:r>
      <w:r w:rsidRPr="00222705">
        <w:rPr>
          <w:rFonts w:ascii="Arial" w:eastAsia="Times New Roman" w:hAnsi="Arial" w:cs="Arial"/>
          <w:lang w:val="en-GB" w:eastAsia="en-GB"/>
        </w:rPr>
        <w:t>Journal of Health Psychology</w:t>
      </w:r>
      <w:r w:rsidRPr="00222705">
        <w:rPr>
          <w:rFonts w:ascii="Arial" w:eastAsia="Times New Roman" w:hAnsi="Arial" w:cs="Arial"/>
          <w:shd w:val="clear" w:color="auto" w:fill="FFFFFF"/>
          <w:lang w:val="en-GB" w:eastAsia="en-GB"/>
        </w:rPr>
        <w:t>, </w:t>
      </w:r>
      <w:r w:rsidRPr="00222705">
        <w:rPr>
          <w:rFonts w:ascii="Arial" w:eastAsia="Times New Roman" w:hAnsi="Arial" w:cs="Arial"/>
          <w:lang w:val="en-GB" w:eastAsia="en-GB"/>
        </w:rPr>
        <w:t>26</w:t>
      </w:r>
      <w:r w:rsidRPr="00222705">
        <w:rPr>
          <w:rFonts w:ascii="Arial" w:eastAsia="Times New Roman" w:hAnsi="Arial" w:cs="Arial"/>
          <w:shd w:val="clear" w:color="auto" w:fill="FFFFFF"/>
          <w:lang w:val="en-GB" w:eastAsia="en-GB"/>
        </w:rPr>
        <w:t>(12), pp.2248-2259.</w:t>
      </w:r>
    </w:p>
    <w:p w14:paraId="16B0961E" w14:textId="77777777" w:rsidR="008D6288" w:rsidRPr="00222705" w:rsidRDefault="008D6288" w:rsidP="00EF007D">
      <w:pPr>
        <w:rPr>
          <w:rFonts w:ascii="Arial" w:eastAsia="Aptos" w:hAnsi="Arial" w:cs="Arial"/>
        </w:rPr>
      </w:pPr>
    </w:p>
    <w:p w14:paraId="29E249C6" w14:textId="77777777" w:rsidR="008F4D29" w:rsidRPr="00222705" w:rsidRDefault="008F4D29" w:rsidP="00EF007D">
      <w:pPr>
        <w:rPr>
          <w:rFonts w:ascii="Arial" w:hAnsi="Arial" w:cs="Arial"/>
        </w:rPr>
      </w:pPr>
      <w:r w:rsidRPr="00222705">
        <w:rPr>
          <w:rFonts w:ascii="Arial" w:hAnsi="Arial" w:cs="Arial"/>
          <w:shd w:val="clear" w:color="auto" w:fill="FFFFFF"/>
          <w:lang w:val="en-GB"/>
        </w:rPr>
        <w:lastRenderedPageBreak/>
        <w:t xml:space="preserve">Strauss, M., </w:t>
      </w:r>
      <w:proofErr w:type="spellStart"/>
      <w:r w:rsidRPr="00222705">
        <w:rPr>
          <w:rFonts w:ascii="Arial" w:hAnsi="Arial" w:cs="Arial"/>
          <w:shd w:val="clear" w:color="auto" w:fill="FFFFFF"/>
          <w:lang w:val="en-GB"/>
        </w:rPr>
        <w:t>Foshag</w:t>
      </w:r>
      <w:proofErr w:type="spellEnd"/>
      <w:r w:rsidRPr="00222705">
        <w:rPr>
          <w:rFonts w:ascii="Arial" w:hAnsi="Arial" w:cs="Arial"/>
          <w:shd w:val="clear" w:color="auto" w:fill="FFFFFF"/>
          <w:lang w:val="en-GB"/>
        </w:rPr>
        <w:t xml:space="preserve">, P., </w:t>
      </w:r>
      <w:proofErr w:type="spellStart"/>
      <w:r w:rsidRPr="00222705">
        <w:rPr>
          <w:rFonts w:ascii="Arial" w:hAnsi="Arial" w:cs="Arial"/>
          <w:shd w:val="clear" w:color="auto" w:fill="FFFFFF"/>
          <w:lang w:val="en-GB"/>
        </w:rPr>
        <w:t>Jehn</w:t>
      </w:r>
      <w:proofErr w:type="spellEnd"/>
      <w:r w:rsidRPr="00222705">
        <w:rPr>
          <w:rFonts w:ascii="Arial" w:hAnsi="Arial" w:cs="Arial"/>
          <w:shd w:val="clear" w:color="auto" w:fill="FFFFFF"/>
          <w:lang w:val="en-GB"/>
        </w:rPr>
        <w:t>, U., </w:t>
      </w:r>
      <w:proofErr w:type="spellStart"/>
      <w:r w:rsidRPr="00222705">
        <w:rPr>
          <w:rFonts w:ascii="Arial" w:hAnsi="Arial" w:cs="Arial"/>
          <w:shd w:val="clear" w:color="auto" w:fill="FFFFFF"/>
          <w:lang w:val="en-GB"/>
        </w:rPr>
        <w:t>Brzęk</w:t>
      </w:r>
      <w:proofErr w:type="spellEnd"/>
      <w:r w:rsidRPr="00222705">
        <w:rPr>
          <w:rFonts w:ascii="Arial" w:hAnsi="Arial" w:cs="Arial"/>
          <w:shd w:val="clear" w:color="auto" w:fill="FFFFFF"/>
          <w:lang w:val="en-GB"/>
        </w:rPr>
        <w:t>, A., </w:t>
      </w:r>
      <w:proofErr w:type="spellStart"/>
      <w:r w:rsidRPr="00222705">
        <w:rPr>
          <w:rFonts w:ascii="Arial" w:hAnsi="Arial" w:cs="Arial"/>
          <w:shd w:val="clear" w:color="auto" w:fill="FFFFFF"/>
          <w:lang w:val="en-GB"/>
        </w:rPr>
        <w:t>Littwitz</w:t>
      </w:r>
      <w:proofErr w:type="spellEnd"/>
      <w:r w:rsidRPr="00222705">
        <w:rPr>
          <w:rFonts w:ascii="Arial" w:hAnsi="Arial" w:cs="Arial"/>
          <w:shd w:val="clear" w:color="auto" w:fill="FFFFFF"/>
          <w:lang w:val="en-GB"/>
        </w:rPr>
        <w:t>, H. and </w:t>
      </w:r>
      <w:proofErr w:type="spellStart"/>
      <w:r w:rsidRPr="00222705">
        <w:rPr>
          <w:rFonts w:ascii="Arial" w:hAnsi="Arial" w:cs="Arial"/>
          <w:shd w:val="clear" w:color="auto" w:fill="FFFFFF"/>
          <w:lang w:val="en-GB"/>
        </w:rPr>
        <w:t>Leischik</w:t>
      </w:r>
      <w:proofErr w:type="spellEnd"/>
      <w:r w:rsidRPr="00222705">
        <w:rPr>
          <w:rFonts w:ascii="Arial" w:hAnsi="Arial" w:cs="Arial"/>
          <w:shd w:val="clear" w:color="auto" w:fill="FFFFFF"/>
          <w:lang w:val="en-GB"/>
        </w:rPr>
        <w:t>, R., 2021. Higher cardiorespiratory fitness is strongly associated with lower cardiovascular risk factors in firefighters: a cross-sectional study in a German fire brigade. </w:t>
      </w:r>
      <w:r w:rsidRPr="00222705">
        <w:rPr>
          <w:rFonts w:ascii="Arial" w:hAnsi="Arial" w:cs="Arial"/>
          <w:lang w:val="en-GB"/>
        </w:rPr>
        <w:t>Scientific reports</w:t>
      </w:r>
      <w:r w:rsidRPr="00222705">
        <w:rPr>
          <w:rFonts w:ascii="Arial" w:hAnsi="Arial" w:cs="Arial"/>
          <w:shd w:val="clear" w:color="auto" w:fill="FFFFFF"/>
          <w:lang w:val="en-GB"/>
        </w:rPr>
        <w:t>, </w:t>
      </w:r>
      <w:r w:rsidRPr="00222705">
        <w:rPr>
          <w:rFonts w:ascii="Arial" w:hAnsi="Arial" w:cs="Arial"/>
          <w:lang w:val="en-GB"/>
        </w:rPr>
        <w:t>11</w:t>
      </w:r>
      <w:r w:rsidRPr="00222705">
        <w:rPr>
          <w:rFonts w:ascii="Arial" w:hAnsi="Arial" w:cs="Arial"/>
          <w:shd w:val="clear" w:color="auto" w:fill="FFFFFF"/>
          <w:lang w:val="en-GB"/>
        </w:rPr>
        <w:t>(1), p.2445.</w:t>
      </w:r>
      <w:r w:rsidRPr="00222705">
        <w:rPr>
          <w:rFonts w:ascii="Arial" w:hAnsi="Arial" w:cs="Arial"/>
        </w:rPr>
        <w:t> </w:t>
      </w:r>
    </w:p>
    <w:p w14:paraId="1B68B3AA" w14:textId="77777777" w:rsidR="008D6288" w:rsidRPr="00222705" w:rsidRDefault="008D6288" w:rsidP="00EF007D">
      <w:pPr>
        <w:rPr>
          <w:rFonts w:ascii="Arial" w:hAnsi="Arial" w:cs="Arial"/>
        </w:rPr>
      </w:pPr>
    </w:p>
    <w:p w14:paraId="6934FA6F" w14:textId="77777777" w:rsidR="008F4D29" w:rsidRPr="00222705" w:rsidRDefault="008F4D29" w:rsidP="00EF007D">
      <w:pPr>
        <w:rPr>
          <w:rFonts w:ascii="Arial" w:eastAsia="Aptos" w:hAnsi="Arial" w:cs="Arial"/>
        </w:rPr>
      </w:pPr>
      <w:r w:rsidRPr="00222705">
        <w:rPr>
          <w:rFonts w:ascii="Arial" w:eastAsia="Aptos" w:hAnsi="Arial" w:cs="Arial"/>
        </w:rPr>
        <w:t xml:space="preserve">Stults-Kolehmainen, M.A., Bartholomew, J.B. and </w:t>
      </w:r>
      <w:proofErr w:type="spellStart"/>
      <w:r w:rsidRPr="00222705">
        <w:rPr>
          <w:rFonts w:ascii="Arial" w:eastAsia="Aptos" w:hAnsi="Arial" w:cs="Arial"/>
        </w:rPr>
        <w:t>Sinha</w:t>
      </w:r>
      <w:proofErr w:type="spellEnd"/>
      <w:r w:rsidRPr="00222705">
        <w:rPr>
          <w:rFonts w:ascii="Arial" w:eastAsia="Aptos" w:hAnsi="Arial" w:cs="Arial"/>
        </w:rPr>
        <w:t>, R., 2014. Chronic psychological stress impairs recovery of muscular function and somatic sensations over a 96-hour period. The Journal of Strength &amp; Conditioning Research, 28(7), pp.2007-2017.</w:t>
      </w:r>
    </w:p>
    <w:p w14:paraId="03311A20" w14:textId="77777777" w:rsidR="008D6288" w:rsidRPr="00222705" w:rsidRDefault="008D6288" w:rsidP="00EF007D">
      <w:pPr>
        <w:rPr>
          <w:rFonts w:ascii="Arial" w:eastAsia="Aptos" w:hAnsi="Arial" w:cs="Arial"/>
        </w:rPr>
      </w:pPr>
    </w:p>
    <w:p w14:paraId="3078556F" w14:textId="77777777" w:rsidR="008F4D29" w:rsidRPr="00222705" w:rsidRDefault="008F4D29" w:rsidP="00EF007D">
      <w:pPr>
        <w:rPr>
          <w:rFonts w:ascii="Arial" w:eastAsia="Aptos" w:hAnsi="Arial" w:cs="Arial"/>
          <w:lang w:val="en-GB"/>
        </w:rPr>
      </w:pPr>
      <w:r w:rsidRPr="00222705">
        <w:rPr>
          <w:rFonts w:ascii="Arial" w:eastAsia="Aptos" w:hAnsi="Arial" w:cs="Arial"/>
          <w:lang w:val="en-GB"/>
        </w:rPr>
        <w:t xml:space="preserve">Subodh, V. and Chao-HW, S.H., 2002. A </w:t>
      </w:r>
      <w:proofErr w:type="spellStart"/>
      <w:r w:rsidRPr="00222705">
        <w:rPr>
          <w:rFonts w:ascii="Arial" w:eastAsia="Aptos" w:hAnsi="Arial" w:cs="Arial"/>
          <w:lang w:val="en-GB"/>
        </w:rPr>
        <w:t>self-fulfdling</w:t>
      </w:r>
      <w:proofErr w:type="spellEnd"/>
      <w:r w:rsidRPr="00222705">
        <w:rPr>
          <w:rFonts w:ascii="Arial" w:eastAsia="Aptos" w:hAnsi="Arial" w:cs="Arial"/>
          <w:lang w:val="en-GB"/>
        </w:rPr>
        <w:t xml:space="preserve"> prophecy: CRP attenuates nitric oxide production and inhibits </w:t>
      </w:r>
      <w:proofErr w:type="spellStart"/>
      <w:r w:rsidRPr="00222705">
        <w:rPr>
          <w:rFonts w:ascii="Arial" w:eastAsia="Aptos" w:hAnsi="Arial" w:cs="Arial"/>
          <w:lang w:val="en-GB"/>
        </w:rPr>
        <w:t>anglogenesis</w:t>
      </w:r>
      <w:proofErr w:type="spellEnd"/>
      <w:r w:rsidRPr="00222705">
        <w:rPr>
          <w:rFonts w:ascii="Arial" w:eastAsia="Aptos" w:hAnsi="Arial" w:cs="Arial"/>
          <w:lang w:val="en-GB"/>
        </w:rPr>
        <w:t>. </w:t>
      </w:r>
      <w:proofErr w:type="spellStart"/>
      <w:r w:rsidRPr="00222705">
        <w:rPr>
          <w:rFonts w:ascii="Arial" w:eastAsia="Aptos" w:hAnsi="Arial" w:cs="Arial"/>
          <w:lang w:val="en-GB"/>
        </w:rPr>
        <w:t>Circula-tion</w:t>
      </w:r>
      <w:proofErr w:type="spellEnd"/>
      <w:r w:rsidRPr="00222705">
        <w:rPr>
          <w:rFonts w:ascii="Arial" w:eastAsia="Aptos" w:hAnsi="Arial" w:cs="Arial"/>
          <w:lang w:val="en-GB"/>
        </w:rPr>
        <w:t xml:space="preserve"> J, 106(10), p.913.</w:t>
      </w:r>
    </w:p>
    <w:p w14:paraId="30A38885" w14:textId="77777777" w:rsidR="008D6288" w:rsidRPr="00222705" w:rsidRDefault="008D6288" w:rsidP="00EF007D">
      <w:pPr>
        <w:rPr>
          <w:rFonts w:ascii="Arial" w:eastAsia="Aptos" w:hAnsi="Arial" w:cs="Arial"/>
          <w:lang w:val="en-GB"/>
        </w:rPr>
      </w:pPr>
    </w:p>
    <w:p w14:paraId="13724663"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Suminski, R.R., Poston, W.S., Day, R.S., Jitnarin, N., Haddock, C.K., Jahnke, S.A. and Dominick, G.M., 2019. Steady state hydration levels of career firefighters in a large, population-based sample. </w:t>
      </w:r>
      <w:r w:rsidRPr="00222705">
        <w:rPr>
          <w:rFonts w:ascii="Arial" w:hAnsi="Arial" w:cs="Arial"/>
        </w:rPr>
        <w:t>Journal of Occupational and Environmental Medicine</w:t>
      </w:r>
      <w:r w:rsidRPr="00222705">
        <w:rPr>
          <w:rFonts w:ascii="Arial" w:hAnsi="Arial" w:cs="Arial"/>
          <w:shd w:val="clear" w:color="auto" w:fill="FFFFFF"/>
        </w:rPr>
        <w:t>, </w:t>
      </w:r>
      <w:r w:rsidRPr="00222705">
        <w:rPr>
          <w:rFonts w:ascii="Arial" w:hAnsi="Arial" w:cs="Arial"/>
        </w:rPr>
        <w:t>61</w:t>
      </w:r>
      <w:r w:rsidRPr="00222705">
        <w:rPr>
          <w:rFonts w:ascii="Arial" w:hAnsi="Arial" w:cs="Arial"/>
          <w:shd w:val="clear" w:color="auto" w:fill="FFFFFF"/>
        </w:rPr>
        <w:t>(1), pp.47-50.</w:t>
      </w:r>
    </w:p>
    <w:p w14:paraId="331B1283" w14:textId="77777777" w:rsidR="008D6288" w:rsidRPr="00222705" w:rsidRDefault="008D6288" w:rsidP="00EF007D">
      <w:pPr>
        <w:rPr>
          <w:rFonts w:ascii="Arial" w:hAnsi="Arial" w:cs="Arial"/>
          <w:shd w:val="clear" w:color="auto" w:fill="FFFFFF"/>
        </w:rPr>
      </w:pPr>
    </w:p>
    <w:p w14:paraId="22030D3F" w14:textId="258E57B3" w:rsidR="008F4D29" w:rsidRPr="00222705" w:rsidRDefault="008F4D29" w:rsidP="00EF007D">
      <w:pPr>
        <w:rPr>
          <w:rFonts w:ascii="Arial" w:hAnsi="Arial" w:cs="Arial"/>
        </w:rPr>
      </w:pPr>
      <w:r w:rsidRPr="00222705">
        <w:rPr>
          <w:rFonts w:ascii="Arial" w:hAnsi="Arial" w:cs="Arial"/>
        </w:rPr>
        <w:t xml:space="preserve">Swiston, J.R., Davidson, W., </w:t>
      </w:r>
      <w:proofErr w:type="spellStart"/>
      <w:r w:rsidRPr="00222705">
        <w:rPr>
          <w:rFonts w:ascii="Arial" w:hAnsi="Arial" w:cs="Arial"/>
        </w:rPr>
        <w:t>Attridge</w:t>
      </w:r>
      <w:proofErr w:type="spellEnd"/>
      <w:r w:rsidRPr="00222705">
        <w:rPr>
          <w:rFonts w:ascii="Arial" w:hAnsi="Arial" w:cs="Arial"/>
        </w:rPr>
        <w:t xml:space="preserve">, S., Li, G.T., Brauer, M. and van </w:t>
      </w:r>
      <w:proofErr w:type="spellStart"/>
      <w:r w:rsidRPr="00222705">
        <w:rPr>
          <w:rFonts w:ascii="Arial" w:hAnsi="Arial" w:cs="Arial"/>
        </w:rPr>
        <w:t>Eeden</w:t>
      </w:r>
      <w:proofErr w:type="spellEnd"/>
      <w:r w:rsidRPr="00222705">
        <w:rPr>
          <w:rFonts w:ascii="Arial" w:hAnsi="Arial" w:cs="Arial"/>
        </w:rPr>
        <w:t>, S.F., 2008. Wood smoke exposure induces a pulmonary and systemic inflammatory response in firefighters. European respiratory journal, 32(1), pp.129-138.</w:t>
      </w:r>
    </w:p>
    <w:p w14:paraId="03F73F6F" w14:textId="77777777" w:rsidR="008D6288" w:rsidRPr="00222705" w:rsidRDefault="008D6288" w:rsidP="00EF007D">
      <w:pPr>
        <w:rPr>
          <w:rFonts w:ascii="Arial" w:hAnsi="Arial" w:cs="Arial"/>
          <w:shd w:val="clear" w:color="auto" w:fill="FFFFFF"/>
        </w:rPr>
      </w:pPr>
    </w:p>
    <w:p w14:paraId="67309FC7"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Tan, B.L., </w:t>
      </w:r>
      <w:proofErr w:type="spellStart"/>
      <w:r w:rsidRPr="00222705">
        <w:rPr>
          <w:rFonts w:ascii="Arial" w:eastAsia="Times New Roman" w:hAnsi="Arial" w:cs="Arial"/>
          <w:kern w:val="0"/>
          <w14:ligatures w14:val="none"/>
        </w:rPr>
        <w:t>Norhaizan</w:t>
      </w:r>
      <w:proofErr w:type="spellEnd"/>
      <w:r w:rsidRPr="00222705">
        <w:rPr>
          <w:rFonts w:ascii="Arial" w:eastAsia="Times New Roman" w:hAnsi="Arial" w:cs="Arial"/>
          <w:kern w:val="0"/>
          <w14:ligatures w14:val="none"/>
        </w:rPr>
        <w:t xml:space="preserve">, M.E. and </w:t>
      </w:r>
      <w:proofErr w:type="spellStart"/>
      <w:r w:rsidRPr="00222705">
        <w:rPr>
          <w:rFonts w:ascii="Arial" w:eastAsia="Times New Roman" w:hAnsi="Arial" w:cs="Arial"/>
          <w:kern w:val="0"/>
          <w14:ligatures w14:val="none"/>
        </w:rPr>
        <w:t>Liew</w:t>
      </w:r>
      <w:proofErr w:type="spellEnd"/>
      <w:r w:rsidRPr="00222705">
        <w:rPr>
          <w:rFonts w:ascii="Arial" w:eastAsia="Times New Roman" w:hAnsi="Arial" w:cs="Arial"/>
          <w:kern w:val="0"/>
          <w14:ligatures w14:val="none"/>
        </w:rPr>
        <w:t>, W.P.P., 2018. Nutrients and oxidative stress: friend or foe?.Oxidative medicine and cellular longevity, 2018(1), p.9719584. </w:t>
      </w:r>
    </w:p>
    <w:p w14:paraId="585E330C" w14:textId="77777777" w:rsidR="009E20D5" w:rsidRPr="00222705" w:rsidRDefault="009E20D5" w:rsidP="00EF007D">
      <w:pPr>
        <w:rPr>
          <w:rFonts w:ascii="Arial" w:eastAsia="Times New Roman" w:hAnsi="Arial" w:cs="Arial"/>
          <w:kern w:val="0"/>
          <w14:ligatures w14:val="none"/>
        </w:rPr>
      </w:pPr>
    </w:p>
    <w:p w14:paraId="4F6E83D0" w14:textId="77777777" w:rsidR="008F4D29" w:rsidRPr="00222705" w:rsidRDefault="008F4D29" w:rsidP="00EF007D">
      <w:pPr>
        <w:rPr>
          <w:rFonts w:ascii="Arial" w:hAnsi="Arial" w:cs="Arial"/>
        </w:rPr>
      </w:pPr>
      <w:bookmarkStart w:id="87" w:name="OLE_LINK63"/>
      <w:r w:rsidRPr="00222705">
        <w:rPr>
          <w:rFonts w:ascii="Arial" w:hAnsi="Arial" w:cs="Arial"/>
        </w:rPr>
        <w:t xml:space="preserve">Taylor, H.A., </w:t>
      </w:r>
      <w:proofErr w:type="spellStart"/>
      <w:r w:rsidRPr="00222705">
        <w:rPr>
          <w:rFonts w:ascii="Arial" w:hAnsi="Arial" w:cs="Arial"/>
        </w:rPr>
        <w:t>Finkel</w:t>
      </w:r>
      <w:proofErr w:type="spellEnd"/>
      <w:r w:rsidRPr="00222705">
        <w:rPr>
          <w:rFonts w:ascii="Arial" w:hAnsi="Arial" w:cs="Arial"/>
        </w:rPr>
        <w:t xml:space="preserve">, T., </w:t>
      </w:r>
      <w:proofErr w:type="spellStart"/>
      <w:r w:rsidRPr="00222705">
        <w:rPr>
          <w:rFonts w:ascii="Arial" w:hAnsi="Arial" w:cs="Arial"/>
        </w:rPr>
        <w:t>Gao</w:t>
      </w:r>
      <w:proofErr w:type="spellEnd"/>
      <w:r w:rsidRPr="00222705">
        <w:rPr>
          <w:rFonts w:ascii="Arial" w:hAnsi="Arial" w:cs="Arial"/>
        </w:rPr>
        <w:t xml:space="preserve">, Y., Ballinger, S.W., Campo, R., Chen, R., Chen, S.H., Davidson, K., </w:t>
      </w:r>
      <w:proofErr w:type="spellStart"/>
      <w:r w:rsidRPr="00222705">
        <w:rPr>
          <w:rFonts w:ascii="Arial" w:hAnsi="Arial" w:cs="Arial"/>
        </w:rPr>
        <w:t>Iruela-Arispe</w:t>
      </w:r>
      <w:proofErr w:type="spellEnd"/>
      <w:r w:rsidRPr="00222705">
        <w:rPr>
          <w:rFonts w:ascii="Arial" w:hAnsi="Arial" w:cs="Arial"/>
        </w:rPr>
        <w:t xml:space="preserve">, M.L., </w:t>
      </w:r>
      <w:proofErr w:type="spellStart"/>
      <w:r w:rsidRPr="00222705">
        <w:rPr>
          <w:rFonts w:ascii="Arial" w:hAnsi="Arial" w:cs="Arial"/>
        </w:rPr>
        <w:t>Jaquish</w:t>
      </w:r>
      <w:proofErr w:type="spellEnd"/>
      <w:r w:rsidRPr="00222705">
        <w:rPr>
          <w:rFonts w:ascii="Arial" w:hAnsi="Arial" w:cs="Arial"/>
        </w:rPr>
        <w:t xml:space="preserve">, C. and </w:t>
      </w:r>
      <w:proofErr w:type="spellStart"/>
      <w:r w:rsidRPr="00222705">
        <w:rPr>
          <w:rFonts w:ascii="Arial" w:hAnsi="Arial" w:cs="Arial"/>
        </w:rPr>
        <w:t>LeBrasseur</w:t>
      </w:r>
      <w:proofErr w:type="spellEnd"/>
      <w:r w:rsidRPr="00222705">
        <w:rPr>
          <w:rFonts w:ascii="Arial" w:hAnsi="Arial" w:cs="Arial"/>
        </w:rPr>
        <w:t>, N.K., 2022. Scientific opportunities in resilience research for cardiovascular health and wellness. Report from a National Heart, Lung, and Blood Institute workshop. FASEB journal: official publication of the Federation of American Societies for Experimental Biology, 36(12), p.e22639.</w:t>
      </w:r>
    </w:p>
    <w:p w14:paraId="17A4C3D2" w14:textId="77777777" w:rsidR="009E20D5" w:rsidRPr="00222705" w:rsidRDefault="009E20D5" w:rsidP="00EF007D">
      <w:pPr>
        <w:rPr>
          <w:rFonts w:ascii="Arial" w:hAnsi="Arial" w:cs="Arial"/>
        </w:rPr>
      </w:pPr>
    </w:p>
    <w:bookmarkEnd w:id="87"/>
    <w:p w14:paraId="5DC39954" w14:textId="77777777" w:rsidR="008F4D29" w:rsidRPr="00222705" w:rsidRDefault="008F4D29" w:rsidP="00EF007D">
      <w:pPr>
        <w:rPr>
          <w:rFonts w:ascii="Arial" w:hAnsi="Arial" w:cs="Arial"/>
        </w:rPr>
      </w:pPr>
      <w:r w:rsidRPr="00222705">
        <w:rPr>
          <w:rFonts w:ascii="Arial" w:hAnsi="Arial" w:cs="Arial"/>
          <w:shd w:val="clear" w:color="auto" w:fill="FFFFFF"/>
          <w:lang w:val="en-GB"/>
        </w:rPr>
        <w:t>Thanassoulis, G., </w:t>
      </w:r>
      <w:proofErr w:type="spellStart"/>
      <w:r w:rsidRPr="00222705">
        <w:rPr>
          <w:rFonts w:ascii="Arial" w:hAnsi="Arial" w:cs="Arial"/>
          <w:shd w:val="clear" w:color="auto" w:fill="FFFFFF"/>
          <w:lang w:val="en-GB"/>
        </w:rPr>
        <w:t>Lyass</w:t>
      </w:r>
      <w:proofErr w:type="spellEnd"/>
      <w:r w:rsidRPr="00222705">
        <w:rPr>
          <w:rFonts w:ascii="Arial" w:hAnsi="Arial" w:cs="Arial"/>
          <w:shd w:val="clear" w:color="auto" w:fill="FFFFFF"/>
          <w:lang w:val="en-GB"/>
        </w:rPr>
        <w:t>, A., Benjamin, E.J., Larson, M.G., Vita, J.A., Levy, D., Hamburg, N.M., </w:t>
      </w:r>
      <w:proofErr w:type="spellStart"/>
      <w:r w:rsidRPr="00222705">
        <w:rPr>
          <w:rFonts w:ascii="Arial" w:hAnsi="Arial" w:cs="Arial"/>
          <w:shd w:val="clear" w:color="auto" w:fill="FFFFFF"/>
          <w:lang w:val="en-GB"/>
        </w:rPr>
        <w:t>Widlansky</w:t>
      </w:r>
      <w:proofErr w:type="spellEnd"/>
      <w:r w:rsidRPr="00222705">
        <w:rPr>
          <w:rFonts w:ascii="Arial" w:hAnsi="Arial" w:cs="Arial"/>
          <w:shd w:val="clear" w:color="auto" w:fill="FFFFFF"/>
          <w:lang w:val="en-GB"/>
        </w:rPr>
        <w:t xml:space="preserve">, M.E., O'Donnell, C.J., Mitchell, G.F. and </w:t>
      </w:r>
      <w:proofErr w:type="spellStart"/>
      <w:r w:rsidRPr="00222705">
        <w:rPr>
          <w:rFonts w:ascii="Arial" w:hAnsi="Arial" w:cs="Arial"/>
          <w:shd w:val="clear" w:color="auto" w:fill="FFFFFF"/>
          <w:lang w:val="en-GB"/>
        </w:rPr>
        <w:t>Vasan</w:t>
      </w:r>
      <w:proofErr w:type="spellEnd"/>
      <w:r w:rsidRPr="00222705">
        <w:rPr>
          <w:rFonts w:ascii="Arial" w:hAnsi="Arial" w:cs="Arial"/>
          <w:shd w:val="clear" w:color="auto" w:fill="FFFFFF"/>
          <w:lang w:val="en-GB"/>
        </w:rPr>
        <w:t xml:space="preserve">, R.S., 2012. </w:t>
      </w:r>
      <w:r w:rsidRPr="00222705">
        <w:rPr>
          <w:rFonts w:ascii="Arial" w:hAnsi="Arial" w:cs="Arial"/>
          <w:shd w:val="clear" w:color="auto" w:fill="FFFFFF"/>
          <w:lang w:val="en-GB"/>
        </w:rPr>
        <w:lastRenderedPageBreak/>
        <w:t>Relations of exercise blood pressure response to cardiovascular risk factors and vascular function in the Framingham Heart Study. </w:t>
      </w:r>
      <w:r w:rsidRPr="00222705">
        <w:rPr>
          <w:rFonts w:ascii="Arial" w:hAnsi="Arial" w:cs="Arial"/>
          <w:lang w:val="en-GB"/>
        </w:rPr>
        <w:t>Circulation</w:t>
      </w:r>
      <w:r w:rsidRPr="00222705">
        <w:rPr>
          <w:rFonts w:ascii="Arial" w:hAnsi="Arial" w:cs="Arial"/>
          <w:shd w:val="clear" w:color="auto" w:fill="FFFFFF"/>
          <w:lang w:val="en-GB"/>
        </w:rPr>
        <w:t>, </w:t>
      </w:r>
      <w:r w:rsidRPr="00222705">
        <w:rPr>
          <w:rFonts w:ascii="Arial" w:hAnsi="Arial" w:cs="Arial"/>
          <w:lang w:val="en-GB"/>
        </w:rPr>
        <w:t>125</w:t>
      </w:r>
      <w:r w:rsidRPr="00222705">
        <w:rPr>
          <w:rFonts w:ascii="Arial" w:hAnsi="Arial" w:cs="Arial"/>
          <w:shd w:val="clear" w:color="auto" w:fill="FFFFFF"/>
          <w:lang w:val="en-GB"/>
        </w:rPr>
        <w:t>(23), pp.2836-2843.</w:t>
      </w:r>
      <w:r w:rsidRPr="00222705">
        <w:rPr>
          <w:rFonts w:ascii="Arial" w:hAnsi="Arial" w:cs="Arial"/>
        </w:rPr>
        <w:t> </w:t>
      </w:r>
    </w:p>
    <w:p w14:paraId="729710D2" w14:textId="77777777" w:rsidR="009E20D5" w:rsidRPr="00222705" w:rsidRDefault="009E20D5" w:rsidP="00EF007D">
      <w:pPr>
        <w:rPr>
          <w:rFonts w:ascii="Arial" w:hAnsi="Arial" w:cs="Arial"/>
        </w:rPr>
      </w:pPr>
    </w:p>
    <w:p w14:paraId="33DE1265" w14:textId="77777777" w:rsidR="008F4D29" w:rsidRPr="00222705" w:rsidRDefault="008F4D29" w:rsidP="00EF007D">
      <w:pPr>
        <w:rPr>
          <w:rFonts w:ascii="Arial" w:hAnsi="Arial" w:cs="Arial"/>
        </w:rPr>
      </w:pPr>
      <w:bookmarkStart w:id="88" w:name="OLE_LINK89"/>
      <w:r w:rsidRPr="00222705">
        <w:rPr>
          <w:rFonts w:ascii="Arial" w:hAnsi="Arial" w:cs="Arial"/>
        </w:rPr>
        <w:t xml:space="preserve">Thayer, J.F., Hansen, A.L., </w:t>
      </w:r>
      <w:proofErr w:type="spellStart"/>
      <w:r w:rsidRPr="00222705">
        <w:rPr>
          <w:rFonts w:ascii="Arial" w:hAnsi="Arial" w:cs="Arial"/>
        </w:rPr>
        <w:t>Saus-Rose</w:t>
      </w:r>
      <w:proofErr w:type="spellEnd"/>
      <w:r w:rsidRPr="00222705">
        <w:rPr>
          <w:rFonts w:ascii="Arial" w:hAnsi="Arial" w:cs="Arial"/>
        </w:rPr>
        <w:t xml:space="preserve">, E. and </w:t>
      </w:r>
      <w:proofErr w:type="spellStart"/>
      <w:r w:rsidRPr="00222705">
        <w:rPr>
          <w:rFonts w:ascii="Arial" w:hAnsi="Arial" w:cs="Arial"/>
        </w:rPr>
        <w:t>Johnsen</w:t>
      </w:r>
      <w:proofErr w:type="spellEnd"/>
      <w:r w:rsidRPr="00222705">
        <w:rPr>
          <w:rFonts w:ascii="Arial" w:hAnsi="Arial" w:cs="Arial"/>
        </w:rPr>
        <w:t xml:space="preserve">, B.H., 2009. Heart rate variability, prefrontal neural function, and cognitive performance: the </w:t>
      </w:r>
      <w:proofErr w:type="spellStart"/>
      <w:r w:rsidRPr="00222705">
        <w:rPr>
          <w:rFonts w:ascii="Arial" w:hAnsi="Arial" w:cs="Arial"/>
        </w:rPr>
        <w:t>neurovisceral</w:t>
      </w:r>
      <w:proofErr w:type="spellEnd"/>
      <w:r w:rsidRPr="00222705">
        <w:rPr>
          <w:rFonts w:ascii="Arial" w:hAnsi="Arial" w:cs="Arial"/>
        </w:rPr>
        <w:t xml:space="preserve"> integration perspective on self-regulation, adaptation, and health. Annals of behavioral medicine, 37(2), pp.141-153.</w:t>
      </w:r>
    </w:p>
    <w:p w14:paraId="7E46B230" w14:textId="77777777" w:rsidR="009E20D5" w:rsidRPr="00222705" w:rsidRDefault="009E20D5" w:rsidP="00EF007D">
      <w:pPr>
        <w:rPr>
          <w:rFonts w:ascii="Arial" w:hAnsi="Arial" w:cs="Arial"/>
        </w:rPr>
      </w:pPr>
    </w:p>
    <w:bookmarkEnd w:id="88"/>
    <w:p w14:paraId="69746F3A" w14:textId="77777777" w:rsidR="008F4D29" w:rsidRPr="00222705" w:rsidRDefault="008F4D29" w:rsidP="00EF007D">
      <w:pPr>
        <w:rPr>
          <w:rFonts w:ascii="Arial" w:hAnsi="Arial" w:cs="Arial"/>
        </w:rPr>
      </w:pPr>
      <w:r w:rsidRPr="00222705">
        <w:rPr>
          <w:rFonts w:ascii="Arial" w:hAnsi="Arial" w:cs="Arial"/>
        </w:rPr>
        <w:t xml:space="preserve">Thomas, D.T., </w:t>
      </w:r>
      <w:proofErr w:type="spellStart"/>
      <w:r w:rsidRPr="00222705">
        <w:rPr>
          <w:rFonts w:ascii="Arial" w:hAnsi="Arial" w:cs="Arial"/>
        </w:rPr>
        <w:t>Erdman</w:t>
      </w:r>
      <w:proofErr w:type="spellEnd"/>
      <w:r w:rsidRPr="00222705">
        <w:rPr>
          <w:rFonts w:ascii="Arial" w:hAnsi="Arial" w:cs="Arial"/>
        </w:rPr>
        <w:t>, K.A. and Burke, L.M., 2016. Position of the Academy of Nutrition and Dietetics, Dietitians of Canada, and the American College of Sports Medicine: nutrition and athletic performance. Journal of the Academy of Nutrition and Dietetics, 116(3), pp.501-528.</w:t>
      </w:r>
    </w:p>
    <w:p w14:paraId="065B7A4F" w14:textId="77777777" w:rsidR="009E20D5" w:rsidRPr="00222705" w:rsidRDefault="009E20D5" w:rsidP="00EF007D">
      <w:pPr>
        <w:rPr>
          <w:rFonts w:ascii="Arial" w:hAnsi="Arial" w:cs="Arial"/>
        </w:rPr>
      </w:pPr>
    </w:p>
    <w:p w14:paraId="32DBE94D"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 xml:space="preserve">Thompson, A.G., Swain, D.P., Branch, J.D., Spina, R.J. and </w:t>
      </w:r>
      <w:proofErr w:type="spellStart"/>
      <w:r w:rsidRPr="00222705">
        <w:rPr>
          <w:rFonts w:ascii="Arial" w:hAnsi="Arial" w:cs="Arial"/>
          <w:shd w:val="clear" w:color="auto" w:fill="FFFFFF"/>
        </w:rPr>
        <w:t>Grieco</w:t>
      </w:r>
      <w:proofErr w:type="spellEnd"/>
      <w:r w:rsidRPr="00222705">
        <w:rPr>
          <w:rFonts w:ascii="Arial" w:hAnsi="Arial" w:cs="Arial"/>
          <w:shd w:val="clear" w:color="auto" w:fill="FFFFFF"/>
        </w:rPr>
        <w:t>, C.R., 2015. Autonomic response to tactical pistol performance measured by heart rate variability. </w:t>
      </w:r>
      <w:r w:rsidRPr="00222705">
        <w:rPr>
          <w:rFonts w:ascii="Arial" w:hAnsi="Arial" w:cs="Arial"/>
        </w:rPr>
        <w:t>The Journal of Strength &amp; Conditioning Research</w:t>
      </w:r>
      <w:r w:rsidRPr="00222705">
        <w:rPr>
          <w:rFonts w:ascii="Arial" w:hAnsi="Arial" w:cs="Arial"/>
          <w:shd w:val="clear" w:color="auto" w:fill="FFFFFF"/>
        </w:rPr>
        <w:t>, </w:t>
      </w:r>
      <w:r w:rsidRPr="00222705">
        <w:rPr>
          <w:rFonts w:ascii="Arial" w:hAnsi="Arial" w:cs="Arial"/>
        </w:rPr>
        <w:t>29</w:t>
      </w:r>
      <w:r w:rsidRPr="00222705">
        <w:rPr>
          <w:rFonts w:ascii="Arial" w:hAnsi="Arial" w:cs="Arial"/>
          <w:shd w:val="clear" w:color="auto" w:fill="FFFFFF"/>
        </w:rPr>
        <w:t>(4), pp.926-933.</w:t>
      </w:r>
    </w:p>
    <w:p w14:paraId="66BA3C2A" w14:textId="77777777" w:rsidR="009A5A54" w:rsidRPr="00222705" w:rsidRDefault="009A5A54" w:rsidP="00EF007D">
      <w:pPr>
        <w:rPr>
          <w:rFonts w:ascii="Arial" w:hAnsi="Arial" w:cs="Arial"/>
          <w:shd w:val="clear" w:color="auto" w:fill="FFFFFF"/>
        </w:rPr>
      </w:pPr>
    </w:p>
    <w:p w14:paraId="3991F1A9" w14:textId="77777777" w:rsidR="008F4D29" w:rsidRPr="00222705" w:rsidRDefault="008F4D29" w:rsidP="00EF007D">
      <w:pPr>
        <w:rPr>
          <w:rFonts w:ascii="Arial" w:hAnsi="Arial" w:cs="Arial"/>
        </w:rPr>
      </w:pPr>
      <w:r w:rsidRPr="00222705">
        <w:rPr>
          <w:rFonts w:ascii="Arial" w:hAnsi="Arial" w:cs="Arial"/>
        </w:rPr>
        <w:t xml:space="preserve">Tierney, M.T., </w:t>
      </w:r>
      <w:proofErr w:type="spellStart"/>
      <w:r w:rsidRPr="00222705">
        <w:rPr>
          <w:rFonts w:ascii="Arial" w:hAnsi="Arial" w:cs="Arial"/>
        </w:rPr>
        <w:t>Lenar</w:t>
      </w:r>
      <w:proofErr w:type="spellEnd"/>
      <w:r w:rsidRPr="00222705">
        <w:rPr>
          <w:rFonts w:ascii="Arial" w:hAnsi="Arial" w:cs="Arial"/>
        </w:rPr>
        <w:t xml:space="preserve">, D., </w:t>
      </w:r>
      <w:proofErr w:type="spellStart"/>
      <w:r w:rsidRPr="00222705">
        <w:rPr>
          <w:rFonts w:ascii="Arial" w:hAnsi="Arial" w:cs="Arial"/>
        </w:rPr>
        <w:t>Stanforth</w:t>
      </w:r>
      <w:proofErr w:type="spellEnd"/>
      <w:r w:rsidRPr="00222705">
        <w:rPr>
          <w:rFonts w:ascii="Arial" w:hAnsi="Arial" w:cs="Arial"/>
        </w:rPr>
        <w:t xml:space="preserve">, P.R., Craig, J.N. and </w:t>
      </w:r>
      <w:proofErr w:type="spellStart"/>
      <w:r w:rsidRPr="00222705">
        <w:rPr>
          <w:rFonts w:ascii="Arial" w:hAnsi="Arial" w:cs="Arial"/>
        </w:rPr>
        <w:t>Farrar</w:t>
      </w:r>
      <w:proofErr w:type="spellEnd"/>
      <w:r w:rsidRPr="00222705">
        <w:rPr>
          <w:rFonts w:ascii="Arial" w:hAnsi="Arial" w:cs="Arial"/>
        </w:rPr>
        <w:t xml:space="preserve">, R.P., 2010. Prediction of aerobic capacity in firefighters using submaximal treadmill and </w:t>
      </w:r>
      <w:proofErr w:type="spellStart"/>
      <w:r w:rsidRPr="00222705">
        <w:rPr>
          <w:rFonts w:ascii="Arial" w:hAnsi="Arial" w:cs="Arial"/>
        </w:rPr>
        <w:t>stairmill</w:t>
      </w:r>
      <w:proofErr w:type="spellEnd"/>
      <w:r w:rsidRPr="00222705">
        <w:rPr>
          <w:rFonts w:ascii="Arial" w:hAnsi="Arial" w:cs="Arial"/>
        </w:rPr>
        <w:t xml:space="preserve"> protocols. The Journal of Strength &amp; Conditioning Research, 24(3), pp.757-764.</w:t>
      </w:r>
    </w:p>
    <w:p w14:paraId="34161BF4" w14:textId="77777777" w:rsidR="009E20D5" w:rsidRPr="00222705" w:rsidRDefault="009E20D5" w:rsidP="00EF007D">
      <w:pPr>
        <w:rPr>
          <w:rFonts w:ascii="Arial" w:hAnsi="Arial" w:cs="Arial"/>
        </w:rPr>
      </w:pPr>
    </w:p>
    <w:p w14:paraId="2EF0AD33" w14:textId="77777777" w:rsidR="008F4D29" w:rsidRPr="00222705" w:rsidRDefault="008F4D29" w:rsidP="00EF007D">
      <w:pPr>
        <w:rPr>
          <w:rFonts w:ascii="Arial" w:eastAsiaTheme="minorEastAsia" w:hAnsi="Arial" w:cs="Arial"/>
          <w:kern w:val="0"/>
          <w:lang w:val="en-GB" w:eastAsia="en-GB"/>
          <w14:ligatures w14:val="none"/>
        </w:rPr>
      </w:pPr>
      <w:r w:rsidRPr="00222705">
        <w:rPr>
          <w:rFonts w:ascii="Arial" w:eastAsiaTheme="minorEastAsia" w:hAnsi="Arial" w:cs="Arial"/>
          <w:kern w:val="0"/>
          <w:lang w:val="en-GB" w:eastAsia="en-GB"/>
          <w14:ligatures w14:val="none"/>
        </w:rPr>
        <w:t xml:space="preserve">Tinning, R. and Fitzpatrick, K. (2012) ‘Thinking about research frameworks’, in Armour, K. and </w:t>
      </w:r>
      <w:proofErr w:type="spellStart"/>
      <w:r w:rsidRPr="00222705">
        <w:rPr>
          <w:rFonts w:ascii="Arial" w:eastAsiaTheme="minorEastAsia" w:hAnsi="Arial" w:cs="Arial"/>
          <w:kern w:val="0"/>
          <w:lang w:val="en-GB" w:eastAsia="en-GB"/>
          <w14:ligatures w14:val="none"/>
        </w:rPr>
        <w:t>Macdonald</w:t>
      </w:r>
      <w:proofErr w:type="spellEnd"/>
      <w:r w:rsidRPr="00222705">
        <w:rPr>
          <w:rFonts w:ascii="Arial" w:eastAsiaTheme="minorEastAsia" w:hAnsi="Arial" w:cs="Arial"/>
          <w:kern w:val="0"/>
          <w:lang w:val="en-GB" w:eastAsia="en-GB"/>
          <w14:ligatures w14:val="none"/>
        </w:rPr>
        <w:t xml:space="preserve">, D. (eds.) Research Methods in Physical Education and Youth Sport. London: </w:t>
      </w:r>
      <w:proofErr w:type="spellStart"/>
      <w:r w:rsidRPr="00222705">
        <w:rPr>
          <w:rFonts w:ascii="Arial" w:eastAsiaTheme="minorEastAsia" w:hAnsi="Arial" w:cs="Arial"/>
          <w:kern w:val="0"/>
          <w:lang w:val="en-GB" w:eastAsia="en-GB"/>
          <w14:ligatures w14:val="none"/>
        </w:rPr>
        <w:t>Routledge</w:t>
      </w:r>
      <w:proofErr w:type="spellEnd"/>
      <w:r w:rsidRPr="00222705">
        <w:rPr>
          <w:rFonts w:ascii="Arial" w:eastAsiaTheme="minorEastAsia" w:hAnsi="Arial" w:cs="Arial"/>
          <w:kern w:val="0"/>
          <w:lang w:val="en-GB" w:eastAsia="en-GB"/>
          <w14:ligatures w14:val="none"/>
        </w:rPr>
        <w:t>, pp. 53–65.</w:t>
      </w:r>
    </w:p>
    <w:p w14:paraId="2DCE38B8" w14:textId="77777777" w:rsidR="009E20D5" w:rsidRPr="00222705" w:rsidRDefault="009E20D5" w:rsidP="00EF007D">
      <w:pPr>
        <w:rPr>
          <w:rFonts w:ascii="Arial" w:eastAsiaTheme="minorEastAsia" w:hAnsi="Arial" w:cs="Arial"/>
          <w:kern w:val="0"/>
          <w:lang w:val="en-GB" w:eastAsia="en-GB"/>
          <w14:ligatures w14:val="none"/>
        </w:rPr>
      </w:pPr>
    </w:p>
    <w:p w14:paraId="623137F8" w14:textId="77777777" w:rsidR="008F4D29" w:rsidRPr="00222705" w:rsidRDefault="008F4D29" w:rsidP="00EF007D">
      <w:pPr>
        <w:rPr>
          <w:rFonts w:ascii="Arial" w:eastAsia="Times New Roman" w:hAnsi="Arial" w:cs="Arial"/>
          <w:color w:val="000000" w:themeColor="text1"/>
          <w:kern w:val="0"/>
          <w14:ligatures w14:val="none"/>
        </w:rPr>
      </w:pPr>
      <w:r w:rsidRPr="00222705">
        <w:rPr>
          <w:rFonts w:ascii="Arial" w:eastAsia="Times New Roman" w:hAnsi="Arial" w:cs="Arial"/>
          <w:color w:val="000000" w:themeColor="text1"/>
          <w:kern w:val="0"/>
          <w14:ligatures w14:val="none"/>
        </w:rPr>
        <w:t xml:space="preserve">Tomczyk, M., Heileson, J.L., </w:t>
      </w:r>
      <w:proofErr w:type="spellStart"/>
      <w:r w:rsidRPr="00222705">
        <w:rPr>
          <w:rFonts w:ascii="Arial" w:eastAsia="Times New Roman" w:hAnsi="Arial" w:cs="Arial"/>
          <w:color w:val="000000" w:themeColor="text1"/>
          <w:kern w:val="0"/>
          <w14:ligatures w14:val="none"/>
        </w:rPr>
        <w:t>Babiarz</w:t>
      </w:r>
      <w:proofErr w:type="spellEnd"/>
      <w:r w:rsidRPr="00222705">
        <w:rPr>
          <w:rFonts w:ascii="Arial" w:eastAsia="Times New Roman" w:hAnsi="Arial" w:cs="Arial"/>
          <w:color w:val="000000" w:themeColor="text1"/>
          <w:kern w:val="0"/>
          <w14:ligatures w14:val="none"/>
        </w:rPr>
        <w:t>, M. and Calder, P.C., 2023. Athletes can </w:t>
      </w:r>
      <w:proofErr w:type="spellStart"/>
      <w:r w:rsidRPr="00222705">
        <w:rPr>
          <w:rFonts w:ascii="Arial" w:eastAsia="Times New Roman" w:hAnsi="Arial" w:cs="Arial"/>
          <w:color w:val="000000" w:themeColor="text1"/>
          <w:kern w:val="0"/>
          <w14:ligatures w14:val="none"/>
        </w:rPr>
        <w:t>benefitfrom</w:t>
      </w:r>
      <w:proofErr w:type="spellEnd"/>
      <w:r w:rsidRPr="00222705">
        <w:rPr>
          <w:rFonts w:ascii="Arial" w:eastAsia="Times New Roman" w:hAnsi="Arial" w:cs="Arial"/>
          <w:color w:val="000000" w:themeColor="text1"/>
          <w:kern w:val="0"/>
          <w14:ligatures w14:val="none"/>
        </w:rPr>
        <w:t xml:space="preserve"> increased intake of EPA and DHA—evaluating the evidence. Nutrients, 15(23), p.4925.</w:t>
      </w:r>
    </w:p>
    <w:p w14:paraId="75DE4DBA" w14:textId="77777777" w:rsidR="009E20D5" w:rsidRPr="00222705" w:rsidRDefault="009E20D5" w:rsidP="00EF007D">
      <w:pPr>
        <w:rPr>
          <w:rFonts w:ascii="Arial" w:eastAsia="Times New Roman" w:hAnsi="Arial" w:cs="Arial"/>
          <w:color w:val="000000"/>
          <w:kern w:val="0"/>
          <w14:ligatures w14:val="none"/>
        </w:rPr>
      </w:pPr>
    </w:p>
    <w:p w14:paraId="153D1903" w14:textId="77777777" w:rsidR="008F4D29" w:rsidRPr="00222705" w:rsidRDefault="008F4D29" w:rsidP="00EF007D">
      <w:pPr>
        <w:rPr>
          <w:rFonts w:ascii="Arial" w:hAnsi="Arial" w:cs="Arial"/>
          <w:lang w:val="en-GB" w:eastAsia="en-GB"/>
        </w:rPr>
      </w:pPr>
      <w:r w:rsidRPr="00222705">
        <w:rPr>
          <w:rFonts w:ascii="Arial" w:hAnsi="Arial" w:cs="Arial"/>
          <w:lang w:val="en-GB" w:eastAsia="en-GB"/>
        </w:rPr>
        <w:t xml:space="preserve">Topouchian, J., </w:t>
      </w:r>
      <w:proofErr w:type="spellStart"/>
      <w:r w:rsidRPr="00222705">
        <w:rPr>
          <w:rFonts w:ascii="Arial" w:hAnsi="Arial" w:cs="Arial"/>
          <w:lang w:val="en-GB" w:eastAsia="en-GB"/>
        </w:rPr>
        <w:t>Hakobyan</w:t>
      </w:r>
      <w:proofErr w:type="spellEnd"/>
      <w:r w:rsidRPr="00222705">
        <w:rPr>
          <w:rFonts w:ascii="Arial" w:hAnsi="Arial" w:cs="Arial"/>
          <w:lang w:val="en-GB" w:eastAsia="en-GB"/>
        </w:rPr>
        <w:t xml:space="preserve">, Z., Asmar, J., </w:t>
      </w:r>
      <w:proofErr w:type="spellStart"/>
      <w:r w:rsidRPr="00222705">
        <w:rPr>
          <w:rFonts w:ascii="Arial" w:hAnsi="Arial" w:cs="Arial"/>
          <w:lang w:val="en-GB" w:eastAsia="en-GB"/>
        </w:rPr>
        <w:t>Gurgenian</w:t>
      </w:r>
      <w:proofErr w:type="spellEnd"/>
      <w:r w:rsidRPr="00222705">
        <w:rPr>
          <w:rFonts w:ascii="Arial" w:hAnsi="Arial" w:cs="Arial"/>
          <w:lang w:val="en-GB" w:eastAsia="en-GB"/>
        </w:rPr>
        <w:t xml:space="preserve">, S., </w:t>
      </w:r>
      <w:proofErr w:type="spellStart"/>
      <w:r w:rsidRPr="00222705">
        <w:rPr>
          <w:rFonts w:ascii="Arial" w:hAnsi="Arial" w:cs="Arial"/>
          <w:lang w:val="en-GB" w:eastAsia="en-GB"/>
        </w:rPr>
        <w:t>Zelveian</w:t>
      </w:r>
      <w:proofErr w:type="spellEnd"/>
      <w:r w:rsidRPr="00222705">
        <w:rPr>
          <w:rFonts w:ascii="Arial" w:hAnsi="Arial" w:cs="Arial"/>
          <w:lang w:val="en-GB" w:eastAsia="en-GB"/>
        </w:rPr>
        <w:t xml:space="preserve">, P. and Asmar, R., 2018. clinical accuracy of the </w:t>
      </w:r>
      <w:proofErr w:type="spellStart"/>
      <w:r w:rsidRPr="00222705">
        <w:rPr>
          <w:rFonts w:ascii="Arial" w:hAnsi="Arial" w:cs="Arial"/>
          <w:lang w:val="en-GB" w:eastAsia="en-GB"/>
        </w:rPr>
        <w:t>Omron</w:t>
      </w:r>
      <w:proofErr w:type="spellEnd"/>
      <w:r w:rsidRPr="00222705">
        <w:rPr>
          <w:rFonts w:ascii="Arial" w:hAnsi="Arial" w:cs="Arial"/>
          <w:lang w:val="en-GB" w:eastAsia="en-GB"/>
        </w:rPr>
        <w:t xml:space="preserve"> M3 comfort® and the </w:t>
      </w:r>
      <w:proofErr w:type="spellStart"/>
      <w:r w:rsidRPr="00222705">
        <w:rPr>
          <w:rFonts w:ascii="Arial" w:hAnsi="Arial" w:cs="Arial"/>
          <w:lang w:val="en-GB" w:eastAsia="en-GB"/>
        </w:rPr>
        <w:t>Omron</w:t>
      </w:r>
      <w:proofErr w:type="spellEnd"/>
      <w:r w:rsidRPr="00222705">
        <w:rPr>
          <w:rFonts w:ascii="Arial" w:hAnsi="Arial" w:cs="Arial"/>
          <w:lang w:val="en-GB" w:eastAsia="en-GB"/>
        </w:rPr>
        <w:t xml:space="preserve"> </w:t>
      </w:r>
      <w:proofErr w:type="spellStart"/>
      <w:r w:rsidRPr="00222705">
        <w:rPr>
          <w:rFonts w:ascii="Arial" w:hAnsi="Arial" w:cs="Arial"/>
          <w:lang w:val="en-GB" w:eastAsia="en-GB"/>
        </w:rPr>
        <w:t>evolv</w:t>
      </w:r>
      <w:proofErr w:type="spellEnd"/>
      <w:r w:rsidRPr="00222705">
        <w:rPr>
          <w:rFonts w:ascii="Arial" w:hAnsi="Arial" w:cs="Arial"/>
          <w:lang w:val="en-GB" w:eastAsia="en-GB"/>
        </w:rPr>
        <w:t>® for self-blood pressure measurements in pregnancy and pre-eclampsia–validation according to the universal standard protocol. Vascular Health and Risk Management, pp.189-197.</w:t>
      </w:r>
    </w:p>
    <w:p w14:paraId="279DB463" w14:textId="77777777" w:rsidR="009E20D5" w:rsidRPr="00222705" w:rsidRDefault="009E20D5" w:rsidP="00EF007D">
      <w:pPr>
        <w:rPr>
          <w:rFonts w:ascii="Arial" w:hAnsi="Arial" w:cs="Arial"/>
          <w:lang w:val="en-GB" w:eastAsia="en-GB"/>
        </w:rPr>
      </w:pPr>
    </w:p>
    <w:p w14:paraId="63F53B7D" w14:textId="77777777" w:rsidR="008F4D29" w:rsidRPr="00222705" w:rsidRDefault="008F4D29" w:rsidP="00EF007D">
      <w:pPr>
        <w:rPr>
          <w:rFonts w:ascii="Arial" w:hAnsi="Arial" w:cs="Arial"/>
        </w:rPr>
      </w:pPr>
      <w:r w:rsidRPr="00222705">
        <w:rPr>
          <w:rFonts w:ascii="Arial" w:hAnsi="Arial" w:cs="Arial"/>
        </w:rPr>
        <w:t xml:space="preserve">Tosti, V., </w:t>
      </w:r>
      <w:proofErr w:type="spellStart"/>
      <w:r w:rsidRPr="00222705">
        <w:rPr>
          <w:rFonts w:ascii="Arial" w:hAnsi="Arial" w:cs="Arial"/>
        </w:rPr>
        <w:t>Bertozzi</w:t>
      </w:r>
      <w:proofErr w:type="spellEnd"/>
      <w:r w:rsidRPr="00222705">
        <w:rPr>
          <w:rFonts w:ascii="Arial" w:hAnsi="Arial" w:cs="Arial"/>
        </w:rPr>
        <w:t>, B. and Fontana, L., 2018. Health benefits of the Mediterranean diet: metabolic and molecular mechanisms. The Journals of Gerontology: Series A, 73(3), pp.318-326. </w:t>
      </w:r>
    </w:p>
    <w:p w14:paraId="5FBA9341" w14:textId="77777777" w:rsidR="009E20D5" w:rsidRPr="00222705" w:rsidRDefault="009E20D5" w:rsidP="00EF007D">
      <w:pPr>
        <w:rPr>
          <w:rFonts w:ascii="Arial" w:hAnsi="Arial" w:cs="Arial"/>
        </w:rPr>
      </w:pPr>
    </w:p>
    <w:p w14:paraId="51F81B7A" w14:textId="77777777" w:rsidR="008F4D29" w:rsidRPr="00222705" w:rsidRDefault="008F4D29" w:rsidP="00EF007D">
      <w:pPr>
        <w:rPr>
          <w:rFonts w:ascii="Arial" w:hAnsi="Arial" w:cs="Arial"/>
        </w:rPr>
      </w:pPr>
      <w:r w:rsidRPr="00222705">
        <w:rPr>
          <w:rFonts w:ascii="Arial" w:hAnsi="Arial" w:cs="Arial"/>
        </w:rPr>
        <w:t xml:space="preserve">Tousoulis, D., </w:t>
      </w:r>
      <w:proofErr w:type="spellStart"/>
      <w:r w:rsidRPr="00222705">
        <w:rPr>
          <w:rFonts w:ascii="Arial" w:hAnsi="Arial" w:cs="Arial"/>
        </w:rPr>
        <w:t>Kampoli</w:t>
      </w:r>
      <w:proofErr w:type="spellEnd"/>
      <w:r w:rsidRPr="00222705">
        <w:rPr>
          <w:rFonts w:ascii="Arial" w:hAnsi="Arial" w:cs="Arial"/>
        </w:rPr>
        <w:t xml:space="preserve">, A.M., </w:t>
      </w:r>
      <w:proofErr w:type="spellStart"/>
      <w:r w:rsidRPr="00222705">
        <w:rPr>
          <w:rFonts w:ascii="Arial" w:hAnsi="Arial" w:cs="Arial"/>
        </w:rPr>
        <w:t>Tentolouris</w:t>
      </w:r>
      <w:proofErr w:type="spellEnd"/>
      <w:r w:rsidRPr="00222705">
        <w:rPr>
          <w:rFonts w:ascii="Arial" w:hAnsi="Arial" w:cs="Arial"/>
        </w:rPr>
        <w:t xml:space="preserve"> </w:t>
      </w:r>
      <w:proofErr w:type="spellStart"/>
      <w:r w:rsidRPr="00222705">
        <w:rPr>
          <w:rFonts w:ascii="Arial" w:hAnsi="Arial" w:cs="Arial"/>
        </w:rPr>
        <w:t>Nikolaos</w:t>
      </w:r>
      <w:proofErr w:type="spellEnd"/>
      <w:r w:rsidRPr="00222705">
        <w:rPr>
          <w:rFonts w:ascii="Arial" w:hAnsi="Arial" w:cs="Arial"/>
        </w:rPr>
        <w:t xml:space="preserve"> </w:t>
      </w:r>
      <w:proofErr w:type="spellStart"/>
      <w:r w:rsidRPr="00222705">
        <w:rPr>
          <w:rFonts w:ascii="Arial" w:hAnsi="Arial" w:cs="Arial"/>
        </w:rPr>
        <w:t>Papageorgiou</w:t>
      </w:r>
      <w:proofErr w:type="spellEnd"/>
      <w:r w:rsidRPr="00222705">
        <w:rPr>
          <w:rFonts w:ascii="Arial" w:hAnsi="Arial" w:cs="Arial"/>
        </w:rPr>
        <w:t xml:space="preserve">, C. and </w:t>
      </w:r>
      <w:proofErr w:type="spellStart"/>
      <w:r w:rsidRPr="00222705">
        <w:rPr>
          <w:rFonts w:ascii="Arial" w:hAnsi="Arial" w:cs="Arial"/>
        </w:rPr>
        <w:t>Stefanadis</w:t>
      </w:r>
      <w:proofErr w:type="spellEnd"/>
      <w:r w:rsidRPr="00222705">
        <w:rPr>
          <w:rFonts w:ascii="Arial" w:hAnsi="Arial" w:cs="Arial"/>
        </w:rPr>
        <w:t>, C., 2012. The role of nitric oxide on endothelial function. Current vascular pharmacology, 10(1), pp.4-18.</w:t>
      </w:r>
    </w:p>
    <w:p w14:paraId="3642F4D5"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 xml:space="preserve">Tsismenakis, A.J., Christophi, C.A., </w:t>
      </w:r>
      <w:proofErr w:type="spellStart"/>
      <w:r w:rsidRPr="00222705">
        <w:rPr>
          <w:rFonts w:ascii="Arial" w:hAnsi="Arial" w:cs="Arial"/>
          <w:shd w:val="clear" w:color="auto" w:fill="FFFFFF"/>
        </w:rPr>
        <w:t>Burress</w:t>
      </w:r>
      <w:proofErr w:type="spellEnd"/>
      <w:r w:rsidRPr="00222705">
        <w:rPr>
          <w:rFonts w:ascii="Arial" w:hAnsi="Arial" w:cs="Arial"/>
          <w:shd w:val="clear" w:color="auto" w:fill="FFFFFF"/>
        </w:rPr>
        <w:t>, J.W., Kinney, A.M., Kim, M. and Kales, S.N., 2009. The obesity epidemic and future emergency responders. </w:t>
      </w:r>
      <w:r w:rsidRPr="00222705">
        <w:rPr>
          <w:rFonts w:ascii="Arial" w:hAnsi="Arial" w:cs="Arial"/>
        </w:rPr>
        <w:t>Obesity</w:t>
      </w:r>
      <w:r w:rsidRPr="00222705">
        <w:rPr>
          <w:rFonts w:ascii="Arial" w:hAnsi="Arial" w:cs="Arial"/>
          <w:shd w:val="clear" w:color="auto" w:fill="FFFFFF"/>
        </w:rPr>
        <w:t>, </w:t>
      </w:r>
      <w:r w:rsidRPr="00222705">
        <w:rPr>
          <w:rFonts w:ascii="Arial" w:hAnsi="Arial" w:cs="Arial"/>
        </w:rPr>
        <w:t>17</w:t>
      </w:r>
      <w:r w:rsidRPr="00222705">
        <w:rPr>
          <w:rFonts w:ascii="Arial" w:hAnsi="Arial" w:cs="Arial"/>
          <w:shd w:val="clear" w:color="auto" w:fill="FFFFFF"/>
        </w:rPr>
        <w:t>(8), pp.1648-1650.</w:t>
      </w:r>
    </w:p>
    <w:p w14:paraId="654DD0F2" w14:textId="77777777" w:rsidR="009E20D5" w:rsidRPr="00222705" w:rsidRDefault="009E20D5" w:rsidP="00EF007D">
      <w:pPr>
        <w:rPr>
          <w:rFonts w:ascii="Arial" w:hAnsi="Arial" w:cs="Arial"/>
          <w:shd w:val="clear" w:color="auto" w:fill="FFFFFF"/>
        </w:rPr>
      </w:pPr>
    </w:p>
    <w:p w14:paraId="41B75D3B"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 xml:space="preserve">Tsuchiya, Y., </w:t>
      </w:r>
      <w:proofErr w:type="spellStart"/>
      <w:r w:rsidRPr="00222705">
        <w:rPr>
          <w:rFonts w:ascii="Arial" w:eastAsia="Times New Roman" w:hAnsi="Arial" w:cs="Arial"/>
          <w:kern w:val="0"/>
          <w14:ligatures w14:val="none"/>
        </w:rPr>
        <w:t>Ueda</w:t>
      </w:r>
      <w:proofErr w:type="spellEnd"/>
      <w:r w:rsidRPr="00222705">
        <w:rPr>
          <w:rFonts w:ascii="Arial" w:eastAsia="Times New Roman" w:hAnsi="Arial" w:cs="Arial"/>
          <w:kern w:val="0"/>
          <w14:ligatures w14:val="none"/>
        </w:rPr>
        <w:t xml:space="preserve">, H., </w:t>
      </w:r>
      <w:proofErr w:type="spellStart"/>
      <w:r w:rsidRPr="00222705">
        <w:rPr>
          <w:rFonts w:ascii="Arial" w:eastAsia="Times New Roman" w:hAnsi="Arial" w:cs="Arial"/>
          <w:kern w:val="0"/>
          <w14:ligatures w14:val="none"/>
        </w:rPr>
        <w:t>Yanagimoto</w:t>
      </w:r>
      <w:proofErr w:type="spellEnd"/>
      <w:r w:rsidRPr="00222705">
        <w:rPr>
          <w:rFonts w:ascii="Arial" w:eastAsia="Times New Roman" w:hAnsi="Arial" w:cs="Arial"/>
          <w:kern w:val="0"/>
          <w14:ligatures w14:val="none"/>
        </w:rPr>
        <w:t xml:space="preserve">, K., </w:t>
      </w:r>
      <w:proofErr w:type="spellStart"/>
      <w:r w:rsidRPr="00222705">
        <w:rPr>
          <w:rFonts w:ascii="Arial" w:eastAsia="Times New Roman" w:hAnsi="Arial" w:cs="Arial"/>
          <w:kern w:val="0"/>
          <w14:ligatures w14:val="none"/>
        </w:rPr>
        <w:t>Kato</w:t>
      </w:r>
      <w:proofErr w:type="spellEnd"/>
      <w:r w:rsidRPr="00222705">
        <w:rPr>
          <w:rFonts w:ascii="Arial" w:eastAsia="Times New Roman" w:hAnsi="Arial" w:cs="Arial"/>
          <w:kern w:val="0"/>
          <w14:ligatures w14:val="none"/>
        </w:rPr>
        <w:t>, A. and Ochi, E., 2021. 4-week eicosapentaenoic acid-richfish oil supplementation partially protects muscular damage following eccentric contractions. Journal of the International Society of Sports Nutrition, 18(1), p.18. </w:t>
      </w:r>
    </w:p>
    <w:p w14:paraId="7336D3F0" w14:textId="77777777" w:rsidR="009E20D5" w:rsidRPr="00222705" w:rsidRDefault="009E20D5" w:rsidP="00EF007D">
      <w:pPr>
        <w:rPr>
          <w:rFonts w:ascii="Arial" w:eastAsia="Times New Roman" w:hAnsi="Arial" w:cs="Arial"/>
          <w:kern w:val="0"/>
          <w14:ligatures w14:val="none"/>
        </w:rPr>
      </w:pPr>
    </w:p>
    <w:p w14:paraId="1B3A4CE8" w14:textId="56E7D8E7" w:rsidR="009E20D5" w:rsidRDefault="008F4D29" w:rsidP="00EF007D">
      <w:pPr>
        <w:rPr>
          <w:rFonts w:ascii="Arial" w:eastAsia="Times New Roman" w:hAnsi="Arial" w:cs="Arial"/>
          <w:shd w:val="clear" w:color="auto" w:fill="FFFFFF"/>
          <w:lang w:val="en-GB" w:eastAsia="en-GB"/>
        </w:rPr>
      </w:pPr>
      <w:r w:rsidRPr="00222705">
        <w:rPr>
          <w:rFonts w:ascii="Arial" w:eastAsia="Times New Roman" w:hAnsi="Arial" w:cs="Arial"/>
          <w:shd w:val="clear" w:color="auto" w:fill="FFFFFF"/>
          <w:lang w:val="en-GB" w:eastAsia="en-GB"/>
        </w:rPr>
        <w:t xml:space="preserve">Turner, O., </w:t>
      </w:r>
      <w:proofErr w:type="spellStart"/>
      <w:r w:rsidRPr="00222705">
        <w:rPr>
          <w:rFonts w:ascii="Arial" w:eastAsia="Times New Roman" w:hAnsi="Arial" w:cs="Arial"/>
          <w:shd w:val="clear" w:color="auto" w:fill="FFFFFF"/>
          <w:lang w:val="en-GB" w:eastAsia="en-GB"/>
        </w:rPr>
        <w:t>Chessor</w:t>
      </w:r>
      <w:proofErr w:type="spellEnd"/>
      <w:r w:rsidRPr="00222705">
        <w:rPr>
          <w:rFonts w:ascii="Arial" w:eastAsia="Times New Roman" w:hAnsi="Arial" w:cs="Arial"/>
          <w:shd w:val="clear" w:color="auto" w:fill="FFFFFF"/>
          <w:lang w:val="en-GB" w:eastAsia="en-GB"/>
        </w:rPr>
        <w:t xml:space="preserve">, R. and Mitchell, N., 2025. Fuelling gold medals: developing a ‘periodised nutrition </w:t>
      </w:r>
      <w:proofErr w:type="spellStart"/>
      <w:r w:rsidRPr="00222705">
        <w:rPr>
          <w:rFonts w:ascii="Arial" w:eastAsia="Times New Roman" w:hAnsi="Arial" w:cs="Arial"/>
          <w:shd w:val="clear" w:color="auto" w:fill="FFFFFF"/>
          <w:lang w:val="en-GB" w:eastAsia="en-GB"/>
        </w:rPr>
        <w:t>system’for</w:t>
      </w:r>
      <w:proofErr w:type="spellEnd"/>
      <w:r w:rsidRPr="00222705">
        <w:rPr>
          <w:rFonts w:ascii="Arial" w:eastAsia="Times New Roman" w:hAnsi="Arial" w:cs="Arial"/>
          <w:shd w:val="clear" w:color="auto" w:fill="FFFFFF"/>
          <w:lang w:val="en-GB" w:eastAsia="en-GB"/>
        </w:rPr>
        <w:t xml:space="preserve"> elite athletes and applying it in practice. </w:t>
      </w:r>
      <w:r w:rsidRPr="00222705">
        <w:rPr>
          <w:rFonts w:ascii="Arial" w:eastAsia="Times New Roman" w:hAnsi="Arial" w:cs="Arial"/>
          <w:lang w:val="en-GB" w:eastAsia="en-GB"/>
        </w:rPr>
        <w:t>Performance Nutrition</w:t>
      </w:r>
      <w:r w:rsidRPr="00222705">
        <w:rPr>
          <w:rFonts w:ascii="Arial" w:eastAsia="Times New Roman" w:hAnsi="Arial" w:cs="Arial"/>
          <w:shd w:val="clear" w:color="auto" w:fill="FFFFFF"/>
          <w:lang w:val="en-GB" w:eastAsia="en-GB"/>
        </w:rPr>
        <w:t>, </w:t>
      </w:r>
      <w:r w:rsidRPr="00222705">
        <w:rPr>
          <w:rFonts w:ascii="Arial" w:eastAsia="Times New Roman" w:hAnsi="Arial" w:cs="Arial"/>
          <w:lang w:val="en-GB" w:eastAsia="en-GB"/>
        </w:rPr>
        <w:t>1</w:t>
      </w:r>
      <w:r w:rsidRPr="00222705">
        <w:rPr>
          <w:rFonts w:ascii="Arial" w:eastAsia="Times New Roman" w:hAnsi="Arial" w:cs="Arial"/>
          <w:shd w:val="clear" w:color="auto" w:fill="FFFFFF"/>
          <w:lang w:val="en-GB" w:eastAsia="en-GB"/>
        </w:rPr>
        <w:t>(1), p.4.</w:t>
      </w:r>
    </w:p>
    <w:p w14:paraId="37319EA0" w14:textId="77777777" w:rsidR="00222705" w:rsidRPr="00222705" w:rsidRDefault="00222705" w:rsidP="00EF007D">
      <w:pPr>
        <w:rPr>
          <w:rFonts w:ascii="Arial" w:eastAsia="Times New Roman" w:hAnsi="Arial" w:cs="Arial"/>
          <w:shd w:val="clear" w:color="auto" w:fill="FFFFFF"/>
          <w:lang w:val="en-GB" w:eastAsia="en-GB"/>
        </w:rPr>
      </w:pPr>
    </w:p>
    <w:p w14:paraId="044A5357"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Valera, B., </w:t>
      </w:r>
      <w:proofErr w:type="spellStart"/>
      <w:r w:rsidRPr="00222705">
        <w:rPr>
          <w:rFonts w:ascii="Arial" w:eastAsia="Times New Roman" w:hAnsi="Arial" w:cs="Arial"/>
          <w:kern w:val="0"/>
          <w14:ligatures w14:val="none"/>
        </w:rPr>
        <w:t>Suhas</w:t>
      </w:r>
      <w:proofErr w:type="spellEnd"/>
      <w:r w:rsidRPr="00222705">
        <w:rPr>
          <w:rFonts w:ascii="Arial" w:eastAsia="Times New Roman" w:hAnsi="Arial" w:cs="Arial"/>
          <w:kern w:val="0"/>
          <w14:ligatures w14:val="none"/>
        </w:rPr>
        <w:t>, E., </w:t>
      </w:r>
      <w:proofErr w:type="spellStart"/>
      <w:r w:rsidRPr="00222705">
        <w:rPr>
          <w:rFonts w:ascii="Arial" w:eastAsia="Times New Roman" w:hAnsi="Arial" w:cs="Arial"/>
          <w:kern w:val="0"/>
          <w14:ligatures w14:val="none"/>
        </w:rPr>
        <w:t>Counil</w:t>
      </w:r>
      <w:proofErr w:type="spellEnd"/>
      <w:r w:rsidRPr="00222705">
        <w:rPr>
          <w:rFonts w:ascii="Arial" w:eastAsia="Times New Roman" w:hAnsi="Arial" w:cs="Arial"/>
          <w:kern w:val="0"/>
          <w14:ligatures w14:val="none"/>
        </w:rPr>
        <w:t xml:space="preserve">, E., </w:t>
      </w:r>
      <w:proofErr w:type="spellStart"/>
      <w:r w:rsidRPr="00222705">
        <w:rPr>
          <w:rFonts w:ascii="Arial" w:eastAsia="Times New Roman" w:hAnsi="Arial" w:cs="Arial"/>
          <w:kern w:val="0"/>
          <w14:ligatures w14:val="none"/>
        </w:rPr>
        <w:t>Poirier</w:t>
      </w:r>
      <w:proofErr w:type="spellEnd"/>
      <w:r w:rsidRPr="00222705">
        <w:rPr>
          <w:rFonts w:ascii="Arial" w:eastAsia="Times New Roman" w:hAnsi="Arial" w:cs="Arial"/>
          <w:kern w:val="0"/>
          <w14:ligatures w14:val="none"/>
        </w:rPr>
        <w:t>, P. and </w:t>
      </w:r>
      <w:proofErr w:type="spellStart"/>
      <w:r w:rsidRPr="00222705">
        <w:rPr>
          <w:rFonts w:ascii="Arial" w:eastAsia="Times New Roman" w:hAnsi="Arial" w:cs="Arial"/>
          <w:kern w:val="0"/>
          <w14:ligatures w14:val="none"/>
        </w:rPr>
        <w:t>Dewailly</w:t>
      </w:r>
      <w:proofErr w:type="spellEnd"/>
      <w:r w:rsidRPr="00222705">
        <w:rPr>
          <w:rFonts w:ascii="Arial" w:eastAsia="Times New Roman" w:hAnsi="Arial" w:cs="Arial"/>
          <w:kern w:val="0"/>
          <w14:ligatures w14:val="none"/>
        </w:rPr>
        <w:t>, E., 2014. Influence of polyunsaturated fatty acids on blood pressure, resting heart rate and heart rate variability among French Polynesians. Journal of the American College of Nutrition, 33(4), pp.288-296. </w:t>
      </w:r>
    </w:p>
    <w:p w14:paraId="2A85B684" w14:textId="77777777" w:rsidR="009E20D5" w:rsidRPr="00222705" w:rsidRDefault="009E20D5" w:rsidP="00EF007D">
      <w:pPr>
        <w:rPr>
          <w:rFonts w:ascii="Arial" w:eastAsia="Times New Roman" w:hAnsi="Arial" w:cs="Arial"/>
          <w:kern w:val="0"/>
          <w14:ligatures w14:val="none"/>
        </w:rPr>
      </w:pPr>
    </w:p>
    <w:p w14:paraId="2E0FB0EB" w14:textId="4DB30D1C" w:rsidR="009E20D5" w:rsidRPr="00222705" w:rsidRDefault="008F4D29" w:rsidP="00EF007D">
      <w:pPr>
        <w:rPr>
          <w:rFonts w:ascii="Arial" w:hAnsi="Arial" w:cs="Arial"/>
        </w:rPr>
      </w:pPr>
      <w:r w:rsidRPr="00222705">
        <w:rPr>
          <w:rFonts w:ascii="Arial" w:hAnsi="Arial" w:cs="Arial"/>
        </w:rPr>
        <w:t>Vallet, B., 2003. Bench-to-bedside review: endothelial cell dysfunction in severe sepsis: a role in organ dysfunction?. Critical care, 7(2), p.130.</w:t>
      </w:r>
    </w:p>
    <w:p w14:paraId="5EE6E23B" w14:textId="77777777" w:rsidR="009A5A54" w:rsidRPr="00222705" w:rsidRDefault="009A5A54" w:rsidP="00EF007D">
      <w:pPr>
        <w:rPr>
          <w:rFonts w:ascii="Arial" w:hAnsi="Arial" w:cs="Arial"/>
        </w:rPr>
      </w:pPr>
    </w:p>
    <w:p w14:paraId="70E02260"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 xml:space="preserve">Van Amelsvoort, L.G.P.M., </w:t>
      </w:r>
      <w:proofErr w:type="spellStart"/>
      <w:r w:rsidRPr="00222705">
        <w:rPr>
          <w:rFonts w:ascii="Arial" w:hAnsi="Arial" w:cs="Arial"/>
          <w:shd w:val="clear" w:color="auto" w:fill="FFFFFF"/>
        </w:rPr>
        <w:t>Schouten</w:t>
      </w:r>
      <w:proofErr w:type="spellEnd"/>
      <w:r w:rsidRPr="00222705">
        <w:rPr>
          <w:rFonts w:ascii="Arial" w:hAnsi="Arial" w:cs="Arial"/>
          <w:shd w:val="clear" w:color="auto" w:fill="FFFFFF"/>
        </w:rPr>
        <w:t xml:space="preserve">, E.G., </w:t>
      </w:r>
      <w:proofErr w:type="spellStart"/>
      <w:r w:rsidRPr="00222705">
        <w:rPr>
          <w:rFonts w:ascii="Arial" w:hAnsi="Arial" w:cs="Arial"/>
          <w:shd w:val="clear" w:color="auto" w:fill="FFFFFF"/>
        </w:rPr>
        <w:t>Maan</w:t>
      </w:r>
      <w:proofErr w:type="spellEnd"/>
      <w:r w:rsidRPr="00222705">
        <w:rPr>
          <w:rFonts w:ascii="Arial" w:hAnsi="Arial" w:cs="Arial"/>
          <w:shd w:val="clear" w:color="auto" w:fill="FFFFFF"/>
        </w:rPr>
        <w:t xml:space="preserve">, A.C., </w:t>
      </w:r>
      <w:proofErr w:type="spellStart"/>
      <w:r w:rsidRPr="00222705">
        <w:rPr>
          <w:rFonts w:ascii="Arial" w:hAnsi="Arial" w:cs="Arial"/>
          <w:shd w:val="clear" w:color="auto" w:fill="FFFFFF"/>
        </w:rPr>
        <w:t>Swenne</w:t>
      </w:r>
      <w:proofErr w:type="spellEnd"/>
      <w:r w:rsidRPr="00222705">
        <w:rPr>
          <w:rFonts w:ascii="Arial" w:hAnsi="Arial" w:cs="Arial"/>
          <w:shd w:val="clear" w:color="auto" w:fill="FFFFFF"/>
        </w:rPr>
        <w:t>, C.A. and Kok, F.J., 2000. Occupational determinants of heart rate variability. </w:t>
      </w:r>
      <w:r w:rsidRPr="00222705">
        <w:rPr>
          <w:rFonts w:ascii="Arial" w:hAnsi="Arial" w:cs="Arial"/>
        </w:rPr>
        <w:t>International archives of occupational and environmental health</w:t>
      </w:r>
      <w:r w:rsidRPr="00222705">
        <w:rPr>
          <w:rFonts w:ascii="Arial" w:hAnsi="Arial" w:cs="Arial"/>
          <w:shd w:val="clear" w:color="auto" w:fill="FFFFFF"/>
        </w:rPr>
        <w:t>, </w:t>
      </w:r>
      <w:r w:rsidRPr="00222705">
        <w:rPr>
          <w:rFonts w:ascii="Arial" w:hAnsi="Arial" w:cs="Arial"/>
        </w:rPr>
        <w:t>73</w:t>
      </w:r>
      <w:r w:rsidRPr="00222705">
        <w:rPr>
          <w:rFonts w:ascii="Arial" w:hAnsi="Arial" w:cs="Arial"/>
          <w:shd w:val="clear" w:color="auto" w:fill="FFFFFF"/>
        </w:rPr>
        <w:t>(4), pp.255-262.</w:t>
      </w:r>
    </w:p>
    <w:p w14:paraId="29221687" w14:textId="77777777" w:rsidR="009E20D5" w:rsidRPr="00222705" w:rsidRDefault="009E20D5" w:rsidP="00EF007D">
      <w:pPr>
        <w:rPr>
          <w:rFonts w:ascii="Arial" w:hAnsi="Arial" w:cs="Arial"/>
          <w:shd w:val="clear" w:color="auto" w:fill="FFFFFF"/>
        </w:rPr>
      </w:pPr>
    </w:p>
    <w:p w14:paraId="6193ACD1"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shd w:val="clear" w:color="auto" w:fill="FFFFFF"/>
          <w:lang w:val="en-GB"/>
          <w14:ligatures w14:val="none"/>
        </w:rPr>
        <w:lastRenderedPageBreak/>
        <w:t>van Apeldoorn, J.A., van der Linden, E.L., </w:t>
      </w:r>
      <w:proofErr w:type="spellStart"/>
      <w:r w:rsidRPr="00222705">
        <w:rPr>
          <w:rFonts w:ascii="Arial" w:eastAsia="Times New Roman" w:hAnsi="Arial" w:cs="Arial"/>
          <w:kern w:val="0"/>
          <w:shd w:val="clear" w:color="auto" w:fill="FFFFFF"/>
          <w:lang w:val="en-GB"/>
          <w14:ligatures w14:val="none"/>
        </w:rPr>
        <w:t>Bahendeka</w:t>
      </w:r>
      <w:proofErr w:type="spellEnd"/>
      <w:r w:rsidRPr="00222705">
        <w:rPr>
          <w:rFonts w:ascii="Arial" w:eastAsia="Times New Roman" w:hAnsi="Arial" w:cs="Arial"/>
          <w:kern w:val="0"/>
          <w:shd w:val="clear" w:color="auto" w:fill="FFFFFF"/>
          <w:lang w:val="en-GB"/>
          <w14:ligatures w14:val="none"/>
        </w:rPr>
        <w:t>, S., </w:t>
      </w:r>
      <w:proofErr w:type="spellStart"/>
      <w:r w:rsidRPr="00222705">
        <w:rPr>
          <w:rFonts w:ascii="Arial" w:eastAsia="Times New Roman" w:hAnsi="Arial" w:cs="Arial"/>
          <w:kern w:val="0"/>
          <w:shd w:val="clear" w:color="auto" w:fill="FFFFFF"/>
          <w:lang w:val="en-GB"/>
          <w14:ligatures w14:val="none"/>
        </w:rPr>
        <w:t>Beune</w:t>
      </w:r>
      <w:proofErr w:type="spellEnd"/>
      <w:r w:rsidRPr="00222705">
        <w:rPr>
          <w:rFonts w:ascii="Arial" w:eastAsia="Times New Roman" w:hAnsi="Arial" w:cs="Arial"/>
          <w:kern w:val="0"/>
          <w:shd w:val="clear" w:color="auto" w:fill="FFFFFF"/>
          <w:lang w:val="en-GB"/>
          <w14:ligatures w14:val="none"/>
        </w:rPr>
        <w:t xml:space="preserve">, E., Meeks, K.A., </w:t>
      </w:r>
      <w:proofErr w:type="spellStart"/>
      <w:r w:rsidRPr="00222705">
        <w:rPr>
          <w:rFonts w:ascii="Arial" w:eastAsia="Times New Roman" w:hAnsi="Arial" w:cs="Arial"/>
          <w:kern w:val="0"/>
          <w:shd w:val="clear" w:color="auto" w:fill="FFFFFF"/>
          <w:lang w:val="en-GB"/>
          <w14:ligatures w14:val="none"/>
        </w:rPr>
        <w:t>Klipstein-Grobusch</w:t>
      </w:r>
      <w:proofErr w:type="spellEnd"/>
      <w:r w:rsidRPr="00222705">
        <w:rPr>
          <w:rFonts w:ascii="Arial" w:eastAsia="Times New Roman" w:hAnsi="Arial" w:cs="Arial"/>
          <w:kern w:val="0"/>
          <w:shd w:val="clear" w:color="auto" w:fill="FFFFFF"/>
          <w:lang w:val="en-GB"/>
          <w14:ligatures w14:val="none"/>
        </w:rPr>
        <w:t xml:space="preserve">, K., van den Born, B.J. and </w:t>
      </w:r>
      <w:proofErr w:type="spellStart"/>
      <w:r w:rsidRPr="00222705">
        <w:rPr>
          <w:rFonts w:ascii="Arial" w:eastAsia="Times New Roman" w:hAnsi="Arial" w:cs="Arial"/>
          <w:kern w:val="0"/>
          <w:shd w:val="clear" w:color="auto" w:fill="FFFFFF"/>
          <w:lang w:val="en-GB"/>
          <w14:ligatures w14:val="none"/>
        </w:rPr>
        <w:t>Agyemang</w:t>
      </w:r>
      <w:proofErr w:type="spellEnd"/>
      <w:r w:rsidRPr="00222705">
        <w:rPr>
          <w:rFonts w:ascii="Arial" w:eastAsia="Times New Roman" w:hAnsi="Arial" w:cs="Arial"/>
          <w:kern w:val="0"/>
          <w:shd w:val="clear" w:color="auto" w:fill="FFFFFF"/>
          <w:lang w:val="en-GB"/>
          <w14:ligatures w14:val="none"/>
        </w:rPr>
        <w:t>, C., 2022. C-reactive protein and hypertension among Ghanaian migrants and their homeland counterparts: the Research on Obesity and Diabetes among African Migrants study. </w:t>
      </w:r>
      <w:r w:rsidRPr="00222705">
        <w:rPr>
          <w:rFonts w:ascii="Arial" w:eastAsia="Times New Roman" w:hAnsi="Arial" w:cs="Arial"/>
          <w:kern w:val="0"/>
          <w:lang w:val="en-GB"/>
          <w14:ligatures w14:val="none"/>
        </w:rPr>
        <w:t>Journal of Hypertension</w:t>
      </w:r>
      <w:r w:rsidRPr="00222705">
        <w:rPr>
          <w:rFonts w:ascii="Arial" w:eastAsia="Times New Roman" w:hAnsi="Arial" w:cs="Arial"/>
          <w:kern w:val="0"/>
          <w:shd w:val="clear" w:color="auto" w:fill="FFFFFF"/>
          <w:lang w:val="en-GB"/>
          <w14:ligatures w14:val="none"/>
        </w:rPr>
        <w:t>, </w:t>
      </w:r>
      <w:r w:rsidRPr="00222705">
        <w:rPr>
          <w:rFonts w:ascii="Arial" w:eastAsia="Times New Roman" w:hAnsi="Arial" w:cs="Arial"/>
          <w:kern w:val="0"/>
          <w:lang w:val="en-GB"/>
          <w14:ligatures w14:val="none"/>
        </w:rPr>
        <w:t>40</w:t>
      </w:r>
      <w:r w:rsidRPr="00222705">
        <w:rPr>
          <w:rFonts w:ascii="Arial" w:eastAsia="Times New Roman" w:hAnsi="Arial" w:cs="Arial"/>
          <w:kern w:val="0"/>
          <w:shd w:val="clear" w:color="auto" w:fill="FFFFFF"/>
          <w:lang w:val="en-GB"/>
          <w14:ligatures w14:val="none"/>
        </w:rPr>
        <w:t>(2), pp.283-291.</w:t>
      </w:r>
      <w:r w:rsidRPr="00222705">
        <w:rPr>
          <w:rFonts w:ascii="Arial" w:eastAsia="Times New Roman" w:hAnsi="Arial" w:cs="Arial"/>
          <w:kern w:val="0"/>
          <w14:ligatures w14:val="none"/>
        </w:rPr>
        <w:t> </w:t>
      </w:r>
    </w:p>
    <w:p w14:paraId="3F7F9606" w14:textId="77777777" w:rsidR="009E20D5" w:rsidRPr="00222705" w:rsidRDefault="009E20D5" w:rsidP="00EF007D">
      <w:pPr>
        <w:rPr>
          <w:rFonts w:ascii="Arial" w:eastAsia="Times New Roman" w:hAnsi="Arial" w:cs="Arial"/>
          <w:kern w:val="0"/>
          <w14:ligatures w14:val="none"/>
        </w:rPr>
      </w:pPr>
    </w:p>
    <w:p w14:paraId="7959B5FF" w14:textId="77777777" w:rsidR="008F4D29" w:rsidRPr="00222705" w:rsidRDefault="008F4D29" w:rsidP="00EF007D">
      <w:pPr>
        <w:rPr>
          <w:rFonts w:ascii="Arial" w:eastAsia="Aptos" w:hAnsi="Arial" w:cs="Arial"/>
        </w:rPr>
      </w:pPr>
      <w:r w:rsidRPr="00222705">
        <w:rPr>
          <w:rFonts w:ascii="Arial" w:eastAsia="Aptos" w:hAnsi="Arial" w:cs="Arial"/>
        </w:rPr>
        <w:t xml:space="preserve">Van Hasselt, V.B., Bourke, M.L. and </w:t>
      </w:r>
      <w:proofErr w:type="spellStart"/>
      <w:r w:rsidRPr="00222705">
        <w:rPr>
          <w:rFonts w:ascii="Arial" w:eastAsia="Aptos" w:hAnsi="Arial" w:cs="Arial"/>
        </w:rPr>
        <w:t>Schuhmann</w:t>
      </w:r>
      <w:proofErr w:type="spellEnd"/>
      <w:r w:rsidRPr="00222705">
        <w:rPr>
          <w:rFonts w:ascii="Arial" w:eastAsia="Aptos" w:hAnsi="Arial" w:cs="Arial"/>
        </w:rPr>
        <w:t>, B.B., 2022. Firefighter stress and mental health: Introduction to the special issue. Behavior modification, 46(2), pp.259-266.</w:t>
      </w:r>
    </w:p>
    <w:p w14:paraId="31B7FC85" w14:textId="77777777" w:rsidR="009E20D5" w:rsidRPr="00222705" w:rsidRDefault="009E20D5" w:rsidP="00EF007D">
      <w:pPr>
        <w:rPr>
          <w:rFonts w:ascii="Arial" w:eastAsia="Aptos" w:hAnsi="Arial" w:cs="Arial"/>
        </w:rPr>
      </w:pPr>
    </w:p>
    <w:p w14:paraId="7793365B" w14:textId="77777777" w:rsidR="009E20D5" w:rsidRPr="00222705" w:rsidRDefault="008F4D29" w:rsidP="00EF007D">
      <w:pPr>
        <w:rPr>
          <w:rFonts w:ascii="Arial" w:hAnsi="Arial" w:cs="Arial"/>
        </w:rPr>
      </w:pPr>
      <w:r w:rsidRPr="00222705">
        <w:rPr>
          <w:rFonts w:ascii="Arial" w:hAnsi="Arial" w:cs="Arial"/>
        </w:rPr>
        <w:t>Van Kieu, N.T., Jung, S.J., Shin, S.W., Jung, H.W., Jung, E.S., Won, Y.H., Kim, Y.G. and Chae, S.W., 2020. The validity of the YMCA 3-minute step test for estimating maximal oxygen uptake in healthy Korean and Vietnamese adults. Journal of Lifestyle Medicine, 10(1), p.21.</w:t>
      </w:r>
    </w:p>
    <w:p w14:paraId="259390FE" w14:textId="234DB7DC" w:rsidR="008F4D29" w:rsidRPr="00222705" w:rsidRDefault="008F4D29" w:rsidP="00EF007D">
      <w:pPr>
        <w:rPr>
          <w:rFonts w:ascii="Arial" w:hAnsi="Arial" w:cs="Arial"/>
        </w:rPr>
      </w:pPr>
      <w:r w:rsidRPr="00222705">
        <w:rPr>
          <w:rFonts w:ascii="Arial" w:hAnsi="Arial" w:cs="Arial"/>
        </w:rPr>
        <w:t> </w:t>
      </w:r>
    </w:p>
    <w:p w14:paraId="292E28F5" w14:textId="77777777" w:rsidR="008F4D29" w:rsidRPr="00222705" w:rsidRDefault="008F4D29" w:rsidP="00EF007D">
      <w:pPr>
        <w:rPr>
          <w:rFonts w:ascii="Arial" w:eastAsia="Times New Roman" w:hAnsi="Arial" w:cs="Arial"/>
          <w:shd w:val="clear" w:color="auto" w:fill="FFFFFF"/>
          <w:lang w:val="en-GB" w:eastAsia="en-GB"/>
        </w:rPr>
      </w:pPr>
      <w:r w:rsidRPr="00222705">
        <w:rPr>
          <w:rFonts w:ascii="Arial" w:eastAsia="Times New Roman" w:hAnsi="Arial" w:cs="Arial"/>
          <w:shd w:val="clear" w:color="auto" w:fill="FFFFFF"/>
          <w:lang w:val="en-GB" w:eastAsia="en-GB"/>
        </w:rPr>
        <w:t xml:space="preserve">Vandersmissen, G.J.M., </w:t>
      </w:r>
      <w:proofErr w:type="spellStart"/>
      <w:r w:rsidRPr="00222705">
        <w:rPr>
          <w:rFonts w:ascii="Arial" w:eastAsia="Times New Roman" w:hAnsi="Arial" w:cs="Arial"/>
          <w:shd w:val="clear" w:color="auto" w:fill="FFFFFF"/>
          <w:lang w:val="en-GB" w:eastAsia="en-GB"/>
        </w:rPr>
        <w:t>Verhoogen</w:t>
      </w:r>
      <w:proofErr w:type="spellEnd"/>
      <w:r w:rsidRPr="00222705">
        <w:rPr>
          <w:rFonts w:ascii="Arial" w:eastAsia="Times New Roman" w:hAnsi="Arial" w:cs="Arial"/>
          <w:shd w:val="clear" w:color="auto" w:fill="FFFFFF"/>
          <w:lang w:val="en-GB" w:eastAsia="en-GB"/>
        </w:rPr>
        <w:t xml:space="preserve">, R.A.J.R., Van </w:t>
      </w:r>
      <w:proofErr w:type="spellStart"/>
      <w:r w:rsidRPr="00222705">
        <w:rPr>
          <w:rFonts w:ascii="Arial" w:eastAsia="Times New Roman" w:hAnsi="Arial" w:cs="Arial"/>
          <w:shd w:val="clear" w:color="auto" w:fill="FFFFFF"/>
          <w:lang w:val="en-GB" w:eastAsia="en-GB"/>
        </w:rPr>
        <w:t>Cauwenbergh</w:t>
      </w:r>
      <w:proofErr w:type="spellEnd"/>
      <w:r w:rsidRPr="00222705">
        <w:rPr>
          <w:rFonts w:ascii="Arial" w:eastAsia="Times New Roman" w:hAnsi="Arial" w:cs="Arial"/>
          <w:shd w:val="clear" w:color="auto" w:fill="FFFFFF"/>
          <w:lang w:val="en-GB" w:eastAsia="en-GB"/>
        </w:rPr>
        <w:t xml:space="preserve">, A.F.M. and </w:t>
      </w:r>
      <w:proofErr w:type="spellStart"/>
      <w:r w:rsidRPr="00222705">
        <w:rPr>
          <w:rFonts w:ascii="Arial" w:eastAsia="Times New Roman" w:hAnsi="Arial" w:cs="Arial"/>
          <w:shd w:val="clear" w:color="auto" w:fill="FFFFFF"/>
          <w:lang w:val="en-GB" w:eastAsia="en-GB"/>
        </w:rPr>
        <w:t>Godderis</w:t>
      </w:r>
      <w:proofErr w:type="spellEnd"/>
      <w:r w:rsidRPr="00222705">
        <w:rPr>
          <w:rFonts w:ascii="Arial" w:eastAsia="Times New Roman" w:hAnsi="Arial" w:cs="Arial"/>
          <w:shd w:val="clear" w:color="auto" w:fill="FFFFFF"/>
          <w:lang w:val="en-GB" w:eastAsia="en-GB"/>
        </w:rPr>
        <w:t>, L., 2014. Determinants of maximal oxygen uptake (VO2 max) in fire fighter testing. </w:t>
      </w:r>
      <w:r w:rsidRPr="00222705">
        <w:rPr>
          <w:rFonts w:ascii="Arial" w:eastAsia="Times New Roman" w:hAnsi="Arial" w:cs="Arial"/>
          <w:lang w:val="en-GB" w:eastAsia="en-GB"/>
        </w:rPr>
        <w:t>Applied ergonomics</w:t>
      </w:r>
      <w:r w:rsidRPr="00222705">
        <w:rPr>
          <w:rFonts w:ascii="Arial" w:eastAsia="Times New Roman" w:hAnsi="Arial" w:cs="Arial"/>
          <w:shd w:val="clear" w:color="auto" w:fill="FFFFFF"/>
          <w:lang w:val="en-GB" w:eastAsia="en-GB"/>
        </w:rPr>
        <w:t>, </w:t>
      </w:r>
      <w:r w:rsidRPr="00222705">
        <w:rPr>
          <w:rFonts w:ascii="Arial" w:eastAsia="Times New Roman" w:hAnsi="Arial" w:cs="Arial"/>
          <w:lang w:val="en-GB" w:eastAsia="en-GB"/>
        </w:rPr>
        <w:t>45</w:t>
      </w:r>
      <w:r w:rsidRPr="00222705">
        <w:rPr>
          <w:rFonts w:ascii="Arial" w:eastAsia="Times New Roman" w:hAnsi="Arial" w:cs="Arial"/>
          <w:shd w:val="clear" w:color="auto" w:fill="FFFFFF"/>
          <w:lang w:val="en-GB" w:eastAsia="en-GB"/>
        </w:rPr>
        <w:t>(4), pp.1063-1066.</w:t>
      </w:r>
    </w:p>
    <w:p w14:paraId="40671BBF" w14:textId="77777777" w:rsidR="009E20D5" w:rsidRPr="00222705" w:rsidRDefault="009E20D5" w:rsidP="00EF007D">
      <w:pPr>
        <w:rPr>
          <w:rFonts w:ascii="Arial" w:eastAsia="Times New Roman" w:hAnsi="Arial" w:cs="Arial"/>
          <w:shd w:val="clear" w:color="auto" w:fill="FFFFFF"/>
          <w:lang w:val="en-GB" w:eastAsia="en-GB"/>
        </w:rPr>
      </w:pPr>
    </w:p>
    <w:p w14:paraId="6AE60552" w14:textId="77777777" w:rsidR="008F4D29" w:rsidRPr="00222705" w:rsidRDefault="008F4D29" w:rsidP="00EF007D">
      <w:pPr>
        <w:rPr>
          <w:rFonts w:ascii="Arial" w:eastAsia="Aptos" w:hAnsi="Arial" w:cs="Arial"/>
        </w:rPr>
      </w:pPr>
      <w:r w:rsidRPr="00222705">
        <w:rPr>
          <w:rFonts w:ascii="Arial" w:eastAsia="Aptos" w:hAnsi="Arial" w:cs="Arial"/>
        </w:rPr>
        <w:t xml:space="preserve">Verble, R., </w:t>
      </w:r>
      <w:proofErr w:type="spellStart"/>
      <w:r w:rsidRPr="00222705">
        <w:rPr>
          <w:rFonts w:ascii="Arial" w:eastAsia="Aptos" w:hAnsi="Arial" w:cs="Arial"/>
        </w:rPr>
        <w:t>Granberg</w:t>
      </w:r>
      <w:proofErr w:type="spellEnd"/>
      <w:r w:rsidRPr="00222705">
        <w:rPr>
          <w:rFonts w:ascii="Arial" w:eastAsia="Aptos" w:hAnsi="Arial" w:cs="Arial"/>
        </w:rPr>
        <w:t>, R., Pearson, S., Rogers, C. and Watson, R., 2024. Mental health and traumatic occupational exposure in wildland fire dispatchers. Fire, 7(5), p.157.</w:t>
      </w:r>
    </w:p>
    <w:p w14:paraId="75C34D74" w14:textId="77777777" w:rsidR="009E20D5" w:rsidRPr="00222705" w:rsidRDefault="009E20D5" w:rsidP="00EF007D">
      <w:pPr>
        <w:rPr>
          <w:rFonts w:ascii="Arial" w:eastAsia="Aptos" w:hAnsi="Arial" w:cs="Arial"/>
        </w:rPr>
      </w:pPr>
    </w:p>
    <w:p w14:paraId="156719D5"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 xml:space="preserve">Vgontzas, A.N., </w:t>
      </w:r>
      <w:proofErr w:type="spellStart"/>
      <w:r w:rsidRPr="00222705">
        <w:rPr>
          <w:rFonts w:ascii="Arial" w:hAnsi="Arial" w:cs="Arial"/>
          <w:shd w:val="clear" w:color="auto" w:fill="FFFFFF"/>
        </w:rPr>
        <w:t>Zoumakis</w:t>
      </w:r>
      <w:proofErr w:type="spellEnd"/>
      <w:r w:rsidRPr="00222705">
        <w:rPr>
          <w:rFonts w:ascii="Arial" w:hAnsi="Arial" w:cs="Arial"/>
          <w:shd w:val="clear" w:color="auto" w:fill="FFFFFF"/>
        </w:rPr>
        <w:t xml:space="preserve">, E., </w:t>
      </w:r>
      <w:proofErr w:type="spellStart"/>
      <w:r w:rsidRPr="00222705">
        <w:rPr>
          <w:rFonts w:ascii="Arial" w:hAnsi="Arial" w:cs="Arial"/>
          <w:shd w:val="clear" w:color="auto" w:fill="FFFFFF"/>
        </w:rPr>
        <w:t>Bixler</w:t>
      </w:r>
      <w:proofErr w:type="spellEnd"/>
      <w:r w:rsidRPr="00222705">
        <w:rPr>
          <w:rFonts w:ascii="Arial" w:hAnsi="Arial" w:cs="Arial"/>
          <w:shd w:val="clear" w:color="auto" w:fill="FFFFFF"/>
        </w:rPr>
        <w:t xml:space="preserve">, E.O., Lin, H.M., Follett, H., Kales, A. and </w:t>
      </w:r>
      <w:proofErr w:type="spellStart"/>
      <w:r w:rsidRPr="00222705">
        <w:rPr>
          <w:rFonts w:ascii="Arial" w:hAnsi="Arial" w:cs="Arial"/>
          <w:shd w:val="clear" w:color="auto" w:fill="FFFFFF"/>
        </w:rPr>
        <w:t>Chrousos</w:t>
      </w:r>
      <w:proofErr w:type="spellEnd"/>
      <w:r w:rsidRPr="00222705">
        <w:rPr>
          <w:rFonts w:ascii="Arial" w:hAnsi="Arial" w:cs="Arial"/>
          <w:shd w:val="clear" w:color="auto" w:fill="FFFFFF"/>
        </w:rPr>
        <w:t>, G.P., 2004. Adverse effects of modest sleep restriction on sleepiness, performance, and inflammatory cytokines. </w:t>
      </w:r>
      <w:r w:rsidRPr="00222705">
        <w:rPr>
          <w:rFonts w:ascii="Arial" w:hAnsi="Arial" w:cs="Arial"/>
        </w:rPr>
        <w:t>The Journal of Clinical Endocrinology &amp; Metabolism</w:t>
      </w:r>
      <w:r w:rsidRPr="00222705">
        <w:rPr>
          <w:rFonts w:ascii="Arial" w:hAnsi="Arial" w:cs="Arial"/>
          <w:shd w:val="clear" w:color="auto" w:fill="FFFFFF"/>
        </w:rPr>
        <w:t>, </w:t>
      </w:r>
      <w:r w:rsidRPr="00222705">
        <w:rPr>
          <w:rFonts w:ascii="Arial" w:hAnsi="Arial" w:cs="Arial"/>
        </w:rPr>
        <w:t>89</w:t>
      </w:r>
      <w:r w:rsidRPr="00222705">
        <w:rPr>
          <w:rFonts w:ascii="Arial" w:hAnsi="Arial" w:cs="Arial"/>
          <w:shd w:val="clear" w:color="auto" w:fill="FFFFFF"/>
        </w:rPr>
        <w:t>(5), pp.2119-2126.</w:t>
      </w:r>
    </w:p>
    <w:p w14:paraId="245EA829" w14:textId="77777777" w:rsidR="00553674" w:rsidRPr="00222705" w:rsidRDefault="00553674" w:rsidP="00EF007D">
      <w:pPr>
        <w:rPr>
          <w:rFonts w:ascii="Arial" w:eastAsia="Times New Roman" w:hAnsi="Arial" w:cs="Arial"/>
          <w:shd w:val="clear" w:color="auto" w:fill="FFFFFF"/>
          <w:lang w:val="en-GB" w:eastAsia="en-GB"/>
        </w:rPr>
      </w:pPr>
    </w:p>
    <w:p w14:paraId="2F56C5FD" w14:textId="77777777" w:rsidR="008F4D29" w:rsidRPr="00222705" w:rsidRDefault="008F4D29" w:rsidP="00EF007D">
      <w:pPr>
        <w:rPr>
          <w:rFonts w:ascii="Arial" w:hAnsi="Arial" w:cs="Arial"/>
        </w:rPr>
      </w:pPr>
      <w:r w:rsidRPr="00222705">
        <w:rPr>
          <w:rFonts w:ascii="Arial" w:hAnsi="Arial" w:cs="Arial"/>
        </w:rPr>
        <w:t xml:space="preserve">Von Heimburg, E.D., Rasmussen, A.K.R. and </w:t>
      </w:r>
      <w:proofErr w:type="spellStart"/>
      <w:r w:rsidRPr="00222705">
        <w:rPr>
          <w:rFonts w:ascii="Arial" w:hAnsi="Arial" w:cs="Arial"/>
        </w:rPr>
        <w:t>Medbø</w:t>
      </w:r>
      <w:proofErr w:type="spellEnd"/>
      <w:r w:rsidRPr="00222705">
        <w:rPr>
          <w:rFonts w:ascii="Arial" w:hAnsi="Arial" w:cs="Arial"/>
        </w:rPr>
        <w:t>, J.I., 2006. Physiological responses of firefighters and performance predictors during a simulated rescue of hospital patients. Ergonomics, 49(2), pp.111-126.</w:t>
      </w:r>
    </w:p>
    <w:p w14:paraId="1247607A" w14:textId="77777777" w:rsidR="009E20D5" w:rsidRPr="00222705" w:rsidRDefault="009E20D5" w:rsidP="00EF007D">
      <w:pPr>
        <w:rPr>
          <w:rFonts w:ascii="Arial" w:hAnsi="Arial" w:cs="Arial"/>
        </w:rPr>
      </w:pPr>
    </w:p>
    <w:p w14:paraId="2EF64AEF"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lastRenderedPageBreak/>
        <w:t>Walker, A., Keene, T., Argus, C., Driller, M., Guy, J.H. and Rattray, B., 2015. Immune and inflammatory responses of Australian firefighters after repeated exposures to the heat. </w:t>
      </w:r>
      <w:r w:rsidRPr="00222705">
        <w:rPr>
          <w:rFonts w:ascii="Arial" w:hAnsi="Arial" w:cs="Arial"/>
        </w:rPr>
        <w:t>Ergonomics</w:t>
      </w:r>
      <w:r w:rsidRPr="00222705">
        <w:rPr>
          <w:rFonts w:ascii="Arial" w:hAnsi="Arial" w:cs="Arial"/>
          <w:shd w:val="clear" w:color="auto" w:fill="FFFFFF"/>
        </w:rPr>
        <w:t>, </w:t>
      </w:r>
      <w:r w:rsidRPr="00222705">
        <w:rPr>
          <w:rFonts w:ascii="Arial" w:hAnsi="Arial" w:cs="Arial"/>
        </w:rPr>
        <w:t>58</w:t>
      </w:r>
      <w:r w:rsidRPr="00222705">
        <w:rPr>
          <w:rFonts w:ascii="Arial" w:hAnsi="Arial" w:cs="Arial"/>
          <w:shd w:val="clear" w:color="auto" w:fill="FFFFFF"/>
        </w:rPr>
        <w:t>(12), pp.2032-2039.</w:t>
      </w:r>
    </w:p>
    <w:p w14:paraId="0216D0C8" w14:textId="77777777" w:rsidR="009E20D5" w:rsidRPr="00222705" w:rsidRDefault="009E20D5" w:rsidP="00EF007D">
      <w:pPr>
        <w:rPr>
          <w:rFonts w:ascii="Arial" w:hAnsi="Arial" w:cs="Arial"/>
        </w:rPr>
      </w:pPr>
    </w:p>
    <w:p w14:paraId="1F06A7F3" w14:textId="399772AB" w:rsidR="008F4D29" w:rsidRPr="00222705" w:rsidRDefault="008F4D29" w:rsidP="00EF007D">
      <w:pPr>
        <w:rPr>
          <w:rFonts w:ascii="Arial" w:hAnsi="Arial" w:cs="Arial"/>
        </w:rPr>
      </w:pPr>
      <w:r w:rsidRPr="00222705">
        <w:rPr>
          <w:rFonts w:ascii="Arial" w:hAnsi="Arial" w:cs="Arial"/>
        </w:rPr>
        <w:t xml:space="preserve">Walker, A., Pope, R., </w:t>
      </w:r>
      <w:proofErr w:type="spellStart"/>
      <w:r w:rsidRPr="00222705">
        <w:rPr>
          <w:rFonts w:ascii="Arial" w:hAnsi="Arial" w:cs="Arial"/>
        </w:rPr>
        <w:t>Schram</w:t>
      </w:r>
      <w:proofErr w:type="spellEnd"/>
      <w:r w:rsidRPr="00222705">
        <w:rPr>
          <w:rFonts w:ascii="Arial" w:hAnsi="Arial" w:cs="Arial"/>
        </w:rPr>
        <w:t xml:space="preserve">, B., </w:t>
      </w:r>
      <w:proofErr w:type="spellStart"/>
      <w:r w:rsidRPr="00222705">
        <w:rPr>
          <w:rFonts w:ascii="Arial" w:hAnsi="Arial" w:cs="Arial"/>
        </w:rPr>
        <w:t>Gorey</w:t>
      </w:r>
      <w:proofErr w:type="spellEnd"/>
      <w:r w:rsidRPr="00222705">
        <w:rPr>
          <w:rFonts w:ascii="Arial" w:hAnsi="Arial" w:cs="Arial"/>
        </w:rPr>
        <w:t>, R. and Orr, R., 2019. The impact of occupational tasks on firefighter hydration during a live structural fire. Safety, 5(2), p.36.</w:t>
      </w:r>
    </w:p>
    <w:p w14:paraId="7C3A4303" w14:textId="77777777" w:rsidR="009E20D5" w:rsidRPr="00222705" w:rsidRDefault="009E20D5" w:rsidP="00EF007D">
      <w:pPr>
        <w:rPr>
          <w:rFonts w:ascii="Arial" w:hAnsi="Arial" w:cs="Arial"/>
        </w:rPr>
      </w:pPr>
    </w:p>
    <w:p w14:paraId="5D65D8C9" w14:textId="77777777" w:rsidR="008F4D29" w:rsidRPr="00222705" w:rsidRDefault="008F4D29" w:rsidP="00EF007D">
      <w:pPr>
        <w:rPr>
          <w:rFonts w:ascii="Arial" w:eastAsia="Aptos" w:hAnsi="Arial" w:cs="Arial"/>
        </w:rPr>
      </w:pPr>
      <w:r w:rsidRPr="00222705">
        <w:rPr>
          <w:rFonts w:ascii="Arial" w:eastAsia="Aptos" w:hAnsi="Arial" w:cs="Arial"/>
        </w:rPr>
        <w:t>Wang, J., Huang, J., Wang, L., Chen, C., Yang, D., Jin, M., Bai, C. and Song, Y., 2017. Urban particulate matter triggers lung inflammation via the ROS-MAPK-NF-κB signaling pathway. Journal of thoracic disease, 9(11), p.4398.</w:t>
      </w:r>
    </w:p>
    <w:p w14:paraId="77177E71" w14:textId="77777777" w:rsidR="009E20D5" w:rsidRPr="00222705" w:rsidRDefault="009E20D5" w:rsidP="00EF007D">
      <w:pPr>
        <w:rPr>
          <w:rFonts w:ascii="Arial" w:eastAsia="Aptos" w:hAnsi="Arial" w:cs="Arial"/>
        </w:rPr>
      </w:pPr>
    </w:p>
    <w:p w14:paraId="273A8A1C"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shd w:val="clear" w:color="auto" w:fill="FFFFFF"/>
          <w:lang w:val="en-GB"/>
          <w14:ligatures w14:val="none"/>
        </w:rPr>
        <w:t>Wang, T.J., Gona, P., Larson, M.G., Levy, D., Benjamin, E.J., </w:t>
      </w:r>
      <w:proofErr w:type="spellStart"/>
      <w:r w:rsidRPr="00222705">
        <w:rPr>
          <w:rFonts w:ascii="Arial" w:eastAsia="Times New Roman" w:hAnsi="Arial" w:cs="Arial"/>
          <w:kern w:val="0"/>
          <w:shd w:val="clear" w:color="auto" w:fill="FFFFFF"/>
          <w:lang w:val="en-GB"/>
          <w14:ligatures w14:val="none"/>
        </w:rPr>
        <w:t>Tofler</w:t>
      </w:r>
      <w:proofErr w:type="spellEnd"/>
      <w:r w:rsidRPr="00222705">
        <w:rPr>
          <w:rFonts w:ascii="Arial" w:eastAsia="Times New Roman" w:hAnsi="Arial" w:cs="Arial"/>
          <w:kern w:val="0"/>
          <w:shd w:val="clear" w:color="auto" w:fill="FFFFFF"/>
          <w:lang w:val="en-GB"/>
          <w14:ligatures w14:val="none"/>
        </w:rPr>
        <w:t xml:space="preserve">, G.H., Jacques, P.F., </w:t>
      </w:r>
      <w:proofErr w:type="spellStart"/>
      <w:r w:rsidRPr="00222705">
        <w:rPr>
          <w:rFonts w:ascii="Arial" w:eastAsia="Times New Roman" w:hAnsi="Arial" w:cs="Arial"/>
          <w:kern w:val="0"/>
          <w:shd w:val="clear" w:color="auto" w:fill="FFFFFF"/>
          <w:lang w:val="en-GB"/>
          <w14:ligatures w14:val="none"/>
        </w:rPr>
        <w:t>Meigs</w:t>
      </w:r>
      <w:proofErr w:type="spellEnd"/>
      <w:r w:rsidRPr="00222705">
        <w:rPr>
          <w:rFonts w:ascii="Arial" w:eastAsia="Times New Roman" w:hAnsi="Arial" w:cs="Arial"/>
          <w:kern w:val="0"/>
          <w:shd w:val="clear" w:color="auto" w:fill="FFFFFF"/>
          <w:lang w:val="en-GB"/>
          <w14:ligatures w14:val="none"/>
        </w:rPr>
        <w:t>, J.B., Rifai, N., </w:t>
      </w:r>
      <w:proofErr w:type="spellStart"/>
      <w:r w:rsidRPr="00222705">
        <w:rPr>
          <w:rFonts w:ascii="Arial" w:eastAsia="Times New Roman" w:hAnsi="Arial" w:cs="Arial"/>
          <w:kern w:val="0"/>
          <w:shd w:val="clear" w:color="auto" w:fill="FFFFFF"/>
          <w:lang w:val="en-GB"/>
          <w14:ligatures w14:val="none"/>
        </w:rPr>
        <w:t>Selhub</w:t>
      </w:r>
      <w:proofErr w:type="spellEnd"/>
      <w:r w:rsidRPr="00222705">
        <w:rPr>
          <w:rFonts w:ascii="Arial" w:eastAsia="Times New Roman" w:hAnsi="Arial" w:cs="Arial"/>
          <w:kern w:val="0"/>
          <w:shd w:val="clear" w:color="auto" w:fill="FFFFFF"/>
          <w:lang w:val="en-GB"/>
          <w14:ligatures w14:val="none"/>
        </w:rPr>
        <w:t>, J. and Robins, S.J., 2007. Multiple biomarkers and the risk of incident hypertension. </w:t>
      </w:r>
      <w:r w:rsidRPr="00222705">
        <w:rPr>
          <w:rFonts w:ascii="Arial" w:eastAsia="Times New Roman" w:hAnsi="Arial" w:cs="Arial"/>
          <w:kern w:val="0"/>
          <w:lang w:val="en-GB"/>
          <w14:ligatures w14:val="none"/>
        </w:rPr>
        <w:t>Hypertension</w:t>
      </w:r>
      <w:r w:rsidRPr="00222705">
        <w:rPr>
          <w:rFonts w:ascii="Arial" w:eastAsia="Times New Roman" w:hAnsi="Arial" w:cs="Arial"/>
          <w:kern w:val="0"/>
          <w:shd w:val="clear" w:color="auto" w:fill="FFFFFF"/>
          <w:lang w:val="en-GB"/>
          <w14:ligatures w14:val="none"/>
        </w:rPr>
        <w:t>, </w:t>
      </w:r>
      <w:r w:rsidRPr="00222705">
        <w:rPr>
          <w:rFonts w:ascii="Arial" w:eastAsia="Times New Roman" w:hAnsi="Arial" w:cs="Arial"/>
          <w:kern w:val="0"/>
          <w:lang w:val="en-GB"/>
          <w14:ligatures w14:val="none"/>
        </w:rPr>
        <w:t>49</w:t>
      </w:r>
      <w:r w:rsidRPr="00222705">
        <w:rPr>
          <w:rFonts w:ascii="Arial" w:eastAsia="Times New Roman" w:hAnsi="Arial" w:cs="Arial"/>
          <w:kern w:val="0"/>
          <w:shd w:val="clear" w:color="auto" w:fill="FFFFFF"/>
          <w:lang w:val="en-GB"/>
          <w14:ligatures w14:val="none"/>
        </w:rPr>
        <w:t>(3), pp.432-438.</w:t>
      </w:r>
      <w:r w:rsidRPr="00222705">
        <w:rPr>
          <w:rFonts w:ascii="Arial" w:eastAsia="Times New Roman" w:hAnsi="Arial" w:cs="Arial"/>
          <w:kern w:val="0"/>
          <w14:ligatures w14:val="none"/>
        </w:rPr>
        <w:t> </w:t>
      </w:r>
    </w:p>
    <w:p w14:paraId="3E1F9BDE" w14:textId="77777777" w:rsidR="009E20D5" w:rsidRPr="00222705" w:rsidRDefault="009E20D5" w:rsidP="00EF007D">
      <w:pPr>
        <w:rPr>
          <w:rFonts w:ascii="Arial" w:eastAsia="Times New Roman" w:hAnsi="Arial" w:cs="Arial"/>
          <w:kern w:val="0"/>
          <w14:ligatures w14:val="none"/>
        </w:rPr>
      </w:pPr>
    </w:p>
    <w:p w14:paraId="0BD12E04" w14:textId="77777777" w:rsidR="008F4D29" w:rsidRPr="00222705" w:rsidRDefault="008F4D29" w:rsidP="00EF007D">
      <w:pPr>
        <w:rPr>
          <w:rFonts w:ascii="Arial" w:eastAsia="Times New Roman" w:hAnsi="Arial" w:cs="Arial"/>
          <w:shd w:val="clear" w:color="auto" w:fill="FFFFFF"/>
          <w:lang w:val="en-GB" w:eastAsia="en-GB"/>
        </w:rPr>
      </w:pPr>
      <w:r w:rsidRPr="00222705">
        <w:rPr>
          <w:rFonts w:ascii="Arial" w:eastAsia="Times New Roman" w:hAnsi="Arial" w:cs="Arial"/>
          <w:shd w:val="clear" w:color="auto" w:fill="FFFFFF"/>
          <w:lang w:val="en-GB" w:eastAsia="en-GB"/>
        </w:rPr>
        <w:t>Wasserstein, R.L. and Lazar, N.A., 2016. The ASA statement on p-values: context, process, and purpose. </w:t>
      </w:r>
      <w:r w:rsidRPr="00222705">
        <w:rPr>
          <w:rFonts w:ascii="Arial" w:eastAsia="Times New Roman" w:hAnsi="Arial" w:cs="Arial"/>
          <w:lang w:val="en-GB" w:eastAsia="en-GB"/>
        </w:rPr>
        <w:t>The American Statistician</w:t>
      </w:r>
      <w:r w:rsidRPr="00222705">
        <w:rPr>
          <w:rFonts w:ascii="Arial" w:eastAsia="Times New Roman" w:hAnsi="Arial" w:cs="Arial"/>
          <w:shd w:val="clear" w:color="auto" w:fill="FFFFFF"/>
          <w:lang w:val="en-GB" w:eastAsia="en-GB"/>
        </w:rPr>
        <w:t>, </w:t>
      </w:r>
      <w:r w:rsidRPr="00222705">
        <w:rPr>
          <w:rFonts w:ascii="Arial" w:eastAsia="Times New Roman" w:hAnsi="Arial" w:cs="Arial"/>
          <w:lang w:val="en-GB" w:eastAsia="en-GB"/>
        </w:rPr>
        <w:t>70</w:t>
      </w:r>
      <w:r w:rsidRPr="00222705">
        <w:rPr>
          <w:rFonts w:ascii="Arial" w:eastAsia="Times New Roman" w:hAnsi="Arial" w:cs="Arial"/>
          <w:shd w:val="clear" w:color="auto" w:fill="FFFFFF"/>
          <w:lang w:val="en-GB" w:eastAsia="en-GB"/>
        </w:rPr>
        <w:t>(2), pp.129-133.</w:t>
      </w:r>
    </w:p>
    <w:p w14:paraId="15AAF98A" w14:textId="77777777" w:rsidR="009E20D5" w:rsidRPr="00222705" w:rsidRDefault="009E20D5" w:rsidP="00EF007D">
      <w:pPr>
        <w:rPr>
          <w:rFonts w:ascii="Arial" w:eastAsia="Times New Roman" w:hAnsi="Arial" w:cs="Arial"/>
          <w:shd w:val="clear" w:color="auto" w:fill="FFFFFF"/>
          <w:lang w:val="en-GB" w:eastAsia="en-GB"/>
        </w:rPr>
      </w:pPr>
    </w:p>
    <w:p w14:paraId="6F46E43A" w14:textId="3B67978B"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 xml:space="preserve">Watkins, E.R., Hayes, M., Watt, P., </w:t>
      </w:r>
      <w:proofErr w:type="spellStart"/>
      <w:r w:rsidRPr="00222705">
        <w:rPr>
          <w:rFonts w:ascii="Arial" w:hAnsi="Arial" w:cs="Arial"/>
          <w:shd w:val="clear" w:color="auto" w:fill="FFFFFF"/>
        </w:rPr>
        <w:t>Renshaw</w:t>
      </w:r>
      <w:proofErr w:type="spellEnd"/>
      <w:r w:rsidRPr="00222705">
        <w:rPr>
          <w:rFonts w:ascii="Arial" w:hAnsi="Arial" w:cs="Arial"/>
          <w:shd w:val="clear" w:color="auto" w:fill="FFFFFF"/>
        </w:rPr>
        <w:t xml:space="preserve">, D. and Richardson, A.J., 2021. Extreme occupational heat exposure is associated with elevated </w:t>
      </w:r>
      <w:proofErr w:type="spellStart"/>
      <w:r w:rsidRPr="00222705">
        <w:rPr>
          <w:rFonts w:ascii="Arial" w:hAnsi="Arial" w:cs="Arial"/>
          <w:shd w:val="clear" w:color="auto" w:fill="FFFFFF"/>
        </w:rPr>
        <w:t>haematological</w:t>
      </w:r>
      <w:proofErr w:type="spellEnd"/>
      <w:r w:rsidRPr="00222705">
        <w:rPr>
          <w:rFonts w:ascii="Arial" w:hAnsi="Arial" w:cs="Arial"/>
          <w:shd w:val="clear" w:color="auto" w:fill="FFFFFF"/>
        </w:rPr>
        <w:t xml:space="preserve"> and inflammatory markers in Fire Service Instructors. </w:t>
      </w:r>
      <w:r w:rsidRPr="00222705">
        <w:rPr>
          <w:rFonts w:ascii="Arial" w:hAnsi="Arial" w:cs="Arial"/>
        </w:rPr>
        <w:t>Experimental physiology</w:t>
      </w:r>
      <w:r w:rsidRPr="00222705">
        <w:rPr>
          <w:rFonts w:ascii="Arial" w:hAnsi="Arial" w:cs="Arial"/>
          <w:shd w:val="clear" w:color="auto" w:fill="FFFFFF"/>
        </w:rPr>
        <w:t>, </w:t>
      </w:r>
      <w:r w:rsidRPr="00222705">
        <w:rPr>
          <w:rFonts w:ascii="Arial" w:hAnsi="Arial" w:cs="Arial"/>
        </w:rPr>
        <w:t>106</w:t>
      </w:r>
      <w:r w:rsidRPr="00222705">
        <w:rPr>
          <w:rFonts w:ascii="Arial" w:hAnsi="Arial" w:cs="Arial"/>
          <w:shd w:val="clear" w:color="auto" w:fill="FFFFFF"/>
        </w:rPr>
        <w:t>(1), pp.233-243</w:t>
      </w:r>
    </w:p>
    <w:p w14:paraId="0757576D" w14:textId="77777777" w:rsidR="00553674" w:rsidRPr="00222705" w:rsidRDefault="00553674" w:rsidP="00EF007D">
      <w:pPr>
        <w:rPr>
          <w:rFonts w:ascii="Arial" w:hAnsi="Arial" w:cs="Arial"/>
        </w:rPr>
      </w:pPr>
    </w:p>
    <w:p w14:paraId="0DAE79BD" w14:textId="77777777" w:rsidR="008F4D29" w:rsidRPr="00222705" w:rsidRDefault="008F4D29" w:rsidP="00EF007D">
      <w:pPr>
        <w:rPr>
          <w:rFonts w:ascii="Arial" w:hAnsi="Arial" w:cs="Arial"/>
        </w:rPr>
      </w:pPr>
      <w:r w:rsidRPr="00222705">
        <w:rPr>
          <w:rFonts w:ascii="Arial" w:hAnsi="Arial" w:cs="Arial"/>
        </w:rPr>
        <w:t>Whelton, S.P., </w:t>
      </w:r>
      <w:proofErr w:type="spellStart"/>
      <w:r w:rsidRPr="00222705">
        <w:rPr>
          <w:rFonts w:ascii="Arial" w:hAnsi="Arial" w:cs="Arial"/>
        </w:rPr>
        <w:t>Narla</w:t>
      </w:r>
      <w:proofErr w:type="spellEnd"/>
      <w:r w:rsidRPr="00222705">
        <w:rPr>
          <w:rFonts w:ascii="Arial" w:hAnsi="Arial" w:cs="Arial"/>
        </w:rPr>
        <w:t xml:space="preserve">, V., </w:t>
      </w:r>
      <w:proofErr w:type="spellStart"/>
      <w:r w:rsidRPr="00222705">
        <w:rPr>
          <w:rFonts w:ascii="Arial" w:hAnsi="Arial" w:cs="Arial"/>
        </w:rPr>
        <w:t>Blaha</w:t>
      </w:r>
      <w:proofErr w:type="spellEnd"/>
      <w:r w:rsidRPr="00222705">
        <w:rPr>
          <w:rFonts w:ascii="Arial" w:hAnsi="Arial" w:cs="Arial"/>
        </w:rPr>
        <w:t>, M.J., Nasir, K., Blumenthal, R.S., Jenny, N.S., Al-Mallah, M.H. and </w:t>
      </w:r>
      <w:proofErr w:type="spellStart"/>
      <w:r w:rsidRPr="00222705">
        <w:rPr>
          <w:rFonts w:ascii="Arial" w:hAnsi="Arial" w:cs="Arial"/>
        </w:rPr>
        <w:t>Michos</w:t>
      </w:r>
      <w:proofErr w:type="spellEnd"/>
      <w:r w:rsidRPr="00222705">
        <w:rPr>
          <w:rFonts w:ascii="Arial" w:hAnsi="Arial" w:cs="Arial"/>
        </w:rPr>
        <w:t>, E.D., 2014. Association between resting heart rate and inflammatory biomarkers (high-sensitivity C-reactive protein, interleukin-6, and fibrinogen)(from the Multi-Ethnic Study of Atherosclerosis). The American journal of cardiology, 113(4), pp.644-649. </w:t>
      </w:r>
    </w:p>
    <w:p w14:paraId="243A4134" w14:textId="77777777" w:rsidR="009E20D5" w:rsidRPr="00222705" w:rsidRDefault="009E20D5" w:rsidP="00EF007D">
      <w:pPr>
        <w:rPr>
          <w:rFonts w:ascii="Arial" w:hAnsi="Arial" w:cs="Arial"/>
        </w:rPr>
      </w:pPr>
    </w:p>
    <w:p w14:paraId="7980F417" w14:textId="77777777" w:rsidR="008F4D29" w:rsidRPr="00222705" w:rsidRDefault="008F4D29" w:rsidP="00EF007D">
      <w:pPr>
        <w:rPr>
          <w:rFonts w:ascii="Arial" w:eastAsia="Times New Roman" w:hAnsi="Arial" w:cs="Arial"/>
          <w:shd w:val="clear" w:color="auto" w:fill="FFFFFF"/>
          <w:lang w:val="en-GB" w:eastAsia="en-GB"/>
        </w:rPr>
      </w:pPr>
      <w:r w:rsidRPr="00222705">
        <w:rPr>
          <w:rFonts w:ascii="Arial" w:eastAsia="Times New Roman" w:hAnsi="Arial" w:cs="Arial"/>
          <w:shd w:val="clear" w:color="auto" w:fill="FFFFFF"/>
          <w:lang w:val="en-GB" w:eastAsia="en-GB"/>
        </w:rPr>
        <w:t>White, A.R., 2025. Impact of wildfire smoke, heat stress and sleep deprivation on the brain health of wildland firefighters. </w:t>
      </w:r>
      <w:r w:rsidRPr="00222705">
        <w:rPr>
          <w:rFonts w:ascii="Arial" w:eastAsia="Times New Roman" w:hAnsi="Arial" w:cs="Arial"/>
          <w:lang w:val="en-GB" w:eastAsia="en-GB"/>
        </w:rPr>
        <w:t>International Journal of Wildland Fire</w:t>
      </w:r>
      <w:r w:rsidRPr="00222705">
        <w:rPr>
          <w:rFonts w:ascii="Arial" w:eastAsia="Times New Roman" w:hAnsi="Arial" w:cs="Arial"/>
          <w:shd w:val="clear" w:color="auto" w:fill="FFFFFF"/>
          <w:lang w:val="en-GB" w:eastAsia="en-GB"/>
        </w:rPr>
        <w:t>, </w:t>
      </w:r>
      <w:r w:rsidRPr="00222705">
        <w:rPr>
          <w:rFonts w:ascii="Arial" w:eastAsia="Times New Roman" w:hAnsi="Arial" w:cs="Arial"/>
          <w:lang w:val="en-GB" w:eastAsia="en-GB"/>
        </w:rPr>
        <w:t>34</w:t>
      </w:r>
      <w:r w:rsidRPr="00222705">
        <w:rPr>
          <w:rFonts w:ascii="Arial" w:eastAsia="Times New Roman" w:hAnsi="Arial" w:cs="Arial"/>
          <w:shd w:val="clear" w:color="auto" w:fill="FFFFFF"/>
          <w:lang w:val="en-GB" w:eastAsia="en-GB"/>
        </w:rPr>
        <w:t>(9), p.WF24203.</w:t>
      </w:r>
    </w:p>
    <w:p w14:paraId="713C7CD3" w14:textId="77777777" w:rsidR="009E20D5" w:rsidRPr="00222705" w:rsidRDefault="009E20D5" w:rsidP="00EF007D">
      <w:pPr>
        <w:rPr>
          <w:rFonts w:ascii="Arial" w:hAnsi="Arial" w:cs="Arial"/>
        </w:rPr>
      </w:pPr>
    </w:p>
    <w:p w14:paraId="63210B8B" w14:textId="77777777" w:rsidR="008F4D29" w:rsidRPr="00222705" w:rsidRDefault="008F4D29" w:rsidP="00EF007D">
      <w:pPr>
        <w:rPr>
          <w:rFonts w:ascii="Arial" w:hAnsi="Arial" w:cs="Arial"/>
        </w:rPr>
      </w:pPr>
      <w:r w:rsidRPr="00222705">
        <w:rPr>
          <w:rFonts w:ascii="Arial" w:hAnsi="Arial" w:cs="Arial"/>
        </w:rPr>
        <w:lastRenderedPageBreak/>
        <w:t xml:space="preserve">Williams-Bell, F.M., </w:t>
      </w:r>
      <w:proofErr w:type="spellStart"/>
      <w:r w:rsidRPr="00222705">
        <w:rPr>
          <w:rFonts w:ascii="Arial" w:hAnsi="Arial" w:cs="Arial"/>
        </w:rPr>
        <w:t>Villar</w:t>
      </w:r>
      <w:proofErr w:type="spellEnd"/>
      <w:r w:rsidRPr="00222705">
        <w:rPr>
          <w:rFonts w:ascii="Arial" w:hAnsi="Arial" w:cs="Arial"/>
        </w:rPr>
        <w:t xml:space="preserve">, R., </w:t>
      </w:r>
      <w:proofErr w:type="spellStart"/>
      <w:r w:rsidRPr="00222705">
        <w:rPr>
          <w:rFonts w:ascii="Arial" w:hAnsi="Arial" w:cs="Arial"/>
        </w:rPr>
        <w:t>Sharratt</w:t>
      </w:r>
      <w:proofErr w:type="spellEnd"/>
      <w:r w:rsidRPr="00222705">
        <w:rPr>
          <w:rFonts w:ascii="Arial" w:hAnsi="Arial" w:cs="Arial"/>
        </w:rPr>
        <w:t>, M.T. and Hughson, R.L., 2009. Physiological demands of the firefighter Candidate Physical Ability Test. Medicine and science in sports and exercise, 41(3), pp.653-662.</w:t>
      </w:r>
    </w:p>
    <w:p w14:paraId="2A682D32" w14:textId="77777777" w:rsidR="009E20D5" w:rsidRPr="00222705" w:rsidRDefault="009E20D5" w:rsidP="00EF007D">
      <w:pPr>
        <w:rPr>
          <w:rFonts w:ascii="Arial" w:hAnsi="Arial" w:cs="Arial"/>
        </w:rPr>
      </w:pPr>
    </w:p>
    <w:p w14:paraId="65B90839" w14:textId="1C76F38C" w:rsidR="008F4D29" w:rsidRPr="00222705" w:rsidRDefault="008F4D29" w:rsidP="00EF007D">
      <w:pPr>
        <w:rPr>
          <w:rFonts w:ascii="Arial" w:eastAsia="Times New Roman" w:hAnsi="Arial" w:cs="Arial"/>
          <w:kern w:val="0"/>
          <w14:ligatures w14:val="none"/>
        </w:rPr>
      </w:pPr>
      <w:r w:rsidRPr="00222705">
        <w:rPr>
          <w:rFonts w:ascii="Arial" w:hAnsi="Arial" w:cs="Arial"/>
        </w:rPr>
        <w:t xml:space="preserve">Williams, D.P., Koenig, J., </w:t>
      </w:r>
      <w:proofErr w:type="spellStart"/>
      <w:r w:rsidRPr="00222705">
        <w:rPr>
          <w:rFonts w:ascii="Arial" w:hAnsi="Arial" w:cs="Arial"/>
        </w:rPr>
        <w:t>Carnevali</w:t>
      </w:r>
      <w:proofErr w:type="spellEnd"/>
      <w:r w:rsidRPr="00222705">
        <w:rPr>
          <w:rFonts w:ascii="Arial" w:hAnsi="Arial" w:cs="Arial"/>
        </w:rPr>
        <w:t xml:space="preserve">, L., </w:t>
      </w:r>
      <w:proofErr w:type="spellStart"/>
      <w:r w:rsidRPr="00222705">
        <w:rPr>
          <w:rFonts w:ascii="Arial" w:hAnsi="Arial" w:cs="Arial"/>
        </w:rPr>
        <w:t>Sgoifo</w:t>
      </w:r>
      <w:proofErr w:type="spellEnd"/>
      <w:r w:rsidRPr="00222705">
        <w:rPr>
          <w:rFonts w:ascii="Arial" w:hAnsi="Arial" w:cs="Arial"/>
        </w:rPr>
        <w:t xml:space="preserve">, A., </w:t>
      </w:r>
      <w:proofErr w:type="spellStart"/>
      <w:r w:rsidRPr="00222705">
        <w:rPr>
          <w:rFonts w:ascii="Arial" w:hAnsi="Arial" w:cs="Arial"/>
        </w:rPr>
        <w:t>Jarczok</w:t>
      </w:r>
      <w:proofErr w:type="spellEnd"/>
      <w:r w:rsidRPr="00222705">
        <w:rPr>
          <w:rFonts w:ascii="Arial" w:hAnsi="Arial" w:cs="Arial"/>
        </w:rPr>
        <w:t>, M.N., Sternberg, E.M. and Thayer, J.F., 2019. Heart rate variability and inflammation: a meta-analysis of human studies. Brain, behavior, and immunity, 80, pp.219-226.</w:t>
      </w:r>
    </w:p>
    <w:p w14:paraId="1F295D56" w14:textId="77777777" w:rsidR="009E20D5" w:rsidRPr="00222705" w:rsidRDefault="009E20D5" w:rsidP="00EF007D">
      <w:pPr>
        <w:rPr>
          <w:rFonts w:ascii="Arial" w:eastAsia="Times New Roman" w:hAnsi="Arial" w:cs="Arial"/>
          <w:kern w:val="0"/>
          <w14:ligatures w14:val="none"/>
        </w:rPr>
      </w:pPr>
    </w:p>
    <w:p w14:paraId="067D5697" w14:textId="277E3D9E" w:rsidR="008F4D29" w:rsidRPr="00222705" w:rsidRDefault="008F4D29" w:rsidP="00EF007D">
      <w:pPr>
        <w:rPr>
          <w:rFonts w:ascii="Arial" w:hAnsi="Arial" w:cs="Arial"/>
        </w:rPr>
      </w:pPr>
      <w:proofErr w:type="spellStart"/>
      <w:r w:rsidRPr="00222705">
        <w:rPr>
          <w:rFonts w:ascii="Arial" w:hAnsi="Arial" w:cs="Arial"/>
          <w:shd w:val="clear" w:color="auto" w:fill="FFFFFF"/>
          <w:lang w:val="en-GB"/>
        </w:rPr>
        <w:t>Williford</w:t>
      </w:r>
      <w:proofErr w:type="spellEnd"/>
      <w:r w:rsidRPr="00222705">
        <w:rPr>
          <w:rFonts w:ascii="Arial" w:hAnsi="Arial" w:cs="Arial"/>
          <w:shd w:val="clear" w:color="auto" w:fill="FFFFFF"/>
          <w:lang w:val="en-GB"/>
        </w:rPr>
        <w:t xml:space="preserve">, H.N., </w:t>
      </w:r>
      <w:proofErr w:type="spellStart"/>
      <w:r w:rsidRPr="00222705">
        <w:rPr>
          <w:rFonts w:ascii="Arial" w:hAnsi="Arial" w:cs="Arial"/>
          <w:shd w:val="clear" w:color="auto" w:fill="FFFFFF"/>
          <w:lang w:val="en-GB"/>
        </w:rPr>
        <w:t>Duey</w:t>
      </w:r>
      <w:proofErr w:type="spellEnd"/>
      <w:r w:rsidRPr="00222705">
        <w:rPr>
          <w:rFonts w:ascii="Arial" w:hAnsi="Arial" w:cs="Arial"/>
          <w:shd w:val="clear" w:color="auto" w:fill="FFFFFF"/>
          <w:lang w:val="en-GB"/>
        </w:rPr>
        <w:t>, W.J., Olson, M.S., Howard, R. and Wang, N., 1999. Relationship between fire fighting suppression tasks and physical fitness. </w:t>
      </w:r>
      <w:r w:rsidRPr="00222705">
        <w:rPr>
          <w:rFonts w:ascii="Arial" w:hAnsi="Arial" w:cs="Arial"/>
          <w:lang w:val="en-GB"/>
        </w:rPr>
        <w:t>Ergonomics</w:t>
      </w:r>
      <w:r w:rsidRPr="00222705">
        <w:rPr>
          <w:rFonts w:ascii="Arial" w:hAnsi="Arial" w:cs="Arial"/>
          <w:shd w:val="clear" w:color="auto" w:fill="FFFFFF"/>
          <w:lang w:val="en-GB"/>
        </w:rPr>
        <w:t>, </w:t>
      </w:r>
      <w:r w:rsidRPr="00222705">
        <w:rPr>
          <w:rFonts w:ascii="Arial" w:hAnsi="Arial" w:cs="Arial"/>
          <w:lang w:val="en-GB"/>
        </w:rPr>
        <w:t>42</w:t>
      </w:r>
      <w:r w:rsidRPr="00222705">
        <w:rPr>
          <w:rFonts w:ascii="Arial" w:hAnsi="Arial" w:cs="Arial"/>
          <w:shd w:val="clear" w:color="auto" w:fill="FFFFFF"/>
          <w:lang w:val="en-GB"/>
        </w:rPr>
        <w:t>(9), pp.1179-1186.</w:t>
      </w:r>
      <w:r w:rsidRPr="00222705">
        <w:rPr>
          <w:rFonts w:ascii="Arial" w:hAnsi="Arial" w:cs="Arial"/>
        </w:rPr>
        <w:t> </w:t>
      </w:r>
    </w:p>
    <w:p w14:paraId="16DA5BE5" w14:textId="77777777" w:rsidR="009E20D5" w:rsidRPr="00222705" w:rsidRDefault="009E20D5" w:rsidP="00EF007D">
      <w:pPr>
        <w:rPr>
          <w:rFonts w:ascii="Arial" w:hAnsi="Arial" w:cs="Arial"/>
        </w:rPr>
      </w:pPr>
    </w:p>
    <w:p w14:paraId="116F9734" w14:textId="77777777" w:rsidR="008F4D29" w:rsidRPr="00222705" w:rsidRDefault="008F4D29" w:rsidP="00EF007D">
      <w:pPr>
        <w:rPr>
          <w:rFonts w:ascii="Arial" w:hAnsi="Arial" w:cs="Arial"/>
        </w:rPr>
      </w:pPr>
      <w:r w:rsidRPr="00222705">
        <w:rPr>
          <w:rFonts w:ascii="Arial" w:hAnsi="Arial" w:cs="Arial"/>
        </w:rPr>
        <w:t xml:space="preserve">Windisch, S., </w:t>
      </w:r>
      <w:proofErr w:type="spellStart"/>
      <w:r w:rsidRPr="00222705">
        <w:rPr>
          <w:rFonts w:ascii="Arial" w:hAnsi="Arial" w:cs="Arial"/>
        </w:rPr>
        <w:t>Seiberl</w:t>
      </w:r>
      <w:proofErr w:type="spellEnd"/>
      <w:r w:rsidRPr="00222705">
        <w:rPr>
          <w:rFonts w:ascii="Arial" w:hAnsi="Arial" w:cs="Arial"/>
        </w:rPr>
        <w:t xml:space="preserve">, W., Hahn, D. and </w:t>
      </w:r>
      <w:proofErr w:type="spellStart"/>
      <w:r w:rsidRPr="00222705">
        <w:rPr>
          <w:rFonts w:ascii="Arial" w:hAnsi="Arial" w:cs="Arial"/>
        </w:rPr>
        <w:t>Schwirtz</w:t>
      </w:r>
      <w:proofErr w:type="spellEnd"/>
      <w:r w:rsidRPr="00222705">
        <w:rPr>
          <w:rFonts w:ascii="Arial" w:hAnsi="Arial" w:cs="Arial"/>
        </w:rPr>
        <w:t>, A., 2017. Physiological responses to firefighting in extreme temperatures do not compare to firefighting in temperate conditions. Frontiers in physiology, 8, p.619.</w:t>
      </w:r>
    </w:p>
    <w:p w14:paraId="6C38F924" w14:textId="77777777" w:rsidR="00553674" w:rsidRPr="00222705" w:rsidRDefault="00553674" w:rsidP="00EF007D">
      <w:pPr>
        <w:rPr>
          <w:rFonts w:ascii="Arial" w:hAnsi="Arial" w:cs="Arial"/>
        </w:rPr>
      </w:pPr>
    </w:p>
    <w:p w14:paraId="01087026" w14:textId="77777777" w:rsidR="008F4D29" w:rsidRPr="00222705" w:rsidRDefault="008F4D29" w:rsidP="00EF007D">
      <w:pPr>
        <w:rPr>
          <w:rFonts w:ascii="Arial" w:eastAsia="Aptos" w:hAnsi="Arial" w:cs="Arial"/>
        </w:rPr>
      </w:pPr>
      <w:bookmarkStart w:id="89" w:name="OLE_LINK20"/>
      <w:r w:rsidRPr="00222705">
        <w:rPr>
          <w:rFonts w:ascii="Arial" w:eastAsia="Aptos" w:hAnsi="Arial" w:cs="Arial"/>
        </w:rPr>
        <w:t>Wohlgemuth, K.J., Conner, M.J., Tinsley, G.M., Palmer, T.B. and Mota, J.A., 2024. Strategies for improving firefighter health on-shift: A review. Journal of Functional Morphology and Kinesiology, 9(2), p.105.</w:t>
      </w:r>
    </w:p>
    <w:p w14:paraId="00D2600A" w14:textId="77777777" w:rsidR="009E20D5" w:rsidRPr="00222705" w:rsidRDefault="009E20D5" w:rsidP="00EF007D">
      <w:pPr>
        <w:rPr>
          <w:rFonts w:ascii="Arial" w:eastAsia="Aptos" w:hAnsi="Arial" w:cs="Arial"/>
        </w:rPr>
      </w:pPr>
    </w:p>
    <w:bookmarkEnd w:id="89"/>
    <w:p w14:paraId="3BC31581" w14:textId="77777777" w:rsidR="008F4D29" w:rsidRPr="00222705" w:rsidRDefault="008F4D29" w:rsidP="00EF007D">
      <w:pPr>
        <w:rPr>
          <w:rFonts w:ascii="Arial" w:hAnsi="Arial" w:cs="Arial"/>
        </w:rPr>
      </w:pPr>
      <w:r w:rsidRPr="00222705">
        <w:rPr>
          <w:rFonts w:ascii="Arial" w:hAnsi="Arial" w:cs="Arial"/>
        </w:rPr>
        <w:t xml:space="preserve">Wolk, R., </w:t>
      </w:r>
      <w:proofErr w:type="spellStart"/>
      <w:r w:rsidRPr="00222705">
        <w:rPr>
          <w:rFonts w:ascii="Arial" w:hAnsi="Arial" w:cs="Arial"/>
        </w:rPr>
        <w:t>Gami</w:t>
      </w:r>
      <w:proofErr w:type="spellEnd"/>
      <w:r w:rsidRPr="00222705">
        <w:rPr>
          <w:rFonts w:ascii="Arial" w:hAnsi="Arial" w:cs="Arial"/>
        </w:rPr>
        <w:t xml:space="preserve">, A.S., </w:t>
      </w:r>
      <w:proofErr w:type="spellStart"/>
      <w:r w:rsidRPr="00222705">
        <w:rPr>
          <w:rFonts w:ascii="Arial" w:hAnsi="Arial" w:cs="Arial"/>
        </w:rPr>
        <w:t>Garcia-Touchard</w:t>
      </w:r>
      <w:proofErr w:type="spellEnd"/>
      <w:r w:rsidRPr="00222705">
        <w:rPr>
          <w:rFonts w:ascii="Arial" w:hAnsi="Arial" w:cs="Arial"/>
        </w:rPr>
        <w:t>, A. and Somers, V.K., 2005. Sleep and cardiovascular disease. Current problems in cardiology, 30(12), pp.625-662.</w:t>
      </w:r>
    </w:p>
    <w:p w14:paraId="5DABD2E6" w14:textId="77777777" w:rsidR="009E20D5" w:rsidRPr="00222705" w:rsidRDefault="009E20D5" w:rsidP="00EF007D">
      <w:pPr>
        <w:rPr>
          <w:rFonts w:ascii="Arial" w:hAnsi="Arial" w:cs="Arial"/>
        </w:rPr>
      </w:pPr>
    </w:p>
    <w:p w14:paraId="461CDC71" w14:textId="77777777" w:rsidR="008F4D29" w:rsidRPr="00222705" w:rsidRDefault="008F4D29" w:rsidP="00EF007D">
      <w:pPr>
        <w:rPr>
          <w:rFonts w:ascii="Arial" w:hAnsi="Arial" w:cs="Arial"/>
        </w:rPr>
      </w:pPr>
      <w:r w:rsidRPr="00222705">
        <w:rPr>
          <w:rFonts w:ascii="Arial" w:hAnsi="Arial" w:cs="Arial"/>
        </w:rPr>
        <w:t xml:space="preserve">Wolkow, A., </w:t>
      </w:r>
      <w:proofErr w:type="spellStart"/>
      <w:r w:rsidRPr="00222705">
        <w:rPr>
          <w:rFonts w:ascii="Arial" w:hAnsi="Arial" w:cs="Arial"/>
        </w:rPr>
        <w:t>Aisbett</w:t>
      </w:r>
      <w:proofErr w:type="spellEnd"/>
      <w:r w:rsidRPr="00222705">
        <w:rPr>
          <w:rFonts w:ascii="Arial" w:hAnsi="Arial" w:cs="Arial"/>
        </w:rPr>
        <w:t xml:space="preserve">, B., </w:t>
      </w:r>
      <w:proofErr w:type="spellStart"/>
      <w:r w:rsidRPr="00222705">
        <w:rPr>
          <w:rFonts w:ascii="Arial" w:hAnsi="Arial" w:cs="Arial"/>
        </w:rPr>
        <w:t>Jefferies</w:t>
      </w:r>
      <w:proofErr w:type="spellEnd"/>
      <w:r w:rsidRPr="00222705">
        <w:rPr>
          <w:rFonts w:ascii="Arial" w:hAnsi="Arial" w:cs="Arial"/>
        </w:rPr>
        <w:t>, S. and Main, L.C., 2017. Effect of heat exposure and simulated physical firefighting work on acute inflammatory and cortisol responses. Annals of work exposures and health, 61(5), pp.600-603.</w:t>
      </w:r>
    </w:p>
    <w:p w14:paraId="39C68816" w14:textId="77777777" w:rsidR="009E20D5" w:rsidRPr="00222705" w:rsidRDefault="009E20D5" w:rsidP="00EF007D">
      <w:pPr>
        <w:rPr>
          <w:rFonts w:ascii="Arial" w:hAnsi="Arial" w:cs="Arial"/>
        </w:rPr>
      </w:pPr>
    </w:p>
    <w:p w14:paraId="5C41B38A" w14:textId="77777777" w:rsidR="008F4D29" w:rsidRPr="00222705" w:rsidRDefault="008F4D29" w:rsidP="00EF007D">
      <w:pPr>
        <w:rPr>
          <w:rFonts w:ascii="Arial" w:eastAsia="Times New Roman" w:hAnsi="Arial" w:cs="Arial"/>
          <w:shd w:val="clear" w:color="auto" w:fill="FFFFFF"/>
          <w:lang w:val="en-GB" w:eastAsia="en-GB"/>
        </w:rPr>
      </w:pPr>
      <w:r w:rsidRPr="00222705">
        <w:rPr>
          <w:rFonts w:ascii="Arial" w:eastAsia="Times New Roman" w:hAnsi="Arial" w:cs="Arial"/>
          <w:shd w:val="clear" w:color="auto" w:fill="FFFFFF"/>
          <w:lang w:val="en-GB" w:eastAsia="en-GB"/>
        </w:rPr>
        <w:t xml:space="preserve">Wolkow, A., Ferguson, S.A., Vincent, G.E., Larsen, B., </w:t>
      </w:r>
      <w:proofErr w:type="spellStart"/>
      <w:r w:rsidRPr="00222705">
        <w:rPr>
          <w:rFonts w:ascii="Arial" w:eastAsia="Times New Roman" w:hAnsi="Arial" w:cs="Arial"/>
          <w:shd w:val="clear" w:color="auto" w:fill="FFFFFF"/>
          <w:lang w:val="en-GB" w:eastAsia="en-GB"/>
        </w:rPr>
        <w:t>Aisbett</w:t>
      </w:r>
      <w:proofErr w:type="spellEnd"/>
      <w:r w:rsidRPr="00222705">
        <w:rPr>
          <w:rFonts w:ascii="Arial" w:eastAsia="Times New Roman" w:hAnsi="Arial" w:cs="Arial"/>
          <w:shd w:val="clear" w:color="auto" w:fill="FFFFFF"/>
          <w:lang w:val="en-GB" w:eastAsia="en-GB"/>
        </w:rPr>
        <w:t>, B. and Main, L.C., 2015. The impact of sleep restriction and simulated physical firefighting work on acute inflammatory stress responses. </w:t>
      </w:r>
      <w:r w:rsidRPr="00222705">
        <w:rPr>
          <w:rFonts w:ascii="Arial" w:eastAsia="Times New Roman" w:hAnsi="Arial" w:cs="Arial"/>
          <w:lang w:val="en-GB" w:eastAsia="en-GB"/>
        </w:rPr>
        <w:t>PLoS One</w:t>
      </w:r>
      <w:r w:rsidRPr="00222705">
        <w:rPr>
          <w:rFonts w:ascii="Arial" w:eastAsia="Times New Roman" w:hAnsi="Arial" w:cs="Arial"/>
          <w:shd w:val="clear" w:color="auto" w:fill="FFFFFF"/>
          <w:lang w:val="en-GB" w:eastAsia="en-GB"/>
        </w:rPr>
        <w:t>, </w:t>
      </w:r>
      <w:r w:rsidRPr="00222705">
        <w:rPr>
          <w:rFonts w:ascii="Arial" w:eastAsia="Times New Roman" w:hAnsi="Arial" w:cs="Arial"/>
          <w:lang w:val="en-GB" w:eastAsia="en-GB"/>
        </w:rPr>
        <w:t>10</w:t>
      </w:r>
      <w:r w:rsidRPr="00222705">
        <w:rPr>
          <w:rFonts w:ascii="Arial" w:eastAsia="Times New Roman" w:hAnsi="Arial" w:cs="Arial"/>
          <w:shd w:val="clear" w:color="auto" w:fill="FFFFFF"/>
          <w:lang w:val="en-GB" w:eastAsia="en-GB"/>
        </w:rPr>
        <w:t>(9), p.e0138128.</w:t>
      </w:r>
    </w:p>
    <w:p w14:paraId="3B2D48EF" w14:textId="77777777" w:rsidR="009E20D5" w:rsidRPr="00222705" w:rsidRDefault="009E20D5" w:rsidP="00EF007D">
      <w:pPr>
        <w:rPr>
          <w:rFonts w:ascii="Arial" w:hAnsi="Arial" w:cs="Arial"/>
        </w:rPr>
      </w:pPr>
    </w:p>
    <w:p w14:paraId="5F91A2D4" w14:textId="77777777" w:rsidR="008F4D29" w:rsidRPr="00222705" w:rsidRDefault="008F4D29" w:rsidP="00EF007D">
      <w:pPr>
        <w:rPr>
          <w:rFonts w:ascii="Arial" w:eastAsia="Aptos" w:hAnsi="Arial" w:cs="Arial"/>
          <w:lang w:val="en-GB"/>
        </w:rPr>
      </w:pPr>
      <w:r w:rsidRPr="00222705">
        <w:rPr>
          <w:rFonts w:ascii="Arial" w:eastAsia="Aptos" w:hAnsi="Arial" w:cs="Arial"/>
          <w:lang w:val="en-GB"/>
        </w:rPr>
        <w:lastRenderedPageBreak/>
        <w:t xml:space="preserve">Wright-Beatty, H.E., </w:t>
      </w:r>
      <w:proofErr w:type="spellStart"/>
      <w:r w:rsidRPr="00222705">
        <w:rPr>
          <w:rFonts w:ascii="Arial" w:eastAsia="Aptos" w:hAnsi="Arial" w:cs="Arial"/>
          <w:lang w:val="en-GB"/>
        </w:rPr>
        <w:t>McLellan</w:t>
      </w:r>
      <w:proofErr w:type="spellEnd"/>
      <w:r w:rsidRPr="00222705">
        <w:rPr>
          <w:rFonts w:ascii="Arial" w:eastAsia="Aptos" w:hAnsi="Arial" w:cs="Arial"/>
          <w:lang w:val="en-GB"/>
        </w:rPr>
        <w:t xml:space="preserve">, T.M., Larose, J., </w:t>
      </w:r>
      <w:proofErr w:type="spellStart"/>
      <w:r w:rsidRPr="00222705">
        <w:rPr>
          <w:rFonts w:ascii="Arial" w:eastAsia="Aptos" w:hAnsi="Arial" w:cs="Arial"/>
          <w:lang w:val="en-GB"/>
        </w:rPr>
        <w:t>Sigal</w:t>
      </w:r>
      <w:proofErr w:type="spellEnd"/>
      <w:r w:rsidRPr="00222705">
        <w:rPr>
          <w:rFonts w:ascii="Arial" w:eastAsia="Aptos" w:hAnsi="Arial" w:cs="Arial"/>
          <w:lang w:val="en-GB"/>
        </w:rPr>
        <w:t>, R.J., Boulay, P. and Kenny, G.P., 2014. Inflammatory responses of older firefighters to intermittent exercise in the heat. European journal of applied physiology, 114(6), pp.1163-1174.</w:t>
      </w:r>
    </w:p>
    <w:p w14:paraId="4FE2AB28" w14:textId="77777777" w:rsidR="009E20D5" w:rsidRPr="00222705" w:rsidRDefault="009E20D5" w:rsidP="00EF007D">
      <w:pPr>
        <w:rPr>
          <w:rFonts w:ascii="Arial" w:eastAsia="Aptos" w:hAnsi="Arial" w:cs="Arial"/>
        </w:rPr>
      </w:pPr>
    </w:p>
    <w:p w14:paraId="712075DB" w14:textId="77777777" w:rsidR="008F4D29" w:rsidRPr="00222705" w:rsidRDefault="008F4D29" w:rsidP="00EF007D">
      <w:pPr>
        <w:rPr>
          <w:rFonts w:ascii="Arial" w:eastAsia="Times New Roman" w:hAnsi="Arial" w:cs="Arial"/>
          <w:shd w:val="clear" w:color="auto" w:fill="FFFFFF"/>
          <w:lang w:val="en-GB" w:eastAsia="en-GB"/>
        </w:rPr>
      </w:pPr>
      <w:r w:rsidRPr="00222705">
        <w:rPr>
          <w:rFonts w:ascii="Arial" w:eastAsia="Times New Roman" w:hAnsi="Arial" w:cs="Arial"/>
          <w:shd w:val="clear" w:color="auto" w:fill="FFFFFF"/>
          <w:lang w:val="en-GB" w:eastAsia="en-GB"/>
        </w:rPr>
        <w:t xml:space="preserve">Wright, H.E., Larose, J., </w:t>
      </w:r>
      <w:proofErr w:type="spellStart"/>
      <w:r w:rsidRPr="00222705">
        <w:rPr>
          <w:rFonts w:ascii="Arial" w:eastAsia="Times New Roman" w:hAnsi="Arial" w:cs="Arial"/>
          <w:shd w:val="clear" w:color="auto" w:fill="FFFFFF"/>
          <w:lang w:val="en-GB" w:eastAsia="en-GB"/>
        </w:rPr>
        <w:t>McLellan</w:t>
      </w:r>
      <w:proofErr w:type="spellEnd"/>
      <w:r w:rsidRPr="00222705">
        <w:rPr>
          <w:rFonts w:ascii="Arial" w:eastAsia="Times New Roman" w:hAnsi="Arial" w:cs="Arial"/>
          <w:shd w:val="clear" w:color="auto" w:fill="FFFFFF"/>
          <w:lang w:val="en-GB" w:eastAsia="en-GB"/>
        </w:rPr>
        <w:t>, T.M., Miller, S., Boulay, P. and Kenny, G.P., 2013. Do older firefighters show long-term adaptations to work in the heat?. </w:t>
      </w:r>
      <w:r w:rsidRPr="00222705">
        <w:rPr>
          <w:rFonts w:ascii="Arial" w:eastAsia="Times New Roman" w:hAnsi="Arial" w:cs="Arial"/>
          <w:lang w:val="en-GB" w:eastAsia="en-GB"/>
        </w:rPr>
        <w:t>Journal of occupational and environmental hygiene</w:t>
      </w:r>
      <w:r w:rsidRPr="00222705">
        <w:rPr>
          <w:rFonts w:ascii="Arial" w:eastAsia="Times New Roman" w:hAnsi="Arial" w:cs="Arial"/>
          <w:shd w:val="clear" w:color="auto" w:fill="FFFFFF"/>
          <w:lang w:val="en-GB" w:eastAsia="en-GB"/>
        </w:rPr>
        <w:t>, </w:t>
      </w:r>
      <w:r w:rsidRPr="00222705">
        <w:rPr>
          <w:rFonts w:ascii="Arial" w:eastAsia="Times New Roman" w:hAnsi="Arial" w:cs="Arial"/>
          <w:lang w:val="en-GB" w:eastAsia="en-GB"/>
        </w:rPr>
        <w:t>10</w:t>
      </w:r>
      <w:r w:rsidRPr="00222705">
        <w:rPr>
          <w:rFonts w:ascii="Arial" w:eastAsia="Times New Roman" w:hAnsi="Arial" w:cs="Arial"/>
          <w:shd w:val="clear" w:color="auto" w:fill="FFFFFF"/>
          <w:lang w:val="en-GB" w:eastAsia="en-GB"/>
        </w:rPr>
        <w:t>(12), pp.705-715.</w:t>
      </w:r>
    </w:p>
    <w:p w14:paraId="636E86DB" w14:textId="77777777" w:rsidR="009E20D5" w:rsidRPr="00222705" w:rsidRDefault="009E20D5" w:rsidP="00EF007D">
      <w:pPr>
        <w:rPr>
          <w:rFonts w:ascii="Arial" w:eastAsia="Times New Roman" w:hAnsi="Arial" w:cs="Arial"/>
          <w:shd w:val="clear" w:color="auto" w:fill="FFFFFF"/>
          <w:lang w:val="en-GB" w:eastAsia="en-GB"/>
        </w:rPr>
      </w:pPr>
    </w:p>
    <w:p w14:paraId="41E82A92" w14:textId="77777777" w:rsidR="00950D6F" w:rsidRPr="00222705" w:rsidRDefault="008F4D29" w:rsidP="00EF007D">
      <w:pPr>
        <w:rPr>
          <w:rFonts w:ascii="Arial" w:eastAsia="Times New Roman" w:hAnsi="Arial" w:cs="Arial"/>
          <w:kern w:val="0"/>
          <w14:ligatures w14:val="none"/>
        </w:rPr>
      </w:pPr>
      <w:proofErr w:type="spellStart"/>
      <w:r w:rsidRPr="00222705">
        <w:rPr>
          <w:rFonts w:ascii="Arial" w:eastAsia="Times New Roman" w:hAnsi="Arial" w:cs="Arial"/>
          <w:kern w:val="0"/>
          <w14:ligatures w14:val="none"/>
        </w:rPr>
        <w:t>Würzburger</w:t>
      </w:r>
      <w:proofErr w:type="spellEnd"/>
      <w:r w:rsidRPr="00222705">
        <w:rPr>
          <w:rFonts w:ascii="Arial" w:eastAsia="Times New Roman" w:hAnsi="Arial" w:cs="Arial"/>
          <w:kern w:val="0"/>
          <w14:ligatures w14:val="none"/>
        </w:rPr>
        <w:t>, L., van der </w:t>
      </w:r>
      <w:proofErr w:type="spellStart"/>
      <w:r w:rsidRPr="00222705">
        <w:rPr>
          <w:rFonts w:ascii="Arial" w:eastAsia="Times New Roman" w:hAnsi="Arial" w:cs="Arial"/>
          <w:kern w:val="0"/>
          <w14:ligatures w14:val="none"/>
        </w:rPr>
        <w:t>Stouwe</w:t>
      </w:r>
      <w:proofErr w:type="spellEnd"/>
      <w:r w:rsidRPr="00222705">
        <w:rPr>
          <w:rFonts w:ascii="Arial" w:eastAsia="Times New Roman" w:hAnsi="Arial" w:cs="Arial"/>
          <w:kern w:val="0"/>
          <w14:ligatures w14:val="none"/>
        </w:rPr>
        <w:t>, J.G., </w:t>
      </w:r>
      <w:proofErr w:type="spellStart"/>
      <w:r w:rsidRPr="00222705">
        <w:rPr>
          <w:rFonts w:ascii="Arial" w:eastAsia="Times New Roman" w:hAnsi="Arial" w:cs="Arial"/>
          <w:kern w:val="0"/>
          <w14:ligatures w14:val="none"/>
        </w:rPr>
        <w:t>Ghidoni</w:t>
      </w:r>
      <w:proofErr w:type="spellEnd"/>
      <w:r w:rsidRPr="00222705">
        <w:rPr>
          <w:rFonts w:ascii="Arial" w:eastAsia="Times New Roman" w:hAnsi="Arial" w:cs="Arial"/>
          <w:kern w:val="0"/>
          <w14:ligatures w14:val="none"/>
        </w:rPr>
        <w:t xml:space="preserve">, C., </w:t>
      </w:r>
      <w:proofErr w:type="spellStart"/>
      <w:r w:rsidRPr="00222705">
        <w:rPr>
          <w:rFonts w:ascii="Arial" w:eastAsia="Times New Roman" w:hAnsi="Arial" w:cs="Arial"/>
          <w:kern w:val="0"/>
          <w14:ligatures w14:val="none"/>
        </w:rPr>
        <w:t>Wiech</w:t>
      </w:r>
      <w:proofErr w:type="spellEnd"/>
      <w:r w:rsidRPr="00222705">
        <w:rPr>
          <w:rFonts w:ascii="Arial" w:eastAsia="Times New Roman" w:hAnsi="Arial" w:cs="Arial"/>
          <w:kern w:val="0"/>
          <w14:ligatures w14:val="none"/>
        </w:rPr>
        <w:t xml:space="preserve">, P., Moser, G., </w:t>
      </w:r>
      <w:proofErr w:type="spellStart"/>
      <w:r w:rsidRPr="00222705">
        <w:rPr>
          <w:rFonts w:ascii="Arial" w:eastAsia="Times New Roman" w:hAnsi="Arial" w:cs="Arial"/>
          <w:kern w:val="0"/>
          <w14:ligatures w14:val="none"/>
        </w:rPr>
        <w:t>Petrasch</w:t>
      </w:r>
      <w:proofErr w:type="spellEnd"/>
      <w:r w:rsidRPr="00222705">
        <w:rPr>
          <w:rFonts w:ascii="Arial" w:eastAsia="Times New Roman" w:hAnsi="Arial" w:cs="Arial"/>
          <w:kern w:val="0"/>
          <w14:ligatures w14:val="none"/>
        </w:rPr>
        <w:t xml:space="preserve">, G., </w:t>
      </w:r>
      <w:proofErr w:type="spellStart"/>
      <w:r w:rsidRPr="00222705">
        <w:rPr>
          <w:rFonts w:ascii="Arial" w:eastAsia="Times New Roman" w:hAnsi="Arial" w:cs="Arial"/>
          <w:kern w:val="0"/>
          <w14:ligatures w14:val="none"/>
        </w:rPr>
        <w:t>Schweiger</w:t>
      </w:r>
      <w:proofErr w:type="spellEnd"/>
      <w:r w:rsidRPr="00222705">
        <w:rPr>
          <w:rFonts w:ascii="Arial" w:eastAsia="Times New Roman" w:hAnsi="Arial" w:cs="Arial"/>
          <w:kern w:val="0"/>
          <w14:ligatures w14:val="none"/>
        </w:rPr>
        <w:t xml:space="preserve">, V., Bohm, P., Rossi, V.A., </w:t>
      </w:r>
      <w:proofErr w:type="spellStart"/>
      <w:r w:rsidRPr="00222705">
        <w:rPr>
          <w:rFonts w:ascii="Arial" w:eastAsia="Times New Roman" w:hAnsi="Arial" w:cs="Arial"/>
          <w:kern w:val="0"/>
          <w14:ligatures w14:val="none"/>
        </w:rPr>
        <w:t>Templin</w:t>
      </w:r>
      <w:proofErr w:type="spellEnd"/>
      <w:r w:rsidRPr="00222705">
        <w:rPr>
          <w:rFonts w:ascii="Arial" w:eastAsia="Times New Roman" w:hAnsi="Arial" w:cs="Arial"/>
          <w:kern w:val="0"/>
          <w14:ligatures w14:val="none"/>
        </w:rPr>
        <w:t xml:space="preserve">, C. and </w:t>
      </w:r>
      <w:proofErr w:type="spellStart"/>
      <w:r w:rsidRPr="00222705">
        <w:rPr>
          <w:rFonts w:ascii="Arial" w:eastAsia="Times New Roman" w:hAnsi="Arial" w:cs="Arial"/>
          <w:kern w:val="0"/>
          <w14:ligatures w14:val="none"/>
        </w:rPr>
        <w:t>Caselli</w:t>
      </w:r>
      <w:proofErr w:type="spellEnd"/>
      <w:r w:rsidRPr="00222705">
        <w:rPr>
          <w:rFonts w:ascii="Arial" w:eastAsia="Times New Roman" w:hAnsi="Arial" w:cs="Arial"/>
          <w:kern w:val="0"/>
          <w14:ligatures w14:val="none"/>
        </w:rPr>
        <w:t xml:space="preserve">, S., 2024. Blood pressure behavior during </w:t>
      </w:r>
      <w:proofErr w:type="spellStart"/>
      <w:r w:rsidRPr="00222705">
        <w:rPr>
          <w:rFonts w:ascii="Arial" w:eastAsia="Times New Roman" w:hAnsi="Arial" w:cs="Arial"/>
          <w:kern w:val="0"/>
          <w14:ligatures w14:val="none"/>
        </w:rPr>
        <w:t>exercisein</w:t>
      </w:r>
      <w:proofErr w:type="spellEnd"/>
      <w:r w:rsidRPr="00222705">
        <w:rPr>
          <w:rFonts w:ascii="Arial" w:eastAsia="Times New Roman" w:hAnsi="Arial" w:cs="Arial"/>
          <w:kern w:val="0"/>
          <w14:ligatures w14:val="none"/>
        </w:rPr>
        <w:t> patients with diastolic dysfunction and a hypertensive response to exercise. The Journal of Clinical Hypertension, 26(11), pp.1209-1218.</w:t>
      </w:r>
    </w:p>
    <w:p w14:paraId="05564068" w14:textId="121EC7EB"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 </w:t>
      </w:r>
    </w:p>
    <w:p w14:paraId="58F19432" w14:textId="77777777" w:rsidR="008F4D29" w:rsidRPr="00222705" w:rsidRDefault="008F4D29" w:rsidP="00EF007D">
      <w:pPr>
        <w:rPr>
          <w:rFonts w:ascii="Arial" w:hAnsi="Arial" w:cs="Arial"/>
        </w:rPr>
      </w:pPr>
      <w:r w:rsidRPr="00222705">
        <w:rPr>
          <w:rFonts w:ascii="Arial" w:hAnsi="Arial" w:cs="Arial"/>
        </w:rPr>
        <w:t xml:space="preserve">Xu, J., </w:t>
      </w:r>
      <w:proofErr w:type="spellStart"/>
      <w:r w:rsidRPr="00222705">
        <w:rPr>
          <w:rFonts w:ascii="Arial" w:hAnsi="Arial" w:cs="Arial"/>
        </w:rPr>
        <w:t>Haigney</w:t>
      </w:r>
      <w:proofErr w:type="spellEnd"/>
      <w:r w:rsidRPr="00222705">
        <w:rPr>
          <w:rFonts w:ascii="Arial" w:hAnsi="Arial" w:cs="Arial"/>
        </w:rPr>
        <w:t xml:space="preserve">, M.C., Levine, B.D. and </w:t>
      </w:r>
      <w:proofErr w:type="spellStart"/>
      <w:r w:rsidRPr="00222705">
        <w:rPr>
          <w:rFonts w:ascii="Arial" w:hAnsi="Arial" w:cs="Arial"/>
        </w:rPr>
        <w:t>Dineen</w:t>
      </w:r>
      <w:proofErr w:type="spellEnd"/>
      <w:r w:rsidRPr="00222705">
        <w:rPr>
          <w:rFonts w:ascii="Arial" w:hAnsi="Arial" w:cs="Arial"/>
        </w:rPr>
        <w:t>, E.H., 2024. The tactical athlete: definitions, cardiovascular assessment, and management, and “fit for duty” standards. Cardiac Electrophysiology Clinics, 16(1), pp.93-105.</w:t>
      </w:r>
    </w:p>
    <w:p w14:paraId="671AEC1A" w14:textId="77777777" w:rsidR="009E20D5" w:rsidRPr="00222705" w:rsidRDefault="009E20D5" w:rsidP="00EF007D">
      <w:pPr>
        <w:rPr>
          <w:rFonts w:ascii="Arial" w:hAnsi="Arial" w:cs="Arial"/>
        </w:rPr>
      </w:pPr>
    </w:p>
    <w:p w14:paraId="46CF27C4" w14:textId="77777777" w:rsidR="008F4D29" w:rsidRPr="00222705" w:rsidRDefault="008F4D29" w:rsidP="00EF007D">
      <w:pPr>
        <w:rPr>
          <w:rFonts w:ascii="Arial" w:hAnsi="Arial" w:cs="Arial"/>
        </w:rPr>
      </w:pPr>
      <w:r w:rsidRPr="00222705">
        <w:rPr>
          <w:rFonts w:ascii="Arial" w:hAnsi="Arial" w:cs="Arial"/>
        </w:rPr>
        <w:t>Yamagata, K., 2020. Prevention of endothelial dysfunction and cardiovascular disease by n-3 fatty acids-inhibiting action on oxidative stress and inflammation. Current pharmaceutical design, 26(30), pp.3652-3666. </w:t>
      </w:r>
    </w:p>
    <w:p w14:paraId="5A897045" w14:textId="77777777" w:rsidR="009E20D5" w:rsidRPr="00222705" w:rsidRDefault="009E20D5" w:rsidP="00EF007D">
      <w:pPr>
        <w:rPr>
          <w:rFonts w:ascii="Arial" w:hAnsi="Arial" w:cs="Arial"/>
        </w:rPr>
      </w:pPr>
    </w:p>
    <w:p w14:paraId="14356FBC" w14:textId="77777777" w:rsidR="008F4D29" w:rsidRPr="00222705" w:rsidRDefault="008F4D29" w:rsidP="00EF007D">
      <w:pPr>
        <w:rPr>
          <w:rFonts w:ascii="Arial" w:hAnsi="Arial" w:cs="Arial"/>
        </w:rPr>
      </w:pPr>
      <w:r w:rsidRPr="00222705">
        <w:rPr>
          <w:rFonts w:ascii="Arial" w:hAnsi="Arial" w:cs="Arial"/>
        </w:rPr>
        <w:t>Yamasaki, F., Schwartz, J.E., Gerber, L.M., Warren, K. and Pickering, T.G., 1998. Impact of shift work and race/ethnicity on the diurnal rhythm of blood pressure and catecholamines. Hypertension, 32(3), pp.417-423.</w:t>
      </w:r>
    </w:p>
    <w:p w14:paraId="01B0F1D2" w14:textId="77777777" w:rsidR="009E20D5" w:rsidRPr="00222705" w:rsidRDefault="009E20D5" w:rsidP="00EF007D">
      <w:pPr>
        <w:rPr>
          <w:rFonts w:ascii="Arial" w:hAnsi="Arial" w:cs="Arial"/>
        </w:rPr>
      </w:pPr>
    </w:p>
    <w:p w14:paraId="610C377E" w14:textId="77777777" w:rsidR="008F4D29" w:rsidRPr="00222705" w:rsidRDefault="008F4D29" w:rsidP="00EF007D">
      <w:pPr>
        <w:rPr>
          <w:rFonts w:ascii="Arial" w:eastAsiaTheme="minorEastAsia" w:hAnsi="Arial" w:cs="Arial"/>
          <w:kern w:val="0"/>
          <w:lang w:val="en-GB" w:eastAsia="en-GB"/>
          <w14:ligatures w14:val="none"/>
        </w:rPr>
      </w:pPr>
      <w:r w:rsidRPr="00222705">
        <w:rPr>
          <w:rFonts w:ascii="Arial" w:eastAsia="Times New Roman" w:hAnsi="Arial" w:cs="Arial"/>
          <w:shd w:val="clear" w:color="auto" w:fill="FFFFFF"/>
          <w:lang w:val="en-GB" w:eastAsia="en-GB"/>
        </w:rPr>
        <w:t xml:space="preserve">Yang, J., </w:t>
      </w:r>
      <w:proofErr w:type="spellStart"/>
      <w:r w:rsidRPr="00222705">
        <w:rPr>
          <w:rFonts w:ascii="Arial" w:eastAsia="Times New Roman" w:hAnsi="Arial" w:cs="Arial"/>
          <w:shd w:val="clear" w:color="auto" w:fill="FFFFFF"/>
          <w:lang w:val="en-GB" w:eastAsia="en-GB"/>
        </w:rPr>
        <w:t>Farioli</w:t>
      </w:r>
      <w:proofErr w:type="spellEnd"/>
      <w:r w:rsidRPr="00222705">
        <w:rPr>
          <w:rFonts w:ascii="Arial" w:eastAsia="Times New Roman" w:hAnsi="Arial" w:cs="Arial"/>
          <w:shd w:val="clear" w:color="auto" w:fill="FFFFFF"/>
          <w:lang w:val="en-GB" w:eastAsia="en-GB"/>
        </w:rPr>
        <w:t xml:space="preserve">, A., </w:t>
      </w:r>
      <w:proofErr w:type="spellStart"/>
      <w:r w:rsidRPr="00222705">
        <w:rPr>
          <w:rFonts w:ascii="Arial" w:eastAsia="Times New Roman" w:hAnsi="Arial" w:cs="Arial"/>
          <w:shd w:val="clear" w:color="auto" w:fill="FFFFFF"/>
          <w:lang w:val="en-GB" w:eastAsia="en-GB"/>
        </w:rPr>
        <w:t>Korre</w:t>
      </w:r>
      <w:proofErr w:type="spellEnd"/>
      <w:r w:rsidRPr="00222705">
        <w:rPr>
          <w:rFonts w:ascii="Arial" w:eastAsia="Times New Roman" w:hAnsi="Arial" w:cs="Arial"/>
          <w:shd w:val="clear" w:color="auto" w:fill="FFFFFF"/>
          <w:lang w:val="en-GB" w:eastAsia="en-GB"/>
        </w:rPr>
        <w:t>, M. and Kales, S.N., 2015. Dietary preferences and nutritional information needs among career firefighters in the United States. </w:t>
      </w:r>
      <w:r w:rsidRPr="00222705">
        <w:rPr>
          <w:rFonts w:ascii="Arial" w:eastAsia="Times New Roman" w:hAnsi="Arial" w:cs="Arial"/>
          <w:lang w:val="en-GB" w:eastAsia="en-GB"/>
        </w:rPr>
        <w:t>Global advances in health and medicine</w:t>
      </w:r>
      <w:r w:rsidRPr="00222705">
        <w:rPr>
          <w:rFonts w:ascii="Arial" w:eastAsia="Times New Roman" w:hAnsi="Arial" w:cs="Arial"/>
          <w:shd w:val="clear" w:color="auto" w:fill="FFFFFF"/>
          <w:lang w:val="en-GB" w:eastAsia="en-GB"/>
        </w:rPr>
        <w:t>, </w:t>
      </w:r>
      <w:r w:rsidRPr="00222705">
        <w:rPr>
          <w:rFonts w:ascii="Arial" w:eastAsia="Times New Roman" w:hAnsi="Arial" w:cs="Arial"/>
          <w:lang w:val="en-GB" w:eastAsia="en-GB"/>
        </w:rPr>
        <w:t>4</w:t>
      </w:r>
      <w:r w:rsidRPr="00222705">
        <w:rPr>
          <w:rFonts w:ascii="Arial" w:eastAsia="Times New Roman" w:hAnsi="Arial" w:cs="Arial"/>
          <w:shd w:val="clear" w:color="auto" w:fill="FFFFFF"/>
          <w:lang w:val="en-GB" w:eastAsia="en-GB"/>
        </w:rPr>
        <w:t>(4), pp.16-23.</w:t>
      </w:r>
    </w:p>
    <w:p w14:paraId="62128137" w14:textId="77777777" w:rsidR="009E20D5" w:rsidRPr="00222705" w:rsidRDefault="009E20D5" w:rsidP="00EF007D">
      <w:pPr>
        <w:rPr>
          <w:rFonts w:ascii="Arial" w:eastAsia="Times New Roman" w:hAnsi="Arial" w:cs="Arial"/>
          <w:shd w:val="clear" w:color="auto" w:fill="FFFFFF"/>
          <w:lang w:val="en-GB" w:eastAsia="en-GB"/>
        </w:rPr>
      </w:pPr>
    </w:p>
    <w:p w14:paraId="6CF2A772" w14:textId="178846D8"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Yoo, H.L. and Franke, W.D., 2009. Prevalence of cardiovascular disease risk factors in volunteer firefighters. </w:t>
      </w:r>
      <w:r w:rsidRPr="00222705">
        <w:rPr>
          <w:rFonts w:ascii="Arial" w:hAnsi="Arial" w:cs="Arial"/>
        </w:rPr>
        <w:t>Journal of occupational and environmental medicine</w:t>
      </w:r>
      <w:r w:rsidRPr="00222705">
        <w:rPr>
          <w:rFonts w:ascii="Arial" w:hAnsi="Arial" w:cs="Arial"/>
          <w:shd w:val="clear" w:color="auto" w:fill="FFFFFF"/>
        </w:rPr>
        <w:t>, </w:t>
      </w:r>
      <w:r w:rsidRPr="00222705">
        <w:rPr>
          <w:rFonts w:ascii="Arial" w:hAnsi="Arial" w:cs="Arial"/>
        </w:rPr>
        <w:t>51</w:t>
      </w:r>
      <w:r w:rsidRPr="00222705">
        <w:rPr>
          <w:rFonts w:ascii="Arial" w:hAnsi="Arial" w:cs="Arial"/>
          <w:shd w:val="clear" w:color="auto" w:fill="FFFFFF"/>
        </w:rPr>
        <w:t>(8), pp.958-962.</w:t>
      </w:r>
    </w:p>
    <w:p w14:paraId="010BB407" w14:textId="77777777" w:rsidR="009E20D5" w:rsidRPr="00222705" w:rsidRDefault="009E20D5" w:rsidP="00EF007D">
      <w:pPr>
        <w:rPr>
          <w:rFonts w:ascii="Arial" w:hAnsi="Arial" w:cs="Arial"/>
          <w:shd w:val="clear" w:color="auto" w:fill="FFFFFF"/>
        </w:rPr>
      </w:pPr>
    </w:p>
    <w:p w14:paraId="340EA63E" w14:textId="77777777" w:rsidR="008F4D29" w:rsidRPr="00222705" w:rsidRDefault="008F4D29" w:rsidP="00EF007D">
      <w:pPr>
        <w:rPr>
          <w:rFonts w:ascii="Arial" w:eastAsia="Aptos" w:hAnsi="Arial" w:cs="Arial"/>
        </w:rPr>
      </w:pPr>
      <w:bookmarkStart w:id="90" w:name="OLE_LINK24"/>
      <w:r w:rsidRPr="00222705">
        <w:rPr>
          <w:rFonts w:ascii="Arial" w:eastAsia="Aptos" w:hAnsi="Arial" w:cs="Arial"/>
        </w:rPr>
        <w:lastRenderedPageBreak/>
        <w:t>Yook, Y.S., 2019. Firefighters’ occupational stress and its correlations with cardiorespiratory fitness, arterial stiffness, heart rate variability, and sleep quality. </w:t>
      </w:r>
      <w:proofErr w:type="spellStart"/>
      <w:r w:rsidRPr="00222705">
        <w:rPr>
          <w:rFonts w:ascii="Arial" w:eastAsia="Aptos" w:hAnsi="Arial" w:cs="Arial"/>
        </w:rPr>
        <w:t>PLoSOne</w:t>
      </w:r>
      <w:proofErr w:type="spellEnd"/>
      <w:r w:rsidRPr="00222705">
        <w:rPr>
          <w:rFonts w:ascii="Arial" w:eastAsia="Aptos" w:hAnsi="Arial" w:cs="Arial"/>
        </w:rPr>
        <w:t>, 14(12), p.e0226739.</w:t>
      </w:r>
    </w:p>
    <w:p w14:paraId="3AD76E8B" w14:textId="77777777" w:rsidR="009E20D5" w:rsidRPr="00222705" w:rsidRDefault="009E20D5" w:rsidP="00EF007D">
      <w:pPr>
        <w:rPr>
          <w:rFonts w:ascii="Arial" w:eastAsia="Aptos" w:hAnsi="Arial" w:cs="Arial"/>
        </w:rPr>
      </w:pPr>
    </w:p>
    <w:bookmarkEnd w:id="90"/>
    <w:p w14:paraId="310C6CAB" w14:textId="77777777" w:rsidR="008F4D29" w:rsidRPr="00222705" w:rsidRDefault="008F4D29" w:rsidP="00EF007D">
      <w:pPr>
        <w:rPr>
          <w:rFonts w:ascii="Arial" w:hAnsi="Arial" w:cs="Arial"/>
          <w:shd w:val="clear" w:color="auto" w:fill="FFFFFF"/>
        </w:rPr>
      </w:pPr>
      <w:r w:rsidRPr="00222705">
        <w:rPr>
          <w:rFonts w:ascii="Arial" w:hAnsi="Arial" w:cs="Arial"/>
          <w:shd w:val="clear" w:color="auto" w:fill="FFFFFF"/>
        </w:rPr>
        <w:t xml:space="preserve">Young, A.S., Sparer-Fine, E.H., </w:t>
      </w:r>
      <w:proofErr w:type="spellStart"/>
      <w:r w:rsidRPr="00222705">
        <w:rPr>
          <w:rFonts w:ascii="Arial" w:hAnsi="Arial" w:cs="Arial"/>
          <w:shd w:val="clear" w:color="auto" w:fill="FFFFFF"/>
        </w:rPr>
        <w:t>Pickard</w:t>
      </w:r>
      <w:proofErr w:type="spellEnd"/>
      <w:r w:rsidRPr="00222705">
        <w:rPr>
          <w:rFonts w:ascii="Arial" w:hAnsi="Arial" w:cs="Arial"/>
          <w:shd w:val="clear" w:color="auto" w:fill="FFFFFF"/>
        </w:rPr>
        <w:t xml:space="preserve">, H.M., Sunderland, E.M., </w:t>
      </w:r>
      <w:proofErr w:type="spellStart"/>
      <w:r w:rsidRPr="00222705">
        <w:rPr>
          <w:rFonts w:ascii="Arial" w:hAnsi="Arial" w:cs="Arial"/>
          <w:shd w:val="clear" w:color="auto" w:fill="FFFFFF"/>
        </w:rPr>
        <w:t>Peaslee</w:t>
      </w:r>
      <w:proofErr w:type="spellEnd"/>
      <w:r w:rsidRPr="00222705">
        <w:rPr>
          <w:rFonts w:ascii="Arial" w:hAnsi="Arial" w:cs="Arial"/>
          <w:shd w:val="clear" w:color="auto" w:fill="FFFFFF"/>
        </w:rPr>
        <w:t xml:space="preserve">, G.F. and Allen, J.G., 2021. Per-and </w:t>
      </w:r>
      <w:proofErr w:type="spellStart"/>
      <w:r w:rsidRPr="00222705">
        <w:rPr>
          <w:rFonts w:ascii="Arial" w:hAnsi="Arial" w:cs="Arial"/>
          <w:shd w:val="clear" w:color="auto" w:fill="FFFFFF"/>
        </w:rPr>
        <w:t>polyfluoroalkyl</w:t>
      </w:r>
      <w:proofErr w:type="spellEnd"/>
      <w:r w:rsidRPr="00222705">
        <w:rPr>
          <w:rFonts w:ascii="Arial" w:hAnsi="Arial" w:cs="Arial"/>
          <w:shd w:val="clear" w:color="auto" w:fill="FFFFFF"/>
        </w:rPr>
        <w:t xml:space="preserve"> substances (PFAS) and total fluorine in fire station dust. </w:t>
      </w:r>
      <w:r w:rsidRPr="00222705">
        <w:rPr>
          <w:rFonts w:ascii="Arial" w:hAnsi="Arial" w:cs="Arial"/>
        </w:rPr>
        <w:t>Journal of exposure science &amp; environmental epidemiology</w:t>
      </w:r>
      <w:r w:rsidRPr="00222705">
        <w:rPr>
          <w:rFonts w:ascii="Arial" w:hAnsi="Arial" w:cs="Arial"/>
          <w:shd w:val="clear" w:color="auto" w:fill="FFFFFF"/>
        </w:rPr>
        <w:t>, </w:t>
      </w:r>
      <w:r w:rsidRPr="00222705">
        <w:rPr>
          <w:rFonts w:ascii="Arial" w:hAnsi="Arial" w:cs="Arial"/>
        </w:rPr>
        <w:t>31</w:t>
      </w:r>
      <w:r w:rsidRPr="00222705">
        <w:rPr>
          <w:rFonts w:ascii="Arial" w:hAnsi="Arial" w:cs="Arial"/>
          <w:shd w:val="clear" w:color="auto" w:fill="FFFFFF"/>
        </w:rPr>
        <w:t>(5), pp.930-942.</w:t>
      </w:r>
    </w:p>
    <w:p w14:paraId="7E2FB115" w14:textId="77777777" w:rsidR="009E20D5" w:rsidRPr="00222705" w:rsidRDefault="009E20D5" w:rsidP="00EF007D">
      <w:pPr>
        <w:rPr>
          <w:rFonts w:ascii="Arial" w:eastAsia="Aptos" w:hAnsi="Arial" w:cs="Arial"/>
        </w:rPr>
      </w:pPr>
    </w:p>
    <w:p w14:paraId="44B1B549" w14:textId="77777777" w:rsidR="008F4D29" w:rsidRPr="00222705" w:rsidRDefault="008F4D29" w:rsidP="00EF007D">
      <w:pPr>
        <w:rPr>
          <w:rFonts w:ascii="Arial" w:hAnsi="Arial" w:cs="Arial"/>
        </w:rPr>
      </w:pPr>
      <w:r w:rsidRPr="00222705">
        <w:rPr>
          <w:rFonts w:ascii="Arial" w:hAnsi="Arial" w:cs="Arial"/>
        </w:rPr>
        <w:t>Yuenyongchaiwat, K., 2017. Cardiovascular response to mental stress tests and the prediction of blood pressure. Indian Journal of Psychological Medicine, 39(4), pp.413-417.</w:t>
      </w:r>
    </w:p>
    <w:p w14:paraId="75B10736" w14:textId="77777777" w:rsidR="009E20D5" w:rsidRPr="00222705" w:rsidRDefault="009E20D5" w:rsidP="00EF007D">
      <w:pPr>
        <w:rPr>
          <w:rFonts w:ascii="Arial" w:hAnsi="Arial" w:cs="Arial"/>
        </w:rPr>
      </w:pPr>
    </w:p>
    <w:p w14:paraId="70849133" w14:textId="77777777" w:rsidR="008F4D29" w:rsidRPr="00222705" w:rsidRDefault="008F4D29" w:rsidP="00EF007D">
      <w:pPr>
        <w:rPr>
          <w:rFonts w:ascii="Arial" w:eastAsia="Aptos" w:hAnsi="Arial" w:cs="Arial"/>
          <w:lang w:val="en-GB"/>
        </w:rPr>
      </w:pPr>
      <w:r w:rsidRPr="00222705">
        <w:rPr>
          <w:rFonts w:ascii="Arial" w:eastAsia="Aptos" w:hAnsi="Arial" w:cs="Arial"/>
          <w:lang w:val="en-GB"/>
        </w:rPr>
        <w:t xml:space="preserve">Zanoli, L., </w:t>
      </w:r>
      <w:proofErr w:type="spellStart"/>
      <w:r w:rsidRPr="00222705">
        <w:rPr>
          <w:rFonts w:ascii="Arial" w:eastAsia="Aptos" w:hAnsi="Arial" w:cs="Arial"/>
          <w:lang w:val="en-GB"/>
        </w:rPr>
        <w:t>Briet</w:t>
      </w:r>
      <w:proofErr w:type="spellEnd"/>
      <w:r w:rsidRPr="00222705">
        <w:rPr>
          <w:rFonts w:ascii="Arial" w:eastAsia="Aptos" w:hAnsi="Arial" w:cs="Arial"/>
          <w:lang w:val="en-GB"/>
        </w:rPr>
        <w:t xml:space="preserve">, M., </w:t>
      </w:r>
      <w:proofErr w:type="spellStart"/>
      <w:r w:rsidRPr="00222705">
        <w:rPr>
          <w:rFonts w:ascii="Arial" w:eastAsia="Aptos" w:hAnsi="Arial" w:cs="Arial"/>
          <w:lang w:val="en-GB"/>
        </w:rPr>
        <w:t>Empana</w:t>
      </w:r>
      <w:proofErr w:type="spellEnd"/>
      <w:r w:rsidRPr="00222705">
        <w:rPr>
          <w:rFonts w:ascii="Arial" w:eastAsia="Aptos" w:hAnsi="Arial" w:cs="Arial"/>
          <w:lang w:val="en-GB"/>
        </w:rPr>
        <w:t xml:space="preserve">, J.P., Cunha, P.G., </w:t>
      </w:r>
      <w:proofErr w:type="spellStart"/>
      <w:r w:rsidRPr="00222705">
        <w:rPr>
          <w:rFonts w:ascii="Arial" w:eastAsia="Aptos" w:hAnsi="Arial" w:cs="Arial"/>
          <w:lang w:val="en-GB"/>
        </w:rPr>
        <w:t>Mäki-Petäjä</w:t>
      </w:r>
      <w:proofErr w:type="spellEnd"/>
      <w:r w:rsidRPr="00222705">
        <w:rPr>
          <w:rFonts w:ascii="Arial" w:eastAsia="Aptos" w:hAnsi="Arial" w:cs="Arial"/>
          <w:lang w:val="en-GB"/>
        </w:rPr>
        <w:t xml:space="preserve">, K.M., </w:t>
      </w:r>
      <w:proofErr w:type="spellStart"/>
      <w:r w:rsidRPr="00222705">
        <w:rPr>
          <w:rFonts w:ascii="Arial" w:eastAsia="Aptos" w:hAnsi="Arial" w:cs="Arial"/>
          <w:lang w:val="en-GB"/>
        </w:rPr>
        <w:t>Protogerou</w:t>
      </w:r>
      <w:proofErr w:type="spellEnd"/>
      <w:r w:rsidRPr="00222705">
        <w:rPr>
          <w:rFonts w:ascii="Arial" w:eastAsia="Aptos" w:hAnsi="Arial" w:cs="Arial"/>
          <w:lang w:val="en-GB"/>
        </w:rPr>
        <w:t xml:space="preserve">, A.D., </w:t>
      </w:r>
      <w:proofErr w:type="spellStart"/>
      <w:r w:rsidRPr="00222705">
        <w:rPr>
          <w:rFonts w:ascii="Arial" w:eastAsia="Aptos" w:hAnsi="Arial" w:cs="Arial"/>
          <w:lang w:val="en-GB"/>
        </w:rPr>
        <w:t>Tedgui</w:t>
      </w:r>
      <w:proofErr w:type="spellEnd"/>
      <w:r w:rsidRPr="00222705">
        <w:rPr>
          <w:rFonts w:ascii="Arial" w:eastAsia="Aptos" w:hAnsi="Arial" w:cs="Arial"/>
          <w:lang w:val="en-GB"/>
        </w:rPr>
        <w:t xml:space="preserve">, A., </w:t>
      </w:r>
      <w:proofErr w:type="spellStart"/>
      <w:r w:rsidRPr="00222705">
        <w:rPr>
          <w:rFonts w:ascii="Arial" w:eastAsia="Aptos" w:hAnsi="Arial" w:cs="Arial"/>
          <w:lang w:val="en-GB"/>
        </w:rPr>
        <w:t>Touyz</w:t>
      </w:r>
      <w:proofErr w:type="spellEnd"/>
      <w:r w:rsidRPr="00222705">
        <w:rPr>
          <w:rFonts w:ascii="Arial" w:eastAsia="Aptos" w:hAnsi="Arial" w:cs="Arial"/>
          <w:lang w:val="en-GB"/>
        </w:rPr>
        <w:t xml:space="preserve">, R.M., </w:t>
      </w:r>
      <w:proofErr w:type="spellStart"/>
      <w:r w:rsidRPr="00222705">
        <w:rPr>
          <w:rFonts w:ascii="Arial" w:eastAsia="Aptos" w:hAnsi="Arial" w:cs="Arial"/>
          <w:lang w:val="en-GB"/>
        </w:rPr>
        <w:t>Schiffrin</w:t>
      </w:r>
      <w:proofErr w:type="spellEnd"/>
      <w:r w:rsidRPr="00222705">
        <w:rPr>
          <w:rFonts w:ascii="Arial" w:eastAsia="Aptos" w:hAnsi="Arial" w:cs="Arial"/>
          <w:lang w:val="en-GB"/>
        </w:rPr>
        <w:t xml:space="preserve">, E.L., </w:t>
      </w:r>
      <w:proofErr w:type="spellStart"/>
      <w:r w:rsidRPr="00222705">
        <w:rPr>
          <w:rFonts w:ascii="Arial" w:eastAsia="Aptos" w:hAnsi="Arial" w:cs="Arial"/>
          <w:lang w:val="en-GB"/>
        </w:rPr>
        <w:t>Spronck</w:t>
      </w:r>
      <w:proofErr w:type="spellEnd"/>
      <w:r w:rsidRPr="00222705">
        <w:rPr>
          <w:rFonts w:ascii="Arial" w:eastAsia="Aptos" w:hAnsi="Arial" w:cs="Arial"/>
          <w:lang w:val="en-GB"/>
        </w:rPr>
        <w:t>, B. and Bouchard, P., 2020. Vascular consequences of inflammation: a position statement from the ESH Working Group on Vascular Structure and Function and the ARTERY Society. Journal of hypertension, 38(9), pp.1682-1698.</w:t>
      </w:r>
    </w:p>
    <w:p w14:paraId="66F03DE1" w14:textId="77777777" w:rsidR="009E20D5" w:rsidRPr="00222705" w:rsidRDefault="009E20D5" w:rsidP="00EF007D">
      <w:pPr>
        <w:rPr>
          <w:rFonts w:ascii="Arial" w:eastAsia="Aptos" w:hAnsi="Arial" w:cs="Arial"/>
        </w:rPr>
      </w:pPr>
    </w:p>
    <w:p w14:paraId="28C35002" w14:textId="77777777" w:rsidR="008F4D29" w:rsidRPr="00222705" w:rsidRDefault="008F4D29" w:rsidP="00EF007D">
      <w:pPr>
        <w:rPr>
          <w:rFonts w:ascii="Arial" w:eastAsia="Times New Roman" w:hAnsi="Arial" w:cs="Arial"/>
          <w:kern w:val="0"/>
          <w14:ligatures w14:val="none"/>
        </w:rPr>
      </w:pPr>
      <w:r w:rsidRPr="00222705">
        <w:rPr>
          <w:rFonts w:ascii="Arial" w:eastAsia="Times New Roman" w:hAnsi="Arial" w:cs="Arial"/>
          <w:kern w:val="0"/>
          <w14:ligatures w14:val="none"/>
        </w:rPr>
        <w:t>Żebrowska, A., </w:t>
      </w:r>
      <w:proofErr w:type="spellStart"/>
      <w:r w:rsidRPr="00222705">
        <w:rPr>
          <w:rFonts w:ascii="Arial" w:eastAsia="Times New Roman" w:hAnsi="Arial" w:cs="Arial"/>
          <w:kern w:val="0"/>
          <w14:ligatures w14:val="none"/>
        </w:rPr>
        <w:t>Mizia-Stec</w:t>
      </w:r>
      <w:proofErr w:type="spellEnd"/>
      <w:r w:rsidRPr="00222705">
        <w:rPr>
          <w:rFonts w:ascii="Arial" w:eastAsia="Times New Roman" w:hAnsi="Arial" w:cs="Arial"/>
          <w:kern w:val="0"/>
          <w14:ligatures w14:val="none"/>
        </w:rPr>
        <w:t>, K., </w:t>
      </w:r>
      <w:proofErr w:type="spellStart"/>
      <w:r w:rsidRPr="00222705">
        <w:rPr>
          <w:rFonts w:ascii="Arial" w:eastAsia="Times New Roman" w:hAnsi="Arial" w:cs="Arial"/>
          <w:kern w:val="0"/>
          <w14:ligatures w14:val="none"/>
        </w:rPr>
        <w:t>Mizia</w:t>
      </w:r>
      <w:proofErr w:type="spellEnd"/>
      <w:r w:rsidRPr="00222705">
        <w:rPr>
          <w:rFonts w:ascii="Arial" w:eastAsia="Times New Roman" w:hAnsi="Arial" w:cs="Arial"/>
          <w:kern w:val="0"/>
          <w14:ligatures w14:val="none"/>
        </w:rPr>
        <w:t xml:space="preserve">, M., </w:t>
      </w:r>
      <w:proofErr w:type="spellStart"/>
      <w:r w:rsidRPr="00222705">
        <w:rPr>
          <w:rFonts w:ascii="Arial" w:eastAsia="Times New Roman" w:hAnsi="Arial" w:cs="Arial"/>
          <w:kern w:val="0"/>
          <w14:ligatures w14:val="none"/>
        </w:rPr>
        <w:t>Gąsior</w:t>
      </w:r>
      <w:proofErr w:type="spellEnd"/>
      <w:r w:rsidRPr="00222705">
        <w:rPr>
          <w:rFonts w:ascii="Arial" w:eastAsia="Times New Roman" w:hAnsi="Arial" w:cs="Arial"/>
          <w:kern w:val="0"/>
          <w14:ligatures w14:val="none"/>
        </w:rPr>
        <w:t>, Z. and </w:t>
      </w:r>
      <w:proofErr w:type="spellStart"/>
      <w:r w:rsidRPr="00222705">
        <w:rPr>
          <w:rFonts w:ascii="Arial" w:eastAsia="Times New Roman" w:hAnsi="Arial" w:cs="Arial"/>
          <w:kern w:val="0"/>
          <w14:ligatures w14:val="none"/>
        </w:rPr>
        <w:t>Poprzęcki</w:t>
      </w:r>
      <w:proofErr w:type="spellEnd"/>
      <w:r w:rsidRPr="00222705">
        <w:rPr>
          <w:rFonts w:ascii="Arial" w:eastAsia="Times New Roman" w:hAnsi="Arial" w:cs="Arial"/>
          <w:kern w:val="0"/>
          <w14:ligatures w14:val="none"/>
        </w:rPr>
        <w:t>, S., 2015. Omega-3 fatty </w:t>
      </w:r>
      <w:proofErr w:type="spellStart"/>
      <w:r w:rsidRPr="00222705">
        <w:rPr>
          <w:rFonts w:ascii="Arial" w:eastAsia="Times New Roman" w:hAnsi="Arial" w:cs="Arial"/>
          <w:kern w:val="0"/>
          <w14:ligatures w14:val="none"/>
        </w:rPr>
        <w:t>acidssupplementation</w:t>
      </w:r>
      <w:proofErr w:type="spellEnd"/>
      <w:r w:rsidRPr="00222705">
        <w:rPr>
          <w:rFonts w:ascii="Arial" w:eastAsia="Times New Roman" w:hAnsi="Arial" w:cs="Arial"/>
          <w:kern w:val="0"/>
          <w14:ligatures w14:val="none"/>
        </w:rPr>
        <w:t> improves endothelial function and maximal oxygen uptake in endurance-trained athletes. European journal of sport science, 15(4), pp.305-314. </w:t>
      </w:r>
    </w:p>
    <w:p w14:paraId="1CA3333C" w14:textId="77777777" w:rsidR="009E20D5" w:rsidRPr="00222705" w:rsidRDefault="009E20D5" w:rsidP="00EF007D">
      <w:pPr>
        <w:rPr>
          <w:rFonts w:ascii="Arial" w:eastAsia="Times New Roman" w:hAnsi="Arial" w:cs="Arial"/>
          <w:kern w:val="0"/>
          <w14:ligatures w14:val="none"/>
        </w:rPr>
      </w:pPr>
    </w:p>
    <w:p w14:paraId="43B84437" w14:textId="1B239295" w:rsidR="008F4D29" w:rsidRDefault="008F4D29" w:rsidP="00EF007D">
      <w:pPr>
        <w:rPr>
          <w:rFonts w:ascii="Arial" w:eastAsia="Aptos" w:hAnsi="Arial" w:cs="Arial"/>
          <w:lang w:val="en-GB"/>
        </w:rPr>
      </w:pPr>
      <w:r w:rsidRPr="00222705">
        <w:rPr>
          <w:rFonts w:ascii="Arial" w:eastAsia="Aptos" w:hAnsi="Arial" w:cs="Arial"/>
          <w:lang w:val="en-GB"/>
        </w:rPr>
        <w:t xml:space="preserve">Zhang, X., </w:t>
      </w:r>
      <w:proofErr w:type="spellStart"/>
      <w:r w:rsidRPr="00222705">
        <w:rPr>
          <w:rFonts w:ascii="Arial" w:eastAsia="Aptos" w:hAnsi="Arial" w:cs="Arial"/>
          <w:lang w:val="en-GB"/>
        </w:rPr>
        <w:t>Ritonja</w:t>
      </w:r>
      <w:proofErr w:type="spellEnd"/>
      <w:r w:rsidRPr="00222705">
        <w:rPr>
          <w:rFonts w:ascii="Arial" w:eastAsia="Aptos" w:hAnsi="Arial" w:cs="Arial"/>
          <w:lang w:val="en-GB"/>
        </w:rPr>
        <w:t>, J.A., Zhou, N., Chen, B.E. and Li, X., 2022. Omega</w:t>
      </w:r>
      <w:r w:rsidRPr="00222705">
        <w:rPr>
          <w:rFonts w:ascii="Cambria Math" w:eastAsia="Cambria Math" w:hAnsi="Cambria Math" w:cs="Cambria Math"/>
          <w:lang w:val="en-GB"/>
        </w:rPr>
        <w:t>‐</w:t>
      </w:r>
      <w:r w:rsidRPr="00222705">
        <w:rPr>
          <w:rFonts w:ascii="Arial" w:eastAsia="Aptos" w:hAnsi="Arial" w:cs="Arial"/>
          <w:lang w:val="en-GB"/>
        </w:rPr>
        <w:t xml:space="preserve">3 polyunsaturated fatty </w:t>
      </w:r>
      <w:proofErr w:type="spellStart"/>
      <w:r w:rsidRPr="00222705">
        <w:rPr>
          <w:rFonts w:ascii="Arial" w:eastAsia="Aptos" w:hAnsi="Arial" w:cs="Arial"/>
          <w:lang w:val="en-GB"/>
        </w:rPr>
        <w:t>acidsintake</w:t>
      </w:r>
      <w:proofErr w:type="spellEnd"/>
      <w:r w:rsidRPr="00222705">
        <w:rPr>
          <w:rFonts w:ascii="Arial" w:eastAsia="Aptos" w:hAnsi="Arial" w:cs="Arial"/>
          <w:lang w:val="en-GB"/>
        </w:rPr>
        <w:t xml:space="preserve"> and blood pressure: a dose</w:t>
      </w:r>
      <w:r w:rsidRPr="00222705">
        <w:rPr>
          <w:rFonts w:ascii="Cambria Math" w:eastAsia="Cambria Math" w:hAnsi="Cambria Math" w:cs="Cambria Math"/>
          <w:lang w:val="en-GB"/>
        </w:rPr>
        <w:t>‐</w:t>
      </w:r>
      <w:r w:rsidRPr="00222705">
        <w:rPr>
          <w:rFonts w:ascii="Arial" w:eastAsia="Aptos" w:hAnsi="Arial" w:cs="Arial"/>
          <w:lang w:val="en-GB"/>
        </w:rPr>
        <w:t>response meta</w:t>
      </w:r>
      <w:r w:rsidRPr="00222705">
        <w:rPr>
          <w:rFonts w:ascii="Cambria Math" w:eastAsia="Cambria Math" w:hAnsi="Cambria Math" w:cs="Cambria Math"/>
          <w:lang w:val="en-GB"/>
        </w:rPr>
        <w:t>‐</w:t>
      </w:r>
      <w:r w:rsidRPr="00222705">
        <w:rPr>
          <w:rFonts w:ascii="Arial" w:eastAsia="Aptos" w:hAnsi="Arial" w:cs="Arial"/>
          <w:lang w:val="en-GB"/>
        </w:rPr>
        <w:t>analysis of randomized controlled trials. Journal of the American Heart Association, 11(11), p.e025071.</w:t>
      </w:r>
      <w:r w:rsidR="00250DA3">
        <w:rPr>
          <w:rFonts w:ascii="Arial" w:eastAsia="Aptos" w:hAnsi="Arial" w:cs="Arial"/>
          <w:lang w:val="en-GB"/>
        </w:rPr>
        <w:t xml:space="preserve"> </w:t>
      </w:r>
    </w:p>
    <w:p w14:paraId="02EF4C09" w14:textId="77777777" w:rsidR="00250DA3" w:rsidRDefault="00250DA3" w:rsidP="00EF007D">
      <w:pPr>
        <w:rPr>
          <w:rFonts w:ascii="Arial" w:hAnsi="Arial" w:cs="Arial"/>
        </w:rPr>
      </w:pPr>
    </w:p>
    <w:p w14:paraId="31F55009" w14:textId="77777777" w:rsidR="0014667C" w:rsidRDefault="0014667C" w:rsidP="00EF007D">
      <w:pPr>
        <w:rPr>
          <w:rFonts w:ascii="Arial" w:hAnsi="Arial" w:cs="Arial"/>
        </w:rPr>
      </w:pPr>
    </w:p>
    <w:p w14:paraId="0E9A3051" w14:textId="77777777" w:rsidR="0014667C" w:rsidRDefault="0014667C" w:rsidP="00EF007D">
      <w:pPr>
        <w:rPr>
          <w:rFonts w:ascii="Arial" w:hAnsi="Arial" w:cs="Arial"/>
        </w:rPr>
      </w:pPr>
    </w:p>
    <w:p w14:paraId="3E70697D" w14:textId="77777777" w:rsidR="0014667C" w:rsidRDefault="0014667C" w:rsidP="00EF007D">
      <w:pPr>
        <w:rPr>
          <w:rFonts w:ascii="Arial" w:hAnsi="Arial" w:cs="Arial"/>
        </w:rPr>
      </w:pPr>
    </w:p>
    <w:p w14:paraId="18C9B7D8" w14:textId="77777777" w:rsidR="0014667C" w:rsidRDefault="0014667C" w:rsidP="0014667C">
      <w:pPr>
        <w:spacing w:before="100" w:beforeAutospacing="1" w:after="100" w:afterAutospacing="1" w:line="240" w:lineRule="auto"/>
        <w:rPr>
          <w:rFonts w:ascii="Arial" w:eastAsiaTheme="minorEastAsia" w:hAnsi="Arial" w:cs="Arial"/>
          <w:kern w:val="0"/>
          <w:lang w:val="en-GB" w:eastAsia="en-GB"/>
          <w14:ligatures w14:val="none"/>
        </w:rPr>
      </w:pPr>
      <w:r w:rsidRPr="0014667C">
        <w:rPr>
          <w:rFonts w:ascii="Arial" w:eastAsiaTheme="minorEastAsia" w:hAnsi="Arial" w:cs="Arial"/>
          <w:kern w:val="0"/>
          <w:lang w:val="en-GB" w:eastAsia="en-GB"/>
          <w14:ligatures w14:val="none"/>
        </w:rPr>
        <w:lastRenderedPageBreak/>
        <w:t>I acknowledge the use of the AI tools listed below. I confirm that I have not presented any AI generated text as my own work. I confirm I have copies of my drafts, notes, and other resources I used before and after the use of AI tools, which I may be asked to provide in evidence.</w:t>
      </w:r>
    </w:p>
    <w:p w14:paraId="7FB74374" w14:textId="77777777" w:rsidR="0014667C" w:rsidRPr="0014667C" w:rsidRDefault="0014667C" w:rsidP="0014667C">
      <w:pPr>
        <w:spacing w:before="100" w:beforeAutospacing="1" w:after="100" w:afterAutospacing="1" w:line="240" w:lineRule="auto"/>
        <w:rPr>
          <w:rFonts w:ascii="Arial" w:eastAsiaTheme="minorEastAsia" w:hAnsi="Arial" w:cs="Arial"/>
          <w:kern w:val="0"/>
          <w:lang w:val="en-GB" w:eastAsia="en-GB"/>
          <w14:ligatures w14:val="none"/>
        </w:rPr>
      </w:pP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1480"/>
        <w:gridCol w:w="763"/>
        <w:gridCol w:w="3848"/>
        <w:gridCol w:w="3253"/>
      </w:tblGrid>
      <w:tr w:rsidR="0014667C" w:rsidRPr="0014667C" w14:paraId="7AB3C37D"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D9EA320" w14:textId="77777777" w:rsidR="0014667C" w:rsidRPr="0014667C" w:rsidRDefault="0014667C" w:rsidP="0014667C">
            <w:pPr>
              <w:spacing w:before="100" w:beforeAutospacing="1" w:after="100" w:afterAutospacing="1" w:line="240" w:lineRule="auto"/>
              <w:jc w:val="center"/>
              <w:rPr>
                <w:rFonts w:ascii="Arial" w:eastAsiaTheme="minorEastAsia" w:hAnsi="Arial" w:cs="Arial"/>
                <w:kern w:val="0"/>
                <w:lang w:val="en-GB" w:eastAsia="en-GB"/>
                <w14:ligatures w14:val="none"/>
              </w:rPr>
            </w:pPr>
            <w:r w:rsidRPr="0014667C">
              <w:rPr>
                <w:rFonts w:ascii="Arial" w:eastAsiaTheme="minorEastAsia" w:hAnsi="Arial" w:cs="Arial"/>
                <w:kern w:val="0"/>
                <w:lang w:val="en-GB" w:eastAsia="en-GB"/>
                <w14:ligatures w14:val="none"/>
              </w:rPr>
              <w:t>AI Tool (with URL)</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9E4CB4F" w14:textId="77777777" w:rsidR="0014667C" w:rsidRPr="0014667C" w:rsidRDefault="0014667C" w:rsidP="0014667C">
            <w:pPr>
              <w:spacing w:before="100" w:beforeAutospacing="1" w:after="100" w:afterAutospacing="1" w:line="240" w:lineRule="auto"/>
              <w:jc w:val="center"/>
              <w:rPr>
                <w:rFonts w:ascii="Arial" w:eastAsiaTheme="minorEastAsia" w:hAnsi="Arial" w:cs="Arial"/>
                <w:kern w:val="0"/>
                <w:lang w:val="en-GB" w:eastAsia="en-GB"/>
                <w14:ligatures w14:val="none"/>
              </w:rPr>
            </w:pPr>
            <w:r w:rsidRPr="0014667C">
              <w:rPr>
                <w:rFonts w:ascii="Arial" w:eastAsiaTheme="minorEastAsia" w:hAnsi="Arial" w:cs="Arial"/>
                <w:kern w:val="0"/>
                <w:lang w:val="en-GB" w:eastAsia="en-GB"/>
                <w14:ligatures w14:val="none"/>
              </w:rPr>
              <w:t>Date used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9585084" w14:textId="77777777" w:rsidR="0014667C" w:rsidRPr="0014667C" w:rsidRDefault="0014667C" w:rsidP="0014667C">
            <w:pPr>
              <w:spacing w:before="100" w:beforeAutospacing="1" w:after="100" w:afterAutospacing="1" w:line="240" w:lineRule="auto"/>
              <w:jc w:val="center"/>
              <w:rPr>
                <w:rFonts w:ascii="Arial" w:eastAsiaTheme="minorEastAsia" w:hAnsi="Arial" w:cs="Arial"/>
                <w:kern w:val="0"/>
                <w:lang w:val="en-GB" w:eastAsia="en-GB"/>
                <w14:ligatures w14:val="none"/>
              </w:rPr>
            </w:pPr>
            <w:r w:rsidRPr="0014667C">
              <w:rPr>
                <w:rFonts w:ascii="Arial" w:eastAsiaTheme="minorEastAsia" w:hAnsi="Arial" w:cs="Arial"/>
                <w:kern w:val="0"/>
                <w:lang w:val="en-GB" w:eastAsia="en-GB"/>
                <w14:ligatures w14:val="none"/>
              </w:rPr>
              <w:t>Why did you use this tool</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C15C858" w14:textId="77777777" w:rsidR="0014667C" w:rsidRPr="0014667C" w:rsidRDefault="0014667C" w:rsidP="0014667C">
            <w:pPr>
              <w:spacing w:before="100" w:beforeAutospacing="1" w:after="100" w:afterAutospacing="1" w:line="240" w:lineRule="auto"/>
              <w:jc w:val="center"/>
              <w:rPr>
                <w:rFonts w:ascii="Arial" w:eastAsiaTheme="minorEastAsia" w:hAnsi="Arial" w:cs="Arial"/>
                <w:kern w:val="0"/>
                <w:lang w:val="en-GB" w:eastAsia="en-GB"/>
                <w14:ligatures w14:val="none"/>
              </w:rPr>
            </w:pPr>
            <w:r w:rsidRPr="0014667C">
              <w:rPr>
                <w:rFonts w:ascii="Arial" w:eastAsiaTheme="minorEastAsia" w:hAnsi="Arial" w:cs="Arial"/>
                <w:kern w:val="0"/>
                <w:lang w:val="en-GB" w:eastAsia="en-GB"/>
                <w14:ligatures w14:val="none"/>
              </w:rPr>
              <w:t>Example prompt(s)</w:t>
            </w:r>
          </w:p>
        </w:tc>
      </w:tr>
      <w:tr w:rsidR="0014667C" w:rsidRPr="0014667C" w14:paraId="14434390"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D5F8559" w14:textId="77777777" w:rsidR="0014667C" w:rsidRPr="0014667C" w:rsidRDefault="0014667C" w:rsidP="0014667C">
            <w:pPr>
              <w:spacing w:before="100" w:beforeAutospacing="1" w:after="100" w:afterAutospacing="1" w:line="240" w:lineRule="auto"/>
              <w:rPr>
                <w:rFonts w:ascii="Arial" w:eastAsiaTheme="minorEastAsia" w:hAnsi="Arial" w:cs="Arial"/>
                <w:kern w:val="0"/>
                <w:lang w:val="en-GB" w:eastAsia="en-GB"/>
                <w14:ligatures w14:val="none"/>
              </w:rPr>
            </w:pPr>
            <w:r w:rsidRPr="0014667C">
              <w:rPr>
                <w:rFonts w:ascii="Arial" w:eastAsiaTheme="minorEastAsia" w:hAnsi="Arial" w:cs="Arial"/>
                <w:kern w:val="0"/>
                <w:lang w:val="en-GB" w:eastAsia="en-GB"/>
                <w14:ligatures w14:val="none"/>
              </w:rPr>
              <w:t>https://chat.openai.com/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48B9999" w14:textId="77777777" w:rsidR="0014667C" w:rsidRPr="0014667C" w:rsidRDefault="0014667C" w:rsidP="0014667C">
            <w:pPr>
              <w:spacing w:before="100" w:beforeAutospacing="1" w:after="100" w:afterAutospacing="1" w:line="240" w:lineRule="auto"/>
              <w:rPr>
                <w:rFonts w:ascii="Arial" w:eastAsiaTheme="minorEastAsia" w:hAnsi="Arial" w:cs="Arial"/>
                <w:kern w:val="0"/>
                <w:lang w:val="en-GB" w:eastAsia="en-GB"/>
                <w14:ligatures w14:val="none"/>
              </w:rPr>
            </w:pPr>
            <w:r w:rsidRPr="0014667C">
              <w:rPr>
                <w:rFonts w:ascii="Arial" w:eastAsiaTheme="minorEastAsia" w:hAnsi="Arial" w:cs="Arial"/>
                <w:kern w:val="0"/>
                <w:lang w:val="en-GB" w:eastAsia="en-GB"/>
                <w14:ligatures w14:val="none"/>
              </w:rPr>
              <w:t>April 2026</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A905C7E" w14:textId="77777777" w:rsidR="0014667C" w:rsidRPr="0014667C" w:rsidRDefault="0014667C" w:rsidP="0014667C">
            <w:pPr>
              <w:spacing w:before="100" w:beforeAutospacing="1" w:after="100" w:afterAutospacing="1" w:line="240" w:lineRule="auto"/>
              <w:rPr>
                <w:rFonts w:ascii="Arial" w:eastAsiaTheme="minorEastAsia" w:hAnsi="Arial" w:cs="Arial"/>
                <w:kern w:val="0"/>
                <w:lang w:val="en-GB" w:eastAsia="en-GB"/>
                <w14:ligatures w14:val="none"/>
              </w:rPr>
            </w:pPr>
            <w:r w:rsidRPr="0014667C">
              <w:rPr>
                <w:rFonts w:ascii="Arial" w:eastAsiaTheme="minorEastAsia" w:hAnsi="Arial" w:cs="Arial"/>
                <w:kern w:val="0"/>
                <w:lang w:val="en-GB" w:eastAsia="en-GB"/>
                <w14:ligatures w14:val="none"/>
              </w:rPr>
              <w:t>To help structure dissertation chapters and check flow, readability, grammar and spelling.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F394CC7" w14:textId="77777777" w:rsidR="0014667C" w:rsidRPr="0014667C" w:rsidRDefault="0014667C" w:rsidP="0014667C">
            <w:pPr>
              <w:spacing w:before="100" w:beforeAutospacing="1" w:after="100" w:afterAutospacing="1" w:line="240" w:lineRule="auto"/>
              <w:rPr>
                <w:rFonts w:ascii="Arial" w:eastAsiaTheme="minorEastAsia" w:hAnsi="Arial" w:cs="Arial"/>
                <w:kern w:val="0"/>
                <w:lang w:val="en-GB" w:eastAsia="en-GB"/>
                <w14:ligatures w14:val="none"/>
              </w:rPr>
            </w:pPr>
            <w:r w:rsidRPr="0014667C">
              <w:rPr>
                <w:rFonts w:ascii="Arial" w:eastAsiaTheme="minorEastAsia" w:hAnsi="Arial" w:cs="Arial"/>
                <w:kern w:val="0"/>
                <w:lang w:val="en-GB" w:eastAsia="en-GB"/>
                <w14:ligatures w14:val="none"/>
              </w:rPr>
              <w:t>“Can you check this chapter for flow, readability, grammar and spelling?”</w:t>
            </w:r>
          </w:p>
        </w:tc>
      </w:tr>
      <w:tr w:rsidR="0014667C" w:rsidRPr="0014667C" w14:paraId="715CC330"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383B9E9" w14:textId="77777777" w:rsidR="0014667C" w:rsidRPr="0014667C" w:rsidRDefault="0014667C" w:rsidP="0014667C">
            <w:pPr>
              <w:spacing w:before="100" w:beforeAutospacing="1" w:after="100" w:afterAutospacing="1" w:line="240" w:lineRule="auto"/>
              <w:rPr>
                <w:rFonts w:ascii="Arial" w:eastAsiaTheme="minorEastAsia" w:hAnsi="Arial" w:cs="Arial"/>
                <w:kern w:val="0"/>
                <w:lang w:val="en-GB" w:eastAsia="en-GB"/>
                <w14:ligatures w14:val="none"/>
              </w:rPr>
            </w:pPr>
            <w:r w:rsidRPr="0014667C">
              <w:rPr>
                <w:rFonts w:ascii="Arial" w:eastAsiaTheme="minorEastAsia" w:hAnsi="Arial" w:cs="Arial"/>
                <w:kern w:val="0"/>
                <w:lang w:val="en-GB" w:eastAsia="en-GB"/>
                <w14:ligatures w14:val="none"/>
              </w:rPr>
              <w:t>https://copilot.microsoft.com/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F800E3E" w14:textId="77777777" w:rsidR="0014667C" w:rsidRPr="0014667C" w:rsidRDefault="0014667C" w:rsidP="0014667C">
            <w:pPr>
              <w:spacing w:before="100" w:beforeAutospacing="1" w:after="100" w:afterAutospacing="1" w:line="240" w:lineRule="auto"/>
              <w:rPr>
                <w:rFonts w:ascii="Arial" w:eastAsiaTheme="minorEastAsia" w:hAnsi="Arial" w:cs="Arial"/>
                <w:kern w:val="0"/>
                <w:lang w:val="en-GB" w:eastAsia="en-GB"/>
                <w14:ligatures w14:val="none"/>
              </w:rPr>
            </w:pPr>
            <w:r w:rsidRPr="0014667C">
              <w:rPr>
                <w:rFonts w:ascii="Arial" w:eastAsiaTheme="minorEastAsia" w:hAnsi="Arial" w:cs="Arial"/>
                <w:kern w:val="0"/>
                <w:lang w:val="en-GB" w:eastAsia="en-GB"/>
                <w14:ligatures w14:val="none"/>
              </w:rPr>
              <w:t>April 2026</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EAF17E6" w14:textId="77777777" w:rsidR="0014667C" w:rsidRPr="0014667C" w:rsidRDefault="0014667C" w:rsidP="0014667C">
            <w:pPr>
              <w:spacing w:before="100" w:beforeAutospacing="1" w:after="100" w:afterAutospacing="1" w:line="240" w:lineRule="auto"/>
              <w:rPr>
                <w:rFonts w:ascii="Arial" w:eastAsiaTheme="minorEastAsia" w:hAnsi="Arial" w:cs="Arial"/>
                <w:kern w:val="0"/>
                <w:lang w:val="en-GB" w:eastAsia="en-GB"/>
                <w14:ligatures w14:val="none"/>
              </w:rPr>
            </w:pPr>
            <w:r w:rsidRPr="0014667C">
              <w:rPr>
                <w:rFonts w:ascii="Arial" w:eastAsiaTheme="minorEastAsia" w:hAnsi="Arial" w:cs="Arial"/>
                <w:kern w:val="0"/>
                <w:lang w:val="en-GB" w:eastAsia="en-GB"/>
                <w14:ligatures w14:val="none"/>
              </w:rPr>
              <w:t>To help structure dissertation chapters and check flow, readability, grammar and spelling.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E348EF2" w14:textId="0C8387CD" w:rsidR="0014667C" w:rsidRPr="0014667C" w:rsidRDefault="0014667C" w:rsidP="0014667C">
            <w:pPr>
              <w:spacing w:before="100" w:beforeAutospacing="1" w:after="100" w:afterAutospacing="1" w:line="240" w:lineRule="auto"/>
              <w:rPr>
                <w:rFonts w:ascii="Arial" w:eastAsiaTheme="minorEastAsia" w:hAnsi="Arial" w:cs="Arial"/>
                <w:kern w:val="0"/>
                <w:lang w:val="en-GB" w:eastAsia="en-GB"/>
                <w14:ligatures w14:val="none"/>
              </w:rPr>
            </w:pPr>
            <w:r w:rsidRPr="0014667C">
              <w:rPr>
                <w:rFonts w:ascii="Arial" w:eastAsiaTheme="minorEastAsia" w:hAnsi="Arial" w:cs="Arial"/>
                <w:kern w:val="0"/>
                <w:lang w:val="en-GB" w:eastAsia="en-GB"/>
                <w14:ligatures w14:val="none"/>
              </w:rPr>
              <w:t xml:space="preserve">“Can you help </w:t>
            </w:r>
            <w:r>
              <w:rPr>
                <w:rFonts w:ascii="Arial" w:eastAsiaTheme="minorEastAsia" w:hAnsi="Arial" w:cs="Arial"/>
                <w:kern w:val="0"/>
                <w:lang w:val="en-GB" w:eastAsia="en-GB"/>
                <w14:ligatures w14:val="none"/>
              </w:rPr>
              <w:t>check</w:t>
            </w:r>
            <w:r w:rsidRPr="0014667C">
              <w:rPr>
                <w:rFonts w:ascii="Arial" w:eastAsiaTheme="minorEastAsia" w:hAnsi="Arial" w:cs="Arial"/>
                <w:kern w:val="0"/>
                <w:lang w:val="en-GB" w:eastAsia="en-GB"/>
                <w14:ligatures w14:val="none"/>
              </w:rPr>
              <w:t xml:space="preserve"> structure and readability of this dissertation section?”</w:t>
            </w:r>
          </w:p>
        </w:tc>
      </w:tr>
    </w:tbl>
    <w:p w14:paraId="2E5BCC75" w14:textId="77777777" w:rsidR="0014667C" w:rsidRPr="00222705" w:rsidRDefault="0014667C" w:rsidP="00EF007D">
      <w:pPr>
        <w:rPr>
          <w:rFonts w:ascii="Arial" w:hAnsi="Arial" w:cs="Arial"/>
        </w:rPr>
      </w:pPr>
    </w:p>
    <w:p w14:paraId="1C85E079" w14:textId="3CAD7BFE" w:rsidR="003F6232" w:rsidRPr="00222705" w:rsidRDefault="003F6232" w:rsidP="009E20D5">
      <w:pPr>
        <w:spacing w:line="240" w:lineRule="auto"/>
        <w:rPr>
          <w:rFonts w:ascii="Arial" w:hAnsi="Arial" w:cs="Arial"/>
        </w:rPr>
      </w:pPr>
    </w:p>
    <w:p w14:paraId="0ED21A93" w14:textId="6768B4D7" w:rsidR="00C51A2D" w:rsidRDefault="00A87B0C" w:rsidP="002839CC">
      <w:pPr>
        <w:pStyle w:val="Heading1"/>
        <w:rPr>
          <w:lang w:val="en-GB"/>
        </w:rPr>
      </w:pPr>
      <w:bookmarkStart w:id="91" w:name="_Toc228218313"/>
      <w:r>
        <w:rPr>
          <w:noProof/>
          <w:lang w:val="en-GB"/>
        </w:rPr>
        <w:lastRenderedPageBreak/>
        <w:drawing>
          <wp:anchor distT="0" distB="0" distL="114300" distR="114300" simplePos="0" relativeHeight="251658243" behindDoc="0" locked="0" layoutInCell="1" allowOverlap="1" wp14:anchorId="6A58D1E3" wp14:editId="58BF50A3">
            <wp:simplePos x="0" y="0"/>
            <wp:positionH relativeFrom="column">
              <wp:posOffset>0</wp:posOffset>
            </wp:positionH>
            <wp:positionV relativeFrom="paragraph">
              <wp:posOffset>513080</wp:posOffset>
            </wp:positionV>
            <wp:extent cx="5709285" cy="7713345"/>
            <wp:effectExtent l="0" t="0" r="5715" b="0"/>
            <wp:wrapTopAndBottom/>
            <wp:docPr id="112042386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423861" name="Picture 112042386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09285" cy="7713345"/>
                    </a:xfrm>
                    <a:prstGeom prst="rect">
                      <a:avLst/>
                    </a:prstGeom>
                  </pic:spPr>
                </pic:pic>
              </a:graphicData>
            </a:graphic>
            <wp14:sizeRelV relativeFrom="margin">
              <wp14:pctHeight>0</wp14:pctHeight>
            </wp14:sizeRelV>
          </wp:anchor>
        </w:drawing>
      </w:r>
      <w:r w:rsidR="000F4BF5" w:rsidRPr="00364FDC">
        <w:rPr>
          <w:lang w:val="en-GB"/>
        </w:rPr>
        <w:t>APPENDIX 1</w:t>
      </w:r>
      <w:r w:rsidR="00957E5C">
        <w:rPr>
          <w:lang w:val="en-GB"/>
        </w:rPr>
        <w:t>: E</w:t>
      </w:r>
      <w:r w:rsidR="00ED2A1B">
        <w:rPr>
          <w:lang w:val="en-GB"/>
        </w:rPr>
        <w:t>THICAL APPROVAL</w:t>
      </w:r>
      <w:bookmarkEnd w:id="91"/>
    </w:p>
    <w:p w14:paraId="3F30EDA6" w14:textId="3E856C2F" w:rsidR="001977EE" w:rsidRDefault="0067029C" w:rsidP="008C5BA7">
      <w:pPr>
        <w:spacing w:before="100" w:beforeAutospacing="1" w:after="100" w:afterAutospacing="1" w:line="360" w:lineRule="auto"/>
        <w:jc w:val="center"/>
        <w:rPr>
          <w:rFonts w:ascii="Arial" w:hAnsi="Arial" w:cs="Arial"/>
          <w:sz w:val="28"/>
          <w:szCs w:val="28"/>
          <w:lang w:val="en-GB"/>
        </w:rPr>
      </w:pPr>
      <w:r>
        <w:rPr>
          <w:rFonts w:ascii="Arial" w:hAnsi="Arial" w:cs="Arial"/>
          <w:noProof/>
          <w:sz w:val="28"/>
          <w:szCs w:val="28"/>
          <w:lang w:val="en-GB"/>
        </w:rPr>
        <w:lastRenderedPageBreak/>
        <w:drawing>
          <wp:anchor distT="0" distB="0" distL="114300" distR="114300" simplePos="0" relativeHeight="251658245" behindDoc="0" locked="0" layoutInCell="1" allowOverlap="1" wp14:anchorId="1F94214A" wp14:editId="10CDE209">
            <wp:simplePos x="0" y="0"/>
            <wp:positionH relativeFrom="column">
              <wp:posOffset>0</wp:posOffset>
            </wp:positionH>
            <wp:positionV relativeFrom="paragraph">
              <wp:posOffset>0</wp:posOffset>
            </wp:positionV>
            <wp:extent cx="5772150" cy="8229600"/>
            <wp:effectExtent l="0" t="0" r="6350" b="0"/>
            <wp:wrapTopAndBottom/>
            <wp:docPr id="1075655448"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655448" name="Picture 1075655448"/>
                    <pic:cNvPicPr/>
                  </pic:nvPicPr>
                  <pic:blipFill>
                    <a:blip r:embed="rId21">
                      <a:extLst>
                        <a:ext uri="{28A0092B-C50C-407E-A947-70E740481C1C}">
                          <a14:useLocalDpi xmlns:a14="http://schemas.microsoft.com/office/drawing/2010/main" val="0"/>
                        </a:ext>
                      </a:extLst>
                    </a:blip>
                    <a:stretch>
                      <a:fillRect/>
                    </a:stretch>
                  </pic:blipFill>
                  <pic:spPr>
                    <a:xfrm>
                      <a:off x="0" y="0"/>
                      <a:ext cx="5772150" cy="8229600"/>
                    </a:xfrm>
                    <a:prstGeom prst="rect">
                      <a:avLst/>
                    </a:prstGeom>
                  </pic:spPr>
                </pic:pic>
              </a:graphicData>
            </a:graphic>
          </wp:anchor>
        </w:drawing>
      </w:r>
      <w:r w:rsidR="00415E11">
        <w:rPr>
          <w:rFonts w:ascii="Arial" w:hAnsi="Arial" w:cs="Arial"/>
          <w:noProof/>
          <w:sz w:val="28"/>
          <w:szCs w:val="28"/>
          <w:lang w:val="en-GB"/>
        </w:rPr>
        <w:drawing>
          <wp:anchor distT="0" distB="0" distL="114300" distR="114300" simplePos="0" relativeHeight="251658244" behindDoc="0" locked="0" layoutInCell="1" allowOverlap="1" wp14:anchorId="45871055" wp14:editId="698A58EE">
            <wp:simplePos x="0" y="0"/>
            <wp:positionH relativeFrom="column">
              <wp:posOffset>0</wp:posOffset>
            </wp:positionH>
            <wp:positionV relativeFrom="paragraph">
              <wp:posOffset>0</wp:posOffset>
            </wp:positionV>
            <wp:extent cx="5720080" cy="8229600"/>
            <wp:effectExtent l="0" t="0" r="0" b="0"/>
            <wp:wrapTopAndBottom/>
            <wp:docPr id="1054795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795721" name="Picture 1054795721"/>
                    <pic:cNvPicPr/>
                  </pic:nvPicPr>
                  <pic:blipFill>
                    <a:blip r:embed="rId22">
                      <a:extLst>
                        <a:ext uri="{28A0092B-C50C-407E-A947-70E740481C1C}">
                          <a14:useLocalDpi xmlns:a14="http://schemas.microsoft.com/office/drawing/2010/main" val="0"/>
                        </a:ext>
                      </a:extLst>
                    </a:blip>
                    <a:stretch>
                      <a:fillRect/>
                    </a:stretch>
                  </pic:blipFill>
                  <pic:spPr>
                    <a:xfrm>
                      <a:off x="0" y="0"/>
                      <a:ext cx="5720080" cy="8229600"/>
                    </a:xfrm>
                    <a:prstGeom prst="rect">
                      <a:avLst/>
                    </a:prstGeom>
                  </pic:spPr>
                </pic:pic>
              </a:graphicData>
            </a:graphic>
          </wp:anchor>
        </w:drawing>
      </w:r>
    </w:p>
    <w:p w14:paraId="474B373D" w14:textId="3577DC0E" w:rsidR="00364FDC" w:rsidRPr="00364FDC" w:rsidRDefault="00793451" w:rsidP="008C5BA7">
      <w:pPr>
        <w:spacing w:before="100" w:beforeAutospacing="1" w:after="100" w:afterAutospacing="1" w:line="360" w:lineRule="auto"/>
        <w:jc w:val="center"/>
        <w:rPr>
          <w:rFonts w:ascii="Arial" w:hAnsi="Arial" w:cs="Arial"/>
          <w:sz w:val="28"/>
          <w:szCs w:val="28"/>
          <w:lang w:val="en-GB"/>
        </w:rPr>
      </w:pPr>
      <w:r>
        <w:rPr>
          <w:rFonts w:ascii="Arial" w:hAnsi="Arial" w:cs="Arial"/>
          <w:noProof/>
          <w:sz w:val="28"/>
          <w:szCs w:val="28"/>
          <w:lang w:val="en-GB"/>
        </w:rPr>
        <w:lastRenderedPageBreak/>
        <w:drawing>
          <wp:anchor distT="0" distB="0" distL="114300" distR="114300" simplePos="0" relativeHeight="251658246" behindDoc="0" locked="0" layoutInCell="1" allowOverlap="1" wp14:anchorId="5241C441" wp14:editId="6948327A">
            <wp:simplePos x="0" y="0"/>
            <wp:positionH relativeFrom="column">
              <wp:posOffset>0</wp:posOffset>
            </wp:positionH>
            <wp:positionV relativeFrom="paragraph">
              <wp:posOffset>0</wp:posOffset>
            </wp:positionV>
            <wp:extent cx="5720080" cy="8229600"/>
            <wp:effectExtent l="0" t="0" r="0" b="0"/>
            <wp:wrapTopAndBottom/>
            <wp:docPr id="242008295"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008295" name="Picture 242008295"/>
                    <pic:cNvPicPr/>
                  </pic:nvPicPr>
                  <pic:blipFill>
                    <a:blip r:embed="rId22">
                      <a:extLst>
                        <a:ext uri="{28A0092B-C50C-407E-A947-70E740481C1C}">
                          <a14:useLocalDpi xmlns:a14="http://schemas.microsoft.com/office/drawing/2010/main" val="0"/>
                        </a:ext>
                      </a:extLst>
                    </a:blip>
                    <a:stretch>
                      <a:fillRect/>
                    </a:stretch>
                  </pic:blipFill>
                  <pic:spPr>
                    <a:xfrm>
                      <a:off x="0" y="0"/>
                      <a:ext cx="5720080" cy="8229600"/>
                    </a:xfrm>
                    <a:prstGeom prst="rect">
                      <a:avLst/>
                    </a:prstGeom>
                  </pic:spPr>
                </pic:pic>
              </a:graphicData>
            </a:graphic>
          </wp:anchor>
        </w:drawing>
      </w:r>
    </w:p>
    <w:p w14:paraId="1D2F8620" w14:textId="02270EFC" w:rsidR="00211DB3" w:rsidRPr="00211DB3" w:rsidRDefault="00677B82" w:rsidP="00096CAD">
      <w:pPr>
        <w:spacing w:line="360" w:lineRule="auto"/>
        <w:rPr>
          <w:sz w:val="28"/>
          <w:szCs w:val="28"/>
        </w:rPr>
      </w:pPr>
      <w:r>
        <w:rPr>
          <w:noProof/>
          <w:sz w:val="28"/>
          <w:szCs w:val="28"/>
        </w:rPr>
        <w:lastRenderedPageBreak/>
        <w:drawing>
          <wp:anchor distT="0" distB="0" distL="114300" distR="114300" simplePos="0" relativeHeight="251658247" behindDoc="0" locked="0" layoutInCell="1" allowOverlap="1" wp14:anchorId="2F7679D8" wp14:editId="71F7EA45">
            <wp:simplePos x="0" y="0"/>
            <wp:positionH relativeFrom="column">
              <wp:posOffset>0</wp:posOffset>
            </wp:positionH>
            <wp:positionV relativeFrom="paragraph">
              <wp:posOffset>0</wp:posOffset>
            </wp:positionV>
            <wp:extent cx="5595620" cy="8229600"/>
            <wp:effectExtent l="0" t="0" r="5080" b="0"/>
            <wp:wrapTopAndBottom/>
            <wp:docPr id="13749864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986434" name="Picture 1374986434"/>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595620" cy="8229600"/>
                    </a:xfrm>
                    <a:prstGeom prst="rect">
                      <a:avLst/>
                    </a:prstGeom>
                  </pic:spPr>
                </pic:pic>
              </a:graphicData>
            </a:graphic>
          </wp:anchor>
        </w:drawing>
      </w:r>
    </w:p>
    <w:p w14:paraId="3B50ABF4" w14:textId="5FEA8CA0" w:rsidR="00A12193" w:rsidRDefault="00623EDD" w:rsidP="00096CAD">
      <w:pPr>
        <w:spacing w:line="360" w:lineRule="auto"/>
      </w:pPr>
      <w:r>
        <w:rPr>
          <w:noProof/>
        </w:rPr>
        <w:lastRenderedPageBreak/>
        <w:drawing>
          <wp:anchor distT="0" distB="0" distL="114300" distR="114300" simplePos="0" relativeHeight="251658248" behindDoc="0" locked="0" layoutInCell="1" allowOverlap="1" wp14:anchorId="4421BD27" wp14:editId="44F54035">
            <wp:simplePos x="0" y="0"/>
            <wp:positionH relativeFrom="column">
              <wp:posOffset>0</wp:posOffset>
            </wp:positionH>
            <wp:positionV relativeFrom="paragraph">
              <wp:posOffset>0</wp:posOffset>
            </wp:positionV>
            <wp:extent cx="5624830" cy="8229600"/>
            <wp:effectExtent l="0" t="0" r="1270" b="0"/>
            <wp:wrapTopAndBottom/>
            <wp:docPr id="67707360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073605" name="Picture 677073605"/>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624830" cy="8229600"/>
                    </a:xfrm>
                    <a:prstGeom prst="rect">
                      <a:avLst/>
                    </a:prstGeom>
                  </pic:spPr>
                </pic:pic>
              </a:graphicData>
            </a:graphic>
          </wp:anchor>
        </w:drawing>
      </w:r>
    </w:p>
    <w:p w14:paraId="05B4D8C2" w14:textId="3B315E9B" w:rsidR="00A12193" w:rsidRDefault="003E5097" w:rsidP="00096CAD">
      <w:pPr>
        <w:spacing w:line="360" w:lineRule="auto"/>
      </w:pPr>
      <w:r>
        <w:rPr>
          <w:noProof/>
        </w:rPr>
        <w:lastRenderedPageBreak/>
        <w:drawing>
          <wp:anchor distT="0" distB="0" distL="114300" distR="114300" simplePos="0" relativeHeight="251658249" behindDoc="0" locked="0" layoutInCell="1" allowOverlap="1" wp14:anchorId="70073ABF" wp14:editId="5E5D4160">
            <wp:simplePos x="0" y="0"/>
            <wp:positionH relativeFrom="column">
              <wp:posOffset>254000</wp:posOffset>
            </wp:positionH>
            <wp:positionV relativeFrom="paragraph">
              <wp:posOffset>362585</wp:posOffset>
            </wp:positionV>
            <wp:extent cx="5471922" cy="7863840"/>
            <wp:effectExtent l="0" t="0" r="1905" b="0"/>
            <wp:wrapTopAndBottom/>
            <wp:docPr id="8957911"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7911" name="Picture 8957911"/>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471922" cy="7863840"/>
                    </a:xfrm>
                    <a:prstGeom prst="rect">
                      <a:avLst/>
                    </a:prstGeom>
                  </pic:spPr>
                </pic:pic>
              </a:graphicData>
            </a:graphic>
            <wp14:sizeRelH relativeFrom="margin">
              <wp14:pctWidth>0</wp14:pctWidth>
            </wp14:sizeRelH>
            <wp14:sizeRelV relativeFrom="margin">
              <wp14:pctHeight>0</wp14:pctHeight>
            </wp14:sizeRelV>
          </wp:anchor>
        </w:drawing>
      </w:r>
    </w:p>
    <w:p w14:paraId="53A70496" w14:textId="40970621" w:rsidR="00A12193" w:rsidRDefault="00B36A68" w:rsidP="00096CAD">
      <w:pPr>
        <w:spacing w:line="360" w:lineRule="auto"/>
      </w:pPr>
      <w:r>
        <w:rPr>
          <w:noProof/>
        </w:rPr>
        <w:lastRenderedPageBreak/>
        <w:drawing>
          <wp:anchor distT="0" distB="0" distL="114300" distR="114300" simplePos="0" relativeHeight="251658250" behindDoc="0" locked="0" layoutInCell="1" allowOverlap="1" wp14:anchorId="7CD2EC30" wp14:editId="15EAF64F">
            <wp:simplePos x="0" y="0"/>
            <wp:positionH relativeFrom="column">
              <wp:posOffset>0</wp:posOffset>
            </wp:positionH>
            <wp:positionV relativeFrom="paragraph">
              <wp:posOffset>0</wp:posOffset>
            </wp:positionV>
            <wp:extent cx="5715635" cy="8229600"/>
            <wp:effectExtent l="0" t="0" r="0" b="0"/>
            <wp:wrapTopAndBottom/>
            <wp:docPr id="1569419086"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419086" name="Picture 1569419086"/>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15635" cy="8229600"/>
                    </a:xfrm>
                    <a:prstGeom prst="rect">
                      <a:avLst/>
                    </a:prstGeom>
                  </pic:spPr>
                </pic:pic>
              </a:graphicData>
            </a:graphic>
          </wp:anchor>
        </w:drawing>
      </w:r>
    </w:p>
    <w:p w14:paraId="2FCD5BE9" w14:textId="569AFC41" w:rsidR="00A12193" w:rsidRDefault="00FD3CE9" w:rsidP="00096CAD">
      <w:pPr>
        <w:spacing w:line="360" w:lineRule="auto"/>
      </w:pPr>
      <w:r>
        <w:rPr>
          <w:noProof/>
        </w:rPr>
        <w:lastRenderedPageBreak/>
        <w:drawing>
          <wp:anchor distT="0" distB="0" distL="114300" distR="114300" simplePos="0" relativeHeight="251658251" behindDoc="0" locked="0" layoutInCell="1" allowOverlap="1" wp14:anchorId="44A4C149" wp14:editId="64411ADF">
            <wp:simplePos x="0" y="0"/>
            <wp:positionH relativeFrom="column">
              <wp:posOffset>98425</wp:posOffset>
            </wp:positionH>
            <wp:positionV relativeFrom="paragraph">
              <wp:posOffset>521970</wp:posOffset>
            </wp:positionV>
            <wp:extent cx="5275726" cy="7685859"/>
            <wp:effectExtent l="0" t="0" r="0" b="0"/>
            <wp:wrapTopAndBottom/>
            <wp:docPr id="536196389"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196389" name="Picture 536196389"/>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276003" cy="7686262"/>
                    </a:xfrm>
                    <a:prstGeom prst="rect">
                      <a:avLst/>
                    </a:prstGeom>
                  </pic:spPr>
                </pic:pic>
              </a:graphicData>
            </a:graphic>
            <wp14:sizeRelH relativeFrom="margin">
              <wp14:pctWidth>0</wp14:pctWidth>
            </wp14:sizeRelH>
            <wp14:sizeRelV relativeFrom="margin">
              <wp14:pctHeight>0</wp14:pctHeight>
            </wp14:sizeRelV>
          </wp:anchor>
        </w:drawing>
      </w:r>
    </w:p>
    <w:p w14:paraId="1B2E1708" w14:textId="12CC2567" w:rsidR="00A12193" w:rsidRDefault="002733B2" w:rsidP="00096CAD">
      <w:pPr>
        <w:spacing w:line="360" w:lineRule="auto"/>
      </w:pPr>
      <w:r>
        <w:rPr>
          <w:noProof/>
        </w:rPr>
        <w:lastRenderedPageBreak/>
        <w:drawing>
          <wp:anchor distT="0" distB="0" distL="114300" distR="114300" simplePos="0" relativeHeight="251658252" behindDoc="0" locked="0" layoutInCell="1" allowOverlap="1" wp14:anchorId="0603527D" wp14:editId="402CE8C7">
            <wp:simplePos x="0" y="0"/>
            <wp:positionH relativeFrom="column">
              <wp:posOffset>-91440</wp:posOffset>
            </wp:positionH>
            <wp:positionV relativeFrom="paragraph">
              <wp:posOffset>-272</wp:posOffset>
            </wp:positionV>
            <wp:extent cx="5685155" cy="8229600"/>
            <wp:effectExtent l="0" t="0" r="4445" b="0"/>
            <wp:wrapTopAndBottom/>
            <wp:docPr id="1843555051"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555051" name="Picture 1843555051"/>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685155" cy="8229600"/>
                    </a:xfrm>
                    <a:prstGeom prst="rect">
                      <a:avLst/>
                    </a:prstGeom>
                  </pic:spPr>
                </pic:pic>
              </a:graphicData>
            </a:graphic>
          </wp:anchor>
        </w:drawing>
      </w:r>
    </w:p>
    <w:p w14:paraId="1AFB9DF2" w14:textId="66ACD6AE" w:rsidR="00A12193" w:rsidRDefault="00451D37" w:rsidP="00096CAD">
      <w:pPr>
        <w:spacing w:line="360" w:lineRule="auto"/>
      </w:pPr>
      <w:r>
        <w:rPr>
          <w:noProof/>
        </w:rPr>
        <w:lastRenderedPageBreak/>
        <w:drawing>
          <wp:anchor distT="0" distB="0" distL="114300" distR="114300" simplePos="0" relativeHeight="251658253" behindDoc="0" locked="0" layoutInCell="1" allowOverlap="1" wp14:anchorId="073BC0F2" wp14:editId="1A1F5C84">
            <wp:simplePos x="0" y="0"/>
            <wp:positionH relativeFrom="column">
              <wp:posOffset>-261257</wp:posOffset>
            </wp:positionH>
            <wp:positionV relativeFrom="paragraph">
              <wp:posOffset>0</wp:posOffset>
            </wp:positionV>
            <wp:extent cx="5716270" cy="8229600"/>
            <wp:effectExtent l="0" t="0" r="0" b="0"/>
            <wp:wrapTopAndBottom/>
            <wp:docPr id="1636036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03640" name="Picture 163603640"/>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16270" cy="8229600"/>
                    </a:xfrm>
                    <a:prstGeom prst="rect">
                      <a:avLst/>
                    </a:prstGeom>
                  </pic:spPr>
                </pic:pic>
              </a:graphicData>
            </a:graphic>
          </wp:anchor>
        </w:drawing>
      </w:r>
    </w:p>
    <w:p w14:paraId="58CFADED" w14:textId="0FB4B7F1" w:rsidR="00A12193" w:rsidRDefault="00DD625F" w:rsidP="00096CAD">
      <w:pPr>
        <w:spacing w:line="360" w:lineRule="auto"/>
      </w:pPr>
      <w:r>
        <w:rPr>
          <w:noProof/>
        </w:rPr>
        <w:lastRenderedPageBreak/>
        <w:drawing>
          <wp:anchor distT="0" distB="0" distL="114300" distR="114300" simplePos="0" relativeHeight="251658254" behindDoc="0" locked="0" layoutInCell="1" allowOverlap="1" wp14:anchorId="2C0CEBD4" wp14:editId="68BB37D4">
            <wp:simplePos x="0" y="0"/>
            <wp:positionH relativeFrom="column">
              <wp:posOffset>-483326</wp:posOffset>
            </wp:positionH>
            <wp:positionV relativeFrom="paragraph">
              <wp:posOffset>-545</wp:posOffset>
            </wp:positionV>
            <wp:extent cx="5568950" cy="8229600"/>
            <wp:effectExtent l="0" t="0" r="6350" b="0"/>
            <wp:wrapTopAndBottom/>
            <wp:docPr id="1406223533"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223533" name="Picture 1406223533"/>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568950" cy="8229600"/>
                    </a:xfrm>
                    <a:prstGeom prst="rect">
                      <a:avLst/>
                    </a:prstGeom>
                  </pic:spPr>
                </pic:pic>
              </a:graphicData>
            </a:graphic>
          </wp:anchor>
        </w:drawing>
      </w:r>
    </w:p>
    <w:p w14:paraId="4C580FD7" w14:textId="44F79DDE" w:rsidR="00A12193" w:rsidRDefault="00CE3671" w:rsidP="00096CAD">
      <w:pPr>
        <w:spacing w:line="360" w:lineRule="auto"/>
      </w:pPr>
      <w:r>
        <w:rPr>
          <w:noProof/>
        </w:rPr>
        <w:lastRenderedPageBreak/>
        <w:drawing>
          <wp:anchor distT="0" distB="0" distL="114300" distR="114300" simplePos="0" relativeHeight="251658255" behindDoc="0" locked="0" layoutInCell="1" allowOverlap="1" wp14:anchorId="6A701C52" wp14:editId="69FB6B59">
            <wp:simplePos x="0" y="0"/>
            <wp:positionH relativeFrom="column">
              <wp:posOffset>254000</wp:posOffset>
            </wp:positionH>
            <wp:positionV relativeFrom="paragraph">
              <wp:posOffset>365125</wp:posOffset>
            </wp:positionV>
            <wp:extent cx="5360670" cy="7856855"/>
            <wp:effectExtent l="0" t="0" r="0" b="4445"/>
            <wp:wrapTopAndBottom/>
            <wp:docPr id="1747732898"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732898" name="Picture 1747732898"/>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360670" cy="7856855"/>
                    </a:xfrm>
                    <a:prstGeom prst="rect">
                      <a:avLst/>
                    </a:prstGeom>
                  </pic:spPr>
                </pic:pic>
              </a:graphicData>
            </a:graphic>
            <wp14:sizeRelH relativeFrom="margin">
              <wp14:pctWidth>0</wp14:pctWidth>
            </wp14:sizeRelH>
            <wp14:sizeRelV relativeFrom="margin">
              <wp14:pctHeight>0</wp14:pctHeight>
            </wp14:sizeRelV>
          </wp:anchor>
        </w:drawing>
      </w:r>
    </w:p>
    <w:p w14:paraId="03F99847" w14:textId="5C9186E4" w:rsidR="00DD625F" w:rsidRDefault="00315450" w:rsidP="00096CAD">
      <w:pPr>
        <w:spacing w:line="360" w:lineRule="auto"/>
      </w:pPr>
      <w:r>
        <w:rPr>
          <w:noProof/>
        </w:rPr>
        <w:lastRenderedPageBreak/>
        <w:drawing>
          <wp:anchor distT="0" distB="0" distL="114300" distR="114300" simplePos="0" relativeHeight="251658256" behindDoc="0" locked="0" layoutInCell="1" allowOverlap="1" wp14:anchorId="55F0C540" wp14:editId="2680112B">
            <wp:simplePos x="0" y="0"/>
            <wp:positionH relativeFrom="column">
              <wp:posOffset>0</wp:posOffset>
            </wp:positionH>
            <wp:positionV relativeFrom="paragraph">
              <wp:posOffset>0</wp:posOffset>
            </wp:positionV>
            <wp:extent cx="5625465" cy="8229600"/>
            <wp:effectExtent l="0" t="0" r="635" b="0"/>
            <wp:wrapTopAndBottom/>
            <wp:docPr id="1743514880"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514880" name="Picture 1743514880"/>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625465" cy="8229600"/>
                    </a:xfrm>
                    <a:prstGeom prst="rect">
                      <a:avLst/>
                    </a:prstGeom>
                  </pic:spPr>
                </pic:pic>
              </a:graphicData>
            </a:graphic>
          </wp:anchor>
        </w:drawing>
      </w:r>
    </w:p>
    <w:p w14:paraId="214775E2" w14:textId="16CAB0A4" w:rsidR="00A12193" w:rsidRDefault="00496952" w:rsidP="00ED2A1B">
      <w:pPr>
        <w:pStyle w:val="Heading1"/>
      </w:pPr>
      <w:bookmarkStart w:id="92" w:name="_Toc228218314"/>
      <w:r>
        <w:lastRenderedPageBreak/>
        <w:t>APPENDIX 2</w:t>
      </w:r>
      <w:r w:rsidR="006A291A">
        <w:t>: INFORMED CONSENT</w:t>
      </w:r>
      <w:bookmarkEnd w:id="92"/>
      <w:r w:rsidR="006A291A">
        <w:t xml:space="preserve"> </w:t>
      </w:r>
    </w:p>
    <w:p w14:paraId="3BA31709" w14:textId="77777777" w:rsidR="006A291A" w:rsidRPr="00496952" w:rsidRDefault="006A291A" w:rsidP="00496952">
      <w:pPr>
        <w:spacing w:line="360" w:lineRule="auto"/>
        <w:jc w:val="center"/>
        <w:rPr>
          <w:rFonts w:ascii="Arial" w:hAnsi="Arial" w:cs="Arial"/>
          <w:b/>
          <w:bCs/>
          <w:sz w:val="28"/>
          <w:szCs w:val="28"/>
        </w:rPr>
      </w:pPr>
    </w:p>
    <w:p w14:paraId="2D9FF099" w14:textId="7E49840E" w:rsidR="00840A30" w:rsidRDefault="0034190C" w:rsidP="00096CAD">
      <w:pPr>
        <w:spacing w:line="360" w:lineRule="auto"/>
      </w:pPr>
      <w:r>
        <w:rPr>
          <w:noProof/>
        </w:rPr>
        <w:drawing>
          <wp:anchor distT="0" distB="0" distL="114300" distR="114300" simplePos="0" relativeHeight="251658257" behindDoc="0" locked="0" layoutInCell="1" allowOverlap="1" wp14:anchorId="09EE1298" wp14:editId="655C02F2">
            <wp:simplePos x="0" y="0"/>
            <wp:positionH relativeFrom="column">
              <wp:posOffset>268605</wp:posOffset>
            </wp:positionH>
            <wp:positionV relativeFrom="paragraph">
              <wp:posOffset>229870</wp:posOffset>
            </wp:positionV>
            <wp:extent cx="5556250" cy="7174865"/>
            <wp:effectExtent l="0" t="0" r="6350" b="635"/>
            <wp:wrapTopAndBottom/>
            <wp:docPr id="1849198374"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198374" name="Picture 1849198374"/>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556250" cy="7174865"/>
                    </a:xfrm>
                    <a:prstGeom prst="rect">
                      <a:avLst/>
                    </a:prstGeom>
                  </pic:spPr>
                </pic:pic>
              </a:graphicData>
            </a:graphic>
            <wp14:sizeRelH relativeFrom="margin">
              <wp14:pctWidth>0</wp14:pctWidth>
            </wp14:sizeRelH>
            <wp14:sizeRelV relativeFrom="margin">
              <wp14:pctHeight>0</wp14:pctHeight>
            </wp14:sizeRelV>
          </wp:anchor>
        </w:drawing>
      </w:r>
      <w:r w:rsidR="00A12193">
        <w:t xml:space="preserve"> </w:t>
      </w:r>
    </w:p>
    <w:p w14:paraId="2B500901" w14:textId="78E746A3" w:rsidR="00F4467B" w:rsidRDefault="00125D72" w:rsidP="009E3C91">
      <w:pPr>
        <w:pStyle w:val="Heading1"/>
      </w:pPr>
      <w:bookmarkStart w:id="93" w:name="_Toc228218315"/>
      <w:r>
        <w:rPr>
          <w:noProof/>
        </w:rPr>
        <w:lastRenderedPageBreak/>
        <w:drawing>
          <wp:anchor distT="0" distB="0" distL="114300" distR="114300" simplePos="0" relativeHeight="251658258" behindDoc="0" locked="0" layoutInCell="1" allowOverlap="1" wp14:anchorId="1DF5163F" wp14:editId="1C23924C">
            <wp:simplePos x="0" y="0"/>
            <wp:positionH relativeFrom="column">
              <wp:posOffset>-466165</wp:posOffset>
            </wp:positionH>
            <wp:positionV relativeFrom="paragraph">
              <wp:posOffset>681318</wp:posOffset>
            </wp:positionV>
            <wp:extent cx="5943600" cy="6783929"/>
            <wp:effectExtent l="0" t="0" r="0" b="0"/>
            <wp:wrapTopAndBottom/>
            <wp:docPr id="1459897123"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897123" name="Picture 1459897123"/>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943600" cy="6783929"/>
                    </a:xfrm>
                    <a:prstGeom prst="rect">
                      <a:avLst/>
                    </a:prstGeom>
                  </pic:spPr>
                </pic:pic>
              </a:graphicData>
            </a:graphic>
            <wp14:sizeRelV relativeFrom="margin">
              <wp14:pctHeight>0</wp14:pctHeight>
            </wp14:sizeRelV>
          </wp:anchor>
        </w:drawing>
      </w:r>
      <w:r w:rsidR="00F4467B">
        <w:t xml:space="preserve">APPENDIX </w:t>
      </w:r>
      <w:r w:rsidR="000C32AF">
        <w:t>3</w:t>
      </w:r>
      <w:r w:rsidR="00F4467B">
        <w:t>: PAR-</w:t>
      </w:r>
      <w:r w:rsidR="000C32AF">
        <w:t>Q AND HEALTH SCREENING</w:t>
      </w:r>
      <w:bookmarkEnd w:id="93"/>
      <w:r w:rsidR="000C32AF">
        <w:t xml:space="preserve"> </w:t>
      </w:r>
    </w:p>
    <w:p w14:paraId="37B5CFBC" w14:textId="77777777" w:rsidR="000C32AF" w:rsidRDefault="000C32AF" w:rsidP="00F4467B">
      <w:pPr>
        <w:spacing w:line="360" w:lineRule="auto"/>
        <w:jc w:val="center"/>
        <w:rPr>
          <w:rFonts w:ascii="Arial" w:hAnsi="Arial" w:cs="Arial"/>
          <w:b/>
          <w:bCs/>
          <w:sz w:val="28"/>
          <w:szCs w:val="28"/>
        </w:rPr>
      </w:pPr>
    </w:p>
    <w:p w14:paraId="4654CD53" w14:textId="77777777" w:rsidR="00B57227" w:rsidRDefault="00B57227" w:rsidP="00F4467B">
      <w:pPr>
        <w:spacing w:line="360" w:lineRule="auto"/>
        <w:jc w:val="center"/>
        <w:rPr>
          <w:rFonts w:ascii="Arial" w:hAnsi="Arial" w:cs="Arial"/>
          <w:b/>
          <w:bCs/>
          <w:sz w:val="28"/>
          <w:szCs w:val="28"/>
        </w:rPr>
      </w:pPr>
    </w:p>
    <w:p w14:paraId="335CE7D2" w14:textId="11A8642F" w:rsidR="00B57227" w:rsidRDefault="00B57227" w:rsidP="00F4467B">
      <w:pPr>
        <w:spacing w:line="360" w:lineRule="auto"/>
        <w:jc w:val="center"/>
        <w:rPr>
          <w:rFonts w:ascii="Arial" w:hAnsi="Arial" w:cs="Arial"/>
          <w:b/>
          <w:bCs/>
          <w:sz w:val="28"/>
          <w:szCs w:val="28"/>
        </w:rPr>
      </w:pPr>
      <w:r>
        <w:rPr>
          <w:rFonts w:ascii="Arial" w:hAnsi="Arial" w:cs="Arial"/>
          <w:b/>
          <w:bCs/>
          <w:noProof/>
          <w:sz w:val="28"/>
          <w:szCs w:val="28"/>
        </w:rPr>
        <w:lastRenderedPageBreak/>
        <w:drawing>
          <wp:anchor distT="0" distB="0" distL="114300" distR="114300" simplePos="0" relativeHeight="251658259" behindDoc="0" locked="0" layoutInCell="1" allowOverlap="1" wp14:anchorId="5A0BEA07" wp14:editId="04181E8B">
            <wp:simplePos x="0" y="0"/>
            <wp:positionH relativeFrom="column">
              <wp:posOffset>0</wp:posOffset>
            </wp:positionH>
            <wp:positionV relativeFrom="paragraph">
              <wp:posOffset>412115</wp:posOffset>
            </wp:positionV>
            <wp:extent cx="5374640" cy="6950710"/>
            <wp:effectExtent l="0" t="0" r="0" b="0"/>
            <wp:wrapTopAndBottom/>
            <wp:docPr id="492547124"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547124" name="Picture 492547124"/>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374640" cy="6950710"/>
                    </a:xfrm>
                    <a:prstGeom prst="rect">
                      <a:avLst/>
                    </a:prstGeom>
                  </pic:spPr>
                </pic:pic>
              </a:graphicData>
            </a:graphic>
            <wp14:sizeRelH relativeFrom="margin">
              <wp14:pctWidth>0</wp14:pctWidth>
            </wp14:sizeRelH>
            <wp14:sizeRelV relativeFrom="margin">
              <wp14:pctHeight>0</wp14:pctHeight>
            </wp14:sizeRelV>
          </wp:anchor>
        </w:drawing>
      </w:r>
    </w:p>
    <w:p w14:paraId="5DE1408E" w14:textId="31482CDA" w:rsidR="00CA6933" w:rsidRDefault="00CA6933" w:rsidP="00F4467B">
      <w:pPr>
        <w:spacing w:line="360" w:lineRule="auto"/>
        <w:jc w:val="center"/>
        <w:rPr>
          <w:rFonts w:ascii="Arial" w:hAnsi="Arial" w:cs="Arial"/>
          <w:b/>
          <w:bCs/>
          <w:sz w:val="28"/>
          <w:szCs w:val="28"/>
        </w:rPr>
      </w:pPr>
    </w:p>
    <w:p w14:paraId="51B59289" w14:textId="4DC26AF7" w:rsidR="00CA6933" w:rsidRDefault="00CA6933" w:rsidP="00F4467B">
      <w:pPr>
        <w:spacing w:line="360" w:lineRule="auto"/>
        <w:jc w:val="center"/>
        <w:rPr>
          <w:rFonts w:ascii="Arial" w:hAnsi="Arial" w:cs="Arial"/>
          <w:b/>
          <w:bCs/>
          <w:sz w:val="28"/>
          <w:szCs w:val="28"/>
        </w:rPr>
      </w:pPr>
    </w:p>
    <w:p w14:paraId="0DF8665B" w14:textId="04E76924" w:rsidR="00CA6933" w:rsidRDefault="00245F5B" w:rsidP="00F4467B">
      <w:pPr>
        <w:spacing w:line="360" w:lineRule="auto"/>
        <w:jc w:val="center"/>
        <w:rPr>
          <w:rFonts w:ascii="Arial" w:hAnsi="Arial" w:cs="Arial"/>
          <w:b/>
          <w:bCs/>
          <w:sz w:val="28"/>
          <w:szCs w:val="28"/>
        </w:rPr>
      </w:pPr>
      <w:r>
        <w:rPr>
          <w:rFonts w:ascii="Arial" w:hAnsi="Arial" w:cs="Arial"/>
          <w:b/>
          <w:bCs/>
          <w:noProof/>
          <w:sz w:val="28"/>
          <w:szCs w:val="28"/>
        </w:rPr>
        <w:lastRenderedPageBreak/>
        <w:drawing>
          <wp:anchor distT="0" distB="0" distL="114300" distR="114300" simplePos="0" relativeHeight="251658260" behindDoc="0" locked="0" layoutInCell="1" allowOverlap="1" wp14:anchorId="56A26516" wp14:editId="4856D1AA">
            <wp:simplePos x="0" y="0"/>
            <wp:positionH relativeFrom="column">
              <wp:posOffset>0</wp:posOffset>
            </wp:positionH>
            <wp:positionV relativeFrom="paragraph">
              <wp:posOffset>824230</wp:posOffset>
            </wp:positionV>
            <wp:extent cx="5662930" cy="7028180"/>
            <wp:effectExtent l="0" t="0" r="1270" b="0"/>
            <wp:wrapTopAndBottom/>
            <wp:docPr id="1861307531"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307531" name="Picture 1861307531"/>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662930" cy="7028180"/>
                    </a:xfrm>
                    <a:prstGeom prst="rect">
                      <a:avLst/>
                    </a:prstGeom>
                  </pic:spPr>
                </pic:pic>
              </a:graphicData>
            </a:graphic>
            <wp14:sizeRelH relativeFrom="margin">
              <wp14:pctWidth>0</wp14:pctWidth>
            </wp14:sizeRelH>
            <wp14:sizeRelV relativeFrom="margin">
              <wp14:pctHeight>0</wp14:pctHeight>
            </wp14:sizeRelV>
          </wp:anchor>
        </w:drawing>
      </w:r>
    </w:p>
    <w:p w14:paraId="030D952D" w14:textId="77777777" w:rsidR="00AF419D" w:rsidRDefault="00AF419D" w:rsidP="00F4467B">
      <w:pPr>
        <w:spacing w:line="360" w:lineRule="auto"/>
        <w:jc w:val="center"/>
        <w:rPr>
          <w:rFonts w:ascii="Arial" w:hAnsi="Arial" w:cs="Arial"/>
          <w:b/>
          <w:bCs/>
          <w:sz w:val="28"/>
          <w:szCs w:val="28"/>
        </w:rPr>
      </w:pPr>
    </w:p>
    <w:p w14:paraId="1152E1F4" w14:textId="05F79CAC" w:rsidR="00AF419D" w:rsidRDefault="00245F5B" w:rsidP="00F4467B">
      <w:pPr>
        <w:spacing w:line="360" w:lineRule="auto"/>
        <w:jc w:val="center"/>
        <w:rPr>
          <w:rFonts w:ascii="Arial" w:hAnsi="Arial" w:cs="Arial"/>
          <w:b/>
          <w:bCs/>
          <w:sz w:val="28"/>
          <w:szCs w:val="28"/>
        </w:rPr>
      </w:pPr>
      <w:r>
        <w:rPr>
          <w:rFonts w:ascii="Arial" w:hAnsi="Arial" w:cs="Arial"/>
          <w:b/>
          <w:bCs/>
          <w:noProof/>
          <w:sz w:val="28"/>
          <w:szCs w:val="28"/>
        </w:rPr>
        <w:lastRenderedPageBreak/>
        <w:drawing>
          <wp:anchor distT="0" distB="0" distL="114300" distR="114300" simplePos="0" relativeHeight="251658261" behindDoc="0" locked="0" layoutInCell="1" allowOverlap="1" wp14:anchorId="2AD7129C" wp14:editId="0742224B">
            <wp:simplePos x="0" y="0"/>
            <wp:positionH relativeFrom="column">
              <wp:posOffset>0</wp:posOffset>
            </wp:positionH>
            <wp:positionV relativeFrom="paragraph">
              <wp:posOffset>412115</wp:posOffset>
            </wp:positionV>
            <wp:extent cx="5943600" cy="7313295"/>
            <wp:effectExtent l="0" t="0" r="0" b="1905"/>
            <wp:wrapTopAndBottom/>
            <wp:docPr id="1510381092"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381092" name="Picture 1510381092"/>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943600" cy="7313295"/>
                    </a:xfrm>
                    <a:prstGeom prst="rect">
                      <a:avLst/>
                    </a:prstGeom>
                  </pic:spPr>
                </pic:pic>
              </a:graphicData>
            </a:graphic>
          </wp:anchor>
        </w:drawing>
      </w:r>
    </w:p>
    <w:p w14:paraId="4509A81C" w14:textId="0F2A4661" w:rsidR="00245F5B" w:rsidRDefault="00FB5829" w:rsidP="00F4467B">
      <w:pPr>
        <w:spacing w:line="360" w:lineRule="auto"/>
        <w:jc w:val="center"/>
        <w:rPr>
          <w:rFonts w:ascii="Arial" w:hAnsi="Arial" w:cs="Arial"/>
          <w:b/>
          <w:bCs/>
          <w:sz w:val="28"/>
          <w:szCs w:val="28"/>
        </w:rPr>
      </w:pPr>
      <w:r>
        <w:rPr>
          <w:rFonts w:ascii="Arial" w:hAnsi="Arial" w:cs="Arial"/>
          <w:b/>
          <w:bCs/>
          <w:noProof/>
          <w:sz w:val="28"/>
          <w:szCs w:val="28"/>
        </w:rPr>
        <w:lastRenderedPageBreak/>
        <w:drawing>
          <wp:anchor distT="0" distB="0" distL="114300" distR="114300" simplePos="0" relativeHeight="251658263" behindDoc="0" locked="0" layoutInCell="1" allowOverlap="1" wp14:anchorId="63DAB461" wp14:editId="5846CF78">
            <wp:simplePos x="0" y="0"/>
            <wp:positionH relativeFrom="column">
              <wp:posOffset>0</wp:posOffset>
            </wp:positionH>
            <wp:positionV relativeFrom="paragraph">
              <wp:posOffset>0</wp:posOffset>
            </wp:positionV>
            <wp:extent cx="5447030" cy="8229600"/>
            <wp:effectExtent l="0" t="0" r="1270" b="0"/>
            <wp:wrapTopAndBottom/>
            <wp:docPr id="481077851"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077851" name="Picture 481077851"/>
                    <pic:cNvPicPr/>
                  </pic:nvPicPr>
                  <pic:blipFill>
                    <a:blip r:embed="rId38">
                      <a:extLst>
                        <a:ext uri="{28A0092B-C50C-407E-A947-70E740481C1C}">
                          <a14:useLocalDpi xmlns:a14="http://schemas.microsoft.com/office/drawing/2010/main" val="0"/>
                        </a:ext>
                      </a:extLst>
                    </a:blip>
                    <a:stretch>
                      <a:fillRect/>
                    </a:stretch>
                  </pic:blipFill>
                  <pic:spPr>
                    <a:xfrm>
                      <a:off x="0" y="0"/>
                      <a:ext cx="5447030" cy="8229600"/>
                    </a:xfrm>
                    <a:prstGeom prst="rect">
                      <a:avLst/>
                    </a:prstGeom>
                  </pic:spPr>
                </pic:pic>
              </a:graphicData>
            </a:graphic>
          </wp:anchor>
        </w:drawing>
      </w:r>
    </w:p>
    <w:p w14:paraId="06F03611" w14:textId="204B11DC" w:rsidR="00245F5B" w:rsidRDefault="00FB5829" w:rsidP="00F4467B">
      <w:pPr>
        <w:spacing w:line="360" w:lineRule="auto"/>
        <w:jc w:val="center"/>
        <w:rPr>
          <w:rFonts w:ascii="Arial" w:hAnsi="Arial" w:cs="Arial"/>
          <w:b/>
          <w:bCs/>
          <w:sz w:val="28"/>
          <w:szCs w:val="28"/>
        </w:rPr>
      </w:pPr>
      <w:r>
        <w:rPr>
          <w:rFonts w:ascii="Arial" w:hAnsi="Arial" w:cs="Arial"/>
          <w:b/>
          <w:bCs/>
          <w:noProof/>
          <w:sz w:val="28"/>
          <w:szCs w:val="28"/>
        </w:rPr>
        <w:lastRenderedPageBreak/>
        <w:drawing>
          <wp:anchor distT="0" distB="0" distL="114300" distR="114300" simplePos="0" relativeHeight="251658262" behindDoc="0" locked="0" layoutInCell="1" allowOverlap="1" wp14:anchorId="77BB88B1" wp14:editId="7AF8F01C">
            <wp:simplePos x="0" y="0"/>
            <wp:positionH relativeFrom="column">
              <wp:posOffset>0</wp:posOffset>
            </wp:positionH>
            <wp:positionV relativeFrom="paragraph">
              <wp:posOffset>0</wp:posOffset>
            </wp:positionV>
            <wp:extent cx="5752465" cy="8229600"/>
            <wp:effectExtent l="0" t="0" r="635" b="0"/>
            <wp:wrapTopAndBottom/>
            <wp:docPr id="659042641"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042641" name="Picture 659042641"/>
                    <pic:cNvPicPr/>
                  </pic:nvPicPr>
                  <pic:blipFill>
                    <a:blip r:embed="rId39">
                      <a:extLst>
                        <a:ext uri="{28A0092B-C50C-407E-A947-70E740481C1C}">
                          <a14:useLocalDpi xmlns:a14="http://schemas.microsoft.com/office/drawing/2010/main" val="0"/>
                        </a:ext>
                      </a:extLst>
                    </a:blip>
                    <a:stretch>
                      <a:fillRect/>
                    </a:stretch>
                  </pic:blipFill>
                  <pic:spPr>
                    <a:xfrm>
                      <a:off x="0" y="0"/>
                      <a:ext cx="5752465" cy="8229600"/>
                    </a:xfrm>
                    <a:prstGeom prst="rect">
                      <a:avLst/>
                    </a:prstGeom>
                  </pic:spPr>
                </pic:pic>
              </a:graphicData>
            </a:graphic>
          </wp:anchor>
        </w:drawing>
      </w:r>
    </w:p>
    <w:p w14:paraId="6A6C2917" w14:textId="3B2059CC" w:rsidR="00FB5829" w:rsidRDefault="000C5923" w:rsidP="00F4467B">
      <w:pPr>
        <w:spacing w:line="360" w:lineRule="auto"/>
        <w:jc w:val="center"/>
        <w:rPr>
          <w:rFonts w:ascii="Arial" w:hAnsi="Arial" w:cs="Arial"/>
          <w:b/>
          <w:bCs/>
          <w:sz w:val="28"/>
          <w:szCs w:val="28"/>
        </w:rPr>
      </w:pPr>
      <w:r>
        <w:rPr>
          <w:rFonts w:ascii="Arial" w:hAnsi="Arial" w:cs="Arial"/>
          <w:b/>
          <w:bCs/>
          <w:noProof/>
          <w:sz w:val="28"/>
          <w:szCs w:val="28"/>
        </w:rPr>
        <w:lastRenderedPageBreak/>
        <w:drawing>
          <wp:anchor distT="0" distB="0" distL="114300" distR="114300" simplePos="0" relativeHeight="251658265" behindDoc="0" locked="0" layoutInCell="1" allowOverlap="1" wp14:anchorId="6321AD51" wp14:editId="1E02DDD6">
            <wp:simplePos x="0" y="0"/>
            <wp:positionH relativeFrom="column">
              <wp:posOffset>0</wp:posOffset>
            </wp:positionH>
            <wp:positionV relativeFrom="paragraph">
              <wp:posOffset>0</wp:posOffset>
            </wp:positionV>
            <wp:extent cx="5311140" cy="8229600"/>
            <wp:effectExtent l="0" t="0" r="0" b="0"/>
            <wp:wrapTopAndBottom/>
            <wp:docPr id="758864361"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864361" name="Picture 758864361"/>
                    <pic:cNvPicPr/>
                  </pic:nvPicPr>
                  <pic:blipFill>
                    <a:blip r:embed="rId40">
                      <a:extLst>
                        <a:ext uri="{28A0092B-C50C-407E-A947-70E740481C1C}">
                          <a14:useLocalDpi xmlns:a14="http://schemas.microsoft.com/office/drawing/2010/main" val="0"/>
                        </a:ext>
                      </a:extLst>
                    </a:blip>
                    <a:stretch>
                      <a:fillRect/>
                    </a:stretch>
                  </pic:blipFill>
                  <pic:spPr>
                    <a:xfrm>
                      <a:off x="0" y="0"/>
                      <a:ext cx="5311140" cy="8229600"/>
                    </a:xfrm>
                    <a:prstGeom prst="rect">
                      <a:avLst/>
                    </a:prstGeom>
                  </pic:spPr>
                </pic:pic>
              </a:graphicData>
            </a:graphic>
          </wp:anchor>
        </w:drawing>
      </w:r>
    </w:p>
    <w:p w14:paraId="12FD4183" w14:textId="4E447AF8" w:rsidR="000C5923" w:rsidRDefault="000438BD" w:rsidP="00F4467B">
      <w:pPr>
        <w:spacing w:line="360" w:lineRule="auto"/>
        <w:jc w:val="center"/>
        <w:rPr>
          <w:rFonts w:ascii="Arial" w:hAnsi="Arial" w:cs="Arial"/>
          <w:b/>
          <w:bCs/>
          <w:sz w:val="28"/>
          <w:szCs w:val="28"/>
        </w:rPr>
      </w:pPr>
      <w:r>
        <w:rPr>
          <w:rFonts w:ascii="Arial" w:hAnsi="Arial" w:cs="Arial"/>
          <w:b/>
          <w:bCs/>
          <w:noProof/>
          <w:sz w:val="28"/>
          <w:szCs w:val="28"/>
        </w:rPr>
        <w:lastRenderedPageBreak/>
        <w:drawing>
          <wp:anchor distT="0" distB="0" distL="114300" distR="114300" simplePos="0" relativeHeight="251658266" behindDoc="0" locked="0" layoutInCell="1" allowOverlap="1" wp14:anchorId="4BB9BD91" wp14:editId="20C68832">
            <wp:simplePos x="0" y="0"/>
            <wp:positionH relativeFrom="column">
              <wp:posOffset>0</wp:posOffset>
            </wp:positionH>
            <wp:positionV relativeFrom="paragraph">
              <wp:posOffset>0</wp:posOffset>
            </wp:positionV>
            <wp:extent cx="5477510" cy="8229600"/>
            <wp:effectExtent l="0" t="0" r="0" b="0"/>
            <wp:wrapTopAndBottom/>
            <wp:docPr id="1784209888"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209888" name="Picture 1784209888"/>
                    <pic:cNvPicPr/>
                  </pic:nvPicPr>
                  <pic:blipFill>
                    <a:blip r:embed="rId41">
                      <a:extLst>
                        <a:ext uri="{28A0092B-C50C-407E-A947-70E740481C1C}">
                          <a14:useLocalDpi xmlns:a14="http://schemas.microsoft.com/office/drawing/2010/main" val="0"/>
                        </a:ext>
                      </a:extLst>
                    </a:blip>
                    <a:stretch>
                      <a:fillRect/>
                    </a:stretch>
                  </pic:blipFill>
                  <pic:spPr>
                    <a:xfrm>
                      <a:off x="0" y="0"/>
                      <a:ext cx="5477510" cy="8229600"/>
                    </a:xfrm>
                    <a:prstGeom prst="rect">
                      <a:avLst/>
                    </a:prstGeom>
                  </pic:spPr>
                </pic:pic>
              </a:graphicData>
            </a:graphic>
          </wp:anchor>
        </w:drawing>
      </w:r>
      <w:r w:rsidR="000C5923">
        <w:rPr>
          <w:rFonts w:ascii="Arial" w:hAnsi="Arial" w:cs="Arial"/>
          <w:b/>
          <w:bCs/>
          <w:noProof/>
          <w:sz w:val="28"/>
          <w:szCs w:val="28"/>
        </w:rPr>
        <w:drawing>
          <wp:anchor distT="0" distB="0" distL="114300" distR="114300" simplePos="0" relativeHeight="251658264" behindDoc="0" locked="0" layoutInCell="1" allowOverlap="1" wp14:anchorId="262D45C3" wp14:editId="31DA1465">
            <wp:simplePos x="0" y="0"/>
            <wp:positionH relativeFrom="column">
              <wp:posOffset>0</wp:posOffset>
            </wp:positionH>
            <wp:positionV relativeFrom="paragraph">
              <wp:posOffset>0</wp:posOffset>
            </wp:positionV>
            <wp:extent cx="5516880" cy="8229600"/>
            <wp:effectExtent l="0" t="0" r="0" b="0"/>
            <wp:wrapTopAndBottom/>
            <wp:docPr id="1536048129"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048129" name="Picture 1536048129"/>
                    <pic:cNvPicPr/>
                  </pic:nvPicPr>
                  <pic:blipFill>
                    <a:blip r:embed="rId42">
                      <a:extLst>
                        <a:ext uri="{28A0092B-C50C-407E-A947-70E740481C1C}">
                          <a14:useLocalDpi xmlns:a14="http://schemas.microsoft.com/office/drawing/2010/main" val="0"/>
                        </a:ext>
                      </a:extLst>
                    </a:blip>
                    <a:stretch>
                      <a:fillRect/>
                    </a:stretch>
                  </pic:blipFill>
                  <pic:spPr>
                    <a:xfrm>
                      <a:off x="0" y="0"/>
                      <a:ext cx="5516880" cy="8229600"/>
                    </a:xfrm>
                    <a:prstGeom prst="rect">
                      <a:avLst/>
                    </a:prstGeom>
                  </pic:spPr>
                </pic:pic>
              </a:graphicData>
            </a:graphic>
          </wp:anchor>
        </w:drawing>
      </w:r>
    </w:p>
    <w:p w14:paraId="1718403E" w14:textId="7C4B84D2" w:rsidR="000C5923" w:rsidRDefault="000438BD" w:rsidP="00F4467B">
      <w:pPr>
        <w:spacing w:line="360" w:lineRule="auto"/>
        <w:jc w:val="center"/>
        <w:rPr>
          <w:rFonts w:ascii="Arial" w:hAnsi="Arial" w:cs="Arial"/>
          <w:b/>
          <w:bCs/>
          <w:sz w:val="28"/>
          <w:szCs w:val="28"/>
        </w:rPr>
      </w:pPr>
      <w:r>
        <w:rPr>
          <w:rFonts w:ascii="Arial" w:hAnsi="Arial" w:cs="Arial"/>
          <w:b/>
          <w:bCs/>
          <w:noProof/>
          <w:sz w:val="28"/>
          <w:szCs w:val="28"/>
        </w:rPr>
        <w:lastRenderedPageBreak/>
        <w:drawing>
          <wp:anchor distT="0" distB="0" distL="114300" distR="114300" simplePos="0" relativeHeight="251658267" behindDoc="0" locked="0" layoutInCell="1" allowOverlap="1" wp14:anchorId="61282A8D" wp14:editId="78337721">
            <wp:simplePos x="0" y="0"/>
            <wp:positionH relativeFrom="column">
              <wp:posOffset>-304800</wp:posOffset>
            </wp:positionH>
            <wp:positionV relativeFrom="paragraph">
              <wp:posOffset>-411</wp:posOffset>
            </wp:positionV>
            <wp:extent cx="5381625" cy="8229600"/>
            <wp:effectExtent l="0" t="0" r="3175" b="0"/>
            <wp:wrapTopAndBottom/>
            <wp:docPr id="1437288034"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288034" name="Picture 1437288034"/>
                    <pic:cNvPicPr/>
                  </pic:nvPicPr>
                  <pic:blipFill>
                    <a:blip r:embed="rId43">
                      <a:extLst>
                        <a:ext uri="{28A0092B-C50C-407E-A947-70E740481C1C}">
                          <a14:useLocalDpi xmlns:a14="http://schemas.microsoft.com/office/drawing/2010/main" val="0"/>
                        </a:ext>
                      </a:extLst>
                    </a:blip>
                    <a:stretch>
                      <a:fillRect/>
                    </a:stretch>
                  </pic:blipFill>
                  <pic:spPr>
                    <a:xfrm>
                      <a:off x="0" y="0"/>
                      <a:ext cx="5381625" cy="8229600"/>
                    </a:xfrm>
                    <a:prstGeom prst="rect">
                      <a:avLst/>
                    </a:prstGeom>
                  </pic:spPr>
                </pic:pic>
              </a:graphicData>
            </a:graphic>
          </wp:anchor>
        </w:drawing>
      </w:r>
    </w:p>
    <w:p w14:paraId="1DF5618B" w14:textId="5B1EE315" w:rsidR="00603C70" w:rsidRDefault="008D2531" w:rsidP="00F4467B">
      <w:pPr>
        <w:spacing w:line="360" w:lineRule="auto"/>
        <w:jc w:val="center"/>
        <w:rPr>
          <w:rFonts w:ascii="Arial" w:hAnsi="Arial" w:cs="Arial"/>
          <w:b/>
          <w:bCs/>
          <w:sz w:val="28"/>
          <w:szCs w:val="28"/>
        </w:rPr>
      </w:pPr>
      <w:r>
        <w:rPr>
          <w:rFonts w:ascii="Arial" w:hAnsi="Arial" w:cs="Arial"/>
          <w:b/>
          <w:bCs/>
          <w:noProof/>
          <w:sz w:val="28"/>
          <w:szCs w:val="28"/>
        </w:rPr>
        <w:lastRenderedPageBreak/>
        <w:drawing>
          <wp:anchor distT="0" distB="0" distL="114300" distR="114300" simplePos="0" relativeHeight="251658271" behindDoc="0" locked="0" layoutInCell="1" allowOverlap="1" wp14:anchorId="2A605A1E" wp14:editId="7A43D9AD">
            <wp:simplePos x="0" y="0"/>
            <wp:positionH relativeFrom="column">
              <wp:posOffset>0</wp:posOffset>
            </wp:positionH>
            <wp:positionV relativeFrom="paragraph">
              <wp:posOffset>0</wp:posOffset>
            </wp:positionV>
            <wp:extent cx="5501640" cy="8229600"/>
            <wp:effectExtent l="0" t="0" r="0" b="0"/>
            <wp:wrapTopAndBottom/>
            <wp:docPr id="1500511250"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511250" name="Picture 1500511250"/>
                    <pic:cNvPicPr/>
                  </pic:nvPicPr>
                  <pic:blipFill>
                    <a:blip r:embed="rId44">
                      <a:extLst>
                        <a:ext uri="{28A0092B-C50C-407E-A947-70E740481C1C}">
                          <a14:useLocalDpi xmlns:a14="http://schemas.microsoft.com/office/drawing/2010/main" val="0"/>
                        </a:ext>
                      </a:extLst>
                    </a:blip>
                    <a:stretch>
                      <a:fillRect/>
                    </a:stretch>
                  </pic:blipFill>
                  <pic:spPr>
                    <a:xfrm>
                      <a:off x="0" y="0"/>
                      <a:ext cx="5501640" cy="8229600"/>
                    </a:xfrm>
                    <a:prstGeom prst="rect">
                      <a:avLst/>
                    </a:prstGeom>
                  </pic:spPr>
                </pic:pic>
              </a:graphicData>
            </a:graphic>
          </wp:anchor>
        </w:drawing>
      </w:r>
      <w:r w:rsidR="00CD720E">
        <w:rPr>
          <w:rFonts w:ascii="Arial" w:hAnsi="Arial" w:cs="Arial"/>
          <w:b/>
          <w:bCs/>
          <w:noProof/>
          <w:sz w:val="28"/>
          <w:szCs w:val="28"/>
        </w:rPr>
        <w:drawing>
          <wp:anchor distT="0" distB="0" distL="114300" distR="114300" simplePos="0" relativeHeight="251658270" behindDoc="0" locked="0" layoutInCell="1" allowOverlap="1" wp14:anchorId="5781AC3D" wp14:editId="24B97A4D">
            <wp:simplePos x="0" y="0"/>
            <wp:positionH relativeFrom="column">
              <wp:posOffset>0</wp:posOffset>
            </wp:positionH>
            <wp:positionV relativeFrom="paragraph">
              <wp:posOffset>0</wp:posOffset>
            </wp:positionV>
            <wp:extent cx="5422900" cy="8229600"/>
            <wp:effectExtent l="0" t="0" r="0" b="0"/>
            <wp:wrapTopAndBottom/>
            <wp:docPr id="204679472"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79472" name="Picture 204679472"/>
                    <pic:cNvPicPr/>
                  </pic:nvPicPr>
                  <pic:blipFill>
                    <a:blip r:embed="rId45">
                      <a:extLst>
                        <a:ext uri="{28A0092B-C50C-407E-A947-70E740481C1C}">
                          <a14:useLocalDpi xmlns:a14="http://schemas.microsoft.com/office/drawing/2010/main" val="0"/>
                        </a:ext>
                      </a:extLst>
                    </a:blip>
                    <a:stretch>
                      <a:fillRect/>
                    </a:stretch>
                  </pic:blipFill>
                  <pic:spPr>
                    <a:xfrm>
                      <a:off x="0" y="0"/>
                      <a:ext cx="5422900" cy="8229600"/>
                    </a:xfrm>
                    <a:prstGeom prst="rect">
                      <a:avLst/>
                    </a:prstGeom>
                  </pic:spPr>
                </pic:pic>
              </a:graphicData>
            </a:graphic>
          </wp:anchor>
        </w:drawing>
      </w:r>
      <w:r w:rsidR="009057C9">
        <w:rPr>
          <w:rFonts w:ascii="Arial" w:hAnsi="Arial" w:cs="Arial"/>
          <w:b/>
          <w:bCs/>
          <w:noProof/>
          <w:sz w:val="28"/>
          <w:szCs w:val="28"/>
        </w:rPr>
        <w:drawing>
          <wp:anchor distT="0" distB="0" distL="114300" distR="114300" simplePos="0" relativeHeight="251658269" behindDoc="0" locked="0" layoutInCell="1" allowOverlap="1" wp14:anchorId="63A7C262" wp14:editId="299ABE8D">
            <wp:simplePos x="0" y="0"/>
            <wp:positionH relativeFrom="column">
              <wp:posOffset>0</wp:posOffset>
            </wp:positionH>
            <wp:positionV relativeFrom="paragraph">
              <wp:posOffset>490508</wp:posOffset>
            </wp:positionV>
            <wp:extent cx="5163671" cy="7736552"/>
            <wp:effectExtent l="0" t="0" r="5715" b="0"/>
            <wp:wrapTopAndBottom/>
            <wp:docPr id="1065716081"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716081" name="Picture 1065716081"/>
                    <pic:cNvPicPr/>
                  </pic:nvPicPr>
                  <pic:blipFill>
                    <a:blip r:embed="rId46">
                      <a:extLst>
                        <a:ext uri="{28A0092B-C50C-407E-A947-70E740481C1C}">
                          <a14:useLocalDpi xmlns:a14="http://schemas.microsoft.com/office/drawing/2010/main" val="0"/>
                        </a:ext>
                      </a:extLst>
                    </a:blip>
                    <a:stretch>
                      <a:fillRect/>
                    </a:stretch>
                  </pic:blipFill>
                  <pic:spPr>
                    <a:xfrm>
                      <a:off x="0" y="0"/>
                      <a:ext cx="5163671" cy="7736552"/>
                    </a:xfrm>
                    <a:prstGeom prst="rect">
                      <a:avLst/>
                    </a:prstGeom>
                  </pic:spPr>
                </pic:pic>
              </a:graphicData>
            </a:graphic>
            <wp14:sizeRelH relativeFrom="margin">
              <wp14:pctWidth>0</wp14:pctWidth>
            </wp14:sizeRelH>
            <wp14:sizeRelV relativeFrom="margin">
              <wp14:pctHeight>0</wp14:pctHeight>
            </wp14:sizeRelV>
          </wp:anchor>
        </w:drawing>
      </w:r>
      <w:r w:rsidR="00695646">
        <w:rPr>
          <w:rFonts w:ascii="Arial" w:hAnsi="Arial" w:cs="Arial"/>
          <w:b/>
          <w:bCs/>
          <w:noProof/>
          <w:sz w:val="28"/>
          <w:szCs w:val="28"/>
        </w:rPr>
        <w:drawing>
          <wp:anchor distT="0" distB="0" distL="114300" distR="114300" simplePos="0" relativeHeight="251658268" behindDoc="0" locked="0" layoutInCell="1" allowOverlap="1" wp14:anchorId="3530CD21" wp14:editId="04046B65">
            <wp:simplePos x="0" y="0"/>
            <wp:positionH relativeFrom="column">
              <wp:posOffset>233083</wp:posOffset>
            </wp:positionH>
            <wp:positionV relativeFrom="paragraph">
              <wp:posOffset>-485</wp:posOffset>
            </wp:positionV>
            <wp:extent cx="5492750" cy="8229600"/>
            <wp:effectExtent l="0" t="0" r="6350" b="0"/>
            <wp:wrapTopAndBottom/>
            <wp:docPr id="1743755834"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755834" name="Picture 1743755834"/>
                    <pic:cNvPicPr/>
                  </pic:nvPicPr>
                  <pic:blipFill>
                    <a:blip r:embed="rId46">
                      <a:extLst>
                        <a:ext uri="{28A0092B-C50C-407E-A947-70E740481C1C}">
                          <a14:useLocalDpi xmlns:a14="http://schemas.microsoft.com/office/drawing/2010/main" val="0"/>
                        </a:ext>
                      </a:extLst>
                    </a:blip>
                    <a:stretch>
                      <a:fillRect/>
                    </a:stretch>
                  </pic:blipFill>
                  <pic:spPr>
                    <a:xfrm>
                      <a:off x="0" y="0"/>
                      <a:ext cx="5492750" cy="8229600"/>
                    </a:xfrm>
                    <a:prstGeom prst="rect">
                      <a:avLst/>
                    </a:prstGeom>
                  </pic:spPr>
                </pic:pic>
              </a:graphicData>
            </a:graphic>
          </wp:anchor>
        </w:drawing>
      </w:r>
    </w:p>
    <w:p w14:paraId="536165C9" w14:textId="3F82FA27" w:rsidR="00CD720E" w:rsidRDefault="0072462C" w:rsidP="00F4467B">
      <w:pPr>
        <w:spacing w:line="360" w:lineRule="auto"/>
        <w:jc w:val="center"/>
        <w:rPr>
          <w:rFonts w:ascii="Arial" w:hAnsi="Arial" w:cs="Arial"/>
          <w:b/>
          <w:bCs/>
          <w:sz w:val="28"/>
          <w:szCs w:val="28"/>
        </w:rPr>
      </w:pPr>
      <w:r>
        <w:rPr>
          <w:rFonts w:ascii="Arial" w:hAnsi="Arial" w:cs="Arial"/>
          <w:b/>
          <w:bCs/>
          <w:noProof/>
          <w:sz w:val="28"/>
          <w:szCs w:val="28"/>
        </w:rPr>
        <w:lastRenderedPageBreak/>
        <w:drawing>
          <wp:anchor distT="0" distB="0" distL="114300" distR="114300" simplePos="0" relativeHeight="251658273" behindDoc="0" locked="0" layoutInCell="1" allowOverlap="1" wp14:anchorId="455183B7" wp14:editId="3E50D27B">
            <wp:simplePos x="0" y="0"/>
            <wp:positionH relativeFrom="column">
              <wp:posOffset>0</wp:posOffset>
            </wp:positionH>
            <wp:positionV relativeFrom="paragraph">
              <wp:posOffset>0</wp:posOffset>
            </wp:positionV>
            <wp:extent cx="5760720" cy="8229600"/>
            <wp:effectExtent l="0" t="0" r="5080" b="0"/>
            <wp:wrapTopAndBottom/>
            <wp:docPr id="1681021778"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021778" name="Picture 1681021778"/>
                    <pic:cNvPicPr/>
                  </pic:nvPicPr>
                  <pic:blipFill>
                    <a:blip r:embed="rId47">
                      <a:extLst>
                        <a:ext uri="{28A0092B-C50C-407E-A947-70E740481C1C}">
                          <a14:useLocalDpi xmlns:a14="http://schemas.microsoft.com/office/drawing/2010/main" val="0"/>
                        </a:ext>
                      </a:extLst>
                    </a:blip>
                    <a:stretch>
                      <a:fillRect/>
                    </a:stretch>
                  </pic:blipFill>
                  <pic:spPr>
                    <a:xfrm>
                      <a:off x="0" y="0"/>
                      <a:ext cx="5760720" cy="8229600"/>
                    </a:xfrm>
                    <a:prstGeom prst="rect">
                      <a:avLst/>
                    </a:prstGeom>
                  </pic:spPr>
                </pic:pic>
              </a:graphicData>
            </a:graphic>
          </wp:anchor>
        </w:drawing>
      </w:r>
      <w:r w:rsidR="008D2531">
        <w:rPr>
          <w:rFonts w:ascii="Arial" w:hAnsi="Arial" w:cs="Arial"/>
          <w:b/>
          <w:bCs/>
          <w:noProof/>
          <w:sz w:val="28"/>
          <w:szCs w:val="28"/>
        </w:rPr>
        <w:drawing>
          <wp:anchor distT="0" distB="0" distL="114300" distR="114300" simplePos="0" relativeHeight="251658272" behindDoc="0" locked="0" layoutInCell="1" allowOverlap="1" wp14:anchorId="6410C573" wp14:editId="0FD1457D">
            <wp:simplePos x="0" y="0"/>
            <wp:positionH relativeFrom="column">
              <wp:posOffset>-484094</wp:posOffset>
            </wp:positionH>
            <wp:positionV relativeFrom="paragraph">
              <wp:posOffset>-112</wp:posOffset>
            </wp:positionV>
            <wp:extent cx="5507990" cy="8229600"/>
            <wp:effectExtent l="0" t="0" r="3810" b="0"/>
            <wp:wrapTopAndBottom/>
            <wp:docPr id="1113983551"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983551" name="Picture 1113983551"/>
                    <pic:cNvPicPr/>
                  </pic:nvPicPr>
                  <pic:blipFill>
                    <a:blip r:embed="rId48">
                      <a:extLst>
                        <a:ext uri="{28A0092B-C50C-407E-A947-70E740481C1C}">
                          <a14:useLocalDpi xmlns:a14="http://schemas.microsoft.com/office/drawing/2010/main" val="0"/>
                        </a:ext>
                      </a:extLst>
                    </a:blip>
                    <a:stretch>
                      <a:fillRect/>
                    </a:stretch>
                  </pic:blipFill>
                  <pic:spPr>
                    <a:xfrm>
                      <a:off x="0" y="0"/>
                      <a:ext cx="5507990" cy="8229600"/>
                    </a:xfrm>
                    <a:prstGeom prst="rect">
                      <a:avLst/>
                    </a:prstGeom>
                  </pic:spPr>
                </pic:pic>
              </a:graphicData>
            </a:graphic>
          </wp:anchor>
        </w:drawing>
      </w:r>
    </w:p>
    <w:p w14:paraId="43381C37" w14:textId="1EC37001" w:rsidR="008D2531" w:rsidRDefault="0072462C" w:rsidP="00F4467B">
      <w:pPr>
        <w:spacing w:line="360" w:lineRule="auto"/>
        <w:jc w:val="center"/>
        <w:rPr>
          <w:rFonts w:ascii="Arial" w:hAnsi="Arial" w:cs="Arial"/>
          <w:b/>
          <w:bCs/>
          <w:sz w:val="28"/>
          <w:szCs w:val="28"/>
        </w:rPr>
      </w:pPr>
      <w:r>
        <w:rPr>
          <w:rFonts w:ascii="Arial" w:hAnsi="Arial" w:cs="Arial"/>
          <w:b/>
          <w:bCs/>
          <w:noProof/>
          <w:sz w:val="28"/>
          <w:szCs w:val="28"/>
        </w:rPr>
        <w:lastRenderedPageBreak/>
        <w:drawing>
          <wp:anchor distT="0" distB="0" distL="114300" distR="114300" simplePos="0" relativeHeight="251658274" behindDoc="0" locked="0" layoutInCell="1" allowOverlap="1" wp14:anchorId="0ABEFF1D" wp14:editId="3F0C1B06">
            <wp:simplePos x="0" y="0"/>
            <wp:positionH relativeFrom="column">
              <wp:posOffset>-161365</wp:posOffset>
            </wp:positionH>
            <wp:positionV relativeFrom="paragraph">
              <wp:posOffset>-410</wp:posOffset>
            </wp:positionV>
            <wp:extent cx="5464810" cy="8229600"/>
            <wp:effectExtent l="0" t="0" r="0" b="0"/>
            <wp:wrapTopAndBottom/>
            <wp:docPr id="1513388957"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388957" name="Picture 1513388957"/>
                    <pic:cNvPicPr/>
                  </pic:nvPicPr>
                  <pic:blipFill>
                    <a:blip r:embed="rId49">
                      <a:extLst>
                        <a:ext uri="{28A0092B-C50C-407E-A947-70E740481C1C}">
                          <a14:useLocalDpi xmlns:a14="http://schemas.microsoft.com/office/drawing/2010/main" val="0"/>
                        </a:ext>
                      </a:extLst>
                    </a:blip>
                    <a:stretch>
                      <a:fillRect/>
                    </a:stretch>
                  </pic:blipFill>
                  <pic:spPr>
                    <a:xfrm>
                      <a:off x="0" y="0"/>
                      <a:ext cx="5464810" cy="8229600"/>
                    </a:xfrm>
                    <a:prstGeom prst="rect">
                      <a:avLst/>
                    </a:prstGeom>
                  </pic:spPr>
                </pic:pic>
              </a:graphicData>
            </a:graphic>
          </wp:anchor>
        </w:drawing>
      </w:r>
    </w:p>
    <w:p w14:paraId="7F8BC386" w14:textId="53B7D1D3" w:rsidR="009A7E43" w:rsidRDefault="009A7E43" w:rsidP="009E3C91">
      <w:pPr>
        <w:pStyle w:val="Heading1"/>
      </w:pPr>
      <w:bookmarkStart w:id="94" w:name="_Toc228218316"/>
      <w:r>
        <w:lastRenderedPageBreak/>
        <w:t>APPENDIX 4: PARTICI</w:t>
      </w:r>
      <w:r w:rsidR="00CE743D">
        <w:t>PANT DATA COLLECTION FORM</w:t>
      </w:r>
      <w:bookmarkEnd w:id="94"/>
      <w:r w:rsidR="00CE743D">
        <w:t xml:space="preserve"> </w:t>
      </w:r>
    </w:p>
    <w:p w14:paraId="1932A999" w14:textId="778C49A8" w:rsidR="005B7B8F" w:rsidRDefault="005B7B8F" w:rsidP="00F4467B">
      <w:pPr>
        <w:spacing w:line="360" w:lineRule="auto"/>
        <w:jc w:val="center"/>
        <w:rPr>
          <w:rFonts w:ascii="Arial" w:hAnsi="Arial" w:cs="Arial"/>
          <w:b/>
          <w:bCs/>
          <w:sz w:val="28"/>
          <w:szCs w:val="28"/>
        </w:rPr>
      </w:pPr>
      <w:r>
        <w:rPr>
          <w:rFonts w:ascii="Arial" w:hAnsi="Arial" w:cs="Arial"/>
          <w:b/>
          <w:bCs/>
          <w:noProof/>
          <w:sz w:val="28"/>
          <w:szCs w:val="28"/>
        </w:rPr>
        <w:drawing>
          <wp:anchor distT="0" distB="0" distL="114300" distR="114300" simplePos="0" relativeHeight="251658275" behindDoc="0" locked="0" layoutInCell="1" allowOverlap="1" wp14:anchorId="39BC3AFE" wp14:editId="67E84D71">
            <wp:simplePos x="0" y="0"/>
            <wp:positionH relativeFrom="column">
              <wp:posOffset>0</wp:posOffset>
            </wp:positionH>
            <wp:positionV relativeFrom="paragraph">
              <wp:posOffset>401320</wp:posOffset>
            </wp:positionV>
            <wp:extent cx="5744845" cy="6929755"/>
            <wp:effectExtent l="0" t="0" r="0" b="4445"/>
            <wp:wrapTopAndBottom/>
            <wp:docPr id="3830840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084026" name="Picture 383084026"/>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44845" cy="6929755"/>
                    </a:xfrm>
                    <a:prstGeom prst="rect">
                      <a:avLst/>
                    </a:prstGeom>
                  </pic:spPr>
                </pic:pic>
              </a:graphicData>
            </a:graphic>
            <wp14:sizeRelH relativeFrom="margin">
              <wp14:pctWidth>0</wp14:pctWidth>
            </wp14:sizeRelH>
            <wp14:sizeRelV relativeFrom="margin">
              <wp14:pctHeight>0</wp14:pctHeight>
            </wp14:sizeRelV>
          </wp:anchor>
        </w:drawing>
      </w:r>
    </w:p>
    <w:p w14:paraId="2B4947AD" w14:textId="0CC7B05C" w:rsidR="003C392C" w:rsidRDefault="003C392C" w:rsidP="00F4467B">
      <w:pPr>
        <w:spacing w:line="360" w:lineRule="auto"/>
        <w:jc w:val="center"/>
        <w:rPr>
          <w:rFonts w:ascii="Arial" w:hAnsi="Arial" w:cs="Arial"/>
          <w:b/>
          <w:bCs/>
          <w:sz w:val="28"/>
          <w:szCs w:val="28"/>
        </w:rPr>
      </w:pPr>
    </w:p>
    <w:p w14:paraId="6B5141D0" w14:textId="5AED3302" w:rsidR="003C392C" w:rsidRDefault="003C392C" w:rsidP="00F4467B">
      <w:pPr>
        <w:spacing w:line="360" w:lineRule="auto"/>
        <w:jc w:val="center"/>
        <w:rPr>
          <w:rFonts w:ascii="Arial" w:hAnsi="Arial" w:cs="Arial"/>
          <w:b/>
          <w:bCs/>
          <w:sz w:val="28"/>
          <w:szCs w:val="28"/>
        </w:rPr>
      </w:pPr>
      <w:r>
        <w:rPr>
          <w:rFonts w:ascii="Arial" w:hAnsi="Arial" w:cs="Arial"/>
          <w:b/>
          <w:bCs/>
          <w:noProof/>
          <w:sz w:val="28"/>
          <w:szCs w:val="28"/>
        </w:rPr>
        <w:lastRenderedPageBreak/>
        <w:drawing>
          <wp:anchor distT="0" distB="0" distL="114300" distR="114300" simplePos="0" relativeHeight="251658276" behindDoc="0" locked="0" layoutInCell="1" allowOverlap="1" wp14:anchorId="29C9CFE4" wp14:editId="58CAC611">
            <wp:simplePos x="0" y="0"/>
            <wp:positionH relativeFrom="column">
              <wp:posOffset>0</wp:posOffset>
            </wp:positionH>
            <wp:positionV relativeFrom="paragraph">
              <wp:posOffset>411480</wp:posOffset>
            </wp:positionV>
            <wp:extent cx="5943600" cy="7190740"/>
            <wp:effectExtent l="0" t="0" r="0" b="0"/>
            <wp:wrapTopAndBottom/>
            <wp:docPr id="424661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661038" name="Picture 424661038"/>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943600" cy="7190740"/>
                    </a:xfrm>
                    <a:prstGeom prst="rect">
                      <a:avLst/>
                    </a:prstGeom>
                  </pic:spPr>
                </pic:pic>
              </a:graphicData>
            </a:graphic>
          </wp:anchor>
        </w:drawing>
      </w:r>
    </w:p>
    <w:p w14:paraId="36608BE8" w14:textId="44288164" w:rsidR="003C392C" w:rsidRDefault="003C392C" w:rsidP="00F4467B">
      <w:pPr>
        <w:spacing w:line="360" w:lineRule="auto"/>
        <w:jc w:val="center"/>
        <w:rPr>
          <w:rFonts w:ascii="Arial" w:hAnsi="Arial" w:cs="Arial"/>
          <w:b/>
          <w:bCs/>
          <w:sz w:val="28"/>
          <w:szCs w:val="28"/>
        </w:rPr>
      </w:pPr>
    </w:p>
    <w:p w14:paraId="2A1A1E82" w14:textId="56699F78" w:rsidR="00EF5E33" w:rsidRDefault="00EF5E33" w:rsidP="00F4467B">
      <w:pPr>
        <w:spacing w:line="360" w:lineRule="auto"/>
        <w:jc w:val="center"/>
        <w:rPr>
          <w:rFonts w:ascii="Arial" w:hAnsi="Arial" w:cs="Arial"/>
          <w:b/>
          <w:bCs/>
          <w:sz w:val="28"/>
          <w:szCs w:val="28"/>
        </w:rPr>
      </w:pPr>
    </w:p>
    <w:p w14:paraId="764B43F0" w14:textId="67F2D787" w:rsidR="00EF5E33" w:rsidRDefault="001C62AC" w:rsidP="00F4467B">
      <w:pPr>
        <w:spacing w:line="360" w:lineRule="auto"/>
        <w:jc w:val="center"/>
        <w:rPr>
          <w:rFonts w:ascii="Arial" w:hAnsi="Arial" w:cs="Arial"/>
          <w:b/>
          <w:bCs/>
          <w:sz w:val="28"/>
          <w:szCs w:val="28"/>
        </w:rPr>
      </w:pPr>
      <w:r>
        <w:rPr>
          <w:rFonts w:ascii="Arial" w:hAnsi="Arial" w:cs="Arial"/>
          <w:b/>
          <w:bCs/>
          <w:noProof/>
          <w:sz w:val="28"/>
          <w:szCs w:val="28"/>
        </w:rPr>
        <w:lastRenderedPageBreak/>
        <w:drawing>
          <wp:anchor distT="0" distB="0" distL="114300" distR="114300" simplePos="0" relativeHeight="251658277" behindDoc="0" locked="0" layoutInCell="1" allowOverlap="1" wp14:anchorId="571387B2" wp14:editId="6A4337E6">
            <wp:simplePos x="0" y="0"/>
            <wp:positionH relativeFrom="column">
              <wp:posOffset>0</wp:posOffset>
            </wp:positionH>
            <wp:positionV relativeFrom="paragraph">
              <wp:posOffset>871492</wp:posOffset>
            </wp:positionV>
            <wp:extent cx="5943600" cy="7204710"/>
            <wp:effectExtent l="0" t="0" r="0" b="0"/>
            <wp:wrapTopAndBottom/>
            <wp:docPr id="133267009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670094" name="Picture 1332670094"/>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943600" cy="7204710"/>
                    </a:xfrm>
                    <a:prstGeom prst="rect">
                      <a:avLst/>
                    </a:prstGeom>
                  </pic:spPr>
                </pic:pic>
              </a:graphicData>
            </a:graphic>
          </wp:anchor>
        </w:drawing>
      </w:r>
    </w:p>
    <w:p w14:paraId="15C4ADEA" w14:textId="77777777" w:rsidR="00800B3C" w:rsidRDefault="00800B3C" w:rsidP="00F4467B">
      <w:pPr>
        <w:spacing w:line="360" w:lineRule="auto"/>
        <w:jc w:val="center"/>
        <w:rPr>
          <w:rFonts w:ascii="Arial" w:hAnsi="Arial" w:cs="Arial"/>
          <w:b/>
          <w:bCs/>
          <w:sz w:val="28"/>
          <w:szCs w:val="28"/>
        </w:rPr>
      </w:pPr>
    </w:p>
    <w:p w14:paraId="27812D31" w14:textId="4001B61B" w:rsidR="00800B3C" w:rsidRDefault="00F14888" w:rsidP="00F4467B">
      <w:pPr>
        <w:spacing w:line="360" w:lineRule="auto"/>
        <w:jc w:val="center"/>
        <w:rPr>
          <w:rFonts w:ascii="Arial" w:hAnsi="Arial" w:cs="Arial"/>
          <w:b/>
          <w:bCs/>
          <w:sz w:val="28"/>
          <w:szCs w:val="28"/>
        </w:rPr>
      </w:pPr>
      <w:r>
        <w:rPr>
          <w:rFonts w:ascii="Arial" w:hAnsi="Arial" w:cs="Arial"/>
          <w:b/>
          <w:bCs/>
          <w:noProof/>
          <w:sz w:val="28"/>
          <w:szCs w:val="28"/>
        </w:rPr>
        <w:lastRenderedPageBreak/>
        <w:drawing>
          <wp:anchor distT="0" distB="0" distL="114300" distR="114300" simplePos="0" relativeHeight="251658278" behindDoc="0" locked="0" layoutInCell="1" allowOverlap="1" wp14:anchorId="05937319" wp14:editId="7464B53A">
            <wp:simplePos x="0" y="0"/>
            <wp:positionH relativeFrom="column">
              <wp:posOffset>170180</wp:posOffset>
            </wp:positionH>
            <wp:positionV relativeFrom="paragraph">
              <wp:posOffset>409575</wp:posOffset>
            </wp:positionV>
            <wp:extent cx="5943600" cy="7254875"/>
            <wp:effectExtent l="0" t="0" r="0" b="0"/>
            <wp:wrapTopAndBottom/>
            <wp:docPr id="177765945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659456" name="Picture 1777659456"/>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943600" cy="7254875"/>
                    </a:xfrm>
                    <a:prstGeom prst="rect">
                      <a:avLst/>
                    </a:prstGeom>
                  </pic:spPr>
                </pic:pic>
              </a:graphicData>
            </a:graphic>
          </wp:anchor>
        </w:drawing>
      </w:r>
    </w:p>
    <w:p w14:paraId="642A80FC" w14:textId="4C7BAF52" w:rsidR="00800B3C" w:rsidRDefault="00800B3C" w:rsidP="00F4467B">
      <w:pPr>
        <w:spacing w:line="360" w:lineRule="auto"/>
        <w:jc w:val="center"/>
        <w:rPr>
          <w:rFonts w:ascii="Arial" w:hAnsi="Arial" w:cs="Arial"/>
          <w:b/>
          <w:bCs/>
          <w:sz w:val="28"/>
          <w:szCs w:val="28"/>
        </w:rPr>
      </w:pPr>
    </w:p>
    <w:p w14:paraId="07C4B875" w14:textId="4E33E762" w:rsidR="00800B3C" w:rsidRDefault="00F1774E" w:rsidP="00F4467B">
      <w:pPr>
        <w:spacing w:line="360" w:lineRule="auto"/>
        <w:jc w:val="center"/>
        <w:rPr>
          <w:rFonts w:ascii="Arial" w:hAnsi="Arial" w:cs="Arial"/>
          <w:b/>
          <w:bCs/>
          <w:sz w:val="28"/>
          <w:szCs w:val="28"/>
        </w:rPr>
      </w:pPr>
      <w:r>
        <w:rPr>
          <w:rFonts w:ascii="Arial" w:hAnsi="Arial" w:cs="Arial"/>
          <w:b/>
          <w:bCs/>
          <w:noProof/>
          <w:sz w:val="28"/>
          <w:szCs w:val="28"/>
        </w:rPr>
        <w:lastRenderedPageBreak/>
        <w:drawing>
          <wp:anchor distT="0" distB="0" distL="114300" distR="114300" simplePos="0" relativeHeight="251658279" behindDoc="0" locked="0" layoutInCell="1" allowOverlap="1" wp14:anchorId="384082FA" wp14:editId="2A66F6F0">
            <wp:simplePos x="0" y="0"/>
            <wp:positionH relativeFrom="column">
              <wp:posOffset>0</wp:posOffset>
            </wp:positionH>
            <wp:positionV relativeFrom="paragraph">
              <wp:posOffset>1139825</wp:posOffset>
            </wp:positionV>
            <wp:extent cx="5943600" cy="7084060"/>
            <wp:effectExtent l="0" t="0" r="0" b="2540"/>
            <wp:wrapTopAndBottom/>
            <wp:docPr id="213838587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385878" name="Picture 2138385878"/>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943600" cy="7084060"/>
                    </a:xfrm>
                    <a:prstGeom prst="rect">
                      <a:avLst/>
                    </a:prstGeom>
                  </pic:spPr>
                </pic:pic>
              </a:graphicData>
            </a:graphic>
          </wp:anchor>
        </w:drawing>
      </w:r>
    </w:p>
    <w:p w14:paraId="0EA9BC74" w14:textId="77777777" w:rsidR="00800B3C" w:rsidRDefault="00800B3C" w:rsidP="00F4467B">
      <w:pPr>
        <w:spacing w:line="360" w:lineRule="auto"/>
        <w:jc w:val="center"/>
        <w:rPr>
          <w:rFonts w:ascii="Arial" w:hAnsi="Arial" w:cs="Arial"/>
          <w:b/>
          <w:bCs/>
          <w:sz w:val="28"/>
          <w:szCs w:val="28"/>
        </w:rPr>
      </w:pPr>
    </w:p>
    <w:p w14:paraId="00A9AD0C" w14:textId="79D77177" w:rsidR="00800B3C" w:rsidRDefault="00800B3C" w:rsidP="00F1774E">
      <w:pPr>
        <w:spacing w:line="360" w:lineRule="auto"/>
        <w:rPr>
          <w:rFonts w:ascii="Arial" w:hAnsi="Arial" w:cs="Arial"/>
          <w:b/>
          <w:bCs/>
          <w:sz w:val="28"/>
          <w:szCs w:val="28"/>
        </w:rPr>
      </w:pPr>
    </w:p>
    <w:p w14:paraId="16893FF2" w14:textId="4BB8E5F3" w:rsidR="00F1774E" w:rsidRDefault="0065330A" w:rsidP="00F1774E">
      <w:pPr>
        <w:spacing w:line="360" w:lineRule="auto"/>
        <w:rPr>
          <w:rFonts w:ascii="Arial" w:hAnsi="Arial" w:cs="Arial"/>
          <w:b/>
          <w:bCs/>
          <w:sz w:val="28"/>
          <w:szCs w:val="28"/>
        </w:rPr>
      </w:pPr>
      <w:r>
        <w:rPr>
          <w:rFonts w:ascii="Arial" w:hAnsi="Arial" w:cs="Arial"/>
          <w:b/>
          <w:bCs/>
          <w:noProof/>
          <w:sz w:val="28"/>
          <w:szCs w:val="28"/>
        </w:rPr>
        <w:lastRenderedPageBreak/>
        <w:drawing>
          <wp:anchor distT="0" distB="0" distL="114300" distR="114300" simplePos="0" relativeHeight="251658280" behindDoc="0" locked="0" layoutInCell="1" allowOverlap="1" wp14:anchorId="213FE75A" wp14:editId="059B00F3">
            <wp:simplePos x="0" y="0"/>
            <wp:positionH relativeFrom="column">
              <wp:posOffset>0</wp:posOffset>
            </wp:positionH>
            <wp:positionV relativeFrom="paragraph">
              <wp:posOffset>1076325</wp:posOffset>
            </wp:positionV>
            <wp:extent cx="5748020" cy="7145020"/>
            <wp:effectExtent l="0" t="0" r="5080" b="5080"/>
            <wp:wrapTopAndBottom/>
            <wp:docPr id="20969274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92741" name="Picture 209692741"/>
                    <pic:cNvPicPr/>
                  </pic:nvPicPr>
                  <pic:blipFill rotWithShape="1">
                    <a:blip r:embed="rId55" cstate="print">
                      <a:extLst>
                        <a:ext uri="{28A0092B-C50C-407E-A947-70E740481C1C}">
                          <a14:useLocalDpi xmlns:a14="http://schemas.microsoft.com/office/drawing/2010/main" val="0"/>
                        </a:ext>
                      </a:extLst>
                    </a:blip>
                    <a:srcRect t="13175"/>
                    <a:stretch>
                      <a:fillRect/>
                    </a:stretch>
                  </pic:blipFill>
                  <pic:spPr bwMode="auto">
                    <a:xfrm>
                      <a:off x="0" y="0"/>
                      <a:ext cx="5748020" cy="714502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505D9269" w14:textId="54841D98" w:rsidR="0065330A" w:rsidRDefault="0065330A" w:rsidP="00F1774E">
      <w:pPr>
        <w:spacing w:line="360" w:lineRule="auto"/>
        <w:rPr>
          <w:rFonts w:ascii="Arial" w:hAnsi="Arial" w:cs="Arial"/>
          <w:b/>
          <w:bCs/>
          <w:sz w:val="28"/>
          <w:szCs w:val="28"/>
        </w:rPr>
      </w:pPr>
    </w:p>
    <w:p w14:paraId="5634B472" w14:textId="77777777" w:rsidR="00800B3C" w:rsidRDefault="00800B3C" w:rsidP="00F4467B">
      <w:pPr>
        <w:spacing w:line="360" w:lineRule="auto"/>
        <w:jc w:val="center"/>
        <w:rPr>
          <w:rFonts w:ascii="Arial" w:hAnsi="Arial" w:cs="Arial"/>
          <w:b/>
          <w:bCs/>
          <w:sz w:val="28"/>
          <w:szCs w:val="28"/>
        </w:rPr>
      </w:pPr>
    </w:p>
    <w:p w14:paraId="46350663" w14:textId="68D37C2E" w:rsidR="00800B3C" w:rsidRDefault="00F202E3" w:rsidP="00F4467B">
      <w:pPr>
        <w:spacing w:line="360" w:lineRule="auto"/>
        <w:jc w:val="center"/>
        <w:rPr>
          <w:rFonts w:ascii="Arial" w:hAnsi="Arial" w:cs="Arial"/>
          <w:b/>
          <w:bCs/>
          <w:sz w:val="28"/>
          <w:szCs w:val="28"/>
        </w:rPr>
      </w:pPr>
      <w:r>
        <w:rPr>
          <w:rFonts w:ascii="Arial" w:hAnsi="Arial" w:cs="Arial"/>
          <w:b/>
          <w:bCs/>
          <w:noProof/>
          <w:sz w:val="28"/>
          <w:szCs w:val="28"/>
        </w:rPr>
        <w:lastRenderedPageBreak/>
        <w:drawing>
          <wp:anchor distT="0" distB="0" distL="114300" distR="114300" simplePos="0" relativeHeight="251658281" behindDoc="0" locked="0" layoutInCell="1" allowOverlap="1" wp14:anchorId="4BD612EB" wp14:editId="36DE34C3">
            <wp:simplePos x="0" y="0"/>
            <wp:positionH relativeFrom="column">
              <wp:posOffset>0</wp:posOffset>
            </wp:positionH>
            <wp:positionV relativeFrom="paragraph">
              <wp:posOffset>365125</wp:posOffset>
            </wp:positionV>
            <wp:extent cx="5748020" cy="7856855"/>
            <wp:effectExtent l="0" t="0" r="5080" b="4445"/>
            <wp:wrapTopAndBottom/>
            <wp:docPr id="55341932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419325" name="Picture 553419325"/>
                    <pic:cNvPicPr/>
                  </pic:nvPicPr>
                  <pic:blipFill rotWithShape="1">
                    <a:blip r:embed="rId56" cstate="print">
                      <a:extLst>
                        <a:ext uri="{28A0092B-C50C-407E-A947-70E740481C1C}">
                          <a14:useLocalDpi xmlns:a14="http://schemas.microsoft.com/office/drawing/2010/main" val="0"/>
                        </a:ext>
                      </a:extLst>
                    </a:blip>
                    <a:srcRect t="13175"/>
                    <a:stretch>
                      <a:fillRect/>
                    </a:stretch>
                  </pic:blipFill>
                  <pic:spPr bwMode="auto">
                    <a:xfrm>
                      <a:off x="0" y="0"/>
                      <a:ext cx="5748020" cy="785685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1F4AA3F1" w14:textId="37E61C41" w:rsidR="00995E69" w:rsidRDefault="00197D2E" w:rsidP="00F4467B">
      <w:pPr>
        <w:spacing w:line="360" w:lineRule="auto"/>
        <w:jc w:val="center"/>
        <w:rPr>
          <w:rFonts w:ascii="Arial" w:hAnsi="Arial" w:cs="Arial"/>
          <w:b/>
          <w:bCs/>
          <w:sz w:val="28"/>
          <w:szCs w:val="28"/>
        </w:rPr>
      </w:pPr>
      <w:r>
        <w:rPr>
          <w:rFonts w:ascii="Arial" w:hAnsi="Arial" w:cs="Arial"/>
          <w:b/>
          <w:bCs/>
          <w:noProof/>
          <w:sz w:val="28"/>
          <w:szCs w:val="28"/>
        </w:rPr>
        <w:lastRenderedPageBreak/>
        <w:drawing>
          <wp:anchor distT="0" distB="0" distL="114300" distR="114300" simplePos="0" relativeHeight="251658282" behindDoc="0" locked="0" layoutInCell="1" allowOverlap="1" wp14:anchorId="628C1ADF" wp14:editId="33EFD3ED">
            <wp:simplePos x="0" y="0"/>
            <wp:positionH relativeFrom="column">
              <wp:posOffset>0</wp:posOffset>
            </wp:positionH>
            <wp:positionV relativeFrom="paragraph">
              <wp:posOffset>985520</wp:posOffset>
            </wp:positionV>
            <wp:extent cx="5943600" cy="7240905"/>
            <wp:effectExtent l="0" t="0" r="0" b="0"/>
            <wp:wrapTopAndBottom/>
            <wp:docPr id="154115006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150060" name="Picture 1541150060"/>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943600" cy="7240905"/>
                    </a:xfrm>
                    <a:prstGeom prst="rect">
                      <a:avLst/>
                    </a:prstGeom>
                  </pic:spPr>
                </pic:pic>
              </a:graphicData>
            </a:graphic>
          </wp:anchor>
        </w:drawing>
      </w:r>
    </w:p>
    <w:p w14:paraId="1F201F5B" w14:textId="77777777" w:rsidR="008B1DC3" w:rsidRDefault="008B1DC3" w:rsidP="00F4467B">
      <w:pPr>
        <w:spacing w:line="360" w:lineRule="auto"/>
        <w:jc w:val="center"/>
        <w:rPr>
          <w:rFonts w:ascii="Arial" w:hAnsi="Arial" w:cs="Arial"/>
          <w:b/>
          <w:bCs/>
          <w:sz w:val="28"/>
          <w:szCs w:val="28"/>
        </w:rPr>
      </w:pPr>
    </w:p>
    <w:p w14:paraId="24137422" w14:textId="193CD27A" w:rsidR="008B1DC3" w:rsidRDefault="00920BF9" w:rsidP="00F4467B">
      <w:pPr>
        <w:spacing w:line="360" w:lineRule="auto"/>
        <w:jc w:val="center"/>
        <w:rPr>
          <w:rFonts w:ascii="Arial" w:hAnsi="Arial" w:cs="Arial"/>
          <w:b/>
          <w:bCs/>
          <w:sz w:val="28"/>
          <w:szCs w:val="28"/>
        </w:rPr>
      </w:pPr>
      <w:r>
        <w:rPr>
          <w:rFonts w:ascii="Arial" w:hAnsi="Arial" w:cs="Arial"/>
          <w:b/>
          <w:bCs/>
          <w:noProof/>
          <w:sz w:val="28"/>
          <w:szCs w:val="28"/>
        </w:rPr>
        <w:lastRenderedPageBreak/>
        <w:drawing>
          <wp:anchor distT="0" distB="0" distL="114300" distR="114300" simplePos="0" relativeHeight="251658283" behindDoc="0" locked="0" layoutInCell="1" allowOverlap="1" wp14:anchorId="778245E5" wp14:editId="4D634A84">
            <wp:simplePos x="0" y="0"/>
            <wp:positionH relativeFrom="column">
              <wp:posOffset>0</wp:posOffset>
            </wp:positionH>
            <wp:positionV relativeFrom="paragraph">
              <wp:posOffset>812800</wp:posOffset>
            </wp:positionV>
            <wp:extent cx="5943600" cy="7112635"/>
            <wp:effectExtent l="0" t="0" r="0" b="0"/>
            <wp:wrapTopAndBottom/>
            <wp:docPr id="78284665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846651" name="Picture 782846651"/>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943600" cy="7112635"/>
                    </a:xfrm>
                    <a:prstGeom prst="rect">
                      <a:avLst/>
                    </a:prstGeom>
                  </pic:spPr>
                </pic:pic>
              </a:graphicData>
            </a:graphic>
          </wp:anchor>
        </w:drawing>
      </w:r>
    </w:p>
    <w:p w14:paraId="29F84865" w14:textId="64D25BD2" w:rsidR="005852D2" w:rsidRDefault="005852D2" w:rsidP="00F4467B">
      <w:pPr>
        <w:spacing w:line="360" w:lineRule="auto"/>
        <w:jc w:val="center"/>
        <w:rPr>
          <w:rFonts w:ascii="Arial" w:hAnsi="Arial" w:cs="Arial"/>
          <w:b/>
          <w:bCs/>
          <w:sz w:val="28"/>
          <w:szCs w:val="28"/>
        </w:rPr>
      </w:pPr>
    </w:p>
    <w:p w14:paraId="16E844D0" w14:textId="751984CB" w:rsidR="005852D2" w:rsidRDefault="000A4063" w:rsidP="00F4467B">
      <w:pPr>
        <w:spacing w:line="360" w:lineRule="auto"/>
        <w:jc w:val="center"/>
        <w:rPr>
          <w:rFonts w:ascii="Arial" w:hAnsi="Arial" w:cs="Arial"/>
          <w:b/>
          <w:bCs/>
          <w:sz w:val="28"/>
          <w:szCs w:val="28"/>
        </w:rPr>
      </w:pPr>
      <w:r>
        <w:rPr>
          <w:rFonts w:ascii="Arial" w:hAnsi="Arial" w:cs="Arial"/>
          <w:b/>
          <w:bCs/>
          <w:noProof/>
          <w:sz w:val="28"/>
          <w:szCs w:val="28"/>
        </w:rPr>
        <w:lastRenderedPageBreak/>
        <w:drawing>
          <wp:anchor distT="0" distB="0" distL="114300" distR="114300" simplePos="0" relativeHeight="251658286" behindDoc="0" locked="0" layoutInCell="1" allowOverlap="1" wp14:anchorId="6F084319" wp14:editId="2B0310BE">
            <wp:simplePos x="0" y="0"/>
            <wp:positionH relativeFrom="column">
              <wp:posOffset>0</wp:posOffset>
            </wp:positionH>
            <wp:positionV relativeFrom="paragraph">
              <wp:posOffset>411480</wp:posOffset>
            </wp:positionV>
            <wp:extent cx="5943600" cy="7148195"/>
            <wp:effectExtent l="0" t="0" r="0" b="1905"/>
            <wp:wrapTopAndBottom/>
            <wp:docPr id="115032589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325894" name="Picture 1150325894"/>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943600" cy="7148195"/>
                    </a:xfrm>
                    <a:prstGeom prst="rect">
                      <a:avLst/>
                    </a:prstGeom>
                  </pic:spPr>
                </pic:pic>
              </a:graphicData>
            </a:graphic>
          </wp:anchor>
        </w:drawing>
      </w:r>
    </w:p>
    <w:p w14:paraId="7AF6529A" w14:textId="770543F6" w:rsidR="00136143" w:rsidRDefault="00136143" w:rsidP="00F4467B">
      <w:pPr>
        <w:spacing w:line="360" w:lineRule="auto"/>
        <w:jc w:val="center"/>
        <w:rPr>
          <w:rFonts w:ascii="Arial" w:hAnsi="Arial" w:cs="Arial"/>
          <w:b/>
          <w:bCs/>
          <w:sz w:val="28"/>
          <w:szCs w:val="28"/>
        </w:rPr>
      </w:pPr>
    </w:p>
    <w:p w14:paraId="0A103A2C" w14:textId="77777777" w:rsidR="005852D2" w:rsidRDefault="005852D2" w:rsidP="00F4467B">
      <w:pPr>
        <w:spacing w:line="360" w:lineRule="auto"/>
        <w:jc w:val="center"/>
        <w:rPr>
          <w:rFonts w:ascii="Arial" w:hAnsi="Arial" w:cs="Arial"/>
          <w:b/>
          <w:bCs/>
          <w:sz w:val="28"/>
          <w:szCs w:val="28"/>
        </w:rPr>
      </w:pPr>
    </w:p>
    <w:p w14:paraId="0DBBB6E2" w14:textId="77777777" w:rsidR="0079136A" w:rsidRDefault="0079136A" w:rsidP="00F4467B">
      <w:pPr>
        <w:spacing w:line="360" w:lineRule="auto"/>
        <w:jc w:val="center"/>
        <w:rPr>
          <w:rFonts w:ascii="Arial" w:hAnsi="Arial" w:cs="Arial"/>
          <w:b/>
          <w:bCs/>
          <w:sz w:val="28"/>
          <w:szCs w:val="28"/>
        </w:rPr>
      </w:pPr>
    </w:p>
    <w:p w14:paraId="0C7BD0A1" w14:textId="36DA0CF1" w:rsidR="0079136A" w:rsidRDefault="0079136A" w:rsidP="00F4467B">
      <w:pPr>
        <w:spacing w:line="360" w:lineRule="auto"/>
        <w:jc w:val="center"/>
        <w:rPr>
          <w:rFonts w:ascii="Arial" w:hAnsi="Arial" w:cs="Arial"/>
          <w:b/>
          <w:bCs/>
          <w:sz w:val="28"/>
          <w:szCs w:val="28"/>
        </w:rPr>
      </w:pPr>
    </w:p>
    <w:p w14:paraId="5773AC54" w14:textId="662F3A83" w:rsidR="0079136A" w:rsidRDefault="000A4063" w:rsidP="00F4467B">
      <w:pPr>
        <w:spacing w:line="360" w:lineRule="auto"/>
        <w:jc w:val="center"/>
        <w:rPr>
          <w:rFonts w:ascii="Arial" w:hAnsi="Arial" w:cs="Arial"/>
          <w:b/>
          <w:bCs/>
          <w:sz w:val="28"/>
          <w:szCs w:val="28"/>
        </w:rPr>
      </w:pPr>
      <w:r>
        <w:rPr>
          <w:rFonts w:ascii="Arial" w:hAnsi="Arial" w:cs="Arial"/>
          <w:b/>
          <w:bCs/>
          <w:noProof/>
          <w:sz w:val="28"/>
          <w:szCs w:val="28"/>
        </w:rPr>
        <w:drawing>
          <wp:anchor distT="0" distB="0" distL="114300" distR="114300" simplePos="0" relativeHeight="251658285" behindDoc="0" locked="0" layoutInCell="1" allowOverlap="1" wp14:anchorId="3CE49FF0" wp14:editId="29D886B1">
            <wp:simplePos x="0" y="0"/>
            <wp:positionH relativeFrom="column">
              <wp:posOffset>0</wp:posOffset>
            </wp:positionH>
            <wp:positionV relativeFrom="paragraph">
              <wp:posOffset>411480</wp:posOffset>
            </wp:positionV>
            <wp:extent cx="5943600" cy="6142990"/>
            <wp:effectExtent l="0" t="0" r="0" b="3810"/>
            <wp:wrapTopAndBottom/>
            <wp:docPr id="206955790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557903" name="Picture 2069557903"/>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943600" cy="6142990"/>
                    </a:xfrm>
                    <a:prstGeom prst="rect">
                      <a:avLst/>
                    </a:prstGeom>
                  </pic:spPr>
                </pic:pic>
              </a:graphicData>
            </a:graphic>
          </wp:anchor>
        </w:drawing>
      </w:r>
    </w:p>
    <w:p w14:paraId="49CCAB28" w14:textId="2BD70A2D" w:rsidR="00136143" w:rsidRDefault="00136143" w:rsidP="00F4467B">
      <w:pPr>
        <w:spacing w:line="360" w:lineRule="auto"/>
        <w:jc w:val="center"/>
        <w:rPr>
          <w:rFonts w:ascii="Arial" w:hAnsi="Arial" w:cs="Arial"/>
          <w:b/>
          <w:bCs/>
          <w:sz w:val="28"/>
          <w:szCs w:val="28"/>
        </w:rPr>
      </w:pPr>
    </w:p>
    <w:p w14:paraId="5FC3167C" w14:textId="2FCEDE50" w:rsidR="000A4063" w:rsidRDefault="000A4063" w:rsidP="00F4467B">
      <w:pPr>
        <w:spacing w:line="360" w:lineRule="auto"/>
        <w:jc w:val="center"/>
        <w:rPr>
          <w:rFonts w:ascii="Arial" w:hAnsi="Arial" w:cs="Arial"/>
          <w:b/>
          <w:bCs/>
          <w:sz w:val="28"/>
          <w:szCs w:val="28"/>
        </w:rPr>
      </w:pPr>
      <w:r>
        <w:rPr>
          <w:rFonts w:ascii="Arial" w:hAnsi="Arial" w:cs="Arial"/>
          <w:b/>
          <w:bCs/>
          <w:noProof/>
          <w:sz w:val="28"/>
          <w:szCs w:val="28"/>
        </w:rPr>
        <w:lastRenderedPageBreak/>
        <w:drawing>
          <wp:anchor distT="0" distB="0" distL="114300" distR="114300" simplePos="0" relativeHeight="251658284" behindDoc="0" locked="0" layoutInCell="1" allowOverlap="1" wp14:anchorId="7B5A735E" wp14:editId="71C6921D">
            <wp:simplePos x="0" y="0"/>
            <wp:positionH relativeFrom="column">
              <wp:posOffset>0</wp:posOffset>
            </wp:positionH>
            <wp:positionV relativeFrom="paragraph">
              <wp:posOffset>411480</wp:posOffset>
            </wp:positionV>
            <wp:extent cx="5943600" cy="6929755"/>
            <wp:effectExtent l="0" t="0" r="0" b="4445"/>
            <wp:wrapTopAndBottom/>
            <wp:docPr id="188553482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534820" name="Picture 1885534820"/>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943600" cy="6929755"/>
                    </a:xfrm>
                    <a:prstGeom prst="rect">
                      <a:avLst/>
                    </a:prstGeom>
                  </pic:spPr>
                </pic:pic>
              </a:graphicData>
            </a:graphic>
            <wp14:sizeRelV relativeFrom="margin">
              <wp14:pctHeight>0</wp14:pctHeight>
            </wp14:sizeRelV>
          </wp:anchor>
        </w:drawing>
      </w:r>
      <w:r w:rsidR="009D32D0">
        <w:rPr>
          <w:rFonts w:ascii="Arial" w:hAnsi="Arial" w:cs="Arial"/>
          <w:b/>
          <w:bCs/>
          <w:sz w:val="28"/>
          <w:szCs w:val="28"/>
        </w:rPr>
        <w:t xml:space="preserve"> </w:t>
      </w:r>
      <w:r w:rsidR="0014096A">
        <w:rPr>
          <w:rFonts w:ascii="Arial" w:hAnsi="Arial" w:cs="Arial"/>
          <w:b/>
          <w:bCs/>
          <w:sz w:val="28"/>
          <w:szCs w:val="28"/>
        </w:rPr>
        <w:t xml:space="preserve">        </w:t>
      </w:r>
    </w:p>
    <w:p w14:paraId="04CAA3F2" w14:textId="77777777" w:rsidR="0014096A" w:rsidRDefault="0014096A" w:rsidP="0014096A">
      <w:pPr>
        <w:spacing w:line="360" w:lineRule="auto"/>
        <w:rPr>
          <w:rFonts w:ascii="Arial" w:hAnsi="Arial" w:cs="Arial"/>
          <w:b/>
          <w:bCs/>
          <w:sz w:val="28"/>
          <w:szCs w:val="28"/>
        </w:rPr>
      </w:pPr>
    </w:p>
    <w:p w14:paraId="382664D9" w14:textId="77777777" w:rsidR="0014096A" w:rsidRDefault="0014096A" w:rsidP="0014096A">
      <w:pPr>
        <w:spacing w:line="360" w:lineRule="auto"/>
        <w:rPr>
          <w:rFonts w:ascii="Arial" w:hAnsi="Arial" w:cs="Arial"/>
          <w:b/>
          <w:bCs/>
          <w:sz w:val="28"/>
          <w:szCs w:val="28"/>
        </w:rPr>
      </w:pPr>
    </w:p>
    <w:p w14:paraId="3648620F" w14:textId="43F2F906" w:rsidR="001F5DC5" w:rsidRDefault="00A36A85" w:rsidP="008B222E">
      <w:pPr>
        <w:pStyle w:val="Heading1"/>
      </w:pPr>
      <w:bookmarkStart w:id="95" w:name="_Toc228218317"/>
      <w:r>
        <w:rPr>
          <w:noProof/>
        </w:rPr>
        <w:lastRenderedPageBreak/>
        <w:drawing>
          <wp:anchor distT="0" distB="0" distL="114300" distR="114300" simplePos="0" relativeHeight="251658289" behindDoc="0" locked="0" layoutInCell="1" allowOverlap="1" wp14:anchorId="07C87F7C" wp14:editId="7914429B">
            <wp:simplePos x="0" y="0"/>
            <wp:positionH relativeFrom="column">
              <wp:posOffset>0</wp:posOffset>
            </wp:positionH>
            <wp:positionV relativeFrom="paragraph">
              <wp:posOffset>1066800</wp:posOffset>
            </wp:positionV>
            <wp:extent cx="4139412" cy="6845935"/>
            <wp:effectExtent l="0" t="0" r="1270" b="0"/>
            <wp:wrapTopAndBottom/>
            <wp:docPr id="1449254468"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254468" name="Picture 1449254468"/>
                    <pic:cNvPicPr/>
                  </pic:nvPicPr>
                  <pic:blipFill>
                    <a:blip r:embed="rId62" cstate="print">
                      <a:extLst>
                        <a:ext uri="{28A0092B-C50C-407E-A947-70E740481C1C}">
                          <a14:useLocalDpi xmlns:a14="http://schemas.microsoft.com/office/drawing/2010/main" val="0"/>
                        </a:ext>
                      </a:extLst>
                    </a:blip>
                    <a:stretch>
                      <a:fillRect/>
                    </a:stretch>
                  </pic:blipFill>
                  <pic:spPr>
                    <a:xfrm>
                      <a:off x="0" y="0"/>
                      <a:ext cx="4139565" cy="6846188"/>
                    </a:xfrm>
                    <a:prstGeom prst="rect">
                      <a:avLst/>
                    </a:prstGeom>
                  </pic:spPr>
                </pic:pic>
              </a:graphicData>
            </a:graphic>
            <wp14:sizeRelV relativeFrom="margin">
              <wp14:pctHeight>0</wp14:pctHeight>
            </wp14:sizeRelV>
          </wp:anchor>
        </w:drawing>
      </w:r>
      <w:r w:rsidR="0014096A">
        <w:t>APPENDIX 5: NUTRITICS FOOD LOG AND NUTRITION ANALYSIS</w:t>
      </w:r>
      <w:bookmarkEnd w:id="95"/>
      <w:r w:rsidR="0014096A">
        <w:t xml:space="preserve"> </w:t>
      </w:r>
    </w:p>
    <w:p w14:paraId="7B0EBA9C" w14:textId="7EB198E6" w:rsidR="0014096A" w:rsidRDefault="0014096A" w:rsidP="00232395">
      <w:pPr>
        <w:spacing w:line="360" w:lineRule="auto"/>
        <w:jc w:val="center"/>
        <w:rPr>
          <w:rFonts w:ascii="Arial" w:hAnsi="Arial" w:cs="Arial"/>
          <w:b/>
          <w:bCs/>
          <w:sz w:val="28"/>
          <w:szCs w:val="28"/>
        </w:rPr>
      </w:pPr>
      <w:r>
        <w:rPr>
          <w:rFonts w:ascii="Arial" w:hAnsi="Arial" w:cs="Arial"/>
          <w:b/>
          <w:bCs/>
          <w:sz w:val="28"/>
          <w:szCs w:val="28"/>
        </w:rPr>
        <w:t xml:space="preserve"> </w:t>
      </w:r>
    </w:p>
    <w:p w14:paraId="4220B00D" w14:textId="3F76CAC0" w:rsidR="0014096A" w:rsidRDefault="00A36A85" w:rsidP="0014096A">
      <w:pPr>
        <w:spacing w:line="360" w:lineRule="auto"/>
        <w:rPr>
          <w:rFonts w:ascii="Arial" w:hAnsi="Arial" w:cs="Arial"/>
          <w:b/>
          <w:bCs/>
          <w:sz w:val="28"/>
          <w:szCs w:val="28"/>
        </w:rPr>
      </w:pPr>
      <w:r>
        <w:rPr>
          <w:rFonts w:ascii="Arial" w:hAnsi="Arial" w:cs="Arial"/>
          <w:b/>
          <w:bCs/>
          <w:noProof/>
          <w:sz w:val="28"/>
          <w:szCs w:val="28"/>
        </w:rPr>
        <w:lastRenderedPageBreak/>
        <w:drawing>
          <wp:anchor distT="0" distB="0" distL="114300" distR="114300" simplePos="0" relativeHeight="251658288" behindDoc="0" locked="0" layoutInCell="1" allowOverlap="1" wp14:anchorId="73DD81B4" wp14:editId="73D7EDED">
            <wp:simplePos x="0" y="0"/>
            <wp:positionH relativeFrom="column">
              <wp:posOffset>0</wp:posOffset>
            </wp:positionH>
            <wp:positionV relativeFrom="paragraph">
              <wp:posOffset>0</wp:posOffset>
            </wp:positionV>
            <wp:extent cx="3792855" cy="7955280"/>
            <wp:effectExtent l="0" t="0" r="4445" b="0"/>
            <wp:wrapTopAndBottom/>
            <wp:docPr id="1236894602"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894602" name="Picture 1236894602"/>
                    <pic:cNvPicPr/>
                  </pic:nvPicPr>
                  <pic:blipFill>
                    <a:blip r:embed="rId63" cstate="print">
                      <a:extLst>
                        <a:ext uri="{28A0092B-C50C-407E-A947-70E740481C1C}">
                          <a14:useLocalDpi xmlns:a14="http://schemas.microsoft.com/office/drawing/2010/main" val="0"/>
                        </a:ext>
                      </a:extLst>
                    </a:blip>
                    <a:stretch>
                      <a:fillRect/>
                    </a:stretch>
                  </pic:blipFill>
                  <pic:spPr>
                    <a:xfrm>
                      <a:off x="0" y="0"/>
                      <a:ext cx="3792855" cy="7955280"/>
                    </a:xfrm>
                    <a:prstGeom prst="rect">
                      <a:avLst/>
                    </a:prstGeom>
                  </pic:spPr>
                </pic:pic>
              </a:graphicData>
            </a:graphic>
            <wp14:sizeRelV relativeFrom="margin">
              <wp14:pctHeight>0</wp14:pctHeight>
            </wp14:sizeRelV>
          </wp:anchor>
        </w:drawing>
      </w:r>
      <w:r w:rsidR="000C45A0">
        <w:rPr>
          <w:rFonts w:ascii="Arial" w:hAnsi="Arial" w:cs="Arial"/>
          <w:b/>
          <w:bCs/>
          <w:noProof/>
          <w:sz w:val="28"/>
          <w:szCs w:val="28"/>
        </w:rPr>
        <w:drawing>
          <wp:anchor distT="0" distB="0" distL="114300" distR="114300" simplePos="0" relativeHeight="251658287" behindDoc="0" locked="0" layoutInCell="1" allowOverlap="1" wp14:anchorId="7717D5F7" wp14:editId="687860CF">
            <wp:simplePos x="0" y="0"/>
            <wp:positionH relativeFrom="column">
              <wp:posOffset>0</wp:posOffset>
            </wp:positionH>
            <wp:positionV relativeFrom="paragraph">
              <wp:posOffset>0</wp:posOffset>
            </wp:positionV>
            <wp:extent cx="3792855" cy="8229600"/>
            <wp:effectExtent l="0" t="0" r="4445" b="0"/>
            <wp:wrapTopAndBottom/>
            <wp:docPr id="80215705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157052" name="Picture 802157052"/>
                    <pic:cNvPicPr/>
                  </pic:nvPicPr>
                  <pic:blipFill>
                    <a:blip r:embed="rId64" cstate="print">
                      <a:extLst>
                        <a:ext uri="{28A0092B-C50C-407E-A947-70E740481C1C}">
                          <a14:useLocalDpi xmlns:a14="http://schemas.microsoft.com/office/drawing/2010/main" val="0"/>
                        </a:ext>
                      </a:extLst>
                    </a:blip>
                    <a:stretch>
                      <a:fillRect/>
                    </a:stretch>
                  </pic:blipFill>
                  <pic:spPr>
                    <a:xfrm>
                      <a:off x="0" y="0"/>
                      <a:ext cx="3792855" cy="8229600"/>
                    </a:xfrm>
                    <a:prstGeom prst="rect">
                      <a:avLst/>
                    </a:prstGeom>
                  </pic:spPr>
                </pic:pic>
              </a:graphicData>
            </a:graphic>
          </wp:anchor>
        </w:drawing>
      </w:r>
    </w:p>
    <w:p w14:paraId="51C1287F" w14:textId="4ABCFBA4" w:rsidR="009F3629" w:rsidRDefault="00D53F1B" w:rsidP="0014096A">
      <w:pPr>
        <w:spacing w:line="360" w:lineRule="auto"/>
        <w:rPr>
          <w:rFonts w:ascii="Arial" w:hAnsi="Arial" w:cs="Arial"/>
          <w:b/>
          <w:bCs/>
          <w:sz w:val="28"/>
          <w:szCs w:val="28"/>
        </w:rPr>
      </w:pPr>
      <w:r>
        <w:rPr>
          <w:rFonts w:ascii="Arial" w:hAnsi="Arial" w:cs="Arial"/>
          <w:b/>
          <w:bCs/>
          <w:noProof/>
          <w:sz w:val="28"/>
          <w:szCs w:val="28"/>
        </w:rPr>
        <w:lastRenderedPageBreak/>
        <w:drawing>
          <wp:anchor distT="0" distB="0" distL="114300" distR="114300" simplePos="0" relativeHeight="251658291" behindDoc="0" locked="0" layoutInCell="1" allowOverlap="1" wp14:anchorId="215E2900" wp14:editId="5705A0B8">
            <wp:simplePos x="0" y="0"/>
            <wp:positionH relativeFrom="column">
              <wp:posOffset>0</wp:posOffset>
            </wp:positionH>
            <wp:positionV relativeFrom="paragraph">
              <wp:posOffset>0</wp:posOffset>
            </wp:positionV>
            <wp:extent cx="3792855" cy="8229600"/>
            <wp:effectExtent l="0" t="0" r="4445" b="0"/>
            <wp:wrapTopAndBottom/>
            <wp:docPr id="1567495106"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495106" name="Picture 1567495106"/>
                    <pic:cNvPicPr/>
                  </pic:nvPicPr>
                  <pic:blipFill>
                    <a:blip r:embed="rId65" cstate="print">
                      <a:extLst>
                        <a:ext uri="{28A0092B-C50C-407E-A947-70E740481C1C}">
                          <a14:useLocalDpi xmlns:a14="http://schemas.microsoft.com/office/drawing/2010/main" val="0"/>
                        </a:ext>
                      </a:extLst>
                    </a:blip>
                    <a:stretch>
                      <a:fillRect/>
                    </a:stretch>
                  </pic:blipFill>
                  <pic:spPr>
                    <a:xfrm>
                      <a:off x="0" y="0"/>
                      <a:ext cx="3792855" cy="8229600"/>
                    </a:xfrm>
                    <a:prstGeom prst="rect">
                      <a:avLst/>
                    </a:prstGeom>
                  </pic:spPr>
                </pic:pic>
              </a:graphicData>
            </a:graphic>
          </wp:anchor>
        </w:drawing>
      </w:r>
    </w:p>
    <w:p w14:paraId="4324A5B9" w14:textId="648B19AD" w:rsidR="00E308C7" w:rsidRDefault="00703D5A" w:rsidP="0014096A">
      <w:pPr>
        <w:spacing w:line="360" w:lineRule="auto"/>
        <w:rPr>
          <w:rFonts w:ascii="Arial" w:hAnsi="Arial" w:cs="Arial"/>
          <w:b/>
          <w:bCs/>
          <w:sz w:val="28"/>
          <w:szCs w:val="28"/>
        </w:rPr>
      </w:pPr>
      <w:r>
        <w:rPr>
          <w:rFonts w:ascii="Arial" w:hAnsi="Arial" w:cs="Arial"/>
          <w:b/>
          <w:bCs/>
          <w:noProof/>
          <w:sz w:val="28"/>
          <w:szCs w:val="28"/>
        </w:rPr>
        <w:lastRenderedPageBreak/>
        <w:drawing>
          <wp:anchor distT="0" distB="0" distL="114300" distR="114300" simplePos="0" relativeHeight="251658292" behindDoc="0" locked="0" layoutInCell="1" allowOverlap="1" wp14:anchorId="4764FB9B" wp14:editId="34E192F2">
            <wp:simplePos x="0" y="0"/>
            <wp:positionH relativeFrom="column">
              <wp:posOffset>0</wp:posOffset>
            </wp:positionH>
            <wp:positionV relativeFrom="paragraph">
              <wp:posOffset>0</wp:posOffset>
            </wp:positionV>
            <wp:extent cx="4793615" cy="8229600"/>
            <wp:effectExtent l="0" t="0" r="0" b="0"/>
            <wp:wrapTopAndBottom/>
            <wp:docPr id="555157271"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157271" name="Picture 555157271"/>
                    <pic:cNvPicPr/>
                  </pic:nvPicPr>
                  <pic:blipFill>
                    <a:blip r:embed="rId64" cstate="print">
                      <a:extLst>
                        <a:ext uri="{28A0092B-C50C-407E-A947-70E740481C1C}">
                          <a14:useLocalDpi xmlns:a14="http://schemas.microsoft.com/office/drawing/2010/main" val="0"/>
                        </a:ext>
                      </a:extLst>
                    </a:blip>
                    <a:stretch>
                      <a:fillRect/>
                    </a:stretch>
                  </pic:blipFill>
                  <pic:spPr>
                    <a:xfrm>
                      <a:off x="0" y="0"/>
                      <a:ext cx="4793615" cy="8229600"/>
                    </a:xfrm>
                    <a:prstGeom prst="rect">
                      <a:avLst/>
                    </a:prstGeom>
                  </pic:spPr>
                </pic:pic>
              </a:graphicData>
            </a:graphic>
            <wp14:sizeRelH relativeFrom="margin">
              <wp14:pctWidth>0</wp14:pctWidth>
            </wp14:sizeRelH>
          </wp:anchor>
        </w:drawing>
      </w:r>
    </w:p>
    <w:p w14:paraId="3BD47316" w14:textId="6A53B100" w:rsidR="00EE069B" w:rsidRPr="00F4467B" w:rsidRDefault="00C9711D" w:rsidP="0014096A">
      <w:pPr>
        <w:spacing w:line="360" w:lineRule="auto"/>
        <w:rPr>
          <w:rFonts w:ascii="Arial" w:hAnsi="Arial" w:cs="Arial"/>
          <w:b/>
          <w:bCs/>
          <w:sz w:val="28"/>
          <w:szCs w:val="28"/>
        </w:rPr>
      </w:pPr>
      <w:r>
        <w:rPr>
          <w:rFonts w:ascii="Arial" w:hAnsi="Arial" w:cs="Arial"/>
          <w:b/>
          <w:bCs/>
          <w:noProof/>
          <w:sz w:val="28"/>
          <w:szCs w:val="28"/>
        </w:rPr>
        <w:lastRenderedPageBreak/>
        <w:drawing>
          <wp:anchor distT="0" distB="0" distL="114300" distR="114300" simplePos="0" relativeHeight="251658290" behindDoc="0" locked="0" layoutInCell="1" allowOverlap="1" wp14:anchorId="27BA4171" wp14:editId="2F6D49DE">
            <wp:simplePos x="0" y="0"/>
            <wp:positionH relativeFrom="column">
              <wp:posOffset>0</wp:posOffset>
            </wp:positionH>
            <wp:positionV relativeFrom="paragraph">
              <wp:posOffset>0</wp:posOffset>
            </wp:positionV>
            <wp:extent cx="4793615" cy="8229600"/>
            <wp:effectExtent l="0" t="0" r="0" b="0"/>
            <wp:wrapTopAndBottom/>
            <wp:docPr id="21898530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985308" name="Picture 218985308"/>
                    <pic:cNvPicPr/>
                  </pic:nvPicPr>
                  <pic:blipFill>
                    <a:blip r:embed="rId66" cstate="print">
                      <a:extLst>
                        <a:ext uri="{28A0092B-C50C-407E-A947-70E740481C1C}">
                          <a14:useLocalDpi xmlns:a14="http://schemas.microsoft.com/office/drawing/2010/main" val="0"/>
                        </a:ext>
                      </a:extLst>
                    </a:blip>
                    <a:stretch>
                      <a:fillRect/>
                    </a:stretch>
                  </pic:blipFill>
                  <pic:spPr>
                    <a:xfrm>
                      <a:off x="0" y="0"/>
                      <a:ext cx="4793615" cy="8229600"/>
                    </a:xfrm>
                    <a:prstGeom prst="rect">
                      <a:avLst/>
                    </a:prstGeom>
                  </pic:spPr>
                </pic:pic>
              </a:graphicData>
            </a:graphic>
            <wp14:sizeRelH relativeFrom="margin">
              <wp14:pctWidth>0</wp14:pctWidth>
            </wp14:sizeRelH>
          </wp:anchor>
        </w:drawing>
      </w:r>
    </w:p>
    <w:sectPr w:rsidR="00EE069B" w:rsidRPr="00F4467B" w:rsidSect="00423711">
      <w:footerReference w:type="first" r:id="rId67"/>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0684B3" w14:textId="77777777" w:rsidR="009702C0" w:rsidRDefault="009702C0" w:rsidP="00A12193">
      <w:pPr>
        <w:spacing w:after="0" w:line="240" w:lineRule="auto"/>
      </w:pPr>
      <w:r>
        <w:separator/>
      </w:r>
    </w:p>
  </w:endnote>
  <w:endnote w:type="continuationSeparator" w:id="0">
    <w:p w14:paraId="1E71A239" w14:textId="77777777" w:rsidR="009702C0" w:rsidRDefault="009702C0" w:rsidP="00A121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Yu Mincho">
    <w:panose1 w:val="02020400000000000000"/>
    <w:charset w:val="80"/>
    <w:family w:val="roman"/>
    <w:pitch w:val="variable"/>
    <w:sig w:usb0="800002E7" w:usb1="2AC7FCFF" w:usb2="00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06023623"/>
      <w:docPartObj>
        <w:docPartGallery w:val="Page Numbers (Bottom of Page)"/>
        <w:docPartUnique/>
      </w:docPartObj>
    </w:sdtPr>
    <w:sdtEndPr>
      <w:rPr>
        <w:rStyle w:val="PageNumber"/>
      </w:rPr>
    </w:sdtEndPr>
    <w:sdtContent>
      <w:p w14:paraId="25D486D9" w14:textId="49BA672B" w:rsidR="007D6822" w:rsidRDefault="007D6822" w:rsidP="00CE743D">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5CEA55" w14:textId="77777777" w:rsidR="00423711" w:rsidRDefault="004237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84186270"/>
      <w:docPartObj>
        <w:docPartGallery w:val="Page Numbers (Bottom of Page)"/>
        <w:docPartUnique/>
      </w:docPartObj>
    </w:sdtPr>
    <w:sdtEndPr>
      <w:rPr>
        <w:rStyle w:val="PageNumber"/>
      </w:rPr>
    </w:sdtEndPr>
    <w:sdtContent>
      <w:p w14:paraId="6A233036" w14:textId="203B738C" w:rsidR="00672E6F" w:rsidRDefault="00672E6F" w:rsidP="00CE743D">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9DEDB86" w14:textId="77777777" w:rsidR="004767A2" w:rsidRDefault="004767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131CFD" w14:textId="77777777" w:rsidR="009702C0" w:rsidRDefault="009702C0" w:rsidP="00A12193">
      <w:pPr>
        <w:spacing w:after="0" w:line="240" w:lineRule="auto"/>
      </w:pPr>
      <w:r>
        <w:separator/>
      </w:r>
    </w:p>
  </w:footnote>
  <w:footnote w:type="continuationSeparator" w:id="0">
    <w:p w14:paraId="4373815E" w14:textId="77777777" w:rsidR="009702C0" w:rsidRDefault="009702C0" w:rsidP="00A121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A16F85" w14:textId="77777777" w:rsidR="004767A2" w:rsidRDefault="00FF17BF" w:rsidP="004767A2">
    <w:pPr>
      <w:pStyle w:val="Header"/>
    </w:pPr>
    <w:sdt>
      <w:sdtPr>
        <w:rPr>
          <w:i/>
          <w:color w:val="262626" w:themeColor="text1" w:themeTint="D9"/>
          <w:sz w:val="32"/>
          <w:szCs w:val="32"/>
        </w:rPr>
        <w:alias w:val="Author"/>
        <w:tag w:val=""/>
        <w:id w:val="-321116677"/>
        <w:dataBinding w:prefixMappings="xmlns:ns0='http://purl.org/dc/elements/1.1/' xmlns:ns1='http://schemas.openxmlformats.org/package/2006/metadata/core-properties' " w:xpath="/ns1:coreProperties[1]/ns0:creator[1]" w:storeItemID="{6C3C8BC8-F283-45AE-878A-BAB7291924A1}"/>
        <w15:appearance w15:val="hidden"/>
        <w:text/>
      </w:sdtPr>
      <w:sdtEndPr/>
      <w:sdtContent>
        <w:r w:rsidR="004767A2">
          <w:rPr>
            <w:i/>
            <w:color w:val="262626" w:themeColor="text1" w:themeTint="D9"/>
            <w:sz w:val="32"/>
            <w:szCs w:val="32"/>
          </w:rPr>
          <w:t>Ioan Rhys Lewis (0401890)</w:t>
        </w:r>
      </w:sdtContent>
    </w:sdt>
    <w:r w:rsidR="004767A2">
      <w:rPr>
        <w:i/>
        <w:color w:val="262626" w:themeColor="text1" w:themeTint="D9"/>
        <w:sz w:val="32"/>
        <w:szCs w:val="32"/>
      </w:rPr>
      <w:t xml:space="preserve"> </w:t>
    </w:r>
    <w:r w:rsidR="004767A2">
      <w:ptab w:relativeTo="margin" w:alignment="center" w:leader="none"/>
    </w:r>
    <w:r w:rsidR="004767A2">
      <w:t>Dissertation</w:t>
    </w:r>
    <w:r w:rsidR="004767A2">
      <w:ptab w:relativeTo="margin" w:alignment="right" w:leader="none"/>
    </w:r>
    <w:r w:rsidR="004767A2">
      <w:t>MSc Sport &amp; Exercise Nutrition</w:t>
    </w:r>
  </w:p>
  <w:p w14:paraId="485F2187" w14:textId="77777777" w:rsidR="004767A2" w:rsidRDefault="004767A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331F8A" w14:textId="6A44855D" w:rsidR="00A12193" w:rsidRDefault="00FF17BF">
    <w:pPr>
      <w:pStyle w:val="Header"/>
    </w:pPr>
    <w:sdt>
      <w:sdtPr>
        <w:rPr>
          <w:i/>
          <w:color w:val="262626" w:themeColor="text1" w:themeTint="D9"/>
          <w:sz w:val="32"/>
          <w:szCs w:val="32"/>
        </w:rPr>
        <w:alias w:val="Author"/>
        <w:tag w:val=""/>
        <w:id w:val="-1488089144"/>
        <w:dataBinding w:prefixMappings="xmlns:ns0='http://purl.org/dc/elements/1.1/' xmlns:ns1='http://schemas.openxmlformats.org/package/2006/metadata/core-properties' " w:xpath="/ns1:coreProperties[1]/ns0:creator[1]" w:storeItemID="{6C3C8BC8-F283-45AE-878A-BAB7291924A1}"/>
        <w15:appearance w15:val="hidden"/>
        <w:text/>
      </w:sdtPr>
      <w:sdtEndPr/>
      <w:sdtContent>
        <w:r w:rsidR="00A12193">
          <w:rPr>
            <w:i/>
            <w:color w:val="262626" w:themeColor="text1" w:themeTint="D9"/>
            <w:sz w:val="32"/>
            <w:szCs w:val="32"/>
          </w:rPr>
          <w:t>Ioan Rhys Lewis (0401890)</w:t>
        </w:r>
      </w:sdtContent>
    </w:sdt>
    <w:r w:rsidR="00A12193">
      <w:rPr>
        <w:i/>
        <w:color w:val="262626" w:themeColor="text1" w:themeTint="D9"/>
        <w:sz w:val="32"/>
        <w:szCs w:val="32"/>
      </w:rPr>
      <w:t xml:space="preserve"> </w:t>
    </w:r>
    <w:r w:rsidR="00A12193">
      <w:ptab w:relativeTo="margin" w:alignment="center" w:leader="none"/>
    </w:r>
    <w:r w:rsidR="00A12193">
      <w:ptab w:relativeTo="margin" w:alignment="right" w:leader="none"/>
    </w:r>
    <w:r w:rsidR="00A12193">
      <w:t>MSc Sport &amp; Exercise Nutrition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D17A4D"/>
    <w:multiLevelType w:val="multilevel"/>
    <w:tmpl w:val="FFFFFFFF"/>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9917204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193"/>
    <w:rsid w:val="0000166B"/>
    <w:rsid w:val="00011A9D"/>
    <w:rsid w:val="000151C1"/>
    <w:rsid w:val="0001637E"/>
    <w:rsid w:val="00024A69"/>
    <w:rsid w:val="00026466"/>
    <w:rsid w:val="00026BCF"/>
    <w:rsid w:val="0002750F"/>
    <w:rsid w:val="00032030"/>
    <w:rsid w:val="00035DBC"/>
    <w:rsid w:val="00036AE7"/>
    <w:rsid w:val="00041ADC"/>
    <w:rsid w:val="000438BD"/>
    <w:rsid w:val="000456FC"/>
    <w:rsid w:val="00046D2A"/>
    <w:rsid w:val="0005317B"/>
    <w:rsid w:val="000645C5"/>
    <w:rsid w:val="00070B8A"/>
    <w:rsid w:val="00070EDD"/>
    <w:rsid w:val="00071CA3"/>
    <w:rsid w:val="0007389A"/>
    <w:rsid w:val="00074C53"/>
    <w:rsid w:val="000812A9"/>
    <w:rsid w:val="00081F8A"/>
    <w:rsid w:val="000832D4"/>
    <w:rsid w:val="0008362C"/>
    <w:rsid w:val="00086E08"/>
    <w:rsid w:val="000875AE"/>
    <w:rsid w:val="000917D5"/>
    <w:rsid w:val="00092840"/>
    <w:rsid w:val="00096CAD"/>
    <w:rsid w:val="000A049A"/>
    <w:rsid w:val="000A2FEE"/>
    <w:rsid w:val="000A4063"/>
    <w:rsid w:val="000A5548"/>
    <w:rsid w:val="000A74BD"/>
    <w:rsid w:val="000B54A9"/>
    <w:rsid w:val="000B6FEA"/>
    <w:rsid w:val="000B78A7"/>
    <w:rsid w:val="000C2658"/>
    <w:rsid w:val="000C32AF"/>
    <w:rsid w:val="000C45A0"/>
    <w:rsid w:val="000C5923"/>
    <w:rsid w:val="000C672E"/>
    <w:rsid w:val="000C7C46"/>
    <w:rsid w:val="000D61C6"/>
    <w:rsid w:val="000E0053"/>
    <w:rsid w:val="000E06F4"/>
    <w:rsid w:val="000E1C04"/>
    <w:rsid w:val="000E1FCE"/>
    <w:rsid w:val="000E2591"/>
    <w:rsid w:val="000E4DA8"/>
    <w:rsid w:val="000E7F74"/>
    <w:rsid w:val="000F1EA0"/>
    <w:rsid w:val="000F4BF5"/>
    <w:rsid w:val="000F6095"/>
    <w:rsid w:val="00102E9C"/>
    <w:rsid w:val="00103812"/>
    <w:rsid w:val="001056C0"/>
    <w:rsid w:val="001068EF"/>
    <w:rsid w:val="001100FE"/>
    <w:rsid w:val="00125D72"/>
    <w:rsid w:val="00125FF2"/>
    <w:rsid w:val="001314E6"/>
    <w:rsid w:val="001328CD"/>
    <w:rsid w:val="00136143"/>
    <w:rsid w:val="001408E6"/>
    <w:rsid w:val="0014096A"/>
    <w:rsid w:val="0014105B"/>
    <w:rsid w:val="0014667C"/>
    <w:rsid w:val="00161129"/>
    <w:rsid w:val="00161949"/>
    <w:rsid w:val="00161EC3"/>
    <w:rsid w:val="00166CFE"/>
    <w:rsid w:val="001701EA"/>
    <w:rsid w:val="00170585"/>
    <w:rsid w:val="001710FF"/>
    <w:rsid w:val="00176219"/>
    <w:rsid w:val="00177460"/>
    <w:rsid w:val="001818EB"/>
    <w:rsid w:val="00183169"/>
    <w:rsid w:val="00183EA1"/>
    <w:rsid w:val="00184D4C"/>
    <w:rsid w:val="001871C3"/>
    <w:rsid w:val="00192DC5"/>
    <w:rsid w:val="00193BA5"/>
    <w:rsid w:val="001940B2"/>
    <w:rsid w:val="00194E8B"/>
    <w:rsid w:val="00197608"/>
    <w:rsid w:val="001977EE"/>
    <w:rsid w:val="00197D2E"/>
    <w:rsid w:val="001A1D0F"/>
    <w:rsid w:val="001A1E28"/>
    <w:rsid w:val="001A278C"/>
    <w:rsid w:val="001A2837"/>
    <w:rsid w:val="001A2AB1"/>
    <w:rsid w:val="001A732B"/>
    <w:rsid w:val="001B03B7"/>
    <w:rsid w:val="001B409E"/>
    <w:rsid w:val="001B4461"/>
    <w:rsid w:val="001B4A70"/>
    <w:rsid w:val="001C495B"/>
    <w:rsid w:val="001C62AC"/>
    <w:rsid w:val="001C7FB7"/>
    <w:rsid w:val="001D08D4"/>
    <w:rsid w:val="001D2C6F"/>
    <w:rsid w:val="001D3C32"/>
    <w:rsid w:val="001D736C"/>
    <w:rsid w:val="001D73EE"/>
    <w:rsid w:val="001E3759"/>
    <w:rsid w:val="001F022F"/>
    <w:rsid w:val="001F1DF4"/>
    <w:rsid w:val="001F44AE"/>
    <w:rsid w:val="001F5DC5"/>
    <w:rsid w:val="00201C32"/>
    <w:rsid w:val="002021C2"/>
    <w:rsid w:val="002043B1"/>
    <w:rsid w:val="00206385"/>
    <w:rsid w:val="00210749"/>
    <w:rsid w:val="00211CA2"/>
    <w:rsid w:val="00211DB3"/>
    <w:rsid w:val="00222705"/>
    <w:rsid w:val="00222B1D"/>
    <w:rsid w:val="00223825"/>
    <w:rsid w:val="00231172"/>
    <w:rsid w:val="00232FD5"/>
    <w:rsid w:val="00233042"/>
    <w:rsid w:val="00233382"/>
    <w:rsid w:val="00234210"/>
    <w:rsid w:val="00237303"/>
    <w:rsid w:val="00243285"/>
    <w:rsid w:val="002446F3"/>
    <w:rsid w:val="00245F18"/>
    <w:rsid w:val="00245F5B"/>
    <w:rsid w:val="00246AD5"/>
    <w:rsid w:val="00250DA3"/>
    <w:rsid w:val="00252C2F"/>
    <w:rsid w:val="002542CC"/>
    <w:rsid w:val="002543AA"/>
    <w:rsid w:val="00255937"/>
    <w:rsid w:val="00257729"/>
    <w:rsid w:val="00257F62"/>
    <w:rsid w:val="00260CEC"/>
    <w:rsid w:val="002644AE"/>
    <w:rsid w:val="00270C36"/>
    <w:rsid w:val="002724EC"/>
    <w:rsid w:val="002733B2"/>
    <w:rsid w:val="002736E4"/>
    <w:rsid w:val="00273C58"/>
    <w:rsid w:val="002756A6"/>
    <w:rsid w:val="00275D67"/>
    <w:rsid w:val="002760D5"/>
    <w:rsid w:val="00276466"/>
    <w:rsid w:val="00277EE5"/>
    <w:rsid w:val="00280AC3"/>
    <w:rsid w:val="00280FA3"/>
    <w:rsid w:val="00282266"/>
    <w:rsid w:val="0028266D"/>
    <w:rsid w:val="00282DED"/>
    <w:rsid w:val="002839CC"/>
    <w:rsid w:val="00284DD4"/>
    <w:rsid w:val="00284F32"/>
    <w:rsid w:val="00285402"/>
    <w:rsid w:val="002875DB"/>
    <w:rsid w:val="00291146"/>
    <w:rsid w:val="002A0A9B"/>
    <w:rsid w:val="002A20DA"/>
    <w:rsid w:val="002A212B"/>
    <w:rsid w:val="002A4BFF"/>
    <w:rsid w:val="002A4F92"/>
    <w:rsid w:val="002A7DFD"/>
    <w:rsid w:val="002B0C44"/>
    <w:rsid w:val="002B1150"/>
    <w:rsid w:val="002B702F"/>
    <w:rsid w:val="002C1D4F"/>
    <w:rsid w:val="002C6D0E"/>
    <w:rsid w:val="002C7C9B"/>
    <w:rsid w:val="002C7D10"/>
    <w:rsid w:val="002D6F19"/>
    <w:rsid w:val="002E08AB"/>
    <w:rsid w:val="002E1762"/>
    <w:rsid w:val="002E51E7"/>
    <w:rsid w:val="002E672D"/>
    <w:rsid w:val="002F2EE6"/>
    <w:rsid w:val="002F309C"/>
    <w:rsid w:val="002F3E60"/>
    <w:rsid w:val="002F5410"/>
    <w:rsid w:val="002F5498"/>
    <w:rsid w:val="00300BD0"/>
    <w:rsid w:val="00301AE0"/>
    <w:rsid w:val="003021ED"/>
    <w:rsid w:val="00303E4A"/>
    <w:rsid w:val="0030525B"/>
    <w:rsid w:val="00310532"/>
    <w:rsid w:val="00311A06"/>
    <w:rsid w:val="00313C12"/>
    <w:rsid w:val="00315450"/>
    <w:rsid w:val="0031548C"/>
    <w:rsid w:val="003155D7"/>
    <w:rsid w:val="003160B5"/>
    <w:rsid w:val="003169E1"/>
    <w:rsid w:val="00316FEC"/>
    <w:rsid w:val="0032160C"/>
    <w:rsid w:val="00326AF6"/>
    <w:rsid w:val="00326DBA"/>
    <w:rsid w:val="00327D9C"/>
    <w:rsid w:val="00327F6D"/>
    <w:rsid w:val="00331F57"/>
    <w:rsid w:val="003373CC"/>
    <w:rsid w:val="00340336"/>
    <w:rsid w:val="0034190C"/>
    <w:rsid w:val="00342D36"/>
    <w:rsid w:val="003446E0"/>
    <w:rsid w:val="003447FB"/>
    <w:rsid w:val="00345223"/>
    <w:rsid w:val="0034757A"/>
    <w:rsid w:val="003542D2"/>
    <w:rsid w:val="00355F18"/>
    <w:rsid w:val="00361365"/>
    <w:rsid w:val="00362554"/>
    <w:rsid w:val="00364FDC"/>
    <w:rsid w:val="00365719"/>
    <w:rsid w:val="00373009"/>
    <w:rsid w:val="003737B1"/>
    <w:rsid w:val="00376449"/>
    <w:rsid w:val="003771DD"/>
    <w:rsid w:val="00377CC8"/>
    <w:rsid w:val="00377D2C"/>
    <w:rsid w:val="0038598F"/>
    <w:rsid w:val="003901EA"/>
    <w:rsid w:val="003909F3"/>
    <w:rsid w:val="00392E4A"/>
    <w:rsid w:val="003935AC"/>
    <w:rsid w:val="0039701B"/>
    <w:rsid w:val="003974AA"/>
    <w:rsid w:val="003A0739"/>
    <w:rsid w:val="003A260F"/>
    <w:rsid w:val="003C392C"/>
    <w:rsid w:val="003C3F0F"/>
    <w:rsid w:val="003C4498"/>
    <w:rsid w:val="003C6B85"/>
    <w:rsid w:val="003C7FBC"/>
    <w:rsid w:val="003D4038"/>
    <w:rsid w:val="003D4333"/>
    <w:rsid w:val="003D4CAC"/>
    <w:rsid w:val="003D79E8"/>
    <w:rsid w:val="003E03F1"/>
    <w:rsid w:val="003E16B2"/>
    <w:rsid w:val="003E291A"/>
    <w:rsid w:val="003E5097"/>
    <w:rsid w:val="003F0502"/>
    <w:rsid w:val="003F2613"/>
    <w:rsid w:val="003F524E"/>
    <w:rsid w:val="003F6232"/>
    <w:rsid w:val="003F684D"/>
    <w:rsid w:val="00406FFB"/>
    <w:rsid w:val="0041306E"/>
    <w:rsid w:val="0041447C"/>
    <w:rsid w:val="0041458C"/>
    <w:rsid w:val="00415E11"/>
    <w:rsid w:val="00420734"/>
    <w:rsid w:val="00420B14"/>
    <w:rsid w:val="00420D7B"/>
    <w:rsid w:val="00423711"/>
    <w:rsid w:val="0042532D"/>
    <w:rsid w:val="004335A9"/>
    <w:rsid w:val="004361DC"/>
    <w:rsid w:val="00440200"/>
    <w:rsid w:val="00442FA8"/>
    <w:rsid w:val="00445E57"/>
    <w:rsid w:val="00451D37"/>
    <w:rsid w:val="004521AC"/>
    <w:rsid w:val="004540F9"/>
    <w:rsid w:val="00455A47"/>
    <w:rsid w:val="00456602"/>
    <w:rsid w:val="00462718"/>
    <w:rsid w:val="004636BB"/>
    <w:rsid w:val="00463AB7"/>
    <w:rsid w:val="00464BEA"/>
    <w:rsid w:val="004679BA"/>
    <w:rsid w:val="00471AF3"/>
    <w:rsid w:val="004767A2"/>
    <w:rsid w:val="00476FD7"/>
    <w:rsid w:val="00484666"/>
    <w:rsid w:val="00484A23"/>
    <w:rsid w:val="00490B79"/>
    <w:rsid w:val="0049413F"/>
    <w:rsid w:val="0049484D"/>
    <w:rsid w:val="00495055"/>
    <w:rsid w:val="00496952"/>
    <w:rsid w:val="00497371"/>
    <w:rsid w:val="00497BA1"/>
    <w:rsid w:val="004A0DB4"/>
    <w:rsid w:val="004A5F5D"/>
    <w:rsid w:val="004A7AAF"/>
    <w:rsid w:val="004A7EE3"/>
    <w:rsid w:val="004B0DAC"/>
    <w:rsid w:val="004B2E1C"/>
    <w:rsid w:val="004B7932"/>
    <w:rsid w:val="004C0AF5"/>
    <w:rsid w:val="004C1050"/>
    <w:rsid w:val="004C2BF5"/>
    <w:rsid w:val="004C6ECE"/>
    <w:rsid w:val="004D0A36"/>
    <w:rsid w:val="004D1548"/>
    <w:rsid w:val="004D184F"/>
    <w:rsid w:val="004D3AAF"/>
    <w:rsid w:val="004D5D24"/>
    <w:rsid w:val="004D7124"/>
    <w:rsid w:val="004D74D0"/>
    <w:rsid w:val="004E04F4"/>
    <w:rsid w:val="004E1688"/>
    <w:rsid w:val="004E3955"/>
    <w:rsid w:val="004E514E"/>
    <w:rsid w:val="004E6DD2"/>
    <w:rsid w:val="004E7120"/>
    <w:rsid w:val="004E787F"/>
    <w:rsid w:val="004E7944"/>
    <w:rsid w:val="004F0660"/>
    <w:rsid w:val="004F2499"/>
    <w:rsid w:val="004F2EC3"/>
    <w:rsid w:val="004F4011"/>
    <w:rsid w:val="004F4473"/>
    <w:rsid w:val="004F545D"/>
    <w:rsid w:val="004F5D5B"/>
    <w:rsid w:val="004F798F"/>
    <w:rsid w:val="005014EC"/>
    <w:rsid w:val="00506BCC"/>
    <w:rsid w:val="00510C26"/>
    <w:rsid w:val="005132EE"/>
    <w:rsid w:val="00513AF9"/>
    <w:rsid w:val="00513D9F"/>
    <w:rsid w:val="00524B3F"/>
    <w:rsid w:val="00532C1C"/>
    <w:rsid w:val="00535F77"/>
    <w:rsid w:val="0053603C"/>
    <w:rsid w:val="00536991"/>
    <w:rsid w:val="005378B2"/>
    <w:rsid w:val="00537D00"/>
    <w:rsid w:val="00537ED5"/>
    <w:rsid w:val="00545A43"/>
    <w:rsid w:val="00552124"/>
    <w:rsid w:val="00553674"/>
    <w:rsid w:val="00555A54"/>
    <w:rsid w:val="005565BF"/>
    <w:rsid w:val="00556D03"/>
    <w:rsid w:val="005716FE"/>
    <w:rsid w:val="005719E3"/>
    <w:rsid w:val="00574033"/>
    <w:rsid w:val="0057494D"/>
    <w:rsid w:val="00581D5A"/>
    <w:rsid w:val="00582D03"/>
    <w:rsid w:val="005836BE"/>
    <w:rsid w:val="00583F78"/>
    <w:rsid w:val="00584E61"/>
    <w:rsid w:val="005852D2"/>
    <w:rsid w:val="0059626B"/>
    <w:rsid w:val="005A0054"/>
    <w:rsid w:val="005A0CA3"/>
    <w:rsid w:val="005A2BF5"/>
    <w:rsid w:val="005A37BB"/>
    <w:rsid w:val="005A4807"/>
    <w:rsid w:val="005B7B8F"/>
    <w:rsid w:val="005C494F"/>
    <w:rsid w:val="005C5A52"/>
    <w:rsid w:val="005D1897"/>
    <w:rsid w:val="005D1AD7"/>
    <w:rsid w:val="005D2D87"/>
    <w:rsid w:val="005D39C5"/>
    <w:rsid w:val="005D453D"/>
    <w:rsid w:val="005D6533"/>
    <w:rsid w:val="005D6C3F"/>
    <w:rsid w:val="005E08AD"/>
    <w:rsid w:val="005E2AFF"/>
    <w:rsid w:val="005E2BB7"/>
    <w:rsid w:val="005E3667"/>
    <w:rsid w:val="005E60D1"/>
    <w:rsid w:val="005F0A28"/>
    <w:rsid w:val="005F1A79"/>
    <w:rsid w:val="005F3254"/>
    <w:rsid w:val="005F6C4D"/>
    <w:rsid w:val="0060082A"/>
    <w:rsid w:val="00603C70"/>
    <w:rsid w:val="00605FF3"/>
    <w:rsid w:val="0060652E"/>
    <w:rsid w:val="00610A15"/>
    <w:rsid w:val="0061328C"/>
    <w:rsid w:val="00613366"/>
    <w:rsid w:val="00616FC7"/>
    <w:rsid w:val="00623EDD"/>
    <w:rsid w:val="0062691D"/>
    <w:rsid w:val="0063221C"/>
    <w:rsid w:val="006407D7"/>
    <w:rsid w:val="00641325"/>
    <w:rsid w:val="00644D18"/>
    <w:rsid w:val="006464FF"/>
    <w:rsid w:val="00647933"/>
    <w:rsid w:val="00651629"/>
    <w:rsid w:val="0065330A"/>
    <w:rsid w:val="006635F8"/>
    <w:rsid w:val="00667960"/>
    <w:rsid w:val="0067029C"/>
    <w:rsid w:val="00671A97"/>
    <w:rsid w:val="00672382"/>
    <w:rsid w:val="00672E6F"/>
    <w:rsid w:val="00672FA2"/>
    <w:rsid w:val="006752FD"/>
    <w:rsid w:val="00677B82"/>
    <w:rsid w:val="0068007B"/>
    <w:rsid w:val="00683C3B"/>
    <w:rsid w:val="00684088"/>
    <w:rsid w:val="006934BA"/>
    <w:rsid w:val="0069530D"/>
    <w:rsid w:val="00695625"/>
    <w:rsid w:val="00695646"/>
    <w:rsid w:val="006A0BC3"/>
    <w:rsid w:val="006A1934"/>
    <w:rsid w:val="006A291A"/>
    <w:rsid w:val="006A7D1C"/>
    <w:rsid w:val="006B28E1"/>
    <w:rsid w:val="006B606D"/>
    <w:rsid w:val="006C06B9"/>
    <w:rsid w:val="006C08F4"/>
    <w:rsid w:val="006C71A6"/>
    <w:rsid w:val="006E1341"/>
    <w:rsid w:val="006E6A8D"/>
    <w:rsid w:val="006F3464"/>
    <w:rsid w:val="006F4FE7"/>
    <w:rsid w:val="006F71E4"/>
    <w:rsid w:val="00703D5A"/>
    <w:rsid w:val="007053D3"/>
    <w:rsid w:val="007143F6"/>
    <w:rsid w:val="007165F9"/>
    <w:rsid w:val="00717AB2"/>
    <w:rsid w:val="00720896"/>
    <w:rsid w:val="00722280"/>
    <w:rsid w:val="0072462C"/>
    <w:rsid w:val="0072602A"/>
    <w:rsid w:val="00727A20"/>
    <w:rsid w:val="00727A2F"/>
    <w:rsid w:val="00730261"/>
    <w:rsid w:val="007304C0"/>
    <w:rsid w:val="00733605"/>
    <w:rsid w:val="00744590"/>
    <w:rsid w:val="00745C59"/>
    <w:rsid w:val="00745F46"/>
    <w:rsid w:val="00747AC5"/>
    <w:rsid w:val="007571F9"/>
    <w:rsid w:val="00763281"/>
    <w:rsid w:val="00763E6A"/>
    <w:rsid w:val="00767913"/>
    <w:rsid w:val="00767CFE"/>
    <w:rsid w:val="007849A5"/>
    <w:rsid w:val="00786D09"/>
    <w:rsid w:val="0079136A"/>
    <w:rsid w:val="007917BE"/>
    <w:rsid w:val="00793451"/>
    <w:rsid w:val="00793A49"/>
    <w:rsid w:val="0079401A"/>
    <w:rsid w:val="00796A49"/>
    <w:rsid w:val="007A0D10"/>
    <w:rsid w:val="007A2369"/>
    <w:rsid w:val="007A471E"/>
    <w:rsid w:val="007B00CF"/>
    <w:rsid w:val="007B111D"/>
    <w:rsid w:val="007B2481"/>
    <w:rsid w:val="007B25BF"/>
    <w:rsid w:val="007C4EB4"/>
    <w:rsid w:val="007C5FBA"/>
    <w:rsid w:val="007D13A3"/>
    <w:rsid w:val="007D6822"/>
    <w:rsid w:val="007D6937"/>
    <w:rsid w:val="007E36CD"/>
    <w:rsid w:val="007E48E8"/>
    <w:rsid w:val="007E6F1F"/>
    <w:rsid w:val="007E7CC0"/>
    <w:rsid w:val="007F4953"/>
    <w:rsid w:val="007F75CC"/>
    <w:rsid w:val="008007B0"/>
    <w:rsid w:val="00800B3C"/>
    <w:rsid w:val="00806682"/>
    <w:rsid w:val="00810DF0"/>
    <w:rsid w:val="00811B81"/>
    <w:rsid w:val="00812235"/>
    <w:rsid w:val="00812F8C"/>
    <w:rsid w:val="00821422"/>
    <w:rsid w:val="008254C8"/>
    <w:rsid w:val="00825C6A"/>
    <w:rsid w:val="00826AD7"/>
    <w:rsid w:val="00830CE6"/>
    <w:rsid w:val="0083391E"/>
    <w:rsid w:val="0083571B"/>
    <w:rsid w:val="00840577"/>
    <w:rsid w:val="00840A30"/>
    <w:rsid w:val="00842CB0"/>
    <w:rsid w:val="00844043"/>
    <w:rsid w:val="0084474A"/>
    <w:rsid w:val="00844D23"/>
    <w:rsid w:val="008463E6"/>
    <w:rsid w:val="008477AE"/>
    <w:rsid w:val="008543E2"/>
    <w:rsid w:val="00854F0D"/>
    <w:rsid w:val="0085721F"/>
    <w:rsid w:val="00857829"/>
    <w:rsid w:val="008614B5"/>
    <w:rsid w:val="00861B18"/>
    <w:rsid w:val="00863150"/>
    <w:rsid w:val="00867D46"/>
    <w:rsid w:val="008715C0"/>
    <w:rsid w:val="00871E14"/>
    <w:rsid w:val="00874D88"/>
    <w:rsid w:val="008840FE"/>
    <w:rsid w:val="00885343"/>
    <w:rsid w:val="00885591"/>
    <w:rsid w:val="008857E6"/>
    <w:rsid w:val="008870BA"/>
    <w:rsid w:val="00887F05"/>
    <w:rsid w:val="008A091E"/>
    <w:rsid w:val="008A3186"/>
    <w:rsid w:val="008A3D77"/>
    <w:rsid w:val="008A780D"/>
    <w:rsid w:val="008B1DC3"/>
    <w:rsid w:val="008B222E"/>
    <w:rsid w:val="008B366D"/>
    <w:rsid w:val="008B4DDD"/>
    <w:rsid w:val="008C0CDD"/>
    <w:rsid w:val="008C40B2"/>
    <w:rsid w:val="008C5BA7"/>
    <w:rsid w:val="008C7F57"/>
    <w:rsid w:val="008D1CF9"/>
    <w:rsid w:val="008D2531"/>
    <w:rsid w:val="008D5DFB"/>
    <w:rsid w:val="008D6288"/>
    <w:rsid w:val="008E05F8"/>
    <w:rsid w:val="008E2B8D"/>
    <w:rsid w:val="008E30E4"/>
    <w:rsid w:val="008E4C49"/>
    <w:rsid w:val="008E5C8A"/>
    <w:rsid w:val="008F4D29"/>
    <w:rsid w:val="008F5923"/>
    <w:rsid w:val="00902ADB"/>
    <w:rsid w:val="0090397B"/>
    <w:rsid w:val="009057C9"/>
    <w:rsid w:val="00910D86"/>
    <w:rsid w:val="00911F43"/>
    <w:rsid w:val="00915E31"/>
    <w:rsid w:val="00915FD9"/>
    <w:rsid w:val="00915FDB"/>
    <w:rsid w:val="00920BF9"/>
    <w:rsid w:val="0092165D"/>
    <w:rsid w:val="0093197D"/>
    <w:rsid w:val="00937975"/>
    <w:rsid w:val="00940471"/>
    <w:rsid w:val="00940F35"/>
    <w:rsid w:val="00942134"/>
    <w:rsid w:val="00950D6F"/>
    <w:rsid w:val="0095246C"/>
    <w:rsid w:val="009524B6"/>
    <w:rsid w:val="009559A6"/>
    <w:rsid w:val="00957E5C"/>
    <w:rsid w:val="009605EF"/>
    <w:rsid w:val="0096388C"/>
    <w:rsid w:val="009702C0"/>
    <w:rsid w:val="0097055B"/>
    <w:rsid w:val="009722DB"/>
    <w:rsid w:val="009747CB"/>
    <w:rsid w:val="00976D99"/>
    <w:rsid w:val="00982EC6"/>
    <w:rsid w:val="0098384F"/>
    <w:rsid w:val="00985E16"/>
    <w:rsid w:val="00994B01"/>
    <w:rsid w:val="009953F1"/>
    <w:rsid w:val="00995E69"/>
    <w:rsid w:val="00996D8E"/>
    <w:rsid w:val="009A0A28"/>
    <w:rsid w:val="009A0D4E"/>
    <w:rsid w:val="009A5A54"/>
    <w:rsid w:val="009A7B94"/>
    <w:rsid w:val="009A7E43"/>
    <w:rsid w:val="009B00B2"/>
    <w:rsid w:val="009B0C90"/>
    <w:rsid w:val="009B1A4A"/>
    <w:rsid w:val="009B6B2C"/>
    <w:rsid w:val="009B7BA5"/>
    <w:rsid w:val="009B7C96"/>
    <w:rsid w:val="009C0C1C"/>
    <w:rsid w:val="009C7781"/>
    <w:rsid w:val="009C7E53"/>
    <w:rsid w:val="009D32D0"/>
    <w:rsid w:val="009D33E8"/>
    <w:rsid w:val="009D49FB"/>
    <w:rsid w:val="009E20D5"/>
    <w:rsid w:val="009E301C"/>
    <w:rsid w:val="009E3C91"/>
    <w:rsid w:val="009F3629"/>
    <w:rsid w:val="009F5009"/>
    <w:rsid w:val="009F77F3"/>
    <w:rsid w:val="00A01954"/>
    <w:rsid w:val="00A01E8B"/>
    <w:rsid w:val="00A04E72"/>
    <w:rsid w:val="00A11AAC"/>
    <w:rsid w:val="00A12193"/>
    <w:rsid w:val="00A17772"/>
    <w:rsid w:val="00A20E52"/>
    <w:rsid w:val="00A21F8E"/>
    <w:rsid w:val="00A236A6"/>
    <w:rsid w:val="00A319FF"/>
    <w:rsid w:val="00A322F1"/>
    <w:rsid w:val="00A35FFD"/>
    <w:rsid w:val="00A36A85"/>
    <w:rsid w:val="00A37A7C"/>
    <w:rsid w:val="00A41889"/>
    <w:rsid w:val="00A41D5B"/>
    <w:rsid w:val="00A4672A"/>
    <w:rsid w:val="00A4700A"/>
    <w:rsid w:val="00A5234A"/>
    <w:rsid w:val="00A543BE"/>
    <w:rsid w:val="00A5639E"/>
    <w:rsid w:val="00A639A4"/>
    <w:rsid w:val="00A64384"/>
    <w:rsid w:val="00A644C5"/>
    <w:rsid w:val="00A66E6E"/>
    <w:rsid w:val="00A7058C"/>
    <w:rsid w:val="00A76C27"/>
    <w:rsid w:val="00A81A3B"/>
    <w:rsid w:val="00A8387B"/>
    <w:rsid w:val="00A85139"/>
    <w:rsid w:val="00A87B0C"/>
    <w:rsid w:val="00A87B8F"/>
    <w:rsid w:val="00A87C90"/>
    <w:rsid w:val="00A92499"/>
    <w:rsid w:val="00A95935"/>
    <w:rsid w:val="00A95E00"/>
    <w:rsid w:val="00AA1CB8"/>
    <w:rsid w:val="00AA42C6"/>
    <w:rsid w:val="00AA6586"/>
    <w:rsid w:val="00AA6721"/>
    <w:rsid w:val="00AA7A2A"/>
    <w:rsid w:val="00AB1FC9"/>
    <w:rsid w:val="00AB305C"/>
    <w:rsid w:val="00AC046F"/>
    <w:rsid w:val="00AC0631"/>
    <w:rsid w:val="00AC4415"/>
    <w:rsid w:val="00AC7C3B"/>
    <w:rsid w:val="00AD0135"/>
    <w:rsid w:val="00AD1360"/>
    <w:rsid w:val="00AD19B0"/>
    <w:rsid w:val="00AD3F69"/>
    <w:rsid w:val="00AD7E9F"/>
    <w:rsid w:val="00AE1F0A"/>
    <w:rsid w:val="00AE53BD"/>
    <w:rsid w:val="00AE62D1"/>
    <w:rsid w:val="00AE7329"/>
    <w:rsid w:val="00AE79A7"/>
    <w:rsid w:val="00AF0AAA"/>
    <w:rsid w:val="00AF1BD2"/>
    <w:rsid w:val="00AF28C2"/>
    <w:rsid w:val="00AF3C45"/>
    <w:rsid w:val="00AF419D"/>
    <w:rsid w:val="00AF55CF"/>
    <w:rsid w:val="00AF5E81"/>
    <w:rsid w:val="00B0075E"/>
    <w:rsid w:val="00B01FDA"/>
    <w:rsid w:val="00B028F0"/>
    <w:rsid w:val="00B050EF"/>
    <w:rsid w:val="00B12E33"/>
    <w:rsid w:val="00B17E92"/>
    <w:rsid w:val="00B213D6"/>
    <w:rsid w:val="00B21858"/>
    <w:rsid w:val="00B2353F"/>
    <w:rsid w:val="00B23B48"/>
    <w:rsid w:val="00B26A9B"/>
    <w:rsid w:val="00B30233"/>
    <w:rsid w:val="00B30F5B"/>
    <w:rsid w:val="00B32DC9"/>
    <w:rsid w:val="00B361A3"/>
    <w:rsid w:val="00B36A68"/>
    <w:rsid w:val="00B373DB"/>
    <w:rsid w:val="00B37B90"/>
    <w:rsid w:val="00B4483B"/>
    <w:rsid w:val="00B44925"/>
    <w:rsid w:val="00B467D2"/>
    <w:rsid w:val="00B54F9F"/>
    <w:rsid w:val="00B57227"/>
    <w:rsid w:val="00B649A7"/>
    <w:rsid w:val="00B64B2E"/>
    <w:rsid w:val="00B651B6"/>
    <w:rsid w:val="00B676A8"/>
    <w:rsid w:val="00B6780B"/>
    <w:rsid w:val="00B6792D"/>
    <w:rsid w:val="00B700C3"/>
    <w:rsid w:val="00B77EDA"/>
    <w:rsid w:val="00B805F3"/>
    <w:rsid w:val="00B8131F"/>
    <w:rsid w:val="00B91F50"/>
    <w:rsid w:val="00B93C9F"/>
    <w:rsid w:val="00B94446"/>
    <w:rsid w:val="00B953B1"/>
    <w:rsid w:val="00B960FB"/>
    <w:rsid w:val="00BA04CF"/>
    <w:rsid w:val="00BA69CD"/>
    <w:rsid w:val="00BB158B"/>
    <w:rsid w:val="00BB2823"/>
    <w:rsid w:val="00BB2E78"/>
    <w:rsid w:val="00BB35C1"/>
    <w:rsid w:val="00BB46C1"/>
    <w:rsid w:val="00BB5EA8"/>
    <w:rsid w:val="00BB6770"/>
    <w:rsid w:val="00BB7998"/>
    <w:rsid w:val="00BC11DA"/>
    <w:rsid w:val="00BC2243"/>
    <w:rsid w:val="00BC2DE2"/>
    <w:rsid w:val="00BC6065"/>
    <w:rsid w:val="00BC7217"/>
    <w:rsid w:val="00BD2915"/>
    <w:rsid w:val="00BD62DA"/>
    <w:rsid w:val="00BE222B"/>
    <w:rsid w:val="00BE276D"/>
    <w:rsid w:val="00BE440F"/>
    <w:rsid w:val="00BE4C79"/>
    <w:rsid w:val="00BE76E5"/>
    <w:rsid w:val="00BF359E"/>
    <w:rsid w:val="00BF42B9"/>
    <w:rsid w:val="00BF4D38"/>
    <w:rsid w:val="00BF57CC"/>
    <w:rsid w:val="00BF7219"/>
    <w:rsid w:val="00BF74A5"/>
    <w:rsid w:val="00C02D30"/>
    <w:rsid w:val="00C031C6"/>
    <w:rsid w:val="00C03AAD"/>
    <w:rsid w:val="00C07742"/>
    <w:rsid w:val="00C10A60"/>
    <w:rsid w:val="00C15ADB"/>
    <w:rsid w:val="00C15F05"/>
    <w:rsid w:val="00C166CC"/>
    <w:rsid w:val="00C20625"/>
    <w:rsid w:val="00C20F67"/>
    <w:rsid w:val="00C32433"/>
    <w:rsid w:val="00C3353A"/>
    <w:rsid w:val="00C34357"/>
    <w:rsid w:val="00C4763B"/>
    <w:rsid w:val="00C51A2D"/>
    <w:rsid w:val="00C573BE"/>
    <w:rsid w:val="00C57AF3"/>
    <w:rsid w:val="00C604F6"/>
    <w:rsid w:val="00C60F1B"/>
    <w:rsid w:val="00C61D1A"/>
    <w:rsid w:val="00C62045"/>
    <w:rsid w:val="00C63005"/>
    <w:rsid w:val="00C64674"/>
    <w:rsid w:val="00C7445B"/>
    <w:rsid w:val="00C80DE1"/>
    <w:rsid w:val="00C817F7"/>
    <w:rsid w:val="00C82296"/>
    <w:rsid w:val="00C82C18"/>
    <w:rsid w:val="00C844E3"/>
    <w:rsid w:val="00C85F64"/>
    <w:rsid w:val="00C90CE5"/>
    <w:rsid w:val="00C92F3D"/>
    <w:rsid w:val="00C95E3D"/>
    <w:rsid w:val="00C96086"/>
    <w:rsid w:val="00C9711D"/>
    <w:rsid w:val="00CA2A0A"/>
    <w:rsid w:val="00CA6839"/>
    <w:rsid w:val="00CA6933"/>
    <w:rsid w:val="00CB45B4"/>
    <w:rsid w:val="00CB4CE2"/>
    <w:rsid w:val="00CC2AE5"/>
    <w:rsid w:val="00CC2B4B"/>
    <w:rsid w:val="00CC37AC"/>
    <w:rsid w:val="00CC6246"/>
    <w:rsid w:val="00CC633E"/>
    <w:rsid w:val="00CC7F8A"/>
    <w:rsid w:val="00CD0592"/>
    <w:rsid w:val="00CD218F"/>
    <w:rsid w:val="00CD6B56"/>
    <w:rsid w:val="00CD720E"/>
    <w:rsid w:val="00CD72BA"/>
    <w:rsid w:val="00CD7945"/>
    <w:rsid w:val="00CE2134"/>
    <w:rsid w:val="00CE2F10"/>
    <w:rsid w:val="00CE30AD"/>
    <w:rsid w:val="00CE3671"/>
    <w:rsid w:val="00CE453D"/>
    <w:rsid w:val="00CE4541"/>
    <w:rsid w:val="00CE743D"/>
    <w:rsid w:val="00CE7FC0"/>
    <w:rsid w:val="00CF46E7"/>
    <w:rsid w:val="00CF4824"/>
    <w:rsid w:val="00CF7340"/>
    <w:rsid w:val="00CF798E"/>
    <w:rsid w:val="00D11E9A"/>
    <w:rsid w:val="00D16DA7"/>
    <w:rsid w:val="00D2058B"/>
    <w:rsid w:val="00D20D37"/>
    <w:rsid w:val="00D23AD8"/>
    <w:rsid w:val="00D23F85"/>
    <w:rsid w:val="00D24817"/>
    <w:rsid w:val="00D24DD3"/>
    <w:rsid w:val="00D26DE8"/>
    <w:rsid w:val="00D27107"/>
    <w:rsid w:val="00D319F5"/>
    <w:rsid w:val="00D31D62"/>
    <w:rsid w:val="00D322C4"/>
    <w:rsid w:val="00D3788A"/>
    <w:rsid w:val="00D40426"/>
    <w:rsid w:val="00D413B1"/>
    <w:rsid w:val="00D45589"/>
    <w:rsid w:val="00D53787"/>
    <w:rsid w:val="00D53F1B"/>
    <w:rsid w:val="00D542F4"/>
    <w:rsid w:val="00D55075"/>
    <w:rsid w:val="00D57C94"/>
    <w:rsid w:val="00D612BD"/>
    <w:rsid w:val="00D61FA2"/>
    <w:rsid w:val="00D628C2"/>
    <w:rsid w:val="00D64660"/>
    <w:rsid w:val="00D65013"/>
    <w:rsid w:val="00D65700"/>
    <w:rsid w:val="00D676A4"/>
    <w:rsid w:val="00D706C1"/>
    <w:rsid w:val="00D84F4F"/>
    <w:rsid w:val="00D85439"/>
    <w:rsid w:val="00D86B6E"/>
    <w:rsid w:val="00D93BFC"/>
    <w:rsid w:val="00D941CA"/>
    <w:rsid w:val="00DA0197"/>
    <w:rsid w:val="00DA2B06"/>
    <w:rsid w:val="00DA4A9F"/>
    <w:rsid w:val="00DA7DBA"/>
    <w:rsid w:val="00DB08DB"/>
    <w:rsid w:val="00DB4D25"/>
    <w:rsid w:val="00DB7006"/>
    <w:rsid w:val="00DC474D"/>
    <w:rsid w:val="00DC5E81"/>
    <w:rsid w:val="00DC6072"/>
    <w:rsid w:val="00DD01AA"/>
    <w:rsid w:val="00DD0AA5"/>
    <w:rsid w:val="00DD0E6C"/>
    <w:rsid w:val="00DD1D0C"/>
    <w:rsid w:val="00DD4B75"/>
    <w:rsid w:val="00DD5729"/>
    <w:rsid w:val="00DD625F"/>
    <w:rsid w:val="00DE08FA"/>
    <w:rsid w:val="00DE0A1D"/>
    <w:rsid w:val="00DE2D2A"/>
    <w:rsid w:val="00DE3674"/>
    <w:rsid w:val="00DE3D31"/>
    <w:rsid w:val="00DF0E7B"/>
    <w:rsid w:val="00DF761B"/>
    <w:rsid w:val="00DF79E5"/>
    <w:rsid w:val="00E00711"/>
    <w:rsid w:val="00E05B76"/>
    <w:rsid w:val="00E06DE0"/>
    <w:rsid w:val="00E11DF3"/>
    <w:rsid w:val="00E14690"/>
    <w:rsid w:val="00E15C0A"/>
    <w:rsid w:val="00E15CA4"/>
    <w:rsid w:val="00E22D2B"/>
    <w:rsid w:val="00E22DE6"/>
    <w:rsid w:val="00E22E87"/>
    <w:rsid w:val="00E23806"/>
    <w:rsid w:val="00E308C7"/>
    <w:rsid w:val="00E30A3B"/>
    <w:rsid w:val="00E370F7"/>
    <w:rsid w:val="00E459C9"/>
    <w:rsid w:val="00E46B36"/>
    <w:rsid w:val="00E51A52"/>
    <w:rsid w:val="00E568AA"/>
    <w:rsid w:val="00E57020"/>
    <w:rsid w:val="00E60507"/>
    <w:rsid w:val="00E62ED6"/>
    <w:rsid w:val="00E63002"/>
    <w:rsid w:val="00E707C8"/>
    <w:rsid w:val="00E72062"/>
    <w:rsid w:val="00E767ED"/>
    <w:rsid w:val="00E84D97"/>
    <w:rsid w:val="00E90348"/>
    <w:rsid w:val="00E92650"/>
    <w:rsid w:val="00E955F8"/>
    <w:rsid w:val="00E97A04"/>
    <w:rsid w:val="00EA1A89"/>
    <w:rsid w:val="00EA390E"/>
    <w:rsid w:val="00EA4B51"/>
    <w:rsid w:val="00EB00FF"/>
    <w:rsid w:val="00EB101F"/>
    <w:rsid w:val="00EB40C6"/>
    <w:rsid w:val="00EC6977"/>
    <w:rsid w:val="00ED2A1B"/>
    <w:rsid w:val="00ED5568"/>
    <w:rsid w:val="00ED649E"/>
    <w:rsid w:val="00EE069B"/>
    <w:rsid w:val="00EE5F15"/>
    <w:rsid w:val="00EE76F8"/>
    <w:rsid w:val="00EF007D"/>
    <w:rsid w:val="00EF0CD6"/>
    <w:rsid w:val="00EF5490"/>
    <w:rsid w:val="00EF5E33"/>
    <w:rsid w:val="00EF65A2"/>
    <w:rsid w:val="00F00397"/>
    <w:rsid w:val="00F00B2C"/>
    <w:rsid w:val="00F01AF3"/>
    <w:rsid w:val="00F01DCA"/>
    <w:rsid w:val="00F03A12"/>
    <w:rsid w:val="00F14888"/>
    <w:rsid w:val="00F14A1A"/>
    <w:rsid w:val="00F1774E"/>
    <w:rsid w:val="00F17CD8"/>
    <w:rsid w:val="00F202E3"/>
    <w:rsid w:val="00F22892"/>
    <w:rsid w:val="00F2405C"/>
    <w:rsid w:val="00F249E3"/>
    <w:rsid w:val="00F26044"/>
    <w:rsid w:val="00F32F7A"/>
    <w:rsid w:val="00F379A6"/>
    <w:rsid w:val="00F40D99"/>
    <w:rsid w:val="00F4467B"/>
    <w:rsid w:val="00F46B45"/>
    <w:rsid w:val="00F47CD3"/>
    <w:rsid w:val="00F51480"/>
    <w:rsid w:val="00F51878"/>
    <w:rsid w:val="00F521C2"/>
    <w:rsid w:val="00F6246B"/>
    <w:rsid w:val="00F62C20"/>
    <w:rsid w:val="00F63225"/>
    <w:rsid w:val="00F65C6B"/>
    <w:rsid w:val="00F678A0"/>
    <w:rsid w:val="00F72012"/>
    <w:rsid w:val="00F723F8"/>
    <w:rsid w:val="00F729B5"/>
    <w:rsid w:val="00F74F1F"/>
    <w:rsid w:val="00F7523A"/>
    <w:rsid w:val="00F75623"/>
    <w:rsid w:val="00F77775"/>
    <w:rsid w:val="00F8231A"/>
    <w:rsid w:val="00F90FF0"/>
    <w:rsid w:val="00F931AC"/>
    <w:rsid w:val="00F96511"/>
    <w:rsid w:val="00F97B2D"/>
    <w:rsid w:val="00FA1D7D"/>
    <w:rsid w:val="00FA42C2"/>
    <w:rsid w:val="00FA5573"/>
    <w:rsid w:val="00FB2449"/>
    <w:rsid w:val="00FB27CE"/>
    <w:rsid w:val="00FB2D1E"/>
    <w:rsid w:val="00FB2E73"/>
    <w:rsid w:val="00FB3320"/>
    <w:rsid w:val="00FB5829"/>
    <w:rsid w:val="00FB7402"/>
    <w:rsid w:val="00FC06A4"/>
    <w:rsid w:val="00FD0A9E"/>
    <w:rsid w:val="00FD3CE9"/>
    <w:rsid w:val="00FD3F9D"/>
    <w:rsid w:val="00FD47C8"/>
    <w:rsid w:val="00FD4F40"/>
    <w:rsid w:val="00FD6146"/>
    <w:rsid w:val="00FD7D1A"/>
    <w:rsid w:val="00FE0701"/>
    <w:rsid w:val="00FE0B72"/>
    <w:rsid w:val="00FE136F"/>
    <w:rsid w:val="00FE4857"/>
    <w:rsid w:val="00FF17BF"/>
    <w:rsid w:val="00FF34E7"/>
    <w:rsid w:val="00FF4D0B"/>
    <w:rsid w:val="00FF4E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8B3E6"/>
  <w15:chartTrackingRefBased/>
  <w15:docId w15:val="{71DE1B38-C9D0-D346-B4B8-A7A5BE22E1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21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121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121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21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21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21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21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21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21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21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121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121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21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21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21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21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21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2193"/>
    <w:rPr>
      <w:rFonts w:eastAsiaTheme="majorEastAsia" w:cstheme="majorBidi"/>
      <w:color w:val="272727" w:themeColor="text1" w:themeTint="D8"/>
    </w:rPr>
  </w:style>
  <w:style w:type="paragraph" w:styleId="Title">
    <w:name w:val="Title"/>
    <w:basedOn w:val="Normal"/>
    <w:next w:val="Normal"/>
    <w:link w:val="TitleChar"/>
    <w:uiPriority w:val="10"/>
    <w:qFormat/>
    <w:rsid w:val="00A121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21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21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21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2193"/>
    <w:pPr>
      <w:spacing w:before="160"/>
      <w:jc w:val="center"/>
    </w:pPr>
    <w:rPr>
      <w:i/>
      <w:iCs/>
      <w:color w:val="404040" w:themeColor="text1" w:themeTint="BF"/>
    </w:rPr>
  </w:style>
  <w:style w:type="character" w:customStyle="1" w:styleId="QuoteChar">
    <w:name w:val="Quote Char"/>
    <w:basedOn w:val="DefaultParagraphFont"/>
    <w:link w:val="Quote"/>
    <w:uiPriority w:val="29"/>
    <w:rsid w:val="00A12193"/>
    <w:rPr>
      <w:i/>
      <w:iCs/>
      <w:color w:val="404040" w:themeColor="text1" w:themeTint="BF"/>
    </w:rPr>
  </w:style>
  <w:style w:type="paragraph" w:styleId="ListParagraph">
    <w:name w:val="List Paragraph"/>
    <w:basedOn w:val="Normal"/>
    <w:uiPriority w:val="34"/>
    <w:qFormat/>
    <w:rsid w:val="00A12193"/>
    <w:pPr>
      <w:ind w:left="720"/>
      <w:contextualSpacing/>
    </w:pPr>
  </w:style>
  <w:style w:type="character" w:styleId="IntenseEmphasis">
    <w:name w:val="Intense Emphasis"/>
    <w:basedOn w:val="DefaultParagraphFont"/>
    <w:uiPriority w:val="21"/>
    <w:qFormat/>
    <w:rsid w:val="00A12193"/>
    <w:rPr>
      <w:i/>
      <w:iCs/>
      <w:color w:val="0F4761" w:themeColor="accent1" w:themeShade="BF"/>
    </w:rPr>
  </w:style>
  <w:style w:type="paragraph" w:styleId="IntenseQuote">
    <w:name w:val="Intense Quote"/>
    <w:basedOn w:val="Normal"/>
    <w:next w:val="Normal"/>
    <w:link w:val="IntenseQuoteChar"/>
    <w:uiPriority w:val="30"/>
    <w:qFormat/>
    <w:rsid w:val="00A121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2193"/>
    <w:rPr>
      <w:i/>
      <w:iCs/>
      <w:color w:val="0F4761" w:themeColor="accent1" w:themeShade="BF"/>
    </w:rPr>
  </w:style>
  <w:style w:type="character" w:styleId="IntenseReference">
    <w:name w:val="Intense Reference"/>
    <w:basedOn w:val="DefaultParagraphFont"/>
    <w:uiPriority w:val="32"/>
    <w:qFormat/>
    <w:rsid w:val="00A12193"/>
    <w:rPr>
      <w:b/>
      <w:bCs/>
      <w:smallCaps/>
      <w:color w:val="0F4761" w:themeColor="accent1" w:themeShade="BF"/>
      <w:spacing w:val="5"/>
    </w:rPr>
  </w:style>
  <w:style w:type="paragraph" w:styleId="NoSpacing">
    <w:name w:val="No Spacing"/>
    <w:link w:val="NoSpacingChar"/>
    <w:uiPriority w:val="1"/>
    <w:qFormat/>
    <w:rsid w:val="00A12193"/>
    <w:pPr>
      <w:spacing w:after="0" w:line="240" w:lineRule="auto"/>
    </w:pPr>
    <w:rPr>
      <w:rFonts w:eastAsiaTheme="minorEastAsia"/>
      <w:kern w:val="0"/>
      <w:sz w:val="22"/>
      <w:szCs w:val="22"/>
      <w:lang w:eastAsia="zh-CN"/>
      <w14:ligatures w14:val="none"/>
    </w:rPr>
  </w:style>
  <w:style w:type="character" w:customStyle="1" w:styleId="NoSpacingChar">
    <w:name w:val="No Spacing Char"/>
    <w:basedOn w:val="DefaultParagraphFont"/>
    <w:link w:val="NoSpacing"/>
    <w:uiPriority w:val="1"/>
    <w:rsid w:val="00A12193"/>
    <w:rPr>
      <w:rFonts w:eastAsiaTheme="minorEastAsia"/>
      <w:kern w:val="0"/>
      <w:sz w:val="22"/>
      <w:szCs w:val="22"/>
      <w:lang w:eastAsia="zh-CN"/>
      <w14:ligatures w14:val="none"/>
    </w:rPr>
  </w:style>
  <w:style w:type="paragraph" w:styleId="Header">
    <w:name w:val="header"/>
    <w:basedOn w:val="Normal"/>
    <w:link w:val="HeaderChar"/>
    <w:uiPriority w:val="99"/>
    <w:unhideWhenUsed/>
    <w:rsid w:val="00A1219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12193"/>
  </w:style>
  <w:style w:type="paragraph" w:styleId="Footer">
    <w:name w:val="footer"/>
    <w:basedOn w:val="Normal"/>
    <w:link w:val="FooterChar"/>
    <w:uiPriority w:val="99"/>
    <w:unhideWhenUsed/>
    <w:rsid w:val="00A121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2193"/>
  </w:style>
  <w:style w:type="paragraph" w:styleId="Revision">
    <w:name w:val="Revision"/>
    <w:hidden/>
    <w:uiPriority w:val="99"/>
    <w:semiHidden/>
    <w:rsid w:val="00A12193"/>
    <w:pPr>
      <w:spacing w:after="0" w:line="240" w:lineRule="auto"/>
    </w:pPr>
  </w:style>
  <w:style w:type="character" w:styleId="PageNumber">
    <w:name w:val="page number"/>
    <w:basedOn w:val="DefaultParagraphFont"/>
    <w:uiPriority w:val="99"/>
    <w:semiHidden/>
    <w:unhideWhenUsed/>
    <w:rsid w:val="004767A2"/>
  </w:style>
  <w:style w:type="paragraph" w:customStyle="1" w:styleId="p1">
    <w:name w:val="p1"/>
    <w:basedOn w:val="Normal"/>
    <w:rsid w:val="00211DB3"/>
    <w:pPr>
      <w:spacing w:before="100" w:beforeAutospacing="1" w:after="100" w:afterAutospacing="1" w:line="240" w:lineRule="auto"/>
    </w:pPr>
    <w:rPr>
      <w:rFonts w:ascii="Times New Roman" w:eastAsiaTheme="minorEastAsia" w:hAnsi="Times New Roman" w:cs="Times New Roman"/>
      <w:kern w:val="0"/>
      <w14:ligatures w14:val="none"/>
    </w:rPr>
  </w:style>
  <w:style w:type="character" w:customStyle="1" w:styleId="s1">
    <w:name w:val="s1"/>
    <w:basedOn w:val="DefaultParagraphFont"/>
    <w:rsid w:val="00211DB3"/>
  </w:style>
  <w:style w:type="character" w:customStyle="1" w:styleId="apple-converted-space">
    <w:name w:val="apple-converted-space"/>
    <w:basedOn w:val="DefaultParagraphFont"/>
    <w:rsid w:val="00211DB3"/>
  </w:style>
  <w:style w:type="character" w:customStyle="1" w:styleId="s2">
    <w:name w:val="s2"/>
    <w:basedOn w:val="DefaultParagraphFont"/>
    <w:rsid w:val="00C51A2D"/>
  </w:style>
  <w:style w:type="paragraph" w:customStyle="1" w:styleId="p2">
    <w:name w:val="p2"/>
    <w:basedOn w:val="Normal"/>
    <w:rsid w:val="00C51A2D"/>
    <w:pPr>
      <w:spacing w:before="100" w:beforeAutospacing="1" w:after="100" w:afterAutospacing="1" w:line="240" w:lineRule="auto"/>
    </w:pPr>
    <w:rPr>
      <w:rFonts w:ascii="Times New Roman" w:eastAsiaTheme="minorEastAsia" w:hAnsi="Times New Roman" w:cs="Times New Roman"/>
      <w:kern w:val="0"/>
      <w14:ligatures w14:val="none"/>
    </w:rPr>
  </w:style>
  <w:style w:type="table" w:styleId="TableGrid">
    <w:name w:val="Table Grid"/>
    <w:basedOn w:val="TableNormal"/>
    <w:uiPriority w:val="39"/>
    <w:rsid w:val="00C51A2D"/>
    <w:pPr>
      <w:spacing w:after="0" w:line="240" w:lineRule="auto"/>
    </w:pPr>
    <w:rPr>
      <w:rFonts w:eastAsiaTheme="minorEastAsia"/>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F4D29"/>
    <w:rPr>
      <w:color w:val="0000FF"/>
      <w:u w:val="single"/>
    </w:rPr>
  </w:style>
  <w:style w:type="character" w:customStyle="1" w:styleId="findhit">
    <w:name w:val="findhit"/>
    <w:basedOn w:val="DefaultParagraphFont"/>
    <w:rsid w:val="008F4D29"/>
  </w:style>
  <w:style w:type="character" w:customStyle="1" w:styleId="normaltextrun">
    <w:name w:val="normaltextrun"/>
    <w:basedOn w:val="DefaultParagraphFont"/>
    <w:rsid w:val="008F4D29"/>
  </w:style>
  <w:style w:type="character" w:customStyle="1" w:styleId="eop">
    <w:name w:val="eop"/>
    <w:basedOn w:val="DefaultParagraphFont"/>
    <w:rsid w:val="008F4D29"/>
  </w:style>
  <w:style w:type="paragraph" w:customStyle="1" w:styleId="paragraph">
    <w:name w:val="paragraph"/>
    <w:basedOn w:val="Normal"/>
    <w:rsid w:val="008F4D29"/>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scxw32346941">
    <w:name w:val="scxw32346941"/>
    <w:basedOn w:val="DefaultParagraphFont"/>
    <w:rsid w:val="008F4D29"/>
  </w:style>
  <w:style w:type="character" w:styleId="FollowedHyperlink">
    <w:name w:val="FollowedHyperlink"/>
    <w:basedOn w:val="DefaultParagraphFont"/>
    <w:uiPriority w:val="99"/>
    <w:semiHidden/>
    <w:unhideWhenUsed/>
    <w:rsid w:val="008F4D29"/>
    <w:rPr>
      <w:color w:val="96607D" w:themeColor="followedHyperlink"/>
      <w:u w:val="single"/>
    </w:rPr>
  </w:style>
  <w:style w:type="paragraph" w:styleId="TOCHeading">
    <w:name w:val="TOC Heading"/>
    <w:basedOn w:val="Heading1"/>
    <w:next w:val="Normal"/>
    <w:uiPriority w:val="39"/>
    <w:unhideWhenUsed/>
    <w:qFormat/>
    <w:rsid w:val="008E30E4"/>
    <w:pPr>
      <w:spacing w:before="480" w:after="0" w:line="276" w:lineRule="auto"/>
      <w:outlineLvl w:val="9"/>
    </w:pPr>
    <w:rPr>
      <w:b/>
      <w:bCs/>
      <w:kern w:val="0"/>
      <w:sz w:val="28"/>
      <w:szCs w:val="28"/>
      <w14:ligatures w14:val="none"/>
    </w:rPr>
  </w:style>
  <w:style w:type="paragraph" w:styleId="TOC1">
    <w:name w:val="toc 1"/>
    <w:basedOn w:val="Normal"/>
    <w:next w:val="Normal"/>
    <w:autoRedefine/>
    <w:uiPriority w:val="39"/>
    <w:unhideWhenUsed/>
    <w:rsid w:val="008E30E4"/>
    <w:pPr>
      <w:spacing w:after="100"/>
    </w:pPr>
  </w:style>
  <w:style w:type="paragraph" w:styleId="TOC2">
    <w:name w:val="toc 2"/>
    <w:basedOn w:val="Normal"/>
    <w:next w:val="Normal"/>
    <w:autoRedefine/>
    <w:uiPriority w:val="39"/>
    <w:unhideWhenUsed/>
    <w:rsid w:val="008E30E4"/>
    <w:pPr>
      <w:spacing w:after="100"/>
      <w:ind w:left="240"/>
    </w:pPr>
  </w:style>
  <w:style w:type="paragraph" w:styleId="TOC3">
    <w:name w:val="toc 3"/>
    <w:basedOn w:val="Normal"/>
    <w:next w:val="Normal"/>
    <w:autoRedefine/>
    <w:uiPriority w:val="39"/>
    <w:unhideWhenUsed/>
    <w:rsid w:val="008E30E4"/>
    <w:pPr>
      <w:spacing w:after="100"/>
      <w:ind w:left="480"/>
    </w:pPr>
  </w:style>
  <w:style w:type="character" w:styleId="UnresolvedMention">
    <w:name w:val="Unresolved Mention"/>
    <w:basedOn w:val="DefaultParagraphFont"/>
    <w:uiPriority w:val="99"/>
    <w:semiHidden/>
    <w:unhideWhenUsed/>
    <w:rsid w:val="008D6288"/>
    <w:rPr>
      <w:color w:val="605E5C"/>
      <w:shd w:val="clear" w:color="auto" w:fill="E1DFDD"/>
    </w:rPr>
  </w:style>
  <w:style w:type="paragraph" w:styleId="EndnoteText">
    <w:name w:val="endnote text"/>
    <w:basedOn w:val="Normal"/>
    <w:link w:val="EndnoteTextChar"/>
    <w:uiPriority w:val="99"/>
    <w:semiHidden/>
    <w:unhideWhenUsed/>
    <w:rsid w:val="00D6466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D64660"/>
    <w:rPr>
      <w:sz w:val="20"/>
      <w:szCs w:val="20"/>
    </w:rPr>
  </w:style>
  <w:style w:type="character" w:styleId="EndnoteReference">
    <w:name w:val="endnote reference"/>
    <w:basedOn w:val="DefaultParagraphFont"/>
    <w:uiPriority w:val="99"/>
    <w:semiHidden/>
    <w:unhideWhenUsed/>
    <w:rsid w:val="00D64660"/>
    <w:rPr>
      <w:vertAlign w:val="superscript"/>
    </w:rPr>
  </w:style>
  <w:style w:type="paragraph" w:customStyle="1" w:styleId="p3">
    <w:name w:val="p3"/>
    <w:basedOn w:val="Normal"/>
    <w:rsid w:val="00767CFE"/>
    <w:pPr>
      <w:spacing w:before="100" w:beforeAutospacing="1" w:after="100" w:afterAutospacing="1" w:line="240" w:lineRule="auto"/>
    </w:pPr>
    <w:rPr>
      <w:rFonts w:ascii="Times New Roman" w:eastAsiaTheme="minorEastAsia" w:hAnsi="Times New Roman" w:cs="Times New Roman"/>
      <w:kern w:val="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3.png"/><Relationship Id="rId21" Type="http://schemas.openxmlformats.org/officeDocument/2006/relationships/image" Target="media/image8.png"/><Relationship Id="rId42" Type="http://schemas.openxmlformats.org/officeDocument/2006/relationships/image" Target="media/image29.png"/><Relationship Id="rId47" Type="http://schemas.openxmlformats.org/officeDocument/2006/relationships/image" Target="media/image34.png"/><Relationship Id="rId63" Type="http://schemas.openxmlformats.org/officeDocument/2006/relationships/image" Target="media/image50.png"/><Relationship Id="rId68" Type="http://schemas.openxmlformats.org/officeDocument/2006/relationships/fontTable" Target="fontTable.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doi.org/10.1055/a-1936-5270" TargetMode="External"/><Relationship Id="rId29" Type="http://schemas.openxmlformats.org/officeDocument/2006/relationships/image" Target="media/image16.png"/><Relationship Id="rId11" Type="http://schemas.openxmlformats.org/officeDocument/2006/relationships/image" Target="media/image2.tiff"/><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image" Target="media/image32.png"/><Relationship Id="rId53" Type="http://schemas.openxmlformats.org/officeDocument/2006/relationships/image" Target="media/image40.png"/><Relationship Id="rId58" Type="http://schemas.openxmlformats.org/officeDocument/2006/relationships/image" Target="media/image45.png"/><Relationship Id="rId66" Type="http://schemas.openxmlformats.org/officeDocument/2006/relationships/image" Target="media/image53.png"/><Relationship Id="rId5" Type="http://schemas.openxmlformats.org/officeDocument/2006/relationships/footnotes" Target="footnotes.xml"/><Relationship Id="rId61" Type="http://schemas.openxmlformats.org/officeDocument/2006/relationships/image" Target="media/image48.png"/><Relationship Id="rId19" Type="http://schemas.openxmlformats.org/officeDocument/2006/relationships/hyperlink" Target="https://doi.org/10.2165/00007256-200232030-00003" TargetMode="External"/><Relationship Id="rId14" Type="http://schemas.openxmlformats.org/officeDocument/2006/relationships/image" Target="media/image5.tiff"/><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image" Target="media/image30.png"/><Relationship Id="rId48" Type="http://schemas.openxmlformats.org/officeDocument/2006/relationships/image" Target="media/image35.png"/><Relationship Id="rId56" Type="http://schemas.openxmlformats.org/officeDocument/2006/relationships/image" Target="media/image43.png"/><Relationship Id="rId64" Type="http://schemas.openxmlformats.org/officeDocument/2006/relationships/image" Target="media/image51.png"/><Relationship Id="rId69" Type="http://schemas.openxmlformats.org/officeDocument/2006/relationships/theme" Target="theme/theme1.xml"/><Relationship Id="rId8" Type="http://schemas.openxmlformats.org/officeDocument/2006/relationships/header" Target="header1.xml"/><Relationship Id="rId51" Type="http://schemas.openxmlformats.org/officeDocument/2006/relationships/image" Target="media/image38.png"/><Relationship Id="rId3" Type="http://schemas.openxmlformats.org/officeDocument/2006/relationships/settings" Target="settings.xml"/><Relationship Id="rId12" Type="http://schemas.openxmlformats.org/officeDocument/2006/relationships/image" Target="media/image3.tiff"/><Relationship Id="rId17" Type="http://schemas.openxmlformats.org/officeDocument/2006/relationships/hyperlink" Target="https://doi.org/10.1186/1476-511X-13-99" TargetMode="External"/><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3.png"/><Relationship Id="rId59" Type="http://schemas.openxmlformats.org/officeDocument/2006/relationships/image" Target="media/image46.png"/><Relationship Id="rId67" Type="http://schemas.openxmlformats.org/officeDocument/2006/relationships/footer" Target="footer2.xml"/><Relationship Id="rId20" Type="http://schemas.openxmlformats.org/officeDocument/2006/relationships/image" Target="media/image7.png"/><Relationship Id="rId41" Type="http://schemas.openxmlformats.org/officeDocument/2006/relationships/image" Target="media/image28.png"/><Relationship Id="rId54" Type="http://schemas.openxmlformats.org/officeDocument/2006/relationships/image" Target="media/image41.png"/><Relationship Id="rId62" Type="http://schemas.openxmlformats.org/officeDocument/2006/relationships/image" Target="media/image49.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6.tiff"/><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49" Type="http://schemas.openxmlformats.org/officeDocument/2006/relationships/image" Target="media/image36.png"/><Relationship Id="rId57" Type="http://schemas.openxmlformats.org/officeDocument/2006/relationships/image" Target="media/image44.png"/><Relationship Id="rId10" Type="http://schemas.openxmlformats.org/officeDocument/2006/relationships/header" Target="header2.xml"/><Relationship Id="rId31" Type="http://schemas.openxmlformats.org/officeDocument/2006/relationships/image" Target="media/image18.png"/><Relationship Id="rId44" Type="http://schemas.openxmlformats.org/officeDocument/2006/relationships/image" Target="media/image31.png"/><Relationship Id="rId52" Type="http://schemas.openxmlformats.org/officeDocument/2006/relationships/image" Target="media/image39.png"/><Relationship Id="rId60" Type="http://schemas.openxmlformats.org/officeDocument/2006/relationships/image" Target="media/image47.png"/><Relationship Id="rId65" Type="http://schemas.openxmlformats.org/officeDocument/2006/relationships/image" Target="media/image52.png"/><Relationship Id="rId4" Type="http://schemas.openxmlformats.org/officeDocument/2006/relationships/webSettings" Target="webSettings.xml"/><Relationship Id="rId9" Type="http://schemas.openxmlformats.org/officeDocument/2006/relationships/footer" Target="footer1.xml"/><Relationship Id="rId13" Type="http://schemas.openxmlformats.org/officeDocument/2006/relationships/image" Target="media/image4.tiff"/><Relationship Id="rId18" Type="http://schemas.openxmlformats.org/officeDocument/2006/relationships/hyperlink" Target="https://doi.org/10.5281/zenodo.887089" TargetMode="External"/><Relationship Id="rId39" Type="http://schemas.openxmlformats.org/officeDocument/2006/relationships/image" Target="media/image26.png"/><Relationship Id="rId34" Type="http://schemas.openxmlformats.org/officeDocument/2006/relationships/image" Target="media/image21.png"/><Relationship Id="rId50" Type="http://schemas.openxmlformats.org/officeDocument/2006/relationships/image" Target="media/image37.png"/><Relationship Id="rId55" Type="http://schemas.openxmlformats.org/officeDocument/2006/relationships/image" Target="media/image4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192</Pages>
  <Words>37012</Words>
  <Characters>210969</Characters>
  <Application>Microsoft Office Word</Application>
  <DocSecurity>0</DocSecurity>
  <Lines>1758</Lines>
  <Paragraphs>494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dc:title>
  <dc:subject>MSc Sport and Exercise Nutrition</dc:subject>
  <dc:creator>Ioan Rhys Lewis (0401890)</dc:creator>
  <cp:keywords/>
  <dc:description/>
  <cp:lastModifiedBy>Ioan Lewis (0401890)</cp:lastModifiedBy>
  <cp:revision>2</cp:revision>
  <dcterms:created xsi:type="dcterms:W3CDTF">2026-04-27T20:41:00Z</dcterms:created>
  <dcterms:modified xsi:type="dcterms:W3CDTF">2026-04-27T20:41:00Z</dcterms:modified>
</cp:coreProperties>
</file>