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06AD2" w14:textId="77777777" w:rsidR="00042291" w:rsidRPr="00B82AB7" w:rsidRDefault="00042291" w:rsidP="002648D5">
      <w:pPr>
        <w:spacing w:line="360" w:lineRule="auto"/>
        <w:jc w:val="both"/>
        <w:rPr>
          <w:rFonts w:ascii="Times New Roman" w:hAnsi="Times New Roman" w:cs="Times New Roman"/>
          <w:b/>
          <w:bCs/>
          <w:sz w:val="36"/>
          <w:szCs w:val="40"/>
        </w:rPr>
      </w:pPr>
    </w:p>
    <w:p w14:paraId="583DADA2" w14:textId="78EE3E7E" w:rsidR="00FB1D49" w:rsidRPr="00B82AB7" w:rsidRDefault="000D455D" w:rsidP="002648D5">
      <w:pPr>
        <w:spacing w:line="360" w:lineRule="auto"/>
        <w:jc w:val="center"/>
        <w:rPr>
          <w:rFonts w:ascii="Times New Roman" w:hAnsi="Times New Roman" w:cs="Times New Roman"/>
          <w:b/>
          <w:bCs/>
          <w:sz w:val="36"/>
          <w:szCs w:val="40"/>
        </w:rPr>
      </w:pPr>
      <w:r w:rsidRPr="00B82AB7">
        <w:rPr>
          <w:rFonts w:ascii="Times New Roman" w:hAnsi="Times New Roman" w:cs="Times New Roman"/>
          <w:b/>
          <w:bCs/>
          <w:sz w:val="36"/>
          <w:szCs w:val="40"/>
        </w:rPr>
        <w:t>Dissertation – Proposal</w:t>
      </w:r>
    </w:p>
    <w:p w14:paraId="0F3B3469" w14:textId="1BED698B" w:rsidR="000D455D" w:rsidRPr="00B82AB7" w:rsidRDefault="000D455D" w:rsidP="002648D5">
      <w:pPr>
        <w:spacing w:line="360" w:lineRule="auto"/>
        <w:jc w:val="center"/>
        <w:rPr>
          <w:rFonts w:ascii="Times New Roman" w:hAnsi="Times New Roman" w:cs="Times New Roman"/>
          <w:b/>
          <w:bCs/>
          <w:sz w:val="36"/>
          <w:szCs w:val="40"/>
        </w:rPr>
      </w:pPr>
      <w:r w:rsidRPr="00B82AB7">
        <w:rPr>
          <w:rFonts w:ascii="Times New Roman" w:hAnsi="Times New Roman" w:cs="Times New Roman"/>
          <w:b/>
          <w:bCs/>
          <w:sz w:val="36"/>
          <w:szCs w:val="40"/>
        </w:rPr>
        <w:t>LCBB6000</w:t>
      </w:r>
      <w:r w:rsidR="00F230DD" w:rsidRPr="00B82AB7">
        <w:rPr>
          <w:rFonts w:ascii="Times New Roman" w:hAnsi="Times New Roman" w:cs="Times New Roman"/>
          <w:b/>
          <w:bCs/>
          <w:sz w:val="36"/>
          <w:szCs w:val="40"/>
        </w:rPr>
        <w:t>_BIRM</w:t>
      </w:r>
    </w:p>
    <w:p w14:paraId="7BD7E638" w14:textId="16BDE029" w:rsidR="000F43DB" w:rsidRPr="00B82AB7" w:rsidRDefault="000F43DB" w:rsidP="002648D5">
      <w:pPr>
        <w:spacing w:line="360" w:lineRule="auto"/>
        <w:jc w:val="center"/>
        <w:rPr>
          <w:rFonts w:ascii="Times New Roman" w:hAnsi="Times New Roman" w:cs="Times New Roman"/>
          <w:b/>
          <w:bCs/>
          <w:sz w:val="36"/>
          <w:szCs w:val="40"/>
        </w:rPr>
      </w:pPr>
      <w:r w:rsidRPr="00B82AB7">
        <w:rPr>
          <w:rFonts w:ascii="Times New Roman" w:hAnsi="Times New Roman" w:cs="Times New Roman"/>
          <w:b/>
          <w:bCs/>
          <w:sz w:val="36"/>
          <w:szCs w:val="40"/>
        </w:rPr>
        <w:t xml:space="preserve"> Business Management</w:t>
      </w:r>
    </w:p>
    <w:p w14:paraId="1502A568" w14:textId="2ABFDD76" w:rsidR="00F230DD" w:rsidRPr="00B82AB7" w:rsidRDefault="00F230DD" w:rsidP="002648D5">
      <w:pPr>
        <w:spacing w:line="360" w:lineRule="auto"/>
        <w:jc w:val="center"/>
        <w:rPr>
          <w:rFonts w:ascii="Times New Roman" w:hAnsi="Times New Roman" w:cs="Times New Roman"/>
          <w:b/>
          <w:bCs/>
          <w:sz w:val="36"/>
          <w:szCs w:val="40"/>
        </w:rPr>
      </w:pPr>
    </w:p>
    <w:p w14:paraId="2C0C0839" w14:textId="6C8833AE" w:rsidR="000D455D" w:rsidRPr="00B82AB7" w:rsidRDefault="000C5CCE" w:rsidP="002648D5">
      <w:pPr>
        <w:spacing w:line="360" w:lineRule="auto"/>
        <w:jc w:val="center"/>
        <w:rPr>
          <w:rFonts w:ascii="Times New Roman" w:hAnsi="Times New Roman" w:cs="Times New Roman"/>
          <w:b/>
          <w:bCs/>
          <w:sz w:val="36"/>
          <w:szCs w:val="40"/>
        </w:rPr>
      </w:pPr>
      <w:r>
        <w:rPr>
          <w:rFonts w:ascii="Times New Roman" w:hAnsi="Times New Roman" w:cs="Times New Roman"/>
          <w:b/>
          <w:bCs/>
          <w:sz w:val="36"/>
          <w:szCs w:val="40"/>
        </w:rPr>
        <w:t>By</w:t>
      </w:r>
    </w:p>
    <w:p w14:paraId="251F4E73" w14:textId="77777777" w:rsidR="00042291" w:rsidRPr="00B82AB7" w:rsidRDefault="00042291" w:rsidP="002648D5">
      <w:pPr>
        <w:spacing w:line="360" w:lineRule="auto"/>
        <w:jc w:val="both"/>
        <w:rPr>
          <w:rFonts w:ascii="Times New Roman" w:hAnsi="Times New Roman" w:cs="Times New Roman"/>
          <w:b/>
          <w:bCs/>
          <w:sz w:val="36"/>
          <w:szCs w:val="40"/>
        </w:rPr>
      </w:pPr>
    </w:p>
    <w:p w14:paraId="5B723696" w14:textId="77777777" w:rsidR="00042291" w:rsidRPr="00B82AB7" w:rsidRDefault="00042291" w:rsidP="002648D5">
      <w:pPr>
        <w:spacing w:line="360" w:lineRule="auto"/>
        <w:jc w:val="both"/>
        <w:rPr>
          <w:rFonts w:ascii="Times New Roman" w:hAnsi="Times New Roman" w:cs="Times New Roman"/>
          <w:b/>
          <w:bCs/>
          <w:szCs w:val="28"/>
        </w:rPr>
      </w:pPr>
    </w:p>
    <w:p w14:paraId="3100348E" w14:textId="77777777" w:rsidR="00042291" w:rsidRPr="00B82AB7" w:rsidRDefault="00042291" w:rsidP="002648D5">
      <w:pPr>
        <w:spacing w:line="360" w:lineRule="auto"/>
        <w:jc w:val="both"/>
        <w:rPr>
          <w:rFonts w:ascii="Times New Roman" w:hAnsi="Times New Roman" w:cs="Times New Roman"/>
          <w:b/>
          <w:bCs/>
          <w:szCs w:val="28"/>
        </w:rPr>
      </w:pPr>
    </w:p>
    <w:p w14:paraId="70B15264" w14:textId="77777777" w:rsidR="00042291" w:rsidRPr="00B82AB7" w:rsidRDefault="00042291" w:rsidP="002648D5">
      <w:pPr>
        <w:spacing w:line="360" w:lineRule="auto"/>
        <w:jc w:val="both"/>
        <w:rPr>
          <w:rFonts w:ascii="Times New Roman" w:hAnsi="Times New Roman" w:cs="Times New Roman"/>
          <w:b/>
          <w:bCs/>
          <w:szCs w:val="28"/>
        </w:rPr>
      </w:pPr>
    </w:p>
    <w:p w14:paraId="2CAB35D9" w14:textId="77777777" w:rsidR="00042291" w:rsidRPr="00B82AB7" w:rsidRDefault="00042291" w:rsidP="002648D5">
      <w:pPr>
        <w:spacing w:line="360" w:lineRule="auto"/>
        <w:jc w:val="center"/>
        <w:rPr>
          <w:rFonts w:ascii="Times New Roman" w:hAnsi="Times New Roman" w:cs="Times New Roman"/>
          <w:b/>
          <w:bCs/>
          <w:szCs w:val="28"/>
        </w:rPr>
      </w:pPr>
    </w:p>
    <w:p w14:paraId="229798D5" w14:textId="3C683173" w:rsidR="000F43DB" w:rsidRPr="00B82AB7" w:rsidRDefault="00CC4D3F" w:rsidP="002648D5">
      <w:pPr>
        <w:pStyle w:val="ListParagraph"/>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Andzhela Toneva</w:t>
      </w:r>
    </w:p>
    <w:p w14:paraId="1560C201" w14:textId="718F9EC1" w:rsidR="000F43DB" w:rsidRPr="00B82AB7" w:rsidRDefault="00CC4D3F" w:rsidP="002648D5">
      <w:pPr>
        <w:pStyle w:val="ListParagraph"/>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2217837</w:t>
      </w:r>
    </w:p>
    <w:p w14:paraId="4516017E" w14:textId="6DBA89E6" w:rsidR="000F43DB" w:rsidRPr="00F978C9" w:rsidRDefault="000F43DB" w:rsidP="00F978C9">
      <w:pPr>
        <w:spacing w:line="360" w:lineRule="auto"/>
        <w:rPr>
          <w:rFonts w:ascii="Times New Roman" w:hAnsi="Times New Roman" w:cs="Times New Roman"/>
          <w:b/>
          <w:bCs/>
          <w:sz w:val="36"/>
          <w:szCs w:val="36"/>
        </w:rPr>
      </w:pPr>
    </w:p>
    <w:p w14:paraId="7769F73E" w14:textId="1188321C" w:rsidR="000F43DB" w:rsidRPr="00B82AB7" w:rsidRDefault="00CC4D3F" w:rsidP="002648D5">
      <w:pPr>
        <w:pStyle w:val="ListParagraph"/>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University of Wales Trinity Saint David</w:t>
      </w:r>
    </w:p>
    <w:p w14:paraId="2F66CBDA" w14:textId="7DA1A022" w:rsidR="000F43DB" w:rsidRPr="00B82AB7" w:rsidRDefault="00CC4D3F" w:rsidP="002648D5">
      <w:pPr>
        <w:pStyle w:val="ListParagraph"/>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01/08/2025</w:t>
      </w:r>
    </w:p>
    <w:p w14:paraId="2716C64F" w14:textId="77777777" w:rsidR="00B82AB7" w:rsidRPr="00B82AB7" w:rsidRDefault="00B82AB7" w:rsidP="002648D5">
      <w:pPr>
        <w:pStyle w:val="ListParagraph"/>
        <w:spacing w:line="360" w:lineRule="auto"/>
        <w:jc w:val="center"/>
        <w:rPr>
          <w:rFonts w:ascii="Times New Roman" w:hAnsi="Times New Roman" w:cs="Times New Roman"/>
          <w:b/>
          <w:bCs/>
          <w:sz w:val="36"/>
          <w:szCs w:val="36"/>
        </w:rPr>
      </w:pPr>
    </w:p>
    <w:p w14:paraId="52CB1006" w14:textId="77777777" w:rsidR="00042291" w:rsidRPr="00B82AB7" w:rsidRDefault="00042291" w:rsidP="002648D5">
      <w:pPr>
        <w:spacing w:line="360" w:lineRule="auto"/>
        <w:jc w:val="both"/>
        <w:rPr>
          <w:rFonts w:ascii="Times New Roman" w:hAnsi="Times New Roman" w:cs="Times New Roman"/>
          <w:b/>
          <w:bCs/>
          <w:color w:val="FF0000"/>
          <w:sz w:val="36"/>
          <w:szCs w:val="36"/>
        </w:rPr>
      </w:pPr>
    </w:p>
    <w:p w14:paraId="569523E6" w14:textId="549A5447" w:rsidR="00042291" w:rsidRPr="00CC4D3F" w:rsidRDefault="00042291" w:rsidP="002648D5">
      <w:pPr>
        <w:spacing w:line="360" w:lineRule="auto"/>
        <w:jc w:val="both"/>
        <w:rPr>
          <w:rFonts w:ascii="Times New Roman" w:hAnsi="Times New Roman" w:cs="Times New Roman"/>
          <w:b/>
          <w:bCs/>
          <w:color w:val="000000" w:themeColor="text1"/>
          <w:sz w:val="40"/>
          <w:szCs w:val="40"/>
        </w:rPr>
      </w:pPr>
      <w:r w:rsidRPr="00CC4D3F">
        <w:rPr>
          <w:rFonts w:ascii="Times New Roman" w:hAnsi="Times New Roman" w:cs="Times New Roman"/>
          <w:b/>
          <w:bCs/>
          <w:color w:val="000000" w:themeColor="text1"/>
          <w:sz w:val="40"/>
          <w:szCs w:val="40"/>
        </w:rPr>
        <w:t>The impact of financial ratios on share prices: A quantitative analysis.</w:t>
      </w:r>
    </w:p>
    <w:p w14:paraId="35C02B2A" w14:textId="77777777" w:rsidR="00042291" w:rsidRPr="00B82AB7" w:rsidRDefault="00042291" w:rsidP="002648D5">
      <w:pPr>
        <w:spacing w:line="360" w:lineRule="auto"/>
        <w:jc w:val="both"/>
        <w:rPr>
          <w:rFonts w:ascii="Times New Roman" w:hAnsi="Times New Roman" w:cs="Times New Roman"/>
          <w:b/>
          <w:bCs/>
          <w:color w:val="000000" w:themeColor="text1"/>
          <w:sz w:val="32"/>
          <w:szCs w:val="32"/>
        </w:rPr>
      </w:pPr>
    </w:p>
    <w:p w14:paraId="6F6BF88A" w14:textId="77777777" w:rsidR="00042291" w:rsidRDefault="00042291" w:rsidP="002648D5">
      <w:pPr>
        <w:spacing w:line="360" w:lineRule="auto"/>
        <w:jc w:val="both"/>
        <w:rPr>
          <w:rFonts w:ascii="Times New Roman" w:hAnsi="Times New Roman" w:cs="Times New Roman"/>
          <w:b/>
          <w:bCs/>
          <w:color w:val="FF0000"/>
          <w:sz w:val="36"/>
          <w:szCs w:val="36"/>
        </w:rPr>
      </w:pPr>
    </w:p>
    <w:p w14:paraId="4CBE8A0B" w14:textId="77777777" w:rsidR="00B82AB7" w:rsidRDefault="00B82AB7" w:rsidP="002648D5">
      <w:pPr>
        <w:spacing w:line="360" w:lineRule="auto"/>
        <w:jc w:val="both"/>
        <w:rPr>
          <w:rFonts w:ascii="Times New Roman" w:hAnsi="Times New Roman" w:cs="Times New Roman"/>
          <w:b/>
          <w:bCs/>
          <w:color w:val="FF0000"/>
          <w:sz w:val="36"/>
          <w:szCs w:val="36"/>
        </w:rPr>
      </w:pPr>
    </w:p>
    <w:sdt>
      <w:sdtPr>
        <w:rPr>
          <w:rFonts w:asciiTheme="minorHAnsi" w:eastAsiaTheme="minorHAnsi" w:hAnsiTheme="minorHAnsi" w:cstheme="minorBidi"/>
          <w:color w:val="auto"/>
          <w:sz w:val="24"/>
          <w:szCs w:val="24"/>
          <w:lang w:val="en-GB"/>
        </w:rPr>
        <w:id w:val="-1657131970"/>
        <w:docPartObj>
          <w:docPartGallery w:val="Table of Contents"/>
          <w:docPartUnique/>
        </w:docPartObj>
      </w:sdtPr>
      <w:sdtEndPr>
        <w:rPr>
          <w:b/>
          <w:bCs/>
          <w:noProof/>
        </w:rPr>
      </w:sdtEndPr>
      <w:sdtContent>
        <w:p w14:paraId="14D6AD6A" w14:textId="10E8D0C5" w:rsidR="002648D5" w:rsidRPr="004F5C17" w:rsidRDefault="002648D5">
          <w:pPr>
            <w:pStyle w:val="TOCHeading"/>
            <w:rPr>
              <w:rFonts w:ascii="Arial" w:hAnsi="Arial" w:cs="Arial"/>
              <w:sz w:val="22"/>
              <w:szCs w:val="22"/>
            </w:rPr>
          </w:pPr>
          <w:r w:rsidRPr="004F5C17">
            <w:rPr>
              <w:rFonts w:ascii="Arial" w:hAnsi="Arial" w:cs="Arial"/>
              <w:sz w:val="22"/>
              <w:szCs w:val="22"/>
            </w:rPr>
            <w:t>Table of Contents</w:t>
          </w:r>
        </w:p>
        <w:p w14:paraId="4EE64974" w14:textId="51AB211F"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r w:rsidRPr="004F5C17">
            <w:rPr>
              <w:rFonts w:ascii="Arial" w:hAnsi="Arial" w:cs="Arial"/>
              <w:sz w:val="22"/>
              <w:szCs w:val="22"/>
            </w:rPr>
            <w:fldChar w:fldCharType="begin"/>
          </w:r>
          <w:r w:rsidRPr="004F5C17">
            <w:rPr>
              <w:rFonts w:ascii="Arial" w:hAnsi="Arial" w:cs="Arial"/>
              <w:sz w:val="22"/>
              <w:szCs w:val="22"/>
            </w:rPr>
            <w:instrText xml:space="preserve"> TOC \o "1-3" \h \z \u </w:instrText>
          </w:r>
          <w:r w:rsidRPr="004F5C17">
            <w:rPr>
              <w:rFonts w:ascii="Arial" w:hAnsi="Arial" w:cs="Arial"/>
              <w:sz w:val="22"/>
              <w:szCs w:val="22"/>
            </w:rPr>
            <w:fldChar w:fldCharType="separate"/>
          </w:r>
          <w:hyperlink w:anchor="_Toc204697905" w:history="1">
            <w:r w:rsidRPr="004F5C17">
              <w:rPr>
                <w:rStyle w:val="Hyperlink"/>
                <w:rFonts w:ascii="Arial" w:hAnsi="Arial" w:cs="Arial"/>
                <w:b/>
                <w:bCs/>
                <w:noProof/>
                <w:sz w:val="22"/>
                <w:szCs w:val="22"/>
              </w:rPr>
              <w:t>Chapter 1: Introduction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_Toc204697905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3</w:t>
            </w:r>
            <w:r w:rsidRPr="004F5C17">
              <w:rPr>
                <w:rFonts w:ascii="Arial" w:hAnsi="Arial" w:cs="Arial"/>
                <w:noProof/>
                <w:webHidden/>
                <w:sz w:val="22"/>
                <w:szCs w:val="22"/>
              </w:rPr>
              <w:fldChar w:fldCharType="end"/>
            </w:r>
          </w:hyperlink>
        </w:p>
        <w:p w14:paraId="739CC3AD" w14:textId="485FC92D" w:rsidR="002648D5" w:rsidRPr="004F5C17" w:rsidRDefault="002648D5">
          <w:pPr>
            <w:pStyle w:val="TOC1"/>
            <w:tabs>
              <w:tab w:val="left" w:pos="720"/>
              <w:tab w:val="right" w:leader="dot" w:pos="9010"/>
            </w:tabs>
            <w:rPr>
              <w:rFonts w:ascii="Arial" w:eastAsiaTheme="minorEastAsia" w:hAnsi="Arial" w:cs="Arial"/>
              <w:noProof/>
              <w:kern w:val="2"/>
              <w:sz w:val="22"/>
              <w:szCs w:val="22"/>
              <w:lang w:val="en-US"/>
              <w14:ligatures w14:val="standardContextual"/>
            </w:rPr>
          </w:pPr>
          <w:hyperlink w:anchor="_Toc204697906" w:history="1">
            <w:r w:rsidRPr="004F5C17">
              <w:rPr>
                <w:rStyle w:val="Hyperlink"/>
                <w:rFonts w:ascii="Arial" w:hAnsi="Arial" w:cs="Arial"/>
                <w:b/>
                <w:bCs/>
                <w:noProof/>
                <w:sz w:val="22"/>
                <w:szCs w:val="22"/>
              </w:rPr>
              <w:t>1.1</w:t>
            </w:r>
            <w:r w:rsidRPr="004F5C17">
              <w:rPr>
                <w:rFonts w:ascii="Arial" w:eastAsiaTheme="minorEastAsia" w:hAnsi="Arial" w:cs="Arial"/>
                <w:noProof/>
                <w:kern w:val="2"/>
                <w:sz w:val="22"/>
                <w:szCs w:val="22"/>
                <w:lang w:val="en-US"/>
                <w14:ligatures w14:val="standardContextual"/>
              </w:rPr>
              <w:tab/>
            </w:r>
            <w:r w:rsidRPr="004F5C17">
              <w:rPr>
                <w:rStyle w:val="Hyperlink"/>
                <w:rFonts w:ascii="Arial" w:hAnsi="Arial" w:cs="Arial"/>
                <w:b/>
                <w:bCs/>
                <w:noProof/>
                <w:sz w:val="22"/>
                <w:szCs w:val="22"/>
              </w:rPr>
              <w:t>Background of Study</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_Toc204697906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3</w:t>
            </w:r>
            <w:r w:rsidRPr="004F5C17">
              <w:rPr>
                <w:rFonts w:ascii="Arial" w:hAnsi="Arial" w:cs="Arial"/>
                <w:noProof/>
                <w:webHidden/>
                <w:sz w:val="22"/>
                <w:szCs w:val="22"/>
              </w:rPr>
              <w:fldChar w:fldCharType="end"/>
            </w:r>
          </w:hyperlink>
        </w:p>
        <w:p w14:paraId="600BAA33" w14:textId="5DE1D8EE"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07" w:history="1">
            <w:r w:rsidRPr="004F5C17">
              <w:rPr>
                <w:rStyle w:val="Hyperlink"/>
                <w:rFonts w:ascii="Arial" w:hAnsi="Arial" w:cs="Arial"/>
                <w:b/>
                <w:bCs/>
                <w:noProof/>
                <w:sz w:val="22"/>
                <w:szCs w:val="22"/>
                <w:lang w:val="en-US"/>
              </w:rPr>
              <w:t>1.2 Statement of the Problem</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_Toc204697907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3</w:t>
            </w:r>
            <w:r w:rsidRPr="004F5C17">
              <w:rPr>
                <w:rFonts w:ascii="Arial" w:hAnsi="Arial" w:cs="Arial"/>
                <w:noProof/>
                <w:webHidden/>
                <w:sz w:val="22"/>
                <w:szCs w:val="22"/>
              </w:rPr>
              <w:fldChar w:fldCharType="end"/>
            </w:r>
          </w:hyperlink>
        </w:p>
        <w:p w14:paraId="3A8D452A" w14:textId="5C726FE3"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08" w:history="1">
            <w:r w:rsidRPr="004F5C17">
              <w:rPr>
                <w:rStyle w:val="Hyperlink"/>
                <w:rFonts w:ascii="Arial" w:hAnsi="Arial" w:cs="Arial"/>
                <w:b/>
                <w:bCs/>
                <w:noProof/>
                <w:sz w:val="22"/>
                <w:szCs w:val="22"/>
                <w:lang w:val="en-US"/>
              </w:rPr>
              <w:t>1.3 Research Aim, Objectives and Questions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_Toc204697908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3</w:t>
            </w:r>
            <w:r w:rsidRPr="004F5C17">
              <w:rPr>
                <w:rFonts w:ascii="Arial" w:hAnsi="Arial" w:cs="Arial"/>
                <w:noProof/>
                <w:webHidden/>
                <w:sz w:val="22"/>
                <w:szCs w:val="22"/>
              </w:rPr>
              <w:fldChar w:fldCharType="end"/>
            </w:r>
          </w:hyperlink>
        </w:p>
        <w:p w14:paraId="58A31F8B" w14:textId="7EC23596"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09" w:history="1">
            <w:r w:rsidRPr="004F5C17">
              <w:rPr>
                <w:rStyle w:val="Hyperlink"/>
                <w:rFonts w:ascii="Arial" w:hAnsi="Arial" w:cs="Arial"/>
                <w:b/>
                <w:bCs/>
                <w:noProof/>
                <w:sz w:val="22"/>
                <w:szCs w:val="22"/>
              </w:rPr>
              <w:t>Chapter 2: Literature Review</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_Toc204697909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4</w:t>
            </w:r>
            <w:r w:rsidRPr="004F5C17">
              <w:rPr>
                <w:rFonts w:ascii="Arial" w:hAnsi="Arial" w:cs="Arial"/>
                <w:noProof/>
                <w:webHidden/>
                <w:sz w:val="22"/>
                <w:szCs w:val="22"/>
              </w:rPr>
              <w:fldChar w:fldCharType="end"/>
            </w:r>
          </w:hyperlink>
        </w:p>
        <w:p w14:paraId="04FDF5AF" w14:textId="0D2C6D30"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10" w:history="1">
            <w:r w:rsidRPr="004F5C17">
              <w:rPr>
                <w:rStyle w:val="Hyperlink"/>
                <w:rFonts w:ascii="Arial" w:hAnsi="Arial" w:cs="Arial"/>
                <w:b/>
                <w:bCs/>
                <w:noProof/>
                <w:sz w:val="22"/>
                <w:szCs w:val="22"/>
              </w:rPr>
              <w:t>2.1 Introduction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_Toc204697910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4</w:t>
            </w:r>
            <w:r w:rsidRPr="004F5C17">
              <w:rPr>
                <w:rFonts w:ascii="Arial" w:hAnsi="Arial" w:cs="Arial"/>
                <w:noProof/>
                <w:webHidden/>
                <w:sz w:val="22"/>
                <w:szCs w:val="22"/>
              </w:rPr>
              <w:fldChar w:fldCharType="end"/>
            </w:r>
          </w:hyperlink>
        </w:p>
        <w:p w14:paraId="1DC6FA6A" w14:textId="2D6A5F25"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11" w:history="1">
            <w:r w:rsidRPr="004F5C17">
              <w:rPr>
                <w:rStyle w:val="Hyperlink"/>
                <w:rFonts w:ascii="Arial" w:hAnsi="Arial" w:cs="Arial"/>
                <w:b/>
                <w:bCs/>
                <w:noProof/>
                <w:sz w:val="22"/>
                <w:szCs w:val="22"/>
              </w:rPr>
              <w:t>2.2 Theoretical framework</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_Toc204697911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4</w:t>
            </w:r>
            <w:r w:rsidRPr="004F5C17">
              <w:rPr>
                <w:rFonts w:ascii="Arial" w:hAnsi="Arial" w:cs="Arial"/>
                <w:noProof/>
                <w:webHidden/>
                <w:sz w:val="22"/>
                <w:szCs w:val="22"/>
              </w:rPr>
              <w:fldChar w:fldCharType="end"/>
            </w:r>
          </w:hyperlink>
        </w:p>
        <w:p w14:paraId="7581850E" w14:textId="6081F65E"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12" w:history="1">
            <w:r w:rsidRPr="004F5C17">
              <w:rPr>
                <w:rStyle w:val="Hyperlink"/>
                <w:rFonts w:ascii="Arial" w:hAnsi="Arial" w:cs="Arial"/>
                <w:b/>
                <w:bCs/>
                <w:noProof/>
                <w:sz w:val="22"/>
                <w:szCs w:val="22"/>
              </w:rPr>
              <w:t>2.3 Major Financial Ratios and Their Usage</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_Toc204697912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4</w:t>
            </w:r>
            <w:r w:rsidRPr="004F5C17">
              <w:rPr>
                <w:rFonts w:ascii="Arial" w:hAnsi="Arial" w:cs="Arial"/>
                <w:noProof/>
                <w:webHidden/>
                <w:sz w:val="22"/>
                <w:szCs w:val="22"/>
              </w:rPr>
              <w:fldChar w:fldCharType="end"/>
            </w:r>
          </w:hyperlink>
        </w:p>
        <w:p w14:paraId="04DA4E0B" w14:textId="52AC16FF" w:rsidR="002648D5" w:rsidRPr="004F5C17" w:rsidRDefault="002648D5">
          <w:pPr>
            <w:pStyle w:val="TOC2"/>
            <w:tabs>
              <w:tab w:val="right" w:leader="dot" w:pos="9010"/>
            </w:tabs>
            <w:rPr>
              <w:rFonts w:ascii="Arial" w:hAnsi="Arial" w:cs="Arial"/>
              <w:noProof/>
              <w:sz w:val="22"/>
              <w:szCs w:val="22"/>
            </w:rPr>
          </w:pPr>
          <w:hyperlink w:anchor="_Toc204697913" w:history="1">
            <w:r w:rsidRPr="004F5C17">
              <w:rPr>
                <w:rStyle w:val="Hyperlink"/>
                <w:rFonts w:ascii="Arial" w:hAnsi="Arial" w:cs="Arial"/>
                <w:b/>
                <w:bCs/>
                <w:noProof/>
                <w:sz w:val="22"/>
                <w:szCs w:val="22"/>
              </w:rPr>
              <w:t>2.3.1 Return on Assets (ROA)</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_Toc204697913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4</w:t>
            </w:r>
            <w:r w:rsidRPr="004F5C17">
              <w:rPr>
                <w:rFonts w:ascii="Arial" w:hAnsi="Arial" w:cs="Arial"/>
                <w:noProof/>
                <w:webHidden/>
                <w:sz w:val="22"/>
                <w:szCs w:val="22"/>
              </w:rPr>
              <w:fldChar w:fldCharType="end"/>
            </w:r>
          </w:hyperlink>
        </w:p>
        <w:p w14:paraId="45F0BB76" w14:textId="4764AEDC" w:rsidR="002648D5" w:rsidRPr="004F5C17" w:rsidRDefault="002648D5">
          <w:pPr>
            <w:pStyle w:val="TOC2"/>
            <w:tabs>
              <w:tab w:val="right" w:leader="dot" w:pos="9010"/>
            </w:tabs>
            <w:rPr>
              <w:rFonts w:ascii="Arial" w:hAnsi="Arial" w:cs="Arial"/>
              <w:noProof/>
              <w:sz w:val="22"/>
              <w:szCs w:val="22"/>
            </w:rPr>
          </w:pPr>
          <w:hyperlink w:anchor="_Toc204697914" w:history="1">
            <w:r w:rsidRPr="004F5C17">
              <w:rPr>
                <w:rStyle w:val="Hyperlink"/>
                <w:rFonts w:ascii="Arial" w:hAnsi="Arial" w:cs="Arial"/>
                <w:b/>
                <w:bCs/>
                <w:noProof/>
                <w:sz w:val="22"/>
                <w:szCs w:val="22"/>
              </w:rPr>
              <w:t>2.3.2 Return on Liquidity</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_Toc204697914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5</w:t>
            </w:r>
            <w:r w:rsidRPr="004F5C17">
              <w:rPr>
                <w:rFonts w:ascii="Arial" w:hAnsi="Arial" w:cs="Arial"/>
                <w:noProof/>
                <w:webHidden/>
                <w:sz w:val="22"/>
                <w:szCs w:val="22"/>
              </w:rPr>
              <w:fldChar w:fldCharType="end"/>
            </w:r>
          </w:hyperlink>
        </w:p>
        <w:p w14:paraId="3F5471F0" w14:textId="03659E6F" w:rsidR="002648D5" w:rsidRPr="004F5C17" w:rsidRDefault="002648D5">
          <w:pPr>
            <w:pStyle w:val="TOC2"/>
            <w:tabs>
              <w:tab w:val="right" w:leader="dot" w:pos="9010"/>
            </w:tabs>
            <w:rPr>
              <w:rFonts w:ascii="Arial" w:hAnsi="Arial" w:cs="Arial"/>
              <w:noProof/>
              <w:sz w:val="22"/>
              <w:szCs w:val="22"/>
            </w:rPr>
          </w:pPr>
          <w:hyperlink w:anchor="_Toc204697915" w:history="1">
            <w:r w:rsidRPr="004F5C17">
              <w:rPr>
                <w:rStyle w:val="Hyperlink"/>
                <w:rFonts w:ascii="Arial" w:hAnsi="Arial" w:cs="Arial"/>
                <w:b/>
                <w:bCs/>
                <w:noProof/>
                <w:sz w:val="22"/>
                <w:szCs w:val="22"/>
              </w:rPr>
              <w:t>2.3.3 Net Profit Margin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_Toc204697915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5</w:t>
            </w:r>
            <w:r w:rsidRPr="004F5C17">
              <w:rPr>
                <w:rFonts w:ascii="Arial" w:hAnsi="Arial" w:cs="Arial"/>
                <w:noProof/>
                <w:webHidden/>
                <w:sz w:val="22"/>
                <w:szCs w:val="22"/>
              </w:rPr>
              <w:fldChar w:fldCharType="end"/>
            </w:r>
          </w:hyperlink>
        </w:p>
        <w:p w14:paraId="25A3D663" w14:textId="05724745" w:rsidR="002648D5" w:rsidRPr="004F5C17" w:rsidRDefault="002648D5">
          <w:pPr>
            <w:pStyle w:val="TOC2"/>
            <w:tabs>
              <w:tab w:val="right" w:leader="dot" w:pos="9010"/>
            </w:tabs>
            <w:rPr>
              <w:rFonts w:ascii="Arial" w:hAnsi="Arial" w:cs="Arial"/>
              <w:noProof/>
              <w:sz w:val="22"/>
              <w:szCs w:val="22"/>
            </w:rPr>
          </w:pPr>
          <w:hyperlink w:anchor="_Toc204697916" w:history="1">
            <w:r w:rsidRPr="004F5C17">
              <w:rPr>
                <w:rStyle w:val="Hyperlink"/>
                <w:rFonts w:ascii="Arial" w:hAnsi="Arial" w:cs="Arial"/>
                <w:b/>
                <w:bCs/>
                <w:noProof/>
                <w:sz w:val="22"/>
                <w:szCs w:val="22"/>
              </w:rPr>
              <w:t>2.3.4 Dividend Yield</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_Toc204697916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5</w:t>
            </w:r>
            <w:r w:rsidRPr="004F5C17">
              <w:rPr>
                <w:rFonts w:ascii="Arial" w:hAnsi="Arial" w:cs="Arial"/>
                <w:noProof/>
                <w:webHidden/>
                <w:sz w:val="22"/>
                <w:szCs w:val="22"/>
              </w:rPr>
              <w:fldChar w:fldCharType="end"/>
            </w:r>
          </w:hyperlink>
        </w:p>
        <w:p w14:paraId="19645169" w14:textId="48A9CD37" w:rsidR="002648D5" w:rsidRPr="004F5C17" w:rsidRDefault="002648D5">
          <w:pPr>
            <w:pStyle w:val="TOC2"/>
            <w:tabs>
              <w:tab w:val="right" w:leader="dot" w:pos="9010"/>
            </w:tabs>
            <w:rPr>
              <w:rFonts w:ascii="Arial" w:hAnsi="Arial" w:cs="Arial"/>
              <w:noProof/>
              <w:sz w:val="22"/>
              <w:szCs w:val="22"/>
            </w:rPr>
          </w:pPr>
          <w:hyperlink w:anchor="_Toc204697917" w:history="1">
            <w:r w:rsidRPr="004F5C17">
              <w:rPr>
                <w:rStyle w:val="Hyperlink"/>
                <w:rFonts w:ascii="Arial" w:hAnsi="Arial" w:cs="Arial"/>
                <w:b/>
                <w:bCs/>
                <w:noProof/>
                <w:sz w:val="22"/>
                <w:szCs w:val="22"/>
              </w:rPr>
              <w:t>2.3.5 Price-to-Earnings (P/E) Ratio</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_Toc204697917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5</w:t>
            </w:r>
            <w:r w:rsidRPr="004F5C17">
              <w:rPr>
                <w:rFonts w:ascii="Arial" w:hAnsi="Arial" w:cs="Arial"/>
                <w:noProof/>
                <w:webHidden/>
                <w:sz w:val="22"/>
                <w:szCs w:val="22"/>
              </w:rPr>
              <w:fldChar w:fldCharType="end"/>
            </w:r>
          </w:hyperlink>
        </w:p>
        <w:p w14:paraId="3893DA86" w14:textId="0D1F6714" w:rsidR="002648D5" w:rsidRPr="004F5C17" w:rsidRDefault="002648D5">
          <w:pPr>
            <w:pStyle w:val="TOC2"/>
            <w:tabs>
              <w:tab w:val="right" w:leader="dot" w:pos="9010"/>
            </w:tabs>
            <w:rPr>
              <w:rFonts w:ascii="Arial" w:hAnsi="Arial" w:cs="Arial"/>
              <w:noProof/>
              <w:sz w:val="22"/>
              <w:szCs w:val="22"/>
            </w:rPr>
          </w:pPr>
          <w:hyperlink w:anchor="_Toc204697918" w:history="1">
            <w:r w:rsidRPr="004F5C17">
              <w:rPr>
                <w:rStyle w:val="Hyperlink"/>
                <w:rFonts w:ascii="Arial" w:hAnsi="Arial" w:cs="Arial"/>
                <w:b/>
                <w:bCs/>
                <w:noProof/>
                <w:sz w:val="22"/>
                <w:szCs w:val="22"/>
              </w:rPr>
              <w:t>2.3.6 Earnings Per Share (EPS)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_Toc204697918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6</w:t>
            </w:r>
            <w:r w:rsidRPr="004F5C17">
              <w:rPr>
                <w:rFonts w:ascii="Arial" w:hAnsi="Arial" w:cs="Arial"/>
                <w:noProof/>
                <w:webHidden/>
                <w:sz w:val="22"/>
                <w:szCs w:val="22"/>
              </w:rPr>
              <w:fldChar w:fldCharType="end"/>
            </w:r>
          </w:hyperlink>
        </w:p>
        <w:p w14:paraId="1B33150F" w14:textId="719C053B" w:rsidR="002648D5" w:rsidRPr="004F5C17" w:rsidRDefault="002648D5">
          <w:pPr>
            <w:pStyle w:val="TOC2"/>
            <w:tabs>
              <w:tab w:val="right" w:leader="dot" w:pos="9010"/>
            </w:tabs>
            <w:rPr>
              <w:rFonts w:ascii="Arial" w:hAnsi="Arial" w:cs="Arial"/>
              <w:noProof/>
              <w:sz w:val="22"/>
              <w:szCs w:val="22"/>
            </w:rPr>
          </w:pPr>
          <w:hyperlink w:anchor="_Toc204697919" w:history="1">
            <w:r w:rsidRPr="004F5C17">
              <w:rPr>
                <w:rStyle w:val="Hyperlink"/>
                <w:rFonts w:ascii="Arial" w:hAnsi="Arial" w:cs="Arial"/>
                <w:b/>
                <w:bCs/>
                <w:noProof/>
                <w:sz w:val="22"/>
                <w:szCs w:val="22"/>
              </w:rPr>
              <w:t>2.3.7 PEG Ratio (Price/Earnings to Growth)</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_Toc204697919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6</w:t>
            </w:r>
            <w:r w:rsidRPr="004F5C17">
              <w:rPr>
                <w:rFonts w:ascii="Arial" w:hAnsi="Arial" w:cs="Arial"/>
                <w:noProof/>
                <w:webHidden/>
                <w:sz w:val="22"/>
                <w:szCs w:val="22"/>
              </w:rPr>
              <w:fldChar w:fldCharType="end"/>
            </w:r>
          </w:hyperlink>
        </w:p>
        <w:p w14:paraId="11BB93C7" w14:textId="4D058CEC"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0" w:history="1">
            <w:r w:rsidRPr="004F5C17">
              <w:rPr>
                <w:rStyle w:val="Hyperlink"/>
                <w:rFonts w:ascii="Arial" w:hAnsi="Arial" w:cs="Arial"/>
                <w:b/>
                <w:bCs/>
                <w:noProof/>
                <w:sz w:val="22"/>
                <w:szCs w:val="22"/>
                <w:lang w:val="en-US"/>
              </w:rPr>
              <w:t>2.4 Empirical Findings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_Toc204697920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6</w:t>
            </w:r>
            <w:r w:rsidRPr="004F5C17">
              <w:rPr>
                <w:rFonts w:ascii="Arial" w:hAnsi="Arial" w:cs="Arial"/>
                <w:noProof/>
                <w:webHidden/>
                <w:sz w:val="22"/>
                <w:szCs w:val="22"/>
              </w:rPr>
              <w:fldChar w:fldCharType="end"/>
            </w:r>
          </w:hyperlink>
        </w:p>
        <w:p w14:paraId="6420FD07" w14:textId="19E3819F"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1" w:history="1">
            <w:r w:rsidRPr="004F5C17">
              <w:rPr>
                <w:rStyle w:val="Hyperlink"/>
                <w:rFonts w:ascii="Arial" w:hAnsi="Arial" w:cs="Arial"/>
                <w:b/>
                <w:bCs/>
                <w:noProof/>
                <w:sz w:val="22"/>
                <w:szCs w:val="22"/>
                <w:lang w:val="en-US"/>
              </w:rPr>
              <w:t>2.5 Conceptual Framework</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_Toc204697921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6</w:t>
            </w:r>
            <w:r w:rsidRPr="004F5C17">
              <w:rPr>
                <w:rFonts w:ascii="Arial" w:hAnsi="Arial" w:cs="Arial"/>
                <w:noProof/>
                <w:webHidden/>
                <w:sz w:val="22"/>
                <w:szCs w:val="22"/>
              </w:rPr>
              <w:fldChar w:fldCharType="end"/>
            </w:r>
          </w:hyperlink>
        </w:p>
        <w:p w14:paraId="6097D72C" w14:textId="02FE5014"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2" w:history="1">
            <w:r w:rsidRPr="004F5C17">
              <w:rPr>
                <w:rStyle w:val="Hyperlink"/>
                <w:rFonts w:ascii="Arial" w:hAnsi="Arial" w:cs="Arial"/>
                <w:b/>
                <w:bCs/>
                <w:noProof/>
                <w:sz w:val="22"/>
                <w:szCs w:val="22"/>
                <w:lang w:val="en-US"/>
              </w:rPr>
              <w:t>2.6 Gaps in Literature</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_Toc204697922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7</w:t>
            </w:r>
            <w:r w:rsidRPr="004F5C17">
              <w:rPr>
                <w:rFonts w:ascii="Arial" w:hAnsi="Arial" w:cs="Arial"/>
                <w:noProof/>
                <w:webHidden/>
                <w:sz w:val="22"/>
                <w:szCs w:val="22"/>
              </w:rPr>
              <w:fldChar w:fldCharType="end"/>
            </w:r>
          </w:hyperlink>
        </w:p>
        <w:p w14:paraId="3C26A6D3" w14:textId="7A9CBE9A"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3" w:history="1">
            <w:r w:rsidRPr="004F5C17">
              <w:rPr>
                <w:rStyle w:val="Hyperlink"/>
                <w:rFonts w:ascii="Arial" w:hAnsi="Arial" w:cs="Arial"/>
                <w:b/>
                <w:bCs/>
                <w:noProof/>
                <w:sz w:val="22"/>
                <w:szCs w:val="22"/>
              </w:rPr>
              <w:t>Chapter 3: Research Methods and Methodology</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_Toc204697923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8</w:t>
            </w:r>
            <w:r w:rsidRPr="004F5C17">
              <w:rPr>
                <w:rFonts w:ascii="Arial" w:hAnsi="Arial" w:cs="Arial"/>
                <w:noProof/>
                <w:webHidden/>
                <w:sz w:val="22"/>
                <w:szCs w:val="22"/>
              </w:rPr>
              <w:fldChar w:fldCharType="end"/>
            </w:r>
          </w:hyperlink>
        </w:p>
        <w:p w14:paraId="31DABF73" w14:textId="2B7D072A"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4" w:history="1">
            <w:r w:rsidRPr="004F5C17">
              <w:rPr>
                <w:rStyle w:val="Hyperlink"/>
                <w:rFonts w:ascii="Arial" w:hAnsi="Arial" w:cs="Arial"/>
                <w:b/>
                <w:bCs/>
                <w:noProof/>
                <w:sz w:val="22"/>
                <w:szCs w:val="22"/>
              </w:rPr>
              <w:t>3.1 Philosophy of research</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_Toc204697924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8</w:t>
            </w:r>
            <w:r w:rsidRPr="004F5C17">
              <w:rPr>
                <w:rFonts w:ascii="Arial" w:hAnsi="Arial" w:cs="Arial"/>
                <w:noProof/>
                <w:webHidden/>
                <w:sz w:val="22"/>
                <w:szCs w:val="22"/>
              </w:rPr>
              <w:fldChar w:fldCharType="end"/>
            </w:r>
          </w:hyperlink>
        </w:p>
        <w:p w14:paraId="2FEF6D9A" w14:textId="5047353B"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5" w:history="1">
            <w:r w:rsidRPr="004F5C17">
              <w:rPr>
                <w:rStyle w:val="Hyperlink"/>
                <w:rFonts w:ascii="Arial" w:hAnsi="Arial" w:cs="Arial"/>
                <w:b/>
                <w:bCs/>
                <w:noProof/>
                <w:sz w:val="22"/>
                <w:szCs w:val="22"/>
              </w:rPr>
              <w:t>3.2 Paradigm of research</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_Toc204697925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8</w:t>
            </w:r>
            <w:r w:rsidRPr="004F5C17">
              <w:rPr>
                <w:rFonts w:ascii="Arial" w:hAnsi="Arial" w:cs="Arial"/>
                <w:noProof/>
                <w:webHidden/>
                <w:sz w:val="22"/>
                <w:szCs w:val="22"/>
              </w:rPr>
              <w:fldChar w:fldCharType="end"/>
            </w:r>
          </w:hyperlink>
        </w:p>
        <w:p w14:paraId="0F4C8A16" w14:textId="368D2159"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6" w:history="1">
            <w:r w:rsidRPr="004F5C17">
              <w:rPr>
                <w:rStyle w:val="Hyperlink"/>
                <w:rFonts w:ascii="Arial" w:hAnsi="Arial" w:cs="Arial"/>
                <w:b/>
                <w:bCs/>
                <w:noProof/>
                <w:sz w:val="22"/>
                <w:szCs w:val="22"/>
              </w:rPr>
              <w:t>3.3 Research Approach</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_Toc204697926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8</w:t>
            </w:r>
            <w:r w:rsidRPr="004F5C17">
              <w:rPr>
                <w:rFonts w:ascii="Arial" w:hAnsi="Arial" w:cs="Arial"/>
                <w:noProof/>
                <w:webHidden/>
                <w:sz w:val="22"/>
                <w:szCs w:val="22"/>
              </w:rPr>
              <w:fldChar w:fldCharType="end"/>
            </w:r>
          </w:hyperlink>
        </w:p>
        <w:p w14:paraId="065A1901" w14:textId="63B8D43A"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7" w:history="1">
            <w:r w:rsidRPr="004F5C17">
              <w:rPr>
                <w:rStyle w:val="Hyperlink"/>
                <w:rFonts w:ascii="Arial" w:hAnsi="Arial" w:cs="Arial"/>
                <w:b/>
                <w:bCs/>
                <w:noProof/>
                <w:sz w:val="22"/>
                <w:szCs w:val="22"/>
              </w:rPr>
              <w:t>3.4 Methodology</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_Toc204697927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8</w:t>
            </w:r>
            <w:r w:rsidRPr="004F5C17">
              <w:rPr>
                <w:rFonts w:ascii="Arial" w:hAnsi="Arial" w:cs="Arial"/>
                <w:noProof/>
                <w:webHidden/>
                <w:sz w:val="22"/>
                <w:szCs w:val="22"/>
              </w:rPr>
              <w:fldChar w:fldCharType="end"/>
            </w:r>
          </w:hyperlink>
        </w:p>
        <w:p w14:paraId="497DF8E1" w14:textId="387AFB84"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8" w:history="1">
            <w:r w:rsidRPr="004F5C17">
              <w:rPr>
                <w:rStyle w:val="Hyperlink"/>
                <w:rFonts w:ascii="Arial" w:hAnsi="Arial" w:cs="Arial"/>
                <w:b/>
                <w:bCs/>
                <w:noProof/>
                <w:sz w:val="22"/>
                <w:szCs w:val="22"/>
              </w:rPr>
              <w:t>3.5 Research Plan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_Toc204697928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9</w:t>
            </w:r>
            <w:r w:rsidRPr="004F5C17">
              <w:rPr>
                <w:rFonts w:ascii="Arial" w:hAnsi="Arial" w:cs="Arial"/>
                <w:noProof/>
                <w:webHidden/>
                <w:sz w:val="22"/>
                <w:szCs w:val="22"/>
              </w:rPr>
              <w:fldChar w:fldCharType="end"/>
            </w:r>
          </w:hyperlink>
        </w:p>
        <w:p w14:paraId="00C1AE74" w14:textId="0C640586"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29" w:history="1">
            <w:r w:rsidRPr="004F5C17">
              <w:rPr>
                <w:rStyle w:val="Hyperlink"/>
                <w:rFonts w:ascii="Arial" w:hAnsi="Arial" w:cs="Arial"/>
                <w:b/>
                <w:bCs/>
                <w:noProof/>
                <w:sz w:val="22"/>
                <w:szCs w:val="22"/>
              </w:rPr>
              <w:t>3.6 Method of Sampling</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_Toc204697929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9</w:t>
            </w:r>
            <w:r w:rsidRPr="004F5C17">
              <w:rPr>
                <w:rFonts w:ascii="Arial" w:hAnsi="Arial" w:cs="Arial"/>
                <w:noProof/>
                <w:webHidden/>
                <w:sz w:val="22"/>
                <w:szCs w:val="22"/>
              </w:rPr>
              <w:fldChar w:fldCharType="end"/>
            </w:r>
          </w:hyperlink>
        </w:p>
        <w:p w14:paraId="214E3C09" w14:textId="01BAB4C7"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30" w:history="1">
            <w:r w:rsidRPr="004F5C17">
              <w:rPr>
                <w:rStyle w:val="Hyperlink"/>
                <w:rFonts w:ascii="Arial" w:hAnsi="Arial" w:cs="Arial"/>
                <w:b/>
                <w:bCs/>
                <w:noProof/>
                <w:sz w:val="22"/>
                <w:szCs w:val="22"/>
              </w:rPr>
              <w:t>3.7 Data collection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_Toc204697930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9</w:t>
            </w:r>
            <w:r w:rsidRPr="004F5C17">
              <w:rPr>
                <w:rFonts w:ascii="Arial" w:hAnsi="Arial" w:cs="Arial"/>
                <w:noProof/>
                <w:webHidden/>
                <w:sz w:val="22"/>
                <w:szCs w:val="22"/>
              </w:rPr>
              <w:fldChar w:fldCharType="end"/>
            </w:r>
          </w:hyperlink>
        </w:p>
        <w:p w14:paraId="5161D8F8" w14:textId="48307787"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31" w:history="1">
            <w:r w:rsidRPr="004F5C17">
              <w:rPr>
                <w:rStyle w:val="Hyperlink"/>
                <w:rFonts w:ascii="Arial" w:hAnsi="Arial" w:cs="Arial"/>
                <w:b/>
                <w:bCs/>
                <w:noProof/>
                <w:sz w:val="22"/>
                <w:szCs w:val="22"/>
                <w:lang w:val="en-US"/>
              </w:rPr>
              <w:t>3.8 Data Analysis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_Toc204697931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9</w:t>
            </w:r>
            <w:r w:rsidRPr="004F5C17">
              <w:rPr>
                <w:rFonts w:ascii="Arial" w:hAnsi="Arial" w:cs="Arial"/>
                <w:noProof/>
                <w:webHidden/>
                <w:sz w:val="22"/>
                <w:szCs w:val="22"/>
              </w:rPr>
              <w:fldChar w:fldCharType="end"/>
            </w:r>
          </w:hyperlink>
        </w:p>
        <w:p w14:paraId="31CD942C" w14:textId="722A64BF"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32" w:history="1">
            <w:r w:rsidRPr="004F5C17">
              <w:rPr>
                <w:rStyle w:val="Hyperlink"/>
                <w:rFonts w:ascii="Arial" w:hAnsi="Arial" w:cs="Arial"/>
                <w:b/>
                <w:bCs/>
                <w:noProof/>
                <w:sz w:val="22"/>
                <w:szCs w:val="22"/>
                <w:lang w:val="en-US"/>
              </w:rPr>
              <w:t>3.9 Time Plan (Gantt Chart)</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_Toc204697932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10</w:t>
            </w:r>
            <w:r w:rsidRPr="004F5C17">
              <w:rPr>
                <w:rFonts w:ascii="Arial" w:hAnsi="Arial" w:cs="Arial"/>
                <w:noProof/>
                <w:webHidden/>
                <w:sz w:val="22"/>
                <w:szCs w:val="22"/>
              </w:rPr>
              <w:fldChar w:fldCharType="end"/>
            </w:r>
          </w:hyperlink>
        </w:p>
        <w:p w14:paraId="36BA37B3" w14:textId="17324F26"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33" w:history="1">
            <w:r w:rsidRPr="004F5C17">
              <w:rPr>
                <w:rStyle w:val="Hyperlink"/>
                <w:rFonts w:ascii="Arial" w:hAnsi="Arial" w:cs="Arial"/>
                <w:b/>
                <w:bCs/>
                <w:noProof/>
                <w:sz w:val="22"/>
                <w:szCs w:val="22"/>
                <w:lang w:val="en-US"/>
              </w:rPr>
              <w:t>3.10 Ethical Considerations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_Toc204697933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10</w:t>
            </w:r>
            <w:r w:rsidRPr="004F5C17">
              <w:rPr>
                <w:rFonts w:ascii="Arial" w:hAnsi="Arial" w:cs="Arial"/>
                <w:noProof/>
                <w:webHidden/>
                <w:sz w:val="22"/>
                <w:szCs w:val="22"/>
              </w:rPr>
              <w:fldChar w:fldCharType="end"/>
            </w:r>
          </w:hyperlink>
        </w:p>
        <w:p w14:paraId="20F78E18" w14:textId="1AF81230" w:rsidR="002648D5" w:rsidRPr="004F5C17" w:rsidRDefault="002648D5">
          <w:pPr>
            <w:pStyle w:val="TOC1"/>
            <w:tabs>
              <w:tab w:val="right" w:leader="dot" w:pos="9010"/>
            </w:tabs>
            <w:rPr>
              <w:rFonts w:ascii="Arial" w:eastAsiaTheme="minorEastAsia" w:hAnsi="Arial" w:cs="Arial"/>
              <w:noProof/>
              <w:kern w:val="2"/>
              <w:sz w:val="22"/>
              <w:szCs w:val="22"/>
              <w:lang w:val="en-US"/>
              <w14:ligatures w14:val="standardContextual"/>
            </w:rPr>
          </w:pPr>
          <w:hyperlink w:anchor="_Toc204697934" w:history="1">
            <w:r w:rsidRPr="004F5C17">
              <w:rPr>
                <w:rStyle w:val="Hyperlink"/>
                <w:rFonts w:ascii="Arial" w:hAnsi="Arial" w:cs="Arial"/>
                <w:b/>
                <w:bCs/>
                <w:noProof/>
                <w:sz w:val="22"/>
                <w:szCs w:val="22"/>
              </w:rPr>
              <w:t>Chapter 4: Conclusion</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_Toc204697934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10</w:t>
            </w:r>
            <w:r w:rsidRPr="004F5C17">
              <w:rPr>
                <w:rFonts w:ascii="Arial" w:hAnsi="Arial" w:cs="Arial"/>
                <w:noProof/>
                <w:webHidden/>
                <w:sz w:val="22"/>
                <w:szCs w:val="22"/>
              </w:rPr>
              <w:fldChar w:fldCharType="end"/>
            </w:r>
          </w:hyperlink>
        </w:p>
        <w:p w14:paraId="5412EDCF" w14:textId="4E6B2870" w:rsidR="002648D5" w:rsidRPr="004F5C17" w:rsidRDefault="002648D5">
          <w:pPr>
            <w:pStyle w:val="TOC3"/>
            <w:tabs>
              <w:tab w:val="right" w:leader="dot" w:pos="9010"/>
            </w:tabs>
            <w:rPr>
              <w:rFonts w:ascii="Arial" w:eastAsiaTheme="minorEastAsia" w:hAnsi="Arial" w:cs="Arial"/>
              <w:noProof/>
              <w:kern w:val="2"/>
              <w:sz w:val="22"/>
              <w:szCs w:val="22"/>
              <w:lang w:val="en-US"/>
              <w14:ligatures w14:val="standardContextual"/>
            </w:rPr>
          </w:pPr>
          <w:hyperlink w:anchor="_Toc204697935" w:history="1">
            <w:r w:rsidRPr="004F5C17">
              <w:rPr>
                <w:rStyle w:val="Hyperlink"/>
                <w:rFonts w:ascii="Arial" w:hAnsi="Arial" w:cs="Arial"/>
                <w:b/>
                <w:bCs/>
                <w:noProof/>
                <w:sz w:val="22"/>
                <w:szCs w:val="22"/>
                <w:lang w:val="en-US"/>
              </w:rPr>
              <w:t>Chapter 5: References</w:t>
            </w:r>
            <w:r w:rsidRPr="004F5C17">
              <w:rPr>
                <w:rFonts w:ascii="Arial" w:hAnsi="Arial" w:cs="Arial"/>
                <w:noProof/>
                <w:webHidden/>
                <w:sz w:val="22"/>
                <w:szCs w:val="22"/>
              </w:rPr>
              <w:tab/>
            </w:r>
            <w:r w:rsidRPr="004F5C17">
              <w:rPr>
                <w:rFonts w:ascii="Arial" w:hAnsi="Arial" w:cs="Arial"/>
                <w:noProof/>
                <w:webHidden/>
                <w:sz w:val="22"/>
                <w:szCs w:val="22"/>
              </w:rPr>
              <w:fldChar w:fldCharType="begin"/>
            </w:r>
            <w:r w:rsidRPr="004F5C17">
              <w:rPr>
                <w:rFonts w:ascii="Arial" w:hAnsi="Arial" w:cs="Arial"/>
                <w:noProof/>
                <w:webHidden/>
                <w:sz w:val="22"/>
                <w:szCs w:val="22"/>
              </w:rPr>
              <w:instrText xml:space="preserve"> PAGEREF _Toc204697935 \h </w:instrText>
            </w:r>
            <w:r w:rsidRPr="004F5C17">
              <w:rPr>
                <w:rFonts w:ascii="Arial" w:hAnsi="Arial" w:cs="Arial"/>
                <w:noProof/>
                <w:webHidden/>
                <w:sz w:val="22"/>
                <w:szCs w:val="22"/>
              </w:rPr>
            </w:r>
            <w:r w:rsidRPr="004F5C17">
              <w:rPr>
                <w:rFonts w:ascii="Arial" w:hAnsi="Arial" w:cs="Arial"/>
                <w:noProof/>
                <w:webHidden/>
                <w:sz w:val="22"/>
                <w:szCs w:val="22"/>
              </w:rPr>
              <w:fldChar w:fldCharType="separate"/>
            </w:r>
            <w:r w:rsidR="00495D5F">
              <w:rPr>
                <w:rFonts w:ascii="Arial" w:hAnsi="Arial" w:cs="Arial"/>
                <w:noProof/>
                <w:webHidden/>
                <w:sz w:val="22"/>
                <w:szCs w:val="22"/>
              </w:rPr>
              <w:t>11</w:t>
            </w:r>
            <w:r w:rsidRPr="004F5C17">
              <w:rPr>
                <w:rFonts w:ascii="Arial" w:hAnsi="Arial" w:cs="Arial"/>
                <w:noProof/>
                <w:webHidden/>
                <w:sz w:val="22"/>
                <w:szCs w:val="22"/>
              </w:rPr>
              <w:fldChar w:fldCharType="end"/>
            </w:r>
          </w:hyperlink>
        </w:p>
        <w:p w14:paraId="0AC7732F" w14:textId="6C86F819" w:rsidR="002648D5" w:rsidRDefault="002648D5">
          <w:r w:rsidRPr="004F5C17">
            <w:rPr>
              <w:rFonts w:ascii="Arial" w:hAnsi="Arial" w:cs="Arial"/>
              <w:b/>
              <w:bCs/>
              <w:noProof/>
              <w:sz w:val="22"/>
              <w:szCs w:val="22"/>
            </w:rPr>
            <w:fldChar w:fldCharType="end"/>
          </w:r>
        </w:p>
      </w:sdtContent>
    </w:sdt>
    <w:p w14:paraId="557D2C2A" w14:textId="77777777" w:rsidR="00B82AB7" w:rsidRDefault="00B82AB7" w:rsidP="002648D5">
      <w:pPr>
        <w:spacing w:line="360" w:lineRule="auto"/>
        <w:jc w:val="both"/>
        <w:rPr>
          <w:rFonts w:ascii="Times New Roman" w:hAnsi="Times New Roman" w:cs="Times New Roman"/>
          <w:b/>
          <w:bCs/>
          <w:color w:val="FF0000"/>
          <w:sz w:val="36"/>
          <w:szCs w:val="36"/>
        </w:rPr>
      </w:pPr>
    </w:p>
    <w:p w14:paraId="28B6262F" w14:textId="77777777" w:rsidR="00B82AB7" w:rsidRDefault="00B82AB7" w:rsidP="002648D5">
      <w:pPr>
        <w:spacing w:line="360" w:lineRule="auto"/>
        <w:jc w:val="both"/>
        <w:rPr>
          <w:rFonts w:ascii="Times New Roman" w:hAnsi="Times New Roman" w:cs="Times New Roman"/>
          <w:b/>
          <w:bCs/>
          <w:color w:val="FF0000"/>
          <w:sz w:val="36"/>
          <w:szCs w:val="36"/>
        </w:rPr>
      </w:pPr>
    </w:p>
    <w:p w14:paraId="2B404723" w14:textId="77777777" w:rsidR="00B82AB7" w:rsidRDefault="00B82AB7" w:rsidP="002648D5">
      <w:pPr>
        <w:spacing w:line="360" w:lineRule="auto"/>
        <w:jc w:val="both"/>
        <w:rPr>
          <w:rFonts w:ascii="Times New Roman" w:hAnsi="Times New Roman" w:cs="Times New Roman"/>
          <w:b/>
          <w:bCs/>
          <w:color w:val="FF0000"/>
          <w:sz w:val="36"/>
          <w:szCs w:val="36"/>
        </w:rPr>
      </w:pPr>
    </w:p>
    <w:p w14:paraId="35EAD08B" w14:textId="77777777" w:rsidR="00042291" w:rsidRDefault="00042291" w:rsidP="002648D5">
      <w:pPr>
        <w:spacing w:line="360" w:lineRule="auto"/>
        <w:jc w:val="both"/>
        <w:rPr>
          <w:rFonts w:ascii="Times New Roman" w:hAnsi="Times New Roman" w:cs="Times New Roman"/>
          <w:b/>
          <w:bCs/>
          <w:color w:val="FF0000"/>
          <w:sz w:val="36"/>
          <w:szCs w:val="36"/>
        </w:rPr>
      </w:pPr>
    </w:p>
    <w:p w14:paraId="32D4B18E" w14:textId="2FC29E77" w:rsidR="00042291" w:rsidRPr="004F5C17" w:rsidRDefault="00042291" w:rsidP="002648D5">
      <w:pPr>
        <w:pStyle w:val="Heading1"/>
        <w:spacing w:line="360" w:lineRule="auto"/>
        <w:jc w:val="both"/>
        <w:rPr>
          <w:rFonts w:ascii="Arial" w:hAnsi="Arial" w:cs="Arial"/>
          <w:b/>
          <w:bCs/>
          <w:color w:val="000000" w:themeColor="text1"/>
          <w:sz w:val="22"/>
          <w:szCs w:val="22"/>
        </w:rPr>
      </w:pPr>
      <w:bookmarkStart w:id="0" w:name="_Toc201567549"/>
      <w:bookmarkStart w:id="1" w:name="_Toc201567666"/>
      <w:bookmarkStart w:id="2" w:name="_Toc204697905"/>
      <w:r w:rsidRPr="004F5C17">
        <w:rPr>
          <w:rFonts w:ascii="Arial" w:hAnsi="Arial" w:cs="Arial"/>
          <w:b/>
          <w:bCs/>
          <w:color w:val="000000" w:themeColor="text1"/>
          <w:sz w:val="22"/>
          <w:szCs w:val="22"/>
        </w:rPr>
        <w:lastRenderedPageBreak/>
        <w:t>Chapter 1: Introduction</w:t>
      </w:r>
      <w:bookmarkEnd w:id="0"/>
      <w:bookmarkEnd w:id="1"/>
      <w:bookmarkEnd w:id="2"/>
    </w:p>
    <w:p w14:paraId="7CE8DCC8" w14:textId="12693F36"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The financial ratios are the basic analytical tools which the investors and the analysts apply to determine the performance of the companies and make the investment decision. Such ratios as Price-to-Earnings (P/E) ratio, Earnings Per Share (EPS), Return on Equity (ROE), Debt-to-Equity (D/E) and Current Ratio provide information about the profitability of a firm, liquidity and efficiency of the company and the likelihood of solvency. Financial ratios (in capital markets) are also commonly used to calculate stock value, to discover which securities are worth investing in, and determine how much risk is present in a portfolio.</w:t>
      </w:r>
    </w:p>
    <w:p w14:paraId="0C6ACEE8" w14:textId="78D27594" w:rsidR="00EA4943" w:rsidRPr="004F5C17" w:rsidRDefault="00EA4943" w:rsidP="002648D5">
      <w:pPr>
        <w:pStyle w:val="Heading1"/>
        <w:numPr>
          <w:ilvl w:val="1"/>
          <w:numId w:val="12"/>
        </w:numPr>
        <w:spacing w:line="360" w:lineRule="auto"/>
        <w:rPr>
          <w:rFonts w:ascii="Arial" w:hAnsi="Arial" w:cs="Arial"/>
          <w:b/>
          <w:bCs/>
          <w:color w:val="000000" w:themeColor="text1"/>
          <w:sz w:val="22"/>
          <w:szCs w:val="22"/>
        </w:rPr>
      </w:pPr>
      <w:bookmarkStart w:id="3" w:name="_Toc201567667"/>
      <w:bookmarkStart w:id="4" w:name="_Toc204697906"/>
      <w:r w:rsidRPr="004F5C17">
        <w:rPr>
          <w:rFonts w:ascii="Arial" w:hAnsi="Arial" w:cs="Arial"/>
          <w:b/>
          <w:bCs/>
          <w:color w:val="000000" w:themeColor="text1"/>
          <w:sz w:val="22"/>
          <w:szCs w:val="22"/>
        </w:rPr>
        <w:t>Background of Study</w:t>
      </w:r>
      <w:bookmarkEnd w:id="3"/>
      <w:bookmarkEnd w:id="4"/>
    </w:p>
    <w:p w14:paraId="70D6BB0A" w14:textId="77777777" w:rsidR="00B82AB7" w:rsidRPr="004F5C17" w:rsidRDefault="00B82AB7" w:rsidP="002648D5">
      <w:pPr>
        <w:spacing w:line="360" w:lineRule="auto"/>
        <w:rPr>
          <w:rFonts w:ascii="Arial" w:hAnsi="Arial" w:cs="Arial"/>
          <w:sz w:val="22"/>
          <w:szCs w:val="22"/>
        </w:rPr>
      </w:pPr>
    </w:p>
    <w:p w14:paraId="06967774" w14:textId="6110CF87" w:rsidR="00042291"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 xml:space="preserve">The stock market is very </w:t>
      </w:r>
      <w:r w:rsidR="00B82AB7" w:rsidRPr="004F5C17">
        <w:rPr>
          <w:rFonts w:ascii="Arial" w:hAnsi="Arial" w:cs="Arial"/>
          <w:sz w:val="22"/>
          <w:szCs w:val="22"/>
        </w:rPr>
        <w:t>dynamic,</w:t>
      </w:r>
      <w:r w:rsidRPr="004F5C17">
        <w:rPr>
          <w:rFonts w:ascii="Arial" w:hAnsi="Arial" w:cs="Arial"/>
          <w:sz w:val="22"/>
          <w:szCs w:val="22"/>
        </w:rPr>
        <w:t xml:space="preserve"> and it is one of the major concerns of finance to know what factors determine the prices of shares. Although macroeconomic events and investor confidence are some of the determinants of share prices, company specific indicators such as finances ratio are believed to be significant determinants of share prices. There </w:t>
      </w:r>
      <w:proofErr w:type="gramStart"/>
      <w:r w:rsidRPr="004F5C17">
        <w:rPr>
          <w:rFonts w:ascii="Arial" w:hAnsi="Arial" w:cs="Arial"/>
          <w:sz w:val="22"/>
          <w:szCs w:val="22"/>
        </w:rPr>
        <w:t>is</w:t>
      </w:r>
      <w:proofErr w:type="gramEnd"/>
      <w:r w:rsidRPr="004F5C17">
        <w:rPr>
          <w:rFonts w:ascii="Arial" w:hAnsi="Arial" w:cs="Arial"/>
          <w:sz w:val="22"/>
          <w:szCs w:val="22"/>
        </w:rPr>
        <w:t xml:space="preserve"> however, conflicting evidence as to the extent to which these ratios correlate with stock valuation over time and industries.</w:t>
      </w:r>
    </w:p>
    <w:p w14:paraId="3D430C55" w14:textId="1185A54C" w:rsidR="00EA4943" w:rsidRPr="004F5C17" w:rsidRDefault="00B82AB7" w:rsidP="002648D5">
      <w:pPr>
        <w:pStyle w:val="Heading1"/>
        <w:spacing w:line="360" w:lineRule="auto"/>
        <w:rPr>
          <w:rFonts w:ascii="Arial" w:hAnsi="Arial" w:cs="Arial"/>
          <w:b/>
          <w:bCs/>
          <w:color w:val="000000" w:themeColor="text1"/>
          <w:sz w:val="22"/>
          <w:szCs w:val="22"/>
          <w:lang w:val="en-US"/>
        </w:rPr>
      </w:pPr>
      <w:bookmarkStart w:id="5" w:name="_Toc201567668"/>
      <w:bookmarkStart w:id="6" w:name="_Toc204697907"/>
      <w:r w:rsidRPr="004F5C17">
        <w:rPr>
          <w:rFonts w:ascii="Arial" w:hAnsi="Arial" w:cs="Arial"/>
          <w:b/>
          <w:bCs/>
          <w:color w:val="000000" w:themeColor="text1"/>
          <w:sz w:val="22"/>
          <w:szCs w:val="22"/>
          <w:lang w:val="en-US"/>
        </w:rPr>
        <w:t xml:space="preserve">1.2 </w:t>
      </w:r>
      <w:r w:rsidR="00EA4943" w:rsidRPr="004F5C17">
        <w:rPr>
          <w:rFonts w:ascii="Arial" w:hAnsi="Arial" w:cs="Arial"/>
          <w:b/>
          <w:bCs/>
          <w:color w:val="000000" w:themeColor="text1"/>
          <w:sz w:val="22"/>
          <w:szCs w:val="22"/>
          <w:lang w:val="en-US"/>
        </w:rPr>
        <w:t>Statement of the Problem</w:t>
      </w:r>
      <w:bookmarkEnd w:id="5"/>
      <w:bookmarkEnd w:id="6"/>
    </w:p>
    <w:p w14:paraId="503CF2F1"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Despite their importance, the predictive power of financial ratios on share prices is unclear, especially in the context of the UK stock market during recent economic fluctuations.</w:t>
      </w:r>
    </w:p>
    <w:p w14:paraId="5055637D" w14:textId="5CB2BC45" w:rsidR="00B82AB7" w:rsidRPr="004F5C17" w:rsidRDefault="00B82AB7" w:rsidP="002648D5">
      <w:pPr>
        <w:pStyle w:val="Heading1"/>
        <w:spacing w:line="360" w:lineRule="auto"/>
        <w:rPr>
          <w:rFonts w:ascii="Arial" w:hAnsi="Arial" w:cs="Arial"/>
          <w:b/>
          <w:bCs/>
          <w:color w:val="000000" w:themeColor="text1"/>
          <w:sz w:val="22"/>
          <w:szCs w:val="22"/>
          <w:lang w:val="en-US"/>
        </w:rPr>
      </w:pPr>
      <w:bookmarkStart w:id="7" w:name="_Toc201567669"/>
      <w:bookmarkStart w:id="8" w:name="_Toc204697908"/>
      <w:r w:rsidRPr="004F5C17">
        <w:rPr>
          <w:rFonts w:ascii="Arial" w:hAnsi="Arial" w:cs="Arial"/>
          <w:b/>
          <w:bCs/>
          <w:color w:val="000000" w:themeColor="text1"/>
          <w:sz w:val="22"/>
          <w:szCs w:val="22"/>
          <w:lang w:val="en-US"/>
        </w:rPr>
        <w:t>1.3 Research Aim, Objectives and Questions</w:t>
      </w:r>
      <w:bookmarkEnd w:id="7"/>
      <w:bookmarkEnd w:id="8"/>
    </w:p>
    <w:p w14:paraId="7291CE8C" w14:textId="77777777" w:rsidR="00B82AB7" w:rsidRPr="004F5C17" w:rsidRDefault="00B82AB7" w:rsidP="002648D5">
      <w:pPr>
        <w:spacing w:line="360" w:lineRule="auto"/>
        <w:rPr>
          <w:rFonts w:ascii="Arial" w:hAnsi="Arial" w:cs="Arial"/>
          <w:sz w:val="22"/>
          <w:szCs w:val="22"/>
          <w:lang w:val="en-US"/>
        </w:rPr>
      </w:pPr>
    </w:p>
    <w:p w14:paraId="4D40EE21" w14:textId="77777777" w:rsidR="00EA4943" w:rsidRPr="004F5C17" w:rsidRDefault="00EA4943"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Aim</w:t>
      </w:r>
    </w:p>
    <w:p w14:paraId="4EFC3504"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To examine the statistical impact of selected financial ratios on the share prices of UK-listed firms.</w:t>
      </w:r>
    </w:p>
    <w:p w14:paraId="3C8AA9CD" w14:textId="77777777" w:rsidR="00EA4943" w:rsidRPr="004F5C17" w:rsidRDefault="00EA4943"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Objectives</w:t>
      </w:r>
    </w:p>
    <w:p w14:paraId="738F111C" w14:textId="66BA83AB" w:rsidR="00DF1254" w:rsidRPr="004F5C17" w:rsidRDefault="00DF1254" w:rsidP="00DF1254">
      <w:pPr>
        <w:pStyle w:val="NormalWeb"/>
        <w:numPr>
          <w:ilvl w:val="0"/>
          <w:numId w:val="21"/>
        </w:numPr>
        <w:spacing w:line="360" w:lineRule="auto"/>
        <w:rPr>
          <w:rFonts w:ascii="Arial" w:hAnsi="Arial" w:cs="Arial"/>
          <w:sz w:val="22"/>
          <w:szCs w:val="22"/>
        </w:rPr>
      </w:pPr>
      <w:r w:rsidRPr="004F5C17">
        <w:rPr>
          <w:rFonts w:ascii="Arial" w:hAnsi="Arial" w:cs="Arial"/>
          <w:sz w:val="22"/>
          <w:szCs w:val="22"/>
        </w:rPr>
        <w:t>To evaluate the impact of profitability, liquidity, and valuation ratios on share prices.</w:t>
      </w:r>
    </w:p>
    <w:p w14:paraId="41CFAAFA" w14:textId="77AE1A7B" w:rsidR="00DF1254" w:rsidRPr="004F5C17" w:rsidRDefault="00DF1254" w:rsidP="00DF1254">
      <w:pPr>
        <w:pStyle w:val="NormalWeb"/>
        <w:numPr>
          <w:ilvl w:val="0"/>
          <w:numId w:val="21"/>
        </w:numPr>
        <w:spacing w:line="360" w:lineRule="auto"/>
        <w:rPr>
          <w:rFonts w:ascii="Arial" w:hAnsi="Arial" w:cs="Arial"/>
          <w:sz w:val="22"/>
          <w:szCs w:val="22"/>
        </w:rPr>
      </w:pPr>
      <w:r w:rsidRPr="004F5C17">
        <w:rPr>
          <w:rFonts w:ascii="Arial" w:hAnsi="Arial" w:cs="Arial"/>
          <w:sz w:val="22"/>
          <w:szCs w:val="22"/>
        </w:rPr>
        <w:t xml:space="preserve">To collect </w:t>
      </w:r>
      <w:r w:rsidRPr="004F5C17">
        <w:rPr>
          <w:rFonts w:ascii="Arial" w:hAnsi="Arial" w:cs="Arial"/>
          <w:sz w:val="22"/>
          <w:szCs w:val="22"/>
          <w:lang w:val="en-GB"/>
        </w:rPr>
        <w:t>quantitative financial data from selected companies.</w:t>
      </w:r>
    </w:p>
    <w:p w14:paraId="643217B3" w14:textId="5E4A8FA2" w:rsidR="00DF1254" w:rsidRPr="004F5C17" w:rsidRDefault="00DF1254" w:rsidP="00DF1254">
      <w:pPr>
        <w:pStyle w:val="NormalWeb"/>
        <w:numPr>
          <w:ilvl w:val="0"/>
          <w:numId w:val="21"/>
        </w:numPr>
        <w:spacing w:line="360" w:lineRule="auto"/>
        <w:rPr>
          <w:rFonts w:ascii="Arial" w:hAnsi="Arial" w:cs="Arial"/>
          <w:sz w:val="22"/>
          <w:szCs w:val="22"/>
        </w:rPr>
      </w:pPr>
      <w:r w:rsidRPr="004F5C17">
        <w:rPr>
          <w:rFonts w:ascii="Arial" w:hAnsi="Arial" w:cs="Arial"/>
          <w:sz w:val="22"/>
          <w:szCs w:val="22"/>
          <w:lang w:val="en-GB"/>
        </w:rPr>
        <w:t xml:space="preserve">To apply statistical analysis methods to determine the strength of the relationship between ratios and share price. </w:t>
      </w:r>
    </w:p>
    <w:p w14:paraId="308D6659" w14:textId="1DB56755" w:rsidR="00DF1254" w:rsidRPr="004F5C17" w:rsidRDefault="00DF1254" w:rsidP="00DF1254">
      <w:pPr>
        <w:pStyle w:val="NormalWeb"/>
        <w:numPr>
          <w:ilvl w:val="0"/>
          <w:numId w:val="21"/>
        </w:numPr>
        <w:spacing w:line="360" w:lineRule="auto"/>
        <w:rPr>
          <w:rFonts w:ascii="Arial" w:hAnsi="Arial" w:cs="Arial"/>
          <w:sz w:val="22"/>
          <w:szCs w:val="22"/>
        </w:rPr>
      </w:pPr>
      <w:r w:rsidRPr="004F5C17">
        <w:rPr>
          <w:rFonts w:ascii="Arial" w:hAnsi="Arial" w:cs="Arial"/>
          <w:sz w:val="22"/>
          <w:szCs w:val="22"/>
        </w:rPr>
        <w:t>To provide insights that can support investor decision-making.</w:t>
      </w:r>
    </w:p>
    <w:p w14:paraId="3B9C3E79" w14:textId="77777777" w:rsidR="00DF1254" w:rsidRPr="004F5C17" w:rsidRDefault="00DF1254" w:rsidP="00DF1254">
      <w:pPr>
        <w:spacing w:line="360" w:lineRule="auto"/>
        <w:jc w:val="both"/>
        <w:rPr>
          <w:rFonts w:ascii="Arial" w:hAnsi="Arial" w:cs="Arial"/>
          <w:b/>
          <w:bCs/>
          <w:sz w:val="22"/>
          <w:szCs w:val="22"/>
          <w:lang w:val="en-US"/>
        </w:rPr>
      </w:pPr>
      <w:r w:rsidRPr="004F5C17">
        <w:rPr>
          <w:rFonts w:ascii="Arial" w:hAnsi="Arial" w:cs="Arial"/>
          <w:b/>
          <w:bCs/>
          <w:sz w:val="22"/>
          <w:szCs w:val="22"/>
          <w:lang w:val="en-US"/>
        </w:rPr>
        <w:t>Research Questions</w:t>
      </w:r>
    </w:p>
    <w:p w14:paraId="67797E18" w14:textId="74F7DEFA" w:rsidR="00EA4943" w:rsidRPr="004F5C17" w:rsidRDefault="00DF1254" w:rsidP="00DF1254">
      <w:pPr>
        <w:pStyle w:val="NormalWeb"/>
        <w:numPr>
          <w:ilvl w:val="0"/>
          <w:numId w:val="21"/>
        </w:numPr>
        <w:rPr>
          <w:rFonts w:ascii="Arial" w:hAnsi="Arial" w:cs="Arial"/>
          <w:sz w:val="22"/>
          <w:szCs w:val="22"/>
        </w:rPr>
      </w:pPr>
      <w:r w:rsidRPr="004F5C17">
        <w:rPr>
          <w:rFonts w:ascii="Arial" w:hAnsi="Arial" w:cs="Arial"/>
          <w:sz w:val="22"/>
          <w:szCs w:val="22"/>
        </w:rPr>
        <w:t xml:space="preserve">To apply statistical </w:t>
      </w:r>
      <w:r w:rsidR="00EA4943" w:rsidRPr="004F5C17">
        <w:rPr>
          <w:rFonts w:ascii="Arial" w:hAnsi="Arial" w:cs="Arial"/>
          <w:sz w:val="22"/>
          <w:szCs w:val="22"/>
        </w:rPr>
        <w:t>How do key financial ratios affect share prices?</w:t>
      </w:r>
    </w:p>
    <w:p w14:paraId="3AE74B11" w14:textId="77777777" w:rsidR="00EA4943" w:rsidRPr="004F5C17" w:rsidRDefault="00EA4943" w:rsidP="002648D5">
      <w:pPr>
        <w:numPr>
          <w:ilvl w:val="0"/>
          <w:numId w:val="6"/>
        </w:numPr>
        <w:spacing w:line="360" w:lineRule="auto"/>
        <w:jc w:val="both"/>
        <w:rPr>
          <w:rFonts w:ascii="Arial" w:hAnsi="Arial" w:cs="Arial"/>
          <w:sz w:val="22"/>
          <w:szCs w:val="22"/>
          <w:lang w:val="en-US"/>
        </w:rPr>
      </w:pPr>
      <w:r w:rsidRPr="004F5C17">
        <w:rPr>
          <w:rFonts w:ascii="Arial" w:hAnsi="Arial" w:cs="Arial"/>
          <w:sz w:val="22"/>
          <w:szCs w:val="22"/>
          <w:lang w:val="en-US"/>
        </w:rPr>
        <w:lastRenderedPageBreak/>
        <w:t>Are some ratios better predictors than others?</w:t>
      </w:r>
    </w:p>
    <w:p w14:paraId="253F87D4" w14:textId="77777777" w:rsidR="00EA4943" w:rsidRPr="004F5C17" w:rsidRDefault="00EA4943" w:rsidP="002648D5">
      <w:pPr>
        <w:spacing w:line="360" w:lineRule="auto"/>
        <w:jc w:val="both"/>
        <w:rPr>
          <w:rFonts w:ascii="Arial" w:hAnsi="Arial" w:cs="Arial"/>
          <w:sz w:val="22"/>
          <w:szCs w:val="22"/>
        </w:rPr>
      </w:pPr>
    </w:p>
    <w:p w14:paraId="75F62429" w14:textId="4C24AAB2" w:rsidR="00EA4943" w:rsidRPr="004F5C17" w:rsidRDefault="00EA4943" w:rsidP="002648D5">
      <w:pPr>
        <w:pStyle w:val="Heading1"/>
        <w:spacing w:line="360" w:lineRule="auto"/>
        <w:jc w:val="both"/>
        <w:rPr>
          <w:rFonts w:ascii="Arial" w:hAnsi="Arial" w:cs="Arial"/>
          <w:b/>
          <w:bCs/>
          <w:color w:val="000000" w:themeColor="text1"/>
          <w:sz w:val="22"/>
          <w:szCs w:val="22"/>
        </w:rPr>
      </w:pPr>
      <w:bookmarkStart w:id="9" w:name="_Toc201567550"/>
      <w:bookmarkStart w:id="10" w:name="_Toc201567670"/>
      <w:bookmarkStart w:id="11" w:name="_Toc204697909"/>
      <w:r w:rsidRPr="004F5C17">
        <w:rPr>
          <w:rFonts w:ascii="Arial" w:hAnsi="Arial" w:cs="Arial"/>
          <w:b/>
          <w:bCs/>
          <w:color w:val="000000" w:themeColor="text1"/>
          <w:sz w:val="22"/>
          <w:szCs w:val="22"/>
        </w:rPr>
        <w:t>Chapter 2: Literature Review</w:t>
      </w:r>
      <w:bookmarkEnd w:id="9"/>
      <w:bookmarkEnd w:id="10"/>
      <w:bookmarkEnd w:id="11"/>
    </w:p>
    <w:p w14:paraId="0B18D933"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12" w:name="_Toc201567551"/>
      <w:bookmarkStart w:id="13" w:name="_Toc201567671"/>
      <w:bookmarkStart w:id="14" w:name="_Toc204697910"/>
      <w:r w:rsidRPr="004F5C17">
        <w:rPr>
          <w:rFonts w:ascii="Arial" w:hAnsi="Arial" w:cs="Arial"/>
          <w:b/>
          <w:bCs/>
          <w:color w:val="000000" w:themeColor="text1"/>
          <w:sz w:val="22"/>
          <w:szCs w:val="22"/>
        </w:rPr>
        <w:t>2.1 Introduction</w:t>
      </w:r>
      <w:bookmarkEnd w:id="12"/>
      <w:bookmarkEnd w:id="13"/>
      <w:bookmarkEnd w:id="14"/>
    </w:p>
    <w:p w14:paraId="2BD9DBA2" w14:textId="7147D417"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Financial ratio analysis is a cornerstone of financial statement interpretation. It gives the investors and analysts quantitative evaluation of the financial position of a firm which could be compared across firms and periods. Ratios are classified under different groups like in profitability ratios, liquidity ratio, leverage ratios and efficiency ratios and each ratios special glimpse of assessment of the firm. It has been longtime an issue of empirical interest the relation between these ratios on the one hand and the share prices.</w:t>
      </w:r>
    </w:p>
    <w:p w14:paraId="5F3E61F1" w14:textId="115E7F57" w:rsidR="00EA4943" w:rsidRPr="004F5C17" w:rsidRDefault="00EA4943" w:rsidP="002648D5">
      <w:pPr>
        <w:pStyle w:val="Heading1"/>
        <w:spacing w:line="360" w:lineRule="auto"/>
        <w:rPr>
          <w:rFonts w:ascii="Arial" w:hAnsi="Arial" w:cs="Arial"/>
          <w:b/>
          <w:bCs/>
          <w:color w:val="000000" w:themeColor="text1"/>
          <w:sz w:val="22"/>
          <w:szCs w:val="22"/>
        </w:rPr>
      </w:pPr>
      <w:bookmarkStart w:id="15" w:name="_Toc201567552"/>
      <w:bookmarkStart w:id="16" w:name="_Toc201567672"/>
      <w:bookmarkStart w:id="17" w:name="_Toc204697911"/>
      <w:r w:rsidRPr="004F5C17">
        <w:rPr>
          <w:rFonts w:ascii="Arial" w:hAnsi="Arial" w:cs="Arial"/>
          <w:b/>
          <w:bCs/>
          <w:color w:val="000000" w:themeColor="text1"/>
          <w:sz w:val="22"/>
          <w:szCs w:val="22"/>
        </w:rPr>
        <w:t xml:space="preserve">2.2 </w:t>
      </w:r>
      <w:r w:rsidR="00B82AB7" w:rsidRPr="004F5C17">
        <w:rPr>
          <w:rFonts w:ascii="Arial" w:hAnsi="Arial" w:cs="Arial"/>
          <w:b/>
          <w:bCs/>
          <w:color w:val="000000" w:themeColor="text1"/>
          <w:sz w:val="22"/>
          <w:szCs w:val="22"/>
        </w:rPr>
        <w:t>T</w:t>
      </w:r>
      <w:r w:rsidRPr="004F5C17">
        <w:rPr>
          <w:rFonts w:ascii="Arial" w:hAnsi="Arial" w:cs="Arial"/>
          <w:b/>
          <w:bCs/>
          <w:color w:val="000000" w:themeColor="text1"/>
          <w:sz w:val="22"/>
          <w:szCs w:val="22"/>
        </w:rPr>
        <w:t>heoretical framework</w:t>
      </w:r>
      <w:bookmarkEnd w:id="15"/>
      <w:bookmarkEnd w:id="16"/>
      <w:bookmarkEnd w:id="17"/>
    </w:p>
    <w:p w14:paraId="77404805" w14:textId="43F62C91" w:rsidR="00EA4943" w:rsidRPr="004F5C17" w:rsidRDefault="00F33DF1" w:rsidP="002648D5">
      <w:pPr>
        <w:spacing w:line="360" w:lineRule="auto"/>
        <w:jc w:val="both"/>
        <w:rPr>
          <w:rFonts w:ascii="Arial" w:hAnsi="Arial" w:cs="Arial"/>
          <w:b/>
          <w:bCs/>
          <w:sz w:val="22"/>
          <w:szCs w:val="22"/>
        </w:rPr>
      </w:pPr>
      <w:r w:rsidRPr="004F5C17">
        <w:rPr>
          <w:rFonts w:ascii="Arial" w:hAnsi="Arial" w:cs="Arial"/>
          <w:b/>
          <w:bCs/>
          <w:sz w:val="22"/>
          <w:szCs w:val="22"/>
        </w:rPr>
        <w:t>E</w:t>
      </w:r>
      <w:r w:rsidR="00EA4943" w:rsidRPr="004F5C17">
        <w:rPr>
          <w:rFonts w:ascii="Arial" w:hAnsi="Arial" w:cs="Arial"/>
          <w:b/>
          <w:bCs/>
          <w:sz w:val="22"/>
          <w:szCs w:val="22"/>
        </w:rPr>
        <w:t>fficient Market Hypothesis (EMH)</w:t>
      </w:r>
    </w:p>
    <w:p w14:paraId="4497E2BE" w14:textId="561887D2"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According to EMH proposed by Fama (1970), it was assumed that the prices of stocks use all the information in the public domain, such as the financial ratios. In case markets are semi-strong efficient, the ratios based on publicly available financial information will already be factored into the stocks and less helpful towards prediction.</w:t>
      </w:r>
    </w:p>
    <w:p w14:paraId="11E276C2" w14:textId="77777777" w:rsidR="00EA4943" w:rsidRPr="004F5C17" w:rsidRDefault="00EA4943" w:rsidP="002648D5">
      <w:pPr>
        <w:spacing w:line="360" w:lineRule="auto"/>
        <w:jc w:val="both"/>
        <w:rPr>
          <w:rFonts w:ascii="Arial" w:hAnsi="Arial" w:cs="Arial"/>
          <w:b/>
          <w:bCs/>
          <w:sz w:val="22"/>
          <w:szCs w:val="22"/>
        </w:rPr>
      </w:pPr>
      <w:r w:rsidRPr="004F5C17">
        <w:rPr>
          <w:rFonts w:ascii="Arial" w:hAnsi="Arial" w:cs="Arial"/>
          <w:b/>
          <w:bCs/>
          <w:sz w:val="22"/>
          <w:szCs w:val="22"/>
        </w:rPr>
        <w:t>Fundamental Analysis Theory</w:t>
      </w:r>
    </w:p>
    <w:p w14:paraId="712CC8F5" w14:textId="6BA06BFE"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Unlike EMH, the fundamental analysts believe that careful reading of financial statements can provide a clear indication of the under/ overvalued stocks. Graham and Dodd (1934) assumed that intrinsic value and the market price do not match, and such measures as P/E and ROE could close this gap.</w:t>
      </w:r>
    </w:p>
    <w:p w14:paraId="60567836" w14:textId="0D14A324" w:rsidR="00271D73" w:rsidRPr="004F5C17" w:rsidRDefault="00EA4943" w:rsidP="002648D5">
      <w:pPr>
        <w:pStyle w:val="Heading1"/>
        <w:spacing w:line="360" w:lineRule="auto"/>
        <w:rPr>
          <w:rFonts w:ascii="Arial" w:hAnsi="Arial" w:cs="Arial"/>
          <w:b/>
          <w:bCs/>
          <w:color w:val="000000" w:themeColor="text1"/>
          <w:sz w:val="22"/>
          <w:szCs w:val="22"/>
        </w:rPr>
      </w:pPr>
      <w:bookmarkStart w:id="18" w:name="_Toc201567553"/>
      <w:bookmarkStart w:id="19" w:name="_Toc201567673"/>
      <w:bookmarkStart w:id="20" w:name="_Toc204697912"/>
      <w:r w:rsidRPr="004F5C17">
        <w:rPr>
          <w:rFonts w:ascii="Arial" w:hAnsi="Arial" w:cs="Arial"/>
          <w:b/>
          <w:bCs/>
          <w:color w:val="000000" w:themeColor="text1"/>
          <w:sz w:val="22"/>
          <w:szCs w:val="22"/>
        </w:rPr>
        <w:t>2.3 Major Financial Ratios and Their Usage</w:t>
      </w:r>
      <w:bookmarkStart w:id="21" w:name="_Toc201567554"/>
      <w:bookmarkStart w:id="22" w:name="_Toc201567674"/>
      <w:bookmarkEnd w:id="18"/>
      <w:bookmarkEnd w:id="19"/>
      <w:bookmarkEnd w:id="20"/>
    </w:p>
    <w:p w14:paraId="67F9510D" w14:textId="3CBF98B0" w:rsidR="002648D5"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Financial ratios play a crucial role in evaluating a company's financial performance and determining its impact on share price. In this study, the selected ratios serve as independent variables in a quantitative analysis to explore their relationship with stock valuation. The following sub-sections provide an overview of key ratios that have been found significant in previous literature and financial analysis practice.</w:t>
      </w:r>
    </w:p>
    <w:p w14:paraId="12D07E97" w14:textId="77777777" w:rsidR="00271D73" w:rsidRPr="004F5C17" w:rsidRDefault="00271D73" w:rsidP="002648D5">
      <w:pPr>
        <w:pStyle w:val="Heading2"/>
        <w:spacing w:line="360" w:lineRule="auto"/>
        <w:rPr>
          <w:rFonts w:ascii="Arial" w:hAnsi="Arial" w:cs="Arial"/>
          <w:b/>
          <w:bCs/>
          <w:sz w:val="22"/>
          <w:szCs w:val="22"/>
        </w:rPr>
      </w:pPr>
      <w:bookmarkStart w:id="23" w:name="_Toc204697913"/>
      <w:r w:rsidRPr="004F5C17">
        <w:rPr>
          <w:rFonts w:ascii="Arial" w:hAnsi="Arial" w:cs="Arial"/>
          <w:b/>
          <w:bCs/>
          <w:color w:val="auto"/>
          <w:sz w:val="22"/>
          <w:szCs w:val="22"/>
        </w:rPr>
        <w:t>2.3.1 Return on Assets (ROA)</w:t>
      </w:r>
      <w:bookmarkEnd w:id="23"/>
    </w:p>
    <w:p w14:paraId="63951755"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 xml:space="preserve">Return on Assets (ROA) is a profitability ratio that measures how efficiently a company utilizes its assets to generate net income. It is calculated by dividing net income by total assets. A high ROA suggests that a company is effective in converting its investments into earnings, which may lead to an increase in investor confidence and subsequently, share price. ROA is particularly useful in comparing performance across industries and firms of different sizes. </w:t>
      </w:r>
      <w:r w:rsidRPr="004F5C17">
        <w:rPr>
          <w:rFonts w:ascii="Arial" w:hAnsi="Arial" w:cs="Arial"/>
          <w:sz w:val="22"/>
          <w:szCs w:val="22"/>
        </w:rPr>
        <w:lastRenderedPageBreak/>
        <w:t>Damodaran (2012) highlights ROA as a reliable metric for evaluating operational efficiency and return potential in asset-heavy sectors.</w:t>
      </w:r>
    </w:p>
    <w:p w14:paraId="5A301DD3" w14:textId="77777777" w:rsidR="002648D5" w:rsidRPr="004F5C17" w:rsidRDefault="002648D5" w:rsidP="002648D5">
      <w:pPr>
        <w:spacing w:line="360" w:lineRule="auto"/>
        <w:jc w:val="both"/>
        <w:rPr>
          <w:rFonts w:ascii="Arial" w:hAnsi="Arial" w:cs="Arial"/>
          <w:sz w:val="22"/>
          <w:szCs w:val="22"/>
        </w:rPr>
      </w:pPr>
    </w:p>
    <w:p w14:paraId="69AD05B9" w14:textId="77777777" w:rsidR="00271D73" w:rsidRPr="004F5C17" w:rsidRDefault="00271D73" w:rsidP="002648D5">
      <w:pPr>
        <w:pStyle w:val="Heading2"/>
        <w:spacing w:line="360" w:lineRule="auto"/>
        <w:rPr>
          <w:rFonts w:ascii="Arial" w:hAnsi="Arial" w:cs="Arial"/>
          <w:b/>
          <w:bCs/>
          <w:color w:val="auto"/>
          <w:sz w:val="22"/>
          <w:szCs w:val="22"/>
        </w:rPr>
      </w:pPr>
      <w:bookmarkStart w:id="24" w:name="_Toc204697914"/>
      <w:r w:rsidRPr="004F5C17">
        <w:rPr>
          <w:rFonts w:ascii="Arial" w:hAnsi="Arial" w:cs="Arial"/>
          <w:b/>
          <w:bCs/>
          <w:color w:val="auto"/>
          <w:sz w:val="22"/>
          <w:szCs w:val="22"/>
        </w:rPr>
        <w:t>2.3.2 Return on Liquidity</w:t>
      </w:r>
      <w:bookmarkEnd w:id="24"/>
    </w:p>
    <w:p w14:paraId="2DC16EFD"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Return on Liquidity is an emerging financial indicator that assesses the return generated from a firm’s liquid assets, such as cash, marketable securities, and equivalents. This ratio helps in understanding how well a company manages its liquidity while still delivering returns. Although less commonly used in traditional finance models, it has gained traction as firms increasingly seek to balance liquidity and profitability amidst global economic uncertainties (Gitman et al., 2015). A high return on liquidity implies strategic cash management and resilience, which can have a stabilising impact on share price during volatile market conditions.</w:t>
      </w:r>
    </w:p>
    <w:p w14:paraId="0CCB4A80" w14:textId="77777777" w:rsidR="002648D5" w:rsidRPr="004F5C17" w:rsidRDefault="002648D5" w:rsidP="002648D5">
      <w:pPr>
        <w:spacing w:line="360" w:lineRule="auto"/>
        <w:jc w:val="both"/>
        <w:rPr>
          <w:rFonts w:ascii="Arial" w:hAnsi="Arial" w:cs="Arial"/>
          <w:sz w:val="22"/>
          <w:szCs w:val="22"/>
        </w:rPr>
      </w:pPr>
    </w:p>
    <w:p w14:paraId="70CB9F26" w14:textId="77777777" w:rsidR="00271D73" w:rsidRPr="004F5C17" w:rsidRDefault="00271D73" w:rsidP="002648D5">
      <w:pPr>
        <w:pStyle w:val="Heading2"/>
        <w:spacing w:line="360" w:lineRule="auto"/>
        <w:rPr>
          <w:rFonts w:ascii="Arial" w:hAnsi="Arial" w:cs="Arial"/>
          <w:b/>
          <w:bCs/>
          <w:color w:val="auto"/>
          <w:sz w:val="22"/>
          <w:szCs w:val="22"/>
        </w:rPr>
      </w:pPr>
      <w:bookmarkStart w:id="25" w:name="_Toc204697915"/>
      <w:r w:rsidRPr="004F5C17">
        <w:rPr>
          <w:rFonts w:ascii="Arial" w:hAnsi="Arial" w:cs="Arial"/>
          <w:b/>
          <w:bCs/>
          <w:color w:val="auto"/>
          <w:sz w:val="22"/>
          <w:szCs w:val="22"/>
        </w:rPr>
        <w:t>2.3.3 Net Profit Margin</w:t>
      </w:r>
      <w:bookmarkEnd w:id="25"/>
    </w:p>
    <w:p w14:paraId="4EA55A55"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Net Profit Margin indicates the percentage of revenue that remains as net income after all operating and non-operating expenses are deducted. It reflects a company’s overall efficiency in converting revenue into actual profit. A high net profit margin signals effective cost management, strong pricing strategies, and operational control—factors that tend to positively influence share prices. As suggested by Higgins (2012), investors often associate consistent and high net margins with long-term financial stability and growth, making the metric a significant determinant of market valuation.</w:t>
      </w:r>
    </w:p>
    <w:p w14:paraId="08B13363" w14:textId="77777777" w:rsidR="002648D5" w:rsidRPr="004F5C17" w:rsidRDefault="002648D5" w:rsidP="002648D5">
      <w:pPr>
        <w:spacing w:line="360" w:lineRule="auto"/>
        <w:jc w:val="both"/>
        <w:rPr>
          <w:rFonts w:ascii="Arial" w:hAnsi="Arial" w:cs="Arial"/>
          <w:sz w:val="22"/>
          <w:szCs w:val="22"/>
        </w:rPr>
      </w:pPr>
    </w:p>
    <w:p w14:paraId="38874D84" w14:textId="77777777" w:rsidR="00271D73" w:rsidRPr="004F5C17" w:rsidRDefault="00271D73" w:rsidP="002648D5">
      <w:pPr>
        <w:pStyle w:val="Heading2"/>
        <w:spacing w:line="360" w:lineRule="auto"/>
        <w:rPr>
          <w:rFonts w:ascii="Arial" w:hAnsi="Arial" w:cs="Arial"/>
          <w:b/>
          <w:bCs/>
          <w:color w:val="auto"/>
          <w:sz w:val="22"/>
          <w:szCs w:val="22"/>
        </w:rPr>
      </w:pPr>
      <w:bookmarkStart w:id="26" w:name="_Toc204697916"/>
      <w:r w:rsidRPr="004F5C17">
        <w:rPr>
          <w:rFonts w:ascii="Arial" w:hAnsi="Arial" w:cs="Arial"/>
          <w:b/>
          <w:bCs/>
          <w:color w:val="auto"/>
          <w:sz w:val="22"/>
          <w:szCs w:val="22"/>
        </w:rPr>
        <w:t>2.3.4 Dividend Yield</w:t>
      </w:r>
      <w:bookmarkEnd w:id="26"/>
    </w:p>
    <w:p w14:paraId="39B5843D"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Dividend Yield measures the annual dividend payout relative to the share's market price. It is a key indicator for income-focused investors who value regular returns over speculative capital gains. This ratio is particularly relevant for mature, dividend-paying companies, where consistent yield can drive investor demand and reinforce share price stability. However, excessively high dividend yields may indicate potential financial distress or unsustainable payout ratios (Brealey, Myers and Allen, 2014). Thus, it offers a dual perspective—return generation and risk assessment.</w:t>
      </w:r>
    </w:p>
    <w:p w14:paraId="3BF4DF77" w14:textId="77777777" w:rsidR="002648D5" w:rsidRPr="004F5C17" w:rsidRDefault="002648D5" w:rsidP="002648D5">
      <w:pPr>
        <w:spacing w:line="360" w:lineRule="auto"/>
        <w:jc w:val="both"/>
        <w:rPr>
          <w:rFonts w:ascii="Arial" w:hAnsi="Arial" w:cs="Arial"/>
          <w:sz w:val="22"/>
          <w:szCs w:val="22"/>
        </w:rPr>
      </w:pPr>
    </w:p>
    <w:p w14:paraId="4AA2215C" w14:textId="77777777" w:rsidR="00271D73" w:rsidRPr="004F5C17" w:rsidRDefault="00271D73" w:rsidP="002648D5">
      <w:pPr>
        <w:pStyle w:val="Heading2"/>
        <w:spacing w:line="360" w:lineRule="auto"/>
        <w:rPr>
          <w:rFonts w:ascii="Arial" w:hAnsi="Arial" w:cs="Arial"/>
          <w:b/>
          <w:bCs/>
          <w:color w:val="auto"/>
          <w:sz w:val="22"/>
          <w:szCs w:val="22"/>
        </w:rPr>
      </w:pPr>
      <w:bookmarkStart w:id="27" w:name="_Toc204697917"/>
      <w:r w:rsidRPr="004F5C17">
        <w:rPr>
          <w:rFonts w:ascii="Arial" w:hAnsi="Arial" w:cs="Arial"/>
          <w:b/>
          <w:bCs/>
          <w:color w:val="auto"/>
          <w:sz w:val="22"/>
          <w:szCs w:val="22"/>
        </w:rPr>
        <w:t>2.3.5 Price-to-Earnings (P/E) Ratio</w:t>
      </w:r>
      <w:bookmarkEnd w:id="27"/>
    </w:p>
    <w:p w14:paraId="48E6AC19"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The P/E ratio is calculated by dividing the market price per share by earnings per share (EPS). It is often used as a barometer of market expectations about future earnings. A high P/E may imply overvaluation or anticipated growth, while a low P/E might indicate undervaluation or declining profitability. According to Penman (2013), the P/E ratio reflects investor sentiment and growth expectations, making it a significant input in stock valuation models.</w:t>
      </w:r>
    </w:p>
    <w:p w14:paraId="416E1EB1" w14:textId="77777777" w:rsidR="002648D5" w:rsidRPr="004F5C17" w:rsidRDefault="002648D5" w:rsidP="002648D5">
      <w:pPr>
        <w:spacing w:line="360" w:lineRule="auto"/>
        <w:jc w:val="both"/>
        <w:rPr>
          <w:rFonts w:ascii="Arial" w:hAnsi="Arial" w:cs="Arial"/>
          <w:sz w:val="22"/>
          <w:szCs w:val="22"/>
        </w:rPr>
      </w:pPr>
    </w:p>
    <w:p w14:paraId="54652794" w14:textId="77777777" w:rsidR="00271D73" w:rsidRPr="004F5C17" w:rsidRDefault="00271D73" w:rsidP="002648D5">
      <w:pPr>
        <w:pStyle w:val="Heading2"/>
        <w:spacing w:line="360" w:lineRule="auto"/>
        <w:rPr>
          <w:rFonts w:ascii="Arial" w:hAnsi="Arial" w:cs="Arial"/>
          <w:b/>
          <w:bCs/>
          <w:color w:val="auto"/>
          <w:sz w:val="22"/>
          <w:szCs w:val="22"/>
        </w:rPr>
      </w:pPr>
      <w:bookmarkStart w:id="28" w:name="_Toc204697918"/>
      <w:r w:rsidRPr="004F5C17">
        <w:rPr>
          <w:rFonts w:ascii="Arial" w:hAnsi="Arial" w:cs="Arial"/>
          <w:b/>
          <w:bCs/>
          <w:color w:val="auto"/>
          <w:sz w:val="22"/>
          <w:szCs w:val="22"/>
        </w:rPr>
        <w:t>2.3.6 Earnings Per Share (EPS)</w:t>
      </w:r>
      <w:bookmarkEnd w:id="28"/>
    </w:p>
    <w:p w14:paraId="47AC3334" w14:textId="77777777"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EPS represents the amount of net income earned per outstanding share. It is a core measure of a company's profitability and a major influence on investor decisions. Higher EPS values typically correlate with increasing share prices, especially when combined with consistent earnings growth. Reilly and Brown (2012) emphasize that EPS is not only a performance measure but also a foundational component of other valuation ratios like the P/E and PEG ratios.</w:t>
      </w:r>
    </w:p>
    <w:p w14:paraId="5ECB5E48" w14:textId="77777777" w:rsidR="002648D5" w:rsidRPr="004F5C17" w:rsidRDefault="002648D5" w:rsidP="002648D5">
      <w:pPr>
        <w:spacing w:line="360" w:lineRule="auto"/>
        <w:jc w:val="both"/>
        <w:rPr>
          <w:rFonts w:ascii="Arial" w:hAnsi="Arial" w:cs="Arial"/>
          <w:sz w:val="22"/>
          <w:szCs w:val="22"/>
        </w:rPr>
      </w:pPr>
    </w:p>
    <w:p w14:paraId="343534F2" w14:textId="77777777" w:rsidR="00271D73" w:rsidRPr="004F5C17" w:rsidRDefault="00271D73" w:rsidP="002648D5">
      <w:pPr>
        <w:pStyle w:val="Heading2"/>
        <w:spacing w:line="360" w:lineRule="auto"/>
        <w:rPr>
          <w:rFonts w:ascii="Arial" w:hAnsi="Arial" w:cs="Arial"/>
          <w:b/>
          <w:bCs/>
          <w:color w:val="auto"/>
          <w:sz w:val="22"/>
          <w:szCs w:val="22"/>
        </w:rPr>
      </w:pPr>
      <w:bookmarkStart w:id="29" w:name="_Toc204697919"/>
      <w:r w:rsidRPr="004F5C17">
        <w:rPr>
          <w:rFonts w:ascii="Arial" w:hAnsi="Arial" w:cs="Arial"/>
          <w:b/>
          <w:bCs/>
          <w:color w:val="auto"/>
          <w:sz w:val="22"/>
          <w:szCs w:val="22"/>
        </w:rPr>
        <w:t>2.3.7 PEG Ratio (Price/Earnings to Growth)</w:t>
      </w:r>
      <w:bookmarkEnd w:id="29"/>
    </w:p>
    <w:p w14:paraId="783D06B2" w14:textId="52EFA98D" w:rsidR="00271D73" w:rsidRPr="004F5C17" w:rsidRDefault="00271D73" w:rsidP="002648D5">
      <w:pPr>
        <w:spacing w:line="360" w:lineRule="auto"/>
        <w:jc w:val="both"/>
        <w:rPr>
          <w:rFonts w:ascii="Arial" w:hAnsi="Arial" w:cs="Arial"/>
          <w:sz w:val="22"/>
          <w:szCs w:val="22"/>
        </w:rPr>
      </w:pPr>
      <w:r w:rsidRPr="004F5C17">
        <w:rPr>
          <w:rFonts w:ascii="Arial" w:hAnsi="Arial" w:cs="Arial"/>
          <w:sz w:val="22"/>
          <w:szCs w:val="22"/>
        </w:rPr>
        <w:t xml:space="preserve">The PEG ratio adjusts the traditional P/E ratio by accounting for a company’s earnings growth rate. It is calculated as the P/E ratio divided by the annual EPS growth rate. A PEG ratio below 1.0 generally suggests that a stock is undervalued relative to its growth potential. This makes PEG particularly useful in sectors characterised by rapid expansion, such as technology. Lakonishok et al. (1994) argue that PEG offers a more balanced view of valuation by integrating both current performance and </w:t>
      </w:r>
      <w:r w:rsidR="00DF1254" w:rsidRPr="004F5C17">
        <w:rPr>
          <w:rFonts w:ascii="Arial" w:hAnsi="Arial" w:cs="Arial"/>
          <w:sz w:val="22"/>
          <w:szCs w:val="22"/>
        </w:rPr>
        <w:t>prospects</w:t>
      </w:r>
      <w:r w:rsidRPr="004F5C17">
        <w:rPr>
          <w:rFonts w:ascii="Arial" w:hAnsi="Arial" w:cs="Arial"/>
          <w:sz w:val="22"/>
          <w:szCs w:val="22"/>
        </w:rPr>
        <w:t>.</w:t>
      </w:r>
    </w:p>
    <w:p w14:paraId="2C9A6471" w14:textId="77777777" w:rsidR="002648D5" w:rsidRPr="004F5C17" w:rsidRDefault="002648D5" w:rsidP="002648D5">
      <w:pPr>
        <w:spacing w:line="360" w:lineRule="auto"/>
        <w:jc w:val="both"/>
        <w:rPr>
          <w:rFonts w:ascii="Arial" w:hAnsi="Arial" w:cs="Arial"/>
          <w:sz w:val="22"/>
          <w:szCs w:val="22"/>
        </w:rPr>
      </w:pPr>
    </w:p>
    <w:p w14:paraId="7318B8B4" w14:textId="77777777" w:rsidR="00EA4943" w:rsidRPr="004F5C17" w:rsidRDefault="00EA4943" w:rsidP="002648D5">
      <w:pPr>
        <w:pStyle w:val="Heading1"/>
        <w:spacing w:line="360" w:lineRule="auto"/>
        <w:rPr>
          <w:rFonts w:ascii="Arial" w:hAnsi="Arial" w:cs="Arial"/>
          <w:b/>
          <w:bCs/>
          <w:color w:val="000000" w:themeColor="text1"/>
          <w:sz w:val="22"/>
          <w:szCs w:val="22"/>
          <w:lang w:val="en-US"/>
        </w:rPr>
      </w:pPr>
      <w:bookmarkStart w:id="30" w:name="_Toc204697920"/>
      <w:r w:rsidRPr="004F5C17">
        <w:rPr>
          <w:rFonts w:ascii="Arial" w:hAnsi="Arial" w:cs="Arial"/>
          <w:b/>
          <w:bCs/>
          <w:color w:val="000000" w:themeColor="text1"/>
          <w:sz w:val="22"/>
          <w:szCs w:val="22"/>
          <w:lang w:val="en-US"/>
        </w:rPr>
        <w:t>2.4 Empirical Findings</w:t>
      </w:r>
      <w:bookmarkEnd w:id="21"/>
      <w:bookmarkEnd w:id="22"/>
      <w:bookmarkEnd w:id="30"/>
    </w:p>
    <w:p w14:paraId="1672D8B7"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Numerous studies have evaluated the relationship between financial ratios and share prices:</w:t>
      </w:r>
    </w:p>
    <w:p w14:paraId="4EF099C1" w14:textId="77777777" w:rsidR="00EA4943" w:rsidRPr="004F5C17" w:rsidRDefault="00EA4943" w:rsidP="002648D5">
      <w:pPr>
        <w:numPr>
          <w:ilvl w:val="0"/>
          <w:numId w:val="7"/>
        </w:numPr>
        <w:spacing w:line="360" w:lineRule="auto"/>
        <w:jc w:val="both"/>
        <w:rPr>
          <w:rFonts w:ascii="Arial" w:hAnsi="Arial" w:cs="Arial"/>
          <w:sz w:val="22"/>
          <w:szCs w:val="22"/>
          <w:lang w:val="en-US"/>
        </w:rPr>
      </w:pPr>
      <w:r w:rsidRPr="004F5C17">
        <w:rPr>
          <w:rFonts w:ascii="Arial" w:hAnsi="Arial" w:cs="Arial"/>
          <w:b/>
          <w:bCs/>
          <w:sz w:val="22"/>
          <w:szCs w:val="22"/>
          <w:lang w:val="en-US"/>
        </w:rPr>
        <w:t>Basu (1977)</w:t>
      </w:r>
      <w:r w:rsidRPr="004F5C17">
        <w:rPr>
          <w:rFonts w:ascii="Arial" w:hAnsi="Arial" w:cs="Arial"/>
          <w:sz w:val="22"/>
          <w:szCs w:val="22"/>
          <w:lang w:val="en-US"/>
        </w:rPr>
        <w:t xml:space="preserve"> demonstrated that low P/E stocks yield superior returns.</w:t>
      </w:r>
    </w:p>
    <w:p w14:paraId="7F476092" w14:textId="77777777" w:rsidR="00EA4943" w:rsidRPr="004F5C17" w:rsidRDefault="00EA4943" w:rsidP="002648D5">
      <w:pPr>
        <w:numPr>
          <w:ilvl w:val="0"/>
          <w:numId w:val="7"/>
        </w:numPr>
        <w:spacing w:line="360" w:lineRule="auto"/>
        <w:jc w:val="both"/>
        <w:rPr>
          <w:rFonts w:ascii="Arial" w:hAnsi="Arial" w:cs="Arial"/>
          <w:sz w:val="22"/>
          <w:szCs w:val="22"/>
          <w:lang w:val="en-US"/>
        </w:rPr>
      </w:pPr>
      <w:r w:rsidRPr="004F5C17">
        <w:rPr>
          <w:rFonts w:ascii="Arial" w:hAnsi="Arial" w:cs="Arial"/>
          <w:b/>
          <w:bCs/>
          <w:sz w:val="22"/>
          <w:szCs w:val="22"/>
          <w:lang w:val="en-US"/>
        </w:rPr>
        <w:t>Al-Mwalla (2012)</w:t>
      </w:r>
      <w:r w:rsidRPr="004F5C17">
        <w:rPr>
          <w:rFonts w:ascii="Arial" w:hAnsi="Arial" w:cs="Arial"/>
          <w:sz w:val="22"/>
          <w:szCs w:val="22"/>
          <w:lang w:val="en-US"/>
        </w:rPr>
        <w:t xml:space="preserve"> found that D/E and ROE significantly affect market value.</w:t>
      </w:r>
    </w:p>
    <w:p w14:paraId="7050AA9C" w14:textId="77777777" w:rsidR="00EA4943" w:rsidRPr="004F5C17" w:rsidRDefault="00EA4943" w:rsidP="002648D5">
      <w:pPr>
        <w:numPr>
          <w:ilvl w:val="0"/>
          <w:numId w:val="7"/>
        </w:numPr>
        <w:spacing w:line="360" w:lineRule="auto"/>
        <w:jc w:val="both"/>
        <w:rPr>
          <w:rFonts w:ascii="Arial" w:hAnsi="Arial" w:cs="Arial"/>
          <w:sz w:val="22"/>
          <w:szCs w:val="22"/>
          <w:lang w:val="en-US"/>
        </w:rPr>
      </w:pPr>
      <w:r w:rsidRPr="004F5C17">
        <w:rPr>
          <w:rFonts w:ascii="Arial" w:hAnsi="Arial" w:cs="Arial"/>
          <w:b/>
          <w:bCs/>
          <w:sz w:val="22"/>
          <w:szCs w:val="22"/>
          <w:lang w:val="en-US"/>
        </w:rPr>
        <w:t>Chen and Zhao (2009)</w:t>
      </w:r>
      <w:r w:rsidRPr="004F5C17">
        <w:rPr>
          <w:rFonts w:ascii="Arial" w:hAnsi="Arial" w:cs="Arial"/>
          <w:sz w:val="22"/>
          <w:szCs w:val="22"/>
          <w:lang w:val="en-US"/>
        </w:rPr>
        <w:t xml:space="preserve"> established that EPS and ROE are strong predictors of future stock returns in developed markets.</w:t>
      </w:r>
    </w:p>
    <w:p w14:paraId="61AE2053" w14:textId="77777777" w:rsidR="00EA4943" w:rsidRPr="004F5C17" w:rsidRDefault="00EA4943" w:rsidP="002648D5">
      <w:pPr>
        <w:numPr>
          <w:ilvl w:val="0"/>
          <w:numId w:val="7"/>
        </w:numPr>
        <w:spacing w:line="360" w:lineRule="auto"/>
        <w:jc w:val="both"/>
        <w:rPr>
          <w:rFonts w:ascii="Arial" w:hAnsi="Arial" w:cs="Arial"/>
          <w:sz w:val="22"/>
          <w:szCs w:val="22"/>
          <w:lang w:val="en-US"/>
        </w:rPr>
      </w:pPr>
      <w:r w:rsidRPr="004F5C17">
        <w:rPr>
          <w:rFonts w:ascii="Arial" w:hAnsi="Arial" w:cs="Arial"/>
          <w:b/>
          <w:bCs/>
          <w:sz w:val="22"/>
          <w:szCs w:val="22"/>
          <w:lang w:val="en-US"/>
        </w:rPr>
        <w:t>Mohamad et al. (2010)</w:t>
      </w:r>
      <w:r w:rsidRPr="004F5C17">
        <w:rPr>
          <w:rFonts w:ascii="Arial" w:hAnsi="Arial" w:cs="Arial"/>
          <w:sz w:val="22"/>
          <w:szCs w:val="22"/>
          <w:lang w:val="en-US"/>
        </w:rPr>
        <w:t>, studying Malaysian firms, found only profitability ratios had strong explanatory power on share prices.</w:t>
      </w:r>
    </w:p>
    <w:p w14:paraId="25BF4559" w14:textId="535853CC"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These mixed results show that the relationship can vary across regions, sectors, and time frames.</w:t>
      </w:r>
    </w:p>
    <w:p w14:paraId="0696ACFA" w14:textId="77777777" w:rsidR="00EA4943" w:rsidRPr="004F5C17" w:rsidRDefault="00EA4943" w:rsidP="002648D5">
      <w:pPr>
        <w:pStyle w:val="Heading1"/>
        <w:spacing w:line="360" w:lineRule="auto"/>
        <w:rPr>
          <w:rFonts w:ascii="Arial" w:hAnsi="Arial" w:cs="Arial"/>
          <w:b/>
          <w:bCs/>
          <w:color w:val="000000" w:themeColor="text1"/>
          <w:sz w:val="22"/>
          <w:szCs w:val="22"/>
          <w:lang w:val="en-US"/>
        </w:rPr>
      </w:pPr>
      <w:bookmarkStart w:id="31" w:name="_Toc201567555"/>
      <w:bookmarkStart w:id="32" w:name="_Toc201567675"/>
      <w:bookmarkStart w:id="33" w:name="_Toc204697921"/>
      <w:r w:rsidRPr="004F5C17">
        <w:rPr>
          <w:rFonts w:ascii="Arial" w:hAnsi="Arial" w:cs="Arial"/>
          <w:b/>
          <w:bCs/>
          <w:color w:val="000000" w:themeColor="text1"/>
          <w:sz w:val="22"/>
          <w:szCs w:val="22"/>
          <w:lang w:val="en-US"/>
        </w:rPr>
        <w:t>2.5 Conceptual Framework</w:t>
      </w:r>
      <w:bookmarkEnd w:id="31"/>
      <w:bookmarkEnd w:id="32"/>
      <w:bookmarkEnd w:id="33"/>
    </w:p>
    <w:p w14:paraId="3AF60CF3" w14:textId="77777777" w:rsidR="00271D73" w:rsidRPr="004F5C17" w:rsidRDefault="00271D73" w:rsidP="002648D5">
      <w:pPr>
        <w:spacing w:line="360" w:lineRule="auto"/>
        <w:rPr>
          <w:rFonts w:ascii="Arial" w:hAnsi="Arial" w:cs="Arial"/>
          <w:b/>
          <w:bCs/>
          <w:sz w:val="22"/>
          <w:szCs w:val="22"/>
          <w:lang w:val="en-US"/>
        </w:rPr>
      </w:pPr>
      <w:r w:rsidRPr="004F5C17">
        <w:rPr>
          <w:rFonts w:ascii="Arial" w:hAnsi="Arial" w:cs="Arial"/>
          <w:b/>
          <w:bCs/>
          <w:sz w:val="22"/>
          <w:szCs w:val="22"/>
          <w:lang w:val="en-US"/>
        </w:rPr>
        <w:t>2.5.2 Variables of the Study</w:t>
      </w:r>
    </w:p>
    <w:p w14:paraId="0C5BA1B1" w14:textId="77777777" w:rsidR="00271D73" w:rsidRPr="004F5C17" w:rsidRDefault="00271D73" w:rsidP="002648D5">
      <w:pPr>
        <w:spacing w:line="360" w:lineRule="auto"/>
        <w:rPr>
          <w:rFonts w:ascii="Arial" w:hAnsi="Arial" w:cs="Arial"/>
          <w:b/>
          <w:bCs/>
          <w:sz w:val="22"/>
          <w:szCs w:val="22"/>
          <w:lang w:val="en-US"/>
        </w:rPr>
      </w:pPr>
      <w:r w:rsidRPr="004F5C17">
        <w:rPr>
          <w:rFonts w:ascii="Arial" w:hAnsi="Arial" w:cs="Arial"/>
          <w:b/>
          <w:bCs/>
          <w:sz w:val="22"/>
          <w:szCs w:val="22"/>
          <w:lang w:val="en-US"/>
        </w:rPr>
        <w:t>Dependent Variable:</w:t>
      </w:r>
    </w:p>
    <w:p w14:paraId="3256CDDB" w14:textId="13B3F28B" w:rsidR="00271D73" w:rsidRPr="004F5C17" w:rsidRDefault="00271D73" w:rsidP="002648D5">
      <w:pPr>
        <w:numPr>
          <w:ilvl w:val="0"/>
          <w:numId w:val="13"/>
        </w:numPr>
        <w:spacing w:line="360" w:lineRule="auto"/>
        <w:rPr>
          <w:rFonts w:ascii="Arial" w:hAnsi="Arial" w:cs="Arial"/>
          <w:sz w:val="22"/>
          <w:szCs w:val="22"/>
          <w:lang w:val="en-US"/>
        </w:rPr>
      </w:pPr>
      <w:r w:rsidRPr="004F5C17">
        <w:rPr>
          <w:rFonts w:ascii="Arial" w:hAnsi="Arial" w:cs="Arial"/>
          <w:b/>
          <w:bCs/>
          <w:sz w:val="22"/>
          <w:szCs w:val="22"/>
          <w:lang w:val="en-US"/>
        </w:rPr>
        <w:t>Share Price</w:t>
      </w:r>
      <w:r w:rsidRPr="004F5C17">
        <w:rPr>
          <w:rFonts w:ascii="Arial" w:hAnsi="Arial" w:cs="Arial"/>
          <w:sz w:val="22"/>
          <w:szCs w:val="22"/>
          <w:lang w:val="en-US"/>
        </w:rPr>
        <w:t xml:space="preserve">: The market price per common share of a firm at a given date. It reflects investor valuation and </w:t>
      </w:r>
      <w:r w:rsidR="00B775AD" w:rsidRPr="004F5C17">
        <w:rPr>
          <w:rFonts w:ascii="Arial" w:hAnsi="Arial" w:cs="Arial"/>
          <w:sz w:val="22"/>
          <w:szCs w:val="22"/>
          <w:lang w:val="en-US"/>
        </w:rPr>
        <w:t>the market</w:t>
      </w:r>
      <w:r w:rsidRPr="004F5C17">
        <w:rPr>
          <w:rFonts w:ascii="Arial" w:hAnsi="Arial" w:cs="Arial"/>
          <w:sz w:val="22"/>
          <w:szCs w:val="22"/>
          <w:lang w:val="en-US"/>
        </w:rPr>
        <w:t xml:space="preserve"> performance of the company.</w:t>
      </w:r>
    </w:p>
    <w:p w14:paraId="47241A22" w14:textId="77777777" w:rsidR="00271D73" w:rsidRPr="004F5C17" w:rsidRDefault="00271D73" w:rsidP="002648D5">
      <w:pPr>
        <w:spacing w:line="360" w:lineRule="auto"/>
        <w:rPr>
          <w:rFonts w:ascii="Arial" w:hAnsi="Arial" w:cs="Arial"/>
          <w:b/>
          <w:bCs/>
          <w:sz w:val="22"/>
          <w:szCs w:val="22"/>
          <w:lang w:val="en-US"/>
        </w:rPr>
      </w:pPr>
      <w:r w:rsidRPr="004F5C17">
        <w:rPr>
          <w:rFonts w:ascii="Arial" w:hAnsi="Arial" w:cs="Arial"/>
          <w:b/>
          <w:bCs/>
          <w:sz w:val="22"/>
          <w:szCs w:val="22"/>
          <w:lang w:val="en-US"/>
        </w:rPr>
        <w:t>Independent Variables (Financial Ratios):</w:t>
      </w:r>
    </w:p>
    <w:p w14:paraId="4F0B6072"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Return on Assets (ROA)</w:t>
      </w:r>
      <w:r w:rsidRPr="004F5C17">
        <w:rPr>
          <w:rFonts w:ascii="Arial" w:hAnsi="Arial" w:cs="Arial"/>
          <w:sz w:val="22"/>
          <w:szCs w:val="22"/>
          <w:lang w:val="en-US"/>
        </w:rPr>
        <w:t xml:space="preserve"> – Measures how effectively a company uses its assets to generate profits.</w:t>
      </w:r>
    </w:p>
    <w:p w14:paraId="027FC3F1"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lastRenderedPageBreak/>
        <w:t>Return on Liquidity</w:t>
      </w:r>
      <w:r w:rsidRPr="004F5C17">
        <w:rPr>
          <w:rFonts w:ascii="Arial" w:hAnsi="Arial" w:cs="Arial"/>
          <w:sz w:val="22"/>
          <w:szCs w:val="22"/>
          <w:lang w:val="en-US"/>
        </w:rPr>
        <w:t xml:space="preserve"> – Assesses profitability relative to liquid assets.</w:t>
      </w:r>
    </w:p>
    <w:p w14:paraId="7A8CB5CF"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Net Profit Margin</w:t>
      </w:r>
      <w:r w:rsidRPr="004F5C17">
        <w:rPr>
          <w:rFonts w:ascii="Arial" w:hAnsi="Arial" w:cs="Arial"/>
          <w:sz w:val="22"/>
          <w:szCs w:val="22"/>
          <w:lang w:val="en-US"/>
        </w:rPr>
        <w:t xml:space="preserve"> – Indicates the portion of revenue converted into net income.</w:t>
      </w:r>
    </w:p>
    <w:p w14:paraId="0327CE6D"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Dividend Yield</w:t>
      </w:r>
      <w:r w:rsidRPr="004F5C17">
        <w:rPr>
          <w:rFonts w:ascii="Arial" w:hAnsi="Arial" w:cs="Arial"/>
          <w:sz w:val="22"/>
          <w:szCs w:val="22"/>
          <w:lang w:val="en-US"/>
        </w:rPr>
        <w:t xml:space="preserve"> – Represents investor return through dividends relative to market price.</w:t>
      </w:r>
    </w:p>
    <w:p w14:paraId="2926D855"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PEG Ratio</w:t>
      </w:r>
      <w:r w:rsidRPr="004F5C17">
        <w:rPr>
          <w:rFonts w:ascii="Arial" w:hAnsi="Arial" w:cs="Arial"/>
          <w:sz w:val="22"/>
          <w:szCs w:val="22"/>
          <w:lang w:val="en-US"/>
        </w:rPr>
        <w:t xml:space="preserve"> – Adjusts the P/E ratio based on expected earnings growth.</w:t>
      </w:r>
    </w:p>
    <w:p w14:paraId="5245F937"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Price-to-Earnings (P/E) Ratio</w:t>
      </w:r>
      <w:r w:rsidRPr="004F5C17">
        <w:rPr>
          <w:rFonts w:ascii="Arial" w:hAnsi="Arial" w:cs="Arial"/>
          <w:sz w:val="22"/>
          <w:szCs w:val="22"/>
          <w:lang w:val="en-US"/>
        </w:rPr>
        <w:t xml:space="preserve"> – Reflects market valuation of earnings.</w:t>
      </w:r>
    </w:p>
    <w:p w14:paraId="617696A2"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Earnings per Share (EPS)</w:t>
      </w:r>
      <w:r w:rsidRPr="004F5C17">
        <w:rPr>
          <w:rFonts w:ascii="Arial" w:hAnsi="Arial" w:cs="Arial"/>
          <w:sz w:val="22"/>
          <w:szCs w:val="22"/>
          <w:lang w:val="en-US"/>
        </w:rPr>
        <w:t xml:space="preserve"> – Indicates net income allocated to each share.</w:t>
      </w:r>
    </w:p>
    <w:p w14:paraId="1D7DB506" w14:textId="77777777" w:rsidR="00271D73" w:rsidRPr="004F5C17" w:rsidRDefault="00271D73" w:rsidP="002648D5">
      <w:pPr>
        <w:numPr>
          <w:ilvl w:val="0"/>
          <w:numId w:val="14"/>
        </w:numPr>
        <w:spacing w:line="360" w:lineRule="auto"/>
        <w:rPr>
          <w:rFonts w:ascii="Arial" w:hAnsi="Arial" w:cs="Arial"/>
          <w:sz w:val="22"/>
          <w:szCs w:val="22"/>
          <w:lang w:val="en-US"/>
        </w:rPr>
      </w:pPr>
      <w:r w:rsidRPr="004F5C17">
        <w:rPr>
          <w:rFonts w:ascii="Arial" w:hAnsi="Arial" w:cs="Arial"/>
          <w:b/>
          <w:bCs/>
          <w:sz w:val="22"/>
          <w:szCs w:val="22"/>
          <w:lang w:val="en-US"/>
        </w:rPr>
        <w:t>Current Ratio</w:t>
      </w:r>
      <w:r w:rsidRPr="004F5C17">
        <w:rPr>
          <w:rFonts w:ascii="Arial" w:hAnsi="Arial" w:cs="Arial"/>
          <w:sz w:val="22"/>
          <w:szCs w:val="22"/>
          <w:lang w:val="en-US"/>
        </w:rPr>
        <w:t xml:space="preserve"> – Measures liquidity by comparing current assets to current liabilities.</w:t>
      </w:r>
    </w:p>
    <w:p w14:paraId="7A96576E" w14:textId="77777777" w:rsidR="00271D73" w:rsidRPr="004F5C17" w:rsidRDefault="00271D73" w:rsidP="002648D5">
      <w:pPr>
        <w:spacing w:line="360" w:lineRule="auto"/>
        <w:rPr>
          <w:rFonts w:ascii="Arial" w:hAnsi="Arial" w:cs="Arial"/>
          <w:sz w:val="22"/>
          <w:szCs w:val="22"/>
          <w:lang w:val="en-US"/>
        </w:rPr>
      </w:pPr>
      <w:r w:rsidRPr="004F5C17">
        <w:rPr>
          <w:rFonts w:ascii="Arial" w:hAnsi="Arial" w:cs="Arial"/>
          <w:sz w:val="22"/>
          <w:szCs w:val="22"/>
          <w:lang w:val="en-US"/>
        </w:rPr>
        <w:t>These ratios were selected based on their theoretical relevance and empirical application in prior studies (Brealey, Myers and Allen, 2014; Penman, 2013; Higgins, 2012).</w:t>
      </w:r>
    </w:p>
    <w:p w14:paraId="74A51643" w14:textId="77777777" w:rsidR="00271D73" w:rsidRPr="004F5C17" w:rsidRDefault="00271D73" w:rsidP="002648D5">
      <w:pPr>
        <w:spacing w:line="360" w:lineRule="auto"/>
        <w:rPr>
          <w:rFonts w:ascii="Arial" w:hAnsi="Arial" w:cs="Arial"/>
          <w:b/>
          <w:bCs/>
          <w:sz w:val="22"/>
          <w:szCs w:val="22"/>
          <w:lang w:val="en-US"/>
        </w:rPr>
      </w:pPr>
      <w:r w:rsidRPr="004F5C17">
        <w:rPr>
          <w:rFonts w:ascii="Arial" w:hAnsi="Arial" w:cs="Arial"/>
          <w:b/>
          <w:bCs/>
          <w:sz w:val="22"/>
          <w:szCs w:val="22"/>
          <w:lang w:val="en-US"/>
        </w:rPr>
        <w:t>2.5.3 Hypothesised Relationships</w:t>
      </w:r>
    </w:p>
    <w:p w14:paraId="7C53F98E" w14:textId="56D4A97C" w:rsidR="00271D73" w:rsidRPr="004F5C17" w:rsidRDefault="00271D73" w:rsidP="002648D5">
      <w:pPr>
        <w:spacing w:line="360" w:lineRule="auto"/>
        <w:rPr>
          <w:rFonts w:ascii="Arial" w:hAnsi="Arial" w:cs="Arial"/>
          <w:sz w:val="22"/>
          <w:szCs w:val="22"/>
          <w:lang w:val="en-US"/>
        </w:rPr>
      </w:pPr>
      <w:r w:rsidRPr="004F5C17">
        <w:rPr>
          <w:rFonts w:ascii="Arial" w:hAnsi="Arial" w:cs="Arial"/>
          <w:sz w:val="22"/>
          <w:szCs w:val="22"/>
          <w:lang w:val="en-US"/>
        </w:rPr>
        <w:t xml:space="preserve">It is hypothesised that there exists a statistically significant relationship between financial ratios and share </w:t>
      </w:r>
      <w:r w:rsidR="002648D5" w:rsidRPr="004F5C17">
        <w:rPr>
          <w:rFonts w:ascii="Arial" w:hAnsi="Arial" w:cs="Arial"/>
          <w:sz w:val="22"/>
          <w:szCs w:val="22"/>
          <w:lang w:val="en-US"/>
        </w:rPr>
        <w:t>prices</w:t>
      </w:r>
      <w:r w:rsidRPr="004F5C17">
        <w:rPr>
          <w:rFonts w:ascii="Arial" w:hAnsi="Arial" w:cs="Arial"/>
          <w:sz w:val="22"/>
          <w:szCs w:val="22"/>
          <w:lang w:val="en-US"/>
        </w:rPr>
        <w:t>. Specifically:</w:t>
      </w:r>
    </w:p>
    <w:p w14:paraId="3C99A81C"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₁</w:t>
      </w:r>
      <w:r w:rsidRPr="004F5C17">
        <w:rPr>
          <w:rFonts w:ascii="Arial" w:hAnsi="Arial" w:cs="Arial"/>
          <w:sz w:val="22"/>
          <w:szCs w:val="22"/>
          <w:lang w:val="en-US"/>
        </w:rPr>
        <w:t>: There is a positive relationship between ROA and share price.</w:t>
      </w:r>
    </w:p>
    <w:p w14:paraId="6DD306D2"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₂</w:t>
      </w:r>
      <w:r w:rsidRPr="004F5C17">
        <w:rPr>
          <w:rFonts w:ascii="Arial" w:hAnsi="Arial" w:cs="Arial"/>
          <w:sz w:val="22"/>
          <w:szCs w:val="22"/>
          <w:lang w:val="en-US"/>
        </w:rPr>
        <w:t>: Return on Liquidity is positively related to share price.</w:t>
      </w:r>
    </w:p>
    <w:p w14:paraId="53B99F86"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₃</w:t>
      </w:r>
      <w:r w:rsidRPr="004F5C17">
        <w:rPr>
          <w:rFonts w:ascii="Arial" w:hAnsi="Arial" w:cs="Arial"/>
          <w:sz w:val="22"/>
          <w:szCs w:val="22"/>
          <w:lang w:val="en-US"/>
        </w:rPr>
        <w:t>: A higher Net Profit Margin leads to higher share price.</w:t>
      </w:r>
    </w:p>
    <w:p w14:paraId="1329ADA0"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₄</w:t>
      </w:r>
      <w:r w:rsidRPr="004F5C17">
        <w:rPr>
          <w:rFonts w:ascii="Arial" w:hAnsi="Arial" w:cs="Arial"/>
          <w:sz w:val="22"/>
          <w:szCs w:val="22"/>
          <w:lang w:val="en-US"/>
        </w:rPr>
        <w:t>: Dividend Yield is positively associated with share price.</w:t>
      </w:r>
    </w:p>
    <w:p w14:paraId="40F693B7"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₅</w:t>
      </w:r>
      <w:r w:rsidRPr="004F5C17">
        <w:rPr>
          <w:rFonts w:ascii="Arial" w:hAnsi="Arial" w:cs="Arial"/>
          <w:sz w:val="22"/>
          <w:szCs w:val="22"/>
          <w:lang w:val="en-US"/>
        </w:rPr>
        <w:t>: The PEG ratio has a negative relationship with share price if &gt;1 (indicating overvaluation).</w:t>
      </w:r>
    </w:p>
    <w:p w14:paraId="4E8D9CFC"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₆</w:t>
      </w:r>
      <w:r w:rsidRPr="004F5C17">
        <w:rPr>
          <w:rFonts w:ascii="Arial" w:hAnsi="Arial" w:cs="Arial"/>
          <w:sz w:val="22"/>
          <w:szCs w:val="22"/>
          <w:lang w:val="en-US"/>
        </w:rPr>
        <w:t>: A high P/E ratio is positively related to growth expectations and share price.</w:t>
      </w:r>
    </w:p>
    <w:p w14:paraId="29CC50A8"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₇</w:t>
      </w:r>
      <w:r w:rsidRPr="004F5C17">
        <w:rPr>
          <w:rFonts w:ascii="Arial" w:hAnsi="Arial" w:cs="Arial"/>
          <w:sz w:val="22"/>
          <w:szCs w:val="22"/>
          <w:lang w:val="en-US"/>
        </w:rPr>
        <w:t>: EPS is positively associated with share price.</w:t>
      </w:r>
    </w:p>
    <w:p w14:paraId="1E3F0018" w14:textId="77777777" w:rsidR="00271D73" w:rsidRPr="004F5C17" w:rsidRDefault="00271D73" w:rsidP="002648D5">
      <w:pPr>
        <w:numPr>
          <w:ilvl w:val="0"/>
          <w:numId w:val="15"/>
        </w:numPr>
        <w:spacing w:line="360" w:lineRule="auto"/>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₈</w:t>
      </w:r>
      <w:r w:rsidRPr="004F5C17">
        <w:rPr>
          <w:rFonts w:ascii="Arial" w:hAnsi="Arial" w:cs="Arial"/>
          <w:sz w:val="22"/>
          <w:szCs w:val="22"/>
          <w:lang w:val="en-US"/>
        </w:rPr>
        <w:t>: A stronger Current Ratio leads to increased investor confidence, hence a higher share price.</w:t>
      </w:r>
    </w:p>
    <w:p w14:paraId="5AA21D87" w14:textId="77777777" w:rsidR="00271D73" w:rsidRPr="004F5C17" w:rsidRDefault="00271D73" w:rsidP="002648D5">
      <w:pPr>
        <w:spacing w:line="360" w:lineRule="auto"/>
        <w:rPr>
          <w:rFonts w:ascii="Arial" w:hAnsi="Arial" w:cs="Arial"/>
          <w:sz w:val="22"/>
          <w:szCs w:val="22"/>
          <w:lang w:val="en-US"/>
        </w:rPr>
      </w:pPr>
    </w:p>
    <w:p w14:paraId="5D769D3A"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This study assumes that financial ratios (independent variables) influence share prices (dependent variable). The model is based on multivariate regression:</w:t>
      </w:r>
    </w:p>
    <w:p w14:paraId="2A7AB2EE"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sz w:val="22"/>
          <w:szCs w:val="22"/>
          <w:lang w:val="en-US"/>
        </w:rPr>
        <w:t xml:space="preserve">Share Price=β0+β1(P/E)+β2(EPS)+β3(ROE)+β4(D/E)+β5(Current Ratio)+ϵ\text{Share Price} = \beta_0 + \beta_1(\text{P/E}) + \beta_2(\text{EPS}) + \beta_3(\text{ROE}) + \beta_4(\text{D/E}) + \beta_5(\text{Current Ratio}) + \epsilonShare Price=β0​+β1​(P/E)+β2​(EPS)+β3​(ROE)+β4​(D/E)+β5​(Current Ratio)+ϵ </w:t>
      </w:r>
    </w:p>
    <w:p w14:paraId="402F2DC7" w14:textId="77777777" w:rsidR="00EA4943" w:rsidRPr="004F5C17" w:rsidRDefault="00EA4943" w:rsidP="002648D5">
      <w:pPr>
        <w:spacing w:line="360" w:lineRule="auto"/>
        <w:jc w:val="both"/>
        <w:rPr>
          <w:rFonts w:ascii="Arial" w:hAnsi="Arial" w:cs="Arial"/>
          <w:sz w:val="22"/>
          <w:szCs w:val="22"/>
          <w:lang w:val="en-US"/>
        </w:rPr>
      </w:pPr>
      <w:r w:rsidRPr="004F5C17">
        <w:rPr>
          <w:rFonts w:ascii="Arial" w:hAnsi="Arial" w:cs="Arial"/>
          <w:b/>
          <w:bCs/>
          <w:sz w:val="22"/>
          <w:szCs w:val="22"/>
          <w:lang w:val="en-US"/>
        </w:rPr>
        <w:t>Hypothesis</w:t>
      </w:r>
    </w:p>
    <w:p w14:paraId="6CFBF28C" w14:textId="77777777" w:rsidR="00EA4943" w:rsidRPr="004F5C17" w:rsidRDefault="00EA4943" w:rsidP="002648D5">
      <w:pPr>
        <w:numPr>
          <w:ilvl w:val="0"/>
          <w:numId w:val="8"/>
        </w:numPr>
        <w:spacing w:line="360" w:lineRule="auto"/>
        <w:jc w:val="both"/>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₀</w:t>
      </w:r>
      <w:r w:rsidRPr="004F5C17">
        <w:rPr>
          <w:rFonts w:ascii="Arial" w:hAnsi="Arial" w:cs="Arial"/>
          <w:sz w:val="22"/>
          <w:szCs w:val="22"/>
          <w:lang w:val="en-US"/>
        </w:rPr>
        <w:t>: Financial ratios have no significant effect on share prices.</w:t>
      </w:r>
    </w:p>
    <w:p w14:paraId="4D80A109" w14:textId="1F60C964" w:rsidR="00EA4943" w:rsidRPr="004F5C17" w:rsidRDefault="00EA4943" w:rsidP="002648D5">
      <w:pPr>
        <w:numPr>
          <w:ilvl w:val="0"/>
          <w:numId w:val="8"/>
        </w:numPr>
        <w:spacing w:line="360" w:lineRule="auto"/>
        <w:jc w:val="both"/>
        <w:rPr>
          <w:rFonts w:ascii="Arial" w:hAnsi="Arial" w:cs="Arial"/>
          <w:sz w:val="22"/>
          <w:szCs w:val="22"/>
          <w:lang w:val="en-US"/>
        </w:rPr>
      </w:pPr>
      <w:r w:rsidRPr="004F5C17">
        <w:rPr>
          <w:rFonts w:ascii="Arial" w:hAnsi="Arial" w:cs="Arial"/>
          <w:sz w:val="22"/>
          <w:szCs w:val="22"/>
          <w:lang w:val="en-US"/>
        </w:rPr>
        <w:t>H</w:t>
      </w:r>
      <w:r w:rsidRPr="004F5C17">
        <w:rPr>
          <w:rFonts w:ascii="Cambria Math" w:hAnsi="Cambria Math" w:cs="Cambria Math"/>
          <w:sz w:val="22"/>
          <w:szCs w:val="22"/>
          <w:lang w:val="en-US"/>
        </w:rPr>
        <w:t>₁</w:t>
      </w:r>
      <w:r w:rsidRPr="004F5C17">
        <w:rPr>
          <w:rFonts w:ascii="Arial" w:hAnsi="Arial" w:cs="Arial"/>
          <w:sz w:val="22"/>
          <w:szCs w:val="22"/>
          <w:lang w:val="en-US"/>
        </w:rPr>
        <w:t>: Financial ratios have a significant effect on share prices.</w:t>
      </w:r>
    </w:p>
    <w:p w14:paraId="19490F28" w14:textId="43A6A33F" w:rsidR="00EA4943" w:rsidRPr="004F5C17" w:rsidRDefault="00EA4943" w:rsidP="002648D5">
      <w:pPr>
        <w:pStyle w:val="Heading1"/>
        <w:spacing w:line="360" w:lineRule="auto"/>
        <w:rPr>
          <w:rFonts w:ascii="Arial" w:hAnsi="Arial" w:cs="Arial"/>
          <w:b/>
          <w:bCs/>
          <w:color w:val="000000" w:themeColor="text1"/>
          <w:sz w:val="22"/>
          <w:szCs w:val="22"/>
          <w:lang w:val="en-US"/>
        </w:rPr>
      </w:pPr>
      <w:bookmarkStart w:id="34" w:name="_Toc201567556"/>
      <w:bookmarkStart w:id="35" w:name="_Toc201567676"/>
      <w:bookmarkStart w:id="36" w:name="_Toc204697922"/>
      <w:r w:rsidRPr="004F5C17">
        <w:rPr>
          <w:rFonts w:ascii="Arial" w:hAnsi="Arial" w:cs="Arial"/>
          <w:b/>
          <w:bCs/>
          <w:color w:val="000000" w:themeColor="text1"/>
          <w:sz w:val="22"/>
          <w:szCs w:val="22"/>
          <w:lang w:val="en-US"/>
        </w:rPr>
        <w:t xml:space="preserve">2.6 Gaps in </w:t>
      </w:r>
      <w:r w:rsidR="00B82AB7" w:rsidRPr="004F5C17">
        <w:rPr>
          <w:rFonts w:ascii="Arial" w:hAnsi="Arial" w:cs="Arial"/>
          <w:b/>
          <w:bCs/>
          <w:color w:val="000000" w:themeColor="text1"/>
          <w:sz w:val="22"/>
          <w:szCs w:val="22"/>
          <w:lang w:val="en-US"/>
        </w:rPr>
        <w:t>Literature</w:t>
      </w:r>
      <w:bookmarkEnd w:id="34"/>
      <w:bookmarkEnd w:id="35"/>
      <w:bookmarkEnd w:id="36"/>
    </w:p>
    <w:p w14:paraId="22D73AD0" w14:textId="77777777" w:rsidR="00EA4943" w:rsidRPr="004F5C17" w:rsidRDefault="00EA4943" w:rsidP="002648D5">
      <w:pPr>
        <w:numPr>
          <w:ilvl w:val="0"/>
          <w:numId w:val="9"/>
        </w:numPr>
        <w:spacing w:line="360" w:lineRule="auto"/>
        <w:jc w:val="both"/>
        <w:rPr>
          <w:rFonts w:ascii="Arial" w:hAnsi="Arial" w:cs="Arial"/>
          <w:sz w:val="22"/>
          <w:szCs w:val="22"/>
          <w:lang w:val="en-US"/>
        </w:rPr>
      </w:pPr>
      <w:r w:rsidRPr="004F5C17">
        <w:rPr>
          <w:rFonts w:ascii="Arial" w:hAnsi="Arial" w:cs="Arial"/>
          <w:sz w:val="22"/>
          <w:szCs w:val="22"/>
          <w:lang w:val="en-US"/>
        </w:rPr>
        <w:t>Lack of recent UK-focused research using post-COVID financial data.</w:t>
      </w:r>
    </w:p>
    <w:p w14:paraId="35F809C4" w14:textId="77777777" w:rsidR="00EA4943" w:rsidRPr="004F5C17" w:rsidRDefault="00EA4943" w:rsidP="002648D5">
      <w:pPr>
        <w:numPr>
          <w:ilvl w:val="0"/>
          <w:numId w:val="9"/>
        </w:numPr>
        <w:spacing w:line="360" w:lineRule="auto"/>
        <w:jc w:val="both"/>
        <w:rPr>
          <w:rFonts w:ascii="Arial" w:hAnsi="Arial" w:cs="Arial"/>
          <w:sz w:val="22"/>
          <w:szCs w:val="22"/>
          <w:lang w:val="en-US"/>
        </w:rPr>
      </w:pPr>
      <w:r w:rsidRPr="004F5C17">
        <w:rPr>
          <w:rFonts w:ascii="Arial" w:hAnsi="Arial" w:cs="Arial"/>
          <w:sz w:val="22"/>
          <w:szCs w:val="22"/>
          <w:lang w:val="en-US"/>
        </w:rPr>
        <w:t>Limited cross-sectoral analysis within the FTSE 100 context.</w:t>
      </w:r>
    </w:p>
    <w:p w14:paraId="762090F9" w14:textId="6BF41D2B" w:rsidR="00EA4943" w:rsidRPr="004F5C17" w:rsidRDefault="00EA4943" w:rsidP="002648D5">
      <w:pPr>
        <w:numPr>
          <w:ilvl w:val="0"/>
          <w:numId w:val="9"/>
        </w:numPr>
        <w:spacing w:line="360" w:lineRule="auto"/>
        <w:jc w:val="both"/>
        <w:rPr>
          <w:rFonts w:ascii="Arial" w:hAnsi="Arial" w:cs="Arial"/>
          <w:sz w:val="22"/>
          <w:szCs w:val="22"/>
          <w:lang w:val="en-US"/>
        </w:rPr>
      </w:pPr>
      <w:r w:rsidRPr="004F5C17">
        <w:rPr>
          <w:rFonts w:ascii="Arial" w:hAnsi="Arial" w:cs="Arial"/>
          <w:sz w:val="22"/>
          <w:szCs w:val="22"/>
          <w:lang w:val="en-US"/>
        </w:rPr>
        <w:lastRenderedPageBreak/>
        <w:t>Absence of simultaneous consideration of multiple ratios in most studies.</w:t>
      </w:r>
    </w:p>
    <w:p w14:paraId="642D02D3" w14:textId="77777777" w:rsidR="002648D5" w:rsidRPr="004F5C17" w:rsidRDefault="002648D5" w:rsidP="002648D5">
      <w:pPr>
        <w:spacing w:line="360" w:lineRule="auto"/>
        <w:ind w:left="720"/>
        <w:jc w:val="both"/>
        <w:rPr>
          <w:rFonts w:ascii="Arial" w:hAnsi="Arial" w:cs="Arial"/>
          <w:sz w:val="22"/>
          <w:szCs w:val="22"/>
          <w:lang w:val="en-US"/>
        </w:rPr>
      </w:pPr>
    </w:p>
    <w:p w14:paraId="49E05C2C" w14:textId="355CF74B" w:rsidR="00EA4943" w:rsidRPr="004F5C17" w:rsidRDefault="00EA4943" w:rsidP="002648D5">
      <w:pPr>
        <w:pStyle w:val="Heading1"/>
        <w:spacing w:line="360" w:lineRule="auto"/>
        <w:jc w:val="both"/>
        <w:rPr>
          <w:rFonts w:ascii="Arial" w:hAnsi="Arial" w:cs="Arial"/>
          <w:b/>
          <w:bCs/>
          <w:color w:val="000000" w:themeColor="text1"/>
          <w:sz w:val="22"/>
          <w:szCs w:val="22"/>
        </w:rPr>
      </w:pPr>
      <w:bookmarkStart w:id="37" w:name="_Toc201567557"/>
      <w:bookmarkStart w:id="38" w:name="_Toc201567677"/>
      <w:bookmarkStart w:id="39" w:name="_Toc204697923"/>
      <w:r w:rsidRPr="004F5C17">
        <w:rPr>
          <w:rFonts w:ascii="Arial" w:hAnsi="Arial" w:cs="Arial"/>
          <w:b/>
          <w:bCs/>
          <w:color w:val="000000" w:themeColor="text1"/>
          <w:sz w:val="22"/>
          <w:szCs w:val="22"/>
        </w:rPr>
        <w:t>Chapter 3: Research Methods and Methodology</w:t>
      </w:r>
      <w:bookmarkEnd w:id="37"/>
      <w:bookmarkEnd w:id="38"/>
      <w:bookmarkEnd w:id="39"/>
    </w:p>
    <w:p w14:paraId="6ED02487"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40" w:name="_Toc201567558"/>
      <w:bookmarkStart w:id="41" w:name="_Toc201567678"/>
      <w:bookmarkStart w:id="42" w:name="_Toc204697924"/>
      <w:r w:rsidRPr="004F5C17">
        <w:rPr>
          <w:rFonts w:ascii="Arial" w:hAnsi="Arial" w:cs="Arial"/>
          <w:b/>
          <w:bCs/>
          <w:color w:val="000000" w:themeColor="text1"/>
          <w:sz w:val="22"/>
          <w:szCs w:val="22"/>
        </w:rPr>
        <w:t>3.1 Philosophy of research</w:t>
      </w:r>
      <w:bookmarkEnd w:id="40"/>
      <w:bookmarkEnd w:id="41"/>
      <w:bookmarkEnd w:id="42"/>
    </w:p>
    <w:p w14:paraId="6B5CD795" w14:textId="0F0FE15A"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In this study, a positivist philosophy will be used, and this belief presupposes that reality is objective, observable and measurable. Quite often, positivism is applied in financial and economic studies because it dwells on empirical material, which enables it to apply statistical methods to prove a case or deliver on a finding that is acceptable. Positivism is suitable in the current research as it gives the researcher the ability to explore real values of the relationships between financial ratios and share prices through historical data without personal interpretation or bias.</w:t>
      </w:r>
    </w:p>
    <w:p w14:paraId="63C74E49"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43" w:name="_Toc201567559"/>
      <w:bookmarkStart w:id="44" w:name="_Toc201567679"/>
      <w:bookmarkStart w:id="45" w:name="_Toc204697925"/>
      <w:r w:rsidRPr="004F5C17">
        <w:rPr>
          <w:rFonts w:ascii="Arial" w:hAnsi="Arial" w:cs="Arial"/>
          <w:b/>
          <w:bCs/>
          <w:color w:val="000000" w:themeColor="text1"/>
          <w:sz w:val="22"/>
          <w:szCs w:val="22"/>
        </w:rPr>
        <w:t>3.2 Paradigm of research</w:t>
      </w:r>
      <w:bookmarkEnd w:id="43"/>
      <w:bookmarkEnd w:id="44"/>
      <w:bookmarkEnd w:id="45"/>
    </w:p>
    <w:p w14:paraId="2CC10D93" w14:textId="6F44EE5E"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The study is consistent with quantitative case study that is based on numbers measurement, statistical tests and hypothesis testing. Quantitative research is also applicable when there is correlation between measurable measurements, (i.e., financial ratios (e.g. P/E, EPS, ROE) and share price). It permits generalisation of the results of the representative sample to the population, which is the reason it is a trustworthy paradigm to study of financial trends and relations.</w:t>
      </w:r>
    </w:p>
    <w:p w14:paraId="05327AC7" w14:textId="29790C10" w:rsidR="00EA4943" w:rsidRPr="004F5C17" w:rsidRDefault="00EA4943" w:rsidP="002648D5">
      <w:pPr>
        <w:pStyle w:val="Heading1"/>
        <w:spacing w:line="360" w:lineRule="auto"/>
        <w:rPr>
          <w:rFonts w:ascii="Arial" w:hAnsi="Arial" w:cs="Arial"/>
          <w:b/>
          <w:bCs/>
          <w:color w:val="000000" w:themeColor="text1"/>
          <w:sz w:val="22"/>
          <w:szCs w:val="22"/>
        </w:rPr>
      </w:pPr>
      <w:bookmarkStart w:id="46" w:name="_Toc201567560"/>
      <w:bookmarkStart w:id="47" w:name="_Toc201567680"/>
      <w:bookmarkStart w:id="48" w:name="_Toc204697926"/>
      <w:r w:rsidRPr="004F5C17">
        <w:rPr>
          <w:rFonts w:ascii="Arial" w:hAnsi="Arial" w:cs="Arial"/>
          <w:b/>
          <w:bCs/>
          <w:color w:val="000000" w:themeColor="text1"/>
          <w:sz w:val="22"/>
          <w:szCs w:val="22"/>
        </w:rPr>
        <w:t xml:space="preserve">3.3 Research </w:t>
      </w:r>
      <w:bookmarkEnd w:id="46"/>
      <w:bookmarkEnd w:id="47"/>
      <w:r w:rsidR="002648D5" w:rsidRPr="004F5C17">
        <w:rPr>
          <w:rFonts w:ascii="Arial" w:hAnsi="Arial" w:cs="Arial"/>
          <w:b/>
          <w:bCs/>
          <w:color w:val="000000" w:themeColor="text1"/>
          <w:sz w:val="22"/>
          <w:szCs w:val="22"/>
        </w:rPr>
        <w:t>Approach</w:t>
      </w:r>
      <w:bookmarkEnd w:id="48"/>
    </w:p>
    <w:p w14:paraId="189119BA" w14:textId="42798096"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Deductive approach is chosen, according to which the study proceeds with theoretical background and then verifies certain formulated hypotheses by analysing data. Deductive process particularly applies to this study since available financial theories (fundamental analysis, EMH and so on) give a guideline together with which such a study can formulate a set of hypotheses as to how financial ratios determine the prices of shares. These hypotheses will be then proved or disapproved by the empirical data.</w:t>
      </w:r>
    </w:p>
    <w:p w14:paraId="6C8CC11D"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49" w:name="_Toc201567561"/>
      <w:bookmarkStart w:id="50" w:name="_Toc201567681"/>
      <w:bookmarkStart w:id="51" w:name="_Toc204697927"/>
      <w:r w:rsidRPr="004F5C17">
        <w:rPr>
          <w:rFonts w:ascii="Arial" w:hAnsi="Arial" w:cs="Arial"/>
          <w:b/>
          <w:bCs/>
          <w:color w:val="000000" w:themeColor="text1"/>
          <w:sz w:val="22"/>
          <w:szCs w:val="22"/>
        </w:rPr>
        <w:t>3.4 Methodology</w:t>
      </w:r>
      <w:bookmarkEnd w:id="49"/>
      <w:bookmarkEnd w:id="50"/>
      <w:bookmarkEnd w:id="51"/>
    </w:p>
    <w:p w14:paraId="24D7A43E" w14:textId="10C54B4E"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The given study will use a quantitative methodology as it is the most appropriate type of approach when it comes to numerical analysis and testing of the hypothesis. Quantitative methods allow the researcher to use statistical models to arrive at patterns, relationships and level of significance. Due to the availability of other information as financial statements and stock market databases, the analysis of the relationship between independent (financial ratios) and dependent (share price) variables can be rigorous. This solution is chosen because it is objective, scalable, and capable of yielding repetitive results.</w:t>
      </w:r>
    </w:p>
    <w:p w14:paraId="7FC4AB79"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52" w:name="_Toc201567562"/>
      <w:bookmarkStart w:id="53" w:name="_Toc201567682"/>
      <w:bookmarkStart w:id="54" w:name="_Toc204697928"/>
      <w:r w:rsidRPr="004F5C17">
        <w:rPr>
          <w:rFonts w:ascii="Arial" w:hAnsi="Arial" w:cs="Arial"/>
          <w:b/>
          <w:bCs/>
          <w:color w:val="000000" w:themeColor="text1"/>
          <w:sz w:val="22"/>
          <w:szCs w:val="22"/>
        </w:rPr>
        <w:lastRenderedPageBreak/>
        <w:t>3.5 Research Plan</w:t>
      </w:r>
      <w:bookmarkEnd w:id="52"/>
      <w:bookmarkEnd w:id="53"/>
      <w:bookmarkEnd w:id="54"/>
    </w:p>
    <w:p w14:paraId="2A79D1DA" w14:textId="65844A20"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The design would be the correlational and explanatory research strategy. Correlational studies are meant to help in measuring the power of the relationships between two or more variables and explanatory research is meant to find out causality or influence. Due to this dual approach, the researcher can not only figure out whether there is some type of relationship between the financial ratios and the share prices but also how powerful and statistically significant this relationship would be.</w:t>
      </w:r>
    </w:p>
    <w:p w14:paraId="1E745A49"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55" w:name="_Toc201567563"/>
      <w:bookmarkStart w:id="56" w:name="_Toc201567683"/>
      <w:bookmarkStart w:id="57" w:name="_Toc204697929"/>
      <w:r w:rsidRPr="004F5C17">
        <w:rPr>
          <w:rFonts w:ascii="Arial" w:hAnsi="Arial" w:cs="Arial"/>
          <w:b/>
          <w:bCs/>
          <w:color w:val="000000" w:themeColor="text1"/>
          <w:sz w:val="22"/>
          <w:szCs w:val="22"/>
        </w:rPr>
        <w:t>3.6 Method of Sampling</w:t>
      </w:r>
      <w:bookmarkEnd w:id="55"/>
      <w:bookmarkEnd w:id="56"/>
      <w:bookmarkEnd w:id="57"/>
    </w:p>
    <w:p w14:paraId="274BB1F6" w14:textId="77777777" w:rsidR="00B82AB7" w:rsidRPr="004F5C17" w:rsidRDefault="00B82AB7" w:rsidP="002648D5">
      <w:pPr>
        <w:spacing w:line="360" w:lineRule="auto"/>
        <w:rPr>
          <w:rFonts w:ascii="Arial" w:hAnsi="Arial" w:cs="Arial"/>
          <w:sz w:val="22"/>
          <w:szCs w:val="22"/>
        </w:rPr>
      </w:pPr>
    </w:p>
    <w:p w14:paraId="6BF89B99" w14:textId="0ECD48C8" w:rsidR="00EA4943"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 xml:space="preserve">The sample of 30 companies among the top 100 on the FTSE index (different sectors, e.g. finance, consumer goods, energy, healthcare, etc.) will be identified through purposive sampling. The given sampling technique means that the companies selected are appropriate ones because they contain the data and take part in the research matter. The period of work to be </w:t>
      </w:r>
      <w:r w:rsidR="00B82AB7" w:rsidRPr="004F5C17">
        <w:rPr>
          <w:rFonts w:ascii="Arial" w:hAnsi="Arial" w:cs="Arial"/>
          <w:sz w:val="22"/>
          <w:szCs w:val="22"/>
        </w:rPr>
        <w:t>analysed</w:t>
      </w:r>
      <w:r w:rsidRPr="004F5C17">
        <w:rPr>
          <w:rFonts w:ascii="Arial" w:hAnsi="Arial" w:cs="Arial"/>
          <w:sz w:val="22"/>
          <w:szCs w:val="22"/>
        </w:rPr>
        <w:t xml:space="preserve"> has been chosen as 2019-2023; it will add the power of the dataset containing </w:t>
      </w:r>
      <w:proofErr w:type="gramStart"/>
      <w:r w:rsidRPr="004F5C17">
        <w:rPr>
          <w:rFonts w:ascii="Arial" w:hAnsi="Arial" w:cs="Arial"/>
          <w:sz w:val="22"/>
          <w:szCs w:val="22"/>
        </w:rPr>
        <w:t>pre</w:t>
      </w:r>
      <w:proofErr w:type="gramEnd"/>
      <w:r w:rsidRPr="004F5C17">
        <w:rPr>
          <w:rFonts w:ascii="Arial" w:hAnsi="Arial" w:cs="Arial"/>
          <w:sz w:val="22"/>
          <w:szCs w:val="22"/>
        </w:rPr>
        <w:t xml:space="preserve"> and post-COVID-19 performance.</w:t>
      </w:r>
    </w:p>
    <w:p w14:paraId="3B762D80" w14:textId="77777777" w:rsidR="00EA4943" w:rsidRPr="004F5C17" w:rsidRDefault="00EA4943" w:rsidP="002648D5">
      <w:pPr>
        <w:pStyle w:val="Heading1"/>
        <w:spacing w:line="360" w:lineRule="auto"/>
        <w:rPr>
          <w:rFonts w:ascii="Arial" w:hAnsi="Arial" w:cs="Arial"/>
          <w:b/>
          <w:bCs/>
          <w:color w:val="000000" w:themeColor="text1"/>
          <w:sz w:val="22"/>
          <w:szCs w:val="22"/>
        </w:rPr>
      </w:pPr>
      <w:bookmarkStart w:id="58" w:name="_Toc201567564"/>
      <w:bookmarkStart w:id="59" w:name="_Toc201567684"/>
      <w:bookmarkStart w:id="60" w:name="_Toc204697930"/>
      <w:r w:rsidRPr="004F5C17">
        <w:rPr>
          <w:rFonts w:ascii="Arial" w:hAnsi="Arial" w:cs="Arial"/>
          <w:b/>
          <w:bCs/>
          <w:color w:val="000000" w:themeColor="text1"/>
          <w:sz w:val="22"/>
          <w:szCs w:val="22"/>
        </w:rPr>
        <w:t>3.7 Data collection</w:t>
      </w:r>
      <w:bookmarkEnd w:id="58"/>
      <w:bookmarkEnd w:id="59"/>
      <w:bookmarkEnd w:id="60"/>
    </w:p>
    <w:p w14:paraId="4813E253" w14:textId="77777777" w:rsidR="00B82AB7" w:rsidRPr="004F5C17" w:rsidRDefault="00B82AB7" w:rsidP="002648D5">
      <w:pPr>
        <w:spacing w:line="360" w:lineRule="auto"/>
        <w:rPr>
          <w:rFonts w:ascii="Arial" w:hAnsi="Arial" w:cs="Arial"/>
          <w:sz w:val="22"/>
          <w:szCs w:val="22"/>
        </w:rPr>
      </w:pPr>
    </w:p>
    <w:p w14:paraId="2D7E62F2" w14:textId="7F8779CA" w:rsidR="00F33DF1" w:rsidRPr="004F5C17" w:rsidRDefault="00EA4943" w:rsidP="002648D5">
      <w:pPr>
        <w:spacing w:line="360" w:lineRule="auto"/>
        <w:jc w:val="both"/>
        <w:rPr>
          <w:rFonts w:ascii="Arial" w:hAnsi="Arial" w:cs="Arial"/>
          <w:sz w:val="22"/>
          <w:szCs w:val="22"/>
        </w:rPr>
      </w:pPr>
      <w:r w:rsidRPr="004F5C17">
        <w:rPr>
          <w:rFonts w:ascii="Arial" w:hAnsi="Arial" w:cs="Arial"/>
          <w:sz w:val="22"/>
          <w:szCs w:val="22"/>
        </w:rPr>
        <w:t xml:space="preserve">The analysis is anchored on the use of secondary data that is freely available at known credible online sources like Yahoo Finance, Bloomberg, London Stock Exchange (LSE) and company annual reports. Financial ratios (P/E, EPS, ROE, D/E, Current ratio) and the closing prices of each firm in the </w:t>
      </w:r>
      <w:r w:rsidR="00B82AB7" w:rsidRPr="004F5C17">
        <w:rPr>
          <w:rFonts w:ascii="Arial" w:hAnsi="Arial" w:cs="Arial"/>
          <w:sz w:val="22"/>
          <w:szCs w:val="22"/>
        </w:rPr>
        <w:t>five-year</w:t>
      </w:r>
      <w:r w:rsidRPr="004F5C17">
        <w:rPr>
          <w:rFonts w:ascii="Arial" w:hAnsi="Arial" w:cs="Arial"/>
          <w:sz w:val="22"/>
          <w:szCs w:val="22"/>
        </w:rPr>
        <w:t xml:space="preserve"> period will be obtained. Secondary data cut on cost and time and are also objective and consistent.</w:t>
      </w:r>
    </w:p>
    <w:p w14:paraId="1D935D6A" w14:textId="77777777" w:rsidR="00F33DF1" w:rsidRPr="004F5C17" w:rsidRDefault="00F33DF1" w:rsidP="002648D5">
      <w:pPr>
        <w:pStyle w:val="Heading1"/>
        <w:spacing w:line="360" w:lineRule="auto"/>
        <w:rPr>
          <w:rFonts w:ascii="Arial" w:hAnsi="Arial" w:cs="Arial"/>
          <w:b/>
          <w:bCs/>
          <w:color w:val="000000" w:themeColor="text1"/>
          <w:sz w:val="22"/>
          <w:szCs w:val="22"/>
          <w:lang w:val="en-US"/>
        </w:rPr>
      </w:pPr>
      <w:bookmarkStart w:id="61" w:name="_Toc201567565"/>
      <w:bookmarkStart w:id="62" w:name="_Toc201567685"/>
      <w:bookmarkStart w:id="63" w:name="_Toc204697931"/>
      <w:r w:rsidRPr="004F5C17">
        <w:rPr>
          <w:rFonts w:ascii="Arial" w:hAnsi="Arial" w:cs="Arial"/>
          <w:b/>
          <w:bCs/>
          <w:color w:val="000000" w:themeColor="text1"/>
          <w:sz w:val="22"/>
          <w:szCs w:val="22"/>
          <w:lang w:val="en-US"/>
        </w:rPr>
        <w:t>3.8 Data Analysis</w:t>
      </w:r>
      <w:bookmarkEnd w:id="61"/>
      <w:bookmarkEnd w:id="62"/>
      <w:bookmarkEnd w:id="63"/>
    </w:p>
    <w:p w14:paraId="39737696" w14:textId="5C3127AF" w:rsidR="00F33DF1" w:rsidRPr="004F5C17" w:rsidRDefault="00F33DF1" w:rsidP="002648D5">
      <w:pPr>
        <w:spacing w:line="360" w:lineRule="auto"/>
        <w:jc w:val="both"/>
        <w:rPr>
          <w:rFonts w:ascii="Arial" w:hAnsi="Arial" w:cs="Arial"/>
          <w:sz w:val="22"/>
          <w:szCs w:val="22"/>
          <w:lang w:val="en-US"/>
        </w:rPr>
      </w:pPr>
      <w:r w:rsidRPr="004F5C17">
        <w:rPr>
          <w:rFonts w:ascii="Arial" w:hAnsi="Arial" w:cs="Arial"/>
          <w:sz w:val="22"/>
          <w:szCs w:val="22"/>
          <w:lang w:val="en-US"/>
        </w:rPr>
        <w:t xml:space="preserve">The </w:t>
      </w:r>
      <w:r w:rsidR="00B82AB7" w:rsidRPr="004F5C17">
        <w:rPr>
          <w:rFonts w:ascii="Arial" w:hAnsi="Arial" w:cs="Arial"/>
          <w:sz w:val="22"/>
          <w:szCs w:val="22"/>
          <w:lang w:val="en-US"/>
        </w:rPr>
        <w:t>data collected</w:t>
      </w:r>
      <w:r w:rsidRPr="004F5C17">
        <w:rPr>
          <w:rFonts w:ascii="Arial" w:hAnsi="Arial" w:cs="Arial"/>
          <w:sz w:val="22"/>
          <w:szCs w:val="22"/>
          <w:lang w:val="en-US"/>
        </w:rPr>
        <w:t xml:space="preserve"> will be analysed using SPSS or Microsoft Excel. The analysis process includes:</w:t>
      </w:r>
    </w:p>
    <w:p w14:paraId="1D99327C" w14:textId="77777777" w:rsidR="00F33DF1" w:rsidRPr="004F5C17" w:rsidRDefault="00F33DF1" w:rsidP="002648D5">
      <w:pPr>
        <w:numPr>
          <w:ilvl w:val="0"/>
          <w:numId w:val="10"/>
        </w:numPr>
        <w:spacing w:line="360" w:lineRule="auto"/>
        <w:jc w:val="both"/>
        <w:rPr>
          <w:rFonts w:ascii="Arial" w:hAnsi="Arial" w:cs="Arial"/>
          <w:sz w:val="22"/>
          <w:szCs w:val="22"/>
          <w:lang w:val="en-US"/>
        </w:rPr>
      </w:pPr>
      <w:r w:rsidRPr="004F5C17">
        <w:rPr>
          <w:rFonts w:ascii="Arial" w:hAnsi="Arial" w:cs="Arial"/>
          <w:b/>
          <w:bCs/>
          <w:sz w:val="22"/>
          <w:szCs w:val="22"/>
          <w:lang w:val="en-US"/>
        </w:rPr>
        <w:t>Descriptive statistics</w:t>
      </w:r>
      <w:r w:rsidRPr="004F5C17">
        <w:rPr>
          <w:rFonts w:ascii="Arial" w:hAnsi="Arial" w:cs="Arial"/>
          <w:sz w:val="22"/>
          <w:szCs w:val="22"/>
          <w:lang w:val="en-US"/>
        </w:rPr>
        <w:t xml:space="preserve"> (mean, median, standard deviation) to understand data distribution.</w:t>
      </w:r>
    </w:p>
    <w:p w14:paraId="1932784B" w14:textId="77777777" w:rsidR="00F33DF1" w:rsidRPr="004F5C17" w:rsidRDefault="00F33DF1" w:rsidP="002648D5">
      <w:pPr>
        <w:numPr>
          <w:ilvl w:val="0"/>
          <w:numId w:val="10"/>
        </w:numPr>
        <w:spacing w:line="360" w:lineRule="auto"/>
        <w:jc w:val="both"/>
        <w:rPr>
          <w:rFonts w:ascii="Arial" w:hAnsi="Arial" w:cs="Arial"/>
          <w:sz w:val="22"/>
          <w:szCs w:val="22"/>
          <w:lang w:val="en-US"/>
        </w:rPr>
      </w:pPr>
      <w:r w:rsidRPr="004F5C17">
        <w:rPr>
          <w:rFonts w:ascii="Arial" w:hAnsi="Arial" w:cs="Arial"/>
          <w:b/>
          <w:bCs/>
          <w:sz w:val="22"/>
          <w:szCs w:val="22"/>
          <w:lang w:val="en-US"/>
        </w:rPr>
        <w:t>Pearson correlation analysis</w:t>
      </w:r>
      <w:r w:rsidRPr="004F5C17">
        <w:rPr>
          <w:rFonts w:ascii="Arial" w:hAnsi="Arial" w:cs="Arial"/>
          <w:sz w:val="22"/>
          <w:szCs w:val="22"/>
          <w:lang w:val="en-US"/>
        </w:rPr>
        <w:t xml:space="preserve"> to test the strength and direction of the relationship between each financial ratio and share price.</w:t>
      </w:r>
    </w:p>
    <w:p w14:paraId="403DA665" w14:textId="77777777" w:rsidR="00F33DF1" w:rsidRPr="004F5C17" w:rsidRDefault="00F33DF1" w:rsidP="002648D5">
      <w:pPr>
        <w:numPr>
          <w:ilvl w:val="0"/>
          <w:numId w:val="10"/>
        </w:numPr>
        <w:spacing w:line="360" w:lineRule="auto"/>
        <w:jc w:val="both"/>
        <w:rPr>
          <w:rFonts w:ascii="Arial" w:hAnsi="Arial" w:cs="Arial"/>
          <w:sz w:val="22"/>
          <w:szCs w:val="22"/>
          <w:lang w:val="en-US"/>
        </w:rPr>
      </w:pPr>
      <w:r w:rsidRPr="004F5C17">
        <w:rPr>
          <w:rFonts w:ascii="Arial" w:hAnsi="Arial" w:cs="Arial"/>
          <w:b/>
          <w:bCs/>
          <w:sz w:val="22"/>
          <w:szCs w:val="22"/>
          <w:lang w:val="en-US"/>
        </w:rPr>
        <w:t>Multiple linear regression analysis</w:t>
      </w:r>
      <w:r w:rsidRPr="004F5C17">
        <w:rPr>
          <w:rFonts w:ascii="Arial" w:hAnsi="Arial" w:cs="Arial"/>
          <w:sz w:val="22"/>
          <w:szCs w:val="22"/>
          <w:lang w:val="en-US"/>
        </w:rPr>
        <w:t xml:space="preserve"> to determine the combined effect of all independent variables on share prices and identify the most influential ratios.</w:t>
      </w:r>
    </w:p>
    <w:p w14:paraId="18253FAB" w14:textId="77777777" w:rsidR="00F33DF1" w:rsidRPr="004F5C17" w:rsidRDefault="00F33DF1" w:rsidP="002648D5">
      <w:pPr>
        <w:spacing w:line="360" w:lineRule="auto"/>
        <w:jc w:val="both"/>
        <w:rPr>
          <w:rFonts w:ascii="Arial" w:hAnsi="Arial" w:cs="Arial"/>
          <w:sz w:val="22"/>
          <w:szCs w:val="22"/>
          <w:lang w:val="en-US"/>
        </w:rPr>
      </w:pPr>
      <w:r w:rsidRPr="004F5C17">
        <w:rPr>
          <w:rFonts w:ascii="Arial" w:hAnsi="Arial" w:cs="Arial"/>
          <w:sz w:val="22"/>
          <w:szCs w:val="22"/>
          <w:lang w:val="en-US"/>
        </w:rPr>
        <w:t>The regression model is as follows:</w:t>
      </w:r>
    </w:p>
    <w:p w14:paraId="54E76785" w14:textId="5B81D407" w:rsidR="00F33DF1" w:rsidRPr="004F5C17" w:rsidRDefault="00F33DF1" w:rsidP="002648D5">
      <w:pPr>
        <w:spacing w:line="360" w:lineRule="auto"/>
        <w:jc w:val="both"/>
        <w:rPr>
          <w:rFonts w:ascii="Arial" w:hAnsi="Arial" w:cs="Arial"/>
          <w:sz w:val="22"/>
          <w:szCs w:val="22"/>
          <w:lang w:val="en-US"/>
        </w:rPr>
      </w:pPr>
      <w:r w:rsidRPr="004F5C17">
        <w:rPr>
          <w:rFonts w:ascii="Arial" w:hAnsi="Arial" w:cs="Arial"/>
          <w:sz w:val="22"/>
          <w:szCs w:val="22"/>
          <w:lang w:val="en-US"/>
        </w:rPr>
        <w:t xml:space="preserve">Share Price=β0+β1(P/E)+β2(EPS)+β3(ROE)+β4(D/E)+β5(Current Ratio)+ϵ\text{Share Price} = \beta_0 + \beta_1(P/E) + \beta_2(EPS) + \beta_3(ROE) + \beta_4(D/E) + \beta_5(Current\ Ratio) + \epsilonShare Price=β0​+β1​(P/E)+β2​(EPS)+β3​(ROE)+β4​(D/E)+β5​(Current Ratio)+ϵ </w:t>
      </w:r>
    </w:p>
    <w:p w14:paraId="20B87F83" w14:textId="77777777" w:rsidR="00F33DF1" w:rsidRPr="004F5C17" w:rsidRDefault="00F33DF1" w:rsidP="002648D5">
      <w:pPr>
        <w:pStyle w:val="Heading1"/>
        <w:spacing w:line="360" w:lineRule="auto"/>
        <w:rPr>
          <w:rFonts w:ascii="Arial" w:hAnsi="Arial" w:cs="Arial"/>
          <w:b/>
          <w:bCs/>
          <w:color w:val="000000" w:themeColor="text1"/>
          <w:sz w:val="22"/>
          <w:szCs w:val="22"/>
          <w:lang w:val="en-US"/>
        </w:rPr>
      </w:pPr>
      <w:bookmarkStart w:id="64" w:name="_Toc201567566"/>
      <w:bookmarkStart w:id="65" w:name="_Toc201567686"/>
      <w:bookmarkStart w:id="66" w:name="_Toc204697932"/>
      <w:r w:rsidRPr="004F5C17">
        <w:rPr>
          <w:rFonts w:ascii="Arial" w:hAnsi="Arial" w:cs="Arial"/>
          <w:b/>
          <w:bCs/>
          <w:color w:val="000000" w:themeColor="text1"/>
          <w:sz w:val="22"/>
          <w:szCs w:val="22"/>
          <w:lang w:val="en-US"/>
        </w:rPr>
        <w:lastRenderedPageBreak/>
        <w:t>3.9 Time Plan (Gantt Chart)</w:t>
      </w:r>
      <w:bookmarkEnd w:id="64"/>
      <w:bookmarkEnd w:id="65"/>
      <w:bookmarkEnd w:id="66"/>
    </w:p>
    <w:p w14:paraId="3F8BFC39" w14:textId="77777777" w:rsidR="00F33DF1" w:rsidRPr="004F5C17" w:rsidRDefault="00F33DF1" w:rsidP="002648D5">
      <w:pPr>
        <w:spacing w:line="360" w:lineRule="auto"/>
        <w:jc w:val="both"/>
        <w:rPr>
          <w:rFonts w:ascii="Arial" w:hAnsi="Arial" w:cs="Arial"/>
          <w:b/>
          <w:bCs/>
          <w:sz w:val="22"/>
          <w:szCs w:val="22"/>
          <w:lang w:val="en-US"/>
        </w:rPr>
      </w:pPr>
    </w:p>
    <w:tbl>
      <w:tblPr>
        <w:tblStyle w:val="TableGrid"/>
        <w:tblW w:w="9078" w:type="dxa"/>
        <w:tblLook w:val="04A0" w:firstRow="1" w:lastRow="0" w:firstColumn="1" w:lastColumn="0" w:noHBand="0" w:noVBand="1"/>
      </w:tblPr>
      <w:tblGrid>
        <w:gridCol w:w="1600"/>
        <w:gridCol w:w="1496"/>
        <w:gridCol w:w="1496"/>
        <w:gridCol w:w="1496"/>
        <w:gridCol w:w="1495"/>
        <w:gridCol w:w="1495"/>
      </w:tblGrid>
      <w:tr w:rsidR="00F33DF1" w:rsidRPr="004F5C17" w14:paraId="1E0C2DE9" w14:textId="77777777" w:rsidTr="00F33DF1">
        <w:tc>
          <w:tcPr>
            <w:tcW w:w="1600" w:type="dxa"/>
            <w:vAlign w:val="center"/>
          </w:tcPr>
          <w:p w14:paraId="557BDD7A" w14:textId="66853309"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Activity</w:t>
            </w:r>
          </w:p>
        </w:tc>
        <w:tc>
          <w:tcPr>
            <w:tcW w:w="1496" w:type="dxa"/>
            <w:vAlign w:val="center"/>
          </w:tcPr>
          <w:p w14:paraId="0BEC7128" w14:textId="1F03C68D"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Weeks 1–2</w:t>
            </w:r>
          </w:p>
        </w:tc>
        <w:tc>
          <w:tcPr>
            <w:tcW w:w="1496" w:type="dxa"/>
            <w:vAlign w:val="center"/>
          </w:tcPr>
          <w:p w14:paraId="08BDCB39" w14:textId="6EE4CEC2"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Weeks 3–4</w:t>
            </w:r>
          </w:p>
        </w:tc>
        <w:tc>
          <w:tcPr>
            <w:tcW w:w="1496" w:type="dxa"/>
            <w:vAlign w:val="center"/>
          </w:tcPr>
          <w:p w14:paraId="742A0C51" w14:textId="5ADCE9E0"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Weeks 5–6</w:t>
            </w:r>
          </w:p>
        </w:tc>
        <w:tc>
          <w:tcPr>
            <w:tcW w:w="1495" w:type="dxa"/>
            <w:vAlign w:val="center"/>
          </w:tcPr>
          <w:p w14:paraId="0C276BA0" w14:textId="68052AE3"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Week 7</w:t>
            </w:r>
          </w:p>
        </w:tc>
        <w:tc>
          <w:tcPr>
            <w:tcW w:w="1495" w:type="dxa"/>
            <w:vAlign w:val="center"/>
          </w:tcPr>
          <w:p w14:paraId="5F5897B0" w14:textId="294B319D"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b/>
                <w:bCs/>
                <w:sz w:val="22"/>
                <w:szCs w:val="22"/>
                <w:lang w:val="en-US"/>
              </w:rPr>
              <w:t>Weeks 8–9</w:t>
            </w:r>
          </w:p>
        </w:tc>
      </w:tr>
      <w:tr w:rsidR="00F33DF1" w:rsidRPr="004F5C17" w14:paraId="615E300D" w14:textId="77777777" w:rsidTr="00F33DF1">
        <w:tc>
          <w:tcPr>
            <w:tcW w:w="1600" w:type="dxa"/>
            <w:vAlign w:val="center"/>
          </w:tcPr>
          <w:p w14:paraId="3BC3DB9B" w14:textId="44BB2422"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sz w:val="22"/>
                <w:szCs w:val="22"/>
                <w:lang w:val="en-US"/>
              </w:rPr>
              <w:t>Literature Review</w:t>
            </w:r>
          </w:p>
        </w:tc>
        <w:tc>
          <w:tcPr>
            <w:tcW w:w="1496" w:type="dxa"/>
            <w:vAlign w:val="center"/>
          </w:tcPr>
          <w:p w14:paraId="63CCA89E" w14:textId="5A660CDC" w:rsidR="00F33DF1" w:rsidRPr="004F5C17" w:rsidRDefault="00F33DF1" w:rsidP="002648D5">
            <w:pPr>
              <w:spacing w:line="360" w:lineRule="auto"/>
              <w:jc w:val="both"/>
              <w:rPr>
                <w:rFonts w:ascii="Arial" w:hAnsi="Arial" w:cs="Arial"/>
                <w:b/>
                <w:bCs/>
                <w:sz w:val="22"/>
                <w:szCs w:val="22"/>
                <w:lang w:val="en-US"/>
              </w:rPr>
            </w:pPr>
            <w:r w:rsidRPr="004F5C17">
              <w:rPr>
                <w:rFonts w:ascii="Segoe UI Emoji" w:hAnsi="Segoe UI Emoji" w:cs="Segoe UI Emoji"/>
                <w:sz w:val="22"/>
                <w:szCs w:val="22"/>
                <w:lang w:val="en-US"/>
              </w:rPr>
              <w:t>✅</w:t>
            </w:r>
          </w:p>
        </w:tc>
        <w:tc>
          <w:tcPr>
            <w:tcW w:w="1496" w:type="dxa"/>
            <w:vAlign w:val="center"/>
          </w:tcPr>
          <w:p w14:paraId="3D6D9109"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2F61E5BB"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59B6FA25"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5BA734A8" w14:textId="77777777" w:rsidR="00F33DF1" w:rsidRPr="004F5C17" w:rsidRDefault="00F33DF1" w:rsidP="002648D5">
            <w:pPr>
              <w:spacing w:line="360" w:lineRule="auto"/>
              <w:jc w:val="both"/>
              <w:rPr>
                <w:rFonts w:ascii="Arial" w:hAnsi="Arial" w:cs="Arial"/>
                <w:b/>
                <w:bCs/>
                <w:sz w:val="22"/>
                <w:szCs w:val="22"/>
                <w:lang w:val="en-US"/>
              </w:rPr>
            </w:pPr>
          </w:p>
        </w:tc>
      </w:tr>
      <w:tr w:rsidR="00F33DF1" w:rsidRPr="004F5C17" w14:paraId="058AFCFE" w14:textId="77777777" w:rsidTr="00F33DF1">
        <w:tc>
          <w:tcPr>
            <w:tcW w:w="1600" w:type="dxa"/>
            <w:vAlign w:val="center"/>
          </w:tcPr>
          <w:p w14:paraId="5306A23B" w14:textId="18082BF7"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sz w:val="22"/>
                <w:szCs w:val="22"/>
                <w:lang w:val="en-US"/>
              </w:rPr>
              <w:t>Data Collection</w:t>
            </w:r>
          </w:p>
        </w:tc>
        <w:tc>
          <w:tcPr>
            <w:tcW w:w="1496" w:type="dxa"/>
            <w:vAlign w:val="center"/>
          </w:tcPr>
          <w:p w14:paraId="408A98E9"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2018F691" w14:textId="0C8B669E" w:rsidR="00F33DF1" w:rsidRPr="004F5C17" w:rsidRDefault="00F33DF1" w:rsidP="002648D5">
            <w:pPr>
              <w:spacing w:line="360" w:lineRule="auto"/>
              <w:jc w:val="both"/>
              <w:rPr>
                <w:rFonts w:ascii="Arial" w:hAnsi="Arial" w:cs="Arial"/>
                <w:b/>
                <w:bCs/>
                <w:sz w:val="22"/>
                <w:szCs w:val="22"/>
                <w:lang w:val="en-US"/>
              </w:rPr>
            </w:pPr>
            <w:r w:rsidRPr="004F5C17">
              <w:rPr>
                <w:rFonts w:ascii="Segoe UI Emoji" w:hAnsi="Segoe UI Emoji" w:cs="Segoe UI Emoji"/>
                <w:sz w:val="22"/>
                <w:szCs w:val="22"/>
                <w:lang w:val="en-US"/>
              </w:rPr>
              <w:t>✅</w:t>
            </w:r>
          </w:p>
        </w:tc>
        <w:tc>
          <w:tcPr>
            <w:tcW w:w="1496" w:type="dxa"/>
            <w:vAlign w:val="center"/>
          </w:tcPr>
          <w:p w14:paraId="78B7DCEF"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40A3A8DF"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61924A27" w14:textId="77777777" w:rsidR="00F33DF1" w:rsidRPr="004F5C17" w:rsidRDefault="00F33DF1" w:rsidP="002648D5">
            <w:pPr>
              <w:spacing w:line="360" w:lineRule="auto"/>
              <w:jc w:val="both"/>
              <w:rPr>
                <w:rFonts w:ascii="Arial" w:hAnsi="Arial" w:cs="Arial"/>
                <w:b/>
                <w:bCs/>
                <w:sz w:val="22"/>
                <w:szCs w:val="22"/>
                <w:lang w:val="en-US"/>
              </w:rPr>
            </w:pPr>
          </w:p>
        </w:tc>
      </w:tr>
      <w:tr w:rsidR="00F33DF1" w:rsidRPr="004F5C17" w14:paraId="7AFC4F84" w14:textId="77777777" w:rsidTr="00F33DF1">
        <w:tc>
          <w:tcPr>
            <w:tcW w:w="1600" w:type="dxa"/>
            <w:vAlign w:val="center"/>
          </w:tcPr>
          <w:p w14:paraId="0B2EF1FA" w14:textId="5AEC849A"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sz w:val="22"/>
                <w:szCs w:val="22"/>
                <w:lang w:val="en-US"/>
              </w:rPr>
              <w:t>Data Analysis</w:t>
            </w:r>
          </w:p>
        </w:tc>
        <w:tc>
          <w:tcPr>
            <w:tcW w:w="1496" w:type="dxa"/>
            <w:vAlign w:val="center"/>
          </w:tcPr>
          <w:p w14:paraId="2305C48F"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2F527964"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0A07CA32" w14:textId="3EA7F38B" w:rsidR="00F33DF1" w:rsidRPr="004F5C17" w:rsidRDefault="00F33DF1" w:rsidP="002648D5">
            <w:pPr>
              <w:spacing w:line="360" w:lineRule="auto"/>
              <w:jc w:val="both"/>
              <w:rPr>
                <w:rFonts w:ascii="Arial" w:hAnsi="Arial" w:cs="Arial"/>
                <w:b/>
                <w:bCs/>
                <w:sz w:val="22"/>
                <w:szCs w:val="22"/>
                <w:lang w:val="en-US"/>
              </w:rPr>
            </w:pPr>
            <w:r w:rsidRPr="004F5C17">
              <w:rPr>
                <w:rFonts w:ascii="Segoe UI Emoji" w:hAnsi="Segoe UI Emoji" w:cs="Segoe UI Emoji"/>
                <w:sz w:val="22"/>
                <w:szCs w:val="22"/>
                <w:lang w:val="en-US"/>
              </w:rPr>
              <w:t>✅</w:t>
            </w:r>
          </w:p>
        </w:tc>
        <w:tc>
          <w:tcPr>
            <w:tcW w:w="1495" w:type="dxa"/>
            <w:vAlign w:val="center"/>
          </w:tcPr>
          <w:p w14:paraId="67E4A3F9"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4973700F" w14:textId="77777777" w:rsidR="00F33DF1" w:rsidRPr="004F5C17" w:rsidRDefault="00F33DF1" w:rsidP="002648D5">
            <w:pPr>
              <w:spacing w:line="360" w:lineRule="auto"/>
              <w:jc w:val="both"/>
              <w:rPr>
                <w:rFonts w:ascii="Arial" w:hAnsi="Arial" w:cs="Arial"/>
                <w:b/>
                <w:bCs/>
                <w:sz w:val="22"/>
                <w:szCs w:val="22"/>
                <w:lang w:val="en-US"/>
              </w:rPr>
            </w:pPr>
          </w:p>
        </w:tc>
      </w:tr>
      <w:tr w:rsidR="00F33DF1" w:rsidRPr="004F5C17" w14:paraId="63BE4874" w14:textId="77777777" w:rsidTr="00F33DF1">
        <w:tc>
          <w:tcPr>
            <w:tcW w:w="1600" w:type="dxa"/>
            <w:vAlign w:val="center"/>
          </w:tcPr>
          <w:p w14:paraId="20248A02" w14:textId="4C36EF0A" w:rsidR="00F33DF1" w:rsidRPr="004F5C17" w:rsidRDefault="00F33DF1" w:rsidP="002648D5">
            <w:pPr>
              <w:spacing w:line="360" w:lineRule="auto"/>
              <w:jc w:val="both"/>
              <w:rPr>
                <w:rFonts w:ascii="Arial" w:hAnsi="Arial" w:cs="Arial"/>
                <w:b/>
                <w:bCs/>
                <w:sz w:val="22"/>
                <w:szCs w:val="22"/>
                <w:lang w:val="en-US"/>
              </w:rPr>
            </w:pPr>
            <w:r w:rsidRPr="004F5C17">
              <w:rPr>
                <w:rFonts w:ascii="Arial" w:hAnsi="Arial" w:cs="Arial"/>
                <w:sz w:val="22"/>
                <w:szCs w:val="22"/>
                <w:lang w:val="en-US"/>
              </w:rPr>
              <w:t>Interpretation &amp; Drafting</w:t>
            </w:r>
          </w:p>
        </w:tc>
        <w:tc>
          <w:tcPr>
            <w:tcW w:w="1496" w:type="dxa"/>
            <w:vAlign w:val="center"/>
          </w:tcPr>
          <w:p w14:paraId="34CF3A2E"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0CF7CD2E"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198728B8"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7131C780" w14:textId="727D40C6" w:rsidR="00F33DF1" w:rsidRPr="004F5C17" w:rsidRDefault="00F33DF1" w:rsidP="002648D5">
            <w:pPr>
              <w:spacing w:line="360" w:lineRule="auto"/>
              <w:jc w:val="both"/>
              <w:rPr>
                <w:rFonts w:ascii="Arial" w:hAnsi="Arial" w:cs="Arial"/>
                <w:b/>
                <w:bCs/>
                <w:sz w:val="22"/>
                <w:szCs w:val="22"/>
                <w:lang w:val="en-US"/>
              </w:rPr>
            </w:pPr>
            <w:r w:rsidRPr="004F5C17">
              <w:rPr>
                <w:rFonts w:ascii="Segoe UI Emoji" w:hAnsi="Segoe UI Emoji" w:cs="Segoe UI Emoji"/>
                <w:sz w:val="22"/>
                <w:szCs w:val="22"/>
                <w:lang w:val="en-US"/>
              </w:rPr>
              <w:t>✅</w:t>
            </w:r>
          </w:p>
        </w:tc>
        <w:tc>
          <w:tcPr>
            <w:tcW w:w="1495" w:type="dxa"/>
            <w:vAlign w:val="center"/>
          </w:tcPr>
          <w:p w14:paraId="1DBF5D3B" w14:textId="77777777" w:rsidR="00F33DF1" w:rsidRPr="004F5C17" w:rsidRDefault="00F33DF1" w:rsidP="002648D5">
            <w:pPr>
              <w:spacing w:line="360" w:lineRule="auto"/>
              <w:jc w:val="both"/>
              <w:rPr>
                <w:rFonts w:ascii="Arial" w:hAnsi="Arial" w:cs="Arial"/>
                <w:b/>
                <w:bCs/>
                <w:sz w:val="22"/>
                <w:szCs w:val="22"/>
                <w:lang w:val="en-US"/>
              </w:rPr>
            </w:pPr>
          </w:p>
        </w:tc>
      </w:tr>
      <w:tr w:rsidR="00F33DF1" w:rsidRPr="004F5C17" w14:paraId="2A1BDA0D" w14:textId="77777777" w:rsidTr="00F33DF1">
        <w:tc>
          <w:tcPr>
            <w:tcW w:w="1600" w:type="dxa"/>
            <w:vAlign w:val="center"/>
          </w:tcPr>
          <w:p w14:paraId="62C3FAED" w14:textId="0988E876" w:rsidR="00F33DF1" w:rsidRPr="004F5C17" w:rsidRDefault="00F33DF1" w:rsidP="002648D5">
            <w:pPr>
              <w:spacing w:line="360" w:lineRule="auto"/>
              <w:jc w:val="both"/>
              <w:rPr>
                <w:rFonts w:ascii="Arial" w:hAnsi="Arial" w:cs="Arial"/>
                <w:sz w:val="22"/>
                <w:szCs w:val="22"/>
                <w:lang w:val="en-US"/>
              </w:rPr>
            </w:pPr>
            <w:r w:rsidRPr="004F5C17">
              <w:rPr>
                <w:rFonts w:ascii="Arial" w:hAnsi="Arial" w:cs="Arial"/>
                <w:sz w:val="22"/>
                <w:szCs w:val="22"/>
                <w:lang w:val="en-US"/>
              </w:rPr>
              <w:t>Final Editing &amp; Submission</w:t>
            </w:r>
          </w:p>
        </w:tc>
        <w:tc>
          <w:tcPr>
            <w:tcW w:w="1496" w:type="dxa"/>
            <w:vAlign w:val="center"/>
          </w:tcPr>
          <w:p w14:paraId="137E52B5"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70379FD9" w14:textId="77777777" w:rsidR="00F33DF1" w:rsidRPr="004F5C17" w:rsidRDefault="00F33DF1" w:rsidP="002648D5">
            <w:pPr>
              <w:spacing w:line="360" w:lineRule="auto"/>
              <w:jc w:val="both"/>
              <w:rPr>
                <w:rFonts w:ascii="Arial" w:hAnsi="Arial" w:cs="Arial"/>
                <w:b/>
                <w:bCs/>
                <w:sz w:val="22"/>
                <w:szCs w:val="22"/>
                <w:lang w:val="en-US"/>
              </w:rPr>
            </w:pPr>
          </w:p>
        </w:tc>
        <w:tc>
          <w:tcPr>
            <w:tcW w:w="1496" w:type="dxa"/>
            <w:vAlign w:val="center"/>
          </w:tcPr>
          <w:p w14:paraId="20FC4D95" w14:textId="77777777" w:rsidR="00F33DF1" w:rsidRPr="004F5C17" w:rsidRDefault="00F33DF1" w:rsidP="002648D5">
            <w:pPr>
              <w:spacing w:line="360" w:lineRule="auto"/>
              <w:jc w:val="both"/>
              <w:rPr>
                <w:rFonts w:ascii="Arial" w:hAnsi="Arial" w:cs="Arial"/>
                <w:b/>
                <w:bCs/>
                <w:sz w:val="22"/>
                <w:szCs w:val="22"/>
                <w:lang w:val="en-US"/>
              </w:rPr>
            </w:pPr>
          </w:p>
        </w:tc>
        <w:tc>
          <w:tcPr>
            <w:tcW w:w="1495" w:type="dxa"/>
            <w:vAlign w:val="center"/>
          </w:tcPr>
          <w:p w14:paraId="0A390973" w14:textId="77777777" w:rsidR="00F33DF1" w:rsidRPr="004F5C17" w:rsidRDefault="00F33DF1" w:rsidP="002648D5">
            <w:pPr>
              <w:spacing w:line="360" w:lineRule="auto"/>
              <w:jc w:val="both"/>
              <w:rPr>
                <w:rFonts w:ascii="Arial" w:hAnsi="Arial" w:cs="Arial"/>
                <w:sz w:val="22"/>
                <w:szCs w:val="22"/>
                <w:lang w:val="en-US"/>
              </w:rPr>
            </w:pPr>
          </w:p>
        </w:tc>
        <w:tc>
          <w:tcPr>
            <w:tcW w:w="1495" w:type="dxa"/>
            <w:vAlign w:val="center"/>
          </w:tcPr>
          <w:p w14:paraId="492C3CB8" w14:textId="644ABDA3" w:rsidR="00F33DF1" w:rsidRPr="004F5C17" w:rsidRDefault="00F33DF1" w:rsidP="002648D5">
            <w:pPr>
              <w:spacing w:line="360" w:lineRule="auto"/>
              <w:jc w:val="both"/>
              <w:rPr>
                <w:rFonts w:ascii="Arial" w:hAnsi="Arial" w:cs="Arial"/>
                <w:b/>
                <w:bCs/>
                <w:sz w:val="22"/>
                <w:szCs w:val="22"/>
                <w:lang w:val="en-US"/>
              </w:rPr>
            </w:pPr>
            <w:r w:rsidRPr="004F5C17">
              <w:rPr>
                <w:rFonts w:ascii="Segoe UI Emoji" w:hAnsi="Segoe UI Emoji" w:cs="Segoe UI Emoji"/>
                <w:sz w:val="22"/>
                <w:szCs w:val="22"/>
                <w:lang w:val="en-US"/>
              </w:rPr>
              <w:t>✅</w:t>
            </w:r>
          </w:p>
        </w:tc>
      </w:tr>
    </w:tbl>
    <w:p w14:paraId="5FC84722" w14:textId="77777777" w:rsidR="00F33DF1" w:rsidRPr="004F5C17" w:rsidRDefault="00F33DF1" w:rsidP="002648D5">
      <w:pPr>
        <w:spacing w:line="360" w:lineRule="auto"/>
        <w:jc w:val="both"/>
        <w:rPr>
          <w:rFonts w:ascii="Arial" w:hAnsi="Arial" w:cs="Arial"/>
          <w:b/>
          <w:bCs/>
          <w:sz w:val="22"/>
          <w:szCs w:val="22"/>
          <w:lang w:val="en-US"/>
        </w:rPr>
      </w:pPr>
    </w:p>
    <w:p w14:paraId="69DBA948" w14:textId="77777777" w:rsidR="00F33DF1" w:rsidRPr="004F5C17" w:rsidRDefault="00F33DF1" w:rsidP="002648D5">
      <w:pPr>
        <w:pStyle w:val="Heading1"/>
        <w:spacing w:line="360" w:lineRule="auto"/>
        <w:rPr>
          <w:rFonts w:ascii="Arial" w:hAnsi="Arial" w:cs="Arial"/>
          <w:b/>
          <w:bCs/>
          <w:color w:val="000000" w:themeColor="text1"/>
          <w:sz w:val="22"/>
          <w:szCs w:val="22"/>
          <w:lang w:val="en-US"/>
        </w:rPr>
      </w:pPr>
      <w:bookmarkStart w:id="67" w:name="_Toc201567567"/>
      <w:bookmarkStart w:id="68" w:name="_Toc201567687"/>
      <w:bookmarkStart w:id="69" w:name="_Toc204697933"/>
      <w:r w:rsidRPr="004F5C17">
        <w:rPr>
          <w:rFonts w:ascii="Arial" w:hAnsi="Arial" w:cs="Arial"/>
          <w:b/>
          <w:bCs/>
          <w:color w:val="000000" w:themeColor="text1"/>
          <w:sz w:val="22"/>
          <w:szCs w:val="22"/>
          <w:lang w:val="en-US"/>
        </w:rPr>
        <w:t>3.10 Ethical Considerations</w:t>
      </w:r>
      <w:bookmarkEnd w:id="67"/>
      <w:bookmarkEnd w:id="68"/>
      <w:bookmarkEnd w:id="69"/>
    </w:p>
    <w:p w14:paraId="660AADA5" w14:textId="77777777" w:rsidR="00B82AB7" w:rsidRPr="004F5C17" w:rsidRDefault="00B82AB7" w:rsidP="002648D5">
      <w:pPr>
        <w:spacing w:line="360" w:lineRule="auto"/>
        <w:rPr>
          <w:rFonts w:ascii="Arial" w:hAnsi="Arial" w:cs="Arial"/>
          <w:sz w:val="22"/>
          <w:szCs w:val="22"/>
          <w:lang w:val="en-US"/>
        </w:rPr>
      </w:pPr>
    </w:p>
    <w:p w14:paraId="2AFA23E5" w14:textId="77777777" w:rsidR="00F33DF1" w:rsidRPr="004F5C17" w:rsidRDefault="00F33DF1" w:rsidP="002648D5">
      <w:pPr>
        <w:spacing w:line="360" w:lineRule="auto"/>
        <w:jc w:val="both"/>
        <w:rPr>
          <w:rFonts w:ascii="Arial" w:hAnsi="Arial" w:cs="Arial"/>
          <w:sz w:val="22"/>
          <w:szCs w:val="22"/>
          <w:lang w:val="en-US"/>
        </w:rPr>
      </w:pPr>
      <w:r w:rsidRPr="004F5C17">
        <w:rPr>
          <w:rFonts w:ascii="Arial" w:hAnsi="Arial" w:cs="Arial"/>
          <w:sz w:val="22"/>
          <w:szCs w:val="22"/>
          <w:lang w:val="en-US"/>
        </w:rPr>
        <w:t>As the research is based solely on publicly available secondary data, no ethical approval is required. However, academic integrity will be strictly upheld by:</w:t>
      </w:r>
    </w:p>
    <w:p w14:paraId="593FE1E1" w14:textId="77777777" w:rsidR="00F33DF1" w:rsidRPr="004F5C17" w:rsidRDefault="00F33DF1" w:rsidP="002648D5">
      <w:pPr>
        <w:numPr>
          <w:ilvl w:val="0"/>
          <w:numId w:val="11"/>
        </w:numPr>
        <w:spacing w:line="360" w:lineRule="auto"/>
        <w:jc w:val="both"/>
        <w:rPr>
          <w:rFonts w:ascii="Arial" w:hAnsi="Arial" w:cs="Arial"/>
          <w:sz w:val="22"/>
          <w:szCs w:val="22"/>
          <w:lang w:val="en-US"/>
        </w:rPr>
      </w:pPr>
      <w:r w:rsidRPr="004F5C17">
        <w:rPr>
          <w:rFonts w:ascii="Arial" w:hAnsi="Arial" w:cs="Arial"/>
          <w:sz w:val="22"/>
          <w:szCs w:val="22"/>
          <w:lang w:val="en-US"/>
        </w:rPr>
        <w:t>Properly referencing all data sources using Harvard style.</w:t>
      </w:r>
    </w:p>
    <w:p w14:paraId="02C95ED7" w14:textId="77777777" w:rsidR="00F33DF1" w:rsidRPr="004F5C17" w:rsidRDefault="00F33DF1" w:rsidP="002648D5">
      <w:pPr>
        <w:numPr>
          <w:ilvl w:val="0"/>
          <w:numId w:val="11"/>
        </w:numPr>
        <w:spacing w:line="360" w:lineRule="auto"/>
        <w:jc w:val="both"/>
        <w:rPr>
          <w:rFonts w:ascii="Arial" w:hAnsi="Arial" w:cs="Arial"/>
          <w:sz w:val="22"/>
          <w:szCs w:val="22"/>
          <w:lang w:val="en-US"/>
        </w:rPr>
      </w:pPr>
      <w:r w:rsidRPr="004F5C17">
        <w:rPr>
          <w:rFonts w:ascii="Arial" w:hAnsi="Arial" w:cs="Arial"/>
          <w:sz w:val="22"/>
          <w:szCs w:val="22"/>
          <w:lang w:val="en-US"/>
        </w:rPr>
        <w:t>Ensuring no data manipulation or misrepresentation occurs.</w:t>
      </w:r>
    </w:p>
    <w:p w14:paraId="02481961" w14:textId="77777777" w:rsidR="00F33DF1" w:rsidRPr="004F5C17" w:rsidRDefault="00F33DF1" w:rsidP="002648D5">
      <w:pPr>
        <w:numPr>
          <w:ilvl w:val="0"/>
          <w:numId w:val="11"/>
        </w:numPr>
        <w:spacing w:line="360" w:lineRule="auto"/>
        <w:jc w:val="both"/>
        <w:rPr>
          <w:rFonts w:ascii="Arial" w:hAnsi="Arial" w:cs="Arial"/>
          <w:sz w:val="22"/>
          <w:szCs w:val="22"/>
          <w:lang w:val="en-US"/>
        </w:rPr>
      </w:pPr>
      <w:r w:rsidRPr="004F5C17">
        <w:rPr>
          <w:rFonts w:ascii="Arial" w:hAnsi="Arial" w:cs="Arial"/>
          <w:sz w:val="22"/>
          <w:szCs w:val="22"/>
          <w:lang w:val="en-US"/>
        </w:rPr>
        <w:t>Respecting the intellectual property rights of content creators and data providers.</w:t>
      </w:r>
    </w:p>
    <w:p w14:paraId="2302455B" w14:textId="77777777" w:rsidR="00F33DF1" w:rsidRPr="004F5C17" w:rsidRDefault="00F33DF1" w:rsidP="002648D5">
      <w:pPr>
        <w:numPr>
          <w:ilvl w:val="0"/>
          <w:numId w:val="11"/>
        </w:numPr>
        <w:spacing w:line="360" w:lineRule="auto"/>
        <w:jc w:val="both"/>
        <w:rPr>
          <w:rFonts w:ascii="Arial" w:hAnsi="Arial" w:cs="Arial"/>
          <w:sz w:val="22"/>
          <w:szCs w:val="22"/>
          <w:lang w:val="en-US"/>
        </w:rPr>
      </w:pPr>
      <w:r w:rsidRPr="004F5C17">
        <w:rPr>
          <w:rFonts w:ascii="Arial" w:hAnsi="Arial" w:cs="Arial"/>
          <w:sz w:val="22"/>
          <w:szCs w:val="22"/>
          <w:lang w:val="en-US"/>
        </w:rPr>
        <w:t>Avoiding plagiarism through transparent citation of all materials used.</w:t>
      </w:r>
    </w:p>
    <w:p w14:paraId="28C49DB6" w14:textId="75F9D450" w:rsidR="00F33DF1" w:rsidRPr="004F5C17" w:rsidRDefault="00F33DF1" w:rsidP="002648D5">
      <w:pPr>
        <w:pStyle w:val="Heading1"/>
        <w:spacing w:line="360" w:lineRule="auto"/>
        <w:jc w:val="both"/>
        <w:rPr>
          <w:rFonts w:ascii="Arial" w:hAnsi="Arial" w:cs="Arial"/>
          <w:b/>
          <w:bCs/>
          <w:color w:val="000000" w:themeColor="text1"/>
          <w:sz w:val="22"/>
          <w:szCs w:val="22"/>
        </w:rPr>
      </w:pPr>
      <w:bookmarkStart w:id="70" w:name="_Toc201567568"/>
      <w:bookmarkStart w:id="71" w:name="_Toc201567688"/>
      <w:bookmarkStart w:id="72" w:name="_Toc204697934"/>
      <w:r w:rsidRPr="004F5C17">
        <w:rPr>
          <w:rFonts w:ascii="Arial" w:hAnsi="Arial" w:cs="Arial"/>
          <w:b/>
          <w:bCs/>
          <w:color w:val="000000" w:themeColor="text1"/>
          <w:sz w:val="22"/>
          <w:szCs w:val="22"/>
        </w:rPr>
        <w:t>Chapter 4: Conclusion</w:t>
      </w:r>
      <w:bookmarkEnd w:id="70"/>
      <w:bookmarkEnd w:id="71"/>
      <w:bookmarkEnd w:id="72"/>
    </w:p>
    <w:p w14:paraId="6DD802C3" w14:textId="2DD24DEB" w:rsidR="00B82AB7" w:rsidRDefault="00F33DF1" w:rsidP="002648D5">
      <w:pPr>
        <w:spacing w:line="360" w:lineRule="auto"/>
        <w:jc w:val="both"/>
        <w:rPr>
          <w:rFonts w:ascii="Arial" w:hAnsi="Arial" w:cs="Arial"/>
          <w:sz w:val="22"/>
          <w:szCs w:val="22"/>
        </w:rPr>
      </w:pPr>
      <w:r w:rsidRPr="004F5C17">
        <w:rPr>
          <w:rFonts w:ascii="Arial" w:hAnsi="Arial" w:cs="Arial"/>
          <w:sz w:val="22"/>
          <w:szCs w:val="22"/>
        </w:rPr>
        <w:t>This study attempts to ascertain how the financial ratios influence the share prices in the UK stock market. The implications are that it will be using positivist and quantitative way of research where the effect of certain ratios like the P/E, EPS, ROE, D/E, and the Current Ratio on the value of share held by companies listed on the FTSE 100 will be tested. Filling the gap between theory and practical use of information, the study brings value to the literature of investment analysis and those making decisions as investors and on behalf of corporations. The results can be used to explain the ratios that can provide the most predictive information and control in stock valuation.</w:t>
      </w:r>
    </w:p>
    <w:p w14:paraId="3696CEBC" w14:textId="77777777" w:rsidR="00C3497B" w:rsidRDefault="00C3497B" w:rsidP="002648D5">
      <w:pPr>
        <w:spacing w:line="360" w:lineRule="auto"/>
        <w:jc w:val="both"/>
        <w:rPr>
          <w:rFonts w:ascii="Arial" w:hAnsi="Arial" w:cs="Arial"/>
          <w:sz w:val="22"/>
          <w:szCs w:val="22"/>
        </w:rPr>
      </w:pPr>
    </w:p>
    <w:p w14:paraId="74D3B6F4" w14:textId="77777777" w:rsidR="00C3497B" w:rsidRPr="004F5C17" w:rsidRDefault="00C3497B" w:rsidP="002648D5">
      <w:pPr>
        <w:spacing w:line="360" w:lineRule="auto"/>
        <w:jc w:val="both"/>
        <w:rPr>
          <w:rFonts w:ascii="Arial" w:hAnsi="Arial" w:cs="Arial"/>
          <w:sz w:val="22"/>
          <w:szCs w:val="22"/>
        </w:rPr>
      </w:pPr>
    </w:p>
    <w:p w14:paraId="0EB12999" w14:textId="77777777" w:rsidR="00B82AB7" w:rsidRPr="004F5C17" w:rsidRDefault="00B82AB7" w:rsidP="002648D5">
      <w:pPr>
        <w:spacing w:line="360" w:lineRule="auto"/>
        <w:jc w:val="both"/>
        <w:rPr>
          <w:rFonts w:ascii="Arial" w:hAnsi="Arial" w:cs="Arial"/>
          <w:sz w:val="22"/>
          <w:szCs w:val="22"/>
        </w:rPr>
      </w:pPr>
    </w:p>
    <w:p w14:paraId="6FC83E76" w14:textId="77777777" w:rsidR="00B82AB7" w:rsidRPr="004F5C17" w:rsidRDefault="00B82AB7" w:rsidP="002648D5">
      <w:pPr>
        <w:spacing w:line="360" w:lineRule="auto"/>
        <w:jc w:val="both"/>
        <w:rPr>
          <w:rFonts w:ascii="Arial" w:hAnsi="Arial" w:cs="Arial"/>
          <w:sz w:val="22"/>
          <w:szCs w:val="22"/>
        </w:rPr>
      </w:pPr>
    </w:p>
    <w:p w14:paraId="3709ABDF" w14:textId="77777777" w:rsidR="00F33DF1" w:rsidRPr="004F5C17" w:rsidRDefault="00F33DF1" w:rsidP="002648D5">
      <w:pPr>
        <w:pStyle w:val="Heading3"/>
        <w:spacing w:line="360" w:lineRule="auto"/>
        <w:rPr>
          <w:rFonts w:ascii="Arial" w:hAnsi="Arial" w:cs="Arial"/>
          <w:b/>
          <w:bCs/>
          <w:color w:val="000000" w:themeColor="text1"/>
          <w:sz w:val="22"/>
          <w:szCs w:val="22"/>
          <w:lang w:val="en-US"/>
        </w:rPr>
      </w:pPr>
      <w:bookmarkStart w:id="73" w:name="_Toc201567569"/>
      <w:bookmarkStart w:id="74" w:name="_Toc201567689"/>
      <w:bookmarkStart w:id="75" w:name="_Toc204697935"/>
      <w:r w:rsidRPr="004F5C17">
        <w:rPr>
          <w:rFonts w:ascii="Arial" w:hAnsi="Arial" w:cs="Arial"/>
          <w:b/>
          <w:bCs/>
          <w:color w:val="000000" w:themeColor="text1"/>
          <w:sz w:val="22"/>
          <w:szCs w:val="22"/>
          <w:lang w:val="en-US"/>
        </w:rPr>
        <w:lastRenderedPageBreak/>
        <w:t>Chapter 5: References</w:t>
      </w:r>
      <w:bookmarkEnd w:id="73"/>
      <w:bookmarkEnd w:id="74"/>
      <w:bookmarkEnd w:id="75"/>
    </w:p>
    <w:p w14:paraId="0A2BA63D" w14:textId="77777777" w:rsidR="00F33DF1" w:rsidRPr="004F5C17" w:rsidRDefault="00F33DF1" w:rsidP="002648D5">
      <w:pPr>
        <w:spacing w:line="360" w:lineRule="auto"/>
        <w:jc w:val="both"/>
        <w:rPr>
          <w:rFonts w:ascii="Arial" w:hAnsi="Arial" w:cs="Arial"/>
          <w:sz w:val="22"/>
          <w:szCs w:val="22"/>
          <w:lang w:val="en-US"/>
        </w:rPr>
      </w:pPr>
    </w:p>
    <w:p w14:paraId="5DC183D2"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Al-Mwalla, M. (2012). The Impact of Financial Leverage on Firm Value. </w:t>
      </w:r>
      <w:r w:rsidRPr="004F5C17">
        <w:rPr>
          <w:rFonts w:ascii="Arial" w:hAnsi="Arial" w:cs="Arial"/>
          <w:i/>
          <w:iCs/>
          <w:sz w:val="22"/>
          <w:szCs w:val="22"/>
          <w:lang w:val="en-US"/>
        </w:rPr>
        <w:t>International Journal of Business and Social Science</w:t>
      </w:r>
      <w:r w:rsidRPr="004F5C17">
        <w:rPr>
          <w:rFonts w:ascii="Arial" w:hAnsi="Arial" w:cs="Arial"/>
          <w:sz w:val="22"/>
          <w:szCs w:val="22"/>
          <w:lang w:val="en-US"/>
        </w:rPr>
        <w:t>, 3(3), 105–112.</w:t>
      </w:r>
    </w:p>
    <w:p w14:paraId="63EAF736"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Ball, R. and Brown, P. (1968). An Empirical Evaluation of Accounting Income Numbers. </w:t>
      </w:r>
      <w:r w:rsidRPr="004F5C17">
        <w:rPr>
          <w:rFonts w:ascii="Arial" w:hAnsi="Arial" w:cs="Arial"/>
          <w:i/>
          <w:iCs/>
          <w:sz w:val="22"/>
          <w:szCs w:val="22"/>
          <w:lang w:val="en-US"/>
        </w:rPr>
        <w:t>Journal of Accounting Research</w:t>
      </w:r>
      <w:r w:rsidRPr="004F5C17">
        <w:rPr>
          <w:rFonts w:ascii="Arial" w:hAnsi="Arial" w:cs="Arial"/>
          <w:sz w:val="22"/>
          <w:szCs w:val="22"/>
          <w:lang w:val="en-US"/>
        </w:rPr>
        <w:t>, 6(2), 159–178.</w:t>
      </w:r>
    </w:p>
    <w:p w14:paraId="481AD059"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Basu, S. (1977). Investment Performance of Common Stocks in Relation to Their Price-Earnings Ratios. </w:t>
      </w:r>
      <w:r w:rsidRPr="004F5C17">
        <w:rPr>
          <w:rFonts w:ascii="Arial" w:hAnsi="Arial" w:cs="Arial"/>
          <w:i/>
          <w:iCs/>
          <w:sz w:val="22"/>
          <w:szCs w:val="22"/>
          <w:lang w:val="en-US"/>
        </w:rPr>
        <w:t>Journal of Finance</w:t>
      </w:r>
      <w:r w:rsidRPr="004F5C17">
        <w:rPr>
          <w:rFonts w:ascii="Arial" w:hAnsi="Arial" w:cs="Arial"/>
          <w:sz w:val="22"/>
          <w:szCs w:val="22"/>
          <w:lang w:val="en-US"/>
        </w:rPr>
        <w:t>, 32(3), 663–682.</w:t>
      </w:r>
    </w:p>
    <w:p w14:paraId="47B7B83A"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Brealey, R. A., Myers, S. C. and Allen, F. (2014) </w:t>
      </w:r>
      <w:r w:rsidRPr="004F5C17">
        <w:rPr>
          <w:rFonts w:ascii="Arial" w:hAnsi="Arial" w:cs="Arial"/>
          <w:i/>
          <w:iCs/>
          <w:sz w:val="22"/>
          <w:szCs w:val="22"/>
          <w:lang w:val="en-US"/>
        </w:rPr>
        <w:t>Principles of Corporate Finance</w:t>
      </w:r>
      <w:r w:rsidRPr="004F5C17">
        <w:rPr>
          <w:rFonts w:ascii="Arial" w:hAnsi="Arial" w:cs="Arial"/>
          <w:sz w:val="22"/>
          <w:szCs w:val="22"/>
          <w:lang w:val="en-US"/>
        </w:rPr>
        <w:t>. 11th edn. New York: McGraw-Hill Education.</w:t>
      </w:r>
    </w:p>
    <w:p w14:paraId="6E23775D"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Chen, N.F. and Zhao, X. (2009). Return Decomposition. </w:t>
      </w:r>
      <w:r w:rsidRPr="004F5C17">
        <w:rPr>
          <w:rFonts w:ascii="Arial" w:hAnsi="Arial" w:cs="Arial"/>
          <w:i/>
          <w:iCs/>
          <w:sz w:val="22"/>
          <w:szCs w:val="22"/>
          <w:lang w:val="en-US"/>
        </w:rPr>
        <w:t>Review of Financial Studies</w:t>
      </w:r>
      <w:r w:rsidRPr="004F5C17">
        <w:rPr>
          <w:rFonts w:ascii="Arial" w:hAnsi="Arial" w:cs="Arial"/>
          <w:sz w:val="22"/>
          <w:szCs w:val="22"/>
          <w:lang w:val="en-US"/>
        </w:rPr>
        <w:t>, 22(12), 5273–5304.</w:t>
      </w:r>
    </w:p>
    <w:p w14:paraId="61A71302"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Damodaran, A. (2012) Investment Valuation: Tools and Techniques for Determining the Value of Any Asset. 3rd </w:t>
      </w:r>
      <w:proofErr w:type="gramStart"/>
      <w:r w:rsidRPr="004F5C17">
        <w:rPr>
          <w:rFonts w:ascii="Arial" w:hAnsi="Arial" w:cs="Arial"/>
          <w:sz w:val="22"/>
          <w:szCs w:val="22"/>
          <w:lang w:val="en-US"/>
        </w:rPr>
        <w:t>edn</w:t>
      </w:r>
      <w:proofErr w:type="gramEnd"/>
      <w:r w:rsidRPr="004F5C17">
        <w:rPr>
          <w:rFonts w:ascii="Arial" w:hAnsi="Arial" w:cs="Arial"/>
          <w:sz w:val="22"/>
          <w:szCs w:val="22"/>
          <w:lang w:val="en-US"/>
        </w:rPr>
        <w:t>. Hoboken, NJ: Wiley.</w:t>
      </w:r>
    </w:p>
    <w:p w14:paraId="6191270A"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Fama, E. F. (1970) ‘Efficient Capital Markets: A Review of Theory and Empirical Work’, </w:t>
      </w:r>
      <w:r w:rsidRPr="004F5C17">
        <w:rPr>
          <w:rFonts w:ascii="Arial" w:hAnsi="Arial" w:cs="Arial"/>
          <w:i/>
          <w:iCs/>
          <w:sz w:val="22"/>
          <w:szCs w:val="22"/>
          <w:lang w:val="en-US"/>
        </w:rPr>
        <w:t>Journal of Finance</w:t>
      </w:r>
      <w:r w:rsidRPr="004F5C17">
        <w:rPr>
          <w:rFonts w:ascii="Arial" w:hAnsi="Arial" w:cs="Arial"/>
          <w:sz w:val="22"/>
          <w:szCs w:val="22"/>
          <w:lang w:val="en-US"/>
        </w:rPr>
        <w:t>, 25(2), pp. 383–417.</w:t>
      </w:r>
    </w:p>
    <w:p w14:paraId="716FE38B"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Gitman, L. J., Juchau, R. and Flanagan, M. (2015) Principles of Managerial Finance. Pearson Higher Education AU.</w:t>
      </w:r>
    </w:p>
    <w:p w14:paraId="6C794C5F"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Graham, B. and Dodd, D. (1934). </w:t>
      </w:r>
      <w:r w:rsidRPr="004F5C17">
        <w:rPr>
          <w:rFonts w:ascii="Arial" w:hAnsi="Arial" w:cs="Arial"/>
          <w:i/>
          <w:iCs/>
          <w:sz w:val="22"/>
          <w:szCs w:val="22"/>
          <w:lang w:val="en-US"/>
        </w:rPr>
        <w:t>Security Analysis</w:t>
      </w:r>
      <w:r w:rsidRPr="004F5C17">
        <w:rPr>
          <w:rFonts w:ascii="Arial" w:hAnsi="Arial" w:cs="Arial"/>
          <w:sz w:val="22"/>
          <w:szCs w:val="22"/>
          <w:lang w:val="en-US"/>
        </w:rPr>
        <w:t>. New York: McGraw-Hill.</w:t>
      </w:r>
    </w:p>
    <w:p w14:paraId="0473C28A"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Higgins, R. C. (2012) </w:t>
      </w:r>
      <w:r w:rsidRPr="004F5C17">
        <w:rPr>
          <w:rFonts w:ascii="Arial" w:hAnsi="Arial" w:cs="Arial"/>
          <w:i/>
          <w:iCs/>
          <w:sz w:val="22"/>
          <w:szCs w:val="22"/>
          <w:lang w:val="en-US"/>
        </w:rPr>
        <w:t>Analysis for Financial Management</w:t>
      </w:r>
      <w:r w:rsidRPr="004F5C17">
        <w:rPr>
          <w:rFonts w:ascii="Arial" w:hAnsi="Arial" w:cs="Arial"/>
          <w:sz w:val="22"/>
          <w:szCs w:val="22"/>
          <w:lang w:val="en-US"/>
        </w:rPr>
        <w:t xml:space="preserve">. 10th </w:t>
      </w:r>
      <w:proofErr w:type="gramStart"/>
      <w:r w:rsidRPr="004F5C17">
        <w:rPr>
          <w:rFonts w:ascii="Arial" w:hAnsi="Arial" w:cs="Arial"/>
          <w:sz w:val="22"/>
          <w:szCs w:val="22"/>
          <w:lang w:val="en-US"/>
        </w:rPr>
        <w:t>edn</w:t>
      </w:r>
      <w:proofErr w:type="gramEnd"/>
      <w:r w:rsidRPr="004F5C17">
        <w:rPr>
          <w:rFonts w:ascii="Arial" w:hAnsi="Arial" w:cs="Arial"/>
          <w:sz w:val="22"/>
          <w:szCs w:val="22"/>
          <w:lang w:val="en-US"/>
        </w:rPr>
        <w:t>. New York: McGraw-Hill/Irwin.</w:t>
      </w:r>
    </w:p>
    <w:p w14:paraId="1DEA3FCB"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Lakonishok, J., Shleifer, A. and Vishny, R. W. (1994) ‘Contrarian investment, extrapolation, and risk’, The Journal of Finance, 49(5), pp. 1541–1578.</w:t>
      </w:r>
    </w:p>
    <w:p w14:paraId="3E9E1D0C"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Mohamad, N. et al. (2010). Financial Ratios and Share Prices. </w:t>
      </w:r>
      <w:r w:rsidRPr="004F5C17">
        <w:rPr>
          <w:rFonts w:ascii="Arial" w:hAnsi="Arial" w:cs="Arial"/>
          <w:i/>
          <w:iCs/>
          <w:sz w:val="22"/>
          <w:szCs w:val="22"/>
          <w:lang w:val="en-US"/>
        </w:rPr>
        <w:t>Asian Journal of Finance and Accounting</w:t>
      </w:r>
      <w:r w:rsidRPr="004F5C17">
        <w:rPr>
          <w:rFonts w:ascii="Arial" w:hAnsi="Arial" w:cs="Arial"/>
          <w:sz w:val="22"/>
          <w:szCs w:val="22"/>
          <w:lang w:val="en-US"/>
        </w:rPr>
        <w:t>, 2(1), 1–23.</w:t>
      </w:r>
    </w:p>
    <w:p w14:paraId="52CD2814"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Penman, S. H. (2013) </w:t>
      </w:r>
      <w:r w:rsidRPr="004F5C17">
        <w:rPr>
          <w:rFonts w:ascii="Arial" w:hAnsi="Arial" w:cs="Arial"/>
          <w:i/>
          <w:iCs/>
          <w:sz w:val="22"/>
          <w:szCs w:val="22"/>
          <w:lang w:val="en-US"/>
        </w:rPr>
        <w:t>Financial Statement Analysis and Security Valuation</w:t>
      </w:r>
      <w:r w:rsidRPr="004F5C17">
        <w:rPr>
          <w:rFonts w:ascii="Arial" w:hAnsi="Arial" w:cs="Arial"/>
          <w:sz w:val="22"/>
          <w:szCs w:val="22"/>
          <w:lang w:val="en-US"/>
        </w:rPr>
        <w:t xml:space="preserve">. 5th </w:t>
      </w:r>
      <w:proofErr w:type="gramStart"/>
      <w:r w:rsidRPr="004F5C17">
        <w:rPr>
          <w:rFonts w:ascii="Arial" w:hAnsi="Arial" w:cs="Arial"/>
          <w:sz w:val="22"/>
          <w:szCs w:val="22"/>
          <w:lang w:val="en-US"/>
        </w:rPr>
        <w:t>edn</w:t>
      </w:r>
      <w:proofErr w:type="gramEnd"/>
      <w:r w:rsidRPr="004F5C17">
        <w:rPr>
          <w:rFonts w:ascii="Arial" w:hAnsi="Arial" w:cs="Arial"/>
          <w:sz w:val="22"/>
          <w:szCs w:val="22"/>
          <w:lang w:val="en-US"/>
        </w:rPr>
        <w:t>. New York: McGraw-Hill Education.</w:t>
      </w:r>
    </w:p>
    <w:p w14:paraId="1EB2F74E" w14:textId="77777777" w:rsidR="002648D5" w:rsidRPr="004F5C17" w:rsidRDefault="002648D5" w:rsidP="002648D5">
      <w:pPr>
        <w:spacing w:line="360" w:lineRule="auto"/>
        <w:ind w:left="720" w:hanging="720"/>
        <w:jc w:val="both"/>
        <w:rPr>
          <w:rFonts w:ascii="Arial" w:hAnsi="Arial" w:cs="Arial"/>
          <w:sz w:val="22"/>
          <w:szCs w:val="22"/>
          <w:lang w:val="en-US"/>
        </w:rPr>
      </w:pPr>
      <w:r w:rsidRPr="004F5C17">
        <w:rPr>
          <w:rFonts w:ascii="Arial" w:hAnsi="Arial" w:cs="Arial"/>
          <w:sz w:val="22"/>
          <w:szCs w:val="22"/>
          <w:lang w:val="en-US"/>
        </w:rPr>
        <w:t xml:space="preserve">Titman, S. and Wessels, R. (1988). The Determinants of Capital Structure Choice. </w:t>
      </w:r>
      <w:r w:rsidRPr="004F5C17">
        <w:rPr>
          <w:rFonts w:ascii="Arial" w:hAnsi="Arial" w:cs="Arial"/>
          <w:i/>
          <w:iCs/>
          <w:sz w:val="22"/>
          <w:szCs w:val="22"/>
          <w:lang w:val="en-US"/>
        </w:rPr>
        <w:t>Journal of Finance</w:t>
      </w:r>
      <w:r w:rsidRPr="004F5C17">
        <w:rPr>
          <w:rFonts w:ascii="Arial" w:hAnsi="Arial" w:cs="Arial"/>
          <w:sz w:val="22"/>
          <w:szCs w:val="22"/>
          <w:lang w:val="en-US"/>
        </w:rPr>
        <w:t>, 43(1), 1–19.</w:t>
      </w:r>
    </w:p>
    <w:p w14:paraId="58A8EC06" w14:textId="77777777" w:rsidR="002648D5" w:rsidRPr="00B82AB7" w:rsidRDefault="002648D5" w:rsidP="002648D5">
      <w:pPr>
        <w:spacing w:line="360" w:lineRule="auto"/>
        <w:rPr>
          <w:lang w:val="en-US"/>
        </w:rPr>
      </w:pPr>
    </w:p>
    <w:p w14:paraId="3A94A825" w14:textId="77777777" w:rsidR="00F33DF1" w:rsidRPr="00B82AB7" w:rsidRDefault="00F33DF1" w:rsidP="002648D5">
      <w:pPr>
        <w:spacing w:line="360" w:lineRule="auto"/>
      </w:pPr>
    </w:p>
    <w:sectPr w:rsidR="00F33DF1" w:rsidRPr="00B82AB7" w:rsidSect="005C0B92">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03B9" w14:textId="77777777" w:rsidR="00ED52E1" w:rsidRDefault="00ED52E1" w:rsidP="00042291">
      <w:r>
        <w:separator/>
      </w:r>
    </w:p>
  </w:endnote>
  <w:endnote w:type="continuationSeparator" w:id="0">
    <w:p w14:paraId="65069C18" w14:textId="77777777" w:rsidR="00ED52E1" w:rsidRDefault="00ED52E1" w:rsidP="0004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D5712" w14:textId="77777777" w:rsidR="00ED52E1" w:rsidRDefault="00ED52E1" w:rsidP="00042291">
      <w:r>
        <w:separator/>
      </w:r>
    </w:p>
  </w:footnote>
  <w:footnote w:type="continuationSeparator" w:id="0">
    <w:p w14:paraId="1F77F5EF" w14:textId="77777777" w:rsidR="00ED52E1" w:rsidRDefault="00ED52E1" w:rsidP="0004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718528"/>
      <w:docPartObj>
        <w:docPartGallery w:val="Page Numbers (Top of Page)"/>
        <w:docPartUnique/>
      </w:docPartObj>
    </w:sdtPr>
    <w:sdtEndPr>
      <w:rPr>
        <w:rFonts w:ascii="Times New Roman" w:hAnsi="Times New Roman" w:cs="Times New Roman"/>
        <w:noProof/>
      </w:rPr>
    </w:sdtEndPr>
    <w:sdtContent>
      <w:p w14:paraId="149B41C5" w14:textId="143DBFE4" w:rsidR="00042291" w:rsidRPr="00042291" w:rsidRDefault="00042291">
        <w:pPr>
          <w:pStyle w:val="Header"/>
          <w:jc w:val="right"/>
          <w:rPr>
            <w:rFonts w:ascii="Times New Roman" w:hAnsi="Times New Roman" w:cs="Times New Roman"/>
          </w:rPr>
        </w:pPr>
        <w:r w:rsidRPr="00042291">
          <w:rPr>
            <w:rFonts w:ascii="Times New Roman" w:hAnsi="Times New Roman" w:cs="Times New Roman"/>
          </w:rPr>
          <w:fldChar w:fldCharType="begin"/>
        </w:r>
        <w:r w:rsidRPr="00042291">
          <w:rPr>
            <w:rFonts w:ascii="Times New Roman" w:hAnsi="Times New Roman" w:cs="Times New Roman"/>
          </w:rPr>
          <w:instrText xml:space="preserve"> PAGE   \* MERGEFORMAT </w:instrText>
        </w:r>
        <w:r w:rsidRPr="00042291">
          <w:rPr>
            <w:rFonts w:ascii="Times New Roman" w:hAnsi="Times New Roman" w:cs="Times New Roman"/>
          </w:rPr>
          <w:fldChar w:fldCharType="separate"/>
        </w:r>
        <w:r w:rsidRPr="00042291">
          <w:rPr>
            <w:rFonts w:ascii="Times New Roman" w:hAnsi="Times New Roman" w:cs="Times New Roman"/>
            <w:noProof/>
          </w:rPr>
          <w:t>2</w:t>
        </w:r>
        <w:r w:rsidRPr="00042291">
          <w:rPr>
            <w:rFonts w:ascii="Times New Roman" w:hAnsi="Times New Roman" w:cs="Times New Roman"/>
            <w:noProof/>
          </w:rPr>
          <w:fldChar w:fldCharType="end"/>
        </w:r>
      </w:p>
    </w:sdtContent>
  </w:sdt>
  <w:p w14:paraId="5E386651" w14:textId="77777777" w:rsidR="00042291" w:rsidRDefault="00042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E7D53"/>
    <w:multiLevelType w:val="multilevel"/>
    <w:tmpl w:val="4130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52B38"/>
    <w:multiLevelType w:val="multilevel"/>
    <w:tmpl w:val="581C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B6238"/>
    <w:multiLevelType w:val="multilevel"/>
    <w:tmpl w:val="B2AAD7C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A17A8F"/>
    <w:multiLevelType w:val="multilevel"/>
    <w:tmpl w:val="264C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E4C3B"/>
    <w:multiLevelType w:val="multilevel"/>
    <w:tmpl w:val="251C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94472"/>
    <w:multiLevelType w:val="multilevel"/>
    <w:tmpl w:val="251C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43423E"/>
    <w:multiLevelType w:val="hybridMultilevel"/>
    <w:tmpl w:val="1250D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5D5CA4"/>
    <w:multiLevelType w:val="multilevel"/>
    <w:tmpl w:val="7BF8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174060"/>
    <w:multiLevelType w:val="hybridMultilevel"/>
    <w:tmpl w:val="B97091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FE2AF3"/>
    <w:multiLevelType w:val="multilevel"/>
    <w:tmpl w:val="B7F4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573066"/>
    <w:multiLevelType w:val="multilevel"/>
    <w:tmpl w:val="FB94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1763BF"/>
    <w:multiLevelType w:val="hybridMultilevel"/>
    <w:tmpl w:val="BEB0011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F333EA"/>
    <w:multiLevelType w:val="multilevel"/>
    <w:tmpl w:val="91AC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2006BE"/>
    <w:multiLevelType w:val="multilevel"/>
    <w:tmpl w:val="AC98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74562B"/>
    <w:multiLevelType w:val="hybridMultilevel"/>
    <w:tmpl w:val="D7A0C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DD4243"/>
    <w:multiLevelType w:val="multilevel"/>
    <w:tmpl w:val="792C0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1D47AC"/>
    <w:multiLevelType w:val="multilevel"/>
    <w:tmpl w:val="B19C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401839">
    <w:abstractNumId w:val="19"/>
  </w:num>
  <w:num w:numId="2" w16cid:durableId="1366639441">
    <w:abstractNumId w:val="1"/>
  </w:num>
  <w:num w:numId="3" w16cid:durableId="1563446864">
    <w:abstractNumId w:val="8"/>
  </w:num>
  <w:num w:numId="4" w16cid:durableId="1305237817">
    <w:abstractNumId w:val="3"/>
  </w:num>
  <w:num w:numId="5" w16cid:durableId="257566955">
    <w:abstractNumId w:val="7"/>
  </w:num>
  <w:num w:numId="6" w16cid:durableId="93943254">
    <w:abstractNumId w:val="0"/>
  </w:num>
  <w:num w:numId="7" w16cid:durableId="174924956">
    <w:abstractNumId w:val="13"/>
  </w:num>
  <w:num w:numId="8" w16cid:durableId="1727409433">
    <w:abstractNumId w:val="5"/>
  </w:num>
  <w:num w:numId="9" w16cid:durableId="705372279">
    <w:abstractNumId w:val="15"/>
  </w:num>
  <w:num w:numId="10" w16cid:durableId="1357971779">
    <w:abstractNumId w:val="12"/>
  </w:num>
  <w:num w:numId="11" w16cid:durableId="2066642280">
    <w:abstractNumId w:val="20"/>
  </w:num>
  <w:num w:numId="12" w16cid:durableId="796264987">
    <w:abstractNumId w:val="4"/>
  </w:num>
  <w:num w:numId="13" w16cid:durableId="334765594">
    <w:abstractNumId w:val="10"/>
  </w:num>
  <w:num w:numId="14" w16cid:durableId="1601838645">
    <w:abstractNumId w:val="18"/>
  </w:num>
  <w:num w:numId="15" w16cid:durableId="658073807">
    <w:abstractNumId w:val="2"/>
  </w:num>
  <w:num w:numId="16" w16cid:durableId="2002780339">
    <w:abstractNumId w:val="17"/>
  </w:num>
  <w:num w:numId="17" w16cid:durableId="1550992376">
    <w:abstractNumId w:val="16"/>
  </w:num>
  <w:num w:numId="18" w16cid:durableId="79759121">
    <w:abstractNumId w:val="9"/>
  </w:num>
  <w:num w:numId="19" w16cid:durableId="2127121244">
    <w:abstractNumId w:val="11"/>
  </w:num>
  <w:num w:numId="20" w16cid:durableId="1400325920">
    <w:abstractNumId w:val="14"/>
  </w:num>
  <w:num w:numId="21" w16cid:durableId="1046180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55D"/>
    <w:rsid w:val="00032829"/>
    <w:rsid w:val="00042291"/>
    <w:rsid w:val="000C5CCE"/>
    <w:rsid w:val="000D455D"/>
    <w:rsid w:val="000F43DB"/>
    <w:rsid w:val="002164F8"/>
    <w:rsid w:val="00257D96"/>
    <w:rsid w:val="002648D5"/>
    <w:rsid w:val="00271D73"/>
    <w:rsid w:val="002B7226"/>
    <w:rsid w:val="00495D5F"/>
    <w:rsid w:val="004F5C17"/>
    <w:rsid w:val="005C0B92"/>
    <w:rsid w:val="006049E0"/>
    <w:rsid w:val="007B24F8"/>
    <w:rsid w:val="008C2BEC"/>
    <w:rsid w:val="008F0EC1"/>
    <w:rsid w:val="00961C1A"/>
    <w:rsid w:val="00A655E3"/>
    <w:rsid w:val="00AD06DD"/>
    <w:rsid w:val="00AE383E"/>
    <w:rsid w:val="00B50197"/>
    <w:rsid w:val="00B56B0C"/>
    <w:rsid w:val="00B775AD"/>
    <w:rsid w:val="00B82AB7"/>
    <w:rsid w:val="00BD74B2"/>
    <w:rsid w:val="00C20EE0"/>
    <w:rsid w:val="00C3497B"/>
    <w:rsid w:val="00CC4D3F"/>
    <w:rsid w:val="00CD29A9"/>
    <w:rsid w:val="00D07786"/>
    <w:rsid w:val="00D85A25"/>
    <w:rsid w:val="00D9731F"/>
    <w:rsid w:val="00DF1254"/>
    <w:rsid w:val="00E207D4"/>
    <w:rsid w:val="00E27EEB"/>
    <w:rsid w:val="00EA4943"/>
    <w:rsid w:val="00ED52E1"/>
    <w:rsid w:val="00F230DD"/>
    <w:rsid w:val="00F33DF1"/>
    <w:rsid w:val="00F978C9"/>
    <w:rsid w:val="00FA3844"/>
    <w:rsid w:val="00FB1D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2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22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229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71D7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paragraph" w:styleId="Header">
    <w:name w:val="header"/>
    <w:basedOn w:val="Normal"/>
    <w:link w:val="HeaderChar"/>
    <w:uiPriority w:val="99"/>
    <w:unhideWhenUsed/>
    <w:rsid w:val="00042291"/>
    <w:pPr>
      <w:tabs>
        <w:tab w:val="center" w:pos="4680"/>
        <w:tab w:val="right" w:pos="9360"/>
      </w:tabs>
    </w:pPr>
  </w:style>
  <w:style w:type="character" w:customStyle="1" w:styleId="HeaderChar">
    <w:name w:val="Header Char"/>
    <w:basedOn w:val="DefaultParagraphFont"/>
    <w:link w:val="Header"/>
    <w:uiPriority w:val="99"/>
    <w:rsid w:val="00042291"/>
  </w:style>
  <w:style w:type="paragraph" w:styleId="Footer">
    <w:name w:val="footer"/>
    <w:basedOn w:val="Normal"/>
    <w:link w:val="FooterChar"/>
    <w:uiPriority w:val="99"/>
    <w:unhideWhenUsed/>
    <w:rsid w:val="00042291"/>
    <w:pPr>
      <w:tabs>
        <w:tab w:val="center" w:pos="4680"/>
        <w:tab w:val="right" w:pos="9360"/>
      </w:tabs>
    </w:pPr>
  </w:style>
  <w:style w:type="character" w:customStyle="1" w:styleId="FooterChar">
    <w:name w:val="Footer Char"/>
    <w:basedOn w:val="DefaultParagraphFont"/>
    <w:link w:val="Footer"/>
    <w:uiPriority w:val="99"/>
    <w:rsid w:val="00042291"/>
  </w:style>
  <w:style w:type="character" w:customStyle="1" w:styleId="Heading1Char">
    <w:name w:val="Heading 1 Char"/>
    <w:basedOn w:val="DefaultParagraphFont"/>
    <w:link w:val="Heading1"/>
    <w:uiPriority w:val="9"/>
    <w:rsid w:val="000422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229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42291"/>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F33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82AB7"/>
    <w:pPr>
      <w:spacing w:line="259" w:lineRule="auto"/>
      <w:outlineLvl w:val="9"/>
    </w:pPr>
    <w:rPr>
      <w:lang w:val="en-US"/>
    </w:rPr>
  </w:style>
  <w:style w:type="paragraph" w:styleId="TOC1">
    <w:name w:val="toc 1"/>
    <w:basedOn w:val="Normal"/>
    <w:next w:val="Normal"/>
    <w:autoRedefine/>
    <w:uiPriority w:val="39"/>
    <w:unhideWhenUsed/>
    <w:rsid w:val="00B82AB7"/>
    <w:pPr>
      <w:spacing w:after="100"/>
    </w:pPr>
  </w:style>
  <w:style w:type="paragraph" w:styleId="TOC3">
    <w:name w:val="toc 3"/>
    <w:basedOn w:val="Normal"/>
    <w:next w:val="Normal"/>
    <w:autoRedefine/>
    <w:uiPriority w:val="39"/>
    <w:unhideWhenUsed/>
    <w:rsid w:val="00B82AB7"/>
    <w:pPr>
      <w:spacing w:after="100"/>
      <w:ind w:left="480"/>
    </w:pPr>
  </w:style>
  <w:style w:type="character" w:styleId="Hyperlink">
    <w:name w:val="Hyperlink"/>
    <w:basedOn w:val="DefaultParagraphFont"/>
    <w:uiPriority w:val="99"/>
    <w:unhideWhenUsed/>
    <w:rsid w:val="00B82AB7"/>
    <w:rPr>
      <w:color w:val="0563C1" w:themeColor="hyperlink"/>
      <w:u w:val="single"/>
    </w:rPr>
  </w:style>
  <w:style w:type="character" w:customStyle="1" w:styleId="Heading4Char">
    <w:name w:val="Heading 4 Char"/>
    <w:basedOn w:val="DefaultParagraphFont"/>
    <w:link w:val="Heading4"/>
    <w:uiPriority w:val="9"/>
    <w:semiHidden/>
    <w:rsid w:val="00271D73"/>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2648D5"/>
    <w:pPr>
      <w:spacing w:after="100"/>
      <w:ind w:left="240"/>
    </w:pPr>
  </w:style>
  <w:style w:type="paragraph" w:styleId="NormalWeb">
    <w:name w:val="Normal (Web)"/>
    <w:basedOn w:val="Normal"/>
    <w:uiPriority w:val="99"/>
    <w:unhideWhenUsed/>
    <w:rsid w:val="00DF1254"/>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190104">
      <w:bodyDiv w:val="1"/>
      <w:marLeft w:val="0"/>
      <w:marRight w:val="0"/>
      <w:marTop w:val="0"/>
      <w:marBottom w:val="0"/>
      <w:divBdr>
        <w:top w:val="none" w:sz="0" w:space="0" w:color="auto"/>
        <w:left w:val="none" w:sz="0" w:space="0" w:color="auto"/>
        <w:bottom w:val="none" w:sz="0" w:space="0" w:color="auto"/>
        <w:right w:val="none" w:sz="0" w:space="0" w:color="auto"/>
      </w:divBdr>
    </w:div>
    <w:div w:id="351223166">
      <w:bodyDiv w:val="1"/>
      <w:marLeft w:val="0"/>
      <w:marRight w:val="0"/>
      <w:marTop w:val="0"/>
      <w:marBottom w:val="0"/>
      <w:divBdr>
        <w:top w:val="none" w:sz="0" w:space="0" w:color="auto"/>
        <w:left w:val="none" w:sz="0" w:space="0" w:color="auto"/>
        <w:bottom w:val="none" w:sz="0" w:space="0" w:color="auto"/>
        <w:right w:val="none" w:sz="0" w:space="0" w:color="auto"/>
      </w:divBdr>
    </w:div>
    <w:div w:id="416365691">
      <w:bodyDiv w:val="1"/>
      <w:marLeft w:val="0"/>
      <w:marRight w:val="0"/>
      <w:marTop w:val="0"/>
      <w:marBottom w:val="0"/>
      <w:divBdr>
        <w:top w:val="none" w:sz="0" w:space="0" w:color="auto"/>
        <w:left w:val="none" w:sz="0" w:space="0" w:color="auto"/>
        <w:bottom w:val="none" w:sz="0" w:space="0" w:color="auto"/>
        <w:right w:val="none" w:sz="0" w:space="0" w:color="auto"/>
      </w:divBdr>
    </w:div>
    <w:div w:id="495998989">
      <w:bodyDiv w:val="1"/>
      <w:marLeft w:val="0"/>
      <w:marRight w:val="0"/>
      <w:marTop w:val="0"/>
      <w:marBottom w:val="0"/>
      <w:divBdr>
        <w:top w:val="none" w:sz="0" w:space="0" w:color="auto"/>
        <w:left w:val="none" w:sz="0" w:space="0" w:color="auto"/>
        <w:bottom w:val="none" w:sz="0" w:space="0" w:color="auto"/>
        <w:right w:val="none" w:sz="0" w:space="0" w:color="auto"/>
      </w:divBdr>
      <w:divsChild>
        <w:div w:id="1073627445">
          <w:marLeft w:val="0"/>
          <w:marRight w:val="0"/>
          <w:marTop w:val="0"/>
          <w:marBottom w:val="0"/>
          <w:divBdr>
            <w:top w:val="none" w:sz="0" w:space="0" w:color="auto"/>
            <w:left w:val="none" w:sz="0" w:space="0" w:color="auto"/>
            <w:bottom w:val="none" w:sz="0" w:space="0" w:color="auto"/>
            <w:right w:val="none" w:sz="0" w:space="0" w:color="auto"/>
          </w:divBdr>
          <w:divsChild>
            <w:div w:id="5855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562476">
      <w:bodyDiv w:val="1"/>
      <w:marLeft w:val="0"/>
      <w:marRight w:val="0"/>
      <w:marTop w:val="0"/>
      <w:marBottom w:val="0"/>
      <w:divBdr>
        <w:top w:val="none" w:sz="0" w:space="0" w:color="auto"/>
        <w:left w:val="none" w:sz="0" w:space="0" w:color="auto"/>
        <w:bottom w:val="none" w:sz="0" w:space="0" w:color="auto"/>
        <w:right w:val="none" w:sz="0" w:space="0" w:color="auto"/>
      </w:divBdr>
    </w:div>
    <w:div w:id="673460156">
      <w:bodyDiv w:val="1"/>
      <w:marLeft w:val="0"/>
      <w:marRight w:val="0"/>
      <w:marTop w:val="0"/>
      <w:marBottom w:val="0"/>
      <w:divBdr>
        <w:top w:val="none" w:sz="0" w:space="0" w:color="auto"/>
        <w:left w:val="none" w:sz="0" w:space="0" w:color="auto"/>
        <w:bottom w:val="none" w:sz="0" w:space="0" w:color="auto"/>
        <w:right w:val="none" w:sz="0" w:space="0" w:color="auto"/>
      </w:divBdr>
      <w:divsChild>
        <w:div w:id="1122458761">
          <w:marLeft w:val="0"/>
          <w:marRight w:val="0"/>
          <w:marTop w:val="0"/>
          <w:marBottom w:val="0"/>
          <w:divBdr>
            <w:top w:val="none" w:sz="0" w:space="0" w:color="auto"/>
            <w:left w:val="none" w:sz="0" w:space="0" w:color="auto"/>
            <w:bottom w:val="none" w:sz="0" w:space="0" w:color="auto"/>
            <w:right w:val="none" w:sz="0" w:space="0" w:color="auto"/>
          </w:divBdr>
          <w:divsChild>
            <w:div w:id="6772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89385">
      <w:bodyDiv w:val="1"/>
      <w:marLeft w:val="0"/>
      <w:marRight w:val="0"/>
      <w:marTop w:val="0"/>
      <w:marBottom w:val="0"/>
      <w:divBdr>
        <w:top w:val="none" w:sz="0" w:space="0" w:color="auto"/>
        <w:left w:val="none" w:sz="0" w:space="0" w:color="auto"/>
        <w:bottom w:val="none" w:sz="0" w:space="0" w:color="auto"/>
        <w:right w:val="none" w:sz="0" w:space="0" w:color="auto"/>
      </w:divBdr>
    </w:div>
    <w:div w:id="1094403601">
      <w:bodyDiv w:val="1"/>
      <w:marLeft w:val="0"/>
      <w:marRight w:val="0"/>
      <w:marTop w:val="0"/>
      <w:marBottom w:val="0"/>
      <w:divBdr>
        <w:top w:val="none" w:sz="0" w:space="0" w:color="auto"/>
        <w:left w:val="none" w:sz="0" w:space="0" w:color="auto"/>
        <w:bottom w:val="none" w:sz="0" w:space="0" w:color="auto"/>
        <w:right w:val="none" w:sz="0" w:space="0" w:color="auto"/>
      </w:divBdr>
    </w:div>
    <w:div w:id="1414811685">
      <w:bodyDiv w:val="1"/>
      <w:marLeft w:val="0"/>
      <w:marRight w:val="0"/>
      <w:marTop w:val="0"/>
      <w:marBottom w:val="0"/>
      <w:divBdr>
        <w:top w:val="none" w:sz="0" w:space="0" w:color="auto"/>
        <w:left w:val="none" w:sz="0" w:space="0" w:color="auto"/>
        <w:bottom w:val="none" w:sz="0" w:space="0" w:color="auto"/>
        <w:right w:val="none" w:sz="0" w:space="0" w:color="auto"/>
      </w:divBdr>
    </w:div>
    <w:div w:id="1639920580">
      <w:bodyDiv w:val="1"/>
      <w:marLeft w:val="0"/>
      <w:marRight w:val="0"/>
      <w:marTop w:val="0"/>
      <w:marBottom w:val="0"/>
      <w:divBdr>
        <w:top w:val="none" w:sz="0" w:space="0" w:color="auto"/>
        <w:left w:val="none" w:sz="0" w:space="0" w:color="auto"/>
        <w:bottom w:val="none" w:sz="0" w:space="0" w:color="auto"/>
        <w:right w:val="none" w:sz="0" w:space="0" w:color="auto"/>
      </w:divBdr>
    </w:div>
    <w:div w:id="1655064159">
      <w:bodyDiv w:val="1"/>
      <w:marLeft w:val="0"/>
      <w:marRight w:val="0"/>
      <w:marTop w:val="0"/>
      <w:marBottom w:val="0"/>
      <w:divBdr>
        <w:top w:val="none" w:sz="0" w:space="0" w:color="auto"/>
        <w:left w:val="none" w:sz="0" w:space="0" w:color="auto"/>
        <w:bottom w:val="none" w:sz="0" w:space="0" w:color="auto"/>
        <w:right w:val="none" w:sz="0" w:space="0" w:color="auto"/>
      </w:divBdr>
    </w:div>
    <w:div w:id="1843859876">
      <w:bodyDiv w:val="1"/>
      <w:marLeft w:val="0"/>
      <w:marRight w:val="0"/>
      <w:marTop w:val="0"/>
      <w:marBottom w:val="0"/>
      <w:divBdr>
        <w:top w:val="none" w:sz="0" w:space="0" w:color="auto"/>
        <w:left w:val="none" w:sz="0" w:space="0" w:color="auto"/>
        <w:bottom w:val="none" w:sz="0" w:space="0" w:color="auto"/>
        <w:right w:val="none" w:sz="0" w:space="0" w:color="auto"/>
      </w:divBdr>
    </w:div>
    <w:div w:id="1873419031">
      <w:bodyDiv w:val="1"/>
      <w:marLeft w:val="0"/>
      <w:marRight w:val="0"/>
      <w:marTop w:val="0"/>
      <w:marBottom w:val="0"/>
      <w:divBdr>
        <w:top w:val="none" w:sz="0" w:space="0" w:color="auto"/>
        <w:left w:val="none" w:sz="0" w:space="0" w:color="auto"/>
        <w:bottom w:val="none" w:sz="0" w:space="0" w:color="auto"/>
        <w:right w:val="none" w:sz="0" w:space="0" w:color="auto"/>
      </w:divBdr>
    </w:div>
    <w:div w:id="212588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1D017-4E58-45C9-8750-9F0184267A95}">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B7EED77B-D7C4-4749-81C9-0245BE8D6B18}">
  <ds:schemaRefs>
    <ds:schemaRef ds:uri="http://schemas.microsoft.com/sharepoint/v3/contenttype/forms"/>
  </ds:schemaRefs>
</ds:datastoreItem>
</file>

<file path=customXml/itemProps3.xml><?xml version="1.0" encoding="utf-8"?>
<ds:datastoreItem xmlns:ds="http://schemas.openxmlformats.org/officeDocument/2006/customXml" ds:itemID="{889E7202-559A-4D5A-B4B6-D67DB85C0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245D3F-EEEC-4C2E-9F3A-09F3FAD57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3262</Words>
  <Characters>18598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Andzhela Toneva (2217837)</cp:lastModifiedBy>
  <cp:revision>9</cp:revision>
  <dcterms:created xsi:type="dcterms:W3CDTF">2025-07-30T14:36:00Z</dcterms:created>
  <dcterms:modified xsi:type="dcterms:W3CDTF">2025-07-30T15:39:00Z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