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0E7C" w:rsidRPr="00FD0E7C" w:rsidRDefault="00FD0E7C" w:rsidP="00FD0E7C">
      <w:pPr>
        <w:spacing w:line="259" w:lineRule="auto"/>
        <w:rPr>
          <w:rFonts w:eastAsia="Arial" w:cs="Arial"/>
          <w:b/>
          <w:szCs w:val="22"/>
        </w:rPr>
      </w:pPr>
      <w:bookmarkStart w:id="0" w:name="_GoBack"/>
      <w:bookmarkEnd w:id="0"/>
      <w:r w:rsidRPr="00FD0E7C">
        <w:rPr>
          <w:rFonts w:eastAsia="Arial" w:cs="Arial"/>
          <w:b/>
          <w:szCs w:val="22"/>
        </w:rPr>
        <w:t>MODULE CODE:</w:t>
      </w:r>
      <w:r w:rsidRPr="00FD0E7C">
        <w:rPr>
          <w:rFonts w:eastAsia="Arial" w:cs="Arial"/>
          <w:b/>
          <w:szCs w:val="22"/>
        </w:rPr>
        <w:tab/>
        <w:t>BMPF4024</w:t>
      </w:r>
    </w:p>
    <w:p w:rsidR="00FD0E7C" w:rsidRPr="00FD0E7C" w:rsidRDefault="00FD0E7C" w:rsidP="00FD0E7C">
      <w:pPr>
        <w:pStyle w:val="Heading2"/>
        <w:ind w:left="0" w:firstLine="0"/>
        <w:rPr>
          <w:rFonts w:eastAsia="Arial"/>
        </w:rPr>
      </w:pPr>
      <w:r w:rsidRPr="00FD0E7C">
        <w:rPr>
          <w:rFonts w:eastAsia="Arial"/>
        </w:rPr>
        <w:t>TITLE:</w:t>
      </w:r>
      <w:r w:rsidRPr="00FD0E7C">
        <w:rPr>
          <w:rFonts w:eastAsia="Arial"/>
        </w:rPr>
        <w:tab/>
      </w:r>
      <w:r w:rsidRPr="00FD0E7C">
        <w:rPr>
          <w:rFonts w:eastAsia="Arial"/>
        </w:rPr>
        <w:tab/>
      </w:r>
      <w:r w:rsidRPr="00FD0E7C">
        <w:rPr>
          <w:rFonts w:eastAsia="Arial"/>
        </w:rPr>
        <w:tab/>
        <w:t>An Introduction to Leading in Times of Crisis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spacing w:line="288" w:lineRule="auto"/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>DATED:</w:t>
      </w:r>
      <w:r w:rsidRPr="00FD0E7C">
        <w:rPr>
          <w:rFonts w:eastAsia="Arial" w:cs="Arial"/>
          <w:b/>
          <w:szCs w:val="22"/>
        </w:rPr>
        <w:tab/>
      </w:r>
      <w:r w:rsidRPr="00FD0E7C">
        <w:rPr>
          <w:rFonts w:eastAsia="Arial" w:cs="Arial"/>
          <w:b/>
          <w:szCs w:val="22"/>
        </w:rPr>
        <w:tab/>
      </w:r>
      <w:r w:rsidRPr="00FD0E7C">
        <w:rPr>
          <w:rFonts w:cs="Arial"/>
          <w:b/>
          <w:szCs w:val="22"/>
        </w:rPr>
        <w:t>26/04/2018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spacing w:line="288" w:lineRule="auto"/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 xml:space="preserve">LEVEL:  </w:t>
      </w:r>
      <w:r w:rsidRPr="00FD0E7C">
        <w:rPr>
          <w:rFonts w:eastAsia="Arial" w:cs="Arial"/>
          <w:b/>
          <w:szCs w:val="22"/>
        </w:rPr>
        <w:tab/>
      </w:r>
      <w:r w:rsidRPr="00FD0E7C">
        <w:rPr>
          <w:rFonts w:eastAsia="Arial" w:cs="Arial"/>
          <w:b/>
          <w:szCs w:val="22"/>
        </w:rPr>
        <w:tab/>
        <w:t>4</w:t>
      </w:r>
      <w:r w:rsidRPr="00FD0E7C">
        <w:rPr>
          <w:rFonts w:eastAsia="Arial" w:cs="Arial"/>
          <w:b/>
          <w:szCs w:val="22"/>
        </w:rPr>
        <w:tab/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spacing w:line="288" w:lineRule="auto"/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>CREDITS:</w:t>
      </w:r>
      <w:r w:rsidRPr="00FD0E7C">
        <w:rPr>
          <w:rFonts w:eastAsia="Arial" w:cs="Arial"/>
          <w:b/>
          <w:szCs w:val="22"/>
        </w:rPr>
        <w:tab/>
      </w:r>
      <w:r w:rsidRPr="00FD0E7C">
        <w:rPr>
          <w:rFonts w:eastAsia="Arial" w:cs="Arial"/>
          <w:b/>
          <w:szCs w:val="22"/>
        </w:rPr>
        <w:tab/>
        <w:t>30</w:t>
      </w:r>
      <w:r w:rsidRPr="00FD0E7C">
        <w:rPr>
          <w:rFonts w:eastAsia="Arial" w:cs="Arial"/>
          <w:b/>
          <w:szCs w:val="22"/>
        </w:rPr>
        <w:tab/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spacing w:line="288" w:lineRule="auto"/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>JACS CODE:</w:t>
      </w:r>
      <w:r w:rsidRPr="00FD0E7C">
        <w:rPr>
          <w:rFonts w:eastAsia="Arial" w:cs="Arial"/>
          <w:b/>
          <w:szCs w:val="22"/>
        </w:rPr>
        <w:tab/>
      </w:r>
      <w:r w:rsidRPr="00FD0E7C">
        <w:rPr>
          <w:rFonts w:eastAsia="Arial" w:cs="Arial"/>
          <w:b/>
          <w:szCs w:val="22"/>
        </w:rPr>
        <w:tab/>
        <w:t>N200</w:t>
      </w:r>
    </w:p>
    <w:p w:rsidR="00FD0E7C" w:rsidRPr="00FD0E7C" w:rsidRDefault="00FD0E7C" w:rsidP="00FD0E7C">
      <w:pPr>
        <w:pBdr>
          <w:bottom w:val="single" w:sz="6" w:space="1" w:color="000000"/>
        </w:pBdr>
        <w:tabs>
          <w:tab w:val="left" w:pos="720"/>
          <w:tab w:val="left" w:pos="1440"/>
          <w:tab w:val="left" w:pos="2160"/>
          <w:tab w:val="left" w:pos="2880"/>
        </w:tabs>
        <w:spacing w:line="288" w:lineRule="auto"/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 xml:space="preserve"> 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spacing w:line="288" w:lineRule="auto"/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>AIM(S)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To enable learners to recognise and understand the workplace challenges encountered during times of crisis.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spacing w:line="288" w:lineRule="auto"/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>LEARNING OUTCOMES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Upon the successful completion of this module, the student should be able to demonstrate the ability to: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explain the life cycle of a crisis and the importance of managing risk in an organisational setting;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identify workplace stressors and explain how their effect might be mitigated;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Noto Sans Symbols" w:cs="Arial"/>
          <w:szCs w:val="22"/>
        </w:rPr>
      </w:pPr>
      <w:r w:rsidRPr="00FD0E7C">
        <w:rPr>
          <w:rFonts w:eastAsia="Arial" w:cs="Arial"/>
          <w:szCs w:val="22"/>
        </w:rPr>
        <w:t>discuss the relationship between management systems, management practice and critical events management.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>INDICATIVE CONTENT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The life cycle of a crisis will be identified and explored.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A range of sources of possible crises, both internal and external to an organisation, will be discussed.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The importance of personal responsibility in recognising and addressing the initial stages of a critical incident will be considered.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Theories of resilience, for example Seligman, and approaches to stress management and well-being will be explored and related to the learner’s workplace.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Steps to mitigate the impact of a crisis and how organisations can best prepare for such eventualities will be explored.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The relationship between management systems, management practice and critical events will be examined.</w:t>
      </w:r>
    </w:p>
    <w:p w:rsidR="00FD0E7C" w:rsidRPr="00FD0E7C" w:rsidRDefault="00FD0E7C" w:rsidP="00FD0E7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line="288" w:lineRule="auto"/>
        <w:ind w:left="720" w:hanging="446"/>
        <w:jc w:val="left"/>
        <w:textAlignment w:val="auto"/>
        <w:rPr>
          <w:rFonts w:eastAsia="Noto Sans Symbols" w:cs="Arial"/>
          <w:szCs w:val="22"/>
        </w:rPr>
      </w:pPr>
      <w:r w:rsidRPr="00FD0E7C">
        <w:rPr>
          <w:rFonts w:eastAsia="Arial" w:cs="Arial"/>
          <w:szCs w:val="22"/>
        </w:rPr>
        <w:t>Collaborative critical events management approaches will be explored, for example Action Learning Sets and Appreciative Enquiry.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spacing w:line="288" w:lineRule="auto"/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>LEARNING AND TEACHING STRATEGY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spacing w:line="288" w:lineRule="auto"/>
        <w:rPr>
          <w:rFonts w:eastAsia="Arial" w:cs="Arial"/>
          <w:szCs w:val="22"/>
        </w:rPr>
      </w:pPr>
      <w:r w:rsidRPr="00FD0E7C">
        <w:rPr>
          <w:rFonts w:eastAsia="Arial" w:cs="Arial"/>
          <w:szCs w:val="22"/>
        </w:rPr>
        <w:t>Teaching sessions will introduce the learners to the relevant concepts, principles and practices. Tutorials will introduce practical examples which will be used to support application, discussion, and evaluation.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spacing w:before="120" w:line="288" w:lineRule="auto"/>
        <w:rPr>
          <w:rFonts w:eastAsia="Arial" w:cs="Arial"/>
          <w:b/>
          <w:szCs w:val="22"/>
        </w:rPr>
      </w:pPr>
      <w:r w:rsidRPr="00FD0E7C">
        <w:rPr>
          <w:rFonts w:eastAsia="Arial" w:cs="Arial"/>
          <w:szCs w:val="22"/>
        </w:rPr>
        <w:lastRenderedPageBreak/>
        <w:t>The allocation of teaching to deliver the module is: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</w:p>
    <w:tbl>
      <w:tblPr>
        <w:tblW w:w="8640" w:type="dxa"/>
        <w:tblInd w:w="100" w:type="dxa"/>
        <w:tblLayout w:type="fixed"/>
        <w:tblLook w:val="0600" w:firstRow="0" w:lastRow="0" w:firstColumn="0" w:lastColumn="0" w:noHBand="1" w:noVBand="1"/>
      </w:tblPr>
      <w:tblGrid>
        <w:gridCol w:w="4860"/>
        <w:gridCol w:w="1530"/>
        <w:gridCol w:w="2250"/>
      </w:tblGrid>
      <w:tr w:rsidR="00FD0E7C" w:rsidRPr="00FD0E7C" w:rsidTr="00FD0E7C">
        <w:trPr>
          <w:trHeight w:val="260"/>
        </w:trPr>
        <w:tc>
          <w:tcPr>
            <w:tcW w:w="48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Activity type</w:t>
            </w:r>
          </w:p>
        </w:tc>
        <w:tc>
          <w:tcPr>
            <w:tcW w:w="1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Hours</w:t>
            </w:r>
          </w:p>
        </w:tc>
        <w:tc>
          <w:tcPr>
            <w:tcW w:w="22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Percentage</w:t>
            </w:r>
          </w:p>
        </w:tc>
      </w:tr>
      <w:tr w:rsidR="00FD0E7C" w:rsidRPr="00FD0E7C" w:rsidTr="00FD0E7C">
        <w:trPr>
          <w:trHeight w:val="260"/>
        </w:trPr>
        <w:tc>
          <w:tcPr>
            <w:tcW w:w="48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Scheduled learning</w:t>
            </w:r>
          </w:p>
        </w:tc>
        <w:tc>
          <w:tcPr>
            <w:tcW w:w="1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30</w:t>
            </w:r>
          </w:p>
        </w:tc>
        <w:tc>
          <w:tcPr>
            <w:tcW w:w="22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10</w:t>
            </w:r>
          </w:p>
        </w:tc>
      </w:tr>
      <w:tr w:rsidR="00FD0E7C" w:rsidRPr="00FD0E7C" w:rsidTr="00FD0E7C">
        <w:trPr>
          <w:trHeight w:val="260"/>
        </w:trPr>
        <w:tc>
          <w:tcPr>
            <w:tcW w:w="48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Independent learning</w:t>
            </w:r>
          </w:p>
        </w:tc>
        <w:tc>
          <w:tcPr>
            <w:tcW w:w="1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60</w:t>
            </w:r>
          </w:p>
        </w:tc>
        <w:tc>
          <w:tcPr>
            <w:tcW w:w="22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20</w:t>
            </w:r>
          </w:p>
        </w:tc>
      </w:tr>
      <w:tr w:rsidR="00FD0E7C" w:rsidRPr="00FD0E7C" w:rsidTr="00FD0E7C">
        <w:trPr>
          <w:trHeight w:val="260"/>
        </w:trPr>
        <w:tc>
          <w:tcPr>
            <w:tcW w:w="48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Placement learning: work-based</w:t>
            </w:r>
          </w:p>
        </w:tc>
        <w:tc>
          <w:tcPr>
            <w:tcW w:w="1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210</w:t>
            </w:r>
          </w:p>
        </w:tc>
        <w:tc>
          <w:tcPr>
            <w:tcW w:w="22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70</w:t>
            </w:r>
          </w:p>
        </w:tc>
      </w:tr>
      <w:tr w:rsidR="00FD0E7C" w:rsidRPr="00FD0E7C" w:rsidTr="00FD0E7C">
        <w:trPr>
          <w:trHeight w:val="260"/>
        </w:trPr>
        <w:tc>
          <w:tcPr>
            <w:tcW w:w="48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TOTAL</w:t>
            </w:r>
          </w:p>
        </w:tc>
        <w:tc>
          <w:tcPr>
            <w:tcW w:w="1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300</w:t>
            </w:r>
          </w:p>
        </w:tc>
        <w:tc>
          <w:tcPr>
            <w:tcW w:w="22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jc w:val="center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100%</w:t>
            </w:r>
          </w:p>
        </w:tc>
      </w:tr>
    </w:tbl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color w:val="000000"/>
          <w:szCs w:val="22"/>
        </w:rPr>
        <w:t>ASSESSMENT</w:t>
      </w: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ind w:hanging="3600"/>
        <w:rPr>
          <w:rFonts w:eastAsia="Arial" w:cs="Arial"/>
          <w:b/>
          <w:szCs w:val="22"/>
        </w:rPr>
      </w:pPr>
    </w:p>
    <w:p w:rsidR="00FD0E7C" w:rsidRPr="00FD0E7C" w:rsidRDefault="00FD0E7C" w:rsidP="00FD0E7C">
      <w:pPr>
        <w:rPr>
          <w:rFonts w:eastAsia="Arial" w:cs="Arial"/>
          <w:b/>
          <w:i/>
          <w:szCs w:val="22"/>
        </w:rPr>
      </w:pPr>
      <w:r w:rsidRPr="00FD0E7C">
        <w:rPr>
          <w:rFonts w:eastAsia="Arial" w:cs="Arial"/>
          <w:b/>
          <w:szCs w:val="22"/>
        </w:rPr>
        <w:t>Assessment Component 1</w:t>
      </w:r>
    </w:p>
    <w:tbl>
      <w:tblPr>
        <w:tblW w:w="867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FD0E7C" w:rsidRPr="00FD0E7C" w:rsidTr="00FD0E7C">
        <w:tc>
          <w:tcPr>
            <w:tcW w:w="550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319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Written exam</w:t>
            </w:r>
          </w:p>
        </w:tc>
        <w:tc>
          <w:tcPr>
            <w:tcW w:w="528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389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Coursework</w:t>
            </w:r>
          </w:p>
        </w:tc>
        <w:tc>
          <w:tcPr>
            <w:tcW w:w="528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☒</w:t>
            </w:r>
          </w:p>
        </w:tc>
        <w:tc>
          <w:tcPr>
            <w:tcW w:w="2356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Practical</w:t>
            </w:r>
          </w:p>
        </w:tc>
      </w:tr>
    </w:tbl>
    <w:p w:rsidR="00FD0E7C" w:rsidRPr="00FD0E7C" w:rsidRDefault="00FD0E7C" w:rsidP="00FD0E7C">
      <w:pPr>
        <w:rPr>
          <w:rFonts w:eastAsia="Arial" w:cs="Arial"/>
          <w:b/>
          <w:szCs w:val="22"/>
        </w:rPr>
      </w:pPr>
    </w:p>
    <w:tbl>
      <w:tblPr>
        <w:tblW w:w="878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256"/>
        <w:gridCol w:w="3969"/>
        <w:gridCol w:w="1559"/>
      </w:tblGrid>
      <w:tr w:rsidR="00FD0E7C" w:rsidRPr="00FD0E7C" w:rsidTr="00FD0E7C">
        <w:tc>
          <w:tcPr>
            <w:tcW w:w="325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FD0E7C" w:rsidRPr="00FD0E7C" w:rsidRDefault="00FD0E7C" w:rsidP="003230EB">
            <w:pPr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FD0E7C" w:rsidRPr="00FD0E7C" w:rsidRDefault="00FD0E7C" w:rsidP="003230EB">
            <w:pPr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Weighting</w:t>
            </w:r>
          </w:p>
        </w:tc>
      </w:tr>
      <w:tr w:rsidR="00FD0E7C" w:rsidRPr="00FD0E7C" w:rsidTr="00FD0E7C">
        <w:tc>
          <w:tcPr>
            <w:tcW w:w="325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Individual Presentation</w:t>
            </w:r>
          </w:p>
        </w:tc>
        <w:tc>
          <w:tcPr>
            <w:tcW w:w="3969" w:type="dxa"/>
          </w:tcPr>
          <w:p w:rsidR="00FD0E7C" w:rsidRPr="00FD0E7C" w:rsidRDefault="00FD0E7C" w:rsidP="003230EB">
            <w:pPr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14 minutes</w:t>
            </w:r>
          </w:p>
        </w:tc>
        <w:tc>
          <w:tcPr>
            <w:tcW w:w="1559" w:type="dxa"/>
          </w:tcPr>
          <w:p w:rsidR="00FD0E7C" w:rsidRPr="00FD0E7C" w:rsidRDefault="00FD0E7C" w:rsidP="003230EB">
            <w:pPr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40%</w:t>
            </w:r>
          </w:p>
        </w:tc>
      </w:tr>
    </w:tbl>
    <w:p w:rsidR="00FD0E7C" w:rsidRPr="00FD0E7C" w:rsidRDefault="00FD0E7C" w:rsidP="00FD0E7C">
      <w:pPr>
        <w:rPr>
          <w:rFonts w:eastAsia="Arial" w:cs="Arial"/>
          <w:b/>
          <w:szCs w:val="22"/>
        </w:rPr>
      </w:pPr>
    </w:p>
    <w:p w:rsidR="00FD0E7C" w:rsidRPr="00FD0E7C" w:rsidRDefault="00FD0E7C" w:rsidP="00FD0E7C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szCs w:val="22"/>
        </w:rPr>
      </w:pPr>
    </w:p>
    <w:p w:rsidR="00FD0E7C" w:rsidRPr="00FD0E7C" w:rsidRDefault="00FD0E7C" w:rsidP="00FD0E7C">
      <w:pPr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szCs w:val="22"/>
        </w:rPr>
        <w:t>Assessment Component 2</w:t>
      </w:r>
    </w:p>
    <w:tbl>
      <w:tblPr>
        <w:tblW w:w="867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FD0E7C" w:rsidRPr="00FD0E7C" w:rsidTr="00FD0E7C">
        <w:tc>
          <w:tcPr>
            <w:tcW w:w="550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319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Written exam</w:t>
            </w:r>
          </w:p>
        </w:tc>
        <w:tc>
          <w:tcPr>
            <w:tcW w:w="528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☒</w:t>
            </w:r>
          </w:p>
        </w:tc>
        <w:tc>
          <w:tcPr>
            <w:tcW w:w="2389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Coursework</w:t>
            </w:r>
          </w:p>
        </w:tc>
        <w:tc>
          <w:tcPr>
            <w:tcW w:w="528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356" w:type="dxa"/>
          </w:tcPr>
          <w:p w:rsidR="00FD0E7C" w:rsidRPr="00FD0E7C" w:rsidRDefault="00FD0E7C" w:rsidP="003230EB">
            <w:pPr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Practical</w:t>
            </w:r>
          </w:p>
        </w:tc>
      </w:tr>
    </w:tbl>
    <w:p w:rsidR="00FD0E7C" w:rsidRPr="00FD0E7C" w:rsidRDefault="00FD0E7C" w:rsidP="00FD0E7C">
      <w:pPr>
        <w:rPr>
          <w:rFonts w:eastAsia="Arial" w:cs="Arial"/>
          <w:b/>
          <w:szCs w:val="22"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00" w:firstRow="0" w:lastRow="0" w:firstColumn="0" w:lastColumn="0" w:noHBand="0" w:noVBand="1"/>
      </w:tblPr>
      <w:tblGrid>
        <w:gridCol w:w="3256"/>
        <w:gridCol w:w="3969"/>
        <w:gridCol w:w="1559"/>
      </w:tblGrid>
      <w:tr w:rsidR="00FD0E7C" w:rsidRPr="00FD0E7C" w:rsidTr="00FD0E7C">
        <w:tc>
          <w:tcPr>
            <w:tcW w:w="325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FD0E7C" w:rsidRPr="00FD0E7C" w:rsidRDefault="00FD0E7C" w:rsidP="003230EB">
            <w:pPr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FD0E7C" w:rsidRPr="00FD0E7C" w:rsidRDefault="00FD0E7C" w:rsidP="003230EB">
            <w:pPr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Weighting</w:t>
            </w:r>
          </w:p>
        </w:tc>
      </w:tr>
      <w:tr w:rsidR="00FD0E7C" w:rsidRPr="00FD0E7C" w:rsidTr="00FD0E7C">
        <w:tc>
          <w:tcPr>
            <w:tcW w:w="325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Written Assignment</w:t>
            </w:r>
          </w:p>
        </w:tc>
        <w:tc>
          <w:tcPr>
            <w:tcW w:w="3969" w:type="dxa"/>
          </w:tcPr>
          <w:p w:rsidR="00FD0E7C" w:rsidRPr="00FD0E7C" w:rsidRDefault="00FD0E7C" w:rsidP="003230EB">
            <w:pPr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2700 words</w:t>
            </w:r>
          </w:p>
        </w:tc>
        <w:tc>
          <w:tcPr>
            <w:tcW w:w="1559" w:type="dxa"/>
          </w:tcPr>
          <w:p w:rsidR="00FD0E7C" w:rsidRPr="00FD0E7C" w:rsidRDefault="00FD0E7C" w:rsidP="003230EB">
            <w:pPr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60%</w:t>
            </w:r>
          </w:p>
        </w:tc>
      </w:tr>
    </w:tbl>
    <w:p w:rsidR="00FD0E7C" w:rsidRPr="00FD0E7C" w:rsidRDefault="00FD0E7C" w:rsidP="00FD0E7C">
      <w:pPr>
        <w:rPr>
          <w:rFonts w:eastAsia="Arial" w:cs="Arial"/>
          <w:b/>
          <w:szCs w:val="22"/>
          <w:highlight w:val="cyan"/>
        </w:rPr>
      </w:pPr>
    </w:p>
    <w:p w:rsidR="00FD0E7C" w:rsidRPr="00FD0E7C" w:rsidRDefault="00FD0E7C" w:rsidP="00FD0E7C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  <w:r w:rsidRPr="00FD0E7C">
        <w:rPr>
          <w:rFonts w:eastAsia="Arial" w:cs="Arial"/>
          <w:b/>
          <w:color w:val="000000"/>
          <w:szCs w:val="22"/>
        </w:rPr>
        <w:t>Assessment Summary</w:t>
      </w:r>
    </w:p>
    <w:tbl>
      <w:tblPr>
        <w:tblW w:w="510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261"/>
        <w:gridCol w:w="1842"/>
      </w:tblGrid>
      <w:tr w:rsidR="00FD0E7C" w:rsidRPr="00FD0E7C" w:rsidTr="00FD0E7C">
        <w:tc>
          <w:tcPr>
            <w:tcW w:w="3261" w:type="dxa"/>
            <w:tcBorders>
              <w:top w:val="single" w:sz="4" w:space="0" w:color="000000"/>
              <w:left w:val="single" w:sz="4" w:space="0" w:color="000000"/>
            </w:tcBorders>
          </w:tcPr>
          <w:p w:rsidR="00FD0E7C" w:rsidRPr="00FD0E7C" w:rsidRDefault="00FD0E7C" w:rsidP="003230EB">
            <w:pPr>
              <w:keepNext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FD0E7C" w:rsidRPr="00FD0E7C" w:rsidRDefault="00FD0E7C" w:rsidP="003230EB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Percentage</w:t>
            </w:r>
          </w:p>
        </w:tc>
      </w:tr>
      <w:tr w:rsidR="00FD0E7C" w:rsidRPr="00FD0E7C" w:rsidTr="00FD0E7C">
        <w:tc>
          <w:tcPr>
            <w:tcW w:w="3261" w:type="dxa"/>
          </w:tcPr>
          <w:p w:rsidR="00FD0E7C" w:rsidRPr="00FD0E7C" w:rsidRDefault="00FD0E7C" w:rsidP="003230EB">
            <w:pPr>
              <w:keepNext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FD0E7C" w:rsidRPr="00FD0E7C" w:rsidRDefault="00FD0E7C" w:rsidP="003230EB">
            <w:pPr>
              <w:keepNext/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0</w:t>
            </w:r>
          </w:p>
        </w:tc>
      </w:tr>
      <w:tr w:rsidR="00FD0E7C" w:rsidRPr="00FD0E7C" w:rsidTr="00FD0E7C">
        <w:tc>
          <w:tcPr>
            <w:tcW w:w="3261" w:type="dxa"/>
          </w:tcPr>
          <w:p w:rsidR="00FD0E7C" w:rsidRPr="00FD0E7C" w:rsidRDefault="00FD0E7C" w:rsidP="003230EB">
            <w:pPr>
              <w:keepNext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FD0E7C" w:rsidRPr="00FD0E7C" w:rsidRDefault="00FD0E7C" w:rsidP="003230EB">
            <w:pPr>
              <w:keepNext/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60</w:t>
            </w:r>
          </w:p>
        </w:tc>
      </w:tr>
      <w:tr w:rsidR="00FD0E7C" w:rsidRPr="00FD0E7C" w:rsidTr="00FD0E7C">
        <w:tc>
          <w:tcPr>
            <w:tcW w:w="3261" w:type="dxa"/>
          </w:tcPr>
          <w:p w:rsidR="00FD0E7C" w:rsidRPr="00FD0E7C" w:rsidRDefault="00FD0E7C" w:rsidP="003230EB">
            <w:pPr>
              <w:keepNext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FD0E7C" w:rsidRPr="00FD0E7C" w:rsidRDefault="00FD0E7C" w:rsidP="003230EB">
            <w:pPr>
              <w:keepNext/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40</w:t>
            </w:r>
          </w:p>
        </w:tc>
      </w:tr>
      <w:tr w:rsidR="00FD0E7C" w:rsidRPr="00FD0E7C" w:rsidTr="00FD0E7C">
        <w:tc>
          <w:tcPr>
            <w:tcW w:w="3261" w:type="dxa"/>
          </w:tcPr>
          <w:p w:rsidR="00FD0E7C" w:rsidRPr="00FD0E7C" w:rsidRDefault="00FD0E7C" w:rsidP="003230EB">
            <w:pPr>
              <w:keepNext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FD0E7C" w:rsidRPr="00FD0E7C" w:rsidRDefault="00FD0E7C" w:rsidP="003230EB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100%</w:t>
            </w:r>
          </w:p>
        </w:tc>
      </w:tr>
    </w:tbl>
    <w:p w:rsidR="00FD0E7C" w:rsidRPr="00FD0E7C" w:rsidRDefault="00FD0E7C" w:rsidP="00FD0E7C">
      <w:pPr>
        <w:rPr>
          <w:rFonts w:eastAsia="Arial" w:cs="Arial"/>
          <w:szCs w:val="22"/>
        </w:rPr>
      </w:pPr>
    </w:p>
    <w:p w:rsidR="00FD0E7C" w:rsidRPr="00FD0E7C" w:rsidRDefault="00FD0E7C" w:rsidP="00FD0E7C">
      <w:pPr>
        <w:rPr>
          <w:rFonts w:eastAsia="Arial" w:cs="Arial"/>
          <w:szCs w:val="22"/>
          <w:highlight w:val="cyan"/>
        </w:rPr>
      </w:pPr>
      <w:r w:rsidRPr="00FD0E7C">
        <w:rPr>
          <w:rFonts w:eastAsia="Arial" w:cs="Arial"/>
          <w:b/>
          <w:szCs w:val="22"/>
        </w:rPr>
        <w:t>READING LIST</w:t>
      </w:r>
    </w:p>
    <w:p w:rsidR="00FD0E7C" w:rsidRPr="00FD0E7C" w:rsidRDefault="00FD0E7C" w:rsidP="00FD0E7C">
      <w:pPr>
        <w:rPr>
          <w:rFonts w:eastAsia="Arial" w:cs="Arial"/>
          <w:b/>
          <w:szCs w:val="22"/>
        </w:rPr>
      </w:pPr>
    </w:p>
    <w:tbl>
      <w:tblPr>
        <w:tblW w:w="86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689"/>
        <w:gridCol w:w="5605"/>
        <w:gridCol w:w="1366"/>
      </w:tblGrid>
      <w:tr w:rsidR="00FD0E7C" w:rsidRPr="00FD0E7C" w:rsidTr="00FD0E7C">
        <w:tc>
          <w:tcPr>
            <w:tcW w:w="1689" w:type="dxa"/>
            <w:shd w:val="clear" w:color="auto" w:fill="BFBFBF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BMPF4024</w:t>
            </w:r>
          </w:p>
        </w:tc>
      </w:tr>
      <w:tr w:rsidR="00FD0E7C" w:rsidRPr="00FD0E7C" w:rsidTr="00FD0E7C">
        <w:tc>
          <w:tcPr>
            <w:tcW w:w="1689" w:type="dxa"/>
            <w:shd w:val="clear" w:color="auto" w:fill="BFBFBF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An Introduction to Leading in Times of Crisis</w:t>
            </w:r>
          </w:p>
        </w:tc>
      </w:tr>
      <w:tr w:rsidR="00FD0E7C" w:rsidRPr="00FD0E7C" w:rsidTr="00FD0E7C">
        <w:tc>
          <w:tcPr>
            <w:tcW w:w="1689" w:type="dxa"/>
            <w:shd w:val="clear" w:color="auto" w:fill="BFBFBF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b/>
                <w:szCs w:val="22"/>
              </w:rPr>
            </w:pPr>
            <w:r w:rsidRPr="00FD0E7C">
              <w:rPr>
                <w:rFonts w:eastAsia="Arial" w:cs="Arial"/>
                <w:b/>
                <w:szCs w:val="22"/>
              </w:rPr>
              <w:t>Electronic*</w:t>
            </w:r>
          </w:p>
        </w:tc>
      </w:tr>
      <w:tr w:rsidR="00FD0E7C" w:rsidRPr="00FD0E7C" w:rsidTr="00FD0E7C">
        <w:tc>
          <w:tcPr>
            <w:tcW w:w="1689" w:type="dxa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 xml:space="preserve">Crandall, W.R., Parnell, J.A., Spillman, J.E., et al (2013) </w:t>
            </w:r>
            <w:r w:rsidRPr="00FD0E7C">
              <w:rPr>
                <w:rFonts w:eastAsia="Arial" w:cs="Arial"/>
                <w:i/>
                <w:szCs w:val="22"/>
              </w:rPr>
              <w:t>Crisis Management: Leading in the New Strategy Landscape</w:t>
            </w:r>
            <w:r w:rsidRPr="00FD0E7C">
              <w:rPr>
                <w:rFonts w:eastAsia="Arial" w:cs="Arial"/>
                <w:szCs w:val="22"/>
              </w:rPr>
              <w:t>. United States: Sage Publications.</w:t>
            </w:r>
          </w:p>
        </w:tc>
        <w:tc>
          <w:tcPr>
            <w:tcW w:w="136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☐</w:t>
            </w:r>
          </w:p>
        </w:tc>
      </w:tr>
      <w:tr w:rsidR="00FD0E7C" w:rsidRPr="00FD0E7C" w:rsidTr="00FD0E7C">
        <w:tc>
          <w:tcPr>
            <w:tcW w:w="1689" w:type="dxa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 xml:space="preserve">Fagel, M.J. (2013) </w:t>
            </w:r>
            <w:r w:rsidRPr="00FD0E7C">
              <w:rPr>
                <w:rFonts w:eastAsia="Arial" w:cs="Arial"/>
                <w:i/>
                <w:szCs w:val="22"/>
              </w:rPr>
              <w:t>Crisis Management and Emergency Planning.</w:t>
            </w:r>
            <w:r w:rsidRPr="00FD0E7C">
              <w:rPr>
                <w:rFonts w:eastAsia="Arial" w:cs="Arial"/>
                <w:szCs w:val="22"/>
              </w:rPr>
              <w:t xml:space="preserve"> Boca Raton FL: CRC Press Taylor and Francis Group</w:t>
            </w:r>
          </w:p>
        </w:tc>
        <w:tc>
          <w:tcPr>
            <w:tcW w:w="136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☒</w:t>
            </w:r>
          </w:p>
        </w:tc>
      </w:tr>
      <w:tr w:rsidR="00FD0E7C" w:rsidRPr="00FD0E7C" w:rsidTr="00FD0E7C">
        <w:tc>
          <w:tcPr>
            <w:tcW w:w="1689" w:type="dxa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 xml:space="preserve">Jaques, T. (2014) </w:t>
            </w:r>
            <w:r w:rsidRPr="00FD0E7C">
              <w:rPr>
                <w:rFonts w:eastAsia="Arial" w:cs="Arial"/>
                <w:i/>
                <w:szCs w:val="22"/>
              </w:rPr>
              <w:t>Issue and Crisis Management: Exploring Issues, Crises, Risk and Reputation</w:t>
            </w:r>
            <w:r w:rsidRPr="00FD0E7C">
              <w:rPr>
                <w:rFonts w:eastAsia="Arial" w:cs="Arial"/>
                <w:szCs w:val="22"/>
              </w:rPr>
              <w:t>. Australia: Oxford University Press Australia.</w:t>
            </w:r>
          </w:p>
        </w:tc>
        <w:tc>
          <w:tcPr>
            <w:tcW w:w="136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☐</w:t>
            </w:r>
          </w:p>
        </w:tc>
      </w:tr>
      <w:tr w:rsidR="00FD0E7C" w:rsidRPr="00FD0E7C" w:rsidTr="00FD0E7C">
        <w:tc>
          <w:tcPr>
            <w:tcW w:w="1689" w:type="dxa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 xml:space="preserve">Luecke, R. and School, H.B. (2004) </w:t>
            </w:r>
            <w:r w:rsidRPr="00FD0E7C">
              <w:rPr>
                <w:rFonts w:eastAsia="Arial" w:cs="Arial"/>
                <w:i/>
                <w:szCs w:val="22"/>
              </w:rPr>
              <w:t>Crisis Management: Master the Skills to Prevent Disasters. (4</w:t>
            </w:r>
            <w:r w:rsidRPr="00FD0E7C">
              <w:rPr>
                <w:rFonts w:eastAsia="Arial" w:cs="Arial"/>
                <w:i/>
                <w:szCs w:val="22"/>
                <w:vertAlign w:val="superscript"/>
              </w:rPr>
              <w:t>th</w:t>
            </w:r>
            <w:r w:rsidRPr="00FD0E7C">
              <w:rPr>
                <w:rFonts w:eastAsia="Arial" w:cs="Arial"/>
                <w:i/>
                <w:szCs w:val="22"/>
              </w:rPr>
              <w:t xml:space="preserve"> Ed)</w:t>
            </w:r>
            <w:r w:rsidRPr="00FD0E7C">
              <w:rPr>
                <w:rFonts w:eastAsia="Arial" w:cs="Arial"/>
                <w:szCs w:val="22"/>
              </w:rPr>
              <w:t xml:space="preserve"> Boston MA: Harvard Business Schools Press.</w:t>
            </w:r>
          </w:p>
        </w:tc>
        <w:tc>
          <w:tcPr>
            <w:tcW w:w="136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☒</w:t>
            </w:r>
          </w:p>
        </w:tc>
      </w:tr>
      <w:tr w:rsidR="00FD0E7C" w:rsidRPr="00FD0E7C" w:rsidTr="00FD0E7C">
        <w:tc>
          <w:tcPr>
            <w:tcW w:w="1689" w:type="dxa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 xml:space="preserve">Mitroff, I.I. Pearson, C.M. and Harrington, L.K. (1996) </w:t>
            </w:r>
            <w:r w:rsidRPr="00FD0E7C">
              <w:rPr>
                <w:rFonts w:eastAsia="Arial" w:cs="Arial"/>
                <w:i/>
                <w:szCs w:val="22"/>
              </w:rPr>
              <w:t xml:space="preserve">The Essential Guide to Managing Corporate Crisis: A </w:t>
            </w:r>
            <w:r w:rsidRPr="00FD0E7C">
              <w:rPr>
                <w:rFonts w:eastAsia="Arial" w:cs="Arial"/>
                <w:i/>
                <w:szCs w:val="22"/>
              </w:rPr>
              <w:lastRenderedPageBreak/>
              <w:t>Step by Step Handbook for Surviving Major Catastrophes</w:t>
            </w:r>
            <w:r w:rsidRPr="00FD0E7C">
              <w:rPr>
                <w:rFonts w:eastAsia="Arial" w:cs="Arial"/>
                <w:szCs w:val="22"/>
              </w:rPr>
              <w:t>. England: Oxford University Press.</w:t>
            </w:r>
          </w:p>
        </w:tc>
        <w:tc>
          <w:tcPr>
            <w:tcW w:w="136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lastRenderedPageBreak/>
              <w:t>☐</w:t>
            </w:r>
          </w:p>
        </w:tc>
      </w:tr>
      <w:tr w:rsidR="00FD0E7C" w:rsidRPr="00FD0E7C" w:rsidTr="00FD0E7C">
        <w:tc>
          <w:tcPr>
            <w:tcW w:w="1689" w:type="dxa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 xml:space="preserve">McConnell, A. Drennan, L.T. and Stark, A. (2015) </w:t>
            </w:r>
            <w:r w:rsidRPr="00FD0E7C">
              <w:rPr>
                <w:rFonts w:eastAsia="Arial" w:cs="Arial"/>
                <w:i/>
                <w:szCs w:val="22"/>
              </w:rPr>
              <w:t>Risk and Crisis Management in the Public Sector. (2</w:t>
            </w:r>
            <w:r w:rsidRPr="00FD0E7C">
              <w:rPr>
                <w:rFonts w:eastAsia="Arial" w:cs="Arial"/>
                <w:i/>
                <w:szCs w:val="22"/>
                <w:vertAlign w:val="superscript"/>
              </w:rPr>
              <w:t>nd</w:t>
            </w:r>
            <w:r w:rsidRPr="00FD0E7C">
              <w:rPr>
                <w:rFonts w:eastAsia="Arial" w:cs="Arial"/>
                <w:i/>
                <w:szCs w:val="22"/>
              </w:rPr>
              <w:t xml:space="preserve"> Ed)</w:t>
            </w:r>
            <w:r w:rsidRPr="00FD0E7C">
              <w:rPr>
                <w:rFonts w:eastAsia="Arial" w:cs="Arial"/>
                <w:szCs w:val="22"/>
              </w:rPr>
              <w:t xml:space="preserve"> London: Routledge. (E-book)</w:t>
            </w:r>
          </w:p>
        </w:tc>
        <w:tc>
          <w:tcPr>
            <w:tcW w:w="136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☒</w:t>
            </w:r>
          </w:p>
        </w:tc>
      </w:tr>
      <w:tr w:rsidR="00FD0E7C" w:rsidRPr="00FD0E7C" w:rsidTr="00FD0E7C">
        <w:tc>
          <w:tcPr>
            <w:tcW w:w="1689" w:type="dxa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Further reading may be recommended in relation to the specific area studied.</w:t>
            </w:r>
            <w:r w:rsidRPr="00FD0E7C">
              <w:rPr>
                <w:rFonts w:cs="Arial"/>
                <w:szCs w:val="22"/>
              </w:rPr>
              <w:t xml:space="preserve"> </w:t>
            </w:r>
          </w:p>
        </w:tc>
        <w:tc>
          <w:tcPr>
            <w:tcW w:w="136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☐</w:t>
            </w:r>
          </w:p>
        </w:tc>
      </w:tr>
      <w:tr w:rsidR="00FD0E7C" w:rsidRPr="00FD0E7C" w:rsidTr="00FD0E7C">
        <w:trPr>
          <w:trHeight w:val="386"/>
        </w:trPr>
        <w:tc>
          <w:tcPr>
            <w:tcW w:w="1689" w:type="dxa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Journal</w:t>
            </w:r>
          </w:p>
        </w:tc>
        <w:tc>
          <w:tcPr>
            <w:tcW w:w="5605" w:type="dxa"/>
          </w:tcPr>
          <w:p w:rsidR="00FD0E7C" w:rsidRPr="00FD0E7C" w:rsidRDefault="00FD0E7C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Journal of Contingencies and Crisis Management</w:t>
            </w:r>
          </w:p>
        </w:tc>
        <w:tc>
          <w:tcPr>
            <w:tcW w:w="136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☒</w:t>
            </w:r>
          </w:p>
        </w:tc>
      </w:tr>
      <w:tr w:rsidR="00FD0E7C" w:rsidRPr="00FD0E7C" w:rsidTr="00FD0E7C">
        <w:tc>
          <w:tcPr>
            <w:tcW w:w="1689" w:type="dxa"/>
          </w:tcPr>
          <w:p w:rsidR="00FD0E7C" w:rsidRPr="00FD0E7C" w:rsidRDefault="00FD0E7C" w:rsidP="003230EB">
            <w:pPr>
              <w:tabs>
                <w:tab w:val="left" w:pos="1440"/>
              </w:tabs>
              <w:rPr>
                <w:rFonts w:eastAsia="Arial" w:cs="Arial"/>
                <w:szCs w:val="22"/>
              </w:rPr>
            </w:pPr>
            <w:r w:rsidRPr="00FD0E7C">
              <w:rPr>
                <w:rFonts w:eastAsia="Arial" w:cs="Arial"/>
                <w:szCs w:val="22"/>
              </w:rPr>
              <w:t>Websites</w:t>
            </w:r>
          </w:p>
        </w:tc>
        <w:tc>
          <w:tcPr>
            <w:tcW w:w="5605" w:type="dxa"/>
          </w:tcPr>
          <w:p w:rsidR="00FD0E7C" w:rsidRPr="00FD0E7C" w:rsidRDefault="00F26285" w:rsidP="003230E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88" w:lineRule="auto"/>
              <w:rPr>
                <w:rFonts w:eastAsia="Arial" w:cs="Arial"/>
                <w:szCs w:val="22"/>
              </w:rPr>
            </w:pPr>
            <w:hyperlink r:id="rId5">
              <w:r w:rsidR="00FD0E7C" w:rsidRPr="00FD0E7C">
                <w:rPr>
                  <w:rFonts w:eastAsia="Arial" w:cs="Arial"/>
                  <w:color w:val="0000FF"/>
                  <w:szCs w:val="22"/>
                  <w:u w:val="single"/>
                </w:rPr>
                <w:t>www.crisis-response.com</w:t>
              </w:r>
            </w:hyperlink>
          </w:p>
        </w:tc>
        <w:tc>
          <w:tcPr>
            <w:tcW w:w="1366" w:type="dxa"/>
          </w:tcPr>
          <w:p w:rsidR="00FD0E7C" w:rsidRPr="00FD0E7C" w:rsidRDefault="00FD0E7C" w:rsidP="003230EB">
            <w:pPr>
              <w:jc w:val="center"/>
              <w:rPr>
                <w:rFonts w:eastAsia="Arial" w:cs="Arial"/>
                <w:szCs w:val="22"/>
              </w:rPr>
            </w:pPr>
            <w:r w:rsidRPr="00FD0E7C">
              <w:rPr>
                <w:rFonts w:eastAsia="MS Mincho" w:cs="Arial"/>
                <w:szCs w:val="22"/>
              </w:rPr>
              <w:t>☒</w:t>
            </w:r>
          </w:p>
        </w:tc>
      </w:tr>
    </w:tbl>
    <w:p w:rsidR="00B3318C" w:rsidRPr="00FD0E7C" w:rsidRDefault="00B3318C" w:rsidP="002E13CA">
      <w:pPr>
        <w:pStyle w:val="HTMLPreformatted"/>
        <w:rPr>
          <w:rFonts w:cs="Arial"/>
        </w:rPr>
      </w:pPr>
    </w:p>
    <w:sectPr w:rsidR="00B3318C" w:rsidRPr="00FD0E7C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Noto Sans Symbols">
    <w:altName w:val="Times New Roman"/>
    <w:charset w:val="00"/>
    <w:family w:val="auto"/>
    <w:pitch w:val="default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8AA7107"/>
    <w:multiLevelType w:val="hybridMultilevel"/>
    <w:tmpl w:val="D31C8FE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0E7C"/>
    <w:rsid w:val="000205AE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  <w:rsid w:val="00F26285"/>
    <w:rsid w:val="00FD0E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C7DB94F-ED9E-4D34-9D8A-33DDBBF47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0E7C"/>
    <w:pPr>
      <w:keepNext/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FD0E7C"/>
    <w:pPr>
      <w:overflowPunct/>
      <w:autoSpaceDE/>
      <w:autoSpaceDN/>
      <w:adjustRightInd/>
      <w:spacing w:before="0" w:after="0"/>
      <w:ind w:left="567" w:hanging="567"/>
      <w:textAlignment w:val="auto"/>
      <w:outlineLvl w:val="1"/>
    </w:pPr>
    <w:rPr>
      <w:rFonts w:ascii="Arial" w:eastAsia="Times New Roman" w:hAnsi="Arial" w:cs="Arial"/>
      <w:bCs w:val="0"/>
      <w:color w:val="000000"/>
      <w:kern w:val="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Heading2Char">
    <w:name w:val="Heading 2 Char"/>
    <w:basedOn w:val="DefaultParagraphFont"/>
    <w:link w:val="Heading2"/>
    <w:uiPriority w:val="9"/>
    <w:rsid w:val="00FD0E7C"/>
    <w:rPr>
      <w:rFonts w:ascii="Arial" w:hAnsi="Arial" w:cs="Arial"/>
      <w:b/>
      <w:color w:val="000000"/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FD0E7C"/>
    <w:rPr>
      <w:rFonts w:asciiTheme="majorHAnsi" w:eastAsiaTheme="majorEastAsia" w:hAnsiTheme="majorHAnsi" w:cstheme="majorBidi"/>
      <w:b/>
      <w:bCs/>
      <w:kern w:val="32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crisis-response.com/" TargetMode="Externa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3</Pages>
  <Words>546</Words>
  <Characters>3118</Characters>
  <Application>Microsoft Office Word</Application>
  <DocSecurity>4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3657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Stephen Darnell</cp:lastModifiedBy>
  <cp:revision>2</cp:revision>
  <cp:lastPrinted>1900-01-01T00:00:00Z</cp:lastPrinted>
  <dcterms:created xsi:type="dcterms:W3CDTF">2018-11-01T10:00:00Z</dcterms:created>
  <dcterms:modified xsi:type="dcterms:W3CDTF">2018-11-01T10:00:00Z</dcterms:modified>
</cp:coreProperties>
</file>