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rPr/>
      </w:pPr>
      <w:r w:rsidDel="00000000" w:rsidR="00000000" w:rsidRPr="00000000">
        <w:rPr>
          <w:b w:val="1"/>
          <w:sz w:val="32"/>
          <w:szCs w:val="32"/>
          <w:highlight w:val="white"/>
          <w:rtl w:val="0"/>
        </w:rPr>
        <w:t xml:space="preserve">To what extent do you think that the source of meaning of a work of narrative fiction is either (i) the writer, (ii) the reader’s experience, or (iii) the language or structure of the text?</w:t>
      </w:r>
      <w:r w:rsidDel="00000000" w:rsidR="00000000" w:rsidRPr="00000000">
        <w:rPr>
          <w:rtl w:val="0"/>
        </w:rPr>
      </w:r>
    </w:p>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spacing w:line="360" w:lineRule="auto"/>
        <w:rPr>
          <w:b w:val="1"/>
          <w:u w:val="single"/>
        </w:rPr>
      </w:pPr>
      <w:r w:rsidDel="00000000" w:rsidR="00000000" w:rsidRPr="00000000">
        <w:rPr>
          <w:b w:val="1"/>
          <w:u w:val="single"/>
          <w:rtl w:val="0"/>
        </w:rPr>
        <w:t xml:space="preserve">Introduction</w:t>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t xml:space="preserve">The purpose of this essay is to assess the extent to which I believe the source of the meaning of a work of narrative fiction is the writer, the experience of the reader or the language and structure used in the text. This will then lead to a consideration of their relative importance, as well as a further consideration as to the order of their importance.</w:t>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t xml:space="preserve">I consider it important, however, to briefly explain the way I am considering meaning throughout the essay. I understand meaning as being a very subjective term which relies heavily on individual perception and interpretation and is often without a solid or completely factual grounding, I will reflect this in the following sections of the essay, taking into account the subjectivity of the three perspectives described in the question; the writer, the readers experience, and the structure and language of text.  </w:t>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b w:val="1"/>
          <w:u w:val="single"/>
        </w:rPr>
      </w:pPr>
      <w:r w:rsidDel="00000000" w:rsidR="00000000" w:rsidRPr="00000000">
        <w:rPr>
          <w:b w:val="1"/>
          <w:u w:val="single"/>
          <w:rtl w:val="0"/>
        </w:rPr>
        <w:t xml:space="preserve">What I think on the matter.</w:t>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t xml:space="preserve">In this essay I will be making an argument for the source of meaning of a work of narrative fiction, being wholly variable, and open to subjectivity on all fronts, as opposed to there being fixed proportions attributed to writer, reader and structure when referring to narrative fiction as a whole. </w:t>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t xml:space="preserve">I believe that rather than being to able to assign greater significance of meaning’s source to the writer, the reader’s experiences, or the text’s language and structuring, meaning is instead derived from these three factors in varying proportions dependant on the circumstances of each. Circumstances such as; who has written it and their intention (Writer), how is it written and presented (Structure and language), and who is the reader (Readers experience). </w:t>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b w:val="1"/>
          <w:u w:val="single"/>
        </w:rPr>
      </w:pPr>
      <w:r w:rsidDel="00000000" w:rsidR="00000000" w:rsidRPr="00000000">
        <w:rPr>
          <w:b w:val="1"/>
          <w:u w:val="single"/>
          <w:rtl w:val="0"/>
        </w:rPr>
        <w:t xml:space="preserve">The Writer</w:t>
      </w:r>
    </w:p>
    <w:p w:rsidR="00000000" w:rsidDel="00000000" w:rsidP="00000000" w:rsidRDefault="00000000" w:rsidRPr="00000000" w14:paraId="00000011">
      <w:pPr>
        <w:spacing w:line="360" w:lineRule="auto"/>
        <w:rPr>
          <w:b w:val="1"/>
          <w:u w:val="single"/>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t xml:space="preserve">It seems very easy when first asked a question like this to consider the writer of a work of narrative fiction to be the whole source of any meaning that can be taken from it. The writer is the one who envisions the meaning of the work in the first place. The writer chooses how the meaning they intend to give is worded and how the text conveying that meaning is structured. The writer is responsible for the creation of the entire work in the first place. So how could anything else be the source of meaning other than the writer? The answer to this question is; because of the necessity of a reader, to make that meaning understood. A narrative may have one fixed meaning to the writer, but narrative fiction can always be interpreted differently depending on it’s reader. For example, I recently had a situation where this difference in understood meaning presented itself to me. This was in a lecture when the folk story from chapter eleven of Chinua Achebe’s </w:t>
      </w:r>
      <w:r w:rsidDel="00000000" w:rsidR="00000000" w:rsidRPr="00000000">
        <w:rPr>
          <w:i w:val="1"/>
          <w:rtl w:val="0"/>
        </w:rPr>
        <w:t xml:space="preserve">‘Things Fall Apart’. </w:t>
      </w:r>
      <w:r w:rsidDel="00000000" w:rsidR="00000000" w:rsidRPr="00000000">
        <w:rPr>
          <w:rtl w:val="0"/>
        </w:rPr>
        <w:t xml:space="preserve">When we were studying this story with the common moral of not deceiving and wronging others, there were multiple instances of irony dotted throughout which I completely failed to notice. These instances were such details as, the known to be deceiving and opportunistic tortoise claiming to be a ‘changed man’</w:t>
      </w:r>
      <w:r w:rsidDel="00000000" w:rsidR="00000000" w:rsidRPr="00000000">
        <w:rPr>
          <w:vertAlign w:val="superscript"/>
        </w:rPr>
        <w:footnoteReference w:customMarkFollows="0" w:id="0"/>
      </w:r>
      <w:r w:rsidDel="00000000" w:rsidR="00000000" w:rsidRPr="00000000">
        <w:rPr>
          <w:i w:val="1"/>
          <w:rtl w:val="0"/>
        </w:rPr>
        <w:t xml:space="preserve"> </w:t>
      </w:r>
      <w:r w:rsidDel="00000000" w:rsidR="00000000" w:rsidRPr="00000000">
        <w:rPr>
          <w:rtl w:val="0"/>
        </w:rPr>
        <w:t xml:space="preserve">who has ‘learnt that a man who makes trouble for others is also making it for himself.’</w:t>
      </w:r>
      <w:r w:rsidDel="00000000" w:rsidR="00000000" w:rsidRPr="00000000">
        <w:rPr>
          <w:vertAlign w:val="superscript"/>
        </w:rPr>
        <w:footnoteReference w:customMarkFollows="0" w:id="1"/>
      </w:r>
      <w:r w:rsidDel="00000000" w:rsidR="00000000" w:rsidRPr="00000000">
        <w:rPr>
          <w:rtl w:val="0"/>
        </w:rPr>
        <w:t xml:space="preserve"> Before then spending the rest of the story making trouble for others and finding himself in trouble as a result. When the birds fly to the banquet with the tortoise they choose him as their speaker, which I assume is a play on birds being known for having beautiful voices, and tortoises being silent. The tortoise lies and talks about the customs of the sky people they are travelling to eat with, making up a custom so that he can further trick his way to a larger meal, the birds believe the tortoises knowledge of the sky people’s culture because they think him to be well travelled. This particular instance I’m amazed I didn’t notice as it’s obvious that a tortoise in no way could ever be more travelled than a bird, and especially not of a land in the sky, but just like almost all other instances of irony throughout the story it passed me by completely. </w:t>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t xml:space="preserve">As a result of these instances of irony, the meaning I got from the story as a reader was significantly different to the intended meaning of the author in writing it. What I had understood as being a simple folk fable about why lying has negative consequences, instead became an almost karmic story about the importance of not being gullible and the importance of not making assumptions, and when I re-read the story having learned of this intended meaning, I experienced it completely differently. To me, this is a great example of why meaning is such a subjective concept, as whilst the writer’s intended meaning mostly passed me by in my first reading of the story, I did still find at least one of the writer’s intended meanings, which I arrived at due to my past experiences of reading similar stories, and I feel that such past experiences can also be considered to be partly responsible for me missing these instances of irony, because my familiarity with the moral made me take less notice of the smaller details. This is not only  why the writer can not be the only source of meaning, but is also why they cannot always be considered the most or least contributing source, as the reader's own interpretation can be extremely different to the writer’s intended meaning, but can also be partially or wholly the same as the writers intended meaning, it depends on the reader and the writer's ability to structure and use language. You may have noticed that all three of this essays criteria are discussed in this section, this is something of a pattern throughout and something which is frankly unavoidable, and I feel supports my argument by showing just how heavily all three depend on each other to have any meaning in the first place. </w:t>
      </w:r>
    </w:p>
    <w:p w:rsidR="00000000" w:rsidDel="00000000" w:rsidP="00000000" w:rsidRDefault="00000000" w:rsidRPr="00000000" w14:paraId="00000015">
      <w:pPr>
        <w:spacing w:line="360" w:lineRule="auto"/>
        <w:rPr>
          <w:b w:val="1"/>
          <w:u w:val="single"/>
        </w:rPr>
      </w:pPr>
      <w:r w:rsidDel="00000000" w:rsidR="00000000" w:rsidRPr="00000000">
        <w:rPr>
          <w:rtl w:val="0"/>
        </w:rPr>
      </w:r>
    </w:p>
    <w:p w:rsidR="00000000" w:rsidDel="00000000" w:rsidP="00000000" w:rsidRDefault="00000000" w:rsidRPr="00000000" w14:paraId="00000016">
      <w:pPr>
        <w:spacing w:line="360" w:lineRule="auto"/>
        <w:rPr>
          <w:b w:val="1"/>
          <w:u w:val="single"/>
        </w:rPr>
      </w:pPr>
      <w:r w:rsidDel="00000000" w:rsidR="00000000" w:rsidRPr="00000000">
        <w:rPr>
          <w:b w:val="1"/>
          <w:u w:val="single"/>
          <w:rtl w:val="0"/>
        </w:rPr>
        <w:t xml:space="preserve">Reader</w:t>
      </w:r>
    </w:p>
    <w:p w:rsidR="00000000" w:rsidDel="00000000" w:rsidP="00000000" w:rsidRDefault="00000000" w:rsidRPr="00000000" w14:paraId="00000017">
      <w:pPr>
        <w:spacing w:line="360" w:lineRule="auto"/>
        <w:rPr>
          <w:b w:val="1"/>
          <w:u w:val="single"/>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t xml:space="preserve">When considering the importance of the reader and their life experiences, much like the writer, it is easy to fall into the trap of once again assuming all of a works meaning is sourced directly from them. It could even be argued that my last passage, where I discussed the subjectivity of the writer’s influence on a work’s meaning, supports a similar sentiment to that of French literary theorist Roland Barthe. In his concept ‘la mort de l’auteur’, (The death of the author) , which claims that a work’s meaning lies entirely or majoritively in the interpretation of the reader. The phrase comes coupled with the slogan ‘The birth of the reader’, and was coined by Barthe’s in his 1968 essay entitled ‘la mort de l’auteur’ as a means to;</w:t>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ind w:left="720" w:firstLine="0"/>
        <w:rPr>
          <w:i w:val="1"/>
        </w:rPr>
      </w:pPr>
      <w:r w:rsidDel="00000000" w:rsidR="00000000" w:rsidRPr="00000000">
        <w:rPr>
          <w:i w:val="1"/>
          <w:rtl w:val="0"/>
        </w:rPr>
        <w:t xml:space="preserve">‘Topple the supposedly godlike authority of the writer over the possible meanings of his or her work, and to grant more freedom of interpretation to readers.’</w:t>
      </w:r>
      <w:r w:rsidDel="00000000" w:rsidR="00000000" w:rsidRPr="00000000">
        <w:rPr>
          <w:i w:val="1"/>
          <w:vertAlign w:val="superscript"/>
        </w:rPr>
        <w:footnoteReference w:customMarkFollows="0" w:id="2"/>
      </w:r>
      <w:r w:rsidDel="00000000" w:rsidR="00000000" w:rsidRPr="00000000">
        <w:rPr>
          <w:i w:val="1"/>
          <w:rtl w:val="0"/>
        </w:rPr>
        <w:t xml:space="preserve">  </w:t>
      </w:r>
    </w:p>
    <w:p w:rsidR="00000000" w:rsidDel="00000000" w:rsidP="00000000" w:rsidRDefault="00000000" w:rsidRPr="00000000" w14:paraId="0000001B">
      <w:pPr>
        <w:spacing w:line="360" w:lineRule="auto"/>
        <w:ind w:left="720" w:firstLine="0"/>
        <w:rPr>
          <w:i w:val="1"/>
        </w:rPr>
      </w:pP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t xml:space="preserve">I take issue with this sentiment for  a variety of reasons, two of the most prominent of which being that I feel it disregards the writer’s position as a reader themself, whilst also diminishing the responsibility of the reader in finding the intended meaning within a work of narrative fiction. </w:t>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t xml:space="preserve">To begin with, to consider the writer’s own interpretation of the meaning found within their own work to be of no importance to the meaning of the work, is essentially disregarding the reader’s interpretation of the work all over again and placing the work back into the state of being untouchable in terms of it’s meaning. After all, the writer themself is just as much a reader as anyone else, and to ignore their interpretation would be directly against the whole idea of ‘freedom of interpretation’ which the entire idea was founded on to begin with. </w:t>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t xml:space="preserve">When considering the diminished levels of responsibility the sentiment causes on the part of the reader, I would argue that refusing the writer’s intended meaning opens the reader up to a state of ‘lazy reading’, wherein the reader may often find themselves attempting a work of fiction they are not used to or ill prepared for, and through lack of experience may deduce little to no meaning and therefore rule that the work itself to be lacking in meaning, rather than accepting their own partial responsibility for having not found any. Whilst this may not have been a hugely damaging situation in the past, in these modern times where we are surrounded by internet outlets such as Goodreads and other genuinely noticed review sites where anybody can review a work of fiction and declare it good or bad without showing any actual ability to either understand the work itself or any qualification to act as a critic, this idea of the reader’s (No matter who that reader may be) interpretation being the only one that matters has genuine potential to ruin careers, and diminish the importance of greatly meaningful works of literature.</w:t>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t xml:space="preserve">I would instead argue that rather than one role holding more significance than the other, the Writer and the Reader have a relationship and a responsibility to one another to find and instill meaning in a work of narrative fiction.</w:t>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b w:val="1"/>
          <w:u w:val="single"/>
        </w:rPr>
      </w:pPr>
      <w:r w:rsidDel="00000000" w:rsidR="00000000" w:rsidRPr="00000000">
        <w:rPr>
          <w:rtl w:val="0"/>
        </w:rPr>
      </w:r>
    </w:p>
    <w:p w:rsidR="00000000" w:rsidDel="00000000" w:rsidP="00000000" w:rsidRDefault="00000000" w:rsidRPr="00000000" w14:paraId="00000025">
      <w:pPr>
        <w:spacing w:line="360" w:lineRule="auto"/>
        <w:rPr>
          <w:b w:val="1"/>
          <w:u w:val="single"/>
        </w:rPr>
      </w:pPr>
      <w:r w:rsidDel="00000000" w:rsidR="00000000" w:rsidRPr="00000000">
        <w:rPr>
          <w:b w:val="1"/>
          <w:u w:val="single"/>
          <w:rtl w:val="0"/>
        </w:rPr>
        <w:t xml:space="preserve">Language and Structure</w:t>
      </w:r>
    </w:p>
    <w:p w:rsidR="00000000" w:rsidDel="00000000" w:rsidP="00000000" w:rsidRDefault="00000000" w:rsidRPr="00000000" w14:paraId="00000026">
      <w:pPr>
        <w:spacing w:line="360" w:lineRule="auto"/>
        <w:rPr>
          <w:b w:val="1"/>
          <w:u w:val="single"/>
        </w:rPr>
      </w:pP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rtl w:val="0"/>
        </w:rPr>
        <w:t xml:space="preserve">The language and structure of a work of narrative fiction is of undeniable value to the meaning of the work itself. </w:t>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rtl w:val="0"/>
        </w:rPr>
        <w:t xml:space="preserve">The language used not only acts as the writer’s method of communicating the narrative in the way they intend it to be told, but also effects matters such as who the intended readership is, what level of literary ability they will need to access the work, what knowledge of subjects surrounding the work and it’s genre are needed, and many more. </w:t>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t xml:space="preserve">Structure, similarly valuable to language, is also of immense importance in communicating meaning, as a novel’s structuring affects the layout, chronological order, method of narration, tense, dialogue, charecterisation and so on, whilst also being the technique by which the writer executes their use of language within the story. That is to say that the structure directly affects the language used and the way it is used, to a degree which give words more meaning than they otherwise would have. A good example of this would be the concept of metaphor. </w:t>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t xml:space="preserve">Metaphors are used to communicate meaning in ways that do more than simply state intended meaning outright, and as such are widely employed by writers to relay meaning to reader’s through likening one thing to another with similar connotations to gather the intended meaning. E.g: ‘</w:t>
      </w:r>
      <w:r w:rsidDel="00000000" w:rsidR="00000000" w:rsidRPr="00000000">
        <w:rPr>
          <w:i w:val="1"/>
          <w:rtl w:val="0"/>
        </w:rPr>
        <w:t xml:space="preserve">Laura was a very bright student and always got good grades</w:t>
      </w:r>
      <w:r w:rsidDel="00000000" w:rsidR="00000000" w:rsidRPr="00000000">
        <w:rPr>
          <w:rtl w:val="0"/>
        </w:rPr>
        <w:t xml:space="preserve">.’</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t xml:space="preserve">In our language we associate the word bright with something being positive, impressive, good and all around pleasant so we understand it’s use in this sense to mean ‘good’ despite it not actually using that wording. </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t xml:space="preserve">Metaphor, I believe, is a great example of the equally proportionate source of meaning found in the writer, the readers experience, and the language and structuring of the text, as all three aspects are equally required to interpret meaning from it. The writer attempts to convey a particular meaning through language and the technique of metaphor which the reader must then interpret through past experience with similar metaphors or even just general association to gain the intended meaning. It’s one of the many points in the process of experiencing narrative fiction which bring all aspects of it into equilibrium.</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b w:val="1"/>
          <w:u w:val="single"/>
        </w:rPr>
      </w:pPr>
      <w:r w:rsidDel="00000000" w:rsidR="00000000" w:rsidRPr="00000000">
        <w:rPr>
          <w:b w:val="1"/>
          <w:u w:val="single"/>
          <w:rtl w:val="0"/>
        </w:rPr>
        <w:t xml:space="preserve">Conclusion</w:t>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t xml:space="preserve">To conclude, I believe that this essay has supported my argument as to the importance that all three of the roles in question serve in acting as a work of narrative fiction’s source of meaning. I hope it can be seen why I have come to the conclusion that the influence of each over the interpreted meaning is subjective and variable depending on the text in question.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b w:val="1"/>
          <w:u w:val="single"/>
        </w:rPr>
      </w:pPr>
      <w:r w:rsidDel="00000000" w:rsidR="00000000" w:rsidRPr="00000000">
        <w:rPr>
          <w:b w:val="1"/>
          <w:u w:val="single"/>
          <w:rtl w:val="0"/>
        </w:rPr>
        <w:t xml:space="preserve">Bibliography</w:t>
      </w:r>
    </w:p>
    <w:p w:rsidR="00000000" w:rsidDel="00000000" w:rsidP="00000000" w:rsidRDefault="00000000" w:rsidRPr="00000000" w14:paraId="0000003A">
      <w:pPr>
        <w:spacing w:line="360" w:lineRule="auto"/>
        <w:rPr>
          <w:rFonts w:ascii="Times New Roman" w:cs="Times New Roman" w:eastAsia="Times New Roman" w:hAnsi="Times New Roman"/>
          <w:sz w:val="29"/>
          <w:szCs w:val="29"/>
          <w:highlight w:val="white"/>
        </w:rPr>
      </w:pPr>
      <w:r w:rsidDel="00000000" w:rsidR="00000000" w:rsidRPr="00000000">
        <w:rPr>
          <w:rFonts w:ascii="Times New Roman" w:cs="Times New Roman" w:eastAsia="Times New Roman" w:hAnsi="Times New Roman"/>
          <w:sz w:val="29"/>
          <w:szCs w:val="29"/>
          <w:highlight w:val="white"/>
          <w:rtl w:val="0"/>
        </w:rPr>
        <w:t xml:space="preserve">Catherine Belsey , </w:t>
      </w:r>
      <w:r w:rsidDel="00000000" w:rsidR="00000000" w:rsidRPr="00000000">
        <w:rPr>
          <w:rFonts w:ascii="Times New Roman" w:cs="Times New Roman" w:eastAsia="Times New Roman" w:hAnsi="Times New Roman"/>
          <w:i w:val="1"/>
          <w:sz w:val="29"/>
          <w:szCs w:val="29"/>
          <w:highlight w:val="white"/>
          <w:rtl w:val="0"/>
        </w:rPr>
        <w:t xml:space="preserve">Critical Practice</w:t>
      </w:r>
      <w:r w:rsidDel="00000000" w:rsidR="00000000" w:rsidRPr="00000000">
        <w:rPr>
          <w:rFonts w:ascii="Times New Roman" w:cs="Times New Roman" w:eastAsia="Times New Roman" w:hAnsi="Times New Roman"/>
          <w:sz w:val="29"/>
          <w:szCs w:val="29"/>
          <w:highlight w:val="white"/>
          <w:rtl w:val="0"/>
        </w:rPr>
        <w:t xml:space="preserve"> (Abingdon: Methuen, 1980).</w:t>
      </w:r>
    </w:p>
    <w:p w:rsidR="00000000" w:rsidDel="00000000" w:rsidP="00000000" w:rsidRDefault="00000000" w:rsidRPr="00000000" w14:paraId="0000003B">
      <w:pPr>
        <w:spacing w:line="360" w:lineRule="auto"/>
        <w:rPr>
          <w:rFonts w:ascii="Times New Roman" w:cs="Times New Roman" w:eastAsia="Times New Roman" w:hAnsi="Times New Roman"/>
          <w:sz w:val="29"/>
          <w:szCs w:val="29"/>
          <w:highlight w:val="white"/>
        </w:rPr>
      </w:pP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sz w:val="29"/>
          <w:szCs w:val="29"/>
          <w:highlight w:val="white"/>
        </w:rPr>
      </w:pPr>
      <w:r w:rsidDel="00000000" w:rsidR="00000000" w:rsidRPr="00000000">
        <w:rPr>
          <w:rFonts w:ascii="Times New Roman" w:cs="Times New Roman" w:eastAsia="Times New Roman" w:hAnsi="Times New Roman"/>
          <w:sz w:val="29"/>
          <w:szCs w:val="29"/>
          <w:highlight w:val="white"/>
          <w:rtl w:val="0"/>
        </w:rPr>
        <w:t xml:space="preserve">Shlomith Rimmon-Kenan, (Abingdon: Methuen , 1983).</w:t>
      </w:r>
    </w:p>
    <w:p w:rsidR="00000000" w:rsidDel="00000000" w:rsidP="00000000" w:rsidRDefault="00000000" w:rsidRPr="00000000" w14:paraId="0000003D">
      <w:pPr>
        <w:spacing w:line="360" w:lineRule="auto"/>
        <w:rPr>
          <w:rFonts w:ascii="Times New Roman" w:cs="Times New Roman" w:eastAsia="Times New Roman" w:hAnsi="Times New Roman"/>
          <w:sz w:val="29"/>
          <w:szCs w:val="29"/>
          <w:highlight w:val="white"/>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sz w:val="29"/>
          <w:szCs w:val="29"/>
          <w:highlight w:val="white"/>
        </w:rPr>
      </w:pPr>
      <w:r w:rsidDel="00000000" w:rsidR="00000000" w:rsidRPr="00000000">
        <w:rPr>
          <w:rFonts w:ascii="Times New Roman" w:cs="Times New Roman" w:eastAsia="Times New Roman" w:hAnsi="Times New Roman"/>
          <w:sz w:val="29"/>
          <w:szCs w:val="29"/>
          <w:highlight w:val="white"/>
          <w:rtl w:val="0"/>
        </w:rPr>
        <w:t xml:space="preserve">W. J. T. Mitchell et al., </w:t>
      </w:r>
      <w:r w:rsidDel="00000000" w:rsidR="00000000" w:rsidRPr="00000000">
        <w:rPr>
          <w:rFonts w:ascii="Times New Roman" w:cs="Times New Roman" w:eastAsia="Times New Roman" w:hAnsi="Times New Roman"/>
          <w:i w:val="1"/>
          <w:sz w:val="29"/>
          <w:szCs w:val="29"/>
          <w:highlight w:val="white"/>
          <w:rtl w:val="0"/>
        </w:rPr>
        <w:t xml:space="preserve">Critical Terms for Literary Study</w:t>
      </w:r>
      <w:r w:rsidDel="00000000" w:rsidR="00000000" w:rsidRPr="00000000">
        <w:rPr>
          <w:rFonts w:ascii="Times New Roman" w:cs="Times New Roman" w:eastAsia="Times New Roman" w:hAnsi="Times New Roman"/>
          <w:sz w:val="29"/>
          <w:szCs w:val="29"/>
          <w:highlight w:val="white"/>
          <w:rtl w:val="0"/>
        </w:rPr>
        <w:t xml:space="preserve">, ed. by Frank Lentricchia &amp; Thomas McLaughlin, 2nd edn (Chicago: The University of Chicago Press, 1990).</w:t>
      </w:r>
    </w:p>
    <w:p w:rsidR="00000000" w:rsidDel="00000000" w:rsidP="00000000" w:rsidRDefault="00000000" w:rsidRPr="00000000" w14:paraId="0000003F">
      <w:pPr>
        <w:spacing w:line="360" w:lineRule="auto"/>
        <w:rPr>
          <w:rFonts w:ascii="Times New Roman" w:cs="Times New Roman" w:eastAsia="Times New Roman" w:hAnsi="Times New Roman"/>
          <w:sz w:val="29"/>
          <w:szCs w:val="29"/>
          <w:highlight w:val="white"/>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9"/>
          <w:szCs w:val="29"/>
          <w:highlight w:val="white"/>
        </w:rPr>
      </w:pPr>
      <w:r w:rsidDel="00000000" w:rsidR="00000000" w:rsidRPr="00000000">
        <w:rPr>
          <w:rFonts w:ascii="Times New Roman" w:cs="Times New Roman" w:eastAsia="Times New Roman" w:hAnsi="Times New Roman"/>
          <w:sz w:val="29"/>
          <w:szCs w:val="29"/>
          <w:highlight w:val="white"/>
          <w:rtl w:val="0"/>
        </w:rPr>
        <w:t xml:space="preserve">Chris Baldick, </w:t>
      </w:r>
      <w:r w:rsidDel="00000000" w:rsidR="00000000" w:rsidRPr="00000000">
        <w:rPr>
          <w:rFonts w:ascii="Times New Roman" w:cs="Times New Roman" w:eastAsia="Times New Roman" w:hAnsi="Times New Roman"/>
          <w:i w:val="1"/>
          <w:sz w:val="29"/>
          <w:szCs w:val="29"/>
          <w:highlight w:val="white"/>
          <w:rtl w:val="0"/>
        </w:rPr>
        <w:t xml:space="preserve">Oxford Dictionary of Literary Terms</w:t>
      </w:r>
      <w:r w:rsidDel="00000000" w:rsidR="00000000" w:rsidRPr="00000000">
        <w:rPr>
          <w:rFonts w:ascii="Times New Roman" w:cs="Times New Roman" w:eastAsia="Times New Roman" w:hAnsi="Times New Roman"/>
          <w:sz w:val="29"/>
          <w:szCs w:val="29"/>
          <w:highlight w:val="white"/>
          <w:rtl w:val="0"/>
        </w:rPr>
        <w:t xml:space="preserve">, 4th edn (Oxford: Oxford University Press, 2015), p. Sect. D p1.</w:t>
      </w:r>
    </w:p>
    <w:p w:rsidR="00000000" w:rsidDel="00000000" w:rsidP="00000000" w:rsidRDefault="00000000" w:rsidRPr="00000000" w14:paraId="00000041">
      <w:pPr>
        <w:spacing w:line="360" w:lineRule="auto"/>
        <w:rPr>
          <w:rFonts w:ascii="Times New Roman" w:cs="Times New Roman" w:eastAsia="Times New Roman" w:hAnsi="Times New Roman"/>
          <w:sz w:val="29"/>
          <w:szCs w:val="29"/>
          <w:highlight w:val="white"/>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9"/>
          <w:szCs w:val="29"/>
          <w:highlight w:val="white"/>
        </w:rPr>
      </w:pPr>
      <w:r w:rsidDel="00000000" w:rsidR="00000000" w:rsidRPr="00000000">
        <w:rPr>
          <w:rFonts w:ascii="Times New Roman" w:cs="Times New Roman" w:eastAsia="Times New Roman" w:hAnsi="Times New Roman"/>
          <w:sz w:val="29"/>
          <w:szCs w:val="29"/>
          <w:highlight w:val="white"/>
          <w:rtl w:val="0"/>
        </w:rPr>
        <w:t xml:space="preserve">Chinua Achebe, </w:t>
      </w:r>
      <w:r w:rsidDel="00000000" w:rsidR="00000000" w:rsidRPr="00000000">
        <w:rPr>
          <w:rFonts w:ascii="Times New Roman" w:cs="Times New Roman" w:eastAsia="Times New Roman" w:hAnsi="Times New Roman"/>
          <w:i w:val="1"/>
          <w:sz w:val="29"/>
          <w:szCs w:val="29"/>
          <w:highlight w:val="white"/>
          <w:rtl w:val="0"/>
        </w:rPr>
        <w:t xml:space="preserve">Things fall apart</w:t>
      </w:r>
      <w:r w:rsidDel="00000000" w:rsidR="00000000" w:rsidRPr="00000000">
        <w:rPr>
          <w:rFonts w:ascii="Times New Roman" w:cs="Times New Roman" w:eastAsia="Times New Roman" w:hAnsi="Times New Roman"/>
          <w:sz w:val="29"/>
          <w:szCs w:val="29"/>
          <w:highlight w:val="white"/>
          <w:rtl w:val="0"/>
        </w:rPr>
        <w:t xml:space="preserve">, Penguin Classics edn. (London: Penguin, 2001), p. Location 1162 in , &lt;Amazon.co.uk&gt; [accessed 29 December 2018].</w:t>
      </w:r>
    </w:p>
    <w:p w:rsidR="00000000" w:rsidDel="00000000" w:rsidP="00000000" w:rsidRDefault="00000000" w:rsidRPr="00000000" w14:paraId="00000043">
      <w:pPr>
        <w:spacing w:line="360" w:lineRule="auto"/>
        <w:rPr>
          <w:rFonts w:ascii="Times New Roman" w:cs="Times New Roman" w:eastAsia="Times New Roman" w:hAnsi="Times New Roman"/>
          <w:sz w:val="29"/>
          <w:szCs w:val="29"/>
          <w:highlight w:val="white"/>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sz w:val="29"/>
          <w:szCs w:val="29"/>
          <w:highlight w:val="white"/>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sz w:val="29"/>
          <w:szCs w:val="29"/>
          <w:highlight w:val="white"/>
        </w:rPr>
      </w:pPr>
      <w:r w:rsidDel="00000000" w:rsidR="00000000" w:rsidRPr="00000000">
        <w:rPr>
          <w:rtl w:val="0"/>
        </w:rPr>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b w:val="1"/>
          <w:u w:val="singl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Things fall apart kindle edition, location 1162</w:t>
      </w:r>
    </w:p>
  </w:footnote>
  <w:footnote w:id="1">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Things fall apart kindle edition, location 1162</w:t>
      </w:r>
    </w:p>
  </w:footnote>
  <w:footnote w:id="2">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Oxford Dictionary of Literary Terms, Page One, Section D</w:t>
      </w:r>
    </w:p>
  </w:footnote>
  <w:footnote w:id="3">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Lesson handout on Metaphor, 11 January 2019, P3, Section 6</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