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085DF" w14:textId="77777777" w:rsidR="000C2463" w:rsidRDefault="00000000">
      <w:pPr>
        <w:spacing w:before="200" w:line="360" w:lineRule="auto"/>
        <w:jc w:val="center"/>
        <w:rPr>
          <w:rFonts w:ascii="Times New Roman" w:eastAsia="Times New Roman" w:hAnsi="Times New Roman" w:cs="Times New Roman"/>
          <w:b/>
          <w:bCs/>
          <w:sz w:val="24"/>
          <w:szCs w:val="24"/>
        </w:rPr>
      </w:pPr>
      <w:r>
        <w:rPr>
          <w:noProof/>
        </w:rPr>
        <w:drawing>
          <wp:anchor distT="0" distB="0" distL="114300" distR="114300" simplePos="0" relativeHeight="251658240" behindDoc="0" locked="0" layoutInCell="1" hidden="0" allowOverlap="1" wp14:anchorId="5520CD98" wp14:editId="667C34BB">
            <wp:simplePos x="0" y="0"/>
            <wp:positionH relativeFrom="column">
              <wp:posOffset>1543050</wp:posOffset>
            </wp:positionH>
            <wp:positionV relativeFrom="paragraph">
              <wp:posOffset>0</wp:posOffset>
            </wp:positionV>
            <wp:extent cx="2357438" cy="942975"/>
            <wp:effectExtent l="0" t="0" r="0" b="0"/>
            <wp:wrapSquare wrapText="bothSides" distT="0" distB="0" distL="114300" distR="114300"/>
            <wp:docPr id="6"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2357438" cy="942975"/>
                    </a:xfrm>
                    <a:prstGeom prst="rect">
                      <a:avLst/>
                    </a:prstGeom>
                    <a:ln/>
                  </pic:spPr>
                </pic:pic>
              </a:graphicData>
            </a:graphic>
          </wp:anchor>
        </w:drawing>
      </w:r>
    </w:p>
    <w:p w14:paraId="3FCCA776" w14:textId="77777777" w:rsidR="000C2463" w:rsidRDefault="000C2463">
      <w:pPr>
        <w:spacing w:before="200" w:line="360" w:lineRule="auto"/>
        <w:jc w:val="center"/>
        <w:rPr>
          <w:rFonts w:ascii="Times New Roman" w:eastAsia="Times New Roman" w:hAnsi="Times New Roman" w:cs="Times New Roman"/>
          <w:b/>
          <w:bCs/>
          <w:sz w:val="24"/>
          <w:szCs w:val="24"/>
        </w:rPr>
      </w:pPr>
    </w:p>
    <w:p w14:paraId="29411F7A" w14:textId="77777777" w:rsidR="000C2463" w:rsidRDefault="000C2463">
      <w:pPr>
        <w:spacing w:before="200" w:line="360" w:lineRule="auto"/>
        <w:jc w:val="center"/>
        <w:rPr>
          <w:rFonts w:ascii="Times New Roman" w:eastAsia="Times New Roman" w:hAnsi="Times New Roman" w:cs="Times New Roman"/>
          <w:b/>
          <w:bCs/>
          <w:sz w:val="24"/>
          <w:szCs w:val="24"/>
        </w:rPr>
      </w:pPr>
    </w:p>
    <w:p w14:paraId="42615B58" w14:textId="77777777" w:rsidR="000C2463" w:rsidRDefault="000C2463">
      <w:pPr>
        <w:spacing w:before="200" w:line="360" w:lineRule="auto"/>
        <w:jc w:val="center"/>
        <w:rPr>
          <w:rFonts w:ascii="Times New Roman" w:eastAsia="Times New Roman" w:hAnsi="Times New Roman" w:cs="Times New Roman"/>
          <w:b/>
          <w:bCs/>
          <w:sz w:val="32"/>
          <w:szCs w:val="32"/>
        </w:rPr>
      </w:pPr>
    </w:p>
    <w:p w14:paraId="2BFA1882" w14:textId="77777777" w:rsidR="000C2463" w:rsidRDefault="000C2463">
      <w:pPr>
        <w:spacing w:before="200" w:line="360" w:lineRule="auto"/>
        <w:jc w:val="center"/>
        <w:rPr>
          <w:rFonts w:ascii="Times New Roman" w:eastAsia="Times New Roman" w:hAnsi="Times New Roman" w:cs="Times New Roman"/>
          <w:b/>
          <w:bCs/>
          <w:sz w:val="32"/>
          <w:szCs w:val="32"/>
        </w:rPr>
      </w:pPr>
    </w:p>
    <w:p w14:paraId="348B0F64"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MASTER OF BUSINESS ADMINISTRATION</w:t>
      </w:r>
    </w:p>
    <w:p w14:paraId="55DA32D6"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HUMAN CAPITAL MANAGEMENT</w:t>
      </w:r>
    </w:p>
    <w:p w14:paraId="2EDD2ED5"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LCMB7023</w:t>
      </w:r>
    </w:p>
    <w:p w14:paraId="765A7B37"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NUMBER: </w:t>
      </w:r>
    </w:p>
    <w:p w14:paraId="0835E505"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w:t>
      </w:r>
    </w:p>
    <w:p w14:paraId="169FA3FF" w14:textId="77777777" w:rsidR="000C2463" w:rsidRDefault="00000000">
      <w:pPr>
        <w:spacing w:before="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GLADIUS KULOTHUNGAN (LONDON) ENO MAYCOCK (BIRMINGHAM)</w:t>
      </w:r>
    </w:p>
    <w:p w14:paraId="05632370" w14:textId="77777777" w:rsidR="000C2463" w:rsidRDefault="00000000">
      <w:pPr>
        <w:rPr>
          <w:rFonts w:ascii="Times New Roman" w:eastAsia="Times New Roman" w:hAnsi="Times New Roman" w:cs="Times New Roman"/>
          <w:b/>
          <w:bCs/>
          <w:sz w:val="32"/>
          <w:szCs w:val="32"/>
        </w:rPr>
      </w:pPr>
      <w:r>
        <w:br w:type="page"/>
      </w:r>
    </w:p>
    <w:p w14:paraId="47534333" w14:textId="77777777" w:rsidR="000C2463"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sdt>
      <w:sdtPr>
        <w:id w:val="-997367609"/>
        <w:docPartObj>
          <w:docPartGallery w:val="Table of Contents"/>
          <w:docPartUnique/>
        </w:docPartObj>
      </w:sdtPr>
      <w:sdtContent>
        <w:p w14:paraId="6045C841" w14:textId="77777777" w:rsidR="000C2463" w:rsidRDefault="00000000">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jun9ywd7wwpw">
            <w:r>
              <w:rPr>
                <w:rFonts w:ascii="Times New Roman" w:eastAsia="Times New Roman" w:hAnsi="Times New Roman" w:cs="Times New Roman"/>
                <w:color w:val="000000"/>
                <w:sz w:val="24"/>
                <w:szCs w:val="24"/>
              </w:rPr>
              <w:t>TASK A: Designing Innovative Working Practices</w:t>
            </w:r>
            <w:r>
              <w:rPr>
                <w:rFonts w:ascii="Times New Roman" w:eastAsia="Times New Roman" w:hAnsi="Times New Roman" w:cs="Times New Roman"/>
                <w:color w:val="000000"/>
                <w:sz w:val="24"/>
                <w:szCs w:val="24"/>
              </w:rPr>
              <w:tab/>
              <w:t>3</w:t>
            </w:r>
          </w:hyperlink>
        </w:p>
        <w:p w14:paraId="70203F73"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2f55spilvdee">
            <w:r>
              <w:rPr>
                <w:rFonts w:ascii="Times New Roman" w:eastAsia="Times New Roman" w:hAnsi="Times New Roman" w:cs="Times New Roman"/>
                <w:color w:val="000000"/>
                <w:sz w:val="24"/>
                <w:szCs w:val="24"/>
              </w:rPr>
              <w:t>1.1 Theoretical Evaluation: Traditional vs. Contemporary Work Design</w:t>
            </w:r>
            <w:r>
              <w:rPr>
                <w:rFonts w:ascii="Times New Roman" w:eastAsia="Times New Roman" w:hAnsi="Times New Roman" w:cs="Times New Roman"/>
                <w:color w:val="000000"/>
                <w:sz w:val="24"/>
                <w:szCs w:val="24"/>
              </w:rPr>
              <w:tab/>
              <w:t>3</w:t>
            </w:r>
          </w:hyperlink>
        </w:p>
        <w:p w14:paraId="202F16D1"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sg0wuqlohjxw">
            <w:r>
              <w:rPr>
                <w:rFonts w:ascii="Times New Roman" w:eastAsia="Times New Roman" w:hAnsi="Times New Roman" w:cs="Times New Roman"/>
                <w:color w:val="000000"/>
                <w:sz w:val="24"/>
                <w:szCs w:val="24"/>
              </w:rPr>
              <w:t>1.1.1 Limitations of Traditional Hierarchical Work Models</w:t>
            </w:r>
            <w:r>
              <w:rPr>
                <w:rFonts w:ascii="Times New Roman" w:eastAsia="Times New Roman" w:hAnsi="Times New Roman" w:cs="Times New Roman"/>
                <w:color w:val="000000"/>
                <w:sz w:val="24"/>
                <w:szCs w:val="24"/>
              </w:rPr>
              <w:tab/>
              <w:t>3</w:t>
            </w:r>
          </w:hyperlink>
        </w:p>
        <w:p w14:paraId="498B031A"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imwwx5t8im7p">
            <w:r>
              <w:rPr>
                <w:rFonts w:ascii="Times New Roman" w:eastAsia="Times New Roman" w:hAnsi="Times New Roman" w:cs="Times New Roman"/>
                <w:color w:val="000000"/>
                <w:sz w:val="24"/>
                <w:szCs w:val="24"/>
              </w:rPr>
              <w:t>1.1.2 High-Performance Work Systems (HPWS) &amp; High-Involvement Work Systems (HIWS)</w:t>
            </w:r>
            <w:r>
              <w:rPr>
                <w:rFonts w:ascii="Times New Roman" w:eastAsia="Times New Roman" w:hAnsi="Times New Roman" w:cs="Times New Roman"/>
                <w:color w:val="000000"/>
                <w:sz w:val="24"/>
                <w:szCs w:val="24"/>
              </w:rPr>
              <w:tab/>
              <w:t>4</w:t>
            </w:r>
          </w:hyperlink>
        </w:p>
        <w:p w14:paraId="7502D89B"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nsl8l765y1ea">
            <w:r>
              <w:rPr>
                <w:rFonts w:ascii="Times New Roman" w:eastAsia="Times New Roman" w:hAnsi="Times New Roman" w:cs="Times New Roman"/>
                <w:color w:val="000000"/>
                <w:sz w:val="24"/>
                <w:szCs w:val="24"/>
              </w:rPr>
              <w:t>1.1.3 Sociotechnical Systems Theory &amp; Hybrid/Flexible Models</w:t>
            </w:r>
            <w:r>
              <w:rPr>
                <w:rFonts w:ascii="Times New Roman" w:eastAsia="Times New Roman" w:hAnsi="Times New Roman" w:cs="Times New Roman"/>
                <w:color w:val="000000"/>
                <w:sz w:val="24"/>
                <w:szCs w:val="24"/>
              </w:rPr>
              <w:tab/>
              <w:t>4</w:t>
            </w:r>
          </w:hyperlink>
        </w:p>
        <w:p w14:paraId="093C9C30"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fmcjuok976cz">
            <w:r>
              <w:rPr>
                <w:rFonts w:ascii="Times New Roman" w:eastAsia="Times New Roman" w:hAnsi="Times New Roman" w:cs="Times New Roman"/>
                <w:color w:val="000000"/>
                <w:sz w:val="24"/>
                <w:szCs w:val="24"/>
              </w:rPr>
              <w:t>1.2 Strategic Recommendations for NexSpace Health Systems</w:t>
            </w:r>
            <w:r>
              <w:rPr>
                <w:rFonts w:ascii="Times New Roman" w:eastAsia="Times New Roman" w:hAnsi="Times New Roman" w:cs="Times New Roman"/>
                <w:color w:val="000000"/>
                <w:sz w:val="24"/>
                <w:szCs w:val="24"/>
              </w:rPr>
              <w:tab/>
              <w:t>5</w:t>
            </w:r>
          </w:hyperlink>
        </w:p>
        <w:p w14:paraId="754083DF"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8euvt9au74xy">
            <w:r>
              <w:rPr>
                <w:rFonts w:ascii="Times New Roman" w:eastAsia="Times New Roman" w:hAnsi="Times New Roman" w:cs="Times New Roman"/>
                <w:color w:val="000000"/>
                <w:sz w:val="24"/>
                <w:szCs w:val="24"/>
              </w:rPr>
              <w:t>1.2.1 Agile Project Teams &amp; Employee Autonomy</w:t>
            </w:r>
            <w:r>
              <w:rPr>
                <w:rFonts w:ascii="Times New Roman" w:eastAsia="Times New Roman" w:hAnsi="Times New Roman" w:cs="Times New Roman"/>
                <w:color w:val="000000"/>
                <w:sz w:val="24"/>
                <w:szCs w:val="24"/>
              </w:rPr>
              <w:tab/>
              <w:t>5</w:t>
            </w:r>
          </w:hyperlink>
        </w:p>
        <w:p w14:paraId="4710092F"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d9u3iu3km3h4">
            <w:r>
              <w:rPr>
                <w:rFonts w:ascii="Times New Roman" w:eastAsia="Times New Roman" w:hAnsi="Times New Roman" w:cs="Times New Roman"/>
                <w:color w:val="000000"/>
                <w:sz w:val="24"/>
                <w:szCs w:val="24"/>
              </w:rPr>
              <w:t>1.2.2 Redesigning Hybrid &amp; Flexible Working Frameworks</w:t>
            </w:r>
            <w:r>
              <w:rPr>
                <w:rFonts w:ascii="Times New Roman" w:eastAsia="Times New Roman" w:hAnsi="Times New Roman" w:cs="Times New Roman"/>
                <w:color w:val="000000"/>
                <w:sz w:val="24"/>
                <w:szCs w:val="24"/>
              </w:rPr>
              <w:tab/>
              <w:t>6</w:t>
            </w:r>
          </w:hyperlink>
        </w:p>
        <w:p w14:paraId="4D3D1DA0"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t1pci8cca89r">
            <w:r>
              <w:rPr>
                <w:rFonts w:ascii="Times New Roman" w:eastAsia="Times New Roman" w:hAnsi="Times New Roman" w:cs="Times New Roman"/>
                <w:color w:val="000000"/>
                <w:sz w:val="24"/>
                <w:szCs w:val="24"/>
              </w:rPr>
              <w:t>1.2.3 Digital Collaboration Infrastructure</w:t>
            </w:r>
            <w:r>
              <w:rPr>
                <w:rFonts w:ascii="Times New Roman" w:eastAsia="Times New Roman" w:hAnsi="Times New Roman" w:cs="Times New Roman"/>
                <w:color w:val="000000"/>
                <w:sz w:val="24"/>
                <w:szCs w:val="24"/>
              </w:rPr>
              <w:tab/>
              <w:t>6</w:t>
            </w:r>
          </w:hyperlink>
        </w:p>
        <w:p w14:paraId="3CA65CE4"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5bfciw568zdv">
            <w:r>
              <w:rPr>
                <w:rFonts w:ascii="Times New Roman" w:eastAsia="Times New Roman" w:hAnsi="Times New Roman" w:cs="Times New Roman"/>
                <w:color w:val="000000"/>
                <w:sz w:val="24"/>
                <w:szCs w:val="24"/>
              </w:rPr>
              <w:t>1.3 Performance Justification &amp; Strategic Alignment</w:t>
            </w:r>
            <w:r>
              <w:rPr>
                <w:rFonts w:ascii="Times New Roman" w:eastAsia="Times New Roman" w:hAnsi="Times New Roman" w:cs="Times New Roman"/>
                <w:color w:val="000000"/>
                <w:sz w:val="24"/>
                <w:szCs w:val="24"/>
              </w:rPr>
              <w:tab/>
              <w:t>6</w:t>
            </w:r>
          </w:hyperlink>
        </w:p>
        <w:p w14:paraId="55466188" w14:textId="77777777" w:rsidR="000C2463" w:rsidRDefault="00000000">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wbxcpn31b0u3">
            <w:r>
              <w:rPr>
                <w:rFonts w:ascii="Times New Roman" w:eastAsia="Times New Roman" w:hAnsi="Times New Roman" w:cs="Times New Roman"/>
                <w:color w:val="000000"/>
                <w:sz w:val="24"/>
                <w:szCs w:val="24"/>
              </w:rPr>
              <w:t>TASK B: Breeding an Environment Where Talent May Grow</w:t>
            </w:r>
            <w:r>
              <w:rPr>
                <w:rFonts w:ascii="Times New Roman" w:eastAsia="Times New Roman" w:hAnsi="Times New Roman" w:cs="Times New Roman"/>
                <w:color w:val="000000"/>
                <w:sz w:val="24"/>
                <w:szCs w:val="24"/>
              </w:rPr>
              <w:tab/>
              <w:t>7</w:t>
            </w:r>
          </w:hyperlink>
        </w:p>
        <w:p w14:paraId="08187BEC"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g1eh0cn5jwrb">
            <w:r>
              <w:rPr>
                <w:rFonts w:ascii="Times New Roman" w:eastAsia="Times New Roman" w:hAnsi="Times New Roman" w:cs="Times New Roman"/>
                <w:color w:val="000000"/>
                <w:sz w:val="24"/>
                <w:szCs w:val="24"/>
              </w:rPr>
              <w:t>2.1 Theoretical Frameworks for Talent Flourishing</w:t>
            </w:r>
            <w:r>
              <w:rPr>
                <w:rFonts w:ascii="Times New Roman" w:eastAsia="Times New Roman" w:hAnsi="Times New Roman" w:cs="Times New Roman"/>
                <w:color w:val="000000"/>
                <w:sz w:val="24"/>
                <w:szCs w:val="24"/>
              </w:rPr>
              <w:tab/>
              <w:t>7</w:t>
            </w:r>
          </w:hyperlink>
        </w:p>
        <w:p w14:paraId="2E56B439"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chwubsig5xhk">
            <w:r>
              <w:rPr>
                <w:rFonts w:ascii="Times New Roman" w:eastAsia="Times New Roman" w:hAnsi="Times New Roman" w:cs="Times New Roman"/>
                <w:color w:val="000000"/>
                <w:sz w:val="24"/>
                <w:szCs w:val="24"/>
              </w:rPr>
              <w:t>2.1.1 Senge’s Learning Organisation &amp; Dweck’s Growth Mindset</w:t>
            </w:r>
            <w:r>
              <w:rPr>
                <w:rFonts w:ascii="Times New Roman" w:eastAsia="Times New Roman" w:hAnsi="Times New Roman" w:cs="Times New Roman"/>
                <w:color w:val="000000"/>
                <w:sz w:val="24"/>
                <w:szCs w:val="24"/>
              </w:rPr>
              <w:tab/>
              <w:t>7</w:t>
            </w:r>
          </w:hyperlink>
        </w:p>
        <w:p w14:paraId="4F4CBDFB"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g51y5xikf9aw">
            <w:r>
              <w:rPr>
                <w:rFonts w:ascii="Times New Roman" w:eastAsia="Times New Roman" w:hAnsi="Times New Roman" w:cs="Times New Roman"/>
                <w:color w:val="000000"/>
                <w:sz w:val="24"/>
                <w:szCs w:val="24"/>
              </w:rPr>
              <w:t>2.1.2 Edmondson’s Psychological Safety &amp; Self-Determination Theory (SDT)</w:t>
            </w:r>
            <w:r>
              <w:rPr>
                <w:rFonts w:ascii="Times New Roman" w:eastAsia="Times New Roman" w:hAnsi="Times New Roman" w:cs="Times New Roman"/>
                <w:color w:val="000000"/>
                <w:sz w:val="24"/>
                <w:szCs w:val="24"/>
              </w:rPr>
              <w:tab/>
              <w:t>8</w:t>
            </w:r>
          </w:hyperlink>
        </w:p>
        <w:p w14:paraId="4E2126C4"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ual03hbblp4a">
            <w:r>
              <w:rPr>
                <w:rFonts w:ascii="Times New Roman" w:eastAsia="Times New Roman" w:hAnsi="Times New Roman" w:cs="Times New Roman"/>
                <w:color w:val="000000"/>
                <w:sz w:val="24"/>
                <w:szCs w:val="24"/>
              </w:rPr>
              <w:t>2.1.3 Job Crafting &amp; Employee Experience (EX) Models</w:t>
            </w:r>
            <w:r>
              <w:rPr>
                <w:rFonts w:ascii="Times New Roman" w:eastAsia="Times New Roman" w:hAnsi="Times New Roman" w:cs="Times New Roman"/>
                <w:color w:val="000000"/>
                <w:sz w:val="24"/>
                <w:szCs w:val="24"/>
              </w:rPr>
              <w:tab/>
              <w:t>9</w:t>
            </w:r>
          </w:hyperlink>
        </w:p>
        <w:p w14:paraId="68D90C36"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dc0zoknyfsvk">
            <w:r>
              <w:rPr>
                <w:rFonts w:ascii="Times New Roman" w:eastAsia="Times New Roman" w:hAnsi="Times New Roman" w:cs="Times New Roman"/>
                <w:color w:val="000000"/>
                <w:sz w:val="24"/>
                <w:szCs w:val="24"/>
              </w:rPr>
              <w:t>2.2 Integrated Talent Growth Strategy for NHSX</w:t>
            </w:r>
            <w:r>
              <w:rPr>
                <w:rFonts w:ascii="Times New Roman" w:eastAsia="Times New Roman" w:hAnsi="Times New Roman" w:cs="Times New Roman"/>
                <w:color w:val="000000"/>
                <w:sz w:val="24"/>
                <w:szCs w:val="24"/>
              </w:rPr>
              <w:tab/>
              <w:t>10</w:t>
            </w:r>
          </w:hyperlink>
        </w:p>
        <w:p w14:paraId="69B659BE"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oj4tw2vl4g2g">
            <w:r>
              <w:rPr>
                <w:rFonts w:ascii="Times New Roman" w:eastAsia="Times New Roman" w:hAnsi="Times New Roman" w:cs="Times New Roman"/>
                <w:color w:val="000000"/>
                <w:sz w:val="24"/>
                <w:szCs w:val="24"/>
              </w:rPr>
              <w:t>2.2.1 Continuous Learning &amp; AI Capability Ecosystem</w:t>
            </w:r>
            <w:r>
              <w:rPr>
                <w:rFonts w:ascii="Times New Roman" w:eastAsia="Times New Roman" w:hAnsi="Times New Roman" w:cs="Times New Roman"/>
                <w:color w:val="000000"/>
                <w:sz w:val="24"/>
                <w:szCs w:val="24"/>
              </w:rPr>
              <w:tab/>
              <w:t>10</w:t>
            </w:r>
          </w:hyperlink>
        </w:p>
        <w:p w14:paraId="139DBDF8"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ezzeyrteqhv9">
            <w:r>
              <w:rPr>
                <w:rFonts w:ascii="Times New Roman" w:eastAsia="Times New Roman" w:hAnsi="Times New Roman" w:cs="Times New Roman"/>
                <w:color w:val="000000"/>
                <w:sz w:val="24"/>
                <w:szCs w:val="24"/>
              </w:rPr>
              <w:t>2.2.2 Fostering Psychological Safety &amp; Wellbeing</w:t>
            </w:r>
            <w:r>
              <w:rPr>
                <w:rFonts w:ascii="Times New Roman" w:eastAsia="Times New Roman" w:hAnsi="Times New Roman" w:cs="Times New Roman"/>
                <w:color w:val="000000"/>
                <w:sz w:val="24"/>
                <w:szCs w:val="24"/>
              </w:rPr>
              <w:tab/>
              <w:t>10</w:t>
            </w:r>
          </w:hyperlink>
        </w:p>
        <w:p w14:paraId="258D94CF"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566zjnajfjlf">
            <w:r>
              <w:rPr>
                <w:rFonts w:ascii="Times New Roman" w:eastAsia="Times New Roman" w:hAnsi="Times New Roman" w:cs="Times New Roman"/>
                <w:color w:val="000000"/>
                <w:sz w:val="24"/>
                <w:szCs w:val="24"/>
              </w:rPr>
              <w:t>2.2.3 Global Knowledge-Sharing &amp; Career Pathway Networks</w:t>
            </w:r>
            <w:r>
              <w:rPr>
                <w:rFonts w:ascii="Times New Roman" w:eastAsia="Times New Roman" w:hAnsi="Times New Roman" w:cs="Times New Roman"/>
                <w:color w:val="000000"/>
                <w:sz w:val="24"/>
                <w:szCs w:val="24"/>
              </w:rPr>
              <w:tab/>
              <w:t>11</w:t>
            </w:r>
          </w:hyperlink>
        </w:p>
        <w:p w14:paraId="43928824"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upgfifbetcsh">
            <w:r>
              <w:rPr>
                <w:rFonts w:ascii="Times New Roman" w:eastAsia="Times New Roman" w:hAnsi="Times New Roman" w:cs="Times New Roman"/>
                <w:color w:val="000000"/>
                <w:sz w:val="24"/>
                <w:szCs w:val="24"/>
              </w:rPr>
              <w:t>2.3 Evaluation &amp; Long-Term Talent Retention</w:t>
            </w:r>
            <w:r>
              <w:rPr>
                <w:rFonts w:ascii="Times New Roman" w:eastAsia="Times New Roman" w:hAnsi="Times New Roman" w:cs="Times New Roman"/>
                <w:color w:val="000000"/>
                <w:sz w:val="24"/>
                <w:szCs w:val="24"/>
              </w:rPr>
              <w:tab/>
              <w:t>11</w:t>
            </w:r>
          </w:hyperlink>
        </w:p>
        <w:p w14:paraId="677D96BB" w14:textId="77777777" w:rsidR="000C2463" w:rsidRDefault="00000000">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7kgbmseccawb">
            <w:r>
              <w:rPr>
                <w:rFonts w:ascii="Times New Roman" w:eastAsia="Times New Roman" w:hAnsi="Times New Roman" w:cs="Times New Roman"/>
                <w:color w:val="000000"/>
                <w:sz w:val="24"/>
                <w:szCs w:val="24"/>
              </w:rPr>
              <w:t>TASK C: Reflective Report</w:t>
            </w:r>
            <w:r>
              <w:rPr>
                <w:rFonts w:ascii="Times New Roman" w:eastAsia="Times New Roman" w:hAnsi="Times New Roman" w:cs="Times New Roman"/>
                <w:color w:val="000000"/>
                <w:sz w:val="24"/>
                <w:szCs w:val="24"/>
              </w:rPr>
              <w:tab/>
              <w:t>12</w:t>
            </w:r>
          </w:hyperlink>
        </w:p>
        <w:p w14:paraId="580C72FA"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ud9nggj0iabe">
            <w:r>
              <w:rPr>
                <w:rFonts w:ascii="Times New Roman" w:eastAsia="Times New Roman" w:hAnsi="Times New Roman" w:cs="Times New Roman"/>
                <w:color w:val="000000"/>
                <w:sz w:val="24"/>
                <w:szCs w:val="24"/>
              </w:rPr>
              <w:t>3.1 AI as a Strategic Decision-Support Tool in HRM</w:t>
            </w:r>
            <w:r>
              <w:rPr>
                <w:rFonts w:ascii="Times New Roman" w:eastAsia="Times New Roman" w:hAnsi="Times New Roman" w:cs="Times New Roman"/>
                <w:color w:val="000000"/>
                <w:sz w:val="24"/>
                <w:szCs w:val="24"/>
              </w:rPr>
              <w:tab/>
              <w:t>12</w:t>
            </w:r>
          </w:hyperlink>
        </w:p>
        <w:p w14:paraId="70A3C200"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83okhllc9tom">
            <w:r>
              <w:rPr>
                <w:rFonts w:ascii="Times New Roman" w:eastAsia="Times New Roman" w:hAnsi="Times New Roman" w:cs="Times New Roman"/>
                <w:color w:val="000000"/>
                <w:sz w:val="24"/>
                <w:szCs w:val="24"/>
              </w:rPr>
              <w:t>3.2 Reflective Analysis on AI Tool Usage</w:t>
            </w:r>
            <w:r>
              <w:rPr>
                <w:rFonts w:ascii="Times New Roman" w:eastAsia="Times New Roman" w:hAnsi="Times New Roman" w:cs="Times New Roman"/>
                <w:color w:val="000000"/>
                <w:sz w:val="24"/>
                <w:szCs w:val="24"/>
              </w:rPr>
              <w:tab/>
              <w:t>12</w:t>
            </w:r>
          </w:hyperlink>
        </w:p>
        <w:p w14:paraId="55566A64"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6qnq4uxjqlu4">
            <w:r>
              <w:rPr>
                <w:rFonts w:ascii="Times New Roman" w:eastAsia="Times New Roman" w:hAnsi="Times New Roman" w:cs="Times New Roman"/>
                <w:color w:val="000000"/>
                <w:sz w:val="24"/>
                <w:szCs w:val="24"/>
              </w:rPr>
              <w:t>3.2.1 Example 1: Research &amp; Synthesis</w:t>
            </w:r>
            <w:r>
              <w:rPr>
                <w:rFonts w:ascii="Times New Roman" w:eastAsia="Times New Roman" w:hAnsi="Times New Roman" w:cs="Times New Roman"/>
                <w:color w:val="000000"/>
                <w:sz w:val="24"/>
                <w:szCs w:val="24"/>
              </w:rPr>
              <w:tab/>
              <w:t>12</w:t>
            </w:r>
          </w:hyperlink>
        </w:p>
        <w:p w14:paraId="6F3C69D9"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asy1bbmauynm">
            <w:r>
              <w:rPr>
                <w:rFonts w:ascii="Times New Roman" w:eastAsia="Times New Roman" w:hAnsi="Times New Roman" w:cs="Times New Roman"/>
                <w:color w:val="000000"/>
                <w:sz w:val="24"/>
                <w:szCs w:val="24"/>
              </w:rPr>
              <w:t>3.2.2 Structure &amp; Idea Generation (Report Formatting)</w:t>
            </w:r>
            <w:r>
              <w:rPr>
                <w:rFonts w:ascii="Times New Roman" w:eastAsia="Times New Roman" w:hAnsi="Times New Roman" w:cs="Times New Roman"/>
                <w:color w:val="000000"/>
                <w:sz w:val="24"/>
                <w:szCs w:val="24"/>
              </w:rPr>
              <w:tab/>
              <w:t>13</w:t>
            </w:r>
          </w:hyperlink>
        </w:p>
        <w:p w14:paraId="7BB59CC5" w14:textId="77777777" w:rsidR="000C2463" w:rsidRDefault="00000000">
          <w:pPr>
            <w:pBdr>
              <w:top w:val="nil"/>
              <w:left w:val="nil"/>
              <w:bottom w:val="nil"/>
              <w:right w:val="nil"/>
              <w:between w:val="nil"/>
            </w:pBdr>
            <w:tabs>
              <w:tab w:val="right" w:leader="dot" w:pos="9016"/>
            </w:tabs>
            <w:spacing w:after="100" w:line="360" w:lineRule="auto"/>
            <w:ind w:left="440"/>
            <w:jc w:val="both"/>
            <w:rPr>
              <w:rFonts w:ascii="Times New Roman" w:eastAsia="Times New Roman" w:hAnsi="Times New Roman" w:cs="Times New Roman"/>
              <w:color w:val="000000"/>
              <w:sz w:val="24"/>
              <w:szCs w:val="24"/>
            </w:rPr>
          </w:pPr>
          <w:hyperlink w:anchor="_heading=h.ejrivcszrpwx">
            <w:r>
              <w:rPr>
                <w:rFonts w:ascii="Times New Roman" w:eastAsia="Times New Roman" w:hAnsi="Times New Roman" w:cs="Times New Roman"/>
                <w:color w:val="000000"/>
                <w:sz w:val="24"/>
                <w:szCs w:val="24"/>
              </w:rPr>
              <w:t>3.2.3 Drafting &amp; Refinement Challenge (Contextual Alignment)</w:t>
            </w:r>
            <w:r>
              <w:rPr>
                <w:rFonts w:ascii="Times New Roman" w:eastAsia="Times New Roman" w:hAnsi="Times New Roman" w:cs="Times New Roman"/>
                <w:color w:val="000000"/>
                <w:sz w:val="24"/>
                <w:szCs w:val="24"/>
              </w:rPr>
              <w:tab/>
              <w:t>13</w:t>
            </w:r>
          </w:hyperlink>
        </w:p>
        <w:p w14:paraId="014C23FC" w14:textId="77777777" w:rsidR="000C2463" w:rsidRDefault="00000000">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w6o085r30yqi">
            <w:r>
              <w:rPr>
                <w:rFonts w:ascii="Times New Roman" w:eastAsia="Times New Roman" w:hAnsi="Times New Roman" w:cs="Times New Roman"/>
                <w:color w:val="000000"/>
                <w:sz w:val="24"/>
                <w:szCs w:val="24"/>
              </w:rPr>
              <w:t>3.3 Personal Capability Development Plan or Actionable Employability Plan</w:t>
            </w:r>
            <w:r>
              <w:rPr>
                <w:rFonts w:ascii="Times New Roman" w:eastAsia="Times New Roman" w:hAnsi="Times New Roman" w:cs="Times New Roman"/>
                <w:color w:val="000000"/>
                <w:sz w:val="24"/>
                <w:szCs w:val="24"/>
              </w:rPr>
              <w:tab/>
              <w:t>13</w:t>
            </w:r>
          </w:hyperlink>
        </w:p>
        <w:p w14:paraId="610D3C1C" w14:textId="77777777" w:rsidR="000C2463" w:rsidRDefault="00000000">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ifyh4d36f2g6">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15</w:t>
            </w:r>
          </w:hyperlink>
        </w:p>
        <w:p w14:paraId="53C7D58A" w14:textId="77777777" w:rsidR="000C2463" w:rsidRDefault="00000000">
          <w:pPr>
            <w:spacing w:line="360" w:lineRule="auto"/>
            <w:jc w:val="both"/>
            <w:rPr>
              <w:rFonts w:ascii="Times New Roman" w:eastAsia="Times New Roman" w:hAnsi="Times New Roman" w:cs="Times New Roman"/>
              <w:sz w:val="24"/>
              <w:szCs w:val="24"/>
            </w:rPr>
          </w:pPr>
          <w:r>
            <w:fldChar w:fldCharType="end"/>
          </w:r>
        </w:p>
      </w:sdtContent>
    </w:sdt>
    <w:p w14:paraId="3457EC7F" w14:textId="77777777" w:rsidR="000C2463" w:rsidRDefault="00000000">
      <w:pPr>
        <w:spacing w:before="200" w:line="360" w:lineRule="auto"/>
        <w:jc w:val="center"/>
        <w:rPr>
          <w:rFonts w:ascii="Times New Roman" w:eastAsia="Times New Roman" w:hAnsi="Times New Roman" w:cs="Times New Roman"/>
          <w:b/>
          <w:bCs/>
          <w:sz w:val="24"/>
          <w:szCs w:val="24"/>
        </w:rPr>
      </w:pPr>
      <w:r>
        <w:br w:type="page"/>
      </w:r>
    </w:p>
    <w:p w14:paraId="2C18840D" w14:textId="77777777" w:rsidR="000C2463" w:rsidRDefault="00000000">
      <w:pPr>
        <w:pStyle w:val="Heading1"/>
      </w:pPr>
      <w:bookmarkStart w:id="0" w:name="_heading=h.jun9ywd7wwpw" w:colFirst="0" w:colLast="0"/>
      <w:bookmarkEnd w:id="0"/>
      <w:r>
        <w:lastRenderedPageBreak/>
        <w:t>TASK A: Designing Innovative Working Practices</w:t>
      </w:r>
    </w:p>
    <w:p w14:paraId="438EBE3D" w14:textId="77777777" w:rsidR="000C2463" w:rsidRDefault="00000000">
      <w:pPr>
        <w:pStyle w:val="Heading2"/>
      </w:pPr>
      <w:bookmarkStart w:id="1" w:name="_heading=h.2f55spilvdee" w:colFirst="0" w:colLast="0"/>
      <w:bookmarkEnd w:id="1"/>
      <w:r>
        <w:t>1.1 Theoretical Evaluation: Traditional vs. Contemporary Work Design</w:t>
      </w:r>
    </w:p>
    <w:p w14:paraId="562509FE" w14:textId="77777777" w:rsidR="000C2463" w:rsidRDefault="00000000">
      <w:pPr>
        <w:pStyle w:val="Heading3"/>
      </w:pPr>
      <w:bookmarkStart w:id="2" w:name="_heading=h.sg0wuqlohjxw" w:colFirst="0" w:colLast="0"/>
      <w:bookmarkEnd w:id="2"/>
      <w:r>
        <w:t>1.1.1 Limitations of Traditional Hierarchical Work Models</w:t>
      </w:r>
    </w:p>
    <w:p w14:paraId="65FD3B53"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Bringing innovative workforce design is the latest corporate structure that allows flexibility and resilience for future opportunities. The implication of “Traditional hierarchical work models” is the modern corporate design enabled by a “top-down decision-making approach” in business models to ensure the best responsibilities for the business (Matriano, 2024, p.1873). The current workforce of NexSpace Health Systems (NHSX) comprises nearly 600 employees across India, the UK and the UAE, with a traditional architecture of business functions. </w:t>
      </w:r>
    </w:p>
    <w:p w14:paraId="3ED9C821"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FFD515" wp14:editId="029E56BB">
            <wp:extent cx="5943600" cy="2870200"/>
            <wp:effectExtent l="38100" t="38100" r="38100" b="381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870200"/>
                    </a:xfrm>
                    <a:prstGeom prst="rect">
                      <a:avLst/>
                    </a:prstGeom>
                    <a:ln w="38100">
                      <a:solidFill>
                        <a:srgbClr val="000000"/>
                      </a:solidFill>
                      <a:prstDash val="solid"/>
                    </a:ln>
                  </pic:spPr>
                </pic:pic>
              </a:graphicData>
            </a:graphic>
          </wp:inline>
        </w:drawing>
      </w:r>
    </w:p>
    <w:p w14:paraId="43DF5FD2"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Hierarchical Work Models</w:t>
      </w:r>
    </w:p>
    <w:p w14:paraId="6B6BE037"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Morgeson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p.1)</w:t>
      </w:r>
    </w:p>
    <w:p w14:paraId="24859186"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values of this business are highlighted by operational bottlenecks in maintaining the heritage and classical structure. Especially, the digital innovation of this business includes AI-enabled digital health platforms, remote patient monitoring systems, and clinical decision-support technologies (Leino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p.707). </w:t>
      </w:r>
    </w:p>
    <w:p w14:paraId="332C78C1" w14:textId="77777777" w:rsidR="000C2463" w:rsidRDefault="00000000">
      <w:pPr>
        <w:pStyle w:val="Heading3"/>
      </w:pPr>
      <w:bookmarkStart w:id="3" w:name="_heading=h.imwwx5t8im7p" w:colFirst="0" w:colLast="0"/>
      <w:bookmarkEnd w:id="3"/>
      <w:r>
        <w:t>1.1.2 High-Performance Work Systems (HPWS) &amp; High-Involvement Work Systems (HIWS)</w:t>
      </w:r>
    </w:p>
    <w:p w14:paraId="4C214AFF"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Implementation of a modern business structure for NHSX the concepts of “High-Performance Work Systems (HPWS)” and “High-Involvement Work Systems (HIWS)” involve an innovative and modern business structure. The role of HPWS and HIWS both removes a command-and-control system, ensuring an empathetic value for employees. The structure of the modern system allows the standards of “employee empowerment, skill enhancement, and participatory decision-making” for a creative and inclusive workplace culture (Elorza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p.782). </w:t>
      </w:r>
    </w:p>
    <w:p w14:paraId="3446EC08" w14:textId="77777777" w:rsidR="000C2463" w:rsidRDefault="00000000">
      <w:pPr>
        <w:pStyle w:val="Heading3"/>
      </w:pPr>
      <w:bookmarkStart w:id="4" w:name="_heading=h.nsl8l765y1ea" w:colFirst="0" w:colLast="0"/>
      <w:bookmarkEnd w:id="4"/>
      <w:r>
        <w:t>1.1.3 Sociotechnical Systems Theory &amp; Hybrid/Flexible Models</w:t>
      </w:r>
    </w:p>
    <w:p w14:paraId="1FD9CF1E"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a balance to the socio-economic structure of a business, the implications of Sociotechnical Systems (STS) Theory can be a relevant element. Two major variables of this theory categorise the technical system and social system of this business. </w:t>
      </w:r>
    </w:p>
    <w:p w14:paraId="01EB6E12"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71FE15" wp14:editId="232D1D50">
            <wp:extent cx="5138738" cy="3656409"/>
            <wp:effectExtent l="38100" t="38100" r="38100" b="381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38738" cy="3656409"/>
                    </a:xfrm>
                    <a:prstGeom prst="rect">
                      <a:avLst/>
                    </a:prstGeom>
                    <a:ln w="38100">
                      <a:solidFill>
                        <a:srgbClr val="000000"/>
                      </a:solidFill>
                      <a:prstDash val="solid"/>
                    </a:ln>
                  </pic:spPr>
                </pic:pic>
              </a:graphicData>
            </a:graphic>
          </wp:inline>
        </w:drawing>
      </w:r>
    </w:p>
    <w:p w14:paraId="3FEA568C"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Sociotechnical Systems Theory (STS)</w:t>
      </w:r>
    </w:p>
    <w:p w14:paraId="1C070092"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Kemp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p.284)</w:t>
      </w:r>
    </w:p>
    <w:p w14:paraId="53ADA500"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implementation of NHSX using STS operations, the technical standards allow for software, algorithms, and AI tools. On the other hand, social structure is further reformed through the orientation of organisational culture, human relationships, and communication </w:t>
      </w:r>
      <w:r>
        <w:rPr>
          <w:rFonts w:ascii="Times New Roman" w:eastAsia="Times New Roman" w:hAnsi="Times New Roman" w:cs="Times New Roman"/>
          <w:sz w:val="24"/>
          <w:szCs w:val="24"/>
        </w:rPr>
        <w:lastRenderedPageBreak/>
        <w:t xml:space="preserve">channels of NHSX (Ang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p.1). The role of the STS model allows Hybrid and flexible AI-driven platforms for NHSX to ensure long-term sustainability and values for this business. </w:t>
      </w:r>
    </w:p>
    <w:p w14:paraId="479FC12C" w14:textId="77777777" w:rsidR="000C2463" w:rsidRDefault="00000000">
      <w:pPr>
        <w:pStyle w:val="Heading2"/>
      </w:pPr>
      <w:bookmarkStart w:id="5" w:name="_heading=h.fmcjuok976cz" w:colFirst="0" w:colLast="0"/>
      <w:bookmarkEnd w:id="5"/>
      <w:r>
        <w:t xml:space="preserve">1.2 Strategic Recommendations for NexSpace Health Systems </w:t>
      </w:r>
    </w:p>
    <w:p w14:paraId="56C29C76"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issue at the heart of NHSX isn't hierarchy but often the process of achieving the outcome. There are four weaknesses inherent in the hierarchy that restrict the business: slow decision-making, limited innovation, suppressed creativity and little room for experimentation. The following recommendations are, therefore, intended to address one or more of these four issues, rather than just to eliminate layers of management. </w:t>
      </w:r>
    </w:p>
    <w:p w14:paraId="02F92ECA" w14:textId="77777777" w:rsidR="000C2463" w:rsidRDefault="00000000">
      <w:pPr>
        <w:pStyle w:val="Heading3"/>
      </w:pPr>
      <w:bookmarkStart w:id="6" w:name="_heading=h.8euvt9au74xy" w:colFirst="0" w:colLast="0"/>
      <w:bookmarkEnd w:id="6"/>
      <w:r>
        <w:t>1.2.1 Agile Project Teams &amp; Employee Autonomy</w:t>
      </w:r>
    </w:p>
    <w:p w14:paraId="2C84BFA5"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accelerate decision-making and allow experimentation, NHSX must transition from functional teams to Agile cross-functional squads. The teams would consist of software engineers from India, product designers, and regulatory experts from the UK, and clinical account managers from the UAE (Armbruster and Huemann, 2026).</w:t>
      </w:r>
    </w:p>
    <w:tbl>
      <w:tblPr>
        <w:tblStyle w:val="a4"/>
        <w:tblW w:w="87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45"/>
        <w:gridCol w:w="2475"/>
        <w:gridCol w:w="1935"/>
        <w:gridCol w:w="2490"/>
      </w:tblGrid>
      <w:tr w:rsidR="000C2463" w14:paraId="0824FFD8" w14:textId="77777777">
        <w:trPr>
          <w:trHeight w:val="600"/>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BB8E2A0"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Phase</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EDB021E"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Action &amp; Operational Focus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2ED2B9D"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Problem Being Solved</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FAF0378"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Target Business Impact</w:t>
            </w:r>
          </w:p>
        </w:tc>
      </w:tr>
      <w:tr w:rsidR="000C2463" w14:paraId="27140C89" w14:textId="77777777">
        <w:trPr>
          <w:trHeight w:val="1680"/>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E77AE81"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Phase 1: Squad Reorganisation</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06E44B6"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Establish 12 cross-functional squads of UK, India and UAE staff with localised decision rights.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14EB649"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Slow decision-making and siloed thinking.</w:t>
            </w:r>
            <w:r>
              <w:rPr>
                <w:rFonts w:ascii="Times New Roman" w:eastAsia="Times New Roman" w:hAnsi="Times New Roman" w:cs="Times New Roman"/>
                <w:color w:val="FF0000"/>
                <w:sz w:val="24"/>
                <w:szCs w:val="24"/>
              </w:rPr>
              <w:t xml:space="preserve">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3B3E2E5"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Faster sign-offs, more creative solutions through diverse teams, and ownership of outcomes.</w:t>
            </w:r>
          </w:p>
        </w:tc>
      </w:tr>
      <w:tr w:rsidR="000C2463" w14:paraId="2410AE08" w14:textId="77777777">
        <w:trPr>
          <w:trHeight w:val="1950"/>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731B717"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Phase 2: Asynchronous Workflow</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949C698"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Standardise core overlap hours (the “Global Synchronous Window”) and asynchronous project protocols.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E549BDE"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Time-zone fatigue and stalled collaboration</w:t>
            </w:r>
            <w:r>
              <w:rPr>
                <w:rFonts w:ascii="Times New Roman" w:eastAsia="Times New Roman" w:hAnsi="Times New Roman" w:cs="Times New Roman"/>
                <w:color w:val="FF0000"/>
                <w:sz w:val="24"/>
                <w:szCs w:val="24"/>
              </w:rPr>
              <w:t xml:space="preserve"> across the UK, UAE and India.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EEC8E02"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Continuous progress across time zones, better wellbeing, and protected thinking time for creative work.</w:t>
            </w:r>
          </w:p>
        </w:tc>
      </w:tr>
      <w:tr w:rsidR="000C2463" w14:paraId="296A0F23" w14:textId="77777777">
        <w:trPr>
          <w:trHeight w:val="1950"/>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EF13170"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Phase 3: Digital Integration</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60268EE"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Deploy a unified cloud platform with AI knowledge repositories and shared code and clinical data.</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5806B18"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Lost institutional knowledge and no safe space to test ideas.</w:t>
            </w:r>
            <w:r>
              <w:rPr>
                <w:rFonts w:ascii="Times New Roman" w:eastAsia="Times New Roman" w:hAnsi="Times New Roman" w:cs="Times New Roman"/>
                <w:color w:val="FF0000"/>
                <w:sz w:val="24"/>
                <w:szCs w:val="24"/>
              </w:rPr>
              <w:t xml:space="preserve"> </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A9962A4"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Transparent collaboration, faster prototyping and testing, and reusable knowledge.</w:t>
            </w:r>
          </w:p>
        </w:tc>
      </w:tr>
      <w:tr w:rsidR="000C2463" w14:paraId="68D65293" w14:textId="77777777">
        <w:trPr>
          <w:trHeight w:val="1410"/>
        </w:trPr>
        <w:tc>
          <w:tcPr>
            <w:tcW w:w="184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4D37838"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Phase 4 (add): Experimentation Framework</w:t>
            </w:r>
          </w:p>
        </w:tc>
        <w:tc>
          <w:tcPr>
            <w:tcW w:w="247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FB7F9A0"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Introduce sprint retrospectives, an innovation budget and pilot-and-learn reviews.</w:t>
            </w:r>
          </w:p>
        </w:tc>
        <w:tc>
          <w:tcPr>
            <w:tcW w:w="193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FF03D93"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Fear of failure and low experimentation.</w:t>
            </w:r>
          </w:p>
        </w:tc>
        <w:tc>
          <w:tcPr>
            <w:tcW w:w="24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E77110F"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 steady flow of tested innovations and a learning culture.</w:t>
            </w:r>
          </w:p>
        </w:tc>
      </w:tr>
    </w:tbl>
    <w:p w14:paraId="012AC16D"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1: Roadmap of Agile Strategies and Employee Autonomy Implementation </w:t>
      </w:r>
    </w:p>
    <w:p w14:paraId="604B14EA"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B6E3631" w14:textId="77777777" w:rsidR="000C2463" w:rsidRDefault="00000000">
      <w:pPr>
        <w:spacing w:before="200"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regulatory clauses to solve the critical issues are described below:</w:t>
      </w:r>
    </w:p>
    <w:p w14:paraId="0E21CB4C" w14:textId="77777777" w:rsidR="000C2463" w:rsidRDefault="00000000">
      <w:pPr>
        <w:numPr>
          <w:ilvl w:val="0"/>
          <w:numId w:val="1"/>
        </w:numPr>
        <w:spacing w:before="200"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Decision-Making Rights:</w:t>
      </w:r>
      <w:r>
        <w:rPr>
          <w:rFonts w:ascii="Times New Roman" w:eastAsia="Times New Roman" w:hAnsi="Times New Roman" w:cs="Times New Roman"/>
          <w:color w:val="FF0000"/>
          <w:sz w:val="24"/>
          <w:szCs w:val="24"/>
        </w:rPr>
        <w:t xml:space="preserve"> Decisions are made at the point of expertise and not centralised for review and approval (Bjerre and Leimbach, 2026, p.1).</w:t>
      </w:r>
    </w:p>
    <w:p w14:paraId="4180DFC0" w14:textId="77777777" w:rsidR="000C2463" w:rsidRDefault="00000000">
      <w:pPr>
        <w:numPr>
          <w:ilvl w:val="0"/>
          <w:numId w:val="1"/>
        </w:num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Innovation:</w:t>
      </w:r>
      <w:r>
        <w:rPr>
          <w:rFonts w:ascii="Times New Roman" w:eastAsia="Times New Roman" w:hAnsi="Times New Roman" w:cs="Times New Roman"/>
          <w:color w:val="FF0000"/>
          <w:sz w:val="24"/>
          <w:szCs w:val="24"/>
        </w:rPr>
        <w:t xml:space="preserve"> Two-week sprints mean that ideas can emerge into working builds rapidly, and so innovation is continuous rather than long-term.</w:t>
      </w:r>
    </w:p>
    <w:p w14:paraId="0814AAFC" w14:textId="77777777" w:rsidR="000C2463" w:rsidRDefault="00000000">
      <w:pPr>
        <w:numPr>
          <w:ilvl w:val="0"/>
          <w:numId w:val="1"/>
        </w:num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Creativity:</w:t>
      </w:r>
      <w:r>
        <w:rPr>
          <w:rFonts w:ascii="Times New Roman" w:eastAsia="Times New Roman" w:hAnsi="Times New Roman" w:cs="Times New Roman"/>
          <w:color w:val="FF0000"/>
          <w:sz w:val="24"/>
          <w:szCs w:val="24"/>
        </w:rPr>
        <w:t xml:space="preserve"> Engineers, designers, regulatory and clinical viewpoints in one team lead to the diversity of thought that leads to better solutions.</w:t>
      </w:r>
    </w:p>
    <w:p w14:paraId="1BF03E0C" w14:textId="77777777" w:rsidR="000C2463" w:rsidRDefault="00000000">
      <w:pPr>
        <w:numPr>
          <w:ilvl w:val="0"/>
          <w:numId w:val="1"/>
        </w:numPr>
        <w:spacing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Experimentation:</w:t>
      </w:r>
      <w:r>
        <w:rPr>
          <w:rFonts w:ascii="Times New Roman" w:eastAsia="Times New Roman" w:hAnsi="Times New Roman" w:cs="Times New Roman"/>
          <w:color w:val="FF0000"/>
          <w:sz w:val="24"/>
          <w:szCs w:val="24"/>
        </w:rPr>
        <w:t xml:space="preserve"> Each squad has a small experimentation budget and conducts short experimentation pilots with sprint reviews. </w:t>
      </w:r>
    </w:p>
    <w:p w14:paraId="6A89042F" w14:textId="77777777" w:rsidR="000C2463" w:rsidRDefault="00000000">
      <w:pPr>
        <w:pStyle w:val="Heading3"/>
      </w:pPr>
      <w:bookmarkStart w:id="7" w:name="_heading=h.d9u3iu3km3h4" w:colFirst="0" w:colLast="0"/>
      <w:bookmarkEnd w:id="7"/>
      <w:r>
        <w:t>1.2.2 Redesigning Hybrid &amp; Flexible Working Frameworks</w:t>
      </w:r>
    </w:p>
    <w:p w14:paraId="25727743"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current hybrid scheduling is not structured and needs to be replaced by a common framework which is based on an asynchronous communication protocol. With different time zones in the UK, UAE and India, having to schedule live virtual meetings after 4 hours can lead to time zone fatigue and decreased productivity. NHSX should consider using the "3+2 Hybrid Model" with a 3-hour "Global Synchronous Window" (11:00 AM to 2:00 PM GMT) (Standahl Johannessen and Karlsen, 2025, p.382). </w:t>
      </w:r>
      <w:r>
        <w:rPr>
          <w:rFonts w:ascii="Times New Roman" w:eastAsia="Times New Roman" w:hAnsi="Times New Roman" w:cs="Times New Roman"/>
          <w:color w:val="FF0000"/>
          <w:sz w:val="24"/>
          <w:szCs w:val="24"/>
        </w:rPr>
        <w:t>This model alleviates time-zone fatigue and a disorganised hybrid workplace. It also safeguards wellbeing and uninterrupted focus time upon which creativity and innovation rely.</w:t>
      </w:r>
    </w:p>
    <w:p w14:paraId="3356064E" w14:textId="77777777" w:rsidR="000C2463" w:rsidRDefault="00000000">
      <w:pPr>
        <w:pStyle w:val="Heading3"/>
      </w:pPr>
      <w:bookmarkStart w:id="8" w:name="_heading=h.t1pci8cca89r" w:colFirst="0" w:colLast="0"/>
      <w:bookmarkEnd w:id="8"/>
      <w:r>
        <w:t>1.2.3 Digital Collaboration Infrastructure</w:t>
      </w:r>
    </w:p>
    <w:p w14:paraId="063CA453"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NHSX will need to improve its digital collaboration environment to close the gap between international centres. In addition to this infrastructure, there are automatic documentation tools, real-time code repositories, clinical data repositories, and digital whiteboards that are visible across all sites (Bjerre and Leimbach, 2026, p.1). </w:t>
      </w:r>
      <w:r>
        <w:rPr>
          <w:rFonts w:ascii="Times New Roman" w:eastAsia="Times New Roman" w:hAnsi="Times New Roman" w:cs="Times New Roman"/>
          <w:color w:val="FF0000"/>
          <w:sz w:val="24"/>
          <w:szCs w:val="24"/>
        </w:rPr>
        <w:t xml:space="preserve">This infrastructure addresses the issue of </w:t>
      </w:r>
      <w:r>
        <w:rPr>
          <w:rFonts w:ascii="Times New Roman" w:eastAsia="Times New Roman" w:hAnsi="Times New Roman" w:cs="Times New Roman"/>
          <w:color w:val="FF0000"/>
          <w:sz w:val="24"/>
          <w:szCs w:val="24"/>
        </w:rPr>
        <w:lastRenderedPageBreak/>
        <w:t>disarticulated knowledge between centres. Use of shared repositories and whiteboards enables teams to experiment and innovate as they work on others' ideas without needing permission.</w:t>
      </w:r>
    </w:p>
    <w:p w14:paraId="5F78AA4A" w14:textId="77777777" w:rsidR="000C2463" w:rsidRDefault="00000000">
      <w:pPr>
        <w:pStyle w:val="Heading2"/>
      </w:pPr>
      <w:bookmarkStart w:id="9" w:name="_heading=h.5bfciw568zdv" w:colFirst="0" w:colLast="0"/>
      <w:bookmarkEnd w:id="9"/>
      <w:r>
        <w:t>1.3 Performance Justification &amp; Strategic Alignment</w:t>
      </w:r>
    </w:p>
    <w:p w14:paraId="3329C42E"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four issues NHSX identified – slow decision-making, limited innovation, suppressed creativity and weak experimentation – are all directly tackled by the move to modern working practices. By eliminating the need for rigid approval processes and compressing release timelines, Autonomous Agile squads enhance decision-making (Bjerre and Leimbach, 2026, p.1). </w:t>
      </w:r>
    </w:p>
    <w:tbl>
      <w:tblPr>
        <w:tblStyle w:val="a5"/>
        <w:tblW w:w="93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50"/>
        <w:gridCol w:w="2235"/>
        <w:gridCol w:w="2340"/>
        <w:gridCol w:w="2820"/>
      </w:tblGrid>
      <w:tr w:rsidR="000C2463" w14:paraId="32072B7A" w14:textId="77777777">
        <w:trPr>
          <w:trHeight w:val="561"/>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457F6BE"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Performance Area</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1DA1D5A8"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Traditional Working Baseline</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48E4075"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Target Outcome with Innovative Practices</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04BABB6"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Value for NHSX</w:t>
            </w:r>
          </w:p>
        </w:tc>
      </w:tr>
      <w:tr w:rsidR="000C2463" w14:paraId="77F73638" w14:textId="77777777">
        <w:trPr>
          <w:trHeight w:val="1200"/>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581BB04D"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Feature Release Cycle</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94750AA"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Weeks (Hierarchical sign-offs)</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FEE69AA"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 Weeks (Autonomous Agile squads)</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8588BC6"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Accelerates market response and digital health innovation.</w:t>
            </w:r>
          </w:p>
        </w:tc>
      </w:tr>
      <w:tr w:rsidR="000C2463" w14:paraId="4903B135" w14:textId="77777777">
        <w:trPr>
          <w:trHeight w:val="1455"/>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1E7F5F5"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Cross-Border Collaboration</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1AD39C56"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 cross-regional project participation</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3214B09"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 integrated squad involvement</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F487028"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Eliminates international siloing between the UK, India, and UAE.</w:t>
            </w:r>
          </w:p>
        </w:tc>
      </w:tr>
      <w:tr w:rsidR="000C2463" w14:paraId="7F0D68F6" w14:textId="77777777">
        <w:trPr>
          <w:trHeight w:val="1200"/>
        </w:trPr>
        <w:tc>
          <w:tcPr>
            <w:tcW w:w="195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DB20FB4"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Employee Wellbeing &amp; Retention</w:t>
            </w:r>
          </w:p>
        </w:tc>
        <w:tc>
          <w:tcPr>
            <w:tcW w:w="22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31130E1"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 turnover among top performers</w:t>
            </w:r>
          </w:p>
        </w:tc>
        <w:tc>
          <w:tcPr>
            <w:tcW w:w="234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58CDBF6"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Projected 25% reduction in voluntary turnover</w:t>
            </w:r>
          </w:p>
        </w:tc>
        <w:tc>
          <w:tcPr>
            <w:tcW w:w="282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7DF5D5B"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Retains top tech and clinical talent across global sites.</w:t>
            </w:r>
          </w:p>
        </w:tc>
      </w:tr>
    </w:tbl>
    <w:p w14:paraId="40809DB4"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Organisational Performance Matrix</w:t>
      </w:r>
    </w:p>
    <w:p w14:paraId="212ED171"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1C25A7BB" w14:textId="77777777" w:rsidR="000C2463" w:rsidRDefault="00000000">
      <w:pPr>
        <w:pStyle w:val="Heading1"/>
      </w:pPr>
      <w:bookmarkStart w:id="10" w:name="_heading=h.wbxcpn31b0u3" w:colFirst="0" w:colLast="0"/>
      <w:bookmarkEnd w:id="10"/>
      <w:r>
        <w:t>TASK B: Breeding an Environment Where Talent May Grow</w:t>
      </w:r>
    </w:p>
    <w:p w14:paraId="6BA075F1" w14:textId="77777777" w:rsidR="000C2463" w:rsidRDefault="00000000">
      <w:pPr>
        <w:pStyle w:val="Heading2"/>
      </w:pPr>
      <w:bookmarkStart w:id="11" w:name="_heading=h.g1eh0cn5jwrb" w:colFirst="0" w:colLast="0"/>
      <w:bookmarkEnd w:id="11"/>
      <w:r>
        <w:t>2.1 Theoretical Frameworks for Talent Flourishing</w:t>
      </w:r>
    </w:p>
    <w:p w14:paraId="05D9838F" w14:textId="77777777" w:rsidR="000C2463" w:rsidRDefault="00000000">
      <w:pPr>
        <w:pStyle w:val="Heading3"/>
      </w:pPr>
      <w:bookmarkStart w:id="12" w:name="_heading=h.chwubsig5xhk" w:colFirst="0" w:colLast="0"/>
      <w:bookmarkEnd w:id="12"/>
      <w:r>
        <w:t>2.1.1 Senge’s Learning Organisation &amp; Dweck’s Growth Mindset</w:t>
      </w:r>
    </w:p>
    <w:p w14:paraId="0498B2BC"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seems necessary to shift from being reactive to being proactive when it comes to training; transforming into a continuous learning system is essential to fostering a corporate environment that can nurture high-tech talent. Peter Senge's framework for the Learning Organisation is based on five key disciplines: systems thinking, personal mastery, mental models, shared vision, and team learning (Frederick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2026, p.1). </w:t>
      </w:r>
    </w:p>
    <w:p w14:paraId="710D8918"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CA3A97" wp14:editId="2D3672FF">
            <wp:extent cx="5943600" cy="3962400"/>
            <wp:effectExtent l="38100" t="38100" r="38100" b="381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962400"/>
                    </a:xfrm>
                    <a:prstGeom prst="rect">
                      <a:avLst/>
                    </a:prstGeom>
                    <a:ln w="38100">
                      <a:solidFill>
                        <a:srgbClr val="000000"/>
                      </a:solidFill>
                      <a:prstDash val="solid"/>
                    </a:ln>
                  </pic:spPr>
                </pic:pic>
              </a:graphicData>
            </a:graphic>
          </wp:inline>
        </w:drawing>
      </w:r>
    </w:p>
    <w:p w14:paraId="2F5163C4"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Carol Dweck's Growth Mindset theory</w:t>
      </w:r>
    </w:p>
    <w:p w14:paraId="606D2E64"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Growth engineering, 2025, p.1)</w:t>
      </w:r>
    </w:p>
    <w:p w14:paraId="5799AA83"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theoretical support of Carol Dweck's Growth Mindset theory, which states that human skills and intelligence are malleable and can be learned through hard work, trial and error and positive input. By fostering a growth mindset to overcome these challenges and treat setbacks as opportunities to learn, employees keep experimenting with new AI algorithms, leading to continuous creativity (Rammstedt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p.84).</w:t>
      </w:r>
    </w:p>
    <w:p w14:paraId="3D2F4AEB" w14:textId="77777777" w:rsidR="000C2463" w:rsidRDefault="00000000">
      <w:pPr>
        <w:pStyle w:val="Heading3"/>
      </w:pPr>
      <w:bookmarkStart w:id="13" w:name="_heading=h.g51y5xikf9aw" w:colFirst="0" w:colLast="0"/>
      <w:bookmarkEnd w:id="13"/>
      <w:r>
        <w:t>2.1.2 Edmondson’s Psychological Safety &amp; Self-Determination Theory (SDT)</w:t>
      </w:r>
    </w:p>
    <w:p w14:paraId="5A59DF5A"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Psychological safety, according to Amy Edmondson, is "a collective perception that a team is safe for interpersonal risk taking, that it is safe to ask questions, make mistakes, or share ideas without fear of punishment or embarrassment. </w:t>
      </w:r>
    </w:p>
    <w:p w14:paraId="44DA728F"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E666B2" wp14:editId="4DFE8E22">
            <wp:extent cx="4806950" cy="3605213"/>
            <wp:effectExtent l="38100" t="38100" r="38100" b="381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806950" cy="3605213"/>
                    </a:xfrm>
                    <a:prstGeom prst="rect">
                      <a:avLst/>
                    </a:prstGeom>
                    <a:ln w="38100">
                      <a:solidFill>
                        <a:srgbClr val="000000"/>
                      </a:solidFill>
                      <a:prstDash val="solid"/>
                    </a:ln>
                  </pic:spPr>
                </pic:pic>
              </a:graphicData>
            </a:graphic>
          </wp:inline>
        </w:drawing>
      </w:r>
    </w:p>
    <w:p w14:paraId="0B69C340"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Edmondson’s Psychological Safety Model</w:t>
      </w:r>
    </w:p>
    <w:p w14:paraId="737425EB"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Kaizenko, 2025, p.1)</w:t>
      </w:r>
    </w:p>
    <w:p w14:paraId="49DFA700"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NHSX, a reduction in the prevalence of cross-border working has diminished relationships between employees, and the establishment of psychological safety is crucial to reconnect people and reestablish trust (Edmondson and Bransby, 2023, p.55). This construct is directly linked to the Self-Determination Theory (SDT), which maintains that three basic psychological needs: autonomy, competence, and relatedness are essential for intrinsic motivation and for maintaining high levels of performance over time. International team connections will be restored to strengthen relatedness (Santana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p.1).</w:t>
      </w:r>
    </w:p>
    <w:p w14:paraId="241683F1" w14:textId="77777777" w:rsidR="000C2463" w:rsidRDefault="00000000">
      <w:pPr>
        <w:pStyle w:val="Heading3"/>
      </w:pPr>
      <w:bookmarkStart w:id="14" w:name="_heading=h.ual03hbblp4a" w:colFirst="0" w:colLast="0"/>
      <w:bookmarkEnd w:id="14"/>
      <w:r>
        <w:t>2.1.3 Job Crafting &amp; Employee Experience (EX) Models</w:t>
      </w:r>
    </w:p>
    <w:p w14:paraId="0ED07F55"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Job Crafting Theory, created by Wrzesniewski and Dutton, describes how workers proactively modify their work roles through three processes: task crafting, relational crafting and cognitive crafting (Zhang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p.1). It contributes to the larger concept of the Employee </w:t>
      </w:r>
      <w:r>
        <w:rPr>
          <w:rFonts w:ascii="Times New Roman" w:eastAsia="Times New Roman" w:hAnsi="Times New Roman" w:cs="Times New Roman"/>
          <w:sz w:val="24"/>
          <w:szCs w:val="24"/>
        </w:rPr>
        <w:lastRenderedPageBreak/>
        <w:t xml:space="preserve">Experience (EX), which is all about creating physical, cultural and technological spaces that help employees during the entire phases of their employee journey (Marx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p.2344). </w:t>
      </w:r>
    </w:p>
    <w:p w14:paraId="6FB19DFE" w14:textId="77777777" w:rsidR="000C2463" w:rsidRDefault="00000000">
      <w:pPr>
        <w:pStyle w:val="Heading2"/>
      </w:pPr>
      <w:bookmarkStart w:id="15" w:name="_heading=h.dc0zoknyfsvk" w:colFirst="0" w:colLast="0"/>
      <w:bookmarkEnd w:id="15"/>
      <w:r>
        <w:t>2.2 Integrated Talent Growth Strategy for NHSX</w:t>
      </w:r>
    </w:p>
    <w:p w14:paraId="0C07095F" w14:textId="77777777" w:rsidR="000C2463" w:rsidRDefault="00000000">
      <w:pPr>
        <w:pStyle w:val="Heading3"/>
      </w:pPr>
      <w:bookmarkStart w:id="16" w:name="_heading=h.oj4tw2vl4g2g" w:colFirst="0" w:colLast="0"/>
      <w:bookmarkEnd w:id="16"/>
      <w:r>
        <w:t>2.2.1 Continuous Learning &amp; AI Capability Ecosystem</w:t>
      </w:r>
    </w:p>
    <w:p w14:paraId="04FF2ACD"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address career development issues and skill enhancement, NHSX needs to create a lifelong learning system with an NHSX internal “AI &amp; HealthTech Academy”. The virtual platform for operating digital healthcare and advanced technical support enables better responsibilities for students in future. 10% of the time will be made available in a weekly schedule to all employees for coursework, personal innovation projects, or inter-departmental projects (Steiber and Ghosh, 2026, p.153). This strategic learning infrastructure is made up of the core elements in the table below.</w:t>
      </w:r>
    </w:p>
    <w:tbl>
      <w:tblPr>
        <w:tblStyle w:val="a6"/>
        <w:tblW w:w="87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725"/>
        <w:gridCol w:w="2310"/>
        <w:gridCol w:w="2550"/>
        <w:gridCol w:w="2130"/>
      </w:tblGrid>
      <w:tr w:rsidR="000C2463" w14:paraId="332C43F4" w14:textId="77777777">
        <w:trPr>
          <w:trHeight w:val="60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C19B12B"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Strategy Component</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0AEAF64"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Core Operational Activity</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88B50F8"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Problem Being Solved</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3ADF211"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Target Capability Outcome</w:t>
            </w:r>
          </w:p>
        </w:tc>
      </w:tr>
      <w:tr w:rsidR="000C2463" w14:paraId="268CE4C6" w14:textId="77777777">
        <w:trPr>
          <w:trHeight w:val="141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437AFF2"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AI &amp; HealthTech Academy</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765BB9F"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Self-paced modules and certified tracks in AI, data ethics and clinical systems.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4DB7B09"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Limited learning opportunities and skill gaps.</w:t>
            </w:r>
            <w:r>
              <w:rPr>
                <w:rFonts w:ascii="Times New Roman" w:eastAsia="Times New Roman" w:hAnsi="Times New Roman" w:cs="Times New Roman"/>
                <w:color w:val="FF0000"/>
                <w:sz w:val="24"/>
                <w:szCs w:val="24"/>
              </w:rPr>
              <w:t xml:space="preserve"> Staff lack structured routes to build advanced technical skills.</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30BCB8D"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Closes skill gaps and improves </w:t>
            </w:r>
            <w:r>
              <w:rPr>
                <w:rFonts w:ascii="Times New Roman" w:eastAsia="Times New Roman" w:hAnsi="Times New Roman" w:cs="Times New Roman"/>
                <w:b/>
                <w:bCs/>
                <w:color w:val="FF0000"/>
                <w:sz w:val="24"/>
                <w:szCs w:val="24"/>
              </w:rPr>
              <w:t>performance</w:t>
            </w:r>
            <w:r>
              <w:rPr>
                <w:rFonts w:ascii="Times New Roman" w:eastAsia="Times New Roman" w:hAnsi="Times New Roman" w:cs="Times New Roman"/>
                <w:color w:val="FF0000"/>
                <w:sz w:val="24"/>
                <w:szCs w:val="24"/>
              </w:rPr>
              <w:t xml:space="preserve"> in AI software development.</w:t>
            </w:r>
          </w:p>
        </w:tc>
      </w:tr>
      <w:tr w:rsidR="000C2463" w14:paraId="2779C5DC" w14:textId="77777777">
        <w:trPr>
          <w:trHeight w:val="141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6313FD9"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Dedicated Learning Time (10%)</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A6B18FD"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Structured weekly time for research, upskilling and experimentation.</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9AA5B61"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Heavy workloads and no time to learn.</w:t>
            </w:r>
            <w:r>
              <w:rPr>
                <w:rFonts w:ascii="Times New Roman" w:eastAsia="Times New Roman" w:hAnsi="Times New Roman" w:cs="Times New Roman"/>
                <w:color w:val="FF0000"/>
                <w:sz w:val="24"/>
                <w:szCs w:val="24"/>
              </w:rPr>
              <w:t xml:space="preserve"> Staff report workload pressure that blocks development, which harms </w:t>
            </w:r>
            <w:r>
              <w:rPr>
                <w:rFonts w:ascii="Times New Roman" w:eastAsia="Times New Roman" w:hAnsi="Times New Roman" w:cs="Times New Roman"/>
                <w:b/>
                <w:bCs/>
                <w:color w:val="FF0000"/>
                <w:sz w:val="24"/>
                <w:szCs w:val="24"/>
              </w:rPr>
              <w:t>wellbeing</w:t>
            </w:r>
            <w:r>
              <w:rPr>
                <w:rFonts w:ascii="Times New Roman" w:eastAsia="Times New Roman" w:hAnsi="Times New Roman" w:cs="Times New Roman"/>
                <w:color w:val="FF0000"/>
                <w:sz w:val="24"/>
                <w:szCs w:val="24"/>
              </w:rPr>
              <w:t>.</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7807E4A"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Supports a growth mindset, lower burnout and sustained </w:t>
            </w:r>
            <w:r>
              <w:rPr>
                <w:rFonts w:ascii="Times New Roman" w:eastAsia="Times New Roman" w:hAnsi="Times New Roman" w:cs="Times New Roman"/>
                <w:b/>
                <w:bCs/>
                <w:color w:val="FF0000"/>
                <w:sz w:val="24"/>
                <w:szCs w:val="24"/>
              </w:rPr>
              <w:t>performance</w:t>
            </w:r>
            <w:r>
              <w:rPr>
                <w:rFonts w:ascii="Times New Roman" w:eastAsia="Times New Roman" w:hAnsi="Times New Roman" w:cs="Times New Roman"/>
                <w:color w:val="FF0000"/>
                <w:sz w:val="24"/>
                <w:szCs w:val="24"/>
              </w:rPr>
              <w:t>.</w:t>
            </w:r>
          </w:p>
        </w:tc>
      </w:tr>
      <w:tr w:rsidR="000C2463" w14:paraId="16A8C561" w14:textId="77777777">
        <w:trPr>
          <w:trHeight w:val="141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5A84EC2"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Gig Mobility Marketplace</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4E2270B"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Internal platform matching employees to short-term projects in other regions.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3009E2D"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Lack of career progression.</w:t>
            </w:r>
            <w:r>
              <w:rPr>
                <w:rFonts w:ascii="Times New Roman" w:eastAsia="Times New Roman" w:hAnsi="Times New Roman" w:cs="Times New Roman"/>
                <w:color w:val="FF0000"/>
                <w:sz w:val="24"/>
                <w:szCs w:val="24"/>
              </w:rPr>
              <w:t xml:space="preserve"> High performers leave because they see no growth path.</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9C0DB46"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Visible </w:t>
            </w:r>
            <w:r>
              <w:rPr>
                <w:rFonts w:ascii="Times New Roman" w:eastAsia="Times New Roman" w:hAnsi="Times New Roman" w:cs="Times New Roman"/>
                <w:b/>
                <w:bCs/>
                <w:color w:val="FF0000"/>
                <w:sz w:val="24"/>
                <w:szCs w:val="24"/>
              </w:rPr>
              <w:t>progression</w:t>
            </w:r>
            <w:r>
              <w:rPr>
                <w:rFonts w:ascii="Times New Roman" w:eastAsia="Times New Roman" w:hAnsi="Times New Roman" w:cs="Times New Roman"/>
                <w:color w:val="FF0000"/>
                <w:sz w:val="24"/>
                <w:szCs w:val="24"/>
              </w:rPr>
              <w:t>, more internal mobility and cross-border knowledge transfer.</w:t>
            </w:r>
          </w:p>
        </w:tc>
      </w:tr>
      <w:tr w:rsidR="000C2463" w14:paraId="415D12F5" w14:textId="77777777">
        <w:trPr>
          <w:trHeight w:val="114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3A8CF83"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Dual Career Path and Global Peer Mentoring (add)</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E2DB40C"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Parallel technical and managerial ladders, </w:t>
            </w:r>
            <w:r>
              <w:rPr>
                <w:rFonts w:ascii="Times New Roman" w:eastAsia="Times New Roman" w:hAnsi="Times New Roman" w:cs="Times New Roman"/>
                <w:color w:val="FF0000"/>
                <w:sz w:val="24"/>
                <w:szCs w:val="24"/>
              </w:rPr>
              <w:lastRenderedPageBreak/>
              <w:t>plus a mentoring network.</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A6119F0"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lastRenderedPageBreak/>
              <w:t xml:space="preserve">Unclear promotion routes for technical </w:t>
            </w:r>
            <w:r>
              <w:rPr>
                <w:rFonts w:ascii="Times New Roman" w:eastAsia="Times New Roman" w:hAnsi="Times New Roman" w:cs="Times New Roman"/>
                <w:b/>
                <w:bCs/>
                <w:color w:val="FF0000"/>
                <w:sz w:val="24"/>
                <w:szCs w:val="24"/>
              </w:rPr>
              <w:lastRenderedPageBreak/>
              <w:t>specialists, and regional isolation.</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A2CBD0B"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Fair </w:t>
            </w:r>
            <w:r>
              <w:rPr>
                <w:rFonts w:ascii="Times New Roman" w:eastAsia="Times New Roman" w:hAnsi="Times New Roman" w:cs="Times New Roman"/>
                <w:b/>
                <w:bCs/>
                <w:color w:val="FF0000"/>
                <w:sz w:val="24"/>
                <w:szCs w:val="24"/>
              </w:rPr>
              <w:t>progression</w:t>
            </w:r>
            <w:r>
              <w:rPr>
                <w:rFonts w:ascii="Times New Roman" w:eastAsia="Times New Roman" w:hAnsi="Times New Roman" w:cs="Times New Roman"/>
                <w:color w:val="FF0000"/>
                <w:sz w:val="24"/>
                <w:szCs w:val="24"/>
              </w:rPr>
              <w:t>, relatedness and retention of experts.</w:t>
            </w:r>
          </w:p>
        </w:tc>
      </w:tr>
      <w:tr w:rsidR="000C2463" w14:paraId="4D679A71" w14:textId="77777777">
        <w:trPr>
          <w:trHeight w:val="1410"/>
        </w:trPr>
        <w:tc>
          <w:tcPr>
            <w:tcW w:w="172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AAD112E"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Blameless Post-Mortems and Wellbeing Programme (add)</w:t>
            </w:r>
          </w:p>
        </w:tc>
        <w:tc>
          <w:tcPr>
            <w:tcW w:w="231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C78D2D3"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Team reviews of failures, manager training, workload ceilings.</w:t>
            </w:r>
          </w:p>
        </w:tc>
        <w:tc>
          <w:tcPr>
            <w:tcW w:w="25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3CBC92"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Fear of blame and burnout.</w:t>
            </w:r>
            <w:r>
              <w:rPr>
                <w:rFonts w:ascii="Times New Roman" w:eastAsia="Times New Roman" w:hAnsi="Times New Roman" w:cs="Times New Roman"/>
                <w:color w:val="FF0000"/>
                <w:sz w:val="24"/>
                <w:szCs w:val="24"/>
              </w:rPr>
              <w:t xml:space="preserve"> Both reduce </w:t>
            </w:r>
            <w:r>
              <w:rPr>
                <w:rFonts w:ascii="Times New Roman" w:eastAsia="Times New Roman" w:hAnsi="Times New Roman" w:cs="Times New Roman"/>
                <w:b/>
                <w:bCs/>
                <w:color w:val="FF0000"/>
                <w:sz w:val="24"/>
                <w:szCs w:val="24"/>
              </w:rPr>
              <w:t>wellbeing</w:t>
            </w:r>
            <w:r>
              <w:rPr>
                <w:rFonts w:ascii="Times New Roman" w:eastAsia="Times New Roman" w:hAnsi="Times New Roman" w:cs="Times New Roman"/>
                <w:color w:val="FF0000"/>
                <w:sz w:val="24"/>
                <w:szCs w:val="24"/>
              </w:rPr>
              <w:t xml:space="preserve"> and willingness to take risks.</w:t>
            </w:r>
          </w:p>
        </w:tc>
        <w:tc>
          <w:tcPr>
            <w:tcW w:w="213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F1B17A9" w14:textId="77777777" w:rsidR="000C2463" w:rsidRDefault="00000000">
            <w:pP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Higher psychological safety and healthier </w:t>
            </w:r>
            <w:r>
              <w:rPr>
                <w:rFonts w:ascii="Times New Roman" w:eastAsia="Times New Roman" w:hAnsi="Times New Roman" w:cs="Times New Roman"/>
                <w:b/>
                <w:bCs/>
                <w:color w:val="FF0000"/>
                <w:sz w:val="24"/>
                <w:szCs w:val="24"/>
              </w:rPr>
              <w:t>performance</w:t>
            </w:r>
            <w:r>
              <w:rPr>
                <w:rFonts w:ascii="Times New Roman" w:eastAsia="Times New Roman" w:hAnsi="Times New Roman" w:cs="Times New Roman"/>
                <w:color w:val="FF0000"/>
                <w:sz w:val="24"/>
                <w:szCs w:val="24"/>
              </w:rPr>
              <w:t>.</w:t>
            </w:r>
          </w:p>
        </w:tc>
      </w:tr>
    </w:tbl>
    <w:p w14:paraId="1A9CB832"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 Strategic Components for Business Growth and Development for NHSX</w:t>
      </w:r>
    </w:p>
    <w:p w14:paraId="09531329"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5312B9D3" w14:textId="77777777" w:rsidR="000C2463" w:rsidRDefault="00000000">
      <w:pPr>
        <w:pStyle w:val="Heading3"/>
      </w:pPr>
      <w:bookmarkStart w:id="17" w:name="_heading=h.ezzeyrteqhv9" w:colFirst="0" w:colLast="0"/>
      <w:bookmarkEnd w:id="17"/>
      <w:r>
        <w:t>2.2.2 Fostering Psychological Safety &amp; Wellbeing</w:t>
      </w:r>
    </w:p>
    <w:p w14:paraId="106FBAC2"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NHSX leadership needs to shift from command and control to put in place empathetic leadership methods to balance high aspirations and staff wellbeing. Individuals from all over the UK, India and UAE will be obligated to complete training focusing on the key areas of active listening, constructive feedback and identifying symptoms of burnout. NHSX will be rolling out what it calls "Blameless Post-Mortems" for software deployments and clinical pilots which do not achieve targets (Purohit, 2025, p.35). </w:t>
      </w:r>
    </w:p>
    <w:p w14:paraId="295C558E" w14:textId="77777777" w:rsidR="000C2463" w:rsidRDefault="00000000">
      <w:pPr>
        <w:pStyle w:val="Heading3"/>
      </w:pPr>
      <w:bookmarkStart w:id="18" w:name="_heading=h.566zjnajfjlf" w:colFirst="0" w:colLast="0"/>
      <w:bookmarkEnd w:id="18"/>
      <w:r>
        <w:t>2.2.3 Global Knowledge-Sharing &amp; Career Pathway Networks</w:t>
      </w:r>
    </w:p>
    <w:p w14:paraId="564B0173" w14:textId="77777777" w:rsidR="000C2463" w:rsidRDefault="00000000">
      <w:pPr>
        <w:spacing w:before="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NHSX needs to move away from the conventional career ladder and establish a dual career path model that is clear, with equal opportunities for both technical contributors and managerial leaders. NHSX will create a 'Global Peer Mentoring Network' of senior engineers and managers. </w:t>
      </w:r>
      <w:r>
        <w:rPr>
          <w:rFonts w:ascii="Times New Roman" w:eastAsia="Times New Roman" w:hAnsi="Times New Roman" w:cs="Times New Roman"/>
          <w:color w:val="FF0000"/>
          <w:sz w:val="24"/>
          <w:szCs w:val="24"/>
        </w:rPr>
        <w:t>These solutions address four interrelated challenges: lack of progression (dual career paths and the talent marketplace), limited learning opportunities (the AI &amp; HealthTech Academy and 10% learning time), poor wellbeing (psychological safety and workload limits) and weak performance (skills growth and a blame-free learning culture).</w:t>
      </w:r>
    </w:p>
    <w:p w14:paraId="168382F4" w14:textId="77777777" w:rsidR="000C2463" w:rsidRDefault="00000000">
      <w:pPr>
        <w:pStyle w:val="Heading2"/>
      </w:pPr>
      <w:bookmarkStart w:id="19" w:name="_heading=h.upgfifbetcsh" w:colFirst="0" w:colLast="0"/>
      <w:bookmarkEnd w:id="19"/>
      <w:r>
        <w:t>2.3 Evaluation &amp; Long-Term Talent Retention</w:t>
      </w:r>
    </w:p>
    <w:p w14:paraId="4E438CE0"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integrated talent ecosystem directly tackles NHSX's strategic challenges, enhancing retention and innovation metrics of products. In doing so, NHSX creates a culture within the workplace in which talent can flourish for years to come through meeting the fundamental psychological needs of autonomy, competence and relatedness (Saadallah, 2025, p.325). </w:t>
      </w:r>
    </w:p>
    <w:tbl>
      <w:tblPr>
        <w:tblStyle w:val="a7"/>
        <w:tblW w:w="927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665"/>
        <w:gridCol w:w="1170"/>
        <w:gridCol w:w="795"/>
        <w:gridCol w:w="2790"/>
        <w:gridCol w:w="2850"/>
      </w:tblGrid>
      <w:tr w:rsidR="000C2463" w14:paraId="4B70979A" w14:textId="77777777">
        <w:trPr>
          <w:trHeight w:val="600"/>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0805D19"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lastRenderedPageBreak/>
              <w:t>Talent Outcome Area</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78034E4"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Current Baseline</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C79DA21"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Target</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9B212E1"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Problem Addressed</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F8B3B58" w14:textId="77777777" w:rsidR="000C2463" w:rsidRDefault="00000000">
            <w:pPr>
              <w:spacing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Strategic Value</w:t>
            </w:r>
          </w:p>
        </w:tc>
      </w:tr>
      <w:tr w:rsidR="000C2463" w14:paraId="4E9F09C1" w14:textId="77777777">
        <w:trPr>
          <w:trHeight w:val="600"/>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974D9DE"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High-Performer Retention</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D6FB34"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72%</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C6FE6C4"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90%</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BF49DC3"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Progression:</w:t>
            </w:r>
            <w:r>
              <w:rPr>
                <w:rFonts w:ascii="Times New Roman" w:eastAsia="Times New Roman" w:hAnsi="Times New Roman" w:cs="Times New Roman"/>
                <w:color w:val="FF0000"/>
                <w:sz w:val="24"/>
                <w:szCs w:val="24"/>
              </w:rPr>
              <w:t xml:space="preserve"> top staff leave for lack of growth.</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254E9ED"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Secures key AI and clinical expertise.</w:t>
            </w:r>
          </w:p>
        </w:tc>
      </w:tr>
      <w:tr w:rsidR="000C2463" w14:paraId="12D35F8F" w14:textId="77777777">
        <w:trPr>
          <w:trHeight w:val="1140"/>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6461717"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Internal Mobility Rate</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9F0AF5E"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8%</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1844CBD"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25%</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B80D336"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Progression and learning opportunities:</w:t>
            </w:r>
            <w:r>
              <w:rPr>
                <w:rFonts w:ascii="Times New Roman" w:eastAsia="Times New Roman" w:hAnsi="Times New Roman" w:cs="Times New Roman"/>
                <w:color w:val="FF0000"/>
                <w:sz w:val="24"/>
                <w:szCs w:val="24"/>
              </w:rPr>
              <w:t xml:space="preserve"> limited movement across teams and regions.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833B5D5"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Better career satisfaction and fewer silos.</w:t>
            </w:r>
          </w:p>
        </w:tc>
      </w:tr>
      <w:tr w:rsidR="000C2463" w14:paraId="24CD5404" w14:textId="77777777">
        <w:trPr>
          <w:trHeight w:val="870"/>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205A6BF"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Psychological Safety Index</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DDAD743"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48%</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F80F212"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80%+</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60D35003"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Wellbeing:</w:t>
            </w:r>
            <w:r>
              <w:rPr>
                <w:rFonts w:ascii="Times New Roman" w:eastAsia="Times New Roman" w:hAnsi="Times New Roman" w:cs="Times New Roman"/>
                <w:color w:val="FF0000"/>
                <w:sz w:val="24"/>
                <w:szCs w:val="24"/>
              </w:rPr>
              <w:t xml:space="preserve"> fear of blame and low trust across borders.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5B17B20"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An open culture that supports safe experimentation.</w:t>
            </w:r>
          </w:p>
        </w:tc>
      </w:tr>
      <w:tr w:rsidR="000C2463" w14:paraId="6F23C724" w14:textId="77777777">
        <w:trPr>
          <w:trHeight w:val="870"/>
        </w:trPr>
        <w:tc>
          <w:tcPr>
            <w:tcW w:w="166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741CEBAD"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(add) Learning Participation</w:t>
            </w:r>
          </w:p>
        </w:tc>
        <w:tc>
          <w:tcPr>
            <w:tcW w:w="117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48A3DF7"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Add baseline from case</w:t>
            </w:r>
          </w:p>
        </w:tc>
        <w:tc>
          <w:tcPr>
            <w:tcW w:w="795"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677F8C9"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Add target</w:t>
            </w:r>
          </w:p>
        </w:tc>
        <w:tc>
          <w:tcPr>
            <w:tcW w:w="279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38FF883"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Learning opportunities and performance:</w:t>
            </w:r>
            <w:r>
              <w:rPr>
                <w:rFonts w:ascii="Times New Roman" w:eastAsia="Times New Roman" w:hAnsi="Times New Roman" w:cs="Times New Roman"/>
                <w:color w:val="FF0000"/>
                <w:sz w:val="24"/>
                <w:szCs w:val="24"/>
              </w:rPr>
              <w:t xml:space="preserve"> skill gaps.</w:t>
            </w:r>
          </w:p>
        </w:tc>
        <w:tc>
          <w:tcPr>
            <w:tcW w:w="2850" w:type="dxa"/>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53D63A1" w14:textId="77777777" w:rsidR="000C2463" w:rsidRDefault="00000000">
            <w:pPr>
              <w:spacing w:before="200"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Stronger capability and productivity.</w:t>
            </w:r>
          </w:p>
        </w:tc>
      </w:tr>
    </w:tbl>
    <w:p w14:paraId="4A9B9DFF" w14:textId="77777777" w:rsidR="000C2463" w:rsidRDefault="00000000">
      <w:pPr>
        <w:spacing w:before="200" w:line="36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Table 4: Talent Strategic Outcome Analysis for NHSX</w:t>
      </w:r>
    </w:p>
    <w:p w14:paraId="4F092B75"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DD50FF5" w14:textId="77777777" w:rsidR="000C2463" w:rsidRDefault="00000000">
      <w:pPr>
        <w:pStyle w:val="Heading1"/>
      </w:pPr>
      <w:bookmarkStart w:id="20" w:name="_heading=h.7kgbmseccawb" w:colFirst="0" w:colLast="0"/>
      <w:bookmarkEnd w:id="20"/>
      <w:r>
        <w:t>TASK C: Reflective Report</w:t>
      </w:r>
    </w:p>
    <w:p w14:paraId="61D1E56C" w14:textId="77777777" w:rsidR="000C2463" w:rsidRDefault="00000000">
      <w:pPr>
        <w:pStyle w:val="Heading2"/>
      </w:pPr>
      <w:bookmarkStart w:id="21" w:name="_heading=h.ud9nggj0iabe" w:colFirst="0" w:colLast="0"/>
      <w:bookmarkEnd w:id="21"/>
      <w:r>
        <w:t>3.1 AI as a Strategic Decision-Support Tool in HRM</w:t>
      </w:r>
    </w:p>
    <w:p w14:paraId="4C5B3BA5"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Utilisation of AI as a humanised tool in business management empowers analytical power and accuracy as well as talent management. The use of AI-based database work has been combined with early predictive analytics and balancing a better transformation with business. The responsibilities of AI practices involve managing a vast employee and customer database with easy computation and analytics. The forecast of sales values and profitability analysis can be easily derived through the evaluation of AI-based operational analysis (Setyawan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p.252). </w:t>
      </w:r>
    </w:p>
    <w:p w14:paraId="630C19DB" w14:textId="77777777" w:rsidR="000C2463" w:rsidRDefault="00000000">
      <w:pPr>
        <w:pStyle w:val="Heading2"/>
      </w:pPr>
      <w:bookmarkStart w:id="22" w:name="_heading=h.83okhllc9tom" w:colFirst="0" w:colLast="0"/>
      <w:bookmarkEnd w:id="22"/>
      <w:r>
        <w:t>3.2 Reflective Analysis on AI Tool Usage</w:t>
      </w:r>
    </w:p>
    <w:p w14:paraId="6248DC7E" w14:textId="77777777" w:rsidR="000C2463" w:rsidRDefault="00000000">
      <w:pPr>
        <w:pStyle w:val="Heading3"/>
      </w:pPr>
      <w:bookmarkStart w:id="23" w:name="_heading=h.6qnq4uxjqlu4" w:colFirst="0" w:colLast="0"/>
      <w:bookmarkEnd w:id="23"/>
      <w:r>
        <w:t>3.2.1 Example 1: Research &amp; Synthesis</w:t>
      </w:r>
    </w:p>
    <w:p w14:paraId="203FCA3B" w14:textId="77777777" w:rsidR="000C2463" w:rsidRDefault="00000000">
      <w:pPr>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Description &amp; Feelings:</w:t>
      </w:r>
    </w:p>
    <w:p w14:paraId="4A3E07F5"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think the use of AI in academic work is the best way to ensure in-depth research in a minimal timeline. Also, I feel AI can generate higher performance with minimal effort, especially in search-based tasks.</w:t>
      </w:r>
    </w:p>
    <w:p w14:paraId="48C429A1" w14:textId="77777777" w:rsidR="000C2463" w:rsidRDefault="00000000">
      <w:pPr>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Evaluation &amp; Analysis:</w:t>
      </w:r>
    </w:p>
    <w:p w14:paraId="287DE759"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evaluation, AI evaluates complicated contexts and easily identifies the structural issues in academic tasks. However, some of the resources it finds are outdated and vague as well. </w:t>
      </w:r>
    </w:p>
    <w:p w14:paraId="0120FD5B" w14:textId="77777777" w:rsidR="000C2463" w:rsidRDefault="00000000">
      <w:pPr>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 &amp; Action Plan:</w:t>
      </w:r>
    </w:p>
    <w:p w14:paraId="69A42C20"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content generated using an AI tool is completely different from articles which avoid illegal transcription or copyright issues in academic work. </w:t>
      </w:r>
    </w:p>
    <w:p w14:paraId="5A3DBDF0" w14:textId="77777777" w:rsidR="000C2463" w:rsidRDefault="00000000">
      <w:pPr>
        <w:pStyle w:val="Heading3"/>
      </w:pPr>
      <w:bookmarkStart w:id="24" w:name="_heading=h.asy1bbmauynm" w:colFirst="0" w:colLast="0"/>
      <w:bookmarkEnd w:id="24"/>
      <w:r>
        <w:t>3.2.2 Structure &amp; Idea Generation (Report Formatting)</w:t>
      </w:r>
    </w:p>
    <w:p w14:paraId="0DAC7E3A"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descriptive review, I think of the structural options for short-term writing, like essays and reports. The structural guidance, as well as writing assistance, can be extremely relevant to topics and research work. It feels great to create new ideas and conceptualisation of article-based reviews quickly are the best values identified through these AI tools. </w:t>
      </w:r>
    </w:p>
    <w:p w14:paraId="2D7328F9" w14:textId="77777777" w:rsidR="000C2463" w:rsidRDefault="00000000">
      <w:pPr>
        <w:pStyle w:val="Heading3"/>
      </w:pPr>
      <w:bookmarkStart w:id="25" w:name="_heading=h.ejrivcszrpwx" w:colFirst="0" w:colLast="0"/>
      <w:bookmarkEnd w:id="25"/>
      <w:r>
        <w:t>3.2.3 Drafting &amp; Refinement Challenge (Contextual Alignment)</w:t>
      </w:r>
    </w:p>
    <w:p w14:paraId="35F7B13F" w14:textId="77777777" w:rsidR="000C2463"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Especially for the academic assignment, the draft work will be easily contextualised through the refinement work and opportunities in this segment. However, generating a general advice rather than exquisite research outcomes, the AI tool further provides majorly with contextual alignment well. I think, despite having drawbacks, AI must be used under mentors' instruction and AI regulations for new idea generation and creative structure work.</w:t>
      </w:r>
    </w:p>
    <w:p w14:paraId="7A57A117" w14:textId="77777777" w:rsidR="000C2463" w:rsidRDefault="00000000">
      <w:pPr>
        <w:pStyle w:val="Heading2"/>
      </w:pPr>
      <w:bookmarkStart w:id="26" w:name="_heading=h.w6o085r30yqi" w:colFirst="0" w:colLast="0"/>
      <w:bookmarkEnd w:id="26"/>
      <w:r>
        <w:t>3.3 Personal Capability Development Plan or Actionable Employability Plan</w:t>
      </w:r>
    </w:p>
    <w:tbl>
      <w:tblPr>
        <w:tblStyle w:val="a8"/>
        <w:tblW w:w="93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35"/>
        <w:gridCol w:w="2085"/>
        <w:gridCol w:w="2670"/>
        <w:gridCol w:w="2610"/>
      </w:tblGrid>
      <w:tr w:rsidR="000C2463" w14:paraId="2B86FFB6" w14:textId="77777777">
        <w:trPr>
          <w:trHeight w:val="627"/>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ECBDC14" w14:textId="77777777" w:rsidR="000C2463" w:rsidRDefault="00000000">
            <w:pPr>
              <w:spacing w:after="16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Development Goal &amp; Skill</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DC6B452" w14:textId="77777777" w:rsidR="000C2463" w:rsidRDefault="00000000">
            <w:pPr>
              <w:spacing w:after="16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Target Competency Area</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B008B74" w14:textId="77777777" w:rsidR="000C2463" w:rsidRDefault="00000000">
            <w:pPr>
              <w:spacing w:after="16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Specific Action Steps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EF29691" w14:textId="77777777" w:rsidR="000C2463" w:rsidRDefault="00000000">
            <w:pPr>
              <w:spacing w:after="16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Timeline &amp; Success Metric</w:t>
            </w:r>
          </w:p>
        </w:tc>
      </w:tr>
      <w:tr w:rsidR="000C2463" w14:paraId="55024F03" w14:textId="77777777">
        <w:trPr>
          <w:trHeight w:val="2124"/>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50CA415"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People Analytics &amp; Ethical AI Governance</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FFB7F6"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decision-making and data-driven HR practices.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D41156E"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an accredited course in HR Data Analytics and Ethical AI Governance.</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74E01E96"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Months 1–3:</w:t>
            </w:r>
            <w:r>
              <w:rPr>
                <w:rFonts w:ascii="Times New Roman" w:eastAsia="Times New Roman" w:hAnsi="Times New Roman" w:cs="Times New Roman"/>
                <w:sz w:val="24"/>
                <w:szCs w:val="24"/>
              </w:rPr>
              <w:t xml:space="preserve"> Attain certification; demonstrate proficiency in data auditing.</w:t>
            </w:r>
          </w:p>
        </w:tc>
      </w:tr>
      <w:tr w:rsidR="000C2463" w14:paraId="02E95B3F" w14:textId="77777777">
        <w:trPr>
          <w:trHeight w:val="1605"/>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549DFCEE"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Cross-Cultural HR &amp; Agile Leadership</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BFD244E"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international teams and hybrid operations.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966A91D"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 in cross-regional virtual workshops and study international labour frameworks.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272A324"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Months 4–6:</w:t>
            </w:r>
            <w:r>
              <w:rPr>
                <w:rFonts w:ascii="Times New Roman" w:eastAsia="Times New Roman" w:hAnsi="Times New Roman" w:cs="Times New Roman"/>
                <w:sz w:val="24"/>
                <w:szCs w:val="24"/>
              </w:rPr>
              <w:t xml:space="preserve"> Design and run an asynchronous project trial successfully.</w:t>
            </w:r>
          </w:p>
        </w:tc>
      </w:tr>
      <w:tr w:rsidR="000C2463" w14:paraId="1C3DDE41" w14:textId="77777777">
        <w:trPr>
          <w:trHeight w:val="1605"/>
        </w:trPr>
        <w:tc>
          <w:tcPr>
            <w:tcW w:w="193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4D5E3816" w14:textId="77777777" w:rsidR="000C2463" w:rsidRDefault="00000000">
            <w:pPr>
              <w:spacing w:after="16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Talent Management</w:t>
            </w:r>
          </w:p>
        </w:tc>
        <w:tc>
          <w:tcPr>
            <w:tcW w:w="208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329A774F"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Designing psychological safety and EX frameworks.</w:t>
            </w:r>
          </w:p>
        </w:tc>
        <w:tc>
          <w:tcPr>
            <w:tcW w:w="267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6ADFE34B"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Lead a team project using Job Crafting principles and psychological safety practices.</w:t>
            </w:r>
          </w:p>
        </w:tc>
        <w:tc>
          <w:tcPr>
            <w:tcW w:w="261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2A1FAD08" w14:textId="77777777" w:rsidR="000C2463"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Months 7–12:</w:t>
            </w:r>
            <w:r>
              <w:rPr>
                <w:rFonts w:ascii="Times New Roman" w:eastAsia="Times New Roman" w:hAnsi="Times New Roman" w:cs="Times New Roman"/>
                <w:sz w:val="24"/>
                <w:szCs w:val="24"/>
              </w:rPr>
              <w:t xml:space="preserve"> Achieve a 15% increase in team satisfaction and collaboration scores.</w:t>
            </w:r>
          </w:p>
        </w:tc>
      </w:tr>
    </w:tbl>
    <w:p w14:paraId="0C842EFF" w14:textId="77777777" w:rsidR="000C2463" w:rsidRDefault="00000000">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5: Action Plan for Employability and Career Growth</w:t>
      </w:r>
    </w:p>
    <w:p w14:paraId="460B95C6" w14:textId="77777777" w:rsidR="000C2463" w:rsidRDefault="00000000">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57D9C0E" w14:textId="77777777" w:rsidR="000C2463" w:rsidRDefault="00000000">
      <w:pPr>
        <w:rPr>
          <w:rFonts w:ascii="Times New Roman" w:eastAsia="Times New Roman" w:hAnsi="Times New Roman" w:cs="Times New Roman"/>
          <w:sz w:val="24"/>
          <w:szCs w:val="24"/>
        </w:rPr>
      </w:pPr>
      <w:r>
        <w:br w:type="page"/>
      </w:r>
    </w:p>
    <w:p w14:paraId="7ED897BA" w14:textId="77777777" w:rsidR="000C2463" w:rsidRDefault="00000000">
      <w:pPr>
        <w:pStyle w:val="Heading1"/>
      </w:pPr>
      <w:bookmarkStart w:id="27" w:name="_heading=h.ifyh4d36f2g6" w:colFirst="0" w:colLast="0"/>
      <w:bookmarkEnd w:id="27"/>
      <w:r>
        <w:lastRenderedPageBreak/>
        <w:t>Reference List</w:t>
      </w:r>
    </w:p>
    <w:p w14:paraId="5641C82F"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Ang, K. C., Sankaran, S., and Liu, D. (2025). Advancing sociotechnical systems theory: New principles for human-robot team design and development. </w:t>
      </w:r>
      <w:r>
        <w:rPr>
          <w:rFonts w:ascii="Times New Roman" w:eastAsia="Times New Roman" w:hAnsi="Times New Roman" w:cs="Times New Roman"/>
          <w:i/>
          <w:iCs/>
          <w:sz w:val="24"/>
          <w:szCs w:val="24"/>
        </w:rPr>
        <w:t>Applied Ergonomics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129</w:t>
      </w:r>
      <w:r>
        <w:rPr>
          <w:rFonts w:ascii="Times New Roman" w:eastAsia="Times New Roman" w:hAnsi="Times New Roman" w:cs="Times New Roman"/>
          <w:sz w:val="24"/>
          <w:szCs w:val="24"/>
        </w:rPr>
        <w:t>, 104604.</w:t>
      </w:r>
    </w:p>
    <w:p w14:paraId="34A9989A"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Armbruster, J., and Huemann, M. (2026). How Individuals Experience Autonomy in Agile Project Teams. </w:t>
      </w:r>
      <w:r>
        <w:rPr>
          <w:rFonts w:ascii="Times New Roman" w:eastAsia="Times New Roman" w:hAnsi="Times New Roman" w:cs="Times New Roman"/>
          <w:i/>
          <w:iCs/>
          <w:sz w:val="24"/>
          <w:szCs w:val="24"/>
        </w:rPr>
        <w:t>Project Management Journal</w:t>
      </w:r>
      <w:r>
        <w:rPr>
          <w:rFonts w:ascii="Times New Roman" w:eastAsia="Times New Roman" w:hAnsi="Times New Roman" w:cs="Times New Roman"/>
          <w:sz w:val="24"/>
          <w:szCs w:val="24"/>
        </w:rPr>
        <w:t>, 87569728261460660.</w:t>
      </w:r>
    </w:p>
    <w:p w14:paraId="69502A81"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Bjerre, S., and Leimbach, T. (2026). Understanding multilevel paradoxes in agile projects: between autonomy and control in self-managing teams. </w:t>
      </w:r>
      <w:r>
        <w:rPr>
          <w:rFonts w:ascii="Times New Roman" w:eastAsia="Times New Roman" w:hAnsi="Times New Roman" w:cs="Times New Roman"/>
          <w:i/>
          <w:iCs/>
          <w:sz w:val="24"/>
          <w:szCs w:val="24"/>
        </w:rPr>
        <w:t>Project Leadership and Society</w:t>
      </w:r>
      <w:r>
        <w:rPr>
          <w:rFonts w:ascii="Times New Roman" w:eastAsia="Times New Roman" w:hAnsi="Times New Roman" w:cs="Times New Roman"/>
          <w:sz w:val="24"/>
          <w:szCs w:val="24"/>
        </w:rPr>
        <w:t>, 100213.</w:t>
      </w:r>
    </w:p>
    <w:p w14:paraId="437B798B"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Edmondson, A. C., and Bransby, D. P. (2023). Psychological safety comes of age: Observed themes in an established literature. </w:t>
      </w:r>
      <w:r>
        <w:rPr>
          <w:rFonts w:ascii="Times New Roman" w:eastAsia="Times New Roman" w:hAnsi="Times New Roman" w:cs="Times New Roman"/>
          <w:i/>
          <w:iCs/>
          <w:sz w:val="24"/>
          <w:szCs w:val="24"/>
        </w:rPr>
        <w:t>Annual review of organizational psychology and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(1), 55-78.</w:t>
      </w:r>
    </w:p>
    <w:p w14:paraId="72F2ABCD"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Elorza, U., Garmendia, A., Kilroy, S., Van de Voorde, K., and Van Beurden, J. (2022). The effect of high involvement work systems on organisational performance and employee well‐being in a Spanish industrial context. </w:t>
      </w:r>
      <w:r>
        <w:rPr>
          <w:rFonts w:ascii="Times New Roman" w:eastAsia="Times New Roman" w:hAnsi="Times New Roman" w:cs="Times New Roman"/>
          <w:i/>
          <w:iCs/>
          <w:sz w:val="24"/>
          <w:szCs w:val="24"/>
        </w:rPr>
        <w:t>Human Resource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32</w:t>
      </w:r>
      <w:r>
        <w:rPr>
          <w:rFonts w:ascii="Times New Roman" w:eastAsia="Times New Roman" w:hAnsi="Times New Roman" w:cs="Times New Roman"/>
          <w:sz w:val="24"/>
          <w:szCs w:val="24"/>
        </w:rPr>
        <w:t>(4), 782-798.</w:t>
      </w:r>
    </w:p>
    <w:p w14:paraId="62B5BD4C"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Frederick, K. D., Lewis, L. S., Larson, S., Cooley, J., Cleven, A. J., Dawson, S., ... and Williams, C. A. (2026). Dweck’s Growth Mindset Theory in Health Professions Education: A Bibliometric Review. </w:t>
      </w:r>
      <w:r>
        <w:rPr>
          <w:rFonts w:ascii="Times New Roman" w:eastAsia="Times New Roman" w:hAnsi="Times New Roman" w:cs="Times New Roman"/>
          <w:i/>
          <w:iCs/>
          <w:sz w:val="24"/>
          <w:szCs w:val="24"/>
        </w:rPr>
        <w:t>Medical Science Educator</w:t>
      </w:r>
      <w:r>
        <w:rPr>
          <w:rFonts w:ascii="Times New Roman" w:eastAsia="Times New Roman" w:hAnsi="Times New Roman" w:cs="Times New Roman"/>
          <w:sz w:val="24"/>
          <w:szCs w:val="24"/>
        </w:rPr>
        <w:t>, 1-9.</w:t>
      </w:r>
    </w:p>
    <w:p w14:paraId="712C071D"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Growthengineering, (2025), What Is a Growth Mindset? Dweck’s Theory, Research &amp; How to Develop One, [Online] Available at: </w:t>
      </w:r>
      <w:hyperlink r:id="rId13">
        <w:r>
          <w:rPr>
            <w:rFonts w:ascii="Times New Roman" w:eastAsia="Times New Roman" w:hAnsi="Times New Roman" w:cs="Times New Roman"/>
            <w:color w:val="0000FF"/>
            <w:sz w:val="24"/>
            <w:szCs w:val="24"/>
            <w:u w:val="single"/>
          </w:rPr>
          <w:t>https://www.growthengineering.co.uk/growth-mindset/</w:t>
        </w:r>
      </w:hyperlink>
      <w:r>
        <w:rPr>
          <w:rFonts w:ascii="Times New Roman" w:eastAsia="Times New Roman" w:hAnsi="Times New Roman" w:cs="Times New Roman"/>
          <w:sz w:val="24"/>
          <w:szCs w:val="24"/>
        </w:rPr>
        <w:t xml:space="preserve"> [Accessed on: 09/10/2026]</w:t>
      </w:r>
    </w:p>
    <w:p w14:paraId="4119E310"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Kaizenko, (2025), Amy Edmondson’s Psychological Safety: Leadership Guide to Team Innovation, [Online] Available at: </w:t>
      </w:r>
      <w:hyperlink r:id="rId14">
        <w:r>
          <w:rPr>
            <w:rFonts w:ascii="Times New Roman" w:eastAsia="Times New Roman" w:hAnsi="Times New Roman" w:cs="Times New Roman"/>
            <w:color w:val="0000FF"/>
            <w:sz w:val="24"/>
            <w:szCs w:val="24"/>
            <w:u w:val="single"/>
          </w:rPr>
          <w:t>https://www.kaizenko.com/amy-edmondsons-psychological-safety-leadership-guide-to-team-innovation/</w:t>
        </w:r>
      </w:hyperlink>
      <w:r>
        <w:rPr>
          <w:rFonts w:ascii="Times New Roman" w:eastAsia="Times New Roman" w:hAnsi="Times New Roman" w:cs="Times New Roman"/>
          <w:sz w:val="24"/>
          <w:szCs w:val="24"/>
        </w:rPr>
        <w:t xml:space="preserve"> [Accessed on: 09/10/2026]</w:t>
      </w:r>
    </w:p>
    <w:p w14:paraId="1928BCA6"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Kemp, T., Ayton, J., Butler-Henderson, K., and Lam, M. (2024). Using socio-technical systems theory to study the health information management workforce in Australian acute hospitals. </w:t>
      </w:r>
      <w:r>
        <w:rPr>
          <w:rFonts w:ascii="Times New Roman" w:eastAsia="Times New Roman" w:hAnsi="Times New Roman" w:cs="Times New Roman"/>
          <w:i/>
          <w:iCs/>
          <w:sz w:val="24"/>
          <w:szCs w:val="24"/>
        </w:rPr>
        <w:t>Social Theory &amp;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(4), 285-300.</w:t>
      </w:r>
    </w:p>
    <w:p w14:paraId="4AD9EBFE"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Leino, T., Veledar, O., Macher, G., Kniewallner, J., Armengaud, E., and Koivunen, N. (2022, August). Challenging hierarchical structure to boost technical outcomes. In </w:t>
      </w:r>
      <w:r>
        <w:rPr>
          <w:rFonts w:ascii="Times New Roman" w:eastAsia="Times New Roman" w:hAnsi="Times New Roman" w:cs="Times New Roman"/>
          <w:i/>
          <w:iCs/>
          <w:sz w:val="24"/>
          <w:szCs w:val="24"/>
        </w:rPr>
        <w:t xml:space="preserve">European </w:t>
      </w:r>
      <w:r>
        <w:rPr>
          <w:rFonts w:ascii="Times New Roman" w:eastAsia="Times New Roman" w:hAnsi="Times New Roman" w:cs="Times New Roman"/>
          <w:i/>
          <w:iCs/>
          <w:sz w:val="24"/>
          <w:szCs w:val="24"/>
        </w:rPr>
        <w:lastRenderedPageBreak/>
        <w:t>Conference on Software Process Improvement</w:t>
      </w:r>
      <w:r>
        <w:rPr>
          <w:rFonts w:ascii="Times New Roman" w:eastAsia="Times New Roman" w:hAnsi="Times New Roman" w:cs="Times New Roman"/>
          <w:sz w:val="24"/>
          <w:szCs w:val="24"/>
        </w:rPr>
        <w:t xml:space="preserve"> (pp. 707-714). Cham: Springer International Publishing.</w:t>
      </w:r>
    </w:p>
    <w:p w14:paraId="253F5840"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Marx, K., Jacobs, M., and Jonker, C. (2025). Job-crafting amid uncertainty: South African employee experiences during the COVID-19 pandemic. </w:t>
      </w:r>
      <w:r>
        <w:rPr>
          <w:rFonts w:ascii="Times New Roman" w:eastAsia="Times New Roman" w:hAnsi="Times New Roman" w:cs="Times New Roman"/>
          <w:i/>
          <w:iCs/>
          <w:sz w:val="24"/>
          <w:szCs w:val="24"/>
        </w:rPr>
        <w:t>SA Journal of Human Resource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23</w:t>
      </w:r>
      <w:r>
        <w:rPr>
          <w:rFonts w:ascii="Times New Roman" w:eastAsia="Times New Roman" w:hAnsi="Times New Roman" w:cs="Times New Roman"/>
          <w:sz w:val="24"/>
          <w:szCs w:val="24"/>
        </w:rPr>
        <w:t>, 2844.</w:t>
      </w:r>
    </w:p>
    <w:p w14:paraId="0A295516"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Matriano, M. T. (2024). Organizational Structure, Its Drawbacks and Shortcomings and Overall Impact to Organizational Behavior. </w:t>
      </w:r>
      <w:r>
        <w:rPr>
          <w:rFonts w:ascii="Times New Roman" w:eastAsia="Times New Roman" w:hAnsi="Times New Roman" w:cs="Times New Roman"/>
          <w:i/>
          <w:iCs/>
          <w:sz w:val="24"/>
          <w:szCs w:val="24"/>
        </w:rPr>
        <w:t>Gsj</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1873-82.</w:t>
      </w:r>
    </w:p>
    <w:p w14:paraId="6EB1EB8E"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Morgeson III, F. V., Hult, G. T. M., Sharma, U., and Fornell, C. (2023). The American customer satisfaction index (ACSI): A sample dataset and description. </w:t>
      </w:r>
      <w:r>
        <w:rPr>
          <w:rFonts w:ascii="Times New Roman" w:eastAsia="Times New Roman" w:hAnsi="Times New Roman" w:cs="Times New Roman"/>
          <w:i/>
          <w:iCs/>
          <w:sz w:val="24"/>
          <w:szCs w:val="24"/>
        </w:rPr>
        <w:t>Data in Brief</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48</w:t>
      </w:r>
      <w:r>
        <w:rPr>
          <w:rFonts w:ascii="Times New Roman" w:eastAsia="Times New Roman" w:hAnsi="Times New Roman" w:cs="Times New Roman"/>
          <w:sz w:val="24"/>
          <w:szCs w:val="24"/>
        </w:rPr>
        <w:t>, 109123.</w:t>
      </w:r>
      <w:r>
        <w:t xml:space="preserve"> </w:t>
      </w:r>
    </w:p>
    <w:p w14:paraId="3AA69A20"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Purohit, K. (2025). The Adaptive Learning Ecosystem: How Ai Transforms Digital Education Through Continuous Feedback Loops. </w:t>
      </w:r>
      <w:r>
        <w:rPr>
          <w:rFonts w:ascii="Times New Roman" w:eastAsia="Times New Roman" w:hAnsi="Times New Roman" w:cs="Times New Roman"/>
          <w:i/>
          <w:iCs/>
          <w:sz w:val="24"/>
          <w:szCs w:val="24"/>
        </w:rPr>
        <w:t>Ipho-Journal Of Advance Research In Science And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(12), 35-42.</w:t>
      </w:r>
    </w:p>
    <w:p w14:paraId="24739B10"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Rammstedt, B., Grüning, D. J., and Lechner, C. M. (2024). Measuring growth mindset: Validation of a three-item and a single-item scale in adolescents and adults. </w:t>
      </w:r>
      <w:r>
        <w:rPr>
          <w:rFonts w:ascii="Times New Roman" w:eastAsia="Times New Roman" w:hAnsi="Times New Roman" w:cs="Times New Roman"/>
          <w:i/>
          <w:iCs/>
          <w:sz w:val="24"/>
          <w:szCs w:val="24"/>
        </w:rPr>
        <w:t>European Journal of Psychological Assessment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40</w:t>
      </w:r>
      <w:r>
        <w:rPr>
          <w:rFonts w:ascii="Times New Roman" w:eastAsia="Times New Roman" w:hAnsi="Times New Roman" w:cs="Times New Roman"/>
          <w:sz w:val="24"/>
          <w:szCs w:val="24"/>
        </w:rPr>
        <w:t>(1), 84.</w:t>
      </w:r>
    </w:p>
    <w:p w14:paraId="02107BB3"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Saadallah, F. O. (2025). The Impact of Artificial Intelligence on Talent Management and Employee Retention. </w:t>
      </w:r>
      <w:r>
        <w:rPr>
          <w:rFonts w:ascii="Times New Roman" w:eastAsia="Times New Roman" w:hAnsi="Times New Roman" w:cs="Times New Roman"/>
          <w:i/>
          <w:iCs/>
          <w:sz w:val="24"/>
          <w:szCs w:val="24"/>
        </w:rPr>
        <w:t>Rihan Journal for Science Publishing</w:t>
      </w:r>
      <w:r>
        <w:rPr>
          <w:rFonts w:ascii="Times New Roman" w:eastAsia="Times New Roman" w:hAnsi="Times New Roman" w:cs="Times New Roman"/>
          <w:sz w:val="24"/>
          <w:szCs w:val="24"/>
        </w:rPr>
        <w:t>, (59), 325.</w:t>
      </w:r>
    </w:p>
    <w:p w14:paraId="4D662F0F"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Santana, B., Monte, L., de Araújo Silva, B. S., Carneiro, G., Freire, S., Santos, J. A. M., and Mendonça, M. (2025). Psychological safety in software workplaces: A systematic literature review. </w:t>
      </w:r>
      <w:r>
        <w:rPr>
          <w:rFonts w:ascii="Times New Roman" w:eastAsia="Times New Roman" w:hAnsi="Times New Roman" w:cs="Times New Roman"/>
          <w:i/>
          <w:iCs/>
          <w:sz w:val="24"/>
          <w:szCs w:val="24"/>
        </w:rPr>
        <w:t>Information and Software Technology</w:t>
      </w:r>
      <w:r>
        <w:rPr>
          <w:rFonts w:ascii="Times New Roman" w:eastAsia="Times New Roman" w:hAnsi="Times New Roman" w:cs="Times New Roman"/>
          <w:sz w:val="24"/>
          <w:szCs w:val="24"/>
        </w:rPr>
        <w:t>, 107838.</w:t>
      </w:r>
    </w:p>
    <w:p w14:paraId="642832A8"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Setyawan, G. C., Zou, G., Jie, L., Jixiong, C., &amp; Widyatiningtyas, R. (2024). The role of artificial intelligence in talent acquisition and retention. </w:t>
      </w:r>
      <w:r>
        <w:rPr>
          <w:rFonts w:ascii="Times New Roman" w:eastAsia="Times New Roman" w:hAnsi="Times New Roman" w:cs="Times New Roman"/>
          <w:i/>
          <w:iCs/>
          <w:sz w:val="24"/>
          <w:szCs w:val="24"/>
        </w:rPr>
        <w:t>Journal Markcount Finance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(2), 252-262.</w:t>
      </w:r>
    </w:p>
    <w:p w14:paraId="752C5090"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Standahl Johannessen, S., and Karlsen, J. T. (2025). Agile transformation in the energy sector: empowering autonomous teams. </w:t>
      </w:r>
      <w:r>
        <w:rPr>
          <w:rFonts w:ascii="Times New Roman" w:eastAsia="Times New Roman" w:hAnsi="Times New Roman" w:cs="Times New Roman"/>
          <w:i/>
          <w:iCs/>
          <w:sz w:val="24"/>
          <w:szCs w:val="24"/>
        </w:rPr>
        <w:t>International Journal of Energy Sector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w:t>
      </w:r>
      <w:r>
        <w:rPr>
          <w:rFonts w:ascii="Times New Roman" w:eastAsia="Times New Roman" w:hAnsi="Times New Roman" w:cs="Times New Roman"/>
          <w:sz w:val="24"/>
          <w:szCs w:val="24"/>
        </w:rPr>
        <w:t>(2), 389-411.</w:t>
      </w:r>
    </w:p>
    <w:p w14:paraId="401B95FB"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Steiber, A., and Ghosh, S. (2026, January). Dynamic Capabilities in AI-powered Business Ecosystems. In </w:t>
      </w:r>
      <w:r>
        <w:rPr>
          <w:rFonts w:ascii="Times New Roman" w:eastAsia="Times New Roman" w:hAnsi="Times New Roman" w:cs="Times New Roman"/>
          <w:i/>
          <w:iCs/>
          <w:sz w:val="24"/>
          <w:szCs w:val="24"/>
        </w:rPr>
        <w:t>Research and Innovation Forum 2025 Volume 1: Competitiveness, Growth and Well-Being Through Technology, Innovation and Education</w:t>
      </w:r>
      <w:r>
        <w:rPr>
          <w:rFonts w:ascii="Times New Roman" w:eastAsia="Times New Roman" w:hAnsi="Times New Roman" w:cs="Times New Roman"/>
          <w:sz w:val="24"/>
          <w:szCs w:val="24"/>
        </w:rPr>
        <w:t xml:space="preserve"> (Vol. 1, p. 153). Springer Nature.</w:t>
      </w:r>
    </w:p>
    <w:p w14:paraId="7D5586C9" w14:textId="77777777" w:rsidR="000C2463"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F., Wang, B., Liao, Y., Qian, J., and Parker, S. K. (2025). Job crafting through the lens of exploitation and exploration: A daily diary study on job crafting towards strengths and development. </w:t>
      </w:r>
      <w:r>
        <w:rPr>
          <w:rFonts w:ascii="Times New Roman" w:eastAsia="Times New Roman" w:hAnsi="Times New Roman" w:cs="Times New Roman"/>
          <w:i/>
          <w:iCs/>
          <w:sz w:val="24"/>
          <w:szCs w:val="24"/>
        </w:rPr>
        <w:t>Journal of Occupational and Organizational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98</w:t>
      </w:r>
      <w:r>
        <w:rPr>
          <w:rFonts w:ascii="Times New Roman" w:eastAsia="Times New Roman" w:hAnsi="Times New Roman" w:cs="Times New Roman"/>
          <w:sz w:val="24"/>
          <w:szCs w:val="24"/>
        </w:rPr>
        <w:t>(2), e70029.</w:t>
      </w:r>
    </w:p>
    <w:sectPr w:rsidR="000C2463" w:rsidSect="00C420D5">
      <w:footerReference w:type="default" r:id="rId1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B950F" w14:textId="77777777" w:rsidR="001B755D" w:rsidRDefault="001B755D">
      <w:pPr>
        <w:spacing w:line="240" w:lineRule="auto"/>
      </w:pPr>
      <w:r>
        <w:separator/>
      </w:r>
    </w:p>
  </w:endnote>
  <w:endnote w:type="continuationSeparator" w:id="0">
    <w:p w14:paraId="47A0A177" w14:textId="77777777" w:rsidR="001B755D" w:rsidRDefault="001B75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FC38BB8-620A-429E-8C99-0367AA4EE062}"/>
  </w:font>
  <w:font w:name="Cambria">
    <w:panose1 w:val="02040503050406030204"/>
    <w:charset w:val="00"/>
    <w:family w:val="roman"/>
    <w:pitch w:val="variable"/>
    <w:sig w:usb0="E00006FF" w:usb1="420024FF" w:usb2="02000000" w:usb3="00000000" w:csb0="0000019F" w:csb1="00000000"/>
    <w:embedRegular r:id="rId2" w:fontKey="{D28F8448-8FCC-4F58-9C42-DB4E7B253A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0F097" w14:textId="77777777" w:rsidR="000C2463"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C420D5">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5B8ACFEF" w14:textId="77777777" w:rsidR="000C2463" w:rsidRDefault="000C246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B8835" w14:textId="77777777" w:rsidR="001B755D" w:rsidRDefault="001B755D">
      <w:pPr>
        <w:spacing w:line="240" w:lineRule="auto"/>
      </w:pPr>
      <w:r>
        <w:separator/>
      </w:r>
    </w:p>
  </w:footnote>
  <w:footnote w:type="continuationSeparator" w:id="0">
    <w:p w14:paraId="071C0C68" w14:textId="77777777" w:rsidR="001B755D" w:rsidRDefault="001B75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A00E0"/>
    <w:multiLevelType w:val="multilevel"/>
    <w:tmpl w:val="44F00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76766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463"/>
    <w:rsid w:val="000C2463"/>
    <w:rsid w:val="001B755D"/>
    <w:rsid w:val="00C420D5"/>
    <w:rsid w:val="00F819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07487"/>
  <w15:docId w15:val="{8E94F1C2-A4A8-4F96-99B2-0C8894F2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spacing w:before="200"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spacing w:before="20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character" w:styleId="Hyperlink">
    <w:name w:val="Hyperlink"/>
    <w:basedOn w:val="DefaultParagraphFont"/>
    <w:uiPriority w:val="99"/>
    <w:unhideWhenUsed/>
    <w:rsid w:val="00285319"/>
    <w:rPr>
      <w:color w:val="0000FF" w:themeColor="hyperlink"/>
      <w:u w:val="single"/>
    </w:rPr>
  </w:style>
  <w:style w:type="paragraph" w:styleId="Header">
    <w:name w:val="header"/>
    <w:basedOn w:val="Normal"/>
    <w:link w:val="HeaderChar"/>
    <w:uiPriority w:val="99"/>
    <w:unhideWhenUsed/>
    <w:rsid w:val="00310906"/>
    <w:pPr>
      <w:tabs>
        <w:tab w:val="center" w:pos="4513"/>
        <w:tab w:val="right" w:pos="9026"/>
      </w:tabs>
      <w:spacing w:line="240" w:lineRule="auto"/>
    </w:pPr>
  </w:style>
  <w:style w:type="character" w:customStyle="1" w:styleId="HeaderChar">
    <w:name w:val="Header Char"/>
    <w:basedOn w:val="DefaultParagraphFont"/>
    <w:link w:val="Header"/>
    <w:uiPriority w:val="99"/>
    <w:rsid w:val="00310906"/>
  </w:style>
  <w:style w:type="paragraph" w:styleId="Footer">
    <w:name w:val="footer"/>
    <w:basedOn w:val="Normal"/>
    <w:link w:val="FooterChar"/>
    <w:uiPriority w:val="99"/>
    <w:unhideWhenUsed/>
    <w:rsid w:val="00310906"/>
    <w:pPr>
      <w:tabs>
        <w:tab w:val="center" w:pos="4513"/>
        <w:tab w:val="right" w:pos="9026"/>
      </w:tabs>
      <w:spacing w:line="240" w:lineRule="auto"/>
    </w:pPr>
  </w:style>
  <w:style w:type="character" w:customStyle="1" w:styleId="FooterChar">
    <w:name w:val="Footer Char"/>
    <w:basedOn w:val="DefaultParagraphFont"/>
    <w:link w:val="Footer"/>
    <w:uiPriority w:val="99"/>
    <w:rsid w:val="00310906"/>
  </w:style>
  <w:style w:type="paragraph" w:styleId="TOCHeading">
    <w:name w:val="TOC Heading"/>
    <w:basedOn w:val="Heading1"/>
    <w:next w:val="Normal"/>
    <w:uiPriority w:val="39"/>
    <w:unhideWhenUsed/>
    <w:qFormat/>
    <w:rsid w:val="00EE3DDB"/>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E3DDB"/>
    <w:pPr>
      <w:spacing w:after="100"/>
    </w:pPr>
  </w:style>
  <w:style w:type="paragraph" w:styleId="TOC2">
    <w:name w:val="toc 2"/>
    <w:basedOn w:val="Normal"/>
    <w:next w:val="Normal"/>
    <w:autoRedefine/>
    <w:uiPriority w:val="39"/>
    <w:unhideWhenUsed/>
    <w:rsid w:val="00EE3DDB"/>
    <w:pPr>
      <w:spacing w:after="100"/>
      <w:ind w:left="220"/>
    </w:pPr>
  </w:style>
  <w:style w:type="paragraph" w:styleId="TOC3">
    <w:name w:val="toc 3"/>
    <w:basedOn w:val="Normal"/>
    <w:next w:val="Normal"/>
    <w:autoRedefine/>
    <w:uiPriority w:val="39"/>
    <w:unhideWhenUsed/>
    <w:rsid w:val="00EE3DDB"/>
    <w:pPr>
      <w:spacing w:after="100"/>
      <w:ind w:left="440"/>
    </w:p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rowthengineering.co.uk/growth-minds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izenko.com/amy-edmondsons-psychological-safety-leadership-guide-to-team-innovat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M71jG/wBrLulLdn+qHB5tuatLg==">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3876</Words>
  <Characters>22095</Characters>
  <Application>Microsoft Office Word</Application>
  <DocSecurity>0</DocSecurity>
  <Lines>184</Lines>
  <Paragraphs>51</Paragraphs>
  <ScaleCrop>false</ScaleCrop>
  <Company/>
  <LinksUpToDate>false</LinksUpToDate>
  <CharactersWithSpaces>25920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Sayandeep Biswas</cp:lastModifiedBy>
  <cp:revision>2</cp:revision>
  <dcterms:created xsi:type="dcterms:W3CDTF">2026-10-09T12:45:00Z</dcterms:created>
  <dcterms:modified xsi:type="dcterms:W3CDTF">2026-10-13T07:54:00Z</dcterms:modified>
</cp:coreProperties>
</file>