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rPr>
        <w:id w:val="122902132"/>
        <w:docPartObj>
          <w:docPartGallery w:val="Cover Pages"/>
          <w:docPartUnique/>
        </w:docPartObj>
      </w:sdtPr>
      <w:sdtEndPr>
        <w:rPr>
          <w:rFonts w:asciiTheme="minorBidi" w:hAnsiTheme="minorBidi"/>
          <w:b/>
          <w:bCs/>
          <w:color w:val="auto"/>
          <w:sz w:val="28"/>
          <w:szCs w:val="28"/>
        </w:rPr>
      </w:sdtEndPr>
      <w:sdtContent>
        <w:p w14:paraId="1D204C11" w14:textId="592BF0CD" w:rsidR="00682446" w:rsidRDefault="00682446">
          <w:pPr>
            <w:pStyle w:val="NoSpacing"/>
            <w:spacing w:before="1540" w:after="240"/>
            <w:jc w:val="center"/>
            <w:rPr>
              <w:color w:val="156082" w:themeColor="accent1"/>
            </w:rPr>
          </w:pPr>
          <w:r>
            <w:rPr>
              <w:noProof/>
              <w:color w:val="156082" w:themeColor="accent1"/>
            </w:rPr>
            <w:drawing>
              <wp:anchor distT="0" distB="0" distL="114300" distR="114300" simplePos="0" relativeHeight="251668480" behindDoc="1" locked="0" layoutInCell="1" allowOverlap="1" wp14:anchorId="47EDA4C1" wp14:editId="5B15DDEA">
                <wp:simplePos x="0" y="0"/>
                <wp:positionH relativeFrom="column">
                  <wp:posOffset>2309338</wp:posOffset>
                </wp:positionH>
                <wp:positionV relativeFrom="paragraph">
                  <wp:posOffset>289370</wp:posOffset>
                </wp:positionV>
                <wp:extent cx="1417320" cy="750570"/>
                <wp:effectExtent l="0" t="0" r="0" b="0"/>
                <wp:wrapTight wrapText="bothSides">
                  <wp:wrapPolygon edited="0">
                    <wp:start x="7258" y="0"/>
                    <wp:lineTo x="5806" y="1096"/>
                    <wp:lineTo x="871" y="8223"/>
                    <wp:lineTo x="0" y="16995"/>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p w14:paraId="1DE322F2" w14:textId="05C1CCCE" w:rsidR="00682446" w:rsidRDefault="00682446">
          <w:pPr>
            <w:pStyle w:val="NoSpacing"/>
            <w:jc w:val="center"/>
            <w:rPr>
              <w:color w:val="156082" w:themeColor="accent1"/>
              <w:sz w:val="28"/>
              <w:szCs w:val="28"/>
            </w:rPr>
          </w:pPr>
          <w:r>
            <w:rPr>
              <w:noProof/>
            </w:rPr>
            <w:drawing>
              <wp:anchor distT="0" distB="0" distL="114300" distR="114300" simplePos="0" relativeHeight="251658240" behindDoc="1" locked="0" layoutInCell="1" allowOverlap="1" wp14:anchorId="62449296" wp14:editId="368CFC24">
                <wp:simplePos x="0" y="0"/>
                <wp:positionH relativeFrom="margin">
                  <wp:posOffset>415282</wp:posOffset>
                </wp:positionH>
                <wp:positionV relativeFrom="paragraph">
                  <wp:posOffset>76167</wp:posOffset>
                </wp:positionV>
                <wp:extent cx="5111750" cy="1329690"/>
                <wp:effectExtent l="0" t="0" r="0" b="0"/>
                <wp:wrapTight wrapText="bothSides">
                  <wp:wrapPolygon edited="0">
                    <wp:start x="0" y="0"/>
                    <wp:lineTo x="0" y="21352"/>
                    <wp:lineTo x="21493" y="21352"/>
                    <wp:lineTo x="21493" y="0"/>
                    <wp:lineTo x="0" y="0"/>
                  </wp:wrapPolygon>
                </wp:wrapTight>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11750" cy="1329690"/>
                        </a:xfrm>
                        <a:prstGeom prst="rect">
                          <a:avLst/>
                        </a:prstGeom>
                        <a:noFill/>
                      </pic:spPr>
                    </pic:pic>
                  </a:graphicData>
                </a:graphic>
                <wp14:sizeRelH relativeFrom="margin">
                  <wp14:pctWidth>0</wp14:pctWidth>
                </wp14:sizeRelH>
                <wp14:sizeRelV relativeFrom="margin">
                  <wp14:pctHeight>0</wp14:pctHeight>
                </wp14:sizeRelV>
              </wp:anchor>
            </w:drawing>
          </w:r>
        </w:p>
        <w:p w14:paraId="600D19CF" w14:textId="02192EBB" w:rsidR="00682446" w:rsidRDefault="00682446" w:rsidP="00682446">
          <w:pPr>
            <w:tabs>
              <w:tab w:val="left" w:pos="3843"/>
            </w:tabs>
            <w:spacing w:line="480" w:lineRule="auto"/>
            <w:jc w:val="center"/>
            <w:rPr>
              <w:rFonts w:asciiTheme="minorBidi" w:hAnsiTheme="minorBidi"/>
              <w:b/>
              <w:bCs/>
              <w:sz w:val="28"/>
              <w:szCs w:val="28"/>
            </w:rPr>
          </w:pPr>
        </w:p>
        <w:p w14:paraId="3EE09B3D" w14:textId="77777777" w:rsidR="00682446" w:rsidRDefault="00682446" w:rsidP="00682446">
          <w:pPr>
            <w:tabs>
              <w:tab w:val="left" w:pos="3843"/>
            </w:tabs>
            <w:spacing w:line="480" w:lineRule="auto"/>
            <w:jc w:val="center"/>
            <w:rPr>
              <w:rFonts w:asciiTheme="minorBidi" w:hAnsiTheme="minorBidi"/>
              <w:b/>
              <w:bCs/>
              <w:sz w:val="28"/>
              <w:szCs w:val="28"/>
            </w:rPr>
          </w:pPr>
        </w:p>
        <w:p w14:paraId="570DD7E7" w14:textId="77777777" w:rsidR="00682446" w:rsidRDefault="00682446" w:rsidP="00682446">
          <w:pPr>
            <w:tabs>
              <w:tab w:val="left" w:pos="3843"/>
            </w:tabs>
            <w:spacing w:line="480" w:lineRule="auto"/>
            <w:jc w:val="center"/>
            <w:rPr>
              <w:rFonts w:asciiTheme="minorBidi" w:hAnsiTheme="minorBidi"/>
              <w:b/>
              <w:bCs/>
              <w:sz w:val="28"/>
              <w:szCs w:val="28"/>
            </w:rPr>
          </w:pPr>
        </w:p>
        <w:p w14:paraId="1F132BA8" w14:textId="593811C0" w:rsidR="00682446" w:rsidRDefault="00682446" w:rsidP="00682446">
          <w:pPr>
            <w:tabs>
              <w:tab w:val="left" w:pos="3843"/>
            </w:tabs>
            <w:spacing w:line="480" w:lineRule="auto"/>
            <w:jc w:val="center"/>
            <w:rPr>
              <w:rFonts w:asciiTheme="minorBidi" w:hAnsiTheme="minorBidi"/>
              <w:b/>
              <w:bCs/>
              <w:sz w:val="28"/>
              <w:szCs w:val="28"/>
            </w:rPr>
          </w:pPr>
          <w:r w:rsidRPr="00060071">
            <w:rPr>
              <w:rFonts w:asciiTheme="minorBidi" w:hAnsiTheme="minorBidi"/>
              <w:b/>
              <w:bCs/>
              <w:sz w:val="28"/>
              <w:szCs w:val="28"/>
            </w:rPr>
            <w:t xml:space="preserve">Module: </w:t>
          </w:r>
          <w:r w:rsidRPr="00682446">
            <w:rPr>
              <w:rFonts w:asciiTheme="minorBidi" w:hAnsiTheme="minorBidi"/>
              <w:b/>
              <w:bCs/>
              <w:sz w:val="28"/>
              <w:szCs w:val="28"/>
            </w:rPr>
            <w:t>Introduction to Physiology</w:t>
          </w:r>
        </w:p>
        <w:p w14:paraId="3D7E8C65" w14:textId="0D715D28" w:rsidR="00682446" w:rsidRPr="00060071" w:rsidRDefault="00682446" w:rsidP="00682446">
          <w:pPr>
            <w:spacing w:line="480" w:lineRule="auto"/>
            <w:jc w:val="center"/>
            <w:rPr>
              <w:rFonts w:asciiTheme="minorBidi" w:hAnsiTheme="minorBidi"/>
              <w:b/>
              <w:bCs/>
              <w:sz w:val="28"/>
              <w:szCs w:val="28"/>
            </w:rPr>
          </w:pPr>
          <w:r w:rsidRPr="00EE0C2D">
            <w:rPr>
              <w:rFonts w:asciiTheme="minorBidi" w:hAnsiTheme="minorBidi"/>
              <w:b/>
              <w:bCs/>
              <w:sz w:val="28"/>
              <w:szCs w:val="28"/>
            </w:rPr>
            <w:t>Module code:</w:t>
          </w:r>
          <w:r>
            <w:rPr>
              <w:rFonts w:asciiTheme="minorBidi" w:hAnsiTheme="minorBidi"/>
              <w:b/>
              <w:bCs/>
              <w:sz w:val="28"/>
              <w:szCs w:val="28"/>
            </w:rPr>
            <w:t xml:space="preserve"> </w:t>
          </w:r>
          <w:r w:rsidRPr="00682446">
            <w:rPr>
              <w:rFonts w:asciiTheme="minorBidi" w:hAnsiTheme="minorBidi"/>
              <w:b/>
              <w:bCs/>
              <w:sz w:val="28"/>
              <w:szCs w:val="28"/>
            </w:rPr>
            <w:t>BMHP5023</w:t>
          </w:r>
        </w:p>
        <w:p w14:paraId="3ADCD9A8" w14:textId="77777777" w:rsidR="00682446" w:rsidRPr="00060071" w:rsidRDefault="00682446" w:rsidP="00682446">
          <w:pPr>
            <w:spacing w:line="480" w:lineRule="auto"/>
            <w:jc w:val="center"/>
            <w:rPr>
              <w:rFonts w:asciiTheme="minorBidi" w:hAnsiTheme="minorBidi"/>
              <w:b/>
              <w:bCs/>
              <w:sz w:val="28"/>
              <w:szCs w:val="28"/>
            </w:rPr>
          </w:pPr>
          <w:r w:rsidRPr="00060071">
            <w:rPr>
              <w:rFonts w:asciiTheme="minorBidi" w:hAnsiTheme="minorBidi"/>
              <w:b/>
              <w:bCs/>
              <w:sz w:val="28"/>
              <w:szCs w:val="28"/>
            </w:rPr>
            <w:t xml:space="preserve">Name: Charles </w:t>
          </w:r>
          <w:proofErr w:type="spellStart"/>
          <w:r w:rsidRPr="00060071">
            <w:rPr>
              <w:rFonts w:asciiTheme="minorBidi" w:hAnsiTheme="minorBidi"/>
              <w:b/>
              <w:bCs/>
              <w:sz w:val="28"/>
              <w:szCs w:val="28"/>
            </w:rPr>
            <w:t>Amegor</w:t>
          </w:r>
          <w:proofErr w:type="spellEnd"/>
        </w:p>
        <w:p w14:paraId="4596C923" w14:textId="77777777" w:rsidR="00682446" w:rsidRDefault="00682446" w:rsidP="00682446">
          <w:pPr>
            <w:spacing w:line="480" w:lineRule="auto"/>
            <w:jc w:val="center"/>
            <w:rPr>
              <w:rFonts w:asciiTheme="minorBidi" w:hAnsiTheme="minorBidi"/>
              <w:b/>
              <w:bCs/>
              <w:sz w:val="28"/>
              <w:szCs w:val="28"/>
            </w:rPr>
          </w:pPr>
          <w:r w:rsidRPr="00060071">
            <w:rPr>
              <w:rFonts w:asciiTheme="minorBidi" w:hAnsiTheme="minorBidi"/>
              <w:b/>
              <w:bCs/>
              <w:sz w:val="28"/>
              <w:szCs w:val="28"/>
            </w:rPr>
            <w:t>Student ID:</w:t>
          </w:r>
          <w:r w:rsidRPr="00060071">
            <w:rPr>
              <w:rFonts w:ascii="Arial" w:hAnsi="Arial" w:cs="Arial"/>
              <w:b/>
              <w:bCs/>
              <w:kern w:val="0"/>
              <w14:ligatures w14:val="none"/>
            </w:rPr>
            <w:t xml:space="preserve"> </w:t>
          </w:r>
          <w:r w:rsidRPr="00060071">
            <w:rPr>
              <w:rFonts w:asciiTheme="minorBidi" w:hAnsiTheme="minorBidi"/>
              <w:b/>
              <w:bCs/>
              <w:sz w:val="28"/>
              <w:szCs w:val="28"/>
            </w:rPr>
            <w:t>2413450</w:t>
          </w:r>
        </w:p>
        <w:p w14:paraId="64DBFAA0" w14:textId="60A9C21B" w:rsidR="00682446" w:rsidRDefault="00682446" w:rsidP="00682446">
          <w:pPr>
            <w:spacing w:line="480" w:lineRule="auto"/>
            <w:jc w:val="center"/>
            <w:rPr>
              <w:rFonts w:asciiTheme="minorBidi" w:hAnsiTheme="minorBidi"/>
              <w:b/>
              <w:bCs/>
              <w:sz w:val="28"/>
              <w:szCs w:val="28"/>
            </w:rPr>
          </w:pPr>
          <w:r>
            <w:rPr>
              <w:rFonts w:asciiTheme="minorBidi" w:hAnsiTheme="minorBidi"/>
              <w:b/>
              <w:bCs/>
              <w:sz w:val="28"/>
              <w:szCs w:val="28"/>
            </w:rPr>
            <w:t>M</w:t>
          </w:r>
          <w:r w:rsidRPr="00682446">
            <w:rPr>
              <w:rFonts w:asciiTheme="minorBidi" w:hAnsiTheme="minorBidi"/>
              <w:b/>
              <w:bCs/>
              <w:sz w:val="28"/>
              <w:szCs w:val="28"/>
            </w:rPr>
            <w:t xml:space="preserve">odule </w:t>
          </w:r>
          <w:r>
            <w:rPr>
              <w:rFonts w:asciiTheme="minorBidi" w:hAnsiTheme="minorBidi"/>
              <w:b/>
              <w:bCs/>
              <w:sz w:val="28"/>
              <w:szCs w:val="28"/>
            </w:rPr>
            <w:t>L</w:t>
          </w:r>
          <w:r w:rsidRPr="00682446">
            <w:rPr>
              <w:rFonts w:asciiTheme="minorBidi" w:hAnsiTheme="minorBidi"/>
              <w:b/>
              <w:bCs/>
              <w:sz w:val="28"/>
              <w:szCs w:val="28"/>
            </w:rPr>
            <w:t>eader</w:t>
          </w:r>
          <w:r w:rsidR="004973A4">
            <w:rPr>
              <w:rFonts w:asciiTheme="minorBidi" w:hAnsiTheme="minorBidi"/>
              <w:b/>
              <w:bCs/>
              <w:sz w:val="28"/>
              <w:szCs w:val="28"/>
            </w:rPr>
            <w:t>:</w:t>
          </w:r>
          <w:r w:rsidR="004973A4" w:rsidRPr="004973A4">
            <w:t xml:space="preserve"> </w:t>
          </w:r>
          <w:r w:rsidR="004973A4" w:rsidRPr="004973A4">
            <w:rPr>
              <w:rFonts w:asciiTheme="minorBidi" w:hAnsiTheme="minorBidi"/>
              <w:b/>
              <w:bCs/>
              <w:sz w:val="28"/>
              <w:szCs w:val="28"/>
            </w:rPr>
            <w:t>Shaila Hussain</w:t>
          </w:r>
        </w:p>
      </w:sdtContent>
    </w:sdt>
    <w:p w14:paraId="7CA75C81" w14:textId="0C389841" w:rsidR="00682446" w:rsidRDefault="00682446" w:rsidP="00682446">
      <w:pPr>
        <w:spacing w:line="360" w:lineRule="auto"/>
        <w:jc w:val="center"/>
        <w:rPr>
          <w:rFonts w:asciiTheme="minorBidi" w:hAnsiTheme="minorBidi"/>
          <w:b/>
          <w:bCs/>
          <w:sz w:val="28"/>
          <w:szCs w:val="28"/>
        </w:rPr>
      </w:pPr>
      <w:r w:rsidRPr="00682446">
        <w:rPr>
          <w:rFonts w:asciiTheme="minorBidi" w:hAnsiTheme="minorBidi"/>
          <w:b/>
          <w:bCs/>
          <w:sz w:val="28"/>
          <w:szCs w:val="28"/>
        </w:rPr>
        <w:t>Case Study</w:t>
      </w:r>
      <w:r w:rsidR="004973A4">
        <w:rPr>
          <w:rFonts w:asciiTheme="minorBidi" w:hAnsiTheme="minorBidi"/>
          <w:b/>
          <w:bCs/>
          <w:sz w:val="28"/>
          <w:szCs w:val="28"/>
        </w:rPr>
        <w:t xml:space="preserve"> (1)</w:t>
      </w:r>
      <w:r w:rsidRPr="00682446">
        <w:rPr>
          <w:rFonts w:asciiTheme="minorBidi" w:hAnsiTheme="minorBidi"/>
          <w:b/>
          <w:bCs/>
          <w:sz w:val="28"/>
          <w:szCs w:val="28"/>
        </w:rPr>
        <w:t xml:space="preserve"> Report</w:t>
      </w:r>
    </w:p>
    <w:p w14:paraId="4F1F9491" w14:textId="2788C1AF" w:rsidR="00682446" w:rsidRDefault="00682446" w:rsidP="00682446">
      <w:pPr>
        <w:spacing w:line="360" w:lineRule="auto"/>
        <w:jc w:val="center"/>
        <w:rPr>
          <w:rFonts w:ascii="Times New Roman" w:hAnsi="Times New Roman" w:cs="Times New Roman"/>
          <w:b/>
          <w:bCs/>
        </w:rPr>
      </w:pPr>
      <w:r>
        <w:rPr>
          <w:rFonts w:asciiTheme="minorBidi" w:hAnsiTheme="minorBidi"/>
          <w:b/>
          <w:bCs/>
          <w:sz w:val="28"/>
          <w:szCs w:val="28"/>
        </w:rPr>
        <w:t xml:space="preserve">Words Counts: </w:t>
      </w:r>
      <w:r w:rsidR="004973A4">
        <w:rPr>
          <w:rFonts w:asciiTheme="minorBidi" w:hAnsiTheme="minorBidi"/>
          <w:b/>
          <w:bCs/>
          <w:sz w:val="28"/>
          <w:szCs w:val="28"/>
        </w:rPr>
        <w:t>1961</w:t>
      </w:r>
    </w:p>
    <w:p w14:paraId="540D1405" w14:textId="77777777" w:rsidR="004973A4" w:rsidRPr="00FA1552" w:rsidRDefault="004973A4" w:rsidP="004973A4">
      <w:pPr>
        <w:spacing w:line="480" w:lineRule="auto"/>
        <w:jc w:val="center"/>
        <w:rPr>
          <w:rFonts w:ascii="Times New Roman" w:hAnsi="Times New Roman" w:cs="Times New Roman"/>
          <w:b/>
          <w:bCs/>
        </w:rPr>
      </w:pPr>
      <w:r w:rsidRPr="00FA1552">
        <w:rPr>
          <w:rFonts w:ascii="Times New Roman" w:hAnsi="Times New Roman" w:cs="Times New Roman"/>
          <w:b/>
          <w:bCs/>
        </w:rPr>
        <w:t xml:space="preserve">Declaration </w:t>
      </w:r>
    </w:p>
    <w:p w14:paraId="14C5D830" w14:textId="77777777" w:rsidR="004973A4" w:rsidRPr="00FA1552" w:rsidRDefault="004973A4" w:rsidP="004973A4">
      <w:pPr>
        <w:spacing w:line="360" w:lineRule="auto"/>
        <w:jc w:val="both"/>
        <w:rPr>
          <w:rFonts w:ascii="Times New Roman" w:hAnsi="Times New Roman" w:cs="Times New Roman"/>
        </w:rPr>
      </w:pPr>
      <w:r w:rsidRPr="00FA1552">
        <w:rPr>
          <w:rFonts w:ascii="Times New Roman" w:hAnsi="Times New Roman" w:cs="Times New Roman"/>
        </w:rPr>
        <w:t>I confirm that I used generative AI as a study tool to support the structure and development of ideas in this assignment. All writing, analysis, critical reflection, and final content represent my own work, thinking, and interpretation. The AI was not used to write the assignment on my behalf, and all sources cited were independently checked and verified by me in accordance with university guidance.</w:t>
      </w:r>
    </w:p>
    <w:p w14:paraId="53903887" w14:textId="77777777" w:rsidR="00682446" w:rsidRDefault="00682446" w:rsidP="00682446">
      <w:pPr>
        <w:spacing w:line="360" w:lineRule="auto"/>
        <w:jc w:val="both"/>
        <w:rPr>
          <w:rFonts w:ascii="Times New Roman" w:hAnsi="Times New Roman" w:cs="Times New Roman"/>
          <w:b/>
          <w:bCs/>
        </w:rPr>
      </w:pPr>
    </w:p>
    <w:p w14:paraId="3F1D707C" w14:textId="77777777" w:rsidR="00682446" w:rsidRDefault="00682446" w:rsidP="00682446">
      <w:pPr>
        <w:spacing w:line="360" w:lineRule="auto"/>
        <w:jc w:val="both"/>
        <w:rPr>
          <w:rFonts w:ascii="Times New Roman" w:hAnsi="Times New Roman" w:cs="Times New Roman"/>
          <w:b/>
          <w:bCs/>
        </w:rPr>
      </w:pPr>
    </w:p>
    <w:p w14:paraId="0F773C2D" w14:textId="77777777" w:rsidR="00682446" w:rsidRDefault="00682446" w:rsidP="00682446">
      <w:pPr>
        <w:spacing w:line="360" w:lineRule="auto"/>
        <w:jc w:val="both"/>
        <w:rPr>
          <w:rFonts w:ascii="Times New Roman" w:hAnsi="Times New Roman" w:cs="Times New Roman"/>
          <w:b/>
          <w:bCs/>
        </w:rPr>
      </w:pPr>
    </w:p>
    <w:p w14:paraId="187846D9" w14:textId="1F32A411" w:rsidR="00682446" w:rsidRPr="00682446" w:rsidRDefault="00682446" w:rsidP="00682446">
      <w:pPr>
        <w:spacing w:line="360" w:lineRule="auto"/>
        <w:jc w:val="both"/>
        <w:rPr>
          <w:rFonts w:ascii="Times New Roman" w:hAnsi="Times New Roman" w:cs="Times New Roman"/>
          <w:b/>
          <w:bCs/>
        </w:rPr>
      </w:pPr>
      <w:r w:rsidRPr="00682446">
        <w:rPr>
          <w:rFonts w:ascii="Times New Roman" w:hAnsi="Times New Roman" w:cs="Times New Roman"/>
          <w:b/>
          <w:bCs/>
        </w:rPr>
        <w:lastRenderedPageBreak/>
        <w:t>a) Introduction</w:t>
      </w:r>
    </w:p>
    <w:p w14:paraId="5942B0A6" w14:textId="57E8F050"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Diabetes mellitus is a long-term metabolic disorder characterised by persistent hyperglycaemia caused by impaired insulin secretion, insulin resistance or a combination of both. Type 2 diabetes mellitus (T2DM) represents the majority of global cases and continues to rise, reflecting trends in obesity, sedentary behaviour and population ageing (World Health Organization, 2023). In clinical practice, this rise is visible through increasing numbers of patients presenting for annual reviews, medication adjustments and lifestyle support. As a practice nurse, this creates the need for clear, accessible patient education that equips individuals to understand the physiological basis of their condition and engage meaningfully with their care plans.</w:t>
      </w:r>
    </w:p>
    <w:p w14:paraId="6E7FA486" w14:textId="77777777"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T2DM develops gradually. At first, tissues become resistant to insulin, meaning glucose cannot move efficiently from the bloodstream into cells. In response, pancreatic beta cells produce more insulin, but this compensatory mechanism weakens over time and insulin secretion falls. Chronic elevation of blood glucose eventually damages the heart, kidneys, nerves, retina and small blood vessels, which explains why early, sustained management is vital (NICE, 2022).</w:t>
      </w:r>
    </w:p>
    <w:p w14:paraId="31D788D0" w14:textId="77777777"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The risk factors for T2DM are well established. Modifiable factors include high BMI, central adiposity, physical inactivity, smoking and diets high in processed foods. Non-modifiable risks such as age, family history and ethnicity also play a significant role. People of South Asian, African and African-Caribbean heritage develop T2DM earlier and at lower BMI thresholds (NHS England, 2022). Deprivation further compounds risk by influencing diet, activity levels and access to healthcare (Public Health England, 2020). These complexities mean that patient education must be holistic, taking into account physiological, lifestyle and social dimensions.</w:t>
      </w:r>
    </w:p>
    <w:p w14:paraId="34A86F33" w14:textId="341FE108"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This assignment addresses the key areas required for patient understanding. It explains how blood glucose is normally regulated, describes how oxygen and glucose are used to generate cellular energy, evaluates the role of blood glucose monitoring in T2DM and outlines evidence-based lifestyle recommendations. Together, these sections aim to support the development of educational information that a practice nurse could use with patients to improve engagement and self-management.</w:t>
      </w:r>
    </w:p>
    <w:p w14:paraId="3CBED6FD" w14:textId="149520BD" w:rsidR="00682446" w:rsidRDefault="00682446" w:rsidP="00682446">
      <w:pPr>
        <w:spacing w:line="360" w:lineRule="auto"/>
        <w:jc w:val="both"/>
        <w:rPr>
          <w:rFonts w:ascii="Times New Roman" w:hAnsi="Times New Roman" w:cs="Times New Roman"/>
        </w:rPr>
      </w:pPr>
    </w:p>
    <w:p w14:paraId="30DFCB2C" w14:textId="77777777" w:rsidR="00682446" w:rsidRDefault="00682446" w:rsidP="00682446">
      <w:pPr>
        <w:spacing w:line="360" w:lineRule="auto"/>
        <w:jc w:val="both"/>
        <w:rPr>
          <w:rFonts w:ascii="Times New Roman" w:hAnsi="Times New Roman" w:cs="Times New Roman"/>
        </w:rPr>
      </w:pPr>
    </w:p>
    <w:p w14:paraId="5D61F0D2" w14:textId="77777777" w:rsidR="00682446" w:rsidRDefault="00682446" w:rsidP="00682446">
      <w:pPr>
        <w:spacing w:line="360" w:lineRule="auto"/>
        <w:jc w:val="both"/>
        <w:rPr>
          <w:rFonts w:ascii="Times New Roman" w:hAnsi="Times New Roman" w:cs="Times New Roman"/>
        </w:rPr>
      </w:pPr>
    </w:p>
    <w:p w14:paraId="3FFC8BAF" w14:textId="77777777" w:rsidR="00682446" w:rsidRDefault="00682446" w:rsidP="00682446">
      <w:pPr>
        <w:spacing w:line="360" w:lineRule="auto"/>
        <w:jc w:val="both"/>
        <w:rPr>
          <w:rFonts w:ascii="Times New Roman" w:hAnsi="Times New Roman" w:cs="Times New Roman"/>
        </w:rPr>
      </w:pPr>
    </w:p>
    <w:p w14:paraId="2A5C1A6E" w14:textId="77777777" w:rsidR="00682446" w:rsidRDefault="00682446" w:rsidP="00682446">
      <w:pPr>
        <w:spacing w:line="360" w:lineRule="auto"/>
        <w:jc w:val="both"/>
        <w:rPr>
          <w:rFonts w:ascii="Times New Roman" w:hAnsi="Times New Roman" w:cs="Times New Roman"/>
        </w:rPr>
      </w:pPr>
    </w:p>
    <w:p w14:paraId="7638FD8C" w14:textId="77777777" w:rsidR="00682446" w:rsidRPr="00682446" w:rsidRDefault="00682446" w:rsidP="00682446">
      <w:pPr>
        <w:spacing w:line="360" w:lineRule="auto"/>
        <w:jc w:val="both"/>
        <w:rPr>
          <w:rFonts w:ascii="Times New Roman" w:hAnsi="Times New Roman" w:cs="Times New Roman"/>
        </w:rPr>
      </w:pPr>
    </w:p>
    <w:p w14:paraId="004A6B20" w14:textId="77777777" w:rsidR="00682446" w:rsidRPr="00682446" w:rsidRDefault="00682446" w:rsidP="00682446">
      <w:pPr>
        <w:spacing w:line="360" w:lineRule="auto"/>
        <w:jc w:val="both"/>
        <w:rPr>
          <w:rFonts w:ascii="Times New Roman" w:hAnsi="Times New Roman" w:cs="Times New Roman"/>
          <w:b/>
          <w:bCs/>
        </w:rPr>
      </w:pPr>
      <w:r w:rsidRPr="00682446">
        <w:rPr>
          <w:rFonts w:ascii="Times New Roman" w:hAnsi="Times New Roman" w:cs="Times New Roman"/>
          <w:b/>
          <w:bCs/>
        </w:rPr>
        <w:lastRenderedPageBreak/>
        <w:t>b) How blood sugar levels are maintained</w:t>
      </w:r>
    </w:p>
    <w:p w14:paraId="41FC5B7A" w14:textId="77777777"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 xml:space="preserve">Blood glucose regulation is essential for survival because glucose is the primary energy source for the brain and for many metabolic processes. A healthy body maintains glucose within a tight range through hormonal regulation involving insulin, glucagon and other counter-regulatory hormones. The pancreas plays a central role through its beta and alpha cells, which release insulin and glucagon respectively (Goyal and </w:t>
      </w:r>
      <w:proofErr w:type="spellStart"/>
      <w:r w:rsidRPr="00682446">
        <w:rPr>
          <w:rFonts w:ascii="Times New Roman" w:hAnsi="Times New Roman" w:cs="Times New Roman"/>
        </w:rPr>
        <w:t>Jialal</w:t>
      </w:r>
      <w:proofErr w:type="spellEnd"/>
      <w:r w:rsidRPr="00682446">
        <w:rPr>
          <w:rFonts w:ascii="Times New Roman" w:hAnsi="Times New Roman" w:cs="Times New Roman"/>
        </w:rPr>
        <w:t>, 2022).</w:t>
      </w:r>
    </w:p>
    <w:p w14:paraId="094E41A6" w14:textId="77777777"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When a person eats, carbohydrates are digested into glucose and absorbed into the bloodstream, causing blood glucose to rise. Beta cells detect this rise and release insulin. Insulin acts like a key, unlocking cell membranes to allow glucose to enter, especially in skeletal muscle and adipose tissue through the GLUT4 transporter system. This process reduces circulating glucose and helps cells fuel their metabolic activities. Insulin also signals the liver to store glucose as glycogen and suppresses gluconeogenesis, ensuring that glucose production does not continue unnecessarily after meals (American Diabetes Association, 2022).</w:t>
      </w:r>
    </w:p>
    <w:p w14:paraId="1A393581" w14:textId="77777777"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When blood glucose drops, such as overnight or between meals, alpha cells release glucagon. Glucagon stimulates the liver to break stored glycogen into glucose and to create new glucose from amino acids and other substrates. This process, known as gluconeogenesis, restores blood glucose to a safe level. These feedback loops operate constantly to maintain equilibrium.</w:t>
      </w:r>
    </w:p>
    <w:p w14:paraId="1FC6522F" w14:textId="4E7105E2" w:rsid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However, in T2DM, this system becomes dysregulated. Tissues develop insulin resistance and do not respond effectively to insulin. To compensate, beta cells produce more insulin, but chronic pressure eventually leads to beta-cell dysfunction. As a result, insulin secretion becomes insufficient and blood glucose rises persistently, even in fasting states (</w:t>
      </w:r>
      <w:proofErr w:type="spellStart"/>
      <w:r w:rsidRPr="00682446">
        <w:rPr>
          <w:rFonts w:ascii="Times New Roman" w:hAnsi="Times New Roman" w:cs="Times New Roman"/>
        </w:rPr>
        <w:t>Mallappa</w:t>
      </w:r>
      <w:proofErr w:type="spellEnd"/>
      <w:r w:rsidRPr="00682446">
        <w:rPr>
          <w:rFonts w:ascii="Times New Roman" w:hAnsi="Times New Roman" w:cs="Times New Roman"/>
        </w:rPr>
        <w:t xml:space="preserve"> et al., 2020). Patients often do not recognise these changes until symptoms develop, or they attend routine health checks, which highlights the importance of opportunistic screening and preventive education in primary care.</w:t>
      </w:r>
    </w:p>
    <w:p w14:paraId="0F24AFEE" w14:textId="34ACF2B8" w:rsidR="001C272B" w:rsidRDefault="00870539" w:rsidP="001C272B">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69504" behindDoc="1" locked="0" layoutInCell="1" allowOverlap="1" wp14:anchorId="38FA378F" wp14:editId="00326CB8">
            <wp:simplePos x="0" y="0"/>
            <wp:positionH relativeFrom="column">
              <wp:posOffset>1276350</wp:posOffset>
            </wp:positionH>
            <wp:positionV relativeFrom="paragraph">
              <wp:posOffset>485775</wp:posOffset>
            </wp:positionV>
            <wp:extent cx="2813685" cy="2315210"/>
            <wp:effectExtent l="0" t="0" r="5715" b="8890"/>
            <wp:wrapTight wrapText="bothSides">
              <wp:wrapPolygon edited="0">
                <wp:start x="0" y="0"/>
                <wp:lineTo x="0" y="21505"/>
                <wp:lineTo x="21498" y="21505"/>
                <wp:lineTo x="21498" y="0"/>
                <wp:lineTo x="0" y="0"/>
              </wp:wrapPolygon>
            </wp:wrapTight>
            <wp:docPr id="1495476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476046" name="Picture 1495476046"/>
                    <pic:cNvPicPr/>
                  </pic:nvPicPr>
                  <pic:blipFill>
                    <a:blip r:embed="rId6"/>
                    <a:stretch>
                      <a:fillRect/>
                    </a:stretch>
                  </pic:blipFill>
                  <pic:spPr>
                    <a:xfrm>
                      <a:off x="0" y="0"/>
                      <a:ext cx="2813685" cy="2315210"/>
                    </a:xfrm>
                    <a:prstGeom prst="rect">
                      <a:avLst/>
                    </a:prstGeom>
                  </pic:spPr>
                </pic:pic>
              </a:graphicData>
            </a:graphic>
            <wp14:sizeRelH relativeFrom="margin">
              <wp14:pctWidth>0</wp14:pctWidth>
            </wp14:sizeRelH>
            <wp14:sizeRelV relativeFrom="margin">
              <wp14:pctHeight>0</wp14:pctHeight>
            </wp14:sizeRelV>
          </wp:anchor>
        </w:drawing>
      </w:r>
      <w:r w:rsidR="001C272B" w:rsidRPr="00A26D3D">
        <w:rPr>
          <w:rFonts w:ascii="Times New Roman" w:hAnsi="Times New Roman" w:cs="Times New Roman"/>
        </w:rPr>
        <w:t xml:space="preserve">To support understanding of this homeostatic process, Figure 1 illustrates how insulin and glucagon work together through a negative feedback loop to </w:t>
      </w:r>
      <w:proofErr w:type="gramStart"/>
      <w:r w:rsidR="001C272B" w:rsidRPr="00A26D3D">
        <w:rPr>
          <w:rFonts w:ascii="Times New Roman" w:hAnsi="Times New Roman" w:cs="Times New Roman"/>
        </w:rPr>
        <w:t>maintain</w:t>
      </w:r>
      <w:proofErr w:type="gramEnd"/>
      <w:r w:rsidR="001C272B" w:rsidRPr="00A26D3D">
        <w:rPr>
          <w:rFonts w:ascii="Times New Roman" w:hAnsi="Times New Roman" w:cs="Times New Roman"/>
        </w:rPr>
        <w:t xml:space="preserve"> stable blood glucose levels.</w:t>
      </w:r>
    </w:p>
    <w:p w14:paraId="0A0F5A1D" w14:textId="50284A08" w:rsidR="005964D7" w:rsidRDefault="005964D7" w:rsidP="00682446">
      <w:pPr>
        <w:spacing w:line="360" w:lineRule="auto"/>
        <w:jc w:val="both"/>
        <w:rPr>
          <w:rFonts w:ascii="Times New Roman" w:hAnsi="Times New Roman" w:cs="Times New Roman"/>
        </w:rPr>
      </w:pPr>
    </w:p>
    <w:p w14:paraId="586F774E" w14:textId="6EE860B6" w:rsidR="005964D7" w:rsidRDefault="005964D7" w:rsidP="00682446">
      <w:pPr>
        <w:spacing w:line="360" w:lineRule="auto"/>
        <w:jc w:val="both"/>
        <w:rPr>
          <w:rFonts w:ascii="Times New Roman" w:hAnsi="Times New Roman" w:cs="Times New Roman"/>
        </w:rPr>
      </w:pPr>
    </w:p>
    <w:p w14:paraId="1D31E5FE" w14:textId="772BF75F" w:rsidR="005964D7" w:rsidRPr="00682446" w:rsidRDefault="005964D7" w:rsidP="00682446">
      <w:pPr>
        <w:spacing w:line="360" w:lineRule="auto"/>
        <w:jc w:val="both"/>
        <w:rPr>
          <w:rFonts w:ascii="Times New Roman" w:hAnsi="Times New Roman" w:cs="Times New Roman"/>
        </w:rPr>
      </w:pPr>
    </w:p>
    <w:p w14:paraId="6FF5AAEA" w14:textId="6452CB9E" w:rsidR="005964D7" w:rsidRDefault="005964D7" w:rsidP="00682446">
      <w:pPr>
        <w:spacing w:line="360" w:lineRule="auto"/>
        <w:jc w:val="both"/>
        <w:rPr>
          <w:rFonts w:ascii="Times New Roman" w:hAnsi="Times New Roman" w:cs="Times New Roman"/>
        </w:rPr>
      </w:pPr>
    </w:p>
    <w:p w14:paraId="39E8B6C7" w14:textId="4FE12C0F" w:rsidR="005964D7" w:rsidRDefault="005964D7" w:rsidP="00682446">
      <w:pPr>
        <w:spacing w:line="360" w:lineRule="auto"/>
        <w:jc w:val="both"/>
        <w:rPr>
          <w:rFonts w:ascii="Times New Roman" w:hAnsi="Times New Roman" w:cs="Times New Roman"/>
        </w:rPr>
      </w:pPr>
    </w:p>
    <w:p w14:paraId="55B00F5A" w14:textId="7BED5FED" w:rsidR="00E53521" w:rsidRDefault="00E53521" w:rsidP="00682446">
      <w:pPr>
        <w:spacing w:line="360" w:lineRule="auto"/>
        <w:jc w:val="both"/>
        <w:rPr>
          <w:rFonts w:ascii="Times New Roman" w:hAnsi="Times New Roman" w:cs="Times New Roman"/>
        </w:rPr>
      </w:pPr>
    </w:p>
    <w:p w14:paraId="527FDF04" w14:textId="566B03A4" w:rsidR="00E53521" w:rsidRDefault="00E53521" w:rsidP="00682446">
      <w:pPr>
        <w:spacing w:line="360" w:lineRule="auto"/>
        <w:jc w:val="both"/>
        <w:rPr>
          <w:rFonts w:ascii="Times New Roman" w:hAnsi="Times New Roman" w:cs="Times New Roman"/>
        </w:rPr>
      </w:pPr>
    </w:p>
    <w:p w14:paraId="0287A7BF" w14:textId="50187E22" w:rsidR="001C272B" w:rsidRPr="00870539" w:rsidRDefault="001C272B" w:rsidP="001C272B">
      <w:pPr>
        <w:spacing w:line="360" w:lineRule="auto"/>
        <w:jc w:val="both"/>
        <w:rPr>
          <w:rFonts w:ascii="Times New Roman" w:hAnsi="Times New Roman" w:cs="Times New Roman"/>
        </w:rPr>
      </w:pPr>
      <w:r w:rsidRPr="00C11DDA">
        <w:rPr>
          <w:rFonts w:ascii="Times New Roman" w:hAnsi="Times New Roman" w:cs="Times New Roman"/>
          <w:b/>
          <w:bCs/>
        </w:rPr>
        <w:lastRenderedPageBreak/>
        <w:t>Figure 1. Regulation of blood glucose through insulin and glucagon feedback mechanisms.</w:t>
      </w:r>
      <w:r w:rsidR="00870539">
        <w:rPr>
          <w:rFonts w:ascii="Times New Roman" w:hAnsi="Times New Roman" w:cs="Times New Roman"/>
          <w:b/>
          <w:bCs/>
        </w:rPr>
        <w:t xml:space="preserve"> </w:t>
      </w:r>
      <w:r w:rsidR="00870539" w:rsidRPr="00870539">
        <w:rPr>
          <w:rFonts w:ascii="Times New Roman" w:hAnsi="Times New Roman" w:cs="Times New Roman"/>
        </w:rPr>
        <w:t>Author (2025).</w:t>
      </w:r>
    </w:p>
    <w:p w14:paraId="164B9105" w14:textId="510AB98B"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Understanding these physiological processes helps patients appreciate why medication alone cannot fully resolve T2DM. Because insulin resistance is strongly influenced by weight, diet and activity levels, lifestyle change remains central to management. This explanation often motivates patients by clarifying the link between daily choices and internal biochemical processes.</w:t>
      </w:r>
    </w:p>
    <w:p w14:paraId="6C072C47" w14:textId="7C7C5096" w:rsidR="00682446" w:rsidRPr="00682446" w:rsidRDefault="00682446" w:rsidP="00682446">
      <w:pPr>
        <w:spacing w:line="360" w:lineRule="auto"/>
        <w:jc w:val="both"/>
        <w:rPr>
          <w:rFonts w:ascii="Times New Roman" w:hAnsi="Times New Roman" w:cs="Times New Roman"/>
        </w:rPr>
      </w:pPr>
    </w:p>
    <w:p w14:paraId="6A3A9A39" w14:textId="530E0858" w:rsidR="00682446" w:rsidRPr="00682446" w:rsidRDefault="00682446" w:rsidP="00682446">
      <w:pPr>
        <w:spacing w:line="360" w:lineRule="auto"/>
        <w:jc w:val="both"/>
        <w:rPr>
          <w:rFonts w:ascii="Times New Roman" w:hAnsi="Times New Roman" w:cs="Times New Roman"/>
          <w:b/>
          <w:bCs/>
        </w:rPr>
      </w:pPr>
      <w:r w:rsidRPr="00682446">
        <w:rPr>
          <w:rFonts w:ascii="Times New Roman" w:hAnsi="Times New Roman" w:cs="Times New Roman"/>
          <w:b/>
          <w:bCs/>
        </w:rPr>
        <w:t>c) How oxygen and glucose produce energy through cell metabolism</w:t>
      </w:r>
    </w:p>
    <w:p w14:paraId="653B756A" w14:textId="28150372"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Cellular respiration is the process through which cells convert glucose and oxygen into usable energy in the form of adenosine triphosphate (ATP). This process is often unfamiliar to patients yet understanding it helps illustrate why stable glucose levels are essential.</w:t>
      </w:r>
    </w:p>
    <w:p w14:paraId="35145540" w14:textId="6EAC0D40"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The first stage, glycolysis, occurs in the cytoplasm and breaks one glucose molecule into two molecules of pyruvate. This generates a small amount of ATP and reduced coenzymes. If oxygen is available, pyruvate enters the mitochondria where the citric acid cycle (Krebs cycle) further breaks it down, releasing carbon dioxide and transferring high-energy electrons to the electron transport chain. The final stage, oxidative phosphorylation, uses oxygen as the terminal electron acceptor to generate the vast majority of ATP (Nelson and Cox, 2021).</w:t>
      </w:r>
    </w:p>
    <w:p w14:paraId="681747BF" w14:textId="3D4F0F55"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Oxygen is therefore essential for efficient ATP production. Without it, cells switch to anaerobic respiration, producing lactate and generating far less ATP. This is why individuals with poorly controlled T2DM often report fatigue. Despite high blood glucose, their cells cannot access it effectively due to insulin resistance, reducing the fuel available for ATP generation. Improved insulin sensitivity through weight loss and exercise helps restore this pathway, increasing cellular energy availability (Roberts et al., 2023).</w:t>
      </w:r>
    </w:p>
    <w:p w14:paraId="60285FDF" w14:textId="396131A2" w:rsid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Explaining this process in simple terms during patient appointments supports understanding. Many patients find it helpful to think of glucose as “fuel” and insulin as the “key” that allows the fuel into the engine. When the key does not work well, the body cannot use fuel efficiently, which links physiological explanations to lived experience.</w:t>
      </w:r>
    </w:p>
    <w:p w14:paraId="37EA680D" w14:textId="77777777" w:rsidR="001C272B" w:rsidRDefault="001C272B" w:rsidP="001C272B">
      <w:pPr>
        <w:spacing w:line="360" w:lineRule="auto"/>
        <w:jc w:val="both"/>
        <w:rPr>
          <w:rFonts w:ascii="Times New Roman" w:hAnsi="Times New Roman" w:cs="Times New Roman"/>
        </w:rPr>
      </w:pPr>
    </w:p>
    <w:p w14:paraId="2F19EFEF" w14:textId="77777777" w:rsidR="001C272B" w:rsidRDefault="001C272B" w:rsidP="001C272B">
      <w:pPr>
        <w:spacing w:line="360" w:lineRule="auto"/>
        <w:jc w:val="both"/>
        <w:rPr>
          <w:rFonts w:ascii="Times New Roman" w:hAnsi="Times New Roman" w:cs="Times New Roman"/>
        </w:rPr>
      </w:pPr>
    </w:p>
    <w:p w14:paraId="26783916" w14:textId="77777777" w:rsidR="001C272B" w:rsidRDefault="001C272B" w:rsidP="001C272B">
      <w:pPr>
        <w:spacing w:line="360" w:lineRule="auto"/>
        <w:jc w:val="both"/>
        <w:rPr>
          <w:rFonts w:ascii="Times New Roman" w:hAnsi="Times New Roman" w:cs="Times New Roman"/>
        </w:rPr>
      </w:pPr>
    </w:p>
    <w:p w14:paraId="522D389F" w14:textId="77777777" w:rsidR="001C272B" w:rsidRDefault="001C272B" w:rsidP="001C272B">
      <w:pPr>
        <w:spacing w:line="360" w:lineRule="auto"/>
        <w:jc w:val="both"/>
        <w:rPr>
          <w:rFonts w:ascii="Times New Roman" w:hAnsi="Times New Roman" w:cs="Times New Roman"/>
        </w:rPr>
      </w:pPr>
    </w:p>
    <w:p w14:paraId="18A1BAC2" w14:textId="77777777" w:rsidR="001C272B" w:rsidRDefault="001C272B" w:rsidP="001C272B">
      <w:pPr>
        <w:spacing w:line="360" w:lineRule="auto"/>
        <w:jc w:val="both"/>
        <w:rPr>
          <w:rFonts w:ascii="Times New Roman" w:hAnsi="Times New Roman" w:cs="Times New Roman"/>
        </w:rPr>
      </w:pPr>
    </w:p>
    <w:p w14:paraId="3953E8BD" w14:textId="2BE20334" w:rsidR="001C272B" w:rsidRDefault="001C272B" w:rsidP="001C272B">
      <w:pPr>
        <w:spacing w:line="360" w:lineRule="auto"/>
        <w:jc w:val="both"/>
        <w:rPr>
          <w:rFonts w:ascii="Times New Roman" w:hAnsi="Times New Roman" w:cs="Times New Roman"/>
        </w:rPr>
      </w:pPr>
      <w:r w:rsidRPr="000C3326">
        <w:rPr>
          <w:rFonts w:ascii="Times New Roman" w:hAnsi="Times New Roman" w:cs="Times New Roman"/>
        </w:rPr>
        <w:lastRenderedPageBreak/>
        <w:t>To further clarify how glucose and oxygen are converted into usable energy, Figure 2 provides an overview of the main stages of aerobic cellular respiration.</w:t>
      </w:r>
    </w:p>
    <w:p w14:paraId="767391B5" w14:textId="5DABF56C" w:rsidR="001C272B" w:rsidRDefault="001C272B" w:rsidP="001C272B">
      <w:pPr>
        <w:spacing w:line="360" w:lineRule="auto"/>
        <w:jc w:val="both"/>
        <w:rPr>
          <w:rFonts w:ascii="Times New Roman" w:hAnsi="Times New Roman" w:cs="Times New Roman"/>
        </w:rPr>
      </w:pPr>
      <w:r>
        <w:rPr>
          <w:rFonts w:ascii="Times New Roman" w:hAnsi="Times New Roman" w:cs="Times New Roman"/>
          <w:b/>
          <w:bCs/>
          <w:noProof/>
        </w:rPr>
        <w:drawing>
          <wp:anchor distT="0" distB="0" distL="114300" distR="114300" simplePos="0" relativeHeight="251670528" behindDoc="1" locked="0" layoutInCell="1" allowOverlap="1" wp14:anchorId="6CF5751A" wp14:editId="29C03A9A">
            <wp:simplePos x="0" y="0"/>
            <wp:positionH relativeFrom="margin">
              <wp:posOffset>824865</wp:posOffset>
            </wp:positionH>
            <wp:positionV relativeFrom="paragraph">
              <wp:posOffset>3810</wp:posOffset>
            </wp:positionV>
            <wp:extent cx="3828415" cy="2350770"/>
            <wp:effectExtent l="0" t="0" r="635" b="0"/>
            <wp:wrapTight wrapText="bothSides">
              <wp:wrapPolygon edited="0">
                <wp:start x="0" y="0"/>
                <wp:lineTo x="0" y="21355"/>
                <wp:lineTo x="21496" y="21355"/>
                <wp:lineTo x="21496" y="0"/>
                <wp:lineTo x="0" y="0"/>
              </wp:wrapPolygon>
            </wp:wrapTight>
            <wp:docPr id="4036827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682768" name="Picture 403682768"/>
                    <pic:cNvPicPr/>
                  </pic:nvPicPr>
                  <pic:blipFill>
                    <a:blip r:embed="rId7"/>
                    <a:stretch>
                      <a:fillRect/>
                    </a:stretch>
                  </pic:blipFill>
                  <pic:spPr>
                    <a:xfrm>
                      <a:off x="0" y="0"/>
                      <a:ext cx="3828415" cy="2350770"/>
                    </a:xfrm>
                    <a:prstGeom prst="rect">
                      <a:avLst/>
                    </a:prstGeom>
                  </pic:spPr>
                </pic:pic>
              </a:graphicData>
            </a:graphic>
            <wp14:sizeRelH relativeFrom="margin">
              <wp14:pctWidth>0</wp14:pctWidth>
            </wp14:sizeRelH>
            <wp14:sizeRelV relativeFrom="margin">
              <wp14:pctHeight>0</wp14:pctHeight>
            </wp14:sizeRelV>
          </wp:anchor>
        </w:drawing>
      </w:r>
    </w:p>
    <w:p w14:paraId="6F1D2544" w14:textId="36C43EE2" w:rsidR="001C272B" w:rsidRDefault="001C272B" w:rsidP="001C272B">
      <w:pPr>
        <w:spacing w:line="360" w:lineRule="auto"/>
        <w:jc w:val="both"/>
        <w:rPr>
          <w:rFonts w:ascii="Times New Roman" w:hAnsi="Times New Roman" w:cs="Times New Roman"/>
        </w:rPr>
      </w:pPr>
    </w:p>
    <w:p w14:paraId="3EA1CD9D" w14:textId="32F1A736" w:rsidR="001C272B" w:rsidRDefault="001C272B" w:rsidP="001C272B">
      <w:pPr>
        <w:spacing w:line="360" w:lineRule="auto"/>
        <w:jc w:val="both"/>
        <w:rPr>
          <w:rFonts w:ascii="Times New Roman" w:hAnsi="Times New Roman" w:cs="Times New Roman"/>
        </w:rPr>
      </w:pPr>
    </w:p>
    <w:p w14:paraId="7D75923A" w14:textId="556D503C" w:rsidR="00473618" w:rsidRDefault="00473618" w:rsidP="00682446">
      <w:pPr>
        <w:spacing w:line="360" w:lineRule="auto"/>
        <w:jc w:val="both"/>
        <w:rPr>
          <w:rFonts w:ascii="Times New Roman" w:hAnsi="Times New Roman" w:cs="Times New Roman"/>
          <w:b/>
          <w:bCs/>
        </w:rPr>
      </w:pPr>
    </w:p>
    <w:p w14:paraId="6BCAE260" w14:textId="31C8D240" w:rsidR="00F37F8E" w:rsidRPr="00F37F8E" w:rsidRDefault="00F37F8E" w:rsidP="00682446">
      <w:pPr>
        <w:spacing w:line="360" w:lineRule="auto"/>
        <w:jc w:val="both"/>
        <w:rPr>
          <w:rFonts w:ascii="Times New Roman" w:hAnsi="Times New Roman" w:cs="Times New Roman"/>
          <w:b/>
          <w:bCs/>
        </w:rPr>
      </w:pPr>
    </w:p>
    <w:p w14:paraId="49B02907" w14:textId="77777777" w:rsidR="00473618" w:rsidRDefault="00473618" w:rsidP="00682446">
      <w:pPr>
        <w:spacing w:line="360" w:lineRule="auto"/>
        <w:jc w:val="both"/>
        <w:rPr>
          <w:rFonts w:ascii="Times New Roman" w:hAnsi="Times New Roman" w:cs="Times New Roman"/>
        </w:rPr>
      </w:pPr>
    </w:p>
    <w:p w14:paraId="029EA0B9" w14:textId="77777777" w:rsidR="00473618" w:rsidRDefault="00473618" w:rsidP="00682446">
      <w:pPr>
        <w:spacing w:line="360" w:lineRule="auto"/>
        <w:jc w:val="both"/>
        <w:rPr>
          <w:rFonts w:ascii="Times New Roman" w:hAnsi="Times New Roman" w:cs="Times New Roman"/>
        </w:rPr>
      </w:pPr>
    </w:p>
    <w:p w14:paraId="071714AA" w14:textId="31BC4EA0" w:rsidR="001C272B" w:rsidRDefault="001C272B" w:rsidP="00682446">
      <w:pPr>
        <w:spacing w:line="360" w:lineRule="auto"/>
        <w:jc w:val="both"/>
        <w:rPr>
          <w:rFonts w:ascii="Times New Roman" w:hAnsi="Times New Roman" w:cs="Times New Roman"/>
          <w:b/>
          <w:bCs/>
        </w:rPr>
      </w:pPr>
      <w:r w:rsidRPr="00F37F8E">
        <w:rPr>
          <w:rFonts w:ascii="Times New Roman" w:hAnsi="Times New Roman" w:cs="Times New Roman"/>
          <w:b/>
          <w:bCs/>
        </w:rPr>
        <w:t>Figure 2. Overview of aerobic cellular respiration showing glycolysis, the citric acid cycle and oxidative phosphorylation.</w:t>
      </w:r>
      <w:r w:rsidR="00870539">
        <w:rPr>
          <w:rFonts w:ascii="Times New Roman" w:hAnsi="Times New Roman" w:cs="Times New Roman"/>
          <w:b/>
          <w:bCs/>
        </w:rPr>
        <w:t xml:space="preserve"> </w:t>
      </w:r>
      <w:r w:rsidR="00870539" w:rsidRPr="00870539">
        <w:rPr>
          <w:rFonts w:ascii="Times New Roman" w:hAnsi="Times New Roman" w:cs="Times New Roman"/>
        </w:rPr>
        <w:t>Author (2025).</w:t>
      </w:r>
    </w:p>
    <w:p w14:paraId="1B460D25" w14:textId="77777777" w:rsidR="001C272B" w:rsidRDefault="001C272B" w:rsidP="00682446">
      <w:pPr>
        <w:spacing w:line="360" w:lineRule="auto"/>
        <w:jc w:val="both"/>
        <w:rPr>
          <w:rFonts w:ascii="Times New Roman" w:hAnsi="Times New Roman" w:cs="Times New Roman"/>
          <w:b/>
          <w:bCs/>
        </w:rPr>
      </w:pPr>
    </w:p>
    <w:p w14:paraId="0C959212" w14:textId="773DDCA1" w:rsidR="00682446" w:rsidRPr="00682446" w:rsidRDefault="00682446" w:rsidP="00682446">
      <w:pPr>
        <w:spacing w:line="360" w:lineRule="auto"/>
        <w:jc w:val="both"/>
        <w:rPr>
          <w:rFonts w:ascii="Times New Roman" w:hAnsi="Times New Roman" w:cs="Times New Roman"/>
          <w:b/>
          <w:bCs/>
        </w:rPr>
      </w:pPr>
      <w:r w:rsidRPr="00682446">
        <w:rPr>
          <w:rFonts w:ascii="Times New Roman" w:hAnsi="Times New Roman" w:cs="Times New Roman"/>
          <w:b/>
          <w:bCs/>
        </w:rPr>
        <w:t>d) The value of recording and tracking blood glucose in Type 2 diabetes</w:t>
      </w:r>
    </w:p>
    <w:p w14:paraId="61117B8D" w14:textId="3B689E96"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Tracking blood glucose plays an important role in supporting individuals with T2DM, although the method and frequency of monitoring depend on treatment, risk factors and patient preference. Primary care relies heavily on HbA1c testing, which reflects average blood glucose over the previous two to three months. This long-term marker helps clinicians assess whether glycaemic targets are being met and whether treatment adjustments are required (NICE, 2022).</w:t>
      </w:r>
    </w:p>
    <w:p w14:paraId="76BDC735" w14:textId="64AEC4F8"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Self-monitoring of blood glucose (SMBG) provides immediate feedback for patients. It is particularly important for those using insulin or medications that carry a risk of hypoglycaemia. SMBG allows individuals to identify high or low readings promptly, understand how meals or activity affect their levels and respond appropriately, such as taking carbohydrates to treat hypoglycaemia or adjusting insulin doses where clinically advised (Davies et al., 2021).</w:t>
      </w:r>
    </w:p>
    <w:p w14:paraId="6990272D" w14:textId="77777777"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Continuous glucose monitoring (CGM) has expanded rapidly in recent years. CGM devices measure interstitial glucose every few minutes, providing detailed insight into daily glucose fluctuations. Although CGM has traditionally been used in type 1 diabetes, growing evidence supports its use in selected patients with T2DM, improving glycaemic control, reducing hypoglycaemia and enhancing treatment adherence (</w:t>
      </w:r>
      <w:proofErr w:type="spellStart"/>
      <w:r w:rsidRPr="00682446">
        <w:rPr>
          <w:rFonts w:ascii="Times New Roman" w:hAnsi="Times New Roman" w:cs="Times New Roman"/>
        </w:rPr>
        <w:t>Bergenstal</w:t>
      </w:r>
      <w:proofErr w:type="spellEnd"/>
      <w:r w:rsidRPr="00682446">
        <w:rPr>
          <w:rFonts w:ascii="Times New Roman" w:hAnsi="Times New Roman" w:cs="Times New Roman"/>
        </w:rPr>
        <w:t xml:space="preserve"> et al., 2021).</w:t>
      </w:r>
    </w:p>
    <w:p w14:paraId="5A3BCAFA" w14:textId="77777777" w:rsid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 xml:space="preserve">Patient engagement increases significantly when individuals see clear patterns such as dawn phenomenon, post-meal spikes or the effects of exercise. Reviewing logs with a practice nurse encourages shared decision making and highlights opportunities for change. For example, if readings </w:t>
      </w:r>
      <w:r w:rsidRPr="00682446">
        <w:rPr>
          <w:rFonts w:ascii="Times New Roman" w:hAnsi="Times New Roman" w:cs="Times New Roman"/>
        </w:rPr>
        <w:lastRenderedPageBreak/>
        <w:t>are consistently high after dinner, this may open discussion about portion sizes or carbohydrate content. Similarly, unexplained morning highs may prompt conversations about medication timing or late evening snacks.</w:t>
      </w:r>
    </w:p>
    <w:p w14:paraId="62C51DB9" w14:textId="77777777" w:rsidR="00EF50C9" w:rsidRDefault="00EF50C9" w:rsidP="00EF50C9">
      <w:pPr>
        <w:spacing w:line="360" w:lineRule="auto"/>
        <w:jc w:val="both"/>
        <w:rPr>
          <w:rFonts w:ascii="Times New Roman" w:hAnsi="Times New Roman" w:cs="Times New Roman"/>
        </w:rPr>
      </w:pPr>
      <w:r w:rsidRPr="00083ED3">
        <w:rPr>
          <w:rFonts w:ascii="Times New Roman" w:hAnsi="Times New Roman" w:cs="Times New Roman"/>
        </w:rPr>
        <w:t>Figure 3 compares self-monitoring of blood glucose (SMBG) with continuous glucose monitoring (CGM), highlighting the key differences in accuracy, usability and clinical relevance.</w:t>
      </w:r>
    </w:p>
    <w:p w14:paraId="1DFACC8D" w14:textId="0C92A0BF" w:rsidR="001C272B" w:rsidRDefault="00EF50C9" w:rsidP="00682446">
      <w:pPr>
        <w:spacing w:line="360" w:lineRule="auto"/>
        <w:jc w:val="both"/>
        <w:rPr>
          <w:rFonts w:ascii="Times New Roman" w:hAnsi="Times New Roman" w:cs="Times New Roman"/>
        </w:rPr>
      </w:pPr>
      <w:r>
        <w:rPr>
          <w:rFonts w:ascii="Times New Roman" w:hAnsi="Times New Roman" w:cs="Times New Roman"/>
          <w:b/>
          <w:bCs/>
          <w:noProof/>
        </w:rPr>
        <w:drawing>
          <wp:anchor distT="0" distB="0" distL="114300" distR="114300" simplePos="0" relativeHeight="251671552" behindDoc="1" locked="0" layoutInCell="1" allowOverlap="1" wp14:anchorId="13217AAC" wp14:editId="0EDF530F">
            <wp:simplePos x="0" y="0"/>
            <wp:positionH relativeFrom="margin">
              <wp:posOffset>647065</wp:posOffset>
            </wp:positionH>
            <wp:positionV relativeFrom="paragraph">
              <wp:posOffset>28575</wp:posOffset>
            </wp:positionV>
            <wp:extent cx="4437380" cy="2541270"/>
            <wp:effectExtent l="0" t="0" r="1270" b="0"/>
            <wp:wrapTight wrapText="bothSides">
              <wp:wrapPolygon edited="0">
                <wp:start x="0" y="0"/>
                <wp:lineTo x="0" y="21373"/>
                <wp:lineTo x="21513" y="21373"/>
                <wp:lineTo x="21513" y="0"/>
                <wp:lineTo x="0" y="0"/>
              </wp:wrapPolygon>
            </wp:wrapTight>
            <wp:docPr id="12758301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830199" name="Picture 1275830199"/>
                    <pic:cNvPicPr/>
                  </pic:nvPicPr>
                  <pic:blipFill>
                    <a:blip r:embed="rId8"/>
                    <a:stretch>
                      <a:fillRect/>
                    </a:stretch>
                  </pic:blipFill>
                  <pic:spPr>
                    <a:xfrm>
                      <a:off x="0" y="0"/>
                      <a:ext cx="4437380" cy="2541270"/>
                    </a:xfrm>
                    <a:prstGeom prst="rect">
                      <a:avLst/>
                    </a:prstGeom>
                  </pic:spPr>
                </pic:pic>
              </a:graphicData>
            </a:graphic>
            <wp14:sizeRelH relativeFrom="margin">
              <wp14:pctWidth>0</wp14:pctWidth>
            </wp14:sizeRelH>
            <wp14:sizeRelV relativeFrom="margin">
              <wp14:pctHeight>0</wp14:pctHeight>
            </wp14:sizeRelV>
          </wp:anchor>
        </w:drawing>
      </w:r>
    </w:p>
    <w:p w14:paraId="1CF5884A" w14:textId="7ECFFFBB" w:rsidR="00FC003D" w:rsidRDefault="00FC003D" w:rsidP="00682446">
      <w:pPr>
        <w:spacing w:line="360" w:lineRule="auto"/>
        <w:jc w:val="both"/>
        <w:rPr>
          <w:rFonts w:ascii="Times New Roman" w:hAnsi="Times New Roman" w:cs="Times New Roman"/>
          <w:b/>
          <w:bCs/>
        </w:rPr>
      </w:pPr>
    </w:p>
    <w:p w14:paraId="489EAFDB" w14:textId="2A492DE3" w:rsidR="00FC003D" w:rsidRPr="00FC003D" w:rsidRDefault="00FC003D" w:rsidP="00682446">
      <w:pPr>
        <w:spacing w:line="360" w:lineRule="auto"/>
        <w:jc w:val="both"/>
        <w:rPr>
          <w:rFonts w:ascii="Times New Roman" w:hAnsi="Times New Roman" w:cs="Times New Roman"/>
          <w:b/>
          <w:bCs/>
        </w:rPr>
      </w:pPr>
    </w:p>
    <w:p w14:paraId="798DEFAE" w14:textId="6B942C91" w:rsidR="00FC003D" w:rsidRPr="00682446" w:rsidRDefault="00FC003D" w:rsidP="00682446">
      <w:pPr>
        <w:spacing w:line="360" w:lineRule="auto"/>
        <w:jc w:val="both"/>
        <w:rPr>
          <w:rFonts w:ascii="Times New Roman" w:hAnsi="Times New Roman" w:cs="Times New Roman"/>
        </w:rPr>
      </w:pPr>
    </w:p>
    <w:p w14:paraId="7D578321" w14:textId="77777777" w:rsidR="00FC003D" w:rsidRDefault="00FC003D" w:rsidP="00682446">
      <w:pPr>
        <w:spacing w:line="360" w:lineRule="auto"/>
        <w:jc w:val="both"/>
        <w:rPr>
          <w:rFonts w:ascii="Times New Roman" w:hAnsi="Times New Roman" w:cs="Times New Roman"/>
        </w:rPr>
      </w:pPr>
    </w:p>
    <w:p w14:paraId="5DA42687" w14:textId="77777777" w:rsidR="00FC003D" w:rsidRDefault="00FC003D" w:rsidP="00682446">
      <w:pPr>
        <w:spacing w:line="360" w:lineRule="auto"/>
        <w:jc w:val="both"/>
        <w:rPr>
          <w:rFonts w:ascii="Times New Roman" w:hAnsi="Times New Roman" w:cs="Times New Roman"/>
        </w:rPr>
      </w:pPr>
    </w:p>
    <w:p w14:paraId="7C1F6AE3" w14:textId="77777777" w:rsidR="00EF50C9" w:rsidRDefault="00EF50C9" w:rsidP="00682446">
      <w:pPr>
        <w:spacing w:line="360" w:lineRule="auto"/>
        <w:jc w:val="both"/>
        <w:rPr>
          <w:rFonts w:ascii="Times New Roman" w:hAnsi="Times New Roman" w:cs="Times New Roman"/>
          <w:b/>
          <w:bCs/>
        </w:rPr>
      </w:pPr>
    </w:p>
    <w:p w14:paraId="223D89DE" w14:textId="77777777" w:rsidR="00EF50C9" w:rsidRDefault="00EF50C9" w:rsidP="00682446">
      <w:pPr>
        <w:spacing w:line="360" w:lineRule="auto"/>
        <w:jc w:val="both"/>
        <w:rPr>
          <w:rFonts w:ascii="Times New Roman" w:hAnsi="Times New Roman" w:cs="Times New Roman"/>
          <w:b/>
          <w:bCs/>
        </w:rPr>
      </w:pPr>
    </w:p>
    <w:p w14:paraId="12A0B491" w14:textId="66E3779C" w:rsidR="00083ED3" w:rsidRDefault="00EF50C9" w:rsidP="00682446">
      <w:pPr>
        <w:spacing w:line="360" w:lineRule="auto"/>
        <w:jc w:val="both"/>
        <w:rPr>
          <w:rFonts w:ascii="Times New Roman" w:hAnsi="Times New Roman" w:cs="Times New Roman"/>
        </w:rPr>
      </w:pPr>
      <w:r w:rsidRPr="00FC003D">
        <w:rPr>
          <w:rFonts w:ascii="Times New Roman" w:hAnsi="Times New Roman" w:cs="Times New Roman"/>
          <w:b/>
          <w:bCs/>
        </w:rPr>
        <w:t>Figure 3. Comparison of SMBG and CGM for individuals with Type 2 diabetes</w:t>
      </w:r>
      <w:r w:rsidR="00870539">
        <w:rPr>
          <w:rFonts w:ascii="Times New Roman" w:hAnsi="Times New Roman" w:cs="Times New Roman"/>
          <w:b/>
          <w:bCs/>
        </w:rPr>
        <w:t xml:space="preserve">. </w:t>
      </w:r>
      <w:r w:rsidR="00870539" w:rsidRPr="00870539">
        <w:rPr>
          <w:rFonts w:ascii="Times New Roman" w:hAnsi="Times New Roman" w:cs="Times New Roman"/>
        </w:rPr>
        <w:t>Author (2025).</w:t>
      </w:r>
    </w:p>
    <w:p w14:paraId="42E6CCA9" w14:textId="7D66F66F" w:rsid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However, monitoring alone is insufficient unless the patient understands what the numbers mean and how to act on them. Therefore, tracking should always be paired with structured education. For many patients, especially newly diagnosed individuals, seeing the impact of behavioural changes on their readings can be motivating and empowering.</w:t>
      </w:r>
    </w:p>
    <w:p w14:paraId="069C38EB" w14:textId="3FB38500" w:rsidR="000C3326" w:rsidRDefault="000C3326" w:rsidP="00682446">
      <w:pPr>
        <w:spacing w:line="360" w:lineRule="auto"/>
        <w:jc w:val="both"/>
        <w:rPr>
          <w:rFonts w:ascii="Times New Roman" w:hAnsi="Times New Roman" w:cs="Times New Roman"/>
        </w:rPr>
      </w:pPr>
    </w:p>
    <w:p w14:paraId="416620A0" w14:textId="60CE23F8" w:rsidR="00682446" w:rsidRPr="00682446" w:rsidRDefault="00682446" w:rsidP="00682446">
      <w:pPr>
        <w:spacing w:line="360" w:lineRule="auto"/>
        <w:jc w:val="both"/>
        <w:rPr>
          <w:rFonts w:ascii="Times New Roman" w:hAnsi="Times New Roman" w:cs="Times New Roman"/>
          <w:b/>
          <w:bCs/>
        </w:rPr>
      </w:pPr>
      <w:r w:rsidRPr="00682446">
        <w:rPr>
          <w:rFonts w:ascii="Times New Roman" w:hAnsi="Times New Roman" w:cs="Times New Roman"/>
          <w:b/>
          <w:bCs/>
        </w:rPr>
        <w:t>e) Evidence based lifestyle recommendations for improving Type 2 diabetes</w:t>
      </w:r>
    </w:p>
    <w:p w14:paraId="05FE7744" w14:textId="43BDE95D"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Lifestyle modification remains the cornerstone of managing T2DM and is often the most challenging element of care. Evidence demonstrates that improvements in weight, diet, activity and smoking status significantly improve glycaemic control and reduce the risk of complications.</w:t>
      </w:r>
    </w:p>
    <w:p w14:paraId="0E3216B7" w14:textId="77777777" w:rsidR="00682446" w:rsidRPr="00682446" w:rsidRDefault="00682446" w:rsidP="00682446">
      <w:pPr>
        <w:spacing w:line="360" w:lineRule="auto"/>
        <w:jc w:val="both"/>
        <w:rPr>
          <w:rFonts w:ascii="Times New Roman" w:hAnsi="Times New Roman" w:cs="Times New Roman"/>
          <w:b/>
          <w:bCs/>
        </w:rPr>
      </w:pPr>
      <w:r w:rsidRPr="00682446">
        <w:rPr>
          <w:rFonts w:ascii="Times New Roman" w:hAnsi="Times New Roman" w:cs="Times New Roman"/>
          <w:b/>
          <w:bCs/>
        </w:rPr>
        <w:t>Weight management and dietary changes</w:t>
      </w:r>
    </w:p>
    <w:p w14:paraId="329E27FF" w14:textId="765048B9"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Weight loss is one of the most effective interventions for improving insulin sensitivity. The Direct trial provided robust evidence that a structured weight management programme delivered in primary care could achieve remission in almost half of participants at one year, with remission maintained in a significant proportion at three and five years (Lean et al., 2019; Leslie et al., 2023). This has influenced NHS pathways, which now support intensive weight loss interventions for eligible individuals.</w:t>
      </w:r>
    </w:p>
    <w:p w14:paraId="78714058" w14:textId="77777777"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lastRenderedPageBreak/>
        <w:t>Dietary advice should be personalised and culturally appropriate. Evidence supports a variety of dietary patterns including Mediterranean, plant-based, reduced-carbohydrate and calorie-restricted diets. These approaches share common features: emphasis on whole foods, higher fibre intake, reduced processed carbohydrates and balanced portion sizes. Wholegrains, legumes, vegetables and healthy fats are associated with improved glycaemic control and cardiovascular outcomes (</w:t>
      </w:r>
      <w:proofErr w:type="spellStart"/>
      <w:r w:rsidRPr="00682446">
        <w:rPr>
          <w:rFonts w:ascii="Times New Roman" w:hAnsi="Times New Roman" w:cs="Times New Roman"/>
        </w:rPr>
        <w:t>Schwingshackl</w:t>
      </w:r>
      <w:proofErr w:type="spellEnd"/>
      <w:r w:rsidRPr="00682446">
        <w:rPr>
          <w:rFonts w:ascii="Times New Roman" w:hAnsi="Times New Roman" w:cs="Times New Roman"/>
        </w:rPr>
        <w:t xml:space="preserve"> et al., 2022).</w:t>
      </w:r>
    </w:p>
    <w:p w14:paraId="2BBE6096" w14:textId="77777777"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For many patients, the most effective dietary intervention is one that can be sustained. This requires understanding the patient’s circumstances, preferences and potential barriers. As a practice nurse, using realistic goal setting and reviewing food diaries can help identify achievable adjustments.</w:t>
      </w:r>
    </w:p>
    <w:p w14:paraId="418C34A2" w14:textId="05D0ED2E" w:rsidR="00682446" w:rsidRPr="00682446" w:rsidRDefault="00682446" w:rsidP="00682446">
      <w:pPr>
        <w:spacing w:line="360" w:lineRule="auto"/>
        <w:jc w:val="both"/>
        <w:rPr>
          <w:rFonts w:ascii="Times New Roman" w:hAnsi="Times New Roman" w:cs="Times New Roman"/>
          <w:b/>
          <w:bCs/>
        </w:rPr>
      </w:pPr>
      <w:r w:rsidRPr="00682446">
        <w:rPr>
          <w:rFonts w:ascii="Times New Roman" w:hAnsi="Times New Roman" w:cs="Times New Roman"/>
          <w:b/>
          <w:bCs/>
        </w:rPr>
        <w:t>Physical activity</w:t>
      </w:r>
    </w:p>
    <w:p w14:paraId="3ACBF209" w14:textId="77777777"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Physical activity has powerful metabolic benefits. It increases insulin sensitivity by enabling muscle cells to take up glucose more efficiently, even in the absence of insulin. Regular activity also supports weight management, reduces cardiovascular risk and improves mental wellbeing. Current guidelines recommend at least 150 minutes of moderate-intensity aerobic activity each week and muscle-strengthening exercises on two days (UK Chief Medical Officers, 2019).</w:t>
      </w:r>
    </w:p>
    <w:p w14:paraId="3D110C2D" w14:textId="77777777"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Evidence shows that even small increases in activity, such as walking for 10 minutes after meals, can significantly reduce post-prandial glucose spikes. Structured exercise programmes have been shown to reduce HbA1c by approximately 0.6 percent in individuals with T2DM (Colberg et al., 2020). Encouraging patients to use step counters or fitness apps can help establish routines and provide visual feedback on progress.</w:t>
      </w:r>
    </w:p>
    <w:p w14:paraId="520CEA12" w14:textId="1221F83A" w:rsidR="00682446" w:rsidRPr="00682446" w:rsidRDefault="00682446" w:rsidP="00682446">
      <w:pPr>
        <w:spacing w:line="360" w:lineRule="auto"/>
        <w:jc w:val="both"/>
        <w:rPr>
          <w:rFonts w:ascii="Times New Roman" w:hAnsi="Times New Roman" w:cs="Times New Roman"/>
          <w:b/>
          <w:bCs/>
        </w:rPr>
      </w:pPr>
      <w:r w:rsidRPr="00682446">
        <w:rPr>
          <w:rFonts w:ascii="Times New Roman" w:hAnsi="Times New Roman" w:cs="Times New Roman"/>
          <w:b/>
          <w:bCs/>
        </w:rPr>
        <w:t>Smoking cessation and alcohol moderation</w:t>
      </w:r>
    </w:p>
    <w:p w14:paraId="547C9891" w14:textId="5D5DD338"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Smoking is a major cardiovascular risk factor and compounds the risks associated with diabetes. It accelerates atherosclerosis, increases inflammation and impairs endothelial function. Stopping smoking reduces the risk of myocardial infarction, stroke and peripheral vascular disease. Behavioural support combined with nicotine replacement therapy or medication significantly increases quit rates (Chang et al., 2020).</w:t>
      </w:r>
    </w:p>
    <w:p w14:paraId="4AF5DF52" w14:textId="6CD505C6"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Moderating alcohol intake is also important. Excessive alcohol disrupts glucose regulation, contributes to weight gain and increases the risk of hypoglycaemia in patients on insulin or sulfonylureas. Advising patients to stay within national guidelines improves overall metabolic health.</w:t>
      </w:r>
    </w:p>
    <w:p w14:paraId="5585352A" w14:textId="162382EE" w:rsidR="00682446" w:rsidRPr="00682446" w:rsidRDefault="00682446" w:rsidP="00682446">
      <w:pPr>
        <w:spacing w:line="360" w:lineRule="auto"/>
        <w:jc w:val="both"/>
        <w:rPr>
          <w:rFonts w:ascii="Times New Roman" w:hAnsi="Times New Roman" w:cs="Times New Roman"/>
          <w:b/>
          <w:bCs/>
        </w:rPr>
      </w:pPr>
      <w:r w:rsidRPr="00682446">
        <w:rPr>
          <w:rFonts w:ascii="Times New Roman" w:hAnsi="Times New Roman" w:cs="Times New Roman"/>
          <w:b/>
          <w:bCs/>
        </w:rPr>
        <w:t>Behaviour change support</w:t>
      </w:r>
    </w:p>
    <w:p w14:paraId="72556711" w14:textId="68BB648B" w:rsid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 xml:space="preserve">Lifestyle change is challenging and often requires sustained motivation. Behaviour changes strategies such as motivational interviewing, self-monitoring, social support and goal setting have been shown to improve adherence in diabetes care (Pal et al., 2021). Structured education programmes such as DESMOND provide knowledge and practical skills, but ongoing follow up in primary care is crucial. </w:t>
      </w:r>
      <w:r w:rsidRPr="00682446">
        <w:rPr>
          <w:rFonts w:ascii="Times New Roman" w:hAnsi="Times New Roman" w:cs="Times New Roman"/>
        </w:rPr>
        <w:lastRenderedPageBreak/>
        <w:t>Using a collaborative approach, where the patient leads on identifying priorities, has been shown to improve engagement and outcomes.</w:t>
      </w:r>
    </w:p>
    <w:p w14:paraId="4E3F4A35" w14:textId="2B1315E9" w:rsidR="00A9576B" w:rsidRDefault="009F11E1" w:rsidP="00682446">
      <w:pPr>
        <w:spacing w:line="360" w:lineRule="auto"/>
        <w:jc w:val="both"/>
        <w:rPr>
          <w:rFonts w:ascii="Times New Roman" w:hAnsi="Times New Roman" w:cs="Times New Roman"/>
        </w:rPr>
      </w:pPr>
      <w:r w:rsidRPr="00477CB3">
        <w:rPr>
          <w:rFonts w:ascii="Times New Roman" w:hAnsi="Times New Roman" w:cs="Times New Roman"/>
        </w:rPr>
        <w:t>Figure 4 summarises the main lifestyle components influencing Type 2 diabetes outcomes, presented as a hierarchical pyramid to reflect their relative contribution to metabolic improvement.</w:t>
      </w:r>
      <w:r w:rsidR="00032C58">
        <w:rPr>
          <w:rFonts w:ascii="Times New Roman" w:hAnsi="Times New Roman" w:cs="Times New Roman"/>
          <w:noProof/>
        </w:rPr>
        <w:drawing>
          <wp:anchor distT="0" distB="0" distL="114300" distR="114300" simplePos="0" relativeHeight="251673600" behindDoc="1" locked="0" layoutInCell="1" allowOverlap="1" wp14:anchorId="0AE45B28" wp14:editId="060F3FBB">
            <wp:simplePos x="0" y="0"/>
            <wp:positionH relativeFrom="column">
              <wp:posOffset>2921000</wp:posOffset>
            </wp:positionH>
            <wp:positionV relativeFrom="paragraph">
              <wp:posOffset>492760</wp:posOffset>
            </wp:positionV>
            <wp:extent cx="3082290" cy="1976755"/>
            <wp:effectExtent l="0" t="0" r="3810" b="4445"/>
            <wp:wrapTight wrapText="bothSides">
              <wp:wrapPolygon edited="0">
                <wp:start x="0" y="0"/>
                <wp:lineTo x="0" y="21440"/>
                <wp:lineTo x="21493" y="21440"/>
                <wp:lineTo x="21493" y="0"/>
                <wp:lineTo x="0" y="0"/>
              </wp:wrapPolygon>
            </wp:wrapTight>
            <wp:docPr id="88452247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522472" name="Picture 884522472"/>
                    <pic:cNvPicPr/>
                  </pic:nvPicPr>
                  <pic:blipFill>
                    <a:blip r:embed="rId9"/>
                    <a:stretch>
                      <a:fillRect/>
                    </a:stretch>
                  </pic:blipFill>
                  <pic:spPr>
                    <a:xfrm>
                      <a:off x="0" y="0"/>
                      <a:ext cx="3082290" cy="1976755"/>
                    </a:xfrm>
                    <a:prstGeom prst="rect">
                      <a:avLst/>
                    </a:prstGeom>
                  </pic:spPr>
                </pic:pic>
              </a:graphicData>
            </a:graphic>
            <wp14:sizeRelH relativeFrom="margin">
              <wp14:pctWidth>0</wp14:pctWidth>
            </wp14:sizeRelH>
            <wp14:sizeRelV relativeFrom="margin">
              <wp14:pctHeight>0</wp14:pctHeight>
            </wp14:sizeRelV>
          </wp:anchor>
        </w:drawing>
      </w:r>
      <w:r w:rsidR="00720F09">
        <w:rPr>
          <w:rFonts w:ascii="Times New Roman" w:hAnsi="Times New Roman" w:cs="Times New Roman"/>
          <w:b/>
          <w:bCs/>
          <w:noProof/>
        </w:rPr>
        <w:drawing>
          <wp:anchor distT="0" distB="0" distL="114300" distR="114300" simplePos="0" relativeHeight="251672576" behindDoc="1" locked="0" layoutInCell="1" allowOverlap="1" wp14:anchorId="5AF27313" wp14:editId="436F1ACC">
            <wp:simplePos x="0" y="0"/>
            <wp:positionH relativeFrom="margin">
              <wp:align>left</wp:align>
            </wp:positionH>
            <wp:positionV relativeFrom="paragraph">
              <wp:posOffset>494879</wp:posOffset>
            </wp:positionV>
            <wp:extent cx="2984500" cy="1989455"/>
            <wp:effectExtent l="0" t="0" r="6350" b="0"/>
            <wp:wrapTight wrapText="bothSides">
              <wp:wrapPolygon edited="0">
                <wp:start x="0" y="0"/>
                <wp:lineTo x="0" y="21304"/>
                <wp:lineTo x="21508" y="21304"/>
                <wp:lineTo x="21508" y="0"/>
                <wp:lineTo x="0" y="0"/>
              </wp:wrapPolygon>
            </wp:wrapTight>
            <wp:docPr id="20412912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291223" name="Picture 2041291223"/>
                    <pic:cNvPicPr/>
                  </pic:nvPicPr>
                  <pic:blipFill>
                    <a:blip r:embed="rId10"/>
                    <a:stretch>
                      <a:fillRect/>
                    </a:stretch>
                  </pic:blipFill>
                  <pic:spPr>
                    <a:xfrm>
                      <a:off x="0" y="0"/>
                      <a:ext cx="2984500" cy="1989455"/>
                    </a:xfrm>
                    <a:prstGeom prst="rect">
                      <a:avLst/>
                    </a:prstGeom>
                  </pic:spPr>
                </pic:pic>
              </a:graphicData>
            </a:graphic>
            <wp14:sizeRelH relativeFrom="margin">
              <wp14:pctWidth>0</wp14:pctWidth>
            </wp14:sizeRelH>
            <wp14:sizeRelV relativeFrom="margin">
              <wp14:pctHeight>0</wp14:pctHeight>
            </wp14:sizeRelV>
          </wp:anchor>
        </w:drawing>
      </w:r>
    </w:p>
    <w:p w14:paraId="04772640" w14:textId="77777777" w:rsidR="009F11E1" w:rsidRDefault="009F11E1" w:rsidP="00682446">
      <w:pPr>
        <w:spacing w:line="360" w:lineRule="auto"/>
        <w:jc w:val="both"/>
        <w:rPr>
          <w:rFonts w:ascii="Times New Roman" w:hAnsi="Times New Roman" w:cs="Times New Roman"/>
          <w:b/>
          <w:bCs/>
        </w:rPr>
      </w:pPr>
    </w:p>
    <w:p w14:paraId="77227E57" w14:textId="0A60A8A6" w:rsidR="00077250" w:rsidRDefault="009F11E1" w:rsidP="00682446">
      <w:pPr>
        <w:spacing w:line="360" w:lineRule="auto"/>
        <w:jc w:val="both"/>
        <w:rPr>
          <w:rFonts w:ascii="Times New Roman" w:hAnsi="Times New Roman" w:cs="Times New Roman"/>
          <w:b/>
          <w:bCs/>
        </w:rPr>
      </w:pPr>
      <w:r w:rsidRPr="00720F09">
        <w:rPr>
          <w:rFonts w:ascii="Times New Roman" w:hAnsi="Times New Roman" w:cs="Times New Roman"/>
          <w:b/>
          <w:bCs/>
        </w:rPr>
        <w:t>Figure 4. Lifestyle intervention pyramid showing key behavioural components that influence insulin sensitivity and glycaemic control</w:t>
      </w:r>
      <w:r>
        <w:rPr>
          <w:rFonts w:ascii="Times New Roman" w:hAnsi="Times New Roman" w:cs="Times New Roman"/>
          <w:b/>
          <w:bCs/>
        </w:rPr>
        <w:t>.</w:t>
      </w:r>
      <w:r w:rsidR="00870539">
        <w:rPr>
          <w:rFonts w:ascii="Times New Roman" w:hAnsi="Times New Roman" w:cs="Times New Roman"/>
          <w:b/>
          <w:bCs/>
        </w:rPr>
        <w:t xml:space="preserve"> </w:t>
      </w:r>
      <w:r w:rsidR="00870539" w:rsidRPr="00870539">
        <w:rPr>
          <w:rFonts w:ascii="Times New Roman" w:hAnsi="Times New Roman" w:cs="Times New Roman"/>
        </w:rPr>
        <w:t>Author (2025).</w:t>
      </w:r>
    </w:p>
    <w:p w14:paraId="2FB9D5C3" w14:textId="250C9E34" w:rsidR="00EF50C9" w:rsidRDefault="009F11E1" w:rsidP="00682446">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74624" behindDoc="1" locked="0" layoutInCell="1" allowOverlap="1" wp14:anchorId="340040B8" wp14:editId="701DE5A3">
            <wp:simplePos x="0" y="0"/>
            <wp:positionH relativeFrom="margin">
              <wp:align>left</wp:align>
            </wp:positionH>
            <wp:positionV relativeFrom="paragraph">
              <wp:posOffset>15191</wp:posOffset>
            </wp:positionV>
            <wp:extent cx="4511675" cy="4107180"/>
            <wp:effectExtent l="0" t="0" r="3175" b="7620"/>
            <wp:wrapTight wrapText="bothSides">
              <wp:wrapPolygon edited="0">
                <wp:start x="0" y="0"/>
                <wp:lineTo x="0" y="21540"/>
                <wp:lineTo x="21524" y="21540"/>
                <wp:lineTo x="21524" y="0"/>
                <wp:lineTo x="0" y="0"/>
              </wp:wrapPolygon>
            </wp:wrapTight>
            <wp:docPr id="70524516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245160" name="Picture 705245160"/>
                    <pic:cNvPicPr/>
                  </pic:nvPicPr>
                  <pic:blipFill>
                    <a:blip r:embed="rId11"/>
                    <a:stretch>
                      <a:fillRect/>
                    </a:stretch>
                  </pic:blipFill>
                  <pic:spPr>
                    <a:xfrm>
                      <a:off x="0" y="0"/>
                      <a:ext cx="4511675" cy="4107180"/>
                    </a:xfrm>
                    <a:prstGeom prst="rect">
                      <a:avLst/>
                    </a:prstGeom>
                  </pic:spPr>
                </pic:pic>
              </a:graphicData>
            </a:graphic>
            <wp14:sizeRelH relativeFrom="margin">
              <wp14:pctWidth>0</wp14:pctWidth>
            </wp14:sizeRelH>
            <wp14:sizeRelV relativeFrom="margin">
              <wp14:pctHeight>0</wp14:pctHeight>
            </wp14:sizeRelV>
          </wp:anchor>
        </w:drawing>
      </w:r>
    </w:p>
    <w:p w14:paraId="4B8A2B4F" w14:textId="75A258DB" w:rsidR="00EF50C9" w:rsidRDefault="00EF50C9" w:rsidP="00682446">
      <w:pPr>
        <w:spacing w:line="360" w:lineRule="auto"/>
        <w:jc w:val="both"/>
        <w:rPr>
          <w:rFonts w:ascii="Times New Roman" w:hAnsi="Times New Roman" w:cs="Times New Roman"/>
        </w:rPr>
      </w:pPr>
    </w:p>
    <w:p w14:paraId="03FB4CBB" w14:textId="19F5CDB4" w:rsidR="00EF50C9" w:rsidRDefault="00EF50C9" w:rsidP="00682446">
      <w:pPr>
        <w:spacing w:line="360" w:lineRule="auto"/>
        <w:jc w:val="both"/>
        <w:rPr>
          <w:rFonts w:ascii="Times New Roman" w:hAnsi="Times New Roman" w:cs="Times New Roman"/>
        </w:rPr>
      </w:pPr>
    </w:p>
    <w:p w14:paraId="5F6F52D3" w14:textId="77777777" w:rsidR="00EF50C9" w:rsidRDefault="00EF50C9" w:rsidP="00682446">
      <w:pPr>
        <w:spacing w:line="360" w:lineRule="auto"/>
        <w:jc w:val="both"/>
        <w:rPr>
          <w:rFonts w:ascii="Times New Roman" w:hAnsi="Times New Roman" w:cs="Times New Roman"/>
        </w:rPr>
      </w:pPr>
    </w:p>
    <w:p w14:paraId="61DD385D" w14:textId="77777777" w:rsidR="00EF50C9" w:rsidRDefault="00EF50C9" w:rsidP="00682446">
      <w:pPr>
        <w:spacing w:line="360" w:lineRule="auto"/>
        <w:jc w:val="both"/>
        <w:rPr>
          <w:rFonts w:ascii="Times New Roman" w:hAnsi="Times New Roman" w:cs="Times New Roman"/>
        </w:rPr>
      </w:pPr>
    </w:p>
    <w:p w14:paraId="617F091C" w14:textId="77777777" w:rsidR="00EF50C9" w:rsidRDefault="00EF50C9" w:rsidP="00682446">
      <w:pPr>
        <w:spacing w:line="360" w:lineRule="auto"/>
        <w:jc w:val="both"/>
        <w:rPr>
          <w:rFonts w:ascii="Times New Roman" w:hAnsi="Times New Roman" w:cs="Times New Roman"/>
        </w:rPr>
      </w:pPr>
    </w:p>
    <w:p w14:paraId="09468547" w14:textId="77777777" w:rsidR="00EF50C9" w:rsidRDefault="00EF50C9" w:rsidP="00682446">
      <w:pPr>
        <w:spacing w:line="360" w:lineRule="auto"/>
        <w:jc w:val="both"/>
        <w:rPr>
          <w:rFonts w:ascii="Times New Roman" w:hAnsi="Times New Roman" w:cs="Times New Roman"/>
        </w:rPr>
      </w:pPr>
    </w:p>
    <w:p w14:paraId="7D3EEE68" w14:textId="77777777" w:rsidR="00EF50C9" w:rsidRDefault="00EF50C9" w:rsidP="00682446">
      <w:pPr>
        <w:spacing w:line="360" w:lineRule="auto"/>
        <w:jc w:val="both"/>
        <w:rPr>
          <w:rFonts w:ascii="Times New Roman" w:hAnsi="Times New Roman" w:cs="Times New Roman"/>
        </w:rPr>
      </w:pPr>
    </w:p>
    <w:p w14:paraId="112210AD" w14:textId="77777777" w:rsidR="00EF50C9" w:rsidRDefault="00EF50C9" w:rsidP="00682446">
      <w:pPr>
        <w:spacing w:line="360" w:lineRule="auto"/>
        <w:jc w:val="both"/>
        <w:rPr>
          <w:rFonts w:ascii="Times New Roman" w:hAnsi="Times New Roman" w:cs="Times New Roman"/>
        </w:rPr>
      </w:pPr>
    </w:p>
    <w:p w14:paraId="3E6166F6" w14:textId="77777777" w:rsidR="00EF50C9" w:rsidRDefault="00EF50C9" w:rsidP="00682446">
      <w:pPr>
        <w:spacing w:line="360" w:lineRule="auto"/>
        <w:jc w:val="both"/>
        <w:rPr>
          <w:rFonts w:ascii="Times New Roman" w:hAnsi="Times New Roman" w:cs="Times New Roman"/>
        </w:rPr>
      </w:pPr>
    </w:p>
    <w:p w14:paraId="59E19641" w14:textId="77777777" w:rsidR="00EF50C9" w:rsidRDefault="00EF50C9" w:rsidP="00682446">
      <w:pPr>
        <w:spacing w:line="360" w:lineRule="auto"/>
        <w:jc w:val="both"/>
        <w:rPr>
          <w:rFonts w:ascii="Times New Roman" w:hAnsi="Times New Roman" w:cs="Times New Roman"/>
        </w:rPr>
      </w:pPr>
    </w:p>
    <w:p w14:paraId="5C6FE92A" w14:textId="77777777" w:rsidR="009F11E1" w:rsidRDefault="009F11E1" w:rsidP="00682446">
      <w:pPr>
        <w:spacing w:line="360" w:lineRule="auto"/>
        <w:jc w:val="both"/>
        <w:rPr>
          <w:rFonts w:ascii="Times New Roman" w:hAnsi="Times New Roman" w:cs="Times New Roman"/>
        </w:rPr>
      </w:pPr>
    </w:p>
    <w:p w14:paraId="5426D9FC" w14:textId="1529C58E" w:rsidR="00EF50C9" w:rsidRDefault="00870539" w:rsidP="00682446">
      <w:pPr>
        <w:spacing w:line="360" w:lineRule="auto"/>
        <w:jc w:val="both"/>
        <w:rPr>
          <w:rFonts w:ascii="Times New Roman" w:hAnsi="Times New Roman" w:cs="Times New Roman"/>
        </w:rPr>
      </w:pPr>
      <w:r w:rsidRPr="00870539">
        <w:rPr>
          <w:rFonts w:ascii="Times New Roman" w:hAnsi="Times New Roman" w:cs="Times New Roman"/>
        </w:rPr>
        <w:t>Author (2025).</w:t>
      </w:r>
    </w:p>
    <w:p w14:paraId="79B548E4" w14:textId="77777777" w:rsidR="009F11E1" w:rsidRDefault="009F11E1" w:rsidP="00682446">
      <w:pPr>
        <w:spacing w:line="360" w:lineRule="auto"/>
        <w:jc w:val="both"/>
        <w:rPr>
          <w:rFonts w:ascii="Times New Roman" w:hAnsi="Times New Roman" w:cs="Times New Roman"/>
          <w:b/>
          <w:bCs/>
        </w:rPr>
      </w:pPr>
    </w:p>
    <w:p w14:paraId="6A7C8C27" w14:textId="45FF999F" w:rsidR="00682446" w:rsidRPr="00682446" w:rsidRDefault="00682446" w:rsidP="00682446">
      <w:pPr>
        <w:spacing w:line="360" w:lineRule="auto"/>
        <w:jc w:val="both"/>
        <w:rPr>
          <w:rFonts w:ascii="Times New Roman" w:hAnsi="Times New Roman" w:cs="Times New Roman"/>
          <w:b/>
          <w:bCs/>
        </w:rPr>
      </w:pPr>
      <w:r w:rsidRPr="00682446">
        <w:rPr>
          <w:rFonts w:ascii="Times New Roman" w:hAnsi="Times New Roman" w:cs="Times New Roman"/>
          <w:b/>
          <w:bCs/>
        </w:rPr>
        <w:lastRenderedPageBreak/>
        <w:t>Conclusion</w:t>
      </w:r>
    </w:p>
    <w:p w14:paraId="4719B498" w14:textId="78CD79D0"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Type 2 diabetes is a complex condition shaped by biological, lifestyle and social factors. Understanding how blood glucose is normally regulated provides a foundation for explaining the impact of insulin resistance and reduced insulin secretion. Cellular respiration illustrates how essential glucose is for energy production and why chronic hyperglycaemia leads to fatigue, reduced metabolic efficiency and long-term complications.</w:t>
      </w:r>
    </w:p>
    <w:p w14:paraId="403211CC" w14:textId="5856F068"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Monitoring and tracking blood glucose, particularly through HbA1c testing and selective self-monitoring, gives patients and clinicians valuable insight into patterns and treatment effectiveness. When used alongside education, monitoring helps individuals recognise the impact of daily choices on their glucose levels and supports shared decision making.</w:t>
      </w:r>
    </w:p>
    <w:p w14:paraId="5BE18C22" w14:textId="77777777" w:rsidR="00682446" w:rsidRPr="00682446" w:rsidRDefault="00682446" w:rsidP="00682446">
      <w:pPr>
        <w:spacing w:line="360" w:lineRule="auto"/>
        <w:jc w:val="both"/>
        <w:rPr>
          <w:rFonts w:ascii="Times New Roman" w:hAnsi="Times New Roman" w:cs="Times New Roman"/>
        </w:rPr>
      </w:pPr>
      <w:r w:rsidRPr="00682446">
        <w:rPr>
          <w:rFonts w:ascii="Times New Roman" w:hAnsi="Times New Roman" w:cs="Times New Roman"/>
        </w:rPr>
        <w:t>Lifestyle modification remains central to managing T2DM. Evidence shows that weight loss, dietary improvement, increased physical activity and smoking cessation improve glycaemic control and reduce cardiovascular risk. For some individuals, substantial weight loss can even achieve remission. As a practice nurse, integrating physiological knowledge with practical, person-centred education allows patients to understand their condition more fully and take active steps to manage it. This holistic approach strengthens self-management, reduces complications and promotes long term health.</w:t>
      </w:r>
    </w:p>
    <w:p w14:paraId="76C9EA10" w14:textId="521D781E" w:rsidR="00682446" w:rsidRPr="00682446" w:rsidRDefault="00682446" w:rsidP="00682446">
      <w:pPr>
        <w:spacing w:line="360" w:lineRule="auto"/>
        <w:jc w:val="both"/>
        <w:rPr>
          <w:rFonts w:ascii="Times New Roman" w:hAnsi="Times New Roman" w:cs="Times New Roman"/>
        </w:rPr>
      </w:pPr>
    </w:p>
    <w:p w14:paraId="1CAEF328" w14:textId="77777777" w:rsidR="00682446" w:rsidRDefault="00682446" w:rsidP="00682446">
      <w:pPr>
        <w:spacing w:line="360" w:lineRule="auto"/>
        <w:jc w:val="both"/>
        <w:rPr>
          <w:rFonts w:ascii="Times New Roman" w:hAnsi="Times New Roman" w:cs="Times New Roman"/>
          <w:b/>
          <w:bCs/>
        </w:rPr>
      </w:pPr>
    </w:p>
    <w:p w14:paraId="34FBBCE6" w14:textId="77777777" w:rsidR="00682446" w:rsidRDefault="00682446" w:rsidP="00682446">
      <w:pPr>
        <w:spacing w:line="360" w:lineRule="auto"/>
        <w:jc w:val="both"/>
        <w:rPr>
          <w:rFonts w:ascii="Times New Roman" w:hAnsi="Times New Roman" w:cs="Times New Roman"/>
          <w:b/>
          <w:bCs/>
        </w:rPr>
      </w:pPr>
    </w:p>
    <w:p w14:paraId="34BA2BEC" w14:textId="77777777" w:rsidR="00682446" w:rsidRDefault="00682446" w:rsidP="00682446">
      <w:pPr>
        <w:spacing w:line="360" w:lineRule="auto"/>
        <w:jc w:val="both"/>
        <w:rPr>
          <w:rFonts w:ascii="Times New Roman" w:hAnsi="Times New Roman" w:cs="Times New Roman"/>
          <w:b/>
          <w:bCs/>
        </w:rPr>
      </w:pPr>
    </w:p>
    <w:p w14:paraId="0EC76D95" w14:textId="77777777" w:rsidR="00682446" w:rsidRDefault="00682446" w:rsidP="00682446">
      <w:pPr>
        <w:spacing w:line="360" w:lineRule="auto"/>
        <w:jc w:val="both"/>
        <w:rPr>
          <w:rFonts w:ascii="Times New Roman" w:hAnsi="Times New Roman" w:cs="Times New Roman"/>
          <w:b/>
          <w:bCs/>
        </w:rPr>
      </w:pPr>
    </w:p>
    <w:p w14:paraId="511DC130" w14:textId="77777777" w:rsidR="00682446" w:rsidRDefault="00682446" w:rsidP="00682446">
      <w:pPr>
        <w:spacing w:line="360" w:lineRule="auto"/>
        <w:jc w:val="both"/>
        <w:rPr>
          <w:rFonts w:ascii="Times New Roman" w:hAnsi="Times New Roman" w:cs="Times New Roman"/>
          <w:b/>
          <w:bCs/>
        </w:rPr>
      </w:pPr>
    </w:p>
    <w:p w14:paraId="15561560" w14:textId="77777777" w:rsidR="00682446" w:rsidRDefault="00682446" w:rsidP="00682446">
      <w:pPr>
        <w:spacing w:line="360" w:lineRule="auto"/>
        <w:jc w:val="both"/>
        <w:rPr>
          <w:rFonts w:ascii="Times New Roman" w:hAnsi="Times New Roman" w:cs="Times New Roman"/>
          <w:b/>
          <w:bCs/>
        </w:rPr>
      </w:pPr>
    </w:p>
    <w:p w14:paraId="76409BD7" w14:textId="77777777" w:rsidR="00682446" w:rsidRDefault="00682446" w:rsidP="00682446">
      <w:pPr>
        <w:spacing w:line="360" w:lineRule="auto"/>
        <w:jc w:val="both"/>
        <w:rPr>
          <w:rFonts w:ascii="Times New Roman" w:hAnsi="Times New Roman" w:cs="Times New Roman"/>
          <w:b/>
          <w:bCs/>
        </w:rPr>
      </w:pPr>
    </w:p>
    <w:p w14:paraId="620167CE" w14:textId="77777777" w:rsidR="00682446" w:rsidRDefault="00682446" w:rsidP="00682446">
      <w:pPr>
        <w:spacing w:line="360" w:lineRule="auto"/>
        <w:jc w:val="both"/>
        <w:rPr>
          <w:rFonts w:ascii="Times New Roman" w:hAnsi="Times New Roman" w:cs="Times New Roman"/>
          <w:b/>
          <w:bCs/>
        </w:rPr>
      </w:pPr>
    </w:p>
    <w:p w14:paraId="4F603448" w14:textId="77777777" w:rsidR="00682446" w:rsidRDefault="00682446" w:rsidP="00682446">
      <w:pPr>
        <w:spacing w:line="360" w:lineRule="auto"/>
        <w:jc w:val="both"/>
        <w:rPr>
          <w:rFonts w:ascii="Times New Roman" w:hAnsi="Times New Roman" w:cs="Times New Roman"/>
          <w:b/>
          <w:bCs/>
        </w:rPr>
      </w:pPr>
    </w:p>
    <w:p w14:paraId="1C1B79F7" w14:textId="77777777" w:rsidR="00682446" w:rsidRDefault="00682446" w:rsidP="00682446">
      <w:pPr>
        <w:spacing w:line="360" w:lineRule="auto"/>
        <w:jc w:val="both"/>
        <w:rPr>
          <w:rFonts w:ascii="Times New Roman" w:hAnsi="Times New Roman" w:cs="Times New Roman"/>
          <w:b/>
          <w:bCs/>
        </w:rPr>
      </w:pPr>
    </w:p>
    <w:p w14:paraId="7DD38352" w14:textId="77777777" w:rsidR="00682446" w:rsidRDefault="00682446" w:rsidP="00682446">
      <w:pPr>
        <w:spacing w:line="360" w:lineRule="auto"/>
        <w:jc w:val="both"/>
        <w:rPr>
          <w:rFonts w:ascii="Times New Roman" w:hAnsi="Times New Roman" w:cs="Times New Roman"/>
          <w:b/>
          <w:bCs/>
        </w:rPr>
      </w:pPr>
    </w:p>
    <w:p w14:paraId="61F059D0" w14:textId="77777777" w:rsidR="00682446" w:rsidRDefault="00682446" w:rsidP="00682446">
      <w:pPr>
        <w:spacing w:line="360" w:lineRule="auto"/>
        <w:jc w:val="both"/>
        <w:rPr>
          <w:rFonts w:ascii="Times New Roman" w:hAnsi="Times New Roman" w:cs="Times New Roman"/>
          <w:b/>
          <w:bCs/>
        </w:rPr>
      </w:pPr>
    </w:p>
    <w:p w14:paraId="3B254F5D" w14:textId="62C72949" w:rsidR="00682446" w:rsidRPr="00682446" w:rsidRDefault="00682446" w:rsidP="00682446">
      <w:pPr>
        <w:spacing w:line="360" w:lineRule="auto"/>
        <w:jc w:val="both"/>
        <w:rPr>
          <w:rFonts w:ascii="Times New Roman" w:hAnsi="Times New Roman" w:cs="Times New Roman"/>
          <w:b/>
          <w:bCs/>
        </w:rPr>
      </w:pPr>
      <w:r w:rsidRPr="00682446">
        <w:rPr>
          <w:rFonts w:ascii="Times New Roman" w:hAnsi="Times New Roman" w:cs="Times New Roman"/>
          <w:b/>
          <w:bCs/>
        </w:rPr>
        <w:lastRenderedPageBreak/>
        <w:t>Reference</w:t>
      </w:r>
      <w:r>
        <w:rPr>
          <w:rFonts w:ascii="Times New Roman" w:hAnsi="Times New Roman" w:cs="Times New Roman"/>
          <w:b/>
          <w:bCs/>
        </w:rPr>
        <w:t>.</w:t>
      </w:r>
    </w:p>
    <w:p w14:paraId="5A81D5BA" w14:textId="27470B0D"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American Diabetes Association (2022) </w:t>
      </w:r>
      <w:r w:rsidRPr="00682446">
        <w:rPr>
          <w:rFonts w:ascii="Times New Roman" w:hAnsi="Times New Roman" w:cs="Times New Roman"/>
          <w:i/>
          <w:iCs/>
        </w:rPr>
        <w:t>Standards of Medical Care in Diabetes</w:t>
      </w:r>
      <w:r w:rsidRPr="00682446">
        <w:rPr>
          <w:rFonts w:ascii="Times New Roman" w:hAnsi="Times New Roman" w:cs="Times New Roman"/>
        </w:rPr>
        <w:t>. Diabetes Care, 45(S1), pp. 1–100.</w:t>
      </w:r>
    </w:p>
    <w:p w14:paraId="41F124C0" w14:textId="77777777" w:rsidR="00682446" w:rsidRPr="00682446" w:rsidRDefault="00682446" w:rsidP="004973A4">
      <w:pPr>
        <w:spacing w:line="360" w:lineRule="auto"/>
        <w:rPr>
          <w:rFonts w:ascii="Times New Roman" w:hAnsi="Times New Roman" w:cs="Times New Roman"/>
        </w:rPr>
      </w:pPr>
      <w:proofErr w:type="spellStart"/>
      <w:r w:rsidRPr="00682446">
        <w:rPr>
          <w:rFonts w:ascii="Times New Roman" w:hAnsi="Times New Roman" w:cs="Times New Roman"/>
        </w:rPr>
        <w:t>Bergenstal</w:t>
      </w:r>
      <w:proofErr w:type="spellEnd"/>
      <w:r w:rsidRPr="00682446">
        <w:rPr>
          <w:rFonts w:ascii="Times New Roman" w:hAnsi="Times New Roman" w:cs="Times New Roman"/>
        </w:rPr>
        <w:t xml:space="preserve">, R.M. et al. (2021) Continuous glucose monitoring in adults with type 2 diabetes. </w:t>
      </w:r>
      <w:r w:rsidRPr="00682446">
        <w:rPr>
          <w:rFonts w:ascii="Times New Roman" w:hAnsi="Times New Roman" w:cs="Times New Roman"/>
          <w:i/>
          <w:iCs/>
        </w:rPr>
        <w:t>The Lancet</w:t>
      </w:r>
      <w:r w:rsidRPr="00682446">
        <w:rPr>
          <w:rFonts w:ascii="Times New Roman" w:hAnsi="Times New Roman" w:cs="Times New Roman"/>
        </w:rPr>
        <w:t>, 398(10313), pp. 62–74.</w:t>
      </w:r>
    </w:p>
    <w:p w14:paraId="5B1BADF8"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Campbell, N. and Reece, J. (2021) </w:t>
      </w:r>
      <w:r w:rsidRPr="00682446">
        <w:rPr>
          <w:rFonts w:ascii="Times New Roman" w:hAnsi="Times New Roman" w:cs="Times New Roman"/>
          <w:i/>
          <w:iCs/>
        </w:rPr>
        <w:t>Biology</w:t>
      </w:r>
      <w:r w:rsidRPr="00682446">
        <w:rPr>
          <w:rFonts w:ascii="Times New Roman" w:hAnsi="Times New Roman" w:cs="Times New Roman"/>
        </w:rPr>
        <w:t xml:space="preserve">. 13th </w:t>
      </w:r>
      <w:proofErr w:type="spellStart"/>
      <w:r w:rsidRPr="00682446">
        <w:rPr>
          <w:rFonts w:ascii="Times New Roman" w:hAnsi="Times New Roman" w:cs="Times New Roman"/>
        </w:rPr>
        <w:t>edn</w:t>
      </w:r>
      <w:proofErr w:type="spellEnd"/>
      <w:r w:rsidRPr="00682446">
        <w:rPr>
          <w:rFonts w:ascii="Times New Roman" w:hAnsi="Times New Roman" w:cs="Times New Roman"/>
        </w:rPr>
        <w:t>. Pearson.</w:t>
      </w:r>
    </w:p>
    <w:p w14:paraId="4FEDE33A"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Chang, S.A. et al. (2020) Smoking and risk of diabetes complications. </w:t>
      </w:r>
      <w:r w:rsidRPr="00682446">
        <w:rPr>
          <w:rFonts w:ascii="Times New Roman" w:hAnsi="Times New Roman" w:cs="Times New Roman"/>
          <w:i/>
          <w:iCs/>
        </w:rPr>
        <w:t>Cardiovascular Diabetology</w:t>
      </w:r>
      <w:r w:rsidRPr="00682446">
        <w:rPr>
          <w:rFonts w:ascii="Times New Roman" w:hAnsi="Times New Roman" w:cs="Times New Roman"/>
        </w:rPr>
        <w:t>, 19(1), pp. 1–10.</w:t>
      </w:r>
    </w:p>
    <w:p w14:paraId="743303A1"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Colberg, S.R. et al. (2020) Exercise and type 2 diabetes: A consensus statement. </w:t>
      </w:r>
      <w:r w:rsidRPr="00682446">
        <w:rPr>
          <w:rFonts w:ascii="Times New Roman" w:hAnsi="Times New Roman" w:cs="Times New Roman"/>
          <w:i/>
          <w:iCs/>
        </w:rPr>
        <w:t>Diabetes Research and Clinical Practice</w:t>
      </w:r>
      <w:r w:rsidRPr="00682446">
        <w:rPr>
          <w:rFonts w:ascii="Times New Roman" w:hAnsi="Times New Roman" w:cs="Times New Roman"/>
        </w:rPr>
        <w:t>, 170, pp. 1–15.</w:t>
      </w:r>
    </w:p>
    <w:p w14:paraId="641F3657"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Davies, M. et al. (2021) Management of hyperglycaemia in type 2 diabetes. </w:t>
      </w:r>
      <w:proofErr w:type="spellStart"/>
      <w:r w:rsidRPr="00682446">
        <w:rPr>
          <w:rFonts w:ascii="Times New Roman" w:hAnsi="Times New Roman" w:cs="Times New Roman"/>
          <w:i/>
          <w:iCs/>
        </w:rPr>
        <w:t>Diabetologia</w:t>
      </w:r>
      <w:proofErr w:type="spellEnd"/>
      <w:r w:rsidRPr="00682446">
        <w:rPr>
          <w:rFonts w:ascii="Times New Roman" w:hAnsi="Times New Roman" w:cs="Times New Roman"/>
        </w:rPr>
        <w:t>, 64(2), pp. 239–253.</w:t>
      </w:r>
    </w:p>
    <w:p w14:paraId="1C749561"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Goyal, R. and </w:t>
      </w:r>
      <w:proofErr w:type="spellStart"/>
      <w:r w:rsidRPr="00682446">
        <w:rPr>
          <w:rFonts w:ascii="Times New Roman" w:hAnsi="Times New Roman" w:cs="Times New Roman"/>
        </w:rPr>
        <w:t>Jialal</w:t>
      </w:r>
      <w:proofErr w:type="spellEnd"/>
      <w:r w:rsidRPr="00682446">
        <w:rPr>
          <w:rFonts w:ascii="Times New Roman" w:hAnsi="Times New Roman" w:cs="Times New Roman"/>
        </w:rPr>
        <w:t xml:space="preserve">, I. (2022) Insulin and glucagon physiology. </w:t>
      </w:r>
      <w:r w:rsidRPr="00682446">
        <w:rPr>
          <w:rFonts w:ascii="Times New Roman" w:hAnsi="Times New Roman" w:cs="Times New Roman"/>
          <w:i/>
          <w:iCs/>
        </w:rPr>
        <w:t>Endocrinology Review</w:t>
      </w:r>
      <w:r w:rsidRPr="00682446">
        <w:rPr>
          <w:rFonts w:ascii="Times New Roman" w:hAnsi="Times New Roman" w:cs="Times New Roman"/>
        </w:rPr>
        <w:t>, 33(4), pp. 320–330.</w:t>
      </w:r>
    </w:p>
    <w:p w14:paraId="3F9361B0"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International Diabetes Federation (2021) </w:t>
      </w:r>
      <w:r w:rsidRPr="00682446">
        <w:rPr>
          <w:rFonts w:ascii="Times New Roman" w:hAnsi="Times New Roman" w:cs="Times New Roman"/>
          <w:i/>
          <w:iCs/>
        </w:rPr>
        <w:t>IDF Diabetes Atlas</w:t>
      </w:r>
      <w:r w:rsidRPr="00682446">
        <w:rPr>
          <w:rFonts w:ascii="Times New Roman" w:hAnsi="Times New Roman" w:cs="Times New Roman"/>
        </w:rPr>
        <w:t xml:space="preserve">. 10th </w:t>
      </w:r>
      <w:proofErr w:type="spellStart"/>
      <w:r w:rsidRPr="00682446">
        <w:rPr>
          <w:rFonts w:ascii="Times New Roman" w:hAnsi="Times New Roman" w:cs="Times New Roman"/>
        </w:rPr>
        <w:t>edn</w:t>
      </w:r>
      <w:proofErr w:type="spellEnd"/>
      <w:r w:rsidRPr="00682446">
        <w:rPr>
          <w:rFonts w:ascii="Times New Roman" w:hAnsi="Times New Roman" w:cs="Times New Roman"/>
        </w:rPr>
        <w:t>.</w:t>
      </w:r>
    </w:p>
    <w:p w14:paraId="1417604D"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Lean, M.E.J. et al. (2019) Primary care weight-management programme for T2DM remission. </w:t>
      </w:r>
      <w:r w:rsidRPr="00682446">
        <w:rPr>
          <w:rFonts w:ascii="Times New Roman" w:hAnsi="Times New Roman" w:cs="Times New Roman"/>
          <w:i/>
          <w:iCs/>
        </w:rPr>
        <w:t>The Lancet Diabetes &amp; Endocrinology</w:t>
      </w:r>
      <w:r w:rsidRPr="00682446">
        <w:rPr>
          <w:rFonts w:ascii="Times New Roman" w:hAnsi="Times New Roman" w:cs="Times New Roman"/>
        </w:rPr>
        <w:t>, 7(5), pp. 344–355.</w:t>
      </w:r>
    </w:p>
    <w:p w14:paraId="5FD628C3"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Leslie, W.S. et al. (2023) Long-term outcomes of diabetes remission programmes. </w:t>
      </w:r>
      <w:r w:rsidRPr="00682446">
        <w:rPr>
          <w:rFonts w:ascii="Times New Roman" w:hAnsi="Times New Roman" w:cs="Times New Roman"/>
          <w:i/>
          <w:iCs/>
        </w:rPr>
        <w:t>Diabetes Care</w:t>
      </w:r>
      <w:r w:rsidRPr="00682446">
        <w:rPr>
          <w:rFonts w:ascii="Times New Roman" w:hAnsi="Times New Roman" w:cs="Times New Roman"/>
        </w:rPr>
        <w:t>, 46(3), pp. 509–518.</w:t>
      </w:r>
    </w:p>
    <w:p w14:paraId="35E6A2EC" w14:textId="77777777" w:rsidR="00682446" w:rsidRPr="00682446" w:rsidRDefault="00682446" w:rsidP="004973A4">
      <w:pPr>
        <w:spacing w:line="360" w:lineRule="auto"/>
        <w:rPr>
          <w:rFonts w:ascii="Times New Roman" w:hAnsi="Times New Roman" w:cs="Times New Roman"/>
        </w:rPr>
      </w:pPr>
      <w:proofErr w:type="spellStart"/>
      <w:r w:rsidRPr="00682446">
        <w:rPr>
          <w:rFonts w:ascii="Times New Roman" w:hAnsi="Times New Roman" w:cs="Times New Roman"/>
        </w:rPr>
        <w:t>Mallappa</w:t>
      </w:r>
      <w:proofErr w:type="spellEnd"/>
      <w:r w:rsidRPr="00682446">
        <w:rPr>
          <w:rFonts w:ascii="Times New Roman" w:hAnsi="Times New Roman" w:cs="Times New Roman"/>
        </w:rPr>
        <w:t xml:space="preserve">, A. et al. (2020) Mechanisms linking insulin resistance and pancreatic dysfunction. </w:t>
      </w:r>
      <w:r w:rsidRPr="00682446">
        <w:rPr>
          <w:rFonts w:ascii="Times New Roman" w:hAnsi="Times New Roman" w:cs="Times New Roman"/>
          <w:i/>
          <w:iCs/>
        </w:rPr>
        <w:t>Metabolism</w:t>
      </w:r>
      <w:r w:rsidRPr="00682446">
        <w:rPr>
          <w:rFonts w:ascii="Times New Roman" w:hAnsi="Times New Roman" w:cs="Times New Roman"/>
        </w:rPr>
        <w:t>, 108, pp. 1–10.</w:t>
      </w:r>
    </w:p>
    <w:p w14:paraId="6C0508A8"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NHS England (2022) </w:t>
      </w:r>
      <w:r w:rsidRPr="00682446">
        <w:rPr>
          <w:rFonts w:ascii="Times New Roman" w:hAnsi="Times New Roman" w:cs="Times New Roman"/>
          <w:i/>
          <w:iCs/>
        </w:rPr>
        <w:t>Type 2 Diabetes: Prevention and Management Guidance</w:t>
      </w:r>
      <w:r w:rsidRPr="00682446">
        <w:rPr>
          <w:rFonts w:ascii="Times New Roman" w:hAnsi="Times New Roman" w:cs="Times New Roman"/>
        </w:rPr>
        <w:t>.</w:t>
      </w:r>
    </w:p>
    <w:p w14:paraId="1829F577"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NICE (2022) </w:t>
      </w:r>
      <w:r w:rsidRPr="00682446">
        <w:rPr>
          <w:rFonts w:ascii="Times New Roman" w:hAnsi="Times New Roman" w:cs="Times New Roman"/>
          <w:i/>
          <w:iCs/>
        </w:rPr>
        <w:t>Type 2 Diabetes in Adults: Management (NG28)</w:t>
      </w:r>
      <w:r w:rsidRPr="00682446">
        <w:rPr>
          <w:rFonts w:ascii="Times New Roman" w:hAnsi="Times New Roman" w:cs="Times New Roman"/>
        </w:rPr>
        <w:t>.</w:t>
      </w:r>
    </w:p>
    <w:p w14:paraId="1CBAA761"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Nelson, D. and Cox, M. (2021) </w:t>
      </w:r>
      <w:r w:rsidRPr="00682446">
        <w:rPr>
          <w:rFonts w:ascii="Times New Roman" w:hAnsi="Times New Roman" w:cs="Times New Roman"/>
          <w:i/>
          <w:iCs/>
        </w:rPr>
        <w:t>Principles of Biochemistry</w:t>
      </w:r>
      <w:r w:rsidRPr="00682446">
        <w:rPr>
          <w:rFonts w:ascii="Times New Roman" w:hAnsi="Times New Roman" w:cs="Times New Roman"/>
        </w:rPr>
        <w:t xml:space="preserve">. 8th </w:t>
      </w:r>
      <w:proofErr w:type="spellStart"/>
      <w:r w:rsidRPr="00682446">
        <w:rPr>
          <w:rFonts w:ascii="Times New Roman" w:hAnsi="Times New Roman" w:cs="Times New Roman"/>
        </w:rPr>
        <w:t>edn</w:t>
      </w:r>
      <w:proofErr w:type="spellEnd"/>
      <w:r w:rsidRPr="00682446">
        <w:rPr>
          <w:rFonts w:ascii="Times New Roman" w:hAnsi="Times New Roman" w:cs="Times New Roman"/>
        </w:rPr>
        <w:t>. W.H. Freeman.</w:t>
      </w:r>
    </w:p>
    <w:p w14:paraId="3FB40337"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Pal, K. et al. (2021) Behavioural interventions for type 2 diabetes. </w:t>
      </w:r>
      <w:r w:rsidRPr="00682446">
        <w:rPr>
          <w:rFonts w:ascii="Times New Roman" w:hAnsi="Times New Roman" w:cs="Times New Roman"/>
          <w:i/>
          <w:iCs/>
        </w:rPr>
        <w:t>Patient Education and Counselling</w:t>
      </w:r>
      <w:r w:rsidRPr="00682446">
        <w:rPr>
          <w:rFonts w:ascii="Times New Roman" w:hAnsi="Times New Roman" w:cs="Times New Roman"/>
        </w:rPr>
        <w:t>, 104(8), pp. 2005–2015.</w:t>
      </w:r>
    </w:p>
    <w:p w14:paraId="77EC19B0"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Public Health England (2020) </w:t>
      </w:r>
      <w:r w:rsidRPr="00682446">
        <w:rPr>
          <w:rFonts w:ascii="Times New Roman" w:hAnsi="Times New Roman" w:cs="Times New Roman"/>
          <w:i/>
          <w:iCs/>
        </w:rPr>
        <w:t>Health Inequalities and Diabetes Report</w:t>
      </w:r>
      <w:r w:rsidRPr="00682446">
        <w:rPr>
          <w:rFonts w:ascii="Times New Roman" w:hAnsi="Times New Roman" w:cs="Times New Roman"/>
        </w:rPr>
        <w:t>.</w:t>
      </w:r>
    </w:p>
    <w:p w14:paraId="37A2646E"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Roberts, C.K. et al. (2023) Exercise and metabolic health in type 2 diabetes. </w:t>
      </w:r>
      <w:r w:rsidRPr="00682446">
        <w:rPr>
          <w:rFonts w:ascii="Times New Roman" w:hAnsi="Times New Roman" w:cs="Times New Roman"/>
          <w:i/>
          <w:iCs/>
        </w:rPr>
        <w:t>Nutrients</w:t>
      </w:r>
      <w:r w:rsidRPr="00682446">
        <w:rPr>
          <w:rFonts w:ascii="Times New Roman" w:hAnsi="Times New Roman" w:cs="Times New Roman"/>
        </w:rPr>
        <w:t>, 15(1), pp. 1–12.</w:t>
      </w:r>
    </w:p>
    <w:p w14:paraId="6BF3B496"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lastRenderedPageBreak/>
        <w:t xml:space="preserve">Schwingshackl, L. et al. (2022) Dietary patterns and glycaemic control in T2DM. </w:t>
      </w:r>
      <w:r w:rsidRPr="00682446">
        <w:rPr>
          <w:rFonts w:ascii="Times New Roman" w:hAnsi="Times New Roman" w:cs="Times New Roman"/>
          <w:i/>
          <w:iCs/>
        </w:rPr>
        <w:t>BMJ Nutrition, Prevention &amp; Health</w:t>
      </w:r>
      <w:r w:rsidRPr="00682446">
        <w:rPr>
          <w:rFonts w:ascii="Times New Roman" w:hAnsi="Times New Roman" w:cs="Times New Roman"/>
        </w:rPr>
        <w:t>, 5(2), pp. 245–257.</w:t>
      </w:r>
    </w:p>
    <w:p w14:paraId="7F63DC85"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UK Chief Medical Officers (2019) </w:t>
      </w:r>
      <w:r w:rsidRPr="00682446">
        <w:rPr>
          <w:rFonts w:ascii="Times New Roman" w:hAnsi="Times New Roman" w:cs="Times New Roman"/>
          <w:i/>
          <w:iCs/>
        </w:rPr>
        <w:t>Physical Activity Guidelines</w:t>
      </w:r>
      <w:r w:rsidRPr="00682446">
        <w:rPr>
          <w:rFonts w:ascii="Times New Roman" w:hAnsi="Times New Roman" w:cs="Times New Roman"/>
        </w:rPr>
        <w:t>.</w:t>
      </w:r>
    </w:p>
    <w:p w14:paraId="350FC83D" w14:textId="77777777" w:rsidR="00682446" w:rsidRPr="00682446" w:rsidRDefault="00682446" w:rsidP="004973A4">
      <w:pPr>
        <w:spacing w:line="360" w:lineRule="auto"/>
        <w:rPr>
          <w:rFonts w:ascii="Times New Roman" w:hAnsi="Times New Roman" w:cs="Times New Roman"/>
        </w:rPr>
      </w:pPr>
      <w:r w:rsidRPr="00682446">
        <w:rPr>
          <w:rFonts w:ascii="Times New Roman" w:hAnsi="Times New Roman" w:cs="Times New Roman"/>
        </w:rPr>
        <w:t xml:space="preserve">World Health Organization (2023) </w:t>
      </w:r>
      <w:r w:rsidRPr="00682446">
        <w:rPr>
          <w:rFonts w:ascii="Times New Roman" w:hAnsi="Times New Roman" w:cs="Times New Roman"/>
          <w:i/>
          <w:iCs/>
        </w:rPr>
        <w:t>Diabetes Fact Sheet</w:t>
      </w:r>
      <w:r w:rsidRPr="00682446">
        <w:rPr>
          <w:rFonts w:ascii="Times New Roman" w:hAnsi="Times New Roman" w:cs="Times New Roman"/>
        </w:rPr>
        <w:t>.</w:t>
      </w:r>
    </w:p>
    <w:p w14:paraId="6C62524C" w14:textId="77777777" w:rsidR="0020227F" w:rsidRPr="00682446" w:rsidRDefault="0020227F" w:rsidP="004973A4">
      <w:pPr>
        <w:spacing w:line="360" w:lineRule="auto"/>
        <w:rPr>
          <w:rFonts w:ascii="Times New Roman" w:hAnsi="Times New Roman" w:cs="Times New Roman"/>
        </w:rPr>
      </w:pPr>
    </w:p>
    <w:sectPr w:rsidR="0020227F" w:rsidRPr="00682446" w:rsidSect="0068244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446"/>
    <w:rsid w:val="00032C58"/>
    <w:rsid w:val="00077250"/>
    <w:rsid w:val="00083ED3"/>
    <w:rsid w:val="000C3326"/>
    <w:rsid w:val="00194A1E"/>
    <w:rsid w:val="001C272B"/>
    <w:rsid w:val="0020227F"/>
    <w:rsid w:val="00473618"/>
    <w:rsid w:val="00477CB3"/>
    <w:rsid w:val="004973A4"/>
    <w:rsid w:val="005964D7"/>
    <w:rsid w:val="00682446"/>
    <w:rsid w:val="00720F09"/>
    <w:rsid w:val="00870539"/>
    <w:rsid w:val="008E4D85"/>
    <w:rsid w:val="0095093A"/>
    <w:rsid w:val="009F11E1"/>
    <w:rsid w:val="00A26D3D"/>
    <w:rsid w:val="00A9576B"/>
    <w:rsid w:val="00AE7549"/>
    <w:rsid w:val="00BF0105"/>
    <w:rsid w:val="00C11DDA"/>
    <w:rsid w:val="00C434CA"/>
    <w:rsid w:val="00DC6289"/>
    <w:rsid w:val="00E53521"/>
    <w:rsid w:val="00EF50C9"/>
    <w:rsid w:val="00F37F8E"/>
    <w:rsid w:val="00F410B7"/>
    <w:rsid w:val="00F96D5B"/>
    <w:rsid w:val="00FB225B"/>
    <w:rsid w:val="00FC00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BDB8D"/>
  <w15:chartTrackingRefBased/>
  <w15:docId w15:val="{EA831467-38FC-4781-A3C3-BD0F9A391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24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24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24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24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24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24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4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4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4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4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24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24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24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24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24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4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24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446"/>
    <w:rPr>
      <w:rFonts w:eastAsiaTheme="majorEastAsia" w:cstheme="majorBidi"/>
      <w:color w:val="272727" w:themeColor="text1" w:themeTint="D8"/>
    </w:rPr>
  </w:style>
  <w:style w:type="paragraph" w:styleId="Title">
    <w:name w:val="Title"/>
    <w:basedOn w:val="Normal"/>
    <w:next w:val="Normal"/>
    <w:link w:val="TitleChar"/>
    <w:uiPriority w:val="10"/>
    <w:qFormat/>
    <w:rsid w:val="006824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4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4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4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446"/>
    <w:pPr>
      <w:spacing w:before="160"/>
      <w:jc w:val="center"/>
    </w:pPr>
    <w:rPr>
      <w:i/>
      <w:iCs/>
      <w:color w:val="404040" w:themeColor="text1" w:themeTint="BF"/>
    </w:rPr>
  </w:style>
  <w:style w:type="character" w:customStyle="1" w:styleId="QuoteChar">
    <w:name w:val="Quote Char"/>
    <w:basedOn w:val="DefaultParagraphFont"/>
    <w:link w:val="Quote"/>
    <w:uiPriority w:val="29"/>
    <w:rsid w:val="00682446"/>
    <w:rPr>
      <w:i/>
      <w:iCs/>
      <w:color w:val="404040" w:themeColor="text1" w:themeTint="BF"/>
    </w:rPr>
  </w:style>
  <w:style w:type="paragraph" w:styleId="ListParagraph">
    <w:name w:val="List Paragraph"/>
    <w:basedOn w:val="Normal"/>
    <w:uiPriority w:val="34"/>
    <w:qFormat/>
    <w:rsid w:val="00682446"/>
    <w:pPr>
      <w:ind w:left="720"/>
      <w:contextualSpacing/>
    </w:pPr>
  </w:style>
  <w:style w:type="character" w:styleId="IntenseEmphasis">
    <w:name w:val="Intense Emphasis"/>
    <w:basedOn w:val="DefaultParagraphFont"/>
    <w:uiPriority w:val="21"/>
    <w:qFormat/>
    <w:rsid w:val="00682446"/>
    <w:rPr>
      <w:i/>
      <w:iCs/>
      <w:color w:val="0F4761" w:themeColor="accent1" w:themeShade="BF"/>
    </w:rPr>
  </w:style>
  <w:style w:type="paragraph" w:styleId="IntenseQuote">
    <w:name w:val="Intense Quote"/>
    <w:basedOn w:val="Normal"/>
    <w:next w:val="Normal"/>
    <w:link w:val="IntenseQuoteChar"/>
    <w:uiPriority w:val="30"/>
    <w:qFormat/>
    <w:rsid w:val="006824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446"/>
    <w:rPr>
      <w:i/>
      <w:iCs/>
      <w:color w:val="0F4761" w:themeColor="accent1" w:themeShade="BF"/>
    </w:rPr>
  </w:style>
  <w:style w:type="character" w:styleId="IntenseReference">
    <w:name w:val="Intense Reference"/>
    <w:basedOn w:val="DefaultParagraphFont"/>
    <w:uiPriority w:val="32"/>
    <w:qFormat/>
    <w:rsid w:val="00682446"/>
    <w:rPr>
      <w:b/>
      <w:bCs/>
      <w:smallCaps/>
      <w:color w:val="0F4761" w:themeColor="accent1" w:themeShade="BF"/>
      <w:spacing w:val="5"/>
    </w:rPr>
  </w:style>
  <w:style w:type="paragraph" w:styleId="NoSpacing">
    <w:name w:val="No Spacing"/>
    <w:link w:val="NoSpacingChar"/>
    <w:uiPriority w:val="1"/>
    <w:qFormat/>
    <w:rsid w:val="00682446"/>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682446"/>
    <w:rPr>
      <w:rFonts w:eastAsiaTheme="minorEastAsia"/>
      <w:kern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11</Pages>
  <Words>2688</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Believe Okwokwo</dc:creator>
  <cp:keywords/>
  <dc:description/>
  <cp:lastModifiedBy>Believe Okwokwo</cp:lastModifiedBy>
  <cp:revision>22</cp:revision>
  <dcterms:created xsi:type="dcterms:W3CDTF">2025-12-03T22:31:00Z</dcterms:created>
  <dcterms:modified xsi:type="dcterms:W3CDTF">2025-12-04T00:33:00Z</dcterms:modified>
</cp:coreProperties>
</file>