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54BFC1" w14:textId="77777777" w:rsidR="00EC7D49" w:rsidRDefault="00000000">
      <w:pPr>
        <w:shd w:val="clear" w:color="auto" w:fill="1F3864"/>
        <w:spacing w:before="200" w:after="400" w:line="360" w:lineRule="auto"/>
        <w:jc w:val="center"/>
        <w:rPr>
          <w:rFonts w:ascii="Arial" w:eastAsia="Arial" w:hAnsi="Arial" w:cs="Arial"/>
          <w:sz w:val="24"/>
          <w:szCs w:val="24"/>
        </w:rPr>
      </w:pPr>
      <w:r>
        <w:rPr>
          <w:rFonts w:ascii="Arial" w:eastAsia="Arial" w:hAnsi="Arial" w:cs="Arial"/>
          <w:b/>
          <w:bCs/>
          <w:noProof/>
          <w:color w:val="FFFFFF"/>
        </w:rPr>
        <w:drawing>
          <wp:inline distT="114300" distB="114300" distL="114300" distR="114300" wp14:anchorId="50695E20" wp14:editId="754CDFC4">
            <wp:extent cx="2837025" cy="111423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837025" cy="1114239"/>
                    </a:xfrm>
                    <a:prstGeom prst="rect">
                      <a:avLst/>
                    </a:prstGeom>
                    <a:ln/>
                  </pic:spPr>
                </pic:pic>
              </a:graphicData>
            </a:graphic>
          </wp:inline>
        </w:drawing>
      </w:r>
    </w:p>
    <w:p w14:paraId="014D2942" w14:textId="77777777" w:rsidR="00EC7D49" w:rsidRDefault="00EC7D49">
      <w:pPr>
        <w:spacing w:before="100" w:after="120" w:line="360" w:lineRule="auto"/>
        <w:jc w:val="center"/>
        <w:rPr>
          <w:rFonts w:ascii="Arial" w:eastAsia="Arial" w:hAnsi="Arial" w:cs="Arial"/>
          <w:b/>
          <w:bCs/>
          <w:color w:val="1F3864"/>
          <w:sz w:val="28"/>
          <w:szCs w:val="28"/>
        </w:rPr>
      </w:pPr>
    </w:p>
    <w:p w14:paraId="083469CD" w14:textId="77777777" w:rsidR="00EC7D49" w:rsidRDefault="00000000">
      <w:pPr>
        <w:spacing w:before="100" w:after="120" w:line="360" w:lineRule="auto"/>
        <w:jc w:val="center"/>
        <w:rPr>
          <w:rFonts w:ascii="Arial" w:eastAsia="Arial" w:hAnsi="Arial" w:cs="Arial"/>
          <w:sz w:val="24"/>
          <w:szCs w:val="24"/>
        </w:rPr>
      </w:pPr>
      <w:r>
        <w:rPr>
          <w:rFonts w:ascii="Arial" w:eastAsia="Arial" w:hAnsi="Arial" w:cs="Arial"/>
          <w:b/>
          <w:bCs/>
          <w:color w:val="1F3864"/>
          <w:sz w:val="28"/>
          <w:szCs w:val="28"/>
        </w:rPr>
        <w:t>Master of Business Administration (MBA)</w:t>
      </w:r>
    </w:p>
    <w:p w14:paraId="5DCB8004" w14:textId="77777777" w:rsidR="00EC7D49" w:rsidRDefault="00000000">
      <w:pPr>
        <w:spacing w:after="60" w:line="360" w:lineRule="auto"/>
        <w:jc w:val="center"/>
        <w:rPr>
          <w:rFonts w:ascii="Arial" w:eastAsia="Arial" w:hAnsi="Arial" w:cs="Arial"/>
          <w:sz w:val="24"/>
          <w:szCs w:val="24"/>
        </w:rPr>
      </w:pPr>
      <w:r>
        <w:rPr>
          <w:rFonts w:ascii="Arial" w:eastAsia="Arial" w:hAnsi="Arial" w:cs="Arial"/>
          <w:color w:val="555555"/>
          <w:sz w:val="24"/>
          <w:szCs w:val="24"/>
        </w:rPr>
        <w:t>Module: Strategic Management  |  Module Code: LCMB7003</w:t>
      </w:r>
    </w:p>
    <w:p w14:paraId="62FAF4AD" w14:textId="77777777" w:rsidR="00EC7D49" w:rsidRDefault="00EC7D49">
      <w:pPr>
        <w:spacing w:line="360" w:lineRule="auto"/>
        <w:rPr>
          <w:rFonts w:ascii="Arial" w:eastAsia="Arial" w:hAnsi="Arial" w:cs="Arial"/>
          <w:sz w:val="24"/>
          <w:szCs w:val="24"/>
        </w:rPr>
      </w:pPr>
    </w:p>
    <w:p w14:paraId="5089837D" w14:textId="77777777" w:rsidR="00EC7D49" w:rsidRDefault="00000000">
      <w:pPr>
        <w:pBdr>
          <w:top w:val="single" w:sz="12" w:space="2" w:color="2E75B6"/>
          <w:bottom w:val="single" w:sz="12" w:space="2" w:color="2E75B6"/>
        </w:pBdr>
        <w:shd w:val="clear" w:color="auto" w:fill="D6E4F7"/>
        <w:spacing w:before="160" w:after="80" w:line="360" w:lineRule="auto"/>
        <w:jc w:val="center"/>
        <w:rPr>
          <w:rFonts w:ascii="Arial" w:eastAsia="Arial" w:hAnsi="Arial" w:cs="Arial"/>
          <w:sz w:val="24"/>
          <w:szCs w:val="24"/>
        </w:rPr>
      </w:pPr>
      <w:r>
        <w:rPr>
          <w:rFonts w:ascii="Arial" w:eastAsia="Arial" w:hAnsi="Arial" w:cs="Arial"/>
          <w:b/>
          <w:bCs/>
          <w:color w:val="1F3864"/>
          <w:sz w:val="36"/>
          <w:szCs w:val="36"/>
        </w:rPr>
        <w:t>STRATEGIC MANAGEMENT ANALYSIS: TESLA, INC.</w:t>
      </w:r>
    </w:p>
    <w:p w14:paraId="468628CD" w14:textId="77777777" w:rsidR="00EC7D49" w:rsidRDefault="00000000">
      <w:pPr>
        <w:spacing w:before="80" w:after="200" w:line="360" w:lineRule="auto"/>
        <w:jc w:val="center"/>
        <w:rPr>
          <w:rFonts w:ascii="Arial" w:eastAsia="Arial" w:hAnsi="Arial" w:cs="Arial"/>
          <w:sz w:val="24"/>
          <w:szCs w:val="24"/>
        </w:rPr>
      </w:pPr>
      <w:r>
        <w:rPr>
          <w:rFonts w:ascii="Arial" w:eastAsia="Arial" w:hAnsi="Arial" w:cs="Arial"/>
          <w:b/>
          <w:bCs/>
          <w:color w:val="C00000"/>
          <w:sz w:val="24"/>
          <w:szCs w:val="24"/>
        </w:rPr>
        <w:t>Individual Report — Assessment Component</w:t>
      </w:r>
    </w:p>
    <w:p w14:paraId="23D82ADF" w14:textId="77777777" w:rsidR="00EC7D49" w:rsidRDefault="00EC7D49">
      <w:pPr>
        <w:spacing w:line="360" w:lineRule="auto"/>
        <w:rPr>
          <w:rFonts w:ascii="Arial" w:eastAsia="Arial" w:hAnsi="Arial" w:cs="Arial"/>
          <w:sz w:val="24"/>
          <w:szCs w:val="24"/>
        </w:rPr>
      </w:pPr>
    </w:p>
    <w:p w14:paraId="36F18427" w14:textId="4F378CAA" w:rsidR="00EC7D49" w:rsidRDefault="00000000">
      <w:pPr>
        <w:spacing w:before="160" w:after="60" w:line="360" w:lineRule="auto"/>
        <w:jc w:val="center"/>
        <w:rPr>
          <w:rFonts w:ascii="Arial" w:eastAsia="Arial" w:hAnsi="Arial" w:cs="Arial"/>
          <w:sz w:val="24"/>
          <w:szCs w:val="24"/>
        </w:rPr>
      </w:pPr>
      <w:r>
        <w:rPr>
          <w:rFonts w:ascii="Arial" w:eastAsia="Arial" w:hAnsi="Arial" w:cs="Arial"/>
          <w:color w:val="555555"/>
          <w:sz w:val="24"/>
          <w:szCs w:val="24"/>
        </w:rPr>
        <w:t>Submitted by:</w:t>
      </w:r>
      <w:r w:rsidR="00F36D94">
        <w:rPr>
          <w:rFonts w:ascii="Arial" w:eastAsia="Arial" w:hAnsi="Arial" w:cs="Arial"/>
          <w:color w:val="555555"/>
          <w:sz w:val="24"/>
          <w:szCs w:val="24"/>
        </w:rPr>
        <w:t>01</w:t>
      </w:r>
      <w:r w:rsidR="00F01B64">
        <w:rPr>
          <w:rFonts w:ascii="Arial" w:eastAsia="Arial" w:hAnsi="Arial" w:cs="Arial"/>
          <w:color w:val="555555"/>
          <w:sz w:val="24"/>
          <w:szCs w:val="24"/>
        </w:rPr>
        <w:t>/04/2026</w:t>
      </w:r>
    </w:p>
    <w:p w14:paraId="6A67AF85" w14:textId="5E324DC4" w:rsidR="00EC7D49" w:rsidRDefault="00000000">
      <w:pPr>
        <w:spacing w:after="40" w:line="360" w:lineRule="auto"/>
        <w:jc w:val="center"/>
        <w:rPr>
          <w:rFonts w:ascii="Arial" w:eastAsia="Arial" w:hAnsi="Arial" w:cs="Arial"/>
          <w:sz w:val="24"/>
          <w:szCs w:val="24"/>
        </w:rPr>
      </w:pPr>
      <w:r>
        <w:rPr>
          <w:rFonts w:ascii="Arial" w:eastAsia="Arial" w:hAnsi="Arial" w:cs="Arial"/>
          <w:b/>
          <w:bCs/>
          <w:color w:val="1F3864"/>
          <w:sz w:val="28"/>
          <w:szCs w:val="28"/>
        </w:rPr>
        <w:t xml:space="preserve">Student </w:t>
      </w:r>
      <w:proofErr w:type="spellStart"/>
      <w:r>
        <w:rPr>
          <w:rFonts w:ascii="Arial" w:eastAsia="Arial" w:hAnsi="Arial" w:cs="Arial"/>
          <w:b/>
          <w:bCs/>
          <w:color w:val="1F3864"/>
          <w:sz w:val="28"/>
          <w:szCs w:val="28"/>
        </w:rPr>
        <w:t>Name:</w:t>
      </w:r>
      <w:r w:rsidR="00F01B64">
        <w:rPr>
          <w:rFonts w:ascii="Arial" w:eastAsia="Arial" w:hAnsi="Arial" w:cs="Arial"/>
          <w:b/>
          <w:bCs/>
          <w:color w:val="1F3864"/>
          <w:sz w:val="28"/>
          <w:szCs w:val="28"/>
        </w:rPr>
        <w:t>Jahangir</w:t>
      </w:r>
      <w:proofErr w:type="spellEnd"/>
      <w:r w:rsidR="00F01B64">
        <w:rPr>
          <w:rFonts w:ascii="Arial" w:eastAsia="Arial" w:hAnsi="Arial" w:cs="Arial"/>
          <w:b/>
          <w:bCs/>
          <w:color w:val="1F3864"/>
          <w:sz w:val="28"/>
          <w:szCs w:val="28"/>
        </w:rPr>
        <w:t xml:space="preserve"> </w:t>
      </w:r>
      <w:proofErr w:type="spellStart"/>
      <w:r w:rsidR="008A6B44">
        <w:rPr>
          <w:rFonts w:ascii="Arial" w:eastAsia="Arial" w:hAnsi="Arial" w:cs="Arial"/>
          <w:b/>
          <w:bCs/>
          <w:color w:val="1F3864"/>
          <w:sz w:val="28"/>
          <w:szCs w:val="28"/>
        </w:rPr>
        <w:t>khalaj</w:t>
      </w:r>
      <w:proofErr w:type="spellEnd"/>
      <w:r w:rsidR="008A6B44">
        <w:rPr>
          <w:rFonts w:ascii="Arial" w:eastAsia="Arial" w:hAnsi="Arial" w:cs="Arial"/>
          <w:b/>
          <w:bCs/>
          <w:color w:val="1F3864"/>
          <w:sz w:val="28"/>
          <w:szCs w:val="28"/>
        </w:rPr>
        <w:t xml:space="preserve"> </w:t>
      </w:r>
      <w:proofErr w:type="spellStart"/>
      <w:r w:rsidR="008A6B44">
        <w:rPr>
          <w:rFonts w:ascii="Arial" w:eastAsia="Arial" w:hAnsi="Arial" w:cs="Arial"/>
          <w:b/>
          <w:bCs/>
          <w:color w:val="1F3864"/>
          <w:sz w:val="28"/>
          <w:szCs w:val="28"/>
        </w:rPr>
        <w:t>savojbolagh</w:t>
      </w:r>
      <w:proofErr w:type="spellEnd"/>
      <w:r w:rsidR="008A6B44">
        <w:rPr>
          <w:rFonts w:ascii="Arial" w:eastAsia="Arial" w:hAnsi="Arial" w:cs="Arial"/>
          <w:b/>
          <w:bCs/>
          <w:color w:val="1F3864"/>
          <w:sz w:val="28"/>
          <w:szCs w:val="28"/>
        </w:rPr>
        <w:t xml:space="preserve"> </w:t>
      </w:r>
    </w:p>
    <w:p w14:paraId="26C57BFA" w14:textId="4F88006B" w:rsidR="00EC7D49" w:rsidRDefault="00000000">
      <w:pPr>
        <w:spacing w:after="40" w:line="360" w:lineRule="auto"/>
        <w:jc w:val="center"/>
        <w:rPr>
          <w:rFonts w:ascii="Arial" w:eastAsia="Arial" w:hAnsi="Arial" w:cs="Arial"/>
          <w:sz w:val="24"/>
          <w:szCs w:val="24"/>
        </w:rPr>
      </w:pPr>
      <w:r>
        <w:rPr>
          <w:rFonts w:ascii="Arial" w:eastAsia="Arial" w:hAnsi="Arial" w:cs="Arial"/>
          <w:color w:val="444444"/>
          <w:sz w:val="24"/>
          <w:szCs w:val="24"/>
        </w:rPr>
        <w:t xml:space="preserve">Student ID: </w:t>
      </w:r>
      <w:r w:rsidR="008A6B44">
        <w:rPr>
          <w:rFonts w:ascii="Arial" w:eastAsia="Arial" w:hAnsi="Arial" w:cs="Arial"/>
          <w:color w:val="444444"/>
          <w:sz w:val="24"/>
          <w:szCs w:val="24"/>
        </w:rPr>
        <w:t>2109914</w:t>
      </w:r>
    </w:p>
    <w:p w14:paraId="0131E690" w14:textId="77777777" w:rsidR="00EC7D49" w:rsidRDefault="00EC7D49">
      <w:pPr>
        <w:spacing w:line="360" w:lineRule="auto"/>
        <w:rPr>
          <w:rFonts w:ascii="Arial" w:eastAsia="Arial" w:hAnsi="Arial" w:cs="Arial"/>
          <w:sz w:val="24"/>
          <w:szCs w:val="24"/>
        </w:rPr>
      </w:pPr>
    </w:p>
    <w:tbl>
      <w:tblPr>
        <w:tblStyle w:val="a"/>
        <w:tblW w:w="954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770"/>
        <w:gridCol w:w="4770"/>
      </w:tblGrid>
      <w:tr w:rsidR="00EC7D49" w14:paraId="3F515983" w14:textId="77777777" w:rsidTr="00B06C92">
        <w:trPr>
          <w:trHeight w:val="349"/>
        </w:trPr>
        <w:tc>
          <w:tcPr>
            <w:tcW w:w="4770" w:type="dxa"/>
            <w:tcBorders>
              <w:top w:val="single" w:sz="4" w:space="0" w:color="CCCCCC"/>
              <w:left w:val="single" w:sz="4" w:space="0" w:color="CCCCCC"/>
              <w:bottom w:val="single" w:sz="4" w:space="0" w:color="CCCCCC"/>
              <w:right w:val="single" w:sz="4" w:space="0" w:color="CCCCCC"/>
            </w:tcBorders>
            <w:shd w:val="clear" w:color="auto" w:fill="D6E4F7"/>
            <w:tcMar>
              <w:top w:w="60" w:type="dxa"/>
              <w:left w:w="120" w:type="dxa"/>
              <w:bottom w:w="60" w:type="dxa"/>
              <w:right w:w="120" w:type="dxa"/>
            </w:tcMar>
          </w:tcPr>
          <w:p w14:paraId="7266D363" w14:textId="77777777" w:rsidR="00EC7D49" w:rsidRDefault="00000000">
            <w:pPr>
              <w:spacing w:line="360" w:lineRule="auto"/>
              <w:rPr>
                <w:rFonts w:ascii="Arial" w:eastAsia="Arial" w:hAnsi="Arial" w:cs="Arial"/>
                <w:sz w:val="24"/>
                <w:szCs w:val="24"/>
              </w:rPr>
            </w:pPr>
            <w:r>
              <w:rPr>
                <w:rFonts w:ascii="Arial" w:eastAsia="Arial" w:hAnsi="Arial" w:cs="Arial"/>
                <w:b/>
                <w:bCs/>
                <w:color w:val="1F3864"/>
              </w:rPr>
              <w:t>Lecturer:</w:t>
            </w:r>
          </w:p>
        </w:tc>
        <w:tc>
          <w:tcPr>
            <w:tcW w:w="4770" w:type="dxa"/>
            <w:tcBorders>
              <w:top w:val="single" w:sz="4" w:space="0" w:color="CCCCCC"/>
              <w:left w:val="single" w:sz="4" w:space="0" w:color="CCCCCC"/>
              <w:bottom w:val="single" w:sz="4" w:space="0" w:color="CCCCCC"/>
              <w:right w:val="single" w:sz="4" w:space="0" w:color="CCCCCC"/>
            </w:tcBorders>
            <w:tcMar>
              <w:top w:w="60" w:type="dxa"/>
              <w:left w:w="120" w:type="dxa"/>
              <w:bottom w:w="60" w:type="dxa"/>
              <w:right w:w="120" w:type="dxa"/>
            </w:tcMar>
          </w:tcPr>
          <w:p w14:paraId="6DC87C31" w14:textId="77777777" w:rsidR="00EC7D49" w:rsidRDefault="00000000">
            <w:pPr>
              <w:spacing w:line="360" w:lineRule="auto"/>
              <w:rPr>
                <w:rFonts w:ascii="Arial" w:eastAsia="Arial" w:hAnsi="Arial" w:cs="Arial"/>
                <w:sz w:val="24"/>
                <w:szCs w:val="24"/>
              </w:rPr>
            </w:pPr>
            <w:r>
              <w:rPr>
                <w:rFonts w:ascii="Arial" w:eastAsia="Arial" w:hAnsi="Arial" w:cs="Arial"/>
                <w:color w:val="000000"/>
              </w:rPr>
              <w:t xml:space="preserve">Amare </w:t>
            </w:r>
            <w:proofErr w:type="spellStart"/>
            <w:r>
              <w:rPr>
                <w:rFonts w:ascii="Arial" w:eastAsia="Arial" w:hAnsi="Arial" w:cs="Arial"/>
                <w:color w:val="000000"/>
              </w:rPr>
              <w:t>Desta</w:t>
            </w:r>
            <w:proofErr w:type="spellEnd"/>
            <w:r>
              <w:rPr>
                <w:rFonts w:ascii="Arial" w:eastAsia="Arial" w:hAnsi="Arial" w:cs="Arial"/>
                <w:color w:val="000000"/>
              </w:rPr>
              <w:t xml:space="preserve"> / </w:t>
            </w:r>
            <w:proofErr w:type="spellStart"/>
            <w:r>
              <w:rPr>
                <w:rFonts w:ascii="Arial" w:eastAsia="Arial" w:hAnsi="Arial" w:cs="Arial"/>
                <w:color w:val="000000"/>
              </w:rPr>
              <w:t>Zulf</w:t>
            </w:r>
            <w:proofErr w:type="spellEnd"/>
            <w:r>
              <w:rPr>
                <w:rFonts w:ascii="Arial" w:eastAsia="Arial" w:hAnsi="Arial" w:cs="Arial"/>
                <w:color w:val="000000"/>
              </w:rPr>
              <w:t xml:space="preserve"> Khan</w:t>
            </w:r>
          </w:p>
        </w:tc>
      </w:tr>
      <w:tr w:rsidR="00EC7D49" w14:paraId="42428520" w14:textId="77777777" w:rsidTr="00B06C92">
        <w:trPr>
          <w:trHeight w:val="721"/>
        </w:trPr>
        <w:tc>
          <w:tcPr>
            <w:tcW w:w="4770" w:type="dxa"/>
            <w:tcBorders>
              <w:top w:val="single" w:sz="4" w:space="0" w:color="CCCCCC"/>
              <w:left w:val="single" w:sz="4" w:space="0" w:color="CCCCCC"/>
              <w:bottom w:val="single" w:sz="4" w:space="0" w:color="CCCCCC"/>
              <w:right w:val="single" w:sz="4" w:space="0" w:color="CCCCCC"/>
            </w:tcBorders>
            <w:shd w:val="clear" w:color="auto" w:fill="D6E4F7"/>
            <w:tcMar>
              <w:top w:w="60" w:type="dxa"/>
              <w:left w:w="120" w:type="dxa"/>
              <w:bottom w:w="60" w:type="dxa"/>
              <w:right w:w="120" w:type="dxa"/>
            </w:tcMar>
          </w:tcPr>
          <w:p w14:paraId="2EE3DE38" w14:textId="77777777" w:rsidR="00EC7D49" w:rsidRDefault="00000000">
            <w:pPr>
              <w:spacing w:line="360" w:lineRule="auto"/>
              <w:rPr>
                <w:rFonts w:ascii="Arial" w:eastAsia="Arial" w:hAnsi="Arial" w:cs="Arial"/>
                <w:sz w:val="24"/>
                <w:szCs w:val="24"/>
              </w:rPr>
            </w:pPr>
            <w:r>
              <w:rPr>
                <w:rFonts w:ascii="Arial" w:eastAsia="Arial" w:hAnsi="Arial" w:cs="Arial"/>
                <w:b/>
                <w:bCs/>
                <w:color w:val="1F3864"/>
              </w:rPr>
              <w:t>Internal Verifier:</w:t>
            </w:r>
          </w:p>
        </w:tc>
        <w:tc>
          <w:tcPr>
            <w:tcW w:w="4770" w:type="dxa"/>
            <w:tcBorders>
              <w:top w:val="single" w:sz="4" w:space="0" w:color="CCCCCC"/>
              <w:left w:val="single" w:sz="4" w:space="0" w:color="CCCCCC"/>
              <w:bottom w:val="single" w:sz="4" w:space="0" w:color="CCCCCC"/>
              <w:right w:val="single" w:sz="4" w:space="0" w:color="CCCCCC"/>
            </w:tcBorders>
            <w:tcMar>
              <w:top w:w="60" w:type="dxa"/>
              <w:left w:w="120" w:type="dxa"/>
              <w:bottom w:w="60" w:type="dxa"/>
              <w:right w:w="120" w:type="dxa"/>
            </w:tcMar>
          </w:tcPr>
          <w:p w14:paraId="76D0C5D5" w14:textId="77777777" w:rsidR="00EC7D49" w:rsidRDefault="00000000">
            <w:pPr>
              <w:spacing w:line="360" w:lineRule="auto"/>
              <w:rPr>
                <w:rFonts w:ascii="Arial" w:eastAsia="Arial" w:hAnsi="Arial" w:cs="Arial"/>
                <w:sz w:val="24"/>
                <w:szCs w:val="24"/>
              </w:rPr>
            </w:pPr>
            <w:r>
              <w:rPr>
                <w:rFonts w:ascii="Arial" w:eastAsia="Arial" w:hAnsi="Arial" w:cs="Arial"/>
                <w:color w:val="000000"/>
              </w:rPr>
              <w:t xml:space="preserve">Vasilios </w:t>
            </w:r>
            <w:proofErr w:type="spellStart"/>
            <w:r>
              <w:rPr>
                <w:rFonts w:ascii="Arial" w:eastAsia="Arial" w:hAnsi="Arial" w:cs="Arial"/>
                <w:color w:val="000000"/>
              </w:rPr>
              <w:t>Tavlaridis</w:t>
            </w:r>
            <w:proofErr w:type="spellEnd"/>
            <w:r>
              <w:rPr>
                <w:rFonts w:ascii="Arial" w:eastAsia="Arial" w:hAnsi="Arial" w:cs="Arial"/>
                <w:color w:val="000000"/>
              </w:rPr>
              <w:t xml:space="preserve"> / Hoang Nguyen</w:t>
            </w:r>
          </w:p>
        </w:tc>
      </w:tr>
      <w:tr w:rsidR="00EC7D49" w14:paraId="23DF3385" w14:textId="77777777" w:rsidTr="00B06C92">
        <w:trPr>
          <w:trHeight w:val="710"/>
        </w:trPr>
        <w:tc>
          <w:tcPr>
            <w:tcW w:w="4770" w:type="dxa"/>
            <w:tcBorders>
              <w:top w:val="single" w:sz="4" w:space="0" w:color="CCCCCC"/>
              <w:left w:val="single" w:sz="4" w:space="0" w:color="CCCCCC"/>
              <w:bottom w:val="single" w:sz="4" w:space="0" w:color="CCCCCC"/>
              <w:right w:val="single" w:sz="4" w:space="0" w:color="CCCCCC"/>
            </w:tcBorders>
            <w:shd w:val="clear" w:color="auto" w:fill="D6E4F7"/>
            <w:tcMar>
              <w:top w:w="60" w:type="dxa"/>
              <w:left w:w="120" w:type="dxa"/>
              <w:bottom w:w="60" w:type="dxa"/>
              <w:right w:w="120" w:type="dxa"/>
            </w:tcMar>
          </w:tcPr>
          <w:p w14:paraId="0CF9E323" w14:textId="77777777" w:rsidR="00EC7D49" w:rsidRDefault="00000000">
            <w:pPr>
              <w:spacing w:line="360" w:lineRule="auto"/>
              <w:rPr>
                <w:rFonts w:ascii="Arial" w:eastAsia="Arial" w:hAnsi="Arial" w:cs="Arial"/>
                <w:sz w:val="24"/>
                <w:szCs w:val="24"/>
              </w:rPr>
            </w:pPr>
            <w:r>
              <w:rPr>
                <w:rFonts w:ascii="Arial" w:eastAsia="Arial" w:hAnsi="Arial" w:cs="Arial"/>
                <w:b/>
                <w:bCs/>
                <w:color w:val="1F3864"/>
              </w:rPr>
              <w:t>Submission Deadline:</w:t>
            </w:r>
          </w:p>
        </w:tc>
        <w:tc>
          <w:tcPr>
            <w:tcW w:w="4770" w:type="dxa"/>
            <w:tcBorders>
              <w:top w:val="single" w:sz="4" w:space="0" w:color="CCCCCC"/>
              <w:left w:val="single" w:sz="4" w:space="0" w:color="CCCCCC"/>
              <w:bottom w:val="single" w:sz="4" w:space="0" w:color="CCCCCC"/>
              <w:right w:val="single" w:sz="4" w:space="0" w:color="CCCCCC"/>
            </w:tcBorders>
            <w:tcMar>
              <w:top w:w="60" w:type="dxa"/>
              <w:left w:w="120" w:type="dxa"/>
              <w:bottom w:w="60" w:type="dxa"/>
              <w:right w:w="120" w:type="dxa"/>
            </w:tcMar>
          </w:tcPr>
          <w:p w14:paraId="698B6644" w14:textId="77777777" w:rsidR="00EC7D49" w:rsidRDefault="00000000">
            <w:pPr>
              <w:spacing w:line="360" w:lineRule="auto"/>
              <w:rPr>
                <w:rFonts w:ascii="Arial" w:eastAsia="Arial" w:hAnsi="Arial" w:cs="Arial"/>
                <w:sz w:val="24"/>
                <w:szCs w:val="24"/>
              </w:rPr>
            </w:pPr>
            <w:r>
              <w:rPr>
                <w:rFonts w:ascii="Arial" w:eastAsia="Arial" w:hAnsi="Arial" w:cs="Arial"/>
                <w:color w:val="000000"/>
              </w:rPr>
              <w:t>Wednesday 01 April 2026 by 2:00 pm</w:t>
            </w:r>
          </w:p>
        </w:tc>
      </w:tr>
      <w:tr w:rsidR="00EC7D49" w14:paraId="36971750" w14:textId="77777777" w:rsidTr="00B06C92">
        <w:trPr>
          <w:trHeight w:val="349"/>
        </w:trPr>
        <w:tc>
          <w:tcPr>
            <w:tcW w:w="4770" w:type="dxa"/>
            <w:tcBorders>
              <w:top w:val="single" w:sz="4" w:space="0" w:color="CCCCCC"/>
              <w:left w:val="single" w:sz="4" w:space="0" w:color="CCCCCC"/>
              <w:bottom w:val="single" w:sz="4" w:space="0" w:color="CCCCCC"/>
              <w:right w:val="single" w:sz="4" w:space="0" w:color="CCCCCC"/>
            </w:tcBorders>
            <w:shd w:val="clear" w:color="auto" w:fill="D6E4F7"/>
            <w:tcMar>
              <w:top w:w="60" w:type="dxa"/>
              <w:left w:w="120" w:type="dxa"/>
              <w:bottom w:w="60" w:type="dxa"/>
              <w:right w:w="120" w:type="dxa"/>
            </w:tcMar>
          </w:tcPr>
          <w:p w14:paraId="44C82F9C" w14:textId="77777777" w:rsidR="00EC7D49" w:rsidRDefault="00000000">
            <w:pPr>
              <w:spacing w:line="360" w:lineRule="auto"/>
              <w:rPr>
                <w:rFonts w:ascii="Arial" w:eastAsia="Arial" w:hAnsi="Arial" w:cs="Arial"/>
                <w:sz w:val="24"/>
                <w:szCs w:val="24"/>
              </w:rPr>
            </w:pPr>
            <w:r>
              <w:rPr>
                <w:rFonts w:ascii="Arial" w:eastAsia="Arial" w:hAnsi="Arial" w:cs="Arial"/>
                <w:b/>
                <w:bCs/>
                <w:color w:val="1F3864"/>
              </w:rPr>
              <w:t>Word Count:</w:t>
            </w:r>
          </w:p>
        </w:tc>
        <w:tc>
          <w:tcPr>
            <w:tcW w:w="4770" w:type="dxa"/>
            <w:tcBorders>
              <w:top w:val="single" w:sz="4" w:space="0" w:color="CCCCCC"/>
              <w:left w:val="single" w:sz="4" w:space="0" w:color="CCCCCC"/>
              <w:bottom w:val="single" w:sz="4" w:space="0" w:color="CCCCCC"/>
              <w:right w:val="single" w:sz="4" w:space="0" w:color="CCCCCC"/>
            </w:tcBorders>
            <w:tcMar>
              <w:top w:w="60" w:type="dxa"/>
              <w:left w:w="120" w:type="dxa"/>
              <w:bottom w:w="60" w:type="dxa"/>
              <w:right w:w="120" w:type="dxa"/>
            </w:tcMar>
          </w:tcPr>
          <w:p w14:paraId="4ED759A6" w14:textId="77777777" w:rsidR="00EC7D49" w:rsidRDefault="00000000">
            <w:pPr>
              <w:spacing w:line="360" w:lineRule="auto"/>
              <w:rPr>
                <w:rFonts w:ascii="Arial" w:eastAsia="Arial" w:hAnsi="Arial" w:cs="Arial"/>
                <w:sz w:val="24"/>
                <w:szCs w:val="24"/>
              </w:rPr>
            </w:pPr>
            <w:r>
              <w:rPr>
                <w:rFonts w:ascii="Arial" w:eastAsia="Arial" w:hAnsi="Arial" w:cs="Arial"/>
                <w:color w:val="000000"/>
              </w:rPr>
              <w:t>Approximately 5,000 words</w:t>
            </w:r>
          </w:p>
        </w:tc>
      </w:tr>
    </w:tbl>
    <w:p w14:paraId="5D662204" w14:textId="77777777" w:rsidR="00EC7D49" w:rsidRDefault="00000000">
      <w:pPr>
        <w:spacing w:line="360" w:lineRule="auto"/>
        <w:rPr>
          <w:rFonts w:ascii="Arial" w:eastAsia="Arial" w:hAnsi="Arial" w:cs="Arial"/>
          <w:sz w:val="24"/>
          <w:szCs w:val="24"/>
        </w:rPr>
      </w:pPr>
      <w:r>
        <w:rPr>
          <w:rFonts w:ascii="Arial" w:eastAsia="Arial" w:hAnsi="Arial" w:cs="Arial"/>
          <w:sz w:val="24"/>
          <w:szCs w:val="24"/>
        </w:rPr>
        <w:br/>
      </w:r>
    </w:p>
    <w:p w14:paraId="3233D802" w14:textId="77777777" w:rsidR="00EC7D49" w:rsidRDefault="00000000">
      <w:pPr>
        <w:pStyle w:val="Heading1"/>
        <w:pBdr>
          <w:bottom w:val="single" w:sz="8" w:space="2" w:color="2E75B6"/>
        </w:pBdr>
        <w:spacing w:line="360" w:lineRule="auto"/>
        <w:rPr>
          <w:rFonts w:ascii="Arial" w:eastAsia="Arial" w:hAnsi="Arial" w:cs="Arial"/>
          <w:sz w:val="30"/>
          <w:szCs w:val="30"/>
        </w:rPr>
      </w:pPr>
      <w:r>
        <w:br w:type="page"/>
      </w:r>
    </w:p>
    <w:p w14:paraId="09F2956E" w14:textId="77777777" w:rsidR="00EC7D49" w:rsidRDefault="00000000">
      <w:pPr>
        <w:pStyle w:val="Heading1"/>
        <w:pBdr>
          <w:bottom w:val="single" w:sz="8" w:space="2" w:color="2E75B6"/>
        </w:pBdr>
        <w:spacing w:line="360" w:lineRule="auto"/>
        <w:rPr>
          <w:rFonts w:ascii="Arial" w:eastAsia="Arial" w:hAnsi="Arial" w:cs="Arial"/>
          <w:sz w:val="30"/>
          <w:szCs w:val="30"/>
        </w:rPr>
      </w:pPr>
      <w:r>
        <w:rPr>
          <w:rFonts w:ascii="Arial" w:eastAsia="Arial" w:hAnsi="Arial" w:cs="Arial"/>
          <w:sz w:val="30"/>
          <w:szCs w:val="30"/>
        </w:rPr>
        <w:t>Executive Summary</w:t>
      </w:r>
    </w:p>
    <w:p w14:paraId="3A5B4220"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 xml:space="preserve">The current report is a critical strategic management analysis of Tesla, Inc., the worldwide recognised clean energy and electric vehicle (EV) firm, which is based in Austin, Texas. Tesla is a company that operates at the crossroads of the automotive and the sustainable technology sectors and has therefore, radically changed both the automotive and energy sector ever since its inception in 2003. Using the developed theoretical concepts such as the PESTEL analysis, VRIO framework, the Balanced Scorecard developed by Kaplan and Norton, SWOT analysis, and the Growth Matrix created by </w:t>
      </w:r>
      <w:proofErr w:type="spellStart"/>
      <w:r>
        <w:rPr>
          <w:rFonts w:ascii="Arial" w:eastAsia="Arial" w:hAnsi="Arial" w:cs="Arial"/>
          <w:sz w:val="24"/>
          <w:szCs w:val="24"/>
        </w:rPr>
        <w:t>Ansoff</w:t>
      </w:r>
      <w:proofErr w:type="spellEnd"/>
      <w:r>
        <w:rPr>
          <w:rFonts w:ascii="Arial" w:eastAsia="Arial" w:hAnsi="Arial" w:cs="Arial"/>
          <w:sz w:val="24"/>
          <w:szCs w:val="24"/>
        </w:rPr>
        <w:t>, this report critically examines the external and internal environment, competitive positioning, and strategy of Tesla.</w:t>
      </w:r>
    </w:p>
    <w:p w14:paraId="5A04A30F"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The PESTEL analysis indicates that Tesla competes within a very dynamic macro-environment with positive regulatory tailwinds in the field of emission reduction, changes in the economic environment, and the quick development of technologies in battery and artificial intelligence. On its part, the VRIO analysis of Tesla has affirmed that its autonomous driving software, Supercharger network, and battery technology are sustained competitive advantages that are hard to be imitated by other competitors.</w:t>
      </w:r>
    </w:p>
    <w:p w14:paraId="7EF063B1"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According to the analysis provided by the Balanced Scorecard, Tesla has a solid financial recovery, high rates of customer satisfaction, extremely productive production lines, and a lot of investments into human capital and innovations. Nonetheless, the growing competition with BYD, Volkswagen, and General Motors, as well as the pressure on the costs and market saturation in major regions, are real threats to the long-term dominance of Tesla.</w:t>
      </w:r>
    </w:p>
    <w:p w14:paraId="672D770F"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Some of the strategic options suggested are the need to speed up the development of affordable vehicle segments, enhance supply chain resiliency via vertical integration, and increase energy storage revenues, as well as selective entry strategies into international markets. The reflective part utilizes the Reflective Cycle proposed by Gibbs to critically examine the research and analytical procedure that was done during this assessment.</w:t>
      </w:r>
    </w:p>
    <w:p w14:paraId="563D5ABB" w14:textId="77777777" w:rsidR="00EC7D49" w:rsidRDefault="00EC7D49">
      <w:pPr>
        <w:spacing w:before="60" w:after="60" w:line="360" w:lineRule="auto"/>
        <w:jc w:val="both"/>
        <w:rPr>
          <w:rFonts w:ascii="Arial" w:eastAsia="Arial" w:hAnsi="Arial" w:cs="Arial"/>
          <w:sz w:val="24"/>
          <w:szCs w:val="24"/>
        </w:rPr>
      </w:pPr>
    </w:p>
    <w:p w14:paraId="0ACEA170" w14:textId="77777777" w:rsidR="00EC7D49" w:rsidRDefault="00000000">
      <w:pPr>
        <w:spacing w:before="60" w:after="60" w:line="360" w:lineRule="auto"/>
        <w:jc w:val="both"/>
        <w:rPr>
          <w:rFonts w:ascii="Arial" w:eastAsia="Arial" w:hAnsi="Arial" w:cs="Arial"/>
          <w:sz w:val="24"/>
          <w:szCs w:val="24"/>
        </w:rPr>
      </w:pPr>
      <w:r>
        <w:br w:type="page"/>
      </w:r>
    </w:p>
    <w:p w14:paraId="0D983ED9" w14:textId="77777777" w:rsidR="00EC7D49" w:rsidRDefault="00000000" w:rsidP="00B06C92">
      <w:pPr>
        <w:pStyle w:val="Heading1"/>
        <w:pBdr>
          <w:bottom w:val="single" w:sz="8" w:space="2" w:color="2E75B6"/>
        </w:pBdr>
        <w:spacing w:line="360" w:lineRule="auto"/>
        <w:jc w:val="center"/>
        <w:rPr>
          <w:rFonts w:ascii="Arial" w:eastAsia="Arial" w:hAnsi="Arial" w:cs="Arial"/>
          <w:sz w:val="30"/>
          <w:szCs w:val="30"/>
        </w:rPr>
      </w:pPr>
      <w:r>
        <w:rPr>
          <w:rFonts w:ascii="Arial" w:eastAsia="Arial" w:hAnsi="Arial" w:cs="Arial"/>
          <w:sz w:val="30"/>
          <w:szCs w:val="30"/>
        </w:rPr>
        <w:t>Table of Contents</w:t>
      </w:r>
    </w:p>
    <w:sdt>
      <w:sdtPr>
        <w:id w:val="2142791066"/>
        <w:docPartObj>
          <w:docPartGallery w:val="Table of Contents"/>
          <w:docPartUnique/>
        </w:docPartObj>
      </w:sdtPr>
      <w:sdtContent>
        <w:p w14:paraId="24AFCF8B" w14:textId="77777777" w:rsidR="00EC7D49" w:rsidRDefault="00EC7D49">
          <w:pPr>
            <w:widowControl w:val="0"/>
            <w:tabs>
              <w:tab w:val="right" w:leader="dot" w:pos="9565"/>
            </w:tabs>
            <w:spacing w:before="60" w:line="360" w:lineRule="auto"/>
            <w:rPr>
              <w:rFonts w:ascii="Arial" w:eastAsia="Arial" w:hAnsi="Arial" w:cs="Arial"/>
              <w:b/>
              <w:bCs/>
              <w:color w:val="000000"/>
              <w:sz w:val="24"/>
              <w:szCs w:val="24"/>
            </w:rPr>
          </w:pPr>
          <w:r>
            <w:fldChar w:fldCharType="begin"/>
          </w:r>
          <w:r w:rsidR="00000000">
            <w:instrText xml:space="preserve"> TOC \h \u \z \t "Heading 1,1,Heading 2,2,Heading 3,3,Heading 4,4,Heading 5,5,Heading 6,6,"</w:instrText>
          </w:r>
          <w:r>
            <w:fldChar w:fldCharType="separate"/>
          </w:r>
          <w:hyperlink w:anchor="_heading=">
            <w:r>
              <w:rPr>
                <w:rFonts w:ascii="Arial" w:eastAsia="Arial" w:hAnsi="Arial" w:cs="Arial"/>
                <w:b/>
                <w:bCs/>
                <w:color w:val="000000"/>
                <w:sz w:val="24"/>
                <w:szCs w:val="24"/>
              </w:rPr>
              <w:t>Executive Summary</w:t>
            </w:r>
            <w:r>
              <w:rPr>
                <w:rFonts w:ascii="Arial" w:eastAsia="Arial" w:hAnsi="Arial" w:cs="Arial"/>
                <w:b/>
                <w:bCs/>
                <w:color w:val="000000"/>
                <w:sz w:val="24"/>
                <w:szCs w:val="24"/>
              </w:rPr>
              <w:tab/>
            </w:r>
          </w:hyperlink>
          <w:r w:rsidR="00000000">
            <w:fldChar w:fldCharType="begin"/>
          </w:r>
          <w:r w:rsidR="00000000">
            <w:instrText xml:space="preserve"> PAGEREF _heading= \h </w:instrText>
          </w:r>
          <w:r w:rsidR="00000000">
            <w:fldChar w:fldCharType="separate"/>
          </w:r>
          <w:r w:rsidR="00000000">
            <w:rPr>
              <w:rFonts w:ascii="Arial" w:eastAsia="Arial" w:hAnsi="Arial" w:cs="Arial"/>
              <w:b/>
              <w:bCs/>
              <w:sz w:val="24"/>
              <w:szCs w:val="24"/>
            </w:rPr>
            <w:t>2</w:t>
          </w:r>
          <w:r w:rsidR="00000000">
            <w:fldChar w:fldCharType="end"/>
          </w:r>
        </w:p>
        <w:p w14:paraId="07B9D0A1" w14:textId="77777777" w:rsidR="00EC7D49" w:rsidRDefault="00EC7D49">
          <w:pPr>
            <w:widowControl w:val="0"/>
            <w:tabs>
              <w:tab w:val="right" w:leader="dot" w:pos="9565"/>
            </w:tabs>
            <w:spacing w:before="60" w:line="360" w:lineRule="auto"/>
            <w:rPr>
              <w:rFonts w:ascii="Arial" w:eastAsia="Arial" w:hAnsi="Arial" w:cs="Arial"/>
              <w:b/>
              <w:bCs/>
              <w:color w:val="000000"/>
              <w:sz w:val="24"/>
              <w:szCs w:val="24"/>
            </w:rPr>
          </w:pPr>
          <w:hyperlink w:anchor="_heading=">
            <w:r>
              <w:rPr>
                <w:rFonts w:ascii="Arial" w:eastAsia="Arial" w:hAnsi="Arial" w:cs="Arial"/>
                <w:b/>
                <w:bCs/>
                <w:color w:val="000000"/>
                <w:sz w:val="24"/>
                <w:szCs w:val="24"/>
              </w:rPr>
              <w:t>Table of Contents</w:t>
            </w:r>
            <w:r>
              <w:rPr>
                <w:rFonts w:ascii="Arial" w:eastAsia="Arial" w:hAnsi="Arial" w:cs="Arial"/>
                <w:b/>
                <w:bCs/>
                <w:color w:val="000000"/>
                <w:sz w:val="24"/>
                <w:szCs w:val="24"/>
              </w:rPr>
              <w:tab/>
            </w:r>
          </w:hyperlink>
          <w:r>
            <w:fldChar w:fldCharType="begin"/>
          </w:r>
          <w:r>
            <w:instrText xml:space="preserve"> PAGEREF _heading= \h </w:instrText>
          </w:r>
          <w:r>
            <w:fldChar w:fldCharType="separate"/>
          </w:r>
          <w:r>
            <w:rPr>
              <w:rFonts w:ascii="Arial" w:eastAsia="Arial" w:hAnsi="Arial" w:cs="Arial"/>
              <w:b/>
              <w:bCs/>
              <w:sz w:val="24"/>
              <w:szCs w:val="24"/>
            </w:rPr>
            <w:t>3</w:t>
          </w:r>
          <w:r>
            <w:fldChar w:fldCharType="end"/>
          </w:r>
        </w:p>
        <w:p w14:paraId="7E856EC0" w14:textId="77777777" w:rsidR="00EC7D49" w:rsidRDefault="00EC7D49">
          <w:pPr>
            <w:widowControl w:val="0"/>
            <w:tabs>
              <w:tab w:val="right" w:leader="dot" w:pos="9565"/>
            </w:tabs>
            <w:spacing w:before="60" w:line="360" w:lineRule="auto"/>
            <w:rPr>
              <w:rFonts w:ascii="Arial" w:eastAsia="Arial" w:hAnsi="Arial" w:cs="Arial"/>
              <w:b/>
              <w:bCs/>
              <w:color w:val="000000"/>
              <w:sz w:val="24"/>
              <w:szCs w:val="24"/>
            </w:rPr>
          </w:pPr>
          <w:hyperlink w:anchor="_heading=">
            <w:r>
              <w:rPr>
                <w:rFonts w:ascii="Arial" w:eastAsia="Arial" w:hAnsi="Arial" w:cs="Arial"/>
                <w:b/>
                <w:bCs/>
                <w:color w:val="000000"/>
                <w:sz w:val="24"/>
                <w:szCs w:val="24"/>
              </w:rPr>
              <w:t>1. Organisational Context and Overview</w:t>
            </w:r>
            <w:r>
              <w:rPr>
                <w:rFonts w:ascii="Arial" w:eastAsia="Arial" w:hAnsi="Arial" w:cs="Arial"/>
                <w:b/>
                <w:bCs/>
                <w:color w:val="000000"/>
                <w:sz w:val="24"/>
                <w:szCs w:val="24"/>
              </w:rPr>
              <w:tab/>
            </w:r>
          </w:hyperlink>
          <w:r>
            <w:fldChar w:fldCharType="begin"/>
          </w:r>
          <w:r>
            <w:instrText xml:space="preserve"> PAGEREF _heading= \h </w:instrText>
          </w:r>
          <w:r>
            <w:fldChar w:fldCharType="separate"/>
          </w:r>
          <w:r>
            <w:rPr>
              <w:rFonts w:ascii="Arial" w:eastAsia="Arial" w:hAnsi="Arial" w:cs="Arial"/>
              <w:b/>
              <w:bCs/>
              <w:sz w:val="24"/>
              <w:szCs w:val="24"/>
            </w:rPr>
            <w:t>4</w:t>
          </w:r>
          <w:r>
            <w:fldChar w:fldCharType="end"/>
          </w:r>
        </w:p>
        <w:p w14:paraId="5FF6B9C7" w14:textId="77777777" w:rsidR="00EC7D49" w:rsidRDefault="00EC7D49">
          <w:pPr>
            <w:widowControl w:val="0"/>
            <w:tabs>
              <w:tab w:val="right" w:leader="dot" w:pos="9565"/>
            </w:tabs>
            <w:spacing w:before="60" w:line="360" w:lineRule="auto"/>
            <w:ind w:left="360"/>
            <w:rPr>
              <w:rFonts w:ascii="Arial" w:eastAsia="Arial" w:hAnsi="Arial" w:cs="Arial"/>
              <w:color w:val="000000"/>
              <w:sz w:val="24"/>
              <w:szCs w:val="24"/>
            </w:rPr>
          </w:pPr>
          <w:hyperlink w:anchor="_heading=">
            <w:r>
              <w:rPr>
                <w:rFonts w:ascii="Arial" w:eastAsia="Arial" w:hAnsi="Arial" w:cs="Arial"/>
                <w:color w:val="000000"/>
                <w:sz w:val="24"/>
                <w:szCs w:val="24"/>
              </w:rPr>
              <w:t>1.1 Company History and Overview</w:t>
            </w:r>
            <w:r>
              <w:rPr>
                <w:rFonts w:ascii="Arial" w:eastAsia="Arial" w:hAnsi="Arial" w:cs="Arial"/>
                <w:color w:val="000000"/>
                <w:sz w:val="24"/>
                <w:szCs w:val="24"/>
              </w:rPr>
              <w:tab/>
            </w:r>
          </w:hyperlink>
          <w:r>
            <w:fldChar w:fldCharType="begin"/>
          </w:r>
          <w:r>
            <w:instrText xml:space="preserve"> PAGEREF _heading= \h </w:instrText>
          </w:r>
          <w:r>
            <w:fldChar w:fldCharType="separate"/>
          </w:r>
          <w:r>
            <w:rPr>
              <w:rFonts w:ascii="Arial" w:eastAsia="Arial" w:hAnsi="Arial" w:cs="Arial"/>
              <w:sz w:val="24"/>
              <w:szCs w:val="24"/>
            </w:rPr>
            <w:t>4</w:t>
          </w:r>
          <w:r>
            <w:fldChar w:fldCharType="end"/>
          </w:r>
        </w:p>
        <w:p w14:paraId="1741F537" w14:textId="77777777" w:rsidR="00EC7D49" w:rsidRDefault="00EC7D49">
          <w:pPr>
            <w:widowControl w:val="0"/>
            <w:tabs>
              <w:tab w:val="right" w:leader="dot" w:pos="9565"/>
            </w:tabs>
            <w:spacing w:before="60" w:line="360" w:lineRule="auto"/>
            <w:ind w:left="360"/>
            <w:rPr>
              <w:rFonts w:ascii="Arial" w:eastAsia="Arial" w:hAnsi="Arial" w:cs="Arial"/>
              <w:color w:val="000000"/>
              <w:sz w:val="24"/>
              <w:szCs w:val="24"/>
            </w:rPr>
          </w:pPr>
          <w:hyperlink w:anchor="_heading=">
            <w:r>
              <w:rPr>
                <w:rFonts w:ascii="Arial" w:eastAsia="Arial" w:hAnsi="Arial" w:cs="Arial"/>
                <w:color w:val="000000"/>
                <w:sz w:val="24"/>
                <w:szCs w:val="24"/>
              </w:rPr>
              <w:t>1.2 Mission, Vision and Business Model</w:t>
            </w:r>
            <w:r>
              <w:rPr>
                <w:rFonts w:ascii="Arial" w:eastAsia="Arial" w:hAnsi="Arial" w:cs="Arial"/>
                <w:color w:val="000000"/>
                <w:sz w:val="24"/>
                <w:szCs w:val="24"/>
              </w:rPr>
              <w:tab/>
            </w:r>
          </w:hyperlink>
          <w:r>
            <w:fldChar w:fldCharType="begin"/>
          </w:r>
          <w:r>
            <w:instrText xml:space="preserve"> PAGEREF _heading= \h </w:instrText>
          </w:r>
          <w:r>
            <w:fldChar w:fldCharType="separate"/>
          </w:r>
          <w:r>
            <w:rPr>
              <w:rFonts w:ascii="Arial" w:eastAsia="Arial" w:hAnsi="Arial" w:cs="Arial"/>
              <w:sz w:val="24"/>
              <w:szCs w:val="24"/>
            </w:rPr>
            <w:t>4</w:t>
          </w:r>
          <w:r>
            <w:fldChar w:fldCharType="end"/>
          </w:r>
        </w:p>
        <w:p w14:paraId="5869045D" w14:textId="77777777" w:rsidR="00EC7D49" w:rsidRDefault="00EC7D49">
          <w:pPr>
            <w:widowControl w:val="0"/>
            <w:tabs>
              <w:tab w:val="right" w:leader="dot" w:pos="9565"/>
            </w:tabs>
            <w:spacing w:before="60" w:line="360" w:lineRule="auto"/>
            <w:rPr>
              <w:rFonts w:ascii="Arial" w:eastAsia="Arial" w:hAnsi="Arial" w:cs="Arial"/>
              <w:b/>
              <w:bCs/>
              <w:color w:val="000000"/>
              <w:sz w:val="24"/>
              <w:szCs w:val="24"/>
            </w:rPr>
          </w:pPr>
          <w:hyperlink w:anchor="_heading=">
            <w:r>
              <w:rPr>
                <w:rFonts w:ascii="Arial" w:eastAsia="Arial" w:hAnsi="Arial" w:cs="Arial"/>
                <w:b/>
                <w:bCs/>
                <w:color w:val="000000"/>
                <w:sz w:val="24"/>
                <w:szCs w:val="24"/>
              </w:rPr>
              <w:t>2. External and Internal Environment Analysis</w:t>
            </w:r>
            <w:r>
              <w:rPr>
                <w:rFonts w:ascii="Arial" w:eastAsia="Arial" w:hAnsi="Arial" w:cs="Arial"/>
                <w:b/>
                <w:bCs/>
                <w:color w:val="000000"/>
                <w:sz w:val="24"/>
                <w:szCs w:val="24"/>
              </w:rPr>
              <w:tab/>
            </w:r>
          </w:hyperlink>
          <w:r>
            <w:fldChar w:fldCharType="begin"/>
          </w:r>
          <w:r>
            <w:instrText xml:space="preserve"> PAGEREF _heading= \h </w:instrText>
          </w:r>
          <w:r>
            <w:fldChar w:fldCharType="separate"/>
          </w:r>
          <w:r>
            <w:rPr>
              <w:rFonts w:ascii="Arial" w:eastAsia="Arial" w:hAnsi="Arial" w:cs="Arial"/>
              <w:b/>
              <w:bCs/>
              <w:sz w:val="24"/>
              <w:szCs w:val="24"/>
            </w:rPr>
            <w:t>5</w:t>
          </w:r>
          <w:r>
            <w:fldChar w:fldCharType="end"/>
          </w:r>
        </w:p>
        <w:p w14:paraId="4FD94544" w14:textId="77777777" w:rsidR="00EC7D49" w:rsidRDefault="00EC7D49">
          <w:pPr>
            <w:widowControl w:val="0"/>
            <w:tabs>
              <w:tab w:val="right" w:leader="dot" w:pos="9565"/>
            </w:tabs>
            <w:spacing w:before="60" w:line="360" w:lineRule="auto"/>
            <w:ind w:left="360"/>
            <w:rPr>
              <w:rFonts w:ascii="Arial" w:eastAsia="Arial" w:hAnsi="Arial" w:cs="Arial"/>
              <w:color w:val="000000"/>
              <w:sz w:val="24"/>
              <w:szCs w:val="24"/>
            </w:rPr>
          </w:pPr>
          <w:hyperlink w:anchor="_heading=">
            <w:r>
              <w:rPr>
                <w:rFonts w:ascii="Arial" w:eastAsia="Arial" w:hAnsi="Arial" w:cs="Arial"/>
                <w:color w:val="000000"/>
                <w:sz w:val="24"/>
                <w:szCs w:val="24"/>
              </w:rPr>
              <w:t>2.1 PESTEL Analysis</w:t>
            </w:r>
            <w:r>
              <w:rPr>
                <w:rFonts w:ascii="Arial" w:eastAsia="Arial" w:hAnsi="Arial" w:cs="Arial"/>
                <w:color w:val="000000"/>
                <w:sz w:val="24"/>
                <w:szCs w:val="24"/>
              </w:rPr>
              <w:tab/>
            </w:r>
          </w:hyperlink>
          <w:r>
            <w:fldChar w:fldCharType="begin"/>
          </w:r>
          <w:r>
            <w:instrText xml:space="preserve"> PAGEREF _heading= \h </w:instrText>
          </w:r>
          <w:r>
            <w:fldChar w:fldCharType="separate"/>
          </w:r>
          <w:r>
            <w:rPr>
              <w:rFonts w:ascii="Arial" w:eastAsia="Arial" w:hAnsi="Arial" w:cs="Arial"/>
              <w:sz w:val="24"/>
              <w:szCs w:val="24"/>
            </w:rPr>
            <w:t>5</w:t>
          </w:r>
          <w:r>
            <w:fldChar w:fldCharType="end"/>
          </w:r>
        </w:p>
        <w:p w14:paraId="5D43279B" w14:textId="77777777" w:rsidR="00EC7D49" w:rsidRDefault="00EC7D49">
          <w:pPr>
            <w:widowControl w:val="0"/>
            <w:tabs>
              <w:tab w:val="right" w:leader="dot" w:pos="9565"/>
            </w:tabs>
            <w:spacing w:before="60" w:line="360" w:lineRule="auto"/>
            <w:ind w:left="360"/>
            <w:rPr>
              <w:rFonts w:ascii="Arial" w:eastAsia="Arial" w:hAnsi="Arial" w:cs="Arial"/>
              <w:color w:val="000000"/>
              <w:sz w:val="24"/>
              <w:szCs w:val="24"/>
            </w:rPr>
          </w:pPr>
          <w:hyperlink w:anchor="_heading=">
            <w:r>
              <w:rPr>
                <w:rFonts w:ascii="Arial" w:eastAsia="Arial" w:hAnsi="Arial" w:cs="Arial"/>
                <w:color w:val="000000"/>
                <w:sz w:val="24"/>
                <w:szCs w:val="24"/>
              </w:rPr>
              <w:t>2.2 Critical Success Factors and Strategic Challenges</w:t>
            </w:r>
            <w:r>
              <w:rPr>
                <w:rFonts w:ascii="Arial" w:eastAsia="Arial" w:hAnsi="Arial" w:cs="Arial"/>
                <w:color w:val="000000"/>
                <w:sz w:val="24"/>
                <w:szCs w:val="24"/>
              </w:rPr>
              <w:tab/>
            </w:r>
          </w:hyperlink>
          <w:r>
            <w:fldChar w:fldCharType="begin"/>
          </w:r>
          <w:r>
            <w:instrText xml:space="preserve"> PAGEREF _heading= \h </w:instrText>
          </w:r>
          <w:r>
            <w:fldChar w:fldCharType="separate"/>
          </w:r>
          <w:r>
            <w:rPr>
              <w:rFonts w:ascii="Arial" w:eastAsia="Arial" w:hAnsi="Arial" w:cs="Arial"/>
              <w:sz w:val="24"/>
              <w:szCs w:val="24"/>
            </w:rPr>
            <w:t>6</w:t>
          </w:r>
          <w:r>
            <w:fldChar w:fldCharType="end"/>
          </w:r>
        </w:p>
        <w:p w14:paraId="74534058" w14:textId="77777777" w:rsidR="00EC7D49" w:rsidRDefault="00EC7D49">
          <w:pPr>
            <w:widowControl w:val="0"/>
            <w:tabs>
              <w:tab w:val="right" w:leader="dot" w:pos="9565"/>
            </w:tabs>
            <w:spacing w:before="60" w:line="360" w:lineRule="auto"/>
            <w:ind w:left="360"/>
            <w:rPr>
              <w:rFonts w:ascii="Arial" w:eastAsia="Arial" w:hAnsi="Arial" w:cs="Arial"/>
              <w:color w:val="000000"/>
              <w:sz w:val="24"/>
              <w:szCs w:val="24"/>
            </w:rPr>
          </w:pPr>
          <w:hyperlink w:anchor="_heading=">
            <w:r>
              <w:rPr>
                <w:rFonts w:ascii="Arial" w:eastAsia="Arial" w:hAnsi="Arial" w:cs="Arial"/>
                <w:color w:val="000000"/>
                <w:sz w:val="24"/>
                <w:szCs w:val="24"/>
              </w:rPr>
              <w:t>2.3 Internal Environment: VRIO Framework Analysis</w:t>
            </w:r>
            <w:r>
              <w:rPr>
                <w:rFonts w:ascii="Arial" w:eastAsia="Arial" w:hAnsi="Arial" w:cs="Arial"/>
                <w:color w:val="000000"/>
                <w:sz w:val="24"/>
                <w:szCs w:val="24"/>
              </w:rPr>
              <w:tab/>
            </w:r>
          </w:hyperlink>
          <w:r>
            <w:fldChar w:fldCharType="begin"/>
          </w:r>
          <w:r>
            <w:instrText xml:space="preserve"> PAGEREF _heading= \h </w:instrText>
          </w:r>
          <w:r>
            <w:fldChar w:fldCharType="separate"/>
          </w:r>
          <w:r>
            <w:rPr>
              <w:rFonts w:ascii="Arial" w:eastAsia="Arial" w:hAnsi="Arial" w:cs="Arial"/>
              <w:sz w:val="24"/>
              <w:szCs w:val="24"/>
            </w:rPr>
            <w:t>6</w:t>
          </w:r>
          <w:r>
            <w:fldChar w:fldCharType="end"/>
          </w:r>
        </w:p>
        <w:p w14:paraId="38D86468" w14:textId="77777777" w:rsidR="00EC7D49" w:rsidRDefault="00EC7D49">
          <w:pPr>
            <w:widowControl w:val="0"/>
            <w:tabs>
              <w:tab w:val="right" w:leader="dot" w:pos="9565"/>
            </w:tabs>
            <w:spacing w:before="60" w:line="360" w:lineRule="auto"/>
            <w:rPr>
              <w:rFonts w:ascii="Arial" w:eastAsia="Arial" w:hAnsi="Arial" w:cs="Arial"/>
              <w:b/>
              <w:bCs/>
              <w:color w:val="000000"/>
              <w:sz w:val="24"/>
              <w:szCs w:val="24"/>
            </w:rPr>
          </w:pPr>
          <w:hyperlink w:anchor="_heading=">
            <w:r>
              <w:rPr>
                <w:rFonts w:ascii="Arial" w:eastAsia="Arial" w:hAnsi="Arial" w:cs="Arial"/>
                <w:b/>
                <w:bCs/>
                <w:color w:val="000000"/>
                <w:sz w:val="24"/>
                <w:szCs w:val="24"/>
              </w:rPr>
              <w:t>3. CSR and Sustainability Objectives</w:t>
            </w:r>
            <w:r>
              <w:rPr>
                <w:rFonts w:ascii="Arial" w:eastAsia="Arial" w:hAnsi="Arial" w:cs="Arial"/>
                <w:b/>
                <w:bCs/>
                <w:color w:val="000000"/>
                <w:sz w:val="24"/>
                <w:szCs w:val="24"/>
              </w:rPr>
              <w:tab/>
            </w:r>
          </w:hyperlink>
          <w:r>
            <w:fldChar w:fldCharType="begin"/>
          </w:r>
          <w:r>
            <w:instrText xml:space="preserve"> PAGEREF _heading= \h </w:instrText>
          </w:r>
          <w:r>
            <w:fldChar w:fldCharType="separate"/>
          </w:r>
          <w:r>
            <w:rPr>
              <w:rFonts w:ascii="Arial" w:eastAsia="Arial" w:hAnsi="Arial" w:cs="Arial"/>
              <w:b/>
              <w:bCs/>
              <w:sz w:val="24"/>
              <w:szCs w:val="24"/>
            </w:rPr>
            <w:t>7</w:t>
          </w:r>
          <w:r>
            <w:fldChar w:fldCharType="end"/>
          </w:r>
        </w:p>
        <w:p w14:paraId="6090CE1C" w14:textId="77777777" w:rsidR="00EC7D49" w:rsidRDefault="00EC7D49">
          <w:pPr>
            <w:widowControl w:val="0"/>
            <w:tabs>
              <w:tab w:val="right" w:leader="dot" w:pos="9565"/>
            </w:tabs>
            <w:spacing w:before="60" w:line="360" w:lineRule="auto"/>
            <w:ind w:left="360"/>
            <w:rPr>
              <w:rFonts w:ascii="Arial" w:eastAsia="Arial" w:hAnsi="Arial" w:cs="Arial"/>
              <w:color w:val="000000"/>
              <w:sz w:val="24"/>
              <w:szCs w:val="24"/>
            </w:rPr>
          </w:pPr>
          <w:hyperlink w:anchor="_heading=">
            <w:r>
              <w:rPr>
                <w:rFonts w:ascii="Arial" w:eastAsia="Arial" w:hAnsi="Arial" w:cs="Arial"/>
                <w:color w:val="000000"/>
                <w:sz w:val="24"/>
                <w:szCs w:val="24"/>
              </w:rPr>
              <w:t>3.1 CSR Strategy and Alignment with Business Objectives</w:t>
            </w:r>
            <w:r>
              <w:rPr>
                <w:rFonts w:ascii="Arial" w:eastAsia="Arial" w:hAnsi="Arial" w:cs="Arial"/>
                <w:color w:val="000000"/>
                <w:sz w:val="24"/>
                <w:szCs w:val="24"/>
              </w:rPr>
              <w:tab/>
            </w:r>
          </w:hyperlink>
          <w:r>
            <w:fldChar w:fldCharType="begin"/>
          </w:r>
          <w:r>
            <w:instrText xml:space="preserve"> PAGEREF _heading= \h </w:instrText>
          </w:r>
          <w:r>
            <w:fldChar w:fldCharType="separate"/>
          </w:r>
          <w:r>
            <w:rPr>
              <w:rFonts w:ascii="Arial" w:eastAsia="Arial" w:hAnsi="Arial" w:cs="Arial"/>
              <w:sz w:val="24"/>
              <w:szCs w:val="24"/>
            </w:rPr>
            <w:t>7</w:t>
          </w:r>
          <w:r>
            <w:fldChar w:fldCharType="end"/>
          </w:r>
        </w:p>
        <w:p w14:paraId="2E3FEA54" w14:textId="77777777" w:rsidR="00EC7D49" w:rsidRDefault="00EC7D49">
          <w:pPr>
            <w:widowControl w:val="0"/>
            <w:tabs>
              <w:tab w:val="right" w:leader="dot" w:pos="9565"/>
            </w:tabs>
            <w:spacing w:before="60" w:line="360" w:lineRule="auto"/>
            <w:rPr>
              <w:rFonts w:ascii="Arial" w:eastAsia="Arial" w:hAnsi="Arial" w:cs="Arial"/>
              <w:b/>
              <w:bCs/>
              <w:color w:val="000000"/>
              <w:sz w:val="24"/>
              <w:szCs w:val="24"/>
            </w:rPr>
          </w:pPr>
          <w:hyperlink w:anchor="_heading=">
            <w:r>
              <w:rPr>
                <w:rFonts w:ascii="Arial" w:eastAsia="Arial" w:hAnsi="Arial" w:cs="Arial"/>
                <w:b/>
                <w:bCs/>
                <w:color w:val="000000"/>
                <w:sz w:val="24"/>
                <w:szCs w:val="24"/>
              </w:rPr>
              <w:t>4. Comprehensive and Holistic View: Balanced Scorecard Analysis</w:t>
            </w:r>
            <w:r>
              <w:rPr>
                <w:rFonts w:ascii="Arial" w:eastAsia="Arial" w:hAnsi="Arial" w:cs="Arial"/>
                <w:b/>
                <w:bCs/>
                <w:color w:val="000000"/>
                <w:sz w:val="24"/>
                <w:szCs w:val="24"/>
              </w:rPr>
              <w:tab/>
            </w:r>
          </w:hyperlink>
          <w:r>
            <w:fldChar w:fldCharType="begin"/>
          </w:r>
          <w:r>
            <w:instrText xml:space="preserve"> PAGEREF _heading= \h </w:instrText>
          </w:r>
          <w:r>
            <w:fldChar w:fldCharType="separate"/>
          </w:r>
          <w:r>
            <w:rPr>
              <w:rFonts w:ascii="Arial" w:eastAsia="Arial" w:hAnsi="Arial" w:cs="Arial"/>
              <w:b/>
              <w:bCs/>
              <w:sz w:val="24"/>
              <w:szCs w:val="24"/>
            </w:rPr>
            <w:t>8</w:t>
          </w:r>
          <w:r>
            <w:fldChar w:fldCharType="end"/>
          </w:r>
        </w:p>
        <w:p w14:paraId="650D7068" w14:textId="77777777" w:rsidR="00EC7D49" w:rsidRDefault="00EC7D49">
          <w:pPr>
            <w:widowControl w:val="0"/>
            <w:tabs>
              <w:tab w:val="right" w:leader="dot" w:pos="9565"/>
            </w:tabs>
            <w:spacing w:before="60" w:line="360" w:lineRule="auto"/>
            <w:rPr>
              <w:rFonts w:ascii="Arial" w:eastAsia="Arial" w:hAnsi="Arial" w:cs="Arial"/>
              <w:b/>
              <w:bCs/>
              <w:color w:val="000000"/>
              <w:sz w:val="24"/>
              <w:szCs w:val="24"/>
            </w:rPr>
          </w:pPr>
          <w:hyperlink w:anchor="_heading=">
            <w:r>
              <w:rPr>
                <w:rFonts w:ascii="Arial" w:eastAsia="Arial" w:hAnsi="Arial" w:cs="Arial"/>
                <w:b/>
                <w:bCs/>
                <w:color w:val="000000"/>
                <w:sz w:val="24"/>
                <w:szCs w:val="24"/>
              </w:rPr>
              <w:t>5. Strategic Choices and Implementation</w:t>
            </w:r>
            <w:r>
              <w:rPr>
                <w:rFonts w:ascii="Arial" w:eastAsia="Arial" w:hAnsi="Arial" w:cs="Arial"/>
                <w:b/>
                <w:bCs/>
                <w:color w:val="000000"/>
                <w:sz w:val="24"/>
                <w:szCs w:val="24"/>
              </w:rPr>
              <w:tab/>
            </w:r>
          </w:hyperlink>
          <w:r>
            <w:fldChar w:fldCharType="begin"/>
          </w:r>
          <w:r>
            <w:instrText xml:space="preserve"> PAGEREF _heading= \h </w:instrText>
          </w:r>
          <w:r>
            <w:fldChar w:fldCharType="separate"/>
          </w:r>
          <w:r>
            <w:rPr>
              <w:rFonts w:ascii="Arial" w:eastAsia="Arial" w:hAnsi="Arial" w:cs="Arial"/>
              <w:b/>
              <w:bCs/>
              <w:sz w:val="24"/>
              <w:szCs w:val="24"/>
            </w:rPr>
            <w:t>9</w:t>
          </w:r>
          <w:r>
            <w:fldChar w:fldCharType="end"/>
          </w:r>
        </w:p>
        <w:p w14:paraId="4F9E2218" w14:textId="77777777" w:rsidR="00EC7D49" w:rsidRDefault="00EC7D49">
          <w:pPr>
            <w:widowControl w:val="0"/>
            <w:tabs>
              <w:tab w:val="right" w:leader="dot" w:pos="9565"/>
            </w:tabs>
            <w:spacing w:before="60" w:line="360" w:lineRule="auto"/>
            <w:ind w:left="360"/>
            <w:rPr>
              <w:rFonts w:ascii="Arial" w:eastAsia="Arial" w:hAnsi="Arial" w:cs="Arial"/>
              <w:color w:val="000000"/>
              <w:sz w:val="24"/>
              <w:szCs w:val="24"/>
            </w:rPr>
          </w:pPr>
          <w:hyperlink w:anchor="_heading=">
            <w:r>
              <w:rPr>
                <w:rFonts w:ascii="Arial" w:eastAsia="Arial" w:hAnsi="Arial" w:cs="Arial"/>
                <w:color w:val="000000"/>
                <w:sz w:val="24"/>
                <w:szCs w:val="24"/>
              </w:rPr>
              <w:t>5.1 Business-Level Strategies</w:t>
            </w:r>
            <w:r>
              <w:rPr>
                <w:rFonts w:ascii="Arial" w:eastAsia="Arial" w:hAnsi="Arial" w:cs="Arial"/>
                <w:color w:val="000000"/>
                <w:sz w:val="24"/>
                <w:szCs w:val="24"/>
              </w:rPr>
              <w:tab/>
            </w:r>
          </w:hyperlink>
          <w:r>
            <w:fldChar w:fldCharType="begin"/>
          </w:r>
          <w:r>
            <w:instrText xml:space="preserve"> PAGEREF _heading= \h </w:instrText>
          </w:r>
          <w:r>
            <w:fldChar w:fldCharType="separate"/>
          </w:r>
          <w:r>
            <w:rPr>
              <w:rFonts w:ascii="Arial" w:eastAsia="Arial" w:hAnsi="Arial" w:cs="Arial"/>
              <w:sz w:val="24"/>
              <w:szCs w:val="24"/>
            </w:rPr>
            <w:t>9</w:t>
          </w:r>
          <w:r>
            <w:fldChar w:fldCharType="end"/>
          </w:r>
        </w:p>
        <w:p w14:paraId="008EC42C" w14:textId="77777777" w:rsidR="00EC7D49" w:rsidRDefault="00EC7D49">
          <w:pPr>
            <w:widowControl w:val="0"/>
            <w:tabs>
              <w:tab w:val="right" w:leader="dot" w:pos="9565"/>
            </w:tabs>
            <w:spacing w:before="60" w:line="360" w:lineRule="auto"/>
            <w:ind w:left="360"/>
            <w:rPr>
              <w:rFonts w:ascii="Arial" w:eastAsia="Arial" w:hAnsi="Arial" w:cs="Arial"/>
              <w:color w:val="000000"/>
              <w:sz w:val="24"/>
              <w:szCs w:val="24"/>
            </w:rPr>
          </w:pPr>
          <w:hyperlink w:anchor="_heading=">
            <w:r>
              <w:rPr>
                <w:rFonts w:ascii="Arial" w:eastAsia="Arial" w:hAnsi="Arial" w:cs="Arial"/>
                <w:color w:val="000000"/>
                <w:sz w:val="24"/>
                <w:szCs w:val="24"/>
              </w:rPr>
              <w:t>5.2 Corporate-Level Strategies</w:t>
            </w:r>
            <w:r>
              <w:rPr>
                <w:rFonts w:ascii="Arial" w:eastAsia="Arial" w:hAnsi="Arial" w:cs="Arial"/>
                <w:color w:val="000000"/>
                <w:sz w:val="24"/>
                <w:szCs w:val="24"/>
              </w:rPr>
              <w:tab/>
            </w:r>
          </w:hyperlink>
          <w:r>
            <w:fldChar w:fldCharType="begin"/>
          </w:r>
          <w:r>
            <w:instrText xml:space="preserve"> PAGEREF _heading= \h </w:instrText>
          </w:r>
          <w:r>
            <w:fldChar w:fldCharType="separate"/>
          </w:r>
          <w:r>
            <w:rPr>
              <w:rFonts w:ascii="Arial" w:eastAsia="Arial" w:hAnsi="Arial" w:cs="Arial"/>
              <w:sz w:val="24"/>
              <w:szCs w:val="24"/>
            </w:rPr>
            <w:t>10</w:t>
          </w:r>
          <w:r>
            <w:fldChar w:fldCharType="end"/>
          </w:r>
        </w:p>
        <w:p w14:paraId="00086A1C" w14:textId="77777777" w:rsidR="00EC7D49" w:rsidRDefault="00EC7D49">
          <w:pPr>
            <w:widowControl w:val="0"/>
            <w:tabs>
              <w:tab w:val="right" w:leader="dot" w:pos="9565"/>
            </w:tabs>
            <w:spacing w:before="60" w:line="360" w:lineRule="auto"/>
            <w:ind w:left="360"/>
            <w:rPr>
              <w:rFonts w:ascii="Arial" w:eastAsia="Arial" w:hAnsi="Arial" w:cs="Arial"/>
              <w:color w:val="000000"/>
              <w:sz w:val="24"/>
              <w:szCs w:val="24"/>
            </w:rPr>
          </w:pPr>
          <w:hyperlink w:anchor="_heading=">
            <w:r>
              <w:rPr>
                <w:rFonts w:ascii="Arial" w:eastAsia="Arial" w:hAnsi="Arial" w:cs="Arial"/>
                <w:color w:val="000000"/>
                <w:sz w:val="24"/>
                <w:szCs w:val="24"/>
              </w:rPr>
              <w:t>5.3 Recommended Strategic Choices</w:t>
            </w:r>
            <w:r>
              <w:rPr>
                <w:rFonts w:ascii="Arial" w:eastAsia="Arial" w:hAnsi="Arial" w:cs="Arial"/>
                <w:color w:val="000000"/>
                <w:sz w:val="24"/>
                <w:szCs w:val="24"/>
              </w:rPr>
              <w:tab/>
            </w:r>
          </w:hyperlink>
          <w:r>
            <w:fldChar w:fldCharType="begin"/>
          </w:r>
          <w:r>
            <w:instrText xml:space="preserve"> PAGEREF _heading= \h </w:instrText>
          </w:r>
          <w:r>
            <w:fldChar w:fldCharType="separate"/>
          </w:r>
          <w:r>
            <w:rPr>
              <w:rFonts w:ascii="Arial" w:eastAsia="Arial" w:hAnsi="Arial" w:cs="Arial"/>
              <w:sz w:val="24"/>
              <w:szCs w:val="24"/>
            </w:rPr>
            <w:t>10</w:t>
          </w:r>
          <w:r>
            <w:fldChar w:fldCharType="end"/>
          </w:r>
        </w:p>
        <w:p w14:paraId="5DDB6866" w14:textId="77777777" w:rsidR="00EC7D49" w:rsidRDefault="00EC7D49">
          <w:pPr>
            <w:widowControl w:val="0"/>
            <w:tabs>
              <w:tab w:val="right" w:leader="dot" w:pos="9565"/>
            </w:tabs>
            <w:spacing w:before="60" w:line="360" w:lineRule="auto"/>
            <w:ind w:left="360"/>
            <w:rPr>
              <w:rFonts w:ascii="Arial" w:eastAsia="Arial" w:hAnsi="Arial" w:cs="Arial"/>
              <w:color w:val="000000"/>
              <w:sz w:val="24"/>
              <w:szCs w:val="24"/>
            </w:rPr>
          </w:pPr>
          <w:hyperlink w:anchor="_heading=">
            <w:r>
              <w:rPr>
                <w:rFonts w:ascii="Arial" w:eastAsia="Arial" w:hAnsi="Arial" w:cs="Arial"/>
                <w:color w:val="000000"/>
                <w:sz w:val="24"/>
                <w:szCs w:val="24"/>
              </w:rPr>
              <w:t>5.4 Strategic Change Management</w:t>
            </w:r>
            <w:r>
              <w:rPr>
                <w:rFonts w:ascii="Arial" w:eastAsia="Arial" w:hAnsi="Arial" w:cs="Arial"/>
                <w:color w:val="000000"/>
                <w:sz w:val="24"/>
                <w:szCs w:val="24"/>
              </w:rPr>
              <w:tab/>
            </w:r>
          </w:hyperlink>
          <w:r>
            <w:fldChar w:fldCharType="begin"/>
          </w:r>
          <w:r>
            <w:instrText xml:space="preserve"> PAGEREF _heading= \h </w:instrText>
          </w:r>
          <w:r>
            <w:fldChar w:fldCharType="separate"/>
          </w:r>
          <w:r>
            <w:rPr>
              <w:rFonts w:ascii="Arial" w:eastAsia="Arial" w:hAnsi="Arial" w:cs="Arial"/>
              <w:sz w:val="24"/>
              <w:szCs w:val="24"/>
            </w:rPr>
            <w:t>10</w:t>
          </w:r>
          <w:r>
            <w:fldChar w:fldCharType="end"/>
          </w:r>
        </w:p>
        <w:p w14:paraId="4540E72F" w14:textId="77777777" w:rsidR="00EC7D49" w:rsidRDefault="00EC7D49">
          <w:pPr>
            <w:widowControl w:val="0"/>
            <w:tabs>
              <w:tab w:val="right" w:leader="dot" w:pos="9565"/>
            </w:tabs>
            <w:spacing w:before="60" w:line="360" w:lineRule="auto"/>
            <w:rPr>
              <w:rFonts w:ascii="Arial" w:eastAsia="Arial" w:hAnsi="Arial" w:cs="Arial"/>
              <w:b/>
              <w:bCs/>
              <w:color w:val="000000"/>
              <w:sz w:val="24"/>
              <w:szCs w:val="24"/>
            </w:rPr>
          </w:pPr>
          <w:hyperlink w:anchor="_heading=">
            <w:r>
              <w:rPr>
                <w:rFonts w:ascii="Arial" w:eastAsia="Arial" w:hAnsi="Arial" w:cs="Arial"/>
                <w:b/>
                <w:bCs/>
                <w:color w:val="000000"/>
                <w:sz w:val="24"/>
                <w:szCs w:val="24"/>
              </w:rPr>
              <w:t>6. Strategic Evaluation and Recommendations</w:t>
            </w:r>
            <w:r>
              <w:rPr>
                <w:rFonts w:ascii="Arial" w:eastAsia="Arial" w:hAnsi="Arial" w:cs="Arial"/>
                <w:b/>
                <w:bCs/>
                <w:color w:val="000000"/>
                <w:sz w:val="24"/>
                <w:szCs w:val="24"/>
              </w:rPr>
              <w:tab/>
            </w:r>
          </w:hyperlink>
          <w:r>
            <w:fldChar w:fldCharType="begin"/>
          </w:r>
          <w:r>
            <w:instrText xml:space="preserve"> PAGEREF _heading= \h </w:instrText>
          </w:r>
          <w:r>
            <w:fldChar w:fldCharType="separate"/>
          </w:r>
          <w:r>
            <w:rPr>
              <w:rFonts w:ascii="Arial" w:eastAsia="Arial" w:hAnsi="Arial" w:cs="Arial"/>
              <w:b/>
              <w:bCs/>
              <w:sz w:val="24"/>
              <w:szCs w:val="24"/>
            </w:rPr>
            <w:t>10</w:t>
          </w:r>
          <w:r>
            <w:fldChar w:fldCharType="end"/>
          </w:r>
        </w:p>
        <w:p w14:paraId="65F1C665" w14:textId="77777777" w:rsidR="00EC7D49" w:rsidRDefault="00EC7D49">
          <w:pPr>
            <w:widowControl w:val="0"/>
            <w:tabs>
              <w:tab w:val="right" w:leader="dot" w:pos="9565"/>
            </w:tabs>
            <w:spacing w:before="60" w:line="360" w:lineRule="auto"/>
            <w:ind w:left="360"/>
            <w:rPr>
              <w:rFonts w:ascii="Arial" w:eastAsia="Arial" w:hAnsi="Arial" w:cs="Arial"/>
              <w:color w:val="000000"/>
              <w:sz w:val="24"/>
              <w:szCs w:val="24"/>
            </w:rPr>
          </w:pPr>
          <w:hyperlink w:anchor="_heading=">
            <w:r>
              <w:rPr>
                <w:rFonts w:ascii="Arial" w:eastAsia="Arial" w:hAnsi="Arial" w:cs="Arial"/>
                <w:color w:val="000000"/>
                <w:sz w:val="24"/>
                <w:szCs w:val="24"/>
              </w:rPr>
              <w:t>6.1 SWOT Analysis</w:t>
            </w:r>
            <w:r>
              <w:rPr>
                <w:rFonts w:ascii="Arial" w:eastAsia="Arial" w:hAnsi="Arial" w:cs="Arial"/>
                <w:color w:val="000000"/>
                <w:sz w:val="24"/>
                <w:szCs w:val="24"/>
              </w:rPr>
              <w:tab/>
            </w:r>
          </w:hyperlink>
          <w:r>
            <w:fldChar w:fldCharType="begin"/>
          </w:r>
          <w:r>
            <w:instrText xml:space="preserve"> PAGEREF _heading= \h </w:instrText>
          </w:r>
          <w:r>
            <w:fldChar w:fldCharType="separate"/>
          </w:r>
          <w:r>
            <w:rPr>
              <w:rFonts w:ascii="Arial" w:eastAsia="Arial" w:hAnsi="Arial" w:cs="Arial"/>
              <w:sz w:val="24"/>
              <w:szCs w:val="24"/>
            </w:rPr>
            <w:t>10</w:t>
          </w:r>
          <w:r>
            <w:fldChar w:fldCharType="end"/>
          </w:r>
        </w:p>
        <w:p w14:paraId="0755061C" w14:textId="77777777" w:rsidR="00EC7D49" w:rsidRDefault="00EC7D49">
          <w:pPr>
            <w:widowControl w:val="0"/>
            <w:tabs>
              <w:tab w:val="right" w:leader="dot" w:pos="9565"/>
            </w:tabs>
            <w:spacing w:before="60" w:line="360" w:lineRule="auto"/>
            <w:ind w:left="360"/>
            <w:rPr>
              <w:rFonts w:ascii="Arial" w:eastAsia="Arial" w:hAnsi="Arial" w:cs="Arial"/>
              <w:color w:val="000000"/>
              <w:sz w:val="24"/>
              <w:szCs w:val="24"/>
            </w:rPr>
          </w:pPr>
          <w:hyperlink w:anchor="_heading=">
            <w:r>
              <w:rPr>
                <w:rFonts w:ascii="Arial" w:eastAsia="Arial" w:hAnsi="Arial" w:cs="Arial"/>
                <w:color w:val="000000"/>
                <w:sz w:val="24"/>
                <w:szCs w:val="24"/>
              </w:rPr>
              <w:t>6.2 Ansoff Growth Matrix Analysis</w:t>
            </w:r>
            <w:r>
              <w:rPr>
                <w:rFonts w:ascii="Arial" w:eastAsia="Arial" w:hAnsi="Arial" w:cs="Arial"/>
                <w:color w:val="000000"/>
                <w:sz w:val="24"/>
                <w:szCs w:val="24"/>
              </w:rPr>
              <w:tab/>
            </w:r>
          </w:hyperlink>
          <w:r>
            <w:fldChar w:fldCharType="begin"/>
          </w:r>
          <w:r>
            <w:instrText xml:space="preserve"> PAGEREF _heading= \h </w:instrText>
          </w:r>
          <w:r>
            <w:fldChar w:fldCharType="separate"/>
          </w:r>
          <w:r>
            <w:rPr>
              <w:rFonts w:ascii="Arial" w:eastAsia="Arial" w:hAnsi="Arial" w:cs="Arial"/>
              <w:sz w:val="24"/>
              <w:szCs w:val="24"/>
            </w:rPr>
            <w:t>11</w:t>
          </w:r>
          <w:r>
            <w:fldChar w:fldCharType="end"/>
          </w:r>
        </w:p>
        <w:p w14:paraId="63D8057C" w14:textId="77777777" w:rsidR="00EC7D49" w:rsidRDefault="00EC7D49">
          <w:pPr>
            <w:widowControl w:val="0"/>
            <w:tabs>
              <w:tab w:val="right" w:leader="dot" w:pos="9565"/>
            </w:tabs>
            <w:spacing w:before="60" w:line="360" w:lineRule="auto"/>
            <w:ind w:left="360"/>
            <w:rPr>
              <w:rFonts w:ascii="Arial" w:eastAsia="Arial" w:hAnsi="Arial" w:cs="Arial"/>
              <w:color w:val="000000"/>
              <w:sz w:val="24"/>
              <w:szCs w:val="24"/>
            </w:rPr>
          </w:pPr>
          <w:hyperlink w:anchor="_heading=">
            <w:r>
              <w:rPr>
                <w:rFonts w:ascii="Arial" w:eastAsia="Arial" w:hAnsi="Arial" w:cs="Arial"/>
                <w:color w:val="000000"/>
                <w:sz w:val="24"/>
                <w:szCs w:val="24"/>
              </w:rPr>
              <w:t>6.3 Strategic Recommendations</w:t>
            </w:r>
            <w:r>
              <w:rPr>
                <w:rFonts w:ascii="Arial" w:eastAsia="Arial" w:hAnsi="Arial" w:cs="Arial"/>
                <w:color w:val="000000"/>
                <w:sz w:val="24"/>
                <w:szCs w:val="24"/>
              </w:rPr>
              <w:tab/>
            </w:r>
          </w:hyperlink>
          <w:r>
            <w:fldChar w:fldCharType="begin"/>
          </w:r>
          <w:r>
            <w:instrText xml:space="preserve"> PAGEREF _heading= \h </w:instrText>
          </w:r>
          <w:r>
            <w:fldChar w:fldCharType="separate"/>
          </w:r>
          <w:r>
            <w:rPr>
              <w:rFonts w:ascii="Arial" w:eastAsia="Arial" w:hAnsi="Arial" w:cs="Arial"/>
              <w:sz w:val="24"/>
              <w:szCs w:val="24"/>
            </w:rPr>
            <w:t>11</w:t>
          </w:r>
          <w:r>
            <w:fldChar w:fldCharType="end"/>
          </w:r>
        </w:p>
        <w:p w14:paraId="7157516B" w14:textId="77777777" w:rsidR="00EC7D49" w:rsidRDefault="00EC7D49">
          <w:pPr>
            <w:widowControl w:val="0"/>
            <w:tabs>
              <w:tab w:val="right" w:leader="dot" w:pos="9565"/>
            </w:tabs>
            <w:spacing w:before="60" w:line="360" w:lineRule="auto"/>
            <w:rPr>
              <w:rFonts w:ascii="Arial" w:eastAsia="Arial" w:hAnsi="Arial" w:cs="Arial"/>
              <w:b/>
              <w:bCs/>
              <w:color w:val="000000"/>
              <w:sz w:val="24"/>
              <w:szCs w:val="24"/>
            </w:rPr>
          </w:pPr>
          <w:hyperlink w:anchor="_heading=">
            <w:r>
              <w:rPr>
                <w:rFonts w:ascii="Arial" w:eastAsia="Arial" w:hAnsi="Arial" w:cs="Arial"/>
                <w:b/>
                <w:bCs/>
                <w:color w:val="000000"/>
                <w:sz w:val="24"/>
                <w:szCs w:val="24"/>
              </w:rPr>
              <w:t>7. Reflective Account: Gibbs' Reflective Cycle</w:t>
            </w:r>
            <w:r>
              <w:rPr>
                <w:rFonts w:ascii="Arial" w:eastAsia="Arial" w:hAnsi="Arial" w:cs="Arial"/>
                <w:b/>
                <w:bCs/>
                <w:color w:val="000000"/>
                <w:sz w:val="24"/>
                <w:szCs w:val="24"/>
              </w:rPr>
              <w:tab/>
            </w:r>
          </w:hyperlink>
          <w:r>
            <w:fldChar w:fldCharType="begin"/>
          </w:r>
          <w:r>
            <w:instrText xml:space="preserve"> PAGEREF _heading= \h </w:instrText>
          </w:r>
          <w:r>
            <w:fldChar w:fldCharType="separate"/>
          </w:r>
          <w:r>
            <w:rPr>
              <w:rFonts w:ascii="Arial" w:eastAsia="Arial" w:hAnsi="Arial" w:cs="Arial"/>
              <w:b/>
              <w:bCs/>
              <w:sz w:val="24"/>
              <w:szCs w:val="24"/>
            </w:rPr>
            <w:t>12</w:t>
          </w:r>
          <w:r>
            <w:fldChar w:fldCharType="end"/>
          </w:r>
        </w:p>
        <w:p w14:paraId="3DDB5AE0" w14:textId="77777777" w:rsidR="00EC7D49" w:rsidRDefault="00EC7D49">
          <w:pPr>
            <w:widowControl w:val="0"/>
            <w:tabs>
              <w:tab w:val="right" w:leader="dot" w:pos="9565"/>
            </w:tabs>
            <w:spacing w:before="60" w:line="360" w:lineRule="auto"/>
            <w:ind w:left="360"/>
            <w:rPr>
              <w:rFonts w:ascii="Arial" w:eastAsia="Arial" w:hAnsi="Arial" w:cs="Arial"/>
              <w:color w:val="000000"/>
              <w:sz w:val="24"/>
              <w:szCs w:val="24"/>
            </w:rPr>
          </w:pPr>
          <w:hyperlink w:anchor="_heading=">
            <w:r>
              <w:rPr>
                <w:rFonts w:ascii="Arial" w:eastAsia="Arial" w:hAnsi="Arial" w:cs="Arial"/>
                <w:color w:val="000000"/>
                <w:sz w:val="24"/>
                <w:szCs w:val="24"/>
              </w:rPr>
              <w:t>7.1 Description</w:t>
            </w:r>
            <w:r>
              <w:rPr>
                <w:rFonts w:ascii="Arial" w:eastAsia="Arial" w:hAnsi="Arial" w:cs="Arial"/>
                <w:color w:val="000000"/>
                <w:sz w:val="24"/>
                <w:szCs w:val="24"/>
              </w:rPr>
              <w:tab/>
            </w:r>
          </w:hyperlink>
          <w:r>
            <w:fldChar w:fldCharType="begin"/>
          </w:r>
          <w:r>
            <w:instrText xml:space="preserve"> PAGEREF _heading= \h </w:instrText>
          </w:r>
          <w:r>
            <w:fldChar w:fldCharType="separate"/>
          </w:r>
          <w:r>
            <w:rPr>
              <w:rFonts w:ascii="Arial" w:eastAsia="Arial" w:hAnsi="Arial" w:cs="Arial"/>
              <w:sz w:val="24"/>
              <w:szCs w:val="24"/>
            </w:rPr>
            <w:t>12</w:t>
          </w:r>
          <w:r>
            <w:fldChar w:fldCharType="end"/>
          </w:r>
        </w:p>
        <w:p w14:paraId="233A1786" w14:textId="77777777" w:rsidR="00EC7D49" w:rsidRDefault="00EC7D49">
          <w:pPr>
            <w:widowControl w:val="0"/>
            <w:tabs>
              <w:tab w:val="right" w:leader="dot" w:pos="9565"/>
            </w:tabs>
            <w:spacing w:before="60" w:line="360" w:lineRule="auto"/>
            <w:ind w:left="360"/>
            <w:rPr>
              <w:rFonts w:ascii="Arial" w:eastAsia="Arial" w:hAnsi="Arial" w:cs="Arial"/>
              <w:color w:val="000000"/>
              <w:sz w:val="24"/>
              <w:szCs w:val="24"/>
            </w:rPr>
          </w:pPr>
          <w:hyperlink w:anchor="_heading=">
            <w:r>
              <w:rPr>
                <w:rFonts w:ascii="Arial" w:eastAsia="Arial" w:hAnsi="Arial" w:cs="Arial"/>
                <w:color w:val="000000"/>
                <w:sz w:val="24"/>
                <w:szCs w:val="24"/>
              </w:rPr>
              <w:t>7.2 Feelings</w:t>
            </w:r>
            <w:r>
              <w:rPr>
                <w:rFonts w:ascii="Arial" w:eastAsia="Arial" w:hAnsi="Arial" w:cs="Arial"/>
                <w:color w:val="000000"/>
                <w:sz w:val="24"/>
                <w:szCs w:val="24"/>
              </w:rPr>
              <w:tab/>
            </w:r>
          </w:hyperlink>
          <w:r>
            <w:fldChar w:fldCharType="begin"/>
          </w:r>
          <w:r>
            <w:instrText xml:space="preserve"> PAGEREF _heading= \h </w:instrText>
          </w:r>
          <w:r>
            <w:fldChar w:fldCharType="separate"/>
          </w:r>
          <w:r>
            <w:rPr>
              <w:rFonts w:ascii="Arial" w:eastAsia="Arial" w:hAnsi="Arial" w:cs="Arial"/>
              <w:sz w:val="24"/>
              <w:szCs w:val="24"/>
            </w:rPr>
            <w:t>12</w:t>
          </w:r>
          <w:r>
            <w:fldChar w:fldCharType="end"/>
          </w:r>
        </w:p>
        <w:p w14:paraId="06A5227C" w14:textId="77777777" w:rsidR="00EC7D49" w:rsidRDefault="00EC7D49">
          <w:pPr>
            <w:widowControl w:val="0"/>
            <w:tabs>
              <w:tab w:val="right" w:leader="dot" w:pos="9565"/>
            </w:tabs>
            <w:spacing w:before="60" w:line="360" w:lineRule="auto"/>
            <w:ind w:left="360"/>
            <w:rPr>
              <w:rFonts w:ascii="Arial" w:eastAsia="Arial" w:hAnsi="Arial" w:cs="Arial"/>
              <w:color w:val="000000"/>
              <w:sz w:val="24"/>
              <w:szCs w:val="24"/>
            </w:rPr>
          </w:pPr>
          <w:hyperlink w:anchor="_heading=">
            <w:r>
              <w:rPr>
                <w:rFonts w:ascii="Arial" w:eastAsia="Arial" w:hAnsi="Arial" w:cs="Arial"/>
                <w:color w:val="000000"/>
                <w:sz w:val="24"/>
                <w:szCs w:val="24"/>
              </w:rPr>
              <w:t>7.3 Evaluation</w:t>
            </w:r>
            <w:r>
              <w:rPr>
                <w:rFonts w:ascii="Arial" w:eastAsia="Arial" w:hAnsi="Arial" w:cs="Arial"/>
                <w:color w:val="000000"/>
                <w:sz w:val="24"/>
                <w:szCs w:val="24"/>
              </w:rPr>
              <w:tab/>
            </w:r>
          </w:hyperlink>
          <w:r>
            <w:fldChar w:fldCharType="begin"/>
          </w:r>
          <w:r>
            <w:instrText xml:space="preserve"> PAGEREF _heading= \h </w:instrText>
          </w:r>
          <w:r>
            <w:fldChar w:fldCharType="separate"/>
          </w:r>
          <w:r>
            <w:rPr>
              <w:rFonts w:ascii="Arial" w:eastAsia="Arial" w:hAnsi="Arial" w:cs="Arial"/>
              <w:sz w:val="24"/>
              <w:szCs w:val="24"/>
            </w:rPr>
            <w:t>13</w:t>
          </w:r>
          <w:r>
            <w:fldChar w:fldCharType="end"/>
          </w:r>
        </w:p>
        <w:p w14:paraId="0828A85F" w14:textId="77777777" w:rsidR="00EC7D49" w:rsidRDefault="00EC7D49">
          <w:pPr>
            <w:widowControl w:val="0"/>
            <w:tabs>
              <w:tab w:val="right" w:leader="dot" w:pos="9565"/>
            </w:tabs>
            <w:spacing w:before="60" w:line="360" w:lineRule="auto"/>
            <w:ind w:left="360"/>
            <w:rPr>
              <w:rFonts w:ascii="Arial" w:eastAsia="Arial" w:hAnsi="Arial" w:cs="Arial"/>
              <w:color w:val="000000"/>
              <w:sz w:val="24"/>
              <w:szCs w:val="24"/>
            </w:rPr>
          </w:pPr>
          <w:hyperlink w:anchor="_heading=">
            <w:r>
              <w:rPr>
                <w:rFonts w:ascii="Arial" w:eastAsia="Arial" w:hAnsi="Arial" w:cs="Arial"/>
                <w:color w:val="000000"/>
                <w:sz w:val="24"/>
                <w:szCs w:val="24"/>
              </w:rPr>
              <w:t>7.4 Analysis</w:t>
            </w:r>
            <w:r>
              <w:rPr>
                <w:rFonts w:ascii="Arial" w:eastAsia="Arial" w:hAnsi="Arial" w:cs="Arial"/>
                <w:color w:val="000000"/>
                <w:sz w:val="24"/>
                <w:szCs w:val="24"/>
              </w:rPr>
              <w:tab/>
            </w:r>
          </w:hyperlink>
          <w:r>
            <w:fldChar w:fldCharType="begin"/>
          </w:r>
          <w:r>
            <w:instrText xml:space="preserve"> PAGEREF _heading= \h </w:instrText>
          </w:r>
          <w:r>
            <w:fldChar w:fldCharType="separate"/>
          </w:r>
          <w:r>
            <w:rPr>
              <w:rFonts w:ascii="Arial" w:eastAsia="Arial" w:hAnsi="Arial" w:cs="Arial"/>
              <w:sz w:val="24"/>
              <w:szCs w:val="24"/>
            </w:rPr>
            <w:t>13</w:t>
          </w:r>
          <w:r>
            <w:fldChar w:fldCharType="end"/>
          </w:r>
        </w:p>
        <w:p w14:paraId="1ACFF644" w14:textId="77777777" w:rsidR="00EC7D49" w:rsidRDefault="00EC7D49">
          <w:pPr>
            <w:widowControl w:val="0"/>
            <w:tabs>
              <w:tab w:val="right" w:leader="dot" w:pos="9565"/>
            </w:tabs>
            <w:spacing w:before="60" w:line="360" w:lineRule="auto"/>
            <w:ind w:left="360"/>
            <w:rPr>
              <w:rFonts w:ascii="Arial" w:eastAsia="Arial" w:hAnsi="Arial" w:cs="Arial"/>
              <w:color w:val="000000"/>
              <w:sz w:val="24"/>
              <w:szCs w:val="24"/>
            </w:rPr>
          </w:pPr>
          <w:hyperlink w:anchor="_heading=">
            <w:r>
              <w:rPr>
                <w:rFonts w:ascii="Arial" w:eastAsia="Arial" w:hAnsi="Arial" w:cs="Arial"/>
                <w:color w:val="000000"/>
                <w:sz w:val="24"/>
                <w:szCs w:val="24"/>
              </w:rPr>
              <w:t>7.5 Conclusion</w:t>
            </w:r>
            <w:r>
              <w:rPr>
                <w:rFonts w:ascii="Arial" w:eastAsia="Arial" w:hAnsi="Arial" w:cs="Arial"/>
                <w:color w:val="000000"/>
                <w:sz w:val="24"/>
                <w:szCs w:val="24"/>
              </w:rPr>
              <w:tab/>
            </w:r>
          </w:hyperlink>
          <w:r>
            <w:fldChar w:fldCharType="begin"/>
          </w:r>
          <w:r>
            <w:instrText xml:space="preserve"> PAGEREF _heading= \h </w:instrText>
          </w:r>
          <w:r>
            <w:fldChar w:fldCharType="separate"/>
          </w:r>
          <w:r>
            <w:rPr>
              <w:rFonts w:ascii="Arial" w:eastAsia="Arial" w:hAnsi="Arial" w:cs="Arial"/>
              <w:sz w:val="24"/>
              <w:szCs w:val="24"/>
            </w:rPr>
            <w:t>14</w:t>
          </w:r>
          <w:r>
            <w:fldChar w:fldCharType="end"/>
          </w:r>
        </w:p>
        <w:p w14:paraId="3727598F" w14:textId="77777777" w:rsidR="00EC7D49" w:rsidRDefault="00EC7D49">
          <w:pPr>
            <w:widowControl w:val="0"/>
            <w:tabs>
              <w:tab w:val="right" w:leader="dot" w:pos="9565"/>
            </w:tabs>
            <w:spacing w:before="60" w:line="360" w:lineRule="auto"/>
            <w:ind w:left="360"/>
            <w:rPr>
              <w:rFonts w:ascii="Arial" w:eastAsia="Arial" w:hAnsi="Arial" w:cs="Arial"/>
              <w:color w:val="000000"/>
              <w:sz w:val="24"/>
              <w:szCs w:val="24"/>
            </w:rPr>
          </w:pPr>
          <w:hyperlink w:anchor="_heading=">
            <w:r>
              <w:rPr>
                <w:rFonts w:ascii="Arial" w:eastAsia="Arial" w:hAnsi="Arial" w:cs="Arial"/>
                <w:color w:val="000000"/>
                <w:sz w:val="24"/>
                <w:szCs w:val="24"/>
              </w:rPr>
              <w:t>7.6 Action Plan</w:t>
            </w:r>
            <w:r>
              <w:rPr>
                <w:rFonts w:ascii="Arial" w:eastAsia="Arial" w:hAnsi="Arial" w:cs="Arial"/>
                <w:color w:val="000000"/>
                <w:sz w:val="24"/>
                <w:szCs w:val="24"/>
              </w:rPr>
              <w:tab/>
            </w:r>
          </w:hyperlink>
          <w:r>
            <w:fldChar w:fldCharType="begin"/>
          </w:r>
          <w:r>
            <w:instrText xml:space="preserve"> PAGEREF _heading= \h </w:instrText>
          </w:r>
          <w:r>
            <w:fldChar w:fldCharType="separate"/>
          </w:r>
          <w:r>
            <w:rPr>
              <w:rFonts w:ascii="Arial" w:eastAsia="Arial" w:hAnsi="Arial" w:cs="Arial"/>
              <w:sz w:val="24"/>
              <w:szCs w:val="24"/>
            </w:rPr>
            <w:t>14</w:t>
          </w:r>
          <w:r>
            <w:fldChar w:fldCharType="end"/>
          </w:r>
        </w:p>
        <w:p w14:paraId="5EDE6BB6" w14:textId="77777777" w:rsidR="00B06C92" w:rsidRDefault="00EC7D49" w:rsidP="00B06C92">
          <w:pPr>
            <w:widowControl w:val="0"/>
            <w:tabs>
              <w:tab w:val="right" w:leader="dot" w:pos="9565"/>
            </w:tabs>
            <w:spacing w:before="60" w:line="360" w:lineRule="auto"/>
          </w:pPr>
          <w:hyperlink w:anchor="_heading=">
            <w:r>
              <w:rPr>
                <w:rFonts w:ascii="Arial" w:eastAsia="Arial" w:hAnsi="Arial" w:cs="Arial"/>
                <w:b/>
                <w:bCs/>
                <w:color w:val="000000"/>
                <w:sz w:val="24"/>
                <w:szCs w:val="24"/>
              </w:rPr>
              <w:t>References</w:t>
            </w:r>
            <w:r>
              <w:rPr>
                <w:rFonts w:ascii="Arial" w:eastAsia="Arial" w:hAnsi="Arial" w:cs="Arial"/>
                <w:b/>
                <w:bCs/>
                <w:color w:val="000000"/>
                <w:sz w:val="24"/>
                <w:szCs w:val="24"/>
              </w:rPr>
              <w:tab/>
            </w:r>
          </w:hyperlink>
          <w:r>
            <w:fldChar w:fldCharType="begin"/>
          </w:r>
          <w:r>
            <w:instrText xml:space="preserve"> PAGEREF _heading= \h </w:instrText>
          </w:r>
          <w:r>
            <w:fldChar w:fldCharType="separate"/>
          </w:r>
          <w:r>
            <w:rPr>
              <w:rFonts w:ascii="Arial" w:eastAsia="Arial" w:hAnsi="Arial" w:cs="Arial"/>
              <w:b/>
              <w:bCs/>
              <w:sz w:val="24"/>
              <w:szCs w:val="24"/>
            </w:rPr>
            <w:t>15</w:t>
          </w:r>
          <w:r>
            <w:fldChar w:fldCharType="end"/>
          </w:r>
          <w:r>
            <w:fldChar w:fldCharType="end"/>
          </w:r>
        </w:p>
      </w:sdtContent>
    </w:sdt>
    <w:p w14:paraId="33CB3340" w14:textId="15D71BBB" w:rsidR="00EC7D49" w:rsidRPr="00B06C92" w:rsidRDefault="00000000" w:rsidP="00B06C92">
      <w:pPr>
        <w:widowControl w:val="0"/>
        <w:tabs>
          <w:tab w:val="right" w:leader="dot" w:pos="9565"/>
        </w:tabs>
        <w:spacing w:before="60" w:line="360" w:lineRule="auto"/>
        <w:rPr>
          <w:rFonts w:ascii="Arial" w:eastAsia="Arial" w:hAnsi="Arial" w:cs="Arial"/>
          <w:b/>
          <w:bCs/>
          <w:color w:val="000000"/>
          <w:sz w:val="24"/>
          <w:szCs w:val="24"/>
        </w:rPr>
      </w:pPr>
      <w:r>
        <w:br w:type="page"/>
      </w:r>
      <w:r>
        <w:rPr>
          <w:rFonts w:ascii="Arial" w:eastAsia="Arial" w:hAnsi="Arial" w:cs="Arial"/>
          <w:sz w:val="24"/>
          <w:szCs w:val="24"/>
        </w:rPr>
        <w:br/>
      </w:r>
    </w:p>
    <w:p w14:paraId="1579F64B" w14:textId="21477241" w:rsidR="00EC7D49" w:rsidRDefault="00000000">
      <w:pPr>
        <w:shd w:val="clear" w:color="auto" w:fill="1F3864"/>
        <w:spacing w:after="200" w:line="360" w:lineRule="auto"/>
        <w:jc w:val="center"/>
        <w:rPr>
          <w:rFonts w:ascii="Arial" w:eastAsia="Arial" w:hAnsi="Arial" w:cs="Arial"/>
          <w:sz w:val="24"/>
          <w:szCs w:val="24"/>
        </w:rPr>
      </w:pPr>
      <w:r>
        <w:rPr>
          <w:rFonts w:ascii="Arial" w:eastAsia="Arial" w:hAnsi="Arial" w:cs="Arial"/>
          <w:b/>
          <w:bCs/>
          <w:color w:val="FFFFFF"/>
          <w:sz w:val="26"/>
          <w:szCs w:val="26"/>
        </w:rPr>
        <w:t xml:space="preserve">SECTION 1: STRATEGIC MANAGEMENT </w:t>
      </w:r>
      <w:r w:rsidR="00B06C92">
        <w:rPr>
          <w:rFonts w:ascii="Arial" w:eastAsia="Arial" w:hAnsi="Arial" w:cs="Arial"/>
          <w:b/>
          <w:bCs/>
          <w:color w:val="FFFFFF"/>
          <w:sz w:val="26"/>
          <w:szCs w:val="26"/>
        </w:rPr>
        <w:t>ANALYSIS (</w:t>
      </w:r>
      <w:r>
        <w:rPr>
          <w:rFonts w:ascii="Arial" w:eastAsia="Arial" w:hAnsi="Arial" w:cs="Arial"/>
          <w:b/>
          <w:bCs/>
          <w:color w:val="FFFFFF"/>
          <w:sz w:val="26"/>
          <w:szCs w:val="26"/>
        </w:rPr>
        <w:t>~4,000 words)</w:t>
      </w:r>
    </w:p>
    <w:p w14:paraId="02EA5F23" w14:textId="77777777" w:rsidR="00EC7D49" w:rsidRDefault="00000000">
      <w:pPr>
        <w:pStyle w:val="Heading1"/>
        <w:pBdr>
          <w:bottom w:val="single" w:sz="8" w:space="2" w:color="2E75B6"/>
        </w:pBdr>
        <w:spacing w:line="360" w:lineRule="auto"/>
        <w:rPr>
          <w:rFonts w:ascii="Arial" w:eastAsia="Arial" w:hAnsi="Arial" w:cs="Arial"/>
          <w:sz w:val="30"/>
          <w:szCs w:val="30"/>
        </w:rPr>
      </w:pPr>
      <w:r>
        <w:rPr>
          <w:rFonts w:ascii="Arial" w:eastAsia="Arial" w:hAnsi="Arial" w:cs="Arial"/>
          <w:sz w:val="30"/>
          <w:szCs w:val="30"/>
        </w:rPr>
        <w:t>1. Organisational Context and Overview</w:t>
      </w:r>
    </w:p>
    <w:p w14:paraId="7450648E" w14:textId="77777777" w:rsidR="00EC7D49" w:rsidRDefault="00000000">
      <w:pPr>
        <w:pStyle w:val="Heading2"/>
        <w:spacing w:line="360" w:lineRule="auto"/>
        <w:rPr>
          <w:rFonts w:ascii="Arial" w:eastAsia="Arial" w:hAnsi="Arial" w:cs="Arial"/>
          <w:sz w:val="26"/>
          <w:szCs w:val="26"/>
        </w:rPr>
      </w:pPr>
      <w:r>
        <w:rPr>
          <w:rFonts w:ascii="Arial" w:eastAsia="Arial" w:hAnsi="Arial" w:cs="Arial"/>
          <w:sz w:val="26"/>
          <w:szCs w:val="26"/>
        </w:rPr>
        <w:t>1.1 Company History and Overview</w:t>
      </w:r>
    </w:p>
    <w:p w14:paraId="4B2E872F"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 xml:space="preserve">Martin Eberhard and Marc </w:t>
      </w:r>
      <w:proofErr w:type="spellStart"/>
      <w:r>
        <w:rPr>
          <w:rFonts w:ascii="Arial" w:eastAsia="Arial" w:hAnsi="Arial" w:cs="Arial"/>
          <w:sz w:val="24"/>
          <w:szCs w:val="24"/>
        </w:rPr>
        <w:t>Tarpenning</w:t>
      </w:r>
      <w:proofErr w:type="spellEnd"/>
      <w:r>
        <w:rPr>
          <w:rFonts w:ascii="Arial" w:eastAsia="Arial" w:hAnsi="Arial" w:cs="Arial"/>
          <w:sz w:val="24"/>
          <w:szCs w:val="24"/>
        </w:rPr>
        <w:t xml:space="preserve"> started Tesla, </w:t>
      </w:r>
      <w:proofErr w:type="spellStart"/>
      <w:r>
        <w:rPr>
          <w:rFonts w:ascii="Arial" w:eastAsia="Arial" w:hAnsi="Arial" w:cs="Arial"/>
          <w:sz w:val="24"/>
          <w:szCs w:val="24"/>
        </w:rPr>
        <w:t>Inc</w:t>
      </w:r>
      <w:proofErr w:type="spellEnd"/>
      <w:r>
        <w:rPr>
          <w:rFonts w:ascii="Arial" w:eastAsia="Arial" w:hAnsi="Arial" w:cs="Arial"/>
          <w:sz w:val="24"/>
          <w:szCs w:val="24"/>
        </w:rPr>
        <w:t xml:space="preserve"> in 2003, and Elon Musk board chair and major investor joined in 2004. Musk later became Chief Executive Officer in 2008, which brought the company out of the niche EV </w:t>
      </w:r>
      <w:proofErr w:type="spellStart"/>
      <w:r>
        <w:rPr>
          <w:rFonts w:ascii="Arial" w:eastAsia="Arial" w:hAnsi="Arial" w:cs="Arial"/>
          <w:sz w:val="24"/>
          <w:szCs w:val="24"/>
        </w:rPr>
        <w:t>startup</w:t>
      </w:r>
      <w:proofErr w:type="spellEnd"/>
      <w:r>
        <w:rPr>
          <w:rFonts w:ascii="Arial" w:eastAsia="Arial" w:hAnsi="Arial" w:cs="Arial"/>
          <w:sz w:val="24"/>
          <w:szCs w:val="24"/>
        </w:rPr>
        <w:t xml:space="preserve"> to be one of the most valuable corporations in the world. Tesla became listed on NASDAQ in 2010, and its market capitalisation has surpassed the historic high of over $600 billion at the start of 2024, which signifies the largest growth of investor trust in the company's long-term plan (Tesla, Inc., 2024a). It has around 140,000 employees around the world and </w:t>
      </w:r>
      <w:proofErr w:type="spellStart"/>
      <w:r>
        <w:rPr>
          <w:rFonts w:ascii="Arial" w:eastAsia="Arial" w:hAnsi="Arial" w:cs="Arial"/>
          <w:sz w:val="24"/>
          <w:szCs w:val="24"/>
        </w:rPr>
        <w:t>Gigafactories</w:t>
      </w:r>
      <w:proofErr w:type="spellEnd"/>
      <w:r>
        <w:rPr>
          <w:rFonts w:ascii="Arial" w:eastAsia="Arial" w:hAnsi="Arial" w:cs="Arial"/>
          <w:sz w:val="24"/>
          <w:szCs w:val="24"/>
        </w:rPr>
        <w:t xml:space="preserve"> in California (USA), Nevada (USA), Shanghai (China), Berlin (Germany), and Austin (Texas) allowing regionalised production in the most convenient location (</w:t>
      </w:r>
      <w:proofErr w:type="spellStart"/>
      <w:r>
        <w:rPr>
          <w:rFonts w:ascii="Arial" w:eastAsia="Arial" w:hAnsi="Arial" w:cs="Arial"/>
          <w:sz w:val="24"/>
          <w:szCs w:val="24"/>
        </w:rPr>
        <w:t>Rothaermel</w:t>
      </w:r>
      <w:proofErr w:type="spellEnd"/>
      <w:r>
        <w:rPr>
          <w:rFonts w:ascii="Arial" w:eastAsia="Arial" w:hAnsi="Arial" w:cs="Arial"/>
          <w:sz w:val="24"/>
          <w:szCs w:val="24"/>
        </w:rPr>
        <w:t>, 2022).</w:t>
      </w:r>
    </w:p>
    <w:p w14:paraId="530500B2"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 xml:space="preserve">Tesla has two main business units, which include Automotive and Energy Generation and Storage, and these units market solar panels, solar roofs, </w:t>
      </w:r>
      <w:proofErr w:type="spellStart"/>
      <w:r>
        <w:rPr>
          <w:rFonts w:ascii="Arial" w:eastAsia="Arial" w:hAnsi="Arial" w:cs="Arial"/>
          <w:sz w:val="24"/>
          <w:szCs w:val="24"/>
        </w:rPr>
        <w:t>Powerwall</w:t>
      </w:r>
      <w:proofErr w:type="spellEnd"/>
      <w:r>
        <w:rPr>
          <w:rFonts w:ascii="Arial" w:eastAsia="Arial" w:hAnsi="Arial" w:cs="Arial"/>
          <w:sz w:val="24"/>
          <w:szCs w:val="24"/>
        </w:rPr>
        <w:t xml:space="preserve"> and </w:t>
      </w:r>
      <w:proofErr w:type="spellStart"/>
      <w:r>
        <w:rPr>
          <w:rFonts w:ascii="Arial" w:eastAsia="Arial" w:hAnsi="Arial" w:cs="Arial"/>
          <w:sz w:val="24"/>
          <w:szCs w:val="24"/>
        </w:rPr>
        <w:t>Megapack</w:t>
      </w:r>
      <w:proofErr w:type="spellEnd"/>
      <w:r>
        <w:rPr>
          <w:rFonts w:ascii="Arial" w:eastAsia="Arial" w:hAnsi="Arial" w:cs="Arial"/>
          <w:sz w:val="24"/>
          <w:szCs w:val="24"/>
        </w:rPr>
        <w:t xml:space="preserve"> battery systems, as well as Model S, Model 3, Model X, Model Y, and </w:t>
      </w:r>
      <w:proofErr w:type="spellStart"/>
      <w:r>
        <w:rPr>
          <w:rFonts w:ascii="Arial" w:eastAsia="Arial" w:hAnsi="Arial" w:cs="Arial"/>
          <w:sz w:val="24"/>
          <w:szCs w:val="24"/>
        </w:rPr>
        <w:t>Cybertruck</w:t>
      </w:r>
      <w:proofErr w:type="spellEnd"/>
      <w:r>
        <w:rPr>
          <w:rFonts w:ascii="Arial" w:eastAsia="Arial" w:hAnsi="Arial" w:cs="Arial"/>
          <w:sz w:val="24"/>
          <w:szCs w:val="24"/>
        </w:rPr>
        <w:t xml:space="preserve"> electric vehicles. In 2023, automotive revenues were about 83 percent of the total revenues, with the remaining 17 percent being energy and services (Tesla, Inc., 2024a). Tesla primarily competes on the high-end and mid-market segments of EV, which squarely challenges institutional legacy car manufacturers, including BMW, Mercedes-Benz, and more recently, EV-specific competitors like BYD, </w:t>
      </w:r>
      <w:proofErr w:type="spellStart"/>
      <w:r>
        <w:rPr>
          <w:rFonts w:ascii="Arial" w:eastAsia="Arial" w:hAnsi="Arial" w:cs="Arial"/>
          <w:sz w:val="24"/>
          <w:szCs w:val="24"/>
        </w:rPr>
        <w:t>Rivian</w:t>
      </w:r>
      <w:proofErr w:type="spellEnd"/>
      <w:r>
        <w:rPr>
          <w:rFonts w:ascii="Arial" w:eastAsia="Arial" w:hAnsi="Arial" w:cs="Arial"/>
          <w:sz w:val="24"/>
          <w:szCs w:val="24"/>
        </w:rPr>
        <w:t>, and Lucid Motors.</w:t>
      </w:r>
    </w:p>
    <w:p w14:paraId="01F898B7" w14:textId="77777777" w:rsidR="00EC7D49" w:rsidRDefault="00000000">
      <w:pPr>
        <w:pStyle w:val="Heading2"/>
        <w:spacing w:line="360" w:lineRule="auto"/>
        <w:rPr>
          <w:rFonts w:ascii="Arial" w:eastAsia="Arial" w:hAnsi="Arial" w:cs="Arial"/>
          <w:sz w:val="26"/>
          <w:szCs w:val="26"/>
        </w:rPr>
      </w:pPr>
      <w:r>
        <w:rPr>
          <w:rFonts w:ascii="Arial" w:eastAsia="Arial" w:hAnsi="Arial" w:cs="Arial"/>
          <w:sz w:val="26"/>
          <w:szCs w:val="26"/>
        </w:rPr>
        <w:t>1.2 Mission, Vision and Business Model</w:t>
      </w:r>
    </w:p>
    <w:p w14:paraId="3907551C"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The corporate mission of Tesla is to speed up the process of the world becoming sustainable energy (Tesla, Inc., 2024b). The mission is one that goes beyond conventional automotive space making Tesla a technology company in terms of sustainability. Its vision involves a closed loop value chain that is anchored on renewable energy and integrated ecosystem of electric cars, energy storage, and solar generation. The business model of Tesla is quite direct-to-consumer: the company does not rely on the established dealerships, selling cars only in the company-owned showrooms and the company-owned online platform. This model improves the level of capturing margins, controlling customer experience, and data collection (</w:t>
      </w:r>
      <w:proofErr w:type="spellStart"/>
      <w:r>
        <w:rPr>
          <w:rFonts w:ascii="Arial" w:eastAsia="Arial" w:hAnsi="Arial" w:cs="Arial"/>
          <w:sz w:val="24"/>
          <w:szCs w:val="24"/>
        </w:rPr>
        <w:t>Teece</w:t>
      </w:r>
      <w:proofErr w:type="spellEnd"/>
      <w:r>
        <w:rPr>
          <w:rFonts w:ascii="Arial" w:eastAsia="Arial" w:hAnsi="Arial" w:cs="Arial"/>
          <w:sz w:val="24"/>
          <w:szCs w:val="24"/>
        </w:rPr>
        <w:t>, 2020). Software as a Service (SaaS) revenues generated through Full Self-Driving (FSD) subscriptions and regulatory credit sales augment the revenues and made up 1.79 billion dollars in 2023 ( Tesla, Inc., 2024a). Tesla has a first-mover competitive advantage in the industry, due to the basics of scalable EV manufacturing and charging infrastructure, but increasing competitive entry is increasingly reducing the benefits of the first-mover competitive advantage.</w:t>
      </w:r>
      <w:r>
        <w:br w:type="page"/>
      </w:r>
    </w:p>
    <w:p w14:paraId="6958E897" w14:textId="77777777" w:rsidR="00EC7D49" w:rsidRDefault="00EC7D49">
      <w:pPr>
        <w:spacing w:before="60" w:after="60" w:line="360" w:lineRule="auto"/>
        <w:jc w:val="both"/>
        <w:rPr>
          <w:rFonts w:ascii="Arial" w:eastAsia="Arial" w:hAnsi="Arial" w:cs="Arial"/>
          <w:sz w:val="24"/>
          <w:szCs w:val="24"/>
        </w:rPr>
      </w:pPr>
    </w:p>
    <w:p w14:paraId="12DFDC66" w14:textId="77777777" w:rsidR="00EC7D49" w:rsidRDefault="00EC7D49">
      <w:pPr>
        <w:spacing w:line="360" w:lineRule="auto"/>
        <w:rPr>
          <w:rFonts w:ascii="Arial" w:eastAsia="Arial" w:hAnsi="Arial" w:cs="Arial"/>
          <w:sz w:val="24"/>
          <w:szCs w:val="24"/>
        </w:rPr>
      </w:pPr>
    </w:p>
    <w:p w14:paraId="3116EBFA" w14:textId="77777777" w:rsidR="00EC7D49" w:rsidRDefault="00000000">
      <w:pPr>
        <w:pStyle w:val="Heading1"/>
        <w:pBdr>
          <w:bottom w:val="single" w:sz="8" w:space="2" w:color="2E75B6"/>
        </w:pBdr>
        <w:spacing w:line="360" w:lineRule="auto"/>
        <w:rPr>
          <w:rFonts w:ascii="Arial" w:eastAsia="Arial" w:hAnsi="Arial" w:cs="Arial"/>
          <w:sz w:val="30"/>
          <w:szCs w:val="30"/>
        </w:rPr>
      </w:pPr>
      <w:r>
        <w:rPr>
          <w:rFonts w:ascii="Arial" w:eastAsia="Arial" w:hAnsi="Arial" w:cs="Arial"/>
          <w:sz w:val="30"/>
          <w:szCs w:val="30"/>
        </w:rPr>
        <w:t>2. External and Internal Environment Analysis</w:t>
      </w:r>
    </w:p>
    <w:p w14:paraId="5767B521" w14:textId="77777777" w:rsidR="00EC7D49" w:rsidRDefault="00000000">
      <w:pPr>
        <w:pStyle w:val="Heading2"/>
        <w:spacing w:line="360" w:lineRule="auto"/>
        <w:rPr>
          <w:rFonts w:ascii="Arial" w:eastAsia="Arial" w:hAnsi="Arial" w:cs="Arial"/>
          <w:sz w:val="26"/>
          <w:szCs w:val="26"/>
        </w:rPr>
      </w:pPr>
      <w:r>
        <w:rPr>
          <w:rFonts w:ascii="Arial" w:eastAsia="Arial" w:hAnsi="Arial" w:cs="Arial"/>
          <w:sz w:val="26"/>
          <w:szCs w:val="26"/>
        </w:rPr>
        <w:t>2.1 PESTEL Analysis</w:t>
      </w:r>
    </w:p>
    <w:p w14:paraId="409C8EA0" w14:textId="77777777" w:rsidR="00EC7D49" w:rsidRPr="00B06C92" w:rsidRDefault="00000000">
      <w:pPr>
        <w:spacing w:line="360" w:lineRule="auto"/>
        <w:jc w:val="both"/>
        <w:rPr>
          <w:rFonts w:ascii="Arial" w:eastAsia="Arial" w:hAnsi="Arial" w:cs="Arial"/>
          <w:b/>
          <w:bCs/>
          <w:sz w:val="24"/>
          <w:szCs w:val="24"/>
        </w:rPr>
      </w:pPr>
      <w:r w:rsidRPr="00B06C92">
        <w:rPr>
          <w:rFonts w:ascii="Arial" w:eastAsia="Arial" w:hAnsi="Arial" w:cs="Arial"/>
          <w:b/>
          <w:bCs/>
          <w:sz w:val="24"/>
          <w:szCs w:val="24"/>
        </w:rPr>
        <w:t>Political Factors</w:t>
      </w:r>
    </w:p>
    <w:p w14:paraId="51186F95" w14:textId="77777777" w:rsidR="00EC7D49"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governmental policies influence the strategic environment of Tesla significantly. The addressable domestic market of Tesla is highly increased by the United States Inflation Reduction Act (IRA) of 2022, which includes EV tax credits up to 7,500 per vehicle in case of qualifying purchases (IEA, 2024). The decision of the European Union to bar internal combustion engine (ICE) vehicle sales by the year 2035 is another catalyst that drives the adoption of EV in the second-largest market of Tesla. On the other hand, there are geopolitical unrests especially between the United States and China, which pose tariff threats to the Shanghai </w:t>
      </w:r>
      <w:proofErr w:type="spellStart"/>
      <w:r>
        <w:rPr>
          <w:rFonts w:ascii="Arial" w:eastAsia="Arial" w:hAnsi="Arial" w:cs="Arial"/>
          <w:sz w:val="24"/>
          <w:szCs w:val="24"/>
        </w:rPr>
        <w:t>Gigafactory</w:t>
      </w:r>
      <w:proofErr w:type="spellEnd"/>
      <w:r>
        <w:rPr>
          <w:rFonts w:ascii="Arial" w:eastAsia="Arial" w:hAnsi="Arial" w:cs="Arial"/>
          <w:sz w:val="24"/>
          <w:szCs w:val="24"/>
        </w:rPr>
        <w:t xml:space="preserve"> exports of Tesla. The targeted tariffs on Chinese EVs, introduced by the Biden administration (100% tariff in 2024), introduce competitive advantages in </w:t>
      </w:r>
      <w:proofErr w:type="spellStart"/>
      <w:r>
        <w:rPr>
          <w:rFonts w:ascii="Arial" w:eastAsia="Arial" w:hAnsi="Arial" w:cs="Arial"/>
          <w:sz w:val="24"/>
          <w:szCs w:val="24"/>
        </w:rPr>
        <w:t>favor</w:t>
      </w:r>
      <w:proofErr w:type="spellEnd"/>
      <w:r>
        <w:rPr>
          <w:rFonts w:ascii="Arial" w:eastAsia="Arial" w:hAnsi="Arial" w:cs="Arial"/>
          <w:sz w:val="24"/>
          <w:szCs w:val="24"/>
        </w:rPr>
        <w:t xml:space="preserve"> of Tesla within the United States, as well as increase the complexity of its activity within the globally networked supply chain (McKinsey &amp; Company, 2024).</w:t>
      </w:r>
    </w:p>
    <w:p w14:paraId="06F6DC27" w14:textId="77777777" w:rsidR="00B06C92" w:rsidRDefault="00B06C92">
      <w:pPr>
        <w:spacing w:line="360" w:lineRule="auto"/>
        <w:jc w:val="both"/>
        <w:rPr>
          <w:rFonts w:ascii="Arial" w:eastAsia="Arial" w:hAnsi="Arial" w:cs="Arial"/>
          <w:sz w:val="24"/>
          <w:szCs w:val="24"/>
        </w:rPr>
      </w:pPr>
    </w:p>
    <w:p w14:paraId="317D90B4" w14:textId="77777777" w:rsidR="00EC7D49" w:rsidRPr="00B06C92" w:rsidRDefault="00000000">
      <w:pPr>
        <w:spacing w:line="360" w:lineRule="auto"/>
        <w:jc w:val="both"/>
        <w:rPr>
          <w:rFonts w:ascii="Arial" w:eastAsia="Arial" w:hAnsi="Arial" w:cs="Arial"/>
          <w:b/>
          <w:bCs/>
          <w:sz w:val="24"/>
          <w:szCs w:val="24"/>
        </w:rPr>
      </w:pPr>
      <w:r w:rsidRPr="00B06C92">
        <w:rPr>
          <w:rFonts w:ascii="Arial" w:eastAsia="Arial" w:hAnsi="Arial" w:cs="Arial"/>
          <w:b/>
          <w:bCs/>
          <w:sz w:val="24"/>
          <w:szCs w:val="24"/>
        </w:rPr>
        <w:t>Economic Factors</w:t>
      </w:r>
    </w:p>
    <w:p w14:paraId="3925209C" w14:textId="77777777" w:rsidR="00EC7D49" w:rsidRDefault="00000000">
      <w:pPr>
        <w:spacing w:line="360" w:lineRule="auto"/>
        <w:jc w:val="both"/>
        <w:rPr>
          <w:rFonts w:ascii="Arial" w:eastAsia="Arial" w:hAnsi="Arial" w:cs="Arial"/>
          <w:sz w:val="24"/>
          <w:szCs w:val="24"/>
        </w:rPr>
      </w:pPr>
      <w:r>
        <w:rPr>
          <w:rFonts w:ascii="Arial" w:eastAsia="Arial" w:hAnsi="Arial" w:cs="Arial"/>
          <w:sz w:val="24"/>
          <w:szCs w:val="24"/>
        </w:rPr>
        <w:t>The macroeconomic climate in the world in 2023-2024 had both positive and negative signals to Tesla. Increasing interest rates, especially in the United States and Europe, burdened the cost of consumer financing and lowered demand of expensive EVs (IMF, 2024). Tesla, in turn, adopted back to back price cuts across the year 2023, which squeezed the gross margins by 25.6 to 17.6 year-on-year (Tesla, Inc., 2024a). Yet, the favourable long-term trends in the economy, such as the decreasing price of battery packs (which is expected to hit as low as $80/kWh by 2030, compared to the current 139/kWh in 2023), contribute to the profitability increase in the further model generations (</w:t>
      </w:r>
      <w:proofErr w:type="spellStart"/>
      <w:r>
        <w:rPr>
          <w:rFonts w:ascii="Arial" w:eastAsia="Arial" w:hAnsi="Arial" w:cs="Arial"/>
          <w:sz w:val="24"/>
          <w:szCs w:val="24"/>
        </w:rPr>
        <w:t>BloombergNEF</w:t>
      </w:r>
      <w:proofErr w:type="spellEnd"/>
      <w:r>
        <w:rPr>
          <w:rFonts w:ascii="Arial" w:eastAsia="Arial" w:hAnsi="Arial" w:cs="Arial"/>
          <w:sz w:val="24"/>
          <w:szCs w:val="24"/>
        </w:rPr>
        <w:t>, 2024). The potential of emerging market economic development, especially in India and southeast Asia is a potential source of high demand growth.</w:t>
      </w:r>
    </w:p>
    <w:p w14:paraId="37D4F548" w14:textId="77777777" w:rsidR="00B06C92" w:rsidRDefault="00B06C92">
      <w:pPr>
        <w:spacing w:line="360" w:lineRule="auto"/>
        <w:jc w:val="both"/>
        <w:rPr>
          <w:rFonts w:ascii="Arial" w:eastAsia="Arial" w:hAnsi="Arial" w:cs="Arial"/>
          <w:sz w:val="24"/>
          <w:szCs w:val="24"/>
        </w:rPr>
      </w:pPr>
    </w:p>
    <w:p w14:paraId="50AE89AF" w14:textId="77777777" w:rsidR="00B06C92" w:rsidRDefault="00B06C92">
      <w:pPr>
        <w:spacing w:line="360" w:lineRule="auto"/>
        <w:jc w:val="both"/>
        <w:rPr>
          <w:rFonts w:ascii="Arial" w:eastAsia="Arial" w:hAnsi="Arial" w:cs="Arial"/>
          <w:sz w:val="24"/>
          <w:szCs w:val="24"/>
        </w:rPr>
      </w:pPr>
    </w:p>
    <w:p w14:paraId="33518985" w14:textId="77777777" w:rsidR="00B06C92" w:rsidRDefault="00B06C92">
      <w:pPr>
        <w:spacing w:line="360" w:lineRule="auto"/>
        <w:jc w:val="both"/>
        <w:rPr>
          <w:rFonts w:ascii="Arial" w:eastAsia="Arial" w:hAnsi="Arial" w:cs="Arial"/>
          <w:sz w:val="24"/>
          <w:szCs w:val="24"/>
        </w:rPr>
      </w:pPr>
    </w:p>
    <w:p w14:paraId="08FA3C04" w14:textId="77777777" w:rsidR="00B06C92" w:rsidRDefault="00B06C92">
      <w:pPr>
        <w:spacing w:line="360" w:lineRule="auto"/>
        <w:jc w:val="both"/>
        <w:rPr>
          <w:rFonts w:ascii="Arial" w:eastAsia="Arial" w:hAnsi="Arial" w:cs="Arial"/>
          <w:sz w:val="24"/>
          <w:szCs w:val="24"/>
        </w:rPr>
      </w:pPr>
    </w:p>
    <w:p w14:paraId="7740320F" w14:textId="77777777" w:rsidR="00B06C92" w:rsidRDefault="00B06C92">
      <w:pPr>
        <w:spacing w:line="360" w:lineRule="auto"/>
        <w:jc w:val="both"/>
        <w:rPr>
          <w:rFonts w:ascii="Arial" w:eastAsia="Arial" w:hAnsi="Arial" w:cs="Arial"/>
          <w:sz w:val="24"/>
          <w:szCs w:val="24"/>
        </w:rPr>
      </w:pPr>
    </w:p>
    <w:p w14:paraId="08E7C280" w14:textId="77777777" w:rsidR="00B06C92" w:rsidRDefault="00B06C92">
      <w:pPr>
        <w:spacing w:line="360" w:lineRule="auto"/>
        <w:jc w:val="both"/>
        <w:rPr>
          <w:rFonts w:ascii="Arial" w:eastAsia="Arial" w:hAnsi="Arial" w:cs="Arial"/>
          <w:sz w:val="24"/>
          <w:szCs w:val="24"/>
        </w:rPr>
      </w:pPr>
    </w:p>
    <w:p w14:paraId="6060C4A1" w14:textId="77777777" w:rsidR="00EC7D49" w:rsidRPr="00B06C92" w:rsidRDefault="00000000">
      <w:pPr>
        <w:spacing w:line="360" w:lineRule="auto"/>
        <w:jc w:val="both"/>
        <w:rPr>
          <w:rFonts w:ascii="Arial" w:eastAsia="Arial" w:hAnsi="Arial" w:cs="Arial"/>
          <w:b/>
          <w:bCs/>
          <w:sz w:val="24"/>
          <w:szCs w:val="24"/>
        </w:rPr>
      </w:pPr>
      <w:r w:rsidRPr="00B06C92">
        <w:rPr>
          <w:rFonts w:ascii="Arial" w:eastAsia="Arial" w:hAnsi="Arial" w:cs="Arial"/>
          <w:b/>
          <w:bCs/>
          <w:sz w:val="24"/>
          <w:szCs w:val="24"/>
        </w:rPr>
        <w:t>Social Factors</w:t>
      </w:r>
    </w:p>
    <w:p w14:paraId="7B644B06" w14:textId="77777777" w:rsidR="00EC7D49" w:rsidRDefault="00000000">
      <w:pPr>
        <w:spacing w:line="360" w:lineRule="auto"/>
        <w:jc w:val="both"/>
        <w:rPr>
          <w:rFonts w:ascii="Arial" w:eastAsia="Arial" w:hAnsi="Arial" w:cs="Arial"/>
          <w:sz w:val="24"/>
          <w:szCs w:val="24"/>
        </w:rPr>
      </w:pPr>
      <w:r>
        <w:rPr>
          <w:rFonts w:ascii="Arial" w:eastAsia="Arial" w:hAnsi="Arial" w:cs="Arial"/>
          <w:sz w:val="24"/>
          <w:szCs w:val="24"/>
        </w:rPr>
        <w:t>An increasing level of awareness of the issue of climate change in the society, as well as an increased environmental awareness among younger groups of consumers, provides a positive demand context in the sustainability story of Tesla (Pedersen et al., 2021). Millennials and Generation Z consumers are the customers whose brand resonates with Tesla most of all due to their consideration of both environmental standards and technological innovation. But Elon Musk continues to create reputational risk through his increasingly polarising personal image; in 2024, surveys showing a significant proportion of potential buyers as having issues with brand perception as a purchase deterrent (</w:t>
      </w:r>
      <w:proofErr w:type="spellStart"/>
      <w:r>
        <w:rPr>
          <w:rFonts w:ascii="Arial" w:eastAsia="Arial" w:hAnsi="Arial" w:cs="Arial"/>
          <w:sz w:val="24"/>
          <w:szCs w:val="24"/>
        </w:rPr>
        <w:t>Statista</w:t>
      </w:r>
      <w:proofErr w:type="spellEnd"/>
      <w:r>
        <w:rPr>
          <w:rFonts w:ascii="Arial" w:eastAsia="Arial" w:hAnsi="Arial" w:cs="Arial"/>
          <w:sz w:val="24"/>
          <w:szCs w:val="24"/>
        </w:rPr>
        <w:t xml:space="preserve">, 2024). Social factors would also involve increased scrutiny of labour relations, as the work of unions at </w:t>
      </w:r>
      <w:proofErr w:type="spellStart"/>
      <w:r>
        <w:rPr>
          <w:rFonts w:ascii="Arial" w:eastAsia="Arial" w:hAnsi="Arial" w:cs="Arial"/>
          <w:sz w:val="24"/>
          <w:szCs w:val="24"/>
        </w:rPr>
        <w:t>Gigafactory</w:t>
      </w:r>
      <w:proofErr w:type="spellEnd"/>
      <w:r>
        <w:rPr>
          <w:rFonts w:ascii="Arial" w:eastAsia="Arial" w:hAnsi="Arial" w:cs="Arial"/>
          <w:sz w:val="24"/>
          <w:szCs w:val="24"/>
        </w:rPr>
        <w:t xml:space="preserve"> Nevada was widely covered in the media in 2024.</w:t>
      </w:r>
    </w:p>
    <w:p w14:paraId="0CEE1030" w14:textId="77777777" w:rsidR="00B06C92" w:rsidRDefault="00B06C92">
      <w:pPr>
        <w:spacing w:line="360" w:lineRule="auto"/>
        <w:jc w:val="both"/>
        <w:rPr>
          <w:rFonts w:ascii="Arial" w:eastAsia="Arial" w:hAnsi="Arial" w:cs="Arial"/>
          <w:sz w:val="24"/>
          <w:szCs w:val="24"/>
        </w:rPr>
      </w:pPr>
    </w:p>
    <w:p w14:paraId="519F0CA8" w14:textId="77777777" w:rsidR="00EC7D49" w:rsidRPr="00B06C92" w:rsidRDefault="00000000">
      <w:pPr>
        <w:spacing w:line="360" w:lineRule="auto"/>
        <w:jc w:val="both"/>
        <w:rPr>
          <w:rFonts w:ascii="Arial" w:eastAsia="Arial" w:hAnsi="Arial" w:cs="Arial"/>
          <w:b/>
          <w:bCs/>
          <w:sz w:val="24"/>
          <w:szCs w:val="24"/>
        </w:rPr>
      </w:pPr>
      <w:r w:rsidRPr="00B06C92">
        <w:rPr>
          <w:rFonts w:ascii="Arial" w:eastAsia="Arial" w:hAnsi="Arial" w:cs="Arial"/>
          <w:b/>
          <w:bCs/>
          <w:sz w:val="24"/>
          <w:szCs w:val="24"/>
        </w:rPr>
        <w:t>Technological Factors</w:t>
      </w:r>
    </w:p>
    <w:p w14:paraId="5DB55D06" w14:textId="77777777" w:rsidR="00EC7D49" w:rsidRDefault="00000000">
      <w:pPr>
        <w:spacing w:line="360" w:lineRule="auto"/>
        <w:jc w:val="both"/>
        <w:rPr>
          <w:rFonts w:ascii="Arial" w:eastAsia="Arial" w:hAnsi="Arial" w:cs="Arial"/>
          <w:sz w:val="24"/>
          <w:szCs w:val="24"/>
        </w:rPr>
      </w:pPr>
      <w:r>
        <w:rPr>
          <w:rFonts w:ascii="Arial" w:eastAsia="Arial" w:hAnsi="Arial" w:cs="Arial"/>
          <w:sz w:val="24"/>
          <w:szCs w:val="24"/>
        </w:rPr>
        <w:t>The basis of the competitive strategy of Tesla is technology. Its Full Self-Driving (FSD) software, with version 12 running at an early autonomous neural network architecture, puts Tesla in the top of autonomous vehicle technology (Tesla, Inc., 2024b). The use of Over-the-Air (OTA) software updates also allows constant product improvement, without the need to recall the product physically, a feature never seen before with the traditional automakers. Tesla has an in-house battery cell, the 4680, which claims a 16 percent range improvement and 14 percent price decrease over the earlier cells, which was a major breakthrough in manufacturing technology (Volkswagen Group, 2023). Tesla has artificial intelligence investments such as the Dojo supercomputer that trains self-driving neural networks, which strengthen technology moat.</w:t>
      </w:r>
    </w:p>
    <w:p w14:paraId="3DA04AD2" w14:textId="77777777" w:rsidR="00B06C92" w:rsidRDefault="00B06C92">
      <w:pPr>
        <w:spacing w:line="360" w:lineRule="auto"/>
        <w:jc w:val="both"/>
        <w:rPr>
          <w:rFonts w:ascii="Arial" w:eastAsia="Arial" w:hAnsi="Arial" w:cs="Arial"/>
          <w:sz w:val="24"/>
          <w:szCs w:val="24"/>
        </w:rPr>
      </w:pPr>
    </w:p>
    <w:p w14:paraId="11BEA0C6" w14:textId="77777777" w:rsidR="00EC7D49" w:rsidRPr="00B06C92" w:rsidRDefault="00000000">
      <w:pPr>
        <w:spacing w:line="360" w:lineRule="auto"/>
        <w:jc w:val="both"/>
        <w:rPr>
          <w:rFonts w:ascii="Arial" w:eastAsia="Arial" w:hAnsi="Arial" w:cs="Arial"/>
          <w:b/>
          <w:bCs/>
          <w:sz w:val="24"/>
          <w:szCs w:val="24"/>
        </w:rPr>
      </w:pPr>
      <w:r w:rsidRPr="00B06C92">
        <w:rPr>
          <w:rFonts w:ascii="Arial" w:eastAsia="Arial" w:hAnsi="Arial" w:cs="Arial"/>
          <w:b/>
          <w:bCs/>
          <w:sz w:val="24"/>
          <w:szCs w:val="24"/>
        </w:rPr>
        <w:t>Environmental Factors</w:t>
      </w:r>
    </w:p>
    <w:p w14:paraId="592A8D7E" w14:textId="77777777" w:rsidR="00EC7D49"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All the value propositions of Tesla are based on environmental sustainability. The ongoing global climate crisis that has been gaining momentum and seen new world-record temperatures in 2023 (NASA, 2024) supports administrative pressure on auto emissions and speeds up EV adoption. Tesla records Scope 1 and Scope 2 carbon emission, which have improved compared to the sales of vehicles, are questionable, based on the carbon intensity of construction and lithium mining in </w:t>
      </w:r>
      <w:proofErr w:type="spellStart"/>
      <w:r>
        <w:rPr>
          <w:rFonts w:ascii="Arial" w:eastAsia="Arial" w:hAnsi="Arial" w:cs="Arial"/>
          <w:sz w:val="24"/>
          <w:szCs w:val="24"/>
        </w:rPr>
        <w:t>Gigafactory</w:t>
      </w:r>
      <w:proofErr w:type="spellEnd"/>
      <w:r>
        <w:rPr>
          <w:rFonts w:ascii="Arial" w:eastAsia="Arial" w:hAnsi="Arial" w:cs="Arial"/>
          <w:sz w:val="24"/>
          <w:szCs w:val="24"/>
        </w:rPr>
        <w:t xml:space="preserve"> (</w:t>
      </w:r>
      <w:proofErr w:type="spellStart"/>
      <w:r>
        <w:rPr>
          <w:rFonts w:ascii="Arial" w:eastAsia="Arial" w:hAnsi="Arial" w:cs="Arial"/>
          <w:sz w:val="24"/>
          <w:szCs w:val="24"/>
        </w:rPr>
        <w:t>GreenPeace</w:t>
      </w:r>
      <w:proofErr w:type="spellEnd"/>
      <w:r>
        <w:rPr>
          <w:rFonts w:ascii="Arial" w:eastAsia="Arial" w:hAnsi="Arial" w:cs="Arial"/>
          <w:sz w:val="24"/>
          <w:szCs w:val="24"/>
        </w:rPr>
        <w:t>, 2023). The environmental risks of the supply chain, such as the cobalt sourcing in the Democratic Republic of Congo, water use in lithium mining, etc., are serious sustainability issues that should be taken into consideration in advance.</w:t>
      </w:r>
    </w:p>
    <w:p w14:paraId="5082F224" w14:textId="77777777" w:rsidR="00EC7D49" w:rsidRPr="00B06C92" w:rsidRDefault="00000000">
      <w:pPr>
        <w:spacing w:line="360" w:lineRule="auto"/>
        <w:jc w:val="both"/>
        <w:rPr>
          <w:rFonts w:ascii="Arial" w:eastAsia="Arial" w:hAnsi="Arial" w:cs="Arial"/>
          <w:b/>
          <w:bCs/>
          <w:sz w:val="24"/>
          <w:szCs w:val="24"/>
        </w:rPr>
      </w:pPr>
      <w:r w:rsidRPr="00B06C92">
        <w:rPr>
          <w:rFonts w:ascii="Arial" w:eastAsia="Arial" w:hAnsi="Arial" w:cs="Arial"/>
          <w:b/>
          <w:bCs/>
          <w:sz w:val="24"/>
          <w:szCs w:val="24"/>
        </w:rPr>
        <w:t>Legal Factors</w:t>
      </w:r>
    </w:p>
    <w:p w14:paraId="4A9020F9" w14:textId="77777777" w:rsidR="00EC7D49" w:rsidRDefault="00000000">
      <w:pPr>
        <w:spacing w:line="360" w:lineRule="auto"/>
        <w:jc w:val="both"/>
        <w:rPr>
          <w:rFonts w:ascii="Arial" w:eastAsia="Arial" w:hAnsi="Arial" w:cs="Arial"/>
          <w:sz w:val="24"/>
          <w:szCs w:val="24"/>
        </w:rPr>
      </w:pPr>
      <w:r>
        <w:rPr>
          <w:rFonts w:ascii="Arial" w:eastAsia="Arial" w:hAnsi="Arial" w:cs="Arial"/>
          <w:sz w:val="24"/>
          <w:szCs w:val="24"/>
        </w:rPr>
        <w:t>Tesla is a company with a presence in various regulatory jurisdictions, which makes it difficult to comply with legal requirements. The law of autonomous vehicles is not yet unified worldwide, as California only allows driverless testing, but full-scale commercial autonomous working approval is still pending (NHTSA, 2023). Liability of products that relate to the accidents caused by Autopilot has led to continuous law suits and regulatory enquiries. The existence of data privacy laws, such as GDPR in Europe and state laws in the United States, means that Tesla vehicle data collection practices must comply with the law, which produce about 500 million miles of driving data every week (Tesla, Inc., 2024b).</w:t>
      </w:r>
    </w:p>
    <w:p w14:paraId="446753FA" w14:textId="77777777" w:rsidR="00EC7D49" w:rsidRDefault="00EC7D49">
      <w:pPr>
        <w:spacing w:line="360" w:lineRule="auto"/>
        <w:rPr>
          <w:rFonts w:ascii="Arial" w:eastAsia="Arial" w:hAnsi="Arial" w:cs="Arial"/>
          <w:sz w:val="24"/>
          <w:szCs w:val="24"/>
        </w:rPr>
      </w:pPr>
    </w:p>
    <w:p w14:paraId="4B0D6AB2" w14:textId="77777777" w:rsidR="00EC7D49" w:rsidRDefault="00000000">
      <w:pPr>
        <w:pStyle w:val="Heading2"/>
        <w:spacing w:line="360" w:lineRule="auto"/>
        <w:rPr>
          <w:rFonts w:ascii="Arial" w:eastAsia="Arial" w:hAnsi="Arial" w:cs="Arial"/>
          <w:sz w:val="26"/>
          <w:szCs w:val="26"/>
        </w:rPr>
      </w:pPr>
      <w:r>
        <w:rPr>
          <w:rFonts w:ascii="Arial" w:eastAsia="Arial" w:hAnsi="Arial" w:cs="Arial"/>
          <w:sz w:val="26"/>
          <w:szCs w:val="26"/>
        </w:rPr>
        <w:t>2.2 Critical Success Factors and Strategic Challenges</w:t>
      </w:r>
    </w:p>
    <w:p w14:paraId="5CC31670"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The battery technology, the scale of the charging infrastructure, the software and connectivity aspects, the manufacturing cost-effectiveness, and the brand differentiation are the critical success factors (CSFs) in the global EV industry (Johnson et al., 2023). The management of Tesla in the first four dimensions was, in the past, an impossible competitive moat. Nevertheless, the rise of BYD as the largest EV visitor in the world in Q4 2023 is an indication that the competition has taken a structural change. The most plausible threat to the long-term presence of Tesla in the markets is the vertical integration of BYD, exclusive Blade Battery technology, and low pricing in new markets (Financial Times, 2024).</w:t>
      </w:r>
    </w:p>
    <w:p w14:paraId="4340B67B"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 xml:space="preserve">Other strategic issues are the ability to retain talent in the extremely competitive technology labour market, regulatory unpredictability given the possibility of autonomous driving certification, and the resources-intensive aspect of the </w:t>
      </w:r>
      <w:proofErr w:type="spellStart"/>
      <w:r>
        <w:rPr>
          <w:rFonts w:ascii="Arial" w:eastAsia="Arial" w:hAnsi="Arial" w:cs="Arial"/>
          <w:sz w:val="24"/>
          <w:szCs w:val="24"/>
        </w:rPr>
        <w:t>Gigafactory</w:t>
      </w:r>
      <w:proofErr w:type="spellEnd"/>
      <w:r>
        <w:rPr>
          <w:rFonts w:ascii="Arial" w:eastAsia="Arial" w:hAnsi="Arial" w:cs="Arial"/>
          <w:sz w:val="24"/>
          <w:szCs w:val="24"/>
        </w:rPr>
        <w:t xml:space="preserve"> expansion programmes. The capital expenditure obligation of Tesla of $15 billion between 2024-2025 requires a strong free cash flow generation, which is being pressured by the margin compression strategies (Tesla, Inc., 2024a).</w:t>
      </w:r>
    </w:p>
    <w:p w14:paraId="7A868DAE" w14:textId="77777777" w:rsidR="00B06C92" w:rsidRDefault="00B06C92">
      <w:pPr>
        <w:spacing w:before="60" w:after="60" w:line="360" w:lineRule="auto"/>
        <w:jc w:val="both"/>
        <w:rPr>
          <w:rFonts w:ascii="Arial" w:eastAsia="Arial" w:hAnsi="Arial" w:cs="Arial"/>
          <w:sz w:val="24"/>
          <w:szCs w:val="24"/>
        </w:rPr>
      </w:pPr>
    </w:p>
    <w:p w14:paraId="7F65ECB4" w14:textId="77777777" w:rsidR="00B06C92" w:rsidRDefault="00B06C92">
      <w:pPr>
        <w:spacing w:before="60" w:after="60" w:line="360" w:lineRule="auto"/>
        <w:jc w:val="both"/>
        <w:rPr>
          <w:rFonts w:ascii="Arial" w:eastAsia="Arial" w:hAnsi="Arial" w:cs="Arial"/>
          <w:sz w:val="24"/>
          <w:szCs w:val="24"/>
        </w:rPr>
      </w:pPr>
    </w:p>
    <w:p w14:paraId="40BF071A" w14:textId="77777777" w:rsidR="00B06C92" w:rsidRDefault="00B06C92">
      <w:pPr>
        <w:spacing w:before="60" w:after="60" w:line="360" w:lineRule="auto"/>
        <w:jc w:val="both"/>
        <w:rPr>
          <w:rFonts w:ascii="Arial" w:eastAsia="Arial" w:hAnsi="Arial" w:cs="Arial"/>
          <w:sz w:val="24"/>
          <w:szCs w:val="24"/>
        </w:rPr>
      </w:pPr>
    </w:p>
    <w:p w14:paraId="04D6B6E0" w14:textId="77777777" w:rsidR="00B06C92" w:rsidRDefault="00B06C92">
      <w:pPr>
        <w:spacing w:before="60" w:after="60" w:line="360" w:lineRule="auto"/>
        <w:jc w:val="both"/>
        <w:rPr>
          <w:rFonts w:ascii="Arial" w:eastAsia="Arial" w:hAnsi="Arial" w:cs="Arial"/>
          <w:sz w:val="24"/>
          <w:szCs w:val="24"/>
        </w:rPr>
      </w:pPr>
    </w:p>
    <w:p w14:paraId="7399DBC7" w14:textId="77777777" w:rsidR="00B06C92" w:rsidRDefault="00B06C92">
      <w:pPr>
        <w:spacing w:before="60" w:after="60" w:line="360" w:lineRule="auto"/>
        <w:jc w:val="both"/>
        <w:rPr>
          <w:rFonts w:ascii="Arial" w:eastAsia="Arial" w:hAnsi="Arial" w:cs="Arial"/>
          <w:sz w:val="24"/>
          <w:szCs w:val="24"/>
        </w:rPr>
      </w:pPr>
    </w:p>
    <w:p w14:paraId="14BD923B" w14:textId="77777777" w:rsidR="00B06C92" w:rsidRDefault="00B06C92">
      <w:pPr>
        <w:spacing w:before="60" w:after="60" w:line="360" w:lineRule="auto"/>
        <w:jc w:val="both"/>
        <w:rPr>
          <w:rFonts w:ascii="Arial" w:eastAsia="Arial" w:hAnsi="Arial" w:cs="Arial"/>
          <w:sz w:val="24"/>
          <w:szCs w:val="24"/>
        </w:rPr>
      </w:pPr>
    </w:p>
    <w:p w14:paraId="24A566D3" w14:textId="77777777" w:rsidR="00EC7D49" w:rsidRDefault="00EC7D49">
      <w:pPr>
        <w:spacing w:line="360" w:lineRule="auto"/>
        <w:rPr>
          <w:rFonts w:ascii="Arial" w:eastAsia="Arial" w:hAnsi="Arial" w:cs="Arial"/>
          <w:sz w:val="24"/>
          <w:szCs w:val="24"/>
        </w:rPr>
      </w:pPr>
    </w:p>
    <w:p w14:paraId="786673D5" w14:textId="77777777" w:rsidR="00EC7D49" w:rsidRDefault="00000000">
      <w:pPr>
        <w:pStyle w:val="Heading2"/>
        <w:spacing w:line="360" w:lineRule="auto"/>
        <w:rPr>
          <w:rFonts w:ascii="Arial" w:eastAsia="Arial" w:hAnsi="Arial" w:cs="Arial"/>
          <w:sz w:val="26"/>
          <w:szCs w:val="26"/>
        </w:rPr>
      </w:pPr>
      <w:r>
        <w:rPr>
          <w:rFonts w:ascii="Arial" w:eastAsia="Arial" w:hAnsi="Arial" w:cs="Arial"/>
          <w:sz w:val="26"/>
          <w:szCs w:val="26"/>
        </w:rPr>
        <w:t>2.3 Internal Environment: VRIO Framework Analysis</w:t>
      </w:r>
    </w:p>
    <w:p w14:paraId="0D76A1A7"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 xml:space="preserve">The VRIO framework, which was created by Barney (1991) and is heavily used in the strategic management literature, assesses resources and capabilities on 4 dimensions: Value, Rarity, Imitability, and Organisational support. The table below depicts a VRIO analysis of the major strategic resources at Tesla (Barney and </w:t>
      </w:r>
      <w:proofErr w:type="spellStart"/>
      <w:r>
        <w:rPr>
          <w:rFonts w:ascii="Arial" w:eastAsia="Arial" w:hAnsi="Arial" w:cs="Arial"/>
          <w:sz w:val="24"/>
          <w:szCs w:val="24"/>
        </w:rPr>
        <w:t>Hesterly</w:t>
      </w:r>
      <w:proofErr w:type="spellEnd"/>
      <w:r>
        <w:rPr>
          <w:rFonts w:ascii="Arial" w:eastAsia="Arial" w:hAnsi="Arial" w:cs="Arial"/>
          <w:sz w:val="24"/>
          <w:szCs w:val="24"/>
        </w:rPr>
        <w:t>, 2022)</w:t>
      </w:r>
      <w:r>
        <w:rPr>
          <w:rFonts w:ascii="Arial" w:eastAsia="Arial" w:hAnsi="Arial" w:cs="Arial"/>
          <w:color w:val="000000"/>
          <w:sz w:val="24"/>
          <w:szCs w:val="24"/>
        </w:rPr>
        <w:t>:</w:t>
      </w:r>
    </w:p>
    <w:p w14:paraId="1B242D1B" w14:textId="77777777" w:rsidR="00EC7D49" w:rsidRDefault="00EC7D49">
      <w:pPr>
        <w:spacing w:line="360" w:lineRule="auto"/>
        <w:rPr>
          <w:rFonts w:ascii="Arial" w:eastAsia="Arial" w:hAnsi="Arial" w:cs="Arial"/>
          <w:sz w:val="24"/>
          <w:szCs w:val="24"/>
        </w:rPr>
      </w:pPr>
    </w:p>
    <w:tbl>
      <w:tblPr>
        <w:tblStyle w:val="a0"/>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200"/>
        <w:gridCol w:w="1600"/>
        <w:gridCol w:w="1600"/>
        <w:gridCol w:w="1600"/>
        <w:gridCol w:w="1600"/>
        <w:gridCol w:w="760"/>
      </w:tblGrid>
      <w:tr w:rsidR="00EC7D49" w14:paraId="76389ABE" w14:textId="77777777">
        <w:tc>
          <w:tcPr>
            <w:tcW w:w="2200" w:type="dxa"/>
            <w:tcBorders>
              <w:top w:val="single" w:sz="4" w:space="0" w:color="2E75B6"/>
              <w:left w:val="single" w:sz="4" w:space="0" w:color="2E75B6"/>
              <w:bottom w:val="single" w:sz="4" w:space="0" w:color="2E75B6"/>
              <w:right w:val="single" w:sz="4" w:space="0" w:color="2E75B6"/>
            </w:tcBorders>
            <w:shd w:val="clear" w:color="auto" w:fill="1F3864"/>
            <w:tcMar>
              <w:top w:w="60" w:type="dxa"/>
              <w:left w:w="80" w:type="dxa"/>
              <w:bottom w:w="60" w:type="dxa"/>
              <w:right w:w="80" w:type="dxa"/>
            </w:tcMar>
          </w:tcPr>
          <w:p w14:paraId="55E32971" w14:textId="77777777" w:rsidR="00EC7D49" w:rsidRDefault="00000000">
            <w:pPr>
              <w:spacing w:line="360" w:lineRule="auto"/>
              <w:rPr>
                <w:rFonts w:ascii="Arial" w:eastAsia="Arial" w:hAnsi="Arial" w:cs="Arial"/>
                <w:sz w:val="24"/>
                <w:szCs w:val="24"/>
              </w:rPr>
            </w:pPr>
            <w:r>
              <w:rPr>
                <w:rFonts w:ascii="Arial" w:eastAsia="Arial" w:hAnsi="Arial" w:cs="Arial"/>
                <w:b/>
                <w:bCs/>
                <w:color w:val="FFFFFF"/>
                <w:sz w:val="18"/>
                <w:szCs w:val="18"/>
              </w:rPr>
              <w:t>Resource/Capability</w:t>
            </w:r>
          </w:p>
        </w:tc>
        <w:tc>
          <w:tcPr>
            <w:tcW w:w="1600" w:type="dxa"/>
            <w:tcBorders>
              <w:top w:val="single" w:sz="4" w:space="0" w:color="2E75B6"/>
              <w:left w:val="single" w:sz="4" w:space="0" w:color="2E75B6"/>
              <w:bottom w:val="single" w:sz="4" w:space="0" w:color="2E75B6"/>
              <w:right w:val="single" w:sz="4" w:space="0" w:color="2E75B6"/>
            </w:tcBorders>
            <w:shd w:val="clear" w:color="auto" w:fill="1F3864"/>
            <w:tcMar>
              <w:top w:w="60" w:type="dxa"/>
              <w:left w:w="80" w:type="dxa"/>
              <w:bottom w:w="60" w:type="dxa"/>
              <w:right w:w="80" w:type="dxa"/>
            </w:tcMar>
          </w:tcPr>
          <w:p w14:paraId="06B9BC94" w14:textId="77777777" w:rsidR="00EC7D49" w:rsidRDefault="00000000">
            <w:pPr>
              <w:spacing w:line="360" w:lineRule="auto"/>
              <w:rPr>
                <w:rFonts w:ascii="Arial" w:eastAsia="Arial" w:hAnsi="Arial" w:cs="Arial"/>
                <w:sz w:val="24"/>
                <w:szCs w:val="24"/>
              </w:rPr>
            </w:pPr>
            <w:r>
              <w:rPr>
                <w:rFonts w:ascii="Arial" w:eastAsia="Arial" w:hAnsi="Arial" w:cs="Arial"/>
                <w:b/>
                <w:bCs/>
                <w:color w:val="FFFFFF"/>
                <w:sz w:val="18"/>
                <w:szCs w:val="18"/>
              </w:rPr>
              <w:t>Valuable?</w:t>
            </w:r>
          </w:p>
        </w:tc>
        <w:tc>
          <w:tcPr>
            <w:tcW w:w="1600" w:type="dxa"/>
            <w:tcBorders>
              <w:top w:val="single" w:sz="4" w:space="0" w:color="2E75B6"/>
              <w:left w:val="single" w:sz="4" w:space="0" w:color="2E75B6"/>
              <w:bottom w:val="single" w:sz="4" w:space="0" w:color="2E75B6"/>
              <w:right w:val="single" w:sz="4" w:space="0" w:color="2E75B6"/>
            </w:tcBorders>
            <w:shd w:val="clear" w:color="auto" w:fill="1F3864"/>
            <w:tcMar>
              <w:top w:w="60" w:type="dxa"/>
              <w:left w:w="80" w:type="dxa"/>
              <w:bottom w:w="60" w:type="dxa"/>
              <w:right w:w="80" w:type="dxa"/>
            </w:tcMar>
          </w:tcPr>
          <w:p w14:paraId="1E843C28" w14:textId="77777777" w:rsidR="00EC7D49" w:rsidRDefault="00000000">
            <w:pPr>
              <w:spacing w:line="360" w:lineRule="auto"/>
              <w:rPr>
                <w:rFonts w:ascii="Arial" w:eastAsia="Arial" w:hAnsi="Arial" w:cs="Arial"/>
                <w:sz w:val="24"/>
                <w:szCs w:val="24"/>
              </w:rPr>
            </w:pPr>
            <w:r>
              <w:rPr>
                <w:rFonts w:ascii="Arial" w:eastAsia="Arial" w:hAnsi="Arial" w:cs="Arial"/>
                <w:b/>
                <w:bCs/>
                <w:color w:val="FFFFFF"/>
                <w:sz w:val="18"/>
                <w:szCs w:val="18"/>
              </w:rPr>
              <w:t>Rare?</w:t>
            </w:r>
          </w:p>
        </w:tc>
        <w:tc>
          <w:tcPr>
            <w:tcW w:w="1600" w:type="dxa"/>
            <w:tcBorders>
              <w:top w:val="single" w:sz="4" w:space="0" w:color="2E75B6"/>
              <w:left w:val="single" w:sz="4" w:space="0" w:color="2E75B6"/>
              <w:bottom w:val="single" w:sz="4" w:space="0" w:color="2E75B6"/>
              <w:right w:val="single" w:sz="4" w:space="0" w:color="2E75B6"/>
            </w:tcBorders>
            <w:shd w:val="clear" w:color="auto" w:fill="1F3864"/>
            <w:tcMar>
              <w:top w:w="60" w:type="dxa"/>
              <w:left w:w="80" w:type="dxa"/>
              <w:bottom w:w="60" w:type="dxa"/>
              <w:right w:w="80" w:type="dxa"/>
            </w:tcMar>
          </w:tcPr>
          <w:p w14:paraId="52047B75" w14:textId="77777777" w:rsidR="00EC7D49" w:rsidRDefault="00000000">
            <w:pPr>
              <w:spacing w:line="360" w:lineRule="auto"/>
              <w:rPr>
                <w:rFonts w:ascii="Arial" w:eastAsia="Arial" w:hAnsi="Arial" w:cs="Arial"/>
                <w:sz w:val="24"/>
                <w:szCs w:val="24"/>
              </w:rPr>
            </w:pPr>
            <w:r>
              <w:rPr>
                <w:rFonts w:ascii="Arial" w:eastAsia="Arial" w:hAnsi="Arial" w:cs="Arial"/>
                <w:b/>
                <w:bCs/>
                <w:color w:val="FFFFFF"/>
                <w:sz w:val="18"/>
                <w:szCs w:val="18"/>
              </w:rPr>
              <w:t>Inimitable?</w:t>
            </w:r>
          </w:p>
        </w:tc>
        <w:tc>
          <w:tcPr>
            <w:tcW w:w="1600" w:type="dxa"/>
            <w:tcBorders>
              <w:top w:val="single" w:sz="4" w:space="0" w:color="2E75B6"/>
              <w:left w:val="single" w:sz="4" w:space="0" w:color="2E75B6"/>
              <w:bottom w:val="single" w:sz="4" w:space="0" w:color="2E75B6"/>
              <w:right w:val="single" w:sz="4" w:space="0" w:color="2E75B6"/>
            </w:tcBorders>
            <w:shd w:val="clear" w:color="auto" w:fill="1F3864"/>
            <w:tcMar>
              <w:top w:w="60" w:type="dxa"/>
              <w:left w:w="80" w:type="dxa"/>
              <w:bottom w:w="60" w:type="dxa"/>
              <w:right w:w="80" w:type="dxa"/>
            </w:tcMar>
          </w:tcPr>
          <w:p w14:paraId="110128CC" w14:textId="77777777" w:rsidR="00EC7D49" w:rsidRDefault="00000000">
            <w:pPr>
              <w:spacing w:line="360" w:lineRule="auto"/>
              <w:rPr>
                <w:rFonts w:ascii="Arial" w:eastAsia="Arial" w:hAnsi="Arial" w:cs="Arial"/>
                <w:sz w:val="24"/>
                <w:szCs w:val="24"/>
              </w:rPr>
            </w:pPr>
            <w:r>
              <w:rPr>
                <w:rFonts w:ascii="Arial" w:eastAsia="Arial" w:hAnsi="Arial" w:cs="Arial"/>
                <w:b/>
                <w:bCs/>
                <w:color w:val="FFFFFF"/>
                <w:sz w:val="18"/>
                <w:szCs w:val="18"/>
              </w:rPr>
              <w:t>Organised?</w:t>
            </w:r>
          </w:p>
        </w:tc>
        <w:tc>
          <w:tcPr>
            <w:tcW w:w="760" w:type="dxa"/>
            <w:tcBorders>
              <w:top w:val="single" w:sz="4" w:space="0" w:color="2E75B6"/>
              <w:left w:val="single" w:sz="4" w:space="0" w:color="2E75B6"/>
              <w:bottom w:val="single" w:sz="4" w:space="0" w:color="2E75B6"/>
              <w:right w:val="single" w:sz="4" w:space="0" w:color="2E75B6"/>
            </w:tcBorders>
            <w:shd w:val="clear" w:color="auto" w:fill="1F3864"/>
            <w:tcMar>
              <w:top w:w="60" w:type="dxa"/>
              <w:left w:w="80" w:type="dxa"/>
              <w:bottom w:w="60" w:type="dxa"/>
              <w:right w:w="80" w:type="dxa"/>
            </w:tcMar>
          </w:tcPr>
          <w:p w14:paraId="7486E629" w14:textId="77777777" w:rsidR="00EC7D49" w:rsidRDefault="00000000">
            <w:pPr>
              <w:spacing w:line="360" w:lineRule="auto"/>
              <w:rPr>
                <w:rFonts w:ascii="Arial" w:eastAsia="Arial" w:hAnsi="Arial" w:cs="Arial"/>
                <w:sz w:val="24"/>
                <w:szCs w:val="24"/>
              </w:rPr>
            </w:pPr>
            <w:r>
              <w:rPr>
                <w:rFonts w:ascii="Arial" w:eastAsia="Arial" w:hAnsi="Arial" w:cs="Arial"/>
                <w:b/>
                <w:bCs/>
                <w:color w:val="FFFFFF"/>
                <w:sz w:val="18"/>
                <w:szCs w:val="18"/>
              </w:rPr>
              <w:t>Competitive Implication</w:t>
            </w:r>
          </w:p>
        </w:tc>
      </w:tr>
      <w:tr w:rsidR="00EC7D49" w14:paraId="13A5A809" w14:textId="77777777">
        <w:tc>
          <w:tcPr>
            <w:tcW w:w="2200" w:type="dxa"/>
            <w:tcBorders>
              <w:top w:val="single" w:sz="4" w:space="0" w:color="CCCCCC"/>
              <w:left w:val="single" w:sz="4" w:space="0" w:color="CCCCCC"/>
              <w:bottom w:val="single" w:sz="4" w:space="0" w:color="CCCCCC"/>
              <w:right w:val="single" w:sz="4" w:space="0" w:color="CCCCCC"/>
            </w:tcBorders>
            <w:shd w:val="clear" w:color="auto" w:fill="F2F2F2"/>
            <w:tcMar>
              <w:top w:w="50" w:type="dxa"/>
              <w:left w:w="80" w:type="dxa"/>
              <w:bottom w:w="50" w:type="dxa"/>
              <w:right w:w="80" w:type="dxa"/>
            </w:tcMar>
          </w:tcPr>
          <w:p w14:paraId="749561EF"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Autopilot/FSD Technology</w:t>
            </w:r>
          </w:p>
        </w:tc>
        <w:tc>
          <w:tcPr>
            <w:tcW w:w="1600" w:type="dxa"/>
            <w:tcBorders>
              <w:top w:val="single" w:sz="4" w:space="0" w:color="CCCCCC"/>
              <w:left w:val="single" w:sz="4" w:space="0" w:color="CCCCCC"/>
              <w:bottom w:val="single" w:sz="4" w:space="0" w:color="CCCCCC"/>
              <w:right w:val="single" w:sz="4" w:space="0" w:color="CCCCCC"/>
            </w:tcBorders>
            <w:shd w:val="clear" w:color="auto" w:fill="F2F2F2"/>
            <w:tcMar>
              <w:top w:w="50" w:type="dxa"/>
              <w:left w:w="80" w:type="dxa"/>
              <w:bottom w:w="50" w:type="dxa"/>
              <w:right w:w="80" w:type="dxa"/>
            </w:tcMar>
          </w:tcPr>
          <w:p w14:paraId="21DAF1DB"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Yes</w:t>
            </w:r>
          </w:p>
        </w:tc>
        <w:tc>
          <w:tcPr>
            <w:tcW w:w="1600" w:type="dxa"/>
            <w:tcBorders>
              <w:top w:val="single" w:sz="4" w:space="0" w:color="CCCCCC"/>
              <w:left w:val="single" w:sz="4" w:space="0" w:color="CCCCCC"/>
              <w:bottom w:val="single" w:sz="4" w:space="0" w:color="CCCCCC"/>
              <w:right w:val="single" w:sz="4" w:space="0" w:color="CCCCCC"/>
            </w:tcBorders>
            <w:shd w:val="clear" w:color="auto" w:fill="F2F2F2"/>
            <w:tcMar>
              <w:top w:w="50" w:type="dxa"/>
              <w:left w:w="80" w:type="dxa"/>
              <w:bottom w:w="50" w:type="dxa"/>
              <w:right w:w="80" w:type="dxa"/>
            </w:tcMar>
          </w:tcPr>
          <w:p w14:paraId="677D24EA"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Yes</w:t>
            </w:r>
          </w:p>
        </w:tc>
        <w:tc>
          <w:tcPr>
            <w:tcW w:w="1600" w:type="dxa"/>
            <w:tcBorders>
              <w:top w:val="single" w:sz="4" w:space="0" w:color="CCCCCC"/>
              <w:left w:val="single" w:sz="4" w:space="0" w:color="CCCCCC"/>
              <w:bottom w:val="single" w:sz="4" w:space="0" w:color="CCCCCC"/>
              <w:right w:val="single" w:sz="4" w:space="0" w:color="CCCCCC"/>
            </w:tcBorders>
            <w:shd w:val="clear" w:color="auto" w:fill="F2F2F2"/>
            <w:tcMar>
              <w:top w:w="50" w:type="dxa"/>
              <w:left w:w="80" w:type="dxa"/>
              <w:bottom w:w="50" w:type="dxa"/>
              <w:right w:w="80" w:type="dxa"/>
            </w:tcMar>
          </w:tcPr>
          <w:p w14:paraId="46FE145A"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Yes</w:t>
            </w:r>
          </w:p>
        </w:tc>
        <w:tc>
          <w:tcPr>
            <w:tcW w:w="1600" w:type="dxa"/>
            <w:tcBorders>
              <w:top w:val="single" w:sz="4" w:space="0" w:color="CCCCCC"/>
              <w:left w:val="single" w:sz="4" w:space="0" w:color="CCCCCC"/>
              <w:bottom w:val="single" w:sz="4" w:space="0" w:color="CCCCCC"/>
              <w:right w:val="single" w:sz="4" w:space="0" w:color="CCCCCC"/>
            </w:tcBorders>
            <w:shd w:val="clear" w:color="auto" w:fill="F2F2F2"/>
            <w:tcMar>
              <w:top w:w="50" w:type="dxa"/>
              <w:left w:w="80" w:type="dxa"/>
              <w:bottom w:w="50" w:type="dxa"/>
              <w:right w:w="80" w:type="dxa"/>
            </w:tcMar>
          </w:tcPr>
          <w:p w14:paraId="1C5F9764"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Yes</w:t>
            </w:r>
          </w:p>
        </w:tc>
        <w:tc>
          <w:tcPr>
            <w:tcW w:w="760" w:type="dxa"/>
            <w:tcBorders>
              <w:top w:val="single" w:sz="4" w:space="0" w:color="CCCCCC"/>
              <w:left w:val="single" w:sz="4" w:space="0" w:color="CCCCCC"/>
              <w:bottom w:val="single" w:sz="4" w:space="0" w:color="CCCCCC"/>
              <w:right w:val="single" w:sz="4" w:space="0" w:color="CCCCCC"/>
            </w:tcBorders>
            <w:shd w:val="clear" w:color="auto" w:fill="D4EDDA"/>
            <w:tcMar>
              <w:top w:w="50" w:type="dxa"/>
              <w:left w:w="80" w:type="dxa"/>
              <w:bottom w:w="50" w:type="dxa"/>
              <w:right w:w="80" w:type="dxa"/>
            </w:tcMar>
          </w:tcPr>
          <w:p w14:paraId="1A3F90E0" w14:textId="77777777" w:rsidR="00EC7D49" w:rsidRDefault="00000000">
            <w:pPr>
              <w:spacing w:line="360" w:lineRule="auto"/>
              <w:rPr>
                <w:rFonts w:ascii="Arial" w:eastAsia="Arial" w:hAnsi="Arial" w:cs="Arial"/>
                <w:sz w:val="24"/>
                <w:szCs w:val="24"/>
              </w:rPr>
            </w:pPr>
            <w:r>
              <w:rPr>
                <w:rFonts w:ascii="Arial" w:eastAsia="Arial" w:hAnsi="Arial" w:cs="Arial"/>
                <w:b/>
                <w:bCs/>
                <w:color w:val="000000"/>
                <w:sz w:val="20"/>
                <w:szCs w:val="20"/>
              </w:rPr>
              <w:t>Sustained Advantage</w:t>
            </w:r>
          </w:p>
        </w:tc>
      </w:tr>
      <w:tr w:rsidR="00EC7D49" w14:paraId="7621959A" w14:textId="77777777">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50" w:type="dxa"/>
              <w:left w:w="80" w:type="dxa"/>
              <w:bottom w:w="50" w:type="dxa"/>
              <w:right w:w="80" w:type="dxa"/>
            </w:tcMar>
          </w:tcPr>
          <w:p w14:paraId="552C1FC2"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Supercharger Network</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50" w:type="dxa"/>
              <w:left w:w="80" w:type="dxa"/>
              <w:bottom w:w="50" w:type="dxa"/>
              <w:right w:w="80" w:type="dxa"/>
            </w:tcMar>
          </w:tcPr>
          <w:p w14:paraId="18CB420D"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Yes</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50" w:type="dxa"/>
              <w:left w:w="80" w:type="dxa"/>
              <w:bottom w:w="50" w:type="dxa"/>
              <w:right w:w="80" w:type="dxa"/>
            </w:tcMar>
          </w:tcPr>
          <w:p w14:paraId="48B1A7C4"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Yes</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50" w:type="dxa"/>
              <w:left w:w="80" w:type="dxa"/>
              <w:bottom w:w="50" w:type="dxa"/>
              <w:right w:w="80" w:type="dxa"/>
            </w:tcMar>
          </w:tcPr>
          <w:p w14:paraId="627DE923"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Partially</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50" w:type="dxa"/>
              <w:left w:w="80" w:type="dxa"/>
              <w:bottom w:w="50" w:type="dxa"/>
              <w:right w:w="80" w:type="dxa"/>
            </w:tcMar>
          </w:tcPr>
          <w:p w14:paraId="1365C2E0"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Yes</w:t>
            </w:r>
          </w:p>
        </w:tc>
        <w:tc>
          <w:tcPr>
            <w:tcW w:w="760" w:type="dxa"/>
            <w:tcBorders>
              <w:top w:val="single" w:sz="4" w:space="0" w:color="CCCCCC"/>
              <w:left w:val="single" w:sz="4" w:space="0" w:color="CCCCCC"/>
              <w:bottom w:val="single" w:sz="4" w:space="0" w:color="CCCCCC"/>
              <w:right w:val="single" w:sz="4" w:space="0" w:color="CCCCCC"/>
            </w:tcBorders>
            <w:shd w:val="clear" w:color="auto" w:fill="D4EDDA"/>
            <w:tcMar>
              <w:top w:w="50" w:type="dxa"/>
              <w:left w:w="80" w:type="dxa"/>
              <w:bottom w:w="50" w:type="dxa"/>
              <w:right w:w="80" w:type="dxa"/>
            </w:tcMar>
          </w:tcPr>
          <w:p w14:paraId="41F1D913" w14:textId="77777777" w:rsidR="00EC7D49" w:rsidRDefault="00000000">
            <w:pPr>
              <w:spacing w:line="360" w:lineRule="auto"/>
              <w:rPr>
                <w:rFonts w:ascii="Arial" w:eastAsia="Arial" w:hAnsi="Arial" w:cs="Arial"/>
                <w:sz w:val="24"/>
                <w:szCs w:val="24"/>
              </w:rPr>
            </w:pPr>
            <w:r>
              <w:rPr>
                <w:rFonts w:ascii="Arial" w:eastAsia="Arial" w:hAnsi="Arial" w:cs="Arial"/>
                <w:b/>
                <w:bCs/>
                <w:color w:val="000000"/>
                <w:sz w:val="20"/>
                <w:szCs w:val="20"/>
              </w:rPr>
              <w:t>Sustained Advantage</w:t>
            </w:r>
          </w:p>
        </w:tc>
      </w:tr>
      <w:tr w:rsidR="00EC7D49" w14:paraId="0CCE2414" w14:textId="77777777">
        <w:tc>
          <w:tcPr>
            <w:tcW w:w="2200" w:type="dxa"/>
            <w:tcBorders>
              <w:top w:val="single" w:sz="4" w:space="0" w:color="CCCCCC"/>
              <w:left w:val="single" w:sz="4" w:space="0" w:color="CCCCCC"/>
              <w:bottom w:val="single" w:sz="4" w:space="0" w:color="CCCCCC"/>
              <w:right w:val="single" w:sz="4" w:space="0" w:color="CCCCCC"/>
            </w:tcBorders>
            <w:shd w:val="clear" w:color="auto" w:fill="F2F2F2"/>
            <w:tcMar>
              <w:top w:w="50" w:type="dxa"/>
              <w:left w:w="80" w:type="dxa"/>
              <w:bottom w:w="50" w:type="dxa"/>
              <w:right w:w="80" w:type="dxa"/>
            </w:tcMar>
          </w:tcPr>
          <w:p w14:paraId="01751DC6" w14:textId="77777777" w:rsidR="00EC7D49" w:rsidRDefault="00000000">
            <w:pPr>
              <w:spacing w:line="360" w:lineRule="auto"/>
              <w:rPr>
                <w:rFonts w:ascii="Arial" w:eastAsia="Arial" w:hAnsi="Arial" w:cs="Arial"/>
                <w:sz w:val="24"/>
                <w:szCs w:val="24"/>
              </w:rPr>
            </w:pPr>
            <w:proofErr w:type="spellStart"/>
            <w:r>
              <w:rPr>
                <w:rFonts w:ascii="Arial" w:eastAsia="Arial" w:hAnsi="Arial" w:cs="Arial"/>
                <w:color w:val="000000"/>
                <w:sz w:val="20"/>
                <w:szCs w:val="20"/>
              </w:rPr>
              <w:t>Gigafactory</w:t>
            </w:r>
            <w:proofErr w:type="spellEnd"/>
            <w:r>
              <w:rPr>
                <w:rFonts w:ascii="Arial" w:eastAsia="Arial" w:hAnsi="Arial" w:cs="Arial"/>
                <w:color w:val="000000"/>
                <w:sz w:val="20"/>
                <w:szCs w:val="20"/>
              </w:rPr>
              <w:t xml:space="preserve"> Manufacturing</w:t>
            </w:r>
          </w:p>
        </w:tc>
        <w:tc>
          <w:tcPr>
            <w:tcW w:w="1600" w:type="dxa"/>
            <w:tcBorders>
              <w:top w:val="single" w:sz="4" w:space="0" w:color="CCCCCC"/>
              <w:left w:val="single" w:sz="4" w:space="0" w:color="CCCCCC"/>
              <w:bottom w:val="single" w:sz="4" w:space="0" w:color="CCCCCC"/>
              <w:right w:val="single" w:sz="4" w:space="0" w:color="CCCCCC"/>
            </w:tcBorders>
            <w:shd w:val="clear" w:color="auto" w:fill="F2F2F2"/>
            <w:tcMar>
              <w:top w:w="50" w:type="dxa"/>
              <w:left w:w="80" w:type="dxa"/>
              <w:bottom w:w="50" w:type="dxa"/>
              <w:right w:w="80" w:type="dxa"/>
            </w:tcMar>
          </w:tcPr>
          <w:p w14:paraId="0503ECE8"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Yes</w:t>
            </w:r>
          </w:p>
        </w:tc>
        <w:tc>
          <w:tcPr>
            <w:tcW w:w="1600" w:type="dxa"/>
            <w:tcBorders>
              <w:top w:val="single" w:sz="4" w:space="0" w:color="CCCCCC"/>
              <w:left w:val="single" w:sz="4" w:space="0" w:color="CCCCCC"/>
              <w:bottom w:val="single" w:sz="4" w:space="0" w:color="CCCCCC"/>
              <w:right w:val="single" w:sz="4" w:space="0" w:color="CCCCCC"/>
            </w:tcBorders>
            <w:shd w:val="clear" w:color="auto" w:fill="F2F2F2"/>
            <w:tcMar>
              <w:top w:w="50" w:type="dxa"/>
              <w:left w:w="80" w:type="dxa"/>
              <w:bottom w:w="50" w:type="dxa"/>
              <w:right w:w="80" w:type="dxa"/>
            </w:tcMar>
          </w:tcPr>
          <w:p w14:paraId="02A427B3"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Yes</w:t>
            </w:r>
          </w:p>
        </w:tc>
        <w:tc>
          <w:tcPr>
            <w:tcW w:w="1600" w:type="dxa"/>
            <w:tcBorders>
              <w:top w:val="single" w:sz="4" w:space="0" w:color="CCCCCC"/>
              <w:left w:val="single" w:sz="4" w:space="0" w:color="CCCCCC"/>
              <w:bottom w:val="single" w:sz="4" w:space="0" w:color="CCCCCC"/>
              <w:right w:val="single" w:sz="4" w:space="0" w:color="CCCCCC"/>
            </w:tcBorders>
            <w:shd w:val="clear" w:color="auto" w:fill="F2F2F2"/>
            <w:tcMar>
              <w:top w:w="50" w:type="dxa"/>
              <w:left w:w="80" w:type="dxa"/>
              <w:bottom w:w="50" w:type="dxa"/>
              <w:right w:w="80" w:type="dxa"/>
            </w:tcMar>
          </w:tcPr>
          <w:p w14:paraId="6E93AB77"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Partially</w:t>
            </w:r>
          </w:p>
        </w:tc>
        <w:tc>
          <w:tcPr>
            <w:tcW w:w="1600" w:type="dxa"/>
            <w:tcBorders>
              <w:top w:val="single" w:sz="4" w:space="0" w:color="CCCCCC"/>
              <w:left w:val="single" w:sz="4" w:space="0" w:color="CCCCCC"/>
              <w:bottom w:val="single" w:sz="4" w:space="0" w:color="CCCCCC"/>
              <w:right w:val="single" w:sz="4" w:space="0" w:color="CCCCCC"/>
            </w:tcBorders>
            <w:shd w:val="clear" w:color="auto" w:fill="F2F2F2"/>
            <w:tcMar>
              <w:top w:w="50" w:type="dxa"/>
              <w:left w:w="80" w:type="dxa"/>
              <w:bottom w:w="50" w:type="dxa"/>
              <w:right w:w="80" w:type="dxa"/>
            </w:tcMar>
          </w:tcPr>
          <w:p w14:paraId="3225DFF5"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Yes</w:t>
            </w:r>
          </w:p>
        </w:tc>
        <w:tc>
          <w:tcPr>
            <w:tcW w:w="760" w:type="dxa"/>
            <w:tcBorders>
              <w:top w:val="single" w:sz="4" w:space="0" w:color="CCCCCC"/>
              <w:left w:val="single" w:sz="4" w:space="0" w:color="CCCCCC"/>
              <w:bottom w:val="single" w:sz="4" w:space="0" w:color="CCCCCC"/>
              <w:right w:val="single" w:sz="4" w:space="0" w:color="CCCCCC"/>
            </w:tcBorders>
            <w:shd w:val="clear" w:color="auto" w:fill="FFF3CD"/>
            <w:tcMar>
              <w:top w:w="50" w:type="dxa"/>
              <w:left w:w="80" w:type="dxa"/>
              <w:bottom w:w="50" w:type="dxa"/>
              <w:right w:w="80" w:type="dxa"/>
            </w:tcMar>
          </w:tcPr>
          <w:p w14:paraId="720D8C59" w14:textId="77777777" w:rsidR="00EC7D49" w:rsidRDefault="00000000">
            <w:pPr>
              <w:spacing w:line="360" w:lineRule="auto"/>
              <w:rPr>
                <w:rFonts w:ascii="Arial" w:eastAsia="Arial" w:hAnsi="Arial" w:cs="Arial"/>
                <w:sz w:val="24"/>
                <w:szCs w:val="24"/>
              </w:rPr>
            </w:pPr>
            <w:r>
              <w:rPr>
                <w:rFonts w:ascii="Arial" w:eastAsia="Arial" w:hAnsi="Arial" w:cs="Arial"/>
                <w:b/>
                <w:bCs/>
                <w:color w:val="000000"/>
                <w:sz w:val="20"/>
                <w:szCs w:val="20"/>
              </w:rPr>
              <w:t>Temporary Advantage</w:t>
            </w:r>
          </w:p>
        </w:tc>
      </w:tr>
      <w:tr w:rsidR="00EC7D49" w14:paraId="1D4D9BAB" w14:textId="77777777">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50" w:type="dxa"/>
              <w:left w:w="80" w:type="dxa"/>
              <w:bottom w:w="50" w:type="dxa"/>
              <w:right w:w="80" w:type="dxa"/>
            </w:tcMar>
          </w:tcPr>
          <w:p w14:paraId="5B4ABC8D"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Brand &amp; Customer Loyalty</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50" w:type="dxa"/>
              <w:left w:w="80" w:type="dxa"/>
              <w:bottom w:w="50" w:type="dxa"/>
              <w:right w:w="80" w:type="dxa"/>
            </w:tcMar>
          </w:tcPr>
          <w:p w14:paraId="5D304A48"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Yes</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50" w:type="dxa"/>
              <w:left w:w="80" w:type="dxa"/>
              <w:bottom w:w="50" w:type="dxa"/>
              <w:right w:w="80" w:type="dxa"/>
            </w:tcMar>
          </w:tcPr>
          <w:p w14:paraId="209E9CED"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Yes</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50" w:type="dxa"/>
              <w:left w:w="80" w:type="dxa"/>
              <w:bottom w:w="50" w:type="dxa"/>
              <w:right w:w="80" w:type="dxa"/>
            </w:tcMar>
          </w:tcPr>
          <w:p w14:paraId="7FF6F1BB"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Partially</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50" w:type="dxa"/>
              <w:left w:w="80" w:type="dxa"/>
              <w:bottom w:w="50" w:type="dxa"/>
              <w:right w:w="80" w:type="dxa"/>
            </w:tcMar>
          </w:tcPr>
          <w:p w14:paraId="3FA497A2"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Yes</w:t>
            </w:r>
          </w:p>
        </w:tc>
        <w:tc>
          <w:tcPr>
            <w:tcW w:w="760" w:type="dxa"/>
            <w:tcBorders>
              <w:top w:val="single" w:sz="4" w:space="0" w:color="CCCCCC"/>
              <w:left w:val="single" w:sz="4" w:space="0" w:color="CCCCCC"/>
              <w:bottom w:val="single" w:sz="4" w:space="0" w:color="CCCCCC"/>
              <w:right w:val="single" w:sz="4" w:space="0" w:color="CCCCCC"/>
            </w:tcBorders>
            <w:shd w:val="clear" w:color="auto" w:fill="D4EDDA"/>
            <w:tcMar>
              <w:top w:w="50" w:type="dxa"/>
              <w:left w:w="80" w:type="dxa"/>
              <w:bottom w:w="50" w:type="dxa"/>
              <w:right w:w="80" w:type="dxa"/>
            </w:tcMar>
          </w:tcPr>
          <w:p w14:paraId="2859EFB4" w14:textId="77777777" w:rsidR="00EC7D49" w:rsidRDefault="00000000">
            <w:pPr>
              <w:spacing w:line="360" w:lineRule="auto"/>
              <w:rPr>
                <w:rFonts w:ascii="Arial" w:eastAsia="Arial" w:hAnsi="Arial" w:cs="Arial"/>
                <w:sz w:val="24"/>
                <w:szCs w:val="24"/>
              </w:rPr>
            </w:pPr>
            <w:r>
              <w:rPr>
                <w:rFonts w:ascii="Arial" w:eastAsia="Arial" w:hAnsi="Arial" w:cs="Arial"/>
                <w:b/>
                <w:bCs/>
                <w:color w:val="000000"/>
                <w:sz w:val="20"/>
                <w:szCs w:val="20"/>
              </w:rPr>
              <w:t>Sustained Advantage</w:t>
            </w:r>
          </w:p>
        </w:tc>
      </w:tr>
      <w:tr w:rsidR="00EC7D49" w14:paraId="7078C716" w14:textId="77777777">
        <w:tc>
          <w:tcPr>
            <w:tcW w:w="2200" w:type="dxa"/>
            <w:tcBorders>
              <w:top w:val="single" w:sz="4" w:space="0" w:color="CCCCCC"/>
              <w:left w:val="single" w:sz="4" w:space="0" w:color="CCCCCC"/>
              <w:bottom w:val="single" w:sz="4" w:space="0" w:color="CCCCCC"/>
              <w:right w:val="single" w:sz="4" w:space="0" w:color="CCCCCC"/>
            </w:tcBorders>
            <w:shd w:val="clear" w:color="auto" w:fill="F2F2F2"/>
            <w:tcMar>
              <w:top w:w="50" w:type="dxa"/>
              <w:left w:w="80" w:type="dxa"/>
              <w:bottom w:w="50" w:type="dxa"/>
              <w:right w:w="80" w:type="dxa"/>
            </w:tcMar>
          </w:tcPr>
          <w:p w14:paraId="4559A957"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Battery Cell Technology</w:t>
            </w:r>
          </w:p>
        </w:tc>
        <w:tc>
          <w:tcPr>
            <w:tcW w:w="1600" w:type="dxa"/>
            <w:tcBorders>
              <w:top w:val="single" w:sz="4" w:space="0" w:color="CCCCCC"/>
              <w:left w:val="single" w:sz="4" w:space="0" w:color="CCCCCC"/>
              <w:bottom w:val="single" w:sz="4" w:space="0" w:color="CCCCCC"/>
              <w:right w:val="single" w:sz="4" w:space="0" w:color="CCCCCC"/>
            </w:tcBorders>
            <w:shd w:val="clear" w:color="auto" w:fill="F2F2F2"/>
            <w:tcMar>
              <w:top w:w="50" w:type="dxa"/>
              <w:left w:w="80" w:type="dxa"/>
              <w:bottom w:w="50" w:type="dxa"/>
              <w:right w:w="80" w:type="dxa"/>
            </w:tcMar>
          </w:tcPr>
          <w:p w14:paraId="1BC24D9E"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Yes</w:t>
            </w:r>
          </w:p>
        </w:tc>
        <w:tc>
          <w:tcPr>
            <w:tcW w:w="1600" w:type="dxa"/>
            <w:tcBorders>
              <w:top w:val="single" w:sz="4" w:space="0" w:color="CCCCCC"/>
              <w:left w:val="single" w:sz="4" w:space="0" w:color="CCCCCC"/>
              <w:bottom w:val="single" w:sz="4" w:space="0" w:color="CCCCCC"/>
              <w:right w:val="single" w:sz="4" w:space="0" w:color="CCCCCC"/>
            </w:tcBorders>
            <w:shd w:val="clear" w:color="auto" w:fill="F2F2F2"/>
            <w:tcMar>
              <w:top w:w="50" w:type="dxa"/>
              <w:left w:w="80" w:type="dxa"/>
              <w:bottom w:w="50" w:type="dxa"/>
              <w:right w:w="80" w:type="dxa"/>
            </w:tcMar>
          </w:tcPr>
          <w:p w14:paraId="0828662B"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Yes</w:t>
            </w:r>
          </w:p>
        </w:tc>
        <w:tc>
          <w:tcPr>
            <w:tcW w:w="1600" w:type="dxa"/>
            <w:tcBorders>
              <w:top w:val="single" w:sz="4" w:space="0" w:color="CCCCCC"/>
              <w:left w:val="single" w:sz="4" w:space="0" w:color="CCCCCC"/>
              <w:bottom w:val="single" w:sz="4" w:space="0" w:color="CCCCCC"/>
              <w:right w:val="single" w:sz="4" w:space="0" w:color="CCCCCC"/>
            </w:tcBorders>
            <w:shd w:val="clear" w:color="auto" w:fill="F2F2F2"/>
            <w:tcMar>
              <w:top w:w="50" w:type="dxa"/>
              <w:left w:w="80" w:type="dxa"/>
              <w:bottom w:w="50" w:type="dxa"/>
              <w:right w:w="80" w:type="dxa"/>
            </w:tcMar>
          </w:tcPr>
          <w:p w14:paraId="10E422D7"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Yes</w:t>
            </w:r>
          </w:p>
        </w:tc>
        <w:tc>
          <w:tcPr>
            <w:tcW w:w="1600" w:type="dxa"/>
            <w:tcBorders>
              <w:top w:val="single" w:sz="4" w:space="0" w:color="CCCCCC"/>
              <w:left w:val="single" w:sz="4" w:space="0" w:color="CCCCCC"/>
              <w:bottom w:val="single" w:sz="4" w:space="0" w:color="CCCCCC"/>
              <w:right w:val="single" w:sz="4" w:space="0" w:color="CCCCCC"/>
            </w:tcBorders>
            <w:shd w:val="clear" w:color="auto" w:fill="F2F2F2"/>
            <w:tcMar>
              <w:top w:w="50" w:type="dxa"/>
              <w:left w:w="80" w:type="dxa"/>
              <w:bottom w:w="50" w:type="dxa"/>
              <w:right w:w="80" w:type="dxa"/>
            </w:tcMar>
          </w:tcPr>
          <w:p w14:paraId="1B1953D2"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Yes</w:t>
            </w:r>
          </w:p>
        </w:tc>
        <w:tc>
          <w:tcPr>
            <w:tcW w:w="760" w:type="dxa"/>
            <w:tcBorders>
              <w:top w:val="single" w:sz="4" w:space="0" w:color="CCCCCC"/>
              <w:left w:val="single" w:sz="4" w:space="0" w:color="CCCCCC"/>
              <w:bottom w:val="single" w:sz="4" w:space="0" w:color="CCCCCC"/>
              <w:right w:val="single" w:sz="4" w:space="0" w:color="CCCCCC"/>
            </w:tcBorders>
            <w:shd w:val="clear" w:color="auto" w:fill="D4EDDA"/>
            <w:tcMar>
              <w:top w:w="50" w:type="dxa"/>
              <w:left w:w="80" w:type="dxa"/>
              <w:bottom w:w="50" w:type="dxa"/>
              <w:right w:w="80" w:type="dxa"/>
            </w:tcMar>
          </w:tcPr>
          <w:p w14:paraId="35B15E3B" w14:textId="77777777" w:rsidR="00EC7D49" w:rsidRDefault="00000000">
            <w:pPr>
              <w:spacing w:line="360" w:lineRule="auto"/>
              <w:rPr>
                <w:rFonts w:ascii="Arial" w:eastAsia="Arial" w:hAnsi="Arial" w:cs="Arial"/>
                <w:sz w:val="24"/>
                <w:szCs w:val="24"/>
              </w:rPr>
            </w:pPr>
            <w:r>
              <w:rPr>
                <w:rFonts w:ascii="Arial" w:eastAsia="Arial" w:hAnsi="Arial" w:cs="Arial"/>
                <w:b/>
                <w:bCs/>
                <w:color w:val="000000"/>
                <w:sz w:val="20"/>
                <w:szCs w:val="20"/>
              </w:rPr>
              <w:t>Sustained Advantage</w:t>
            </w:r>
          </w:p>
        </w:tc>
      </w:tr>
      <w:tr w:rsidR="00EC7D49" w14:paraId="72DB0E91" w14:textId="77777777">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50" w:type="dxa"/>
              <w:left w:w="80" w:type="dxa"/>
              <w:bottom w:w="50" w:type="dxa"/>
              <w:right w:w="80" w:type="dxa"/>
            </w:tcMar>
          </w:tcPr>
          <w:p w14:paraId="647A8609"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Software OTA Updates</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50" w:type="dxa"/>
              <w:left w:w="80" w:type="dxa"/>
              <w:bottom w:w="50" w:type="dxa"/>
              <w:right w:w="80" w:type="dxa"/>
            </w:tcMar>
          </w:tcPr>
          <w:p w14:paraId="4B74E89A"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Yes</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50" w:type="dxa"/>
              <w:left w:w="80" w:type="dxa"/>
              <w:bottom w:w="50" w:type="dxa"/>
              <w:right w:w="80" w:type="dxa"/>
            </w:tcMar>
          </w:tcPr>
          <w:p w14:paraId="5F0C33E9"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Yes</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50" w:type="dxa"/>
              <w:left w:w="80" w:type="dxa"/>
              <w:bottom w:w="50" w:type="dxa"/>
              <w:right w:w="80" w:type="dxa"/>
            </w:tcMar>
          </w:tcPr>
          <w:p w14:paraId="723054EC"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Partially</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50" w:type="dxa"/>
              <w:left w:w="80" w:type="dxa"/>
              <w:bottom w:w="50" w:type="dxa"/>
              <w:right w:w="80" w:type="dxa"/>
            </w:tcMar>
          </w:tcPr>
          <w:p w14:paraId="4336D56C"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Yes</w:t>
            </w:r>
          </w:p>
        </w:tc>
        <w:tc>
          <w:tcPr>
            <w:tcW w:w="760" w:type="dxa"/>
            <w:tcBorders>
              <w:top w:val="single" w:sz="4" w:space="0" w:color="CCCCCC"/>
              <w:left w:val="single" w:sz="4" w:space="0" w:color="CCCCCC"/>
              <w:bottom w:val="single" w:sz="4" w:space="0" w:color="CCCCCC"/>
              <w:right w:val="single" w:sz="4" w:space="0" w:color="CCCCCC"/>
            </w:tcBorders>
            <w:shd w:val="clear" w:color="auto" w:fill="FFF3CD"/>
            <w:tcMar>
              <w:top w:w="50" w:type="dxa"/>
              <w:left w:w="80" w:type="dxa"/>
              <w:bottom w:w="50" w:type="dxa"/>
              <w:right w:w="80" w:type="dxa"/>
            </w:tcMar>
          </w:tcPr>
          <w:p w14:paraId="29A67B75" w14:textId="77777777" w:rsidR="00EC7D49" w:rsidRDefault="00000000">
            <w:pPr>
              <w:spacing w:line="360" w:lineRule="auto"/>
              <w:rPr>
                <w:rFonts w:ascii="Arial" w:eastAsia="Arial" w:hAnsi="Arial" w:cs="Arial"/>
                <w:sz w:val="24"/>
                <w:szCs w:val="24"/>
              </w:rPr>
            </w:pPr>
            <w:r>
              <w:rPr>
                <w:rFonts w:ascii="Arial" w:eastAsia="Arial" w:hAnsi="Arial" w:cs="Arial"/>
                <w:b/>
                <w:bCs/>
                <w:color w:val="000000"/>
                <w:sz w:val="20"/>
                <w:szCs w:val="20"/>
              </w:rPr>
              <w:t>Temporary Advantage</w:t>
            </w:r>
          </w:p>
        </w:tc>
      </w:tr>
    </w:tbl>
    <w:p w14:paraId="58CAD36D" w14:textId="77777777" w:rsidR="00EC7D49" w:rsidRDefault="00EC7D49">
      <w:pPr>
        <w:spacing w:line="360" w:lineRule="auto"/>
        <w:rPr>
          <w:rFonts w:ascii="Arial" w:eastAsia="Arial" w:hAnsi="Arial" w:cs="Arial"/>
          <w:sz w:val="24"/>
          <w:szCs w:val="24"/>
        </w:rPr>
      </w:pPr>
    </w:p>
    <w:p w14:paraId="781DD516"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 xml:space="preserve">The Autopilot/FSD technology is the most defensible competitive advantage at Tesla. The technology is useful (makes it safer and easier to drive), it is uncommon (no other competitor has launched similar autonomy commercially), it is </w:t>
      </w:r>
      <w:proofErr w:type="spellStart"/>
      <w:r>
        <w:rPr>
          <w:rFonts w:ascii="Arial" w:eastAsia="Arial" w:hAnsi="Arial" w:cs="Arial"/>
          <w:sz w:val="24"/>
          <w:szCs w:val="24"/>
        </w:rPr>
        <w:t>unreplicable</w:t>
      </w:r>
      <w:proofErr w:type="spellEnd"/>
      <w:r>
        <w:rPr>
          <w:rFonts w:ascii="Arial" w:eastAsia="Arial" w:hAnsi="Arial" w:cs="Arial"/>
          <w:sz w:val="24"/>
          <w:szCs w:val="24"/>
        </w:rPr>
        <w:t xml:space="preserve"> (patented through billions of miles of proprietary training data and a custom neural network architecture) and it is systematised (integrated throughout the product line). The Supercharger network is also a sustained competitive advantage an extensive network of more than 55,000 connectors in 2024 in 20 countries around the world, which simultaneously cannot be compared with competitors in terms of infrastructure development, although Tesla has a much higher density of its network, as well as its reliability and compatibility with its cars (Tesla, Inc., 2024b). The battery cell technology offers a long-lasting benefit based on the proprietary 4680 cell programme and over a long-term supply relationship with Panasonic and CATL (</w:t>
      </w:r>
      <w:proofErr w:type="spellStart"/>
      <w:r>
        <w:rPr>
          <w:rFonts w:ascii="Arial" w:eastAsia="Arial" w:hAnsi="Arial" w:cs="Arial"/>
          <w:sz w:val="24"/>
          <w:szCs w:val="24"/>
        </w:rPr>
        <w:t>Teece</w:t>
      </w:r>
      <w:proofErr w:type="spellEnd"/>
      <w:r>
        <w:rPr>
          <w:rFonts w:ascii="Arial" w:eastAsia="Arial" w:hAnsi="Arial" w:cs="Arial"/>
          <w:sz w:val="24"/>
          <w:szCs w:val="24"/>
        </w:rPr>
        <w:t xml:space="preserve">, 2020). </w:t>
      </w:r>
      <w:proofErr w:type="spellStart"/>
      <w:r>
        <w:rPr>
          <w:rFonts w:ascii="Arial" w:eastAsia="Arial" w:hAnsi="Arial" w:cs="Arial"/>
          <w:sz w:val="24"/>
          <w:szCs w:val="24"/>
        </w:rPr>
        <w:t>Gigafactory</w:t>
      </w:r>
      <w:proofErr w:type="spellEnd"/>
      <w:r>
        <w:rPr>
          <w:rFonts w:ascii="Arial" w:eastAsia="Arial" w:hAnsi="Arial" w:cs="Arial"/>
          <w:sz w:val="24"/>
          <w:szCs w:val="24"/>
        </w:rPr>
        <w:t xml:space="preserve"> production is a short-term benefit: although Tesla produces its products in an industry-leading scale and a very high level of automation, the investment in the similar facilities is made by other companies like Volkswagen, BMW, and BYD. Software update OTA features are also increasingly imitated, with automotive OEMs picking up the pace of software-defined vehicle development.</w:t>
      </w:r>
    </w:p>
    <w:p w14:paraId="2B849AB0" w14:textId="77777777" w:rsidR="00EC7D49" w:rsidRDefault="00EC7D49">
      <w:pPr>
        <w:spacing w:line="360" w:lineRule="auto"/>
        <w:rPr>
          <w:rFonts w:ascii="Arial" w:eastAsia="Arial" w:hAnsi="Arial" w:cs="Arial"/>
          <w:sz w:val="24"/>
          <w:szCs w:val="24"/>
        </w:rPr>
      </w:pPr>
    </w:p>
    <w:p w14:paraId="192F28C8" w14:textId="77777777" w:rsidR="00EC7D49" w:rsidRDefault="00000000">
      <w:pPr>
        <w:pStyle w:val="Heading1"/>
        <w:pBdr>
          <w:bottom w:val="single" w:sz="8" w:space="2" w:color="2E75B6"/>
        </w:pBdr>
        <w:spacing w:line="360" w:lineRule="auto"/>
        <w:rPr>
          <w:rFonts w:ascii="Arial" w:eastAsia="Arial" w:hAnsi="Arial" w:cs="Arial"/>
          <w:sz w:val="30"/>
          <w:szCs w:val="30"/>
        </w:rPr>
      </w:pPr>
      <w:r>
        <w:rPr>
          <w:rFonts w:ascii="Arial" w:eastAsia="Arial" w:hAnsi="Arial" w:cs="Arial"/>
          <w:sz w:val="30"/>
          <w:szCs w:val="30"/>
        </w:rPr>
        <w:t>3. CSR and Sustainability Objectives</w:t>
      </w:r>
    </w:p>
    <w:p w14:paraId="413C4823" w14:textId="77777777" w:rsidR="00EC7D49" w:rsidRDefault="00000000">
      <w:pPr>
        <w:pStyle w:val="Heading2"/>
        <w:spacing w:line="360" w:lineRule="auto"/>
        <w:rPr>
          <w:rFonts w:ascii="Arial" w:eastAsia="Arial" w:hAnsi="Arial" w:cs="Arial"/>
          <w:sz w:val="26"/>
          <w:szCs w:val="26"/>
        </w:rPr>
      </w:pPr>
      <w:r>
        <w:rPr>
          <w:rFonts w:ascii="Arial" w:eastAsia="Arial" w:hAnsi="Arial" w:cs="Arial"/>
          <w:sz w:val="26"/>
          <w:szCs w:val="26"/>
        </w:rPr>
        <w:t>3.1 CSR Strategy and Alignment with Business Objectives</w:t>
      </w:r>
    </w:p>
    <w:p w14:paraId="40A84B7E"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The corporate social responsibility strategy is a natural extension of Tesla, as it is commercial. In contrast to most companies, which consider CSR as marginal philanthropy, Tesla incorporates sustainability as the core value offer of its business model (Carroll and Brown, 2018). The Tesla annual Impact Report reports on its achievement to the environmental, social, and governance (ESG) goals and objectives, representing increasing investor and other stakeholder demands of sustainable disclosure (Tesla, Inc., 2024c).</w:t>
      </w:r>
    </w:p>
    <w:p w14:paraId="13650661"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 xml:space="preserve">In terms of the environment, CSR engagements by Tesla include a goal of 100 percent of renewable energy usage at all </w:t>
      </w:r>
      <w:proofErr w:type="spellStart"/>
      <w:r>
        <w:rPr>
          <w:rFonts w:ascii="Arial" w:eastAsia="Arial" w:hAnsi="Arial" w:cs="Arial"/>
          <w:sz w:val="24"/>
          <w:szCs w:val="24"/>
        </w:rPr>
        <w:t>Gigafactory</w:t>
      </w:r>
      <w:proofErr w:type="spellEnd"/>
      <w:r>
        <w:rPr>
          <w:rFonts w:ascii="Arial" w:eastAsia="Arial" w:hAnsi="Arial" w:cs="Arial"/>
          <w:sz w:val="24"/>
          <w:szCs w:val="24"/>
        </w:rPr>
        <w:t xml:space="preserve"> locations, with the Nevada </w:t>
      </w:r>
      <w:proofErr w:type="spellStart"/>
      <w:r>
        <w:rPr>
          <w:rFonts w:ascii="Arial" w:eastAsia="Arial" w:hAnsi="Arial" w:cs="Arial"/>
          <w:sz w:val="24"/>
          <w:szCs w:val="24"/>
        </w:rPr>
        <w:t>Gigafactory</w:t>
      </w:r>
      <w:proofErr w:type="spellEnd"/>
      <w:r>
        <w:rPr>
          <w:rFonts w:ascii="Arial" w:eastAsia="Arial" w:hAnsi="Arial" w:cs="Arial"/>
          <w:sz w:val="24"/>
          <w:szCs w:val="24"/>
        </w:rPr>
        <w:t xml:space="preserve"> being the first to reach this target in 2023 (Tesla, Inc., 2024c). Directly by allowing Tesla to facilitate the global adoption of grid-scale decarbonisation of renewable energy storage, including the sale of vehicles not manufactured by Tesla, </w:t>
      </w:r>
      <w:proofErr w:type="spellStart"/>
      <w:r>
        <w:rPr>
          <w:rFonts w:ascii="Arial" w:eastAsia="Arial" w:hAnsi="Arial" w:cs="Arial"/>
          <w:sz w:val="24"/>
          <w:szCs w:val="24"/>
        </w:rPr>
        <w:t>Megapack</w:t>
      </w:r>
      <w:proofErr w:type="spellEnd"/>
      <w:r>
        <w:rPr>
          <w:rFonts w:ascii="Arial" w:eastAsia="Arial" w:hAnsi="Arial" w:cs="Arial"/>
          <w:sz w:val="24"/>
          <w:szCs w:val="24"/>
        </w:rPr>
        <w:t xml:space="preserve"> battery systems are enabling it. In spite of this, there are still some critical problems with CSR: lithium, nickel, and cobalt, all of which are carbon-intensive resources used to create batteries, or the question of labour conditions at the supply chain partners in the Democratic Republic of Congo are material reputational and operational threats (</w:t>
      </w:r>
      <w:proofErr w:type="spellStart"/>
      <w:r>
        <w:rPr>
          <w:rFonts w:ascii="Arial" w:eastAsia="Arial" w:hAnsi="Arial" w:cs="Arial"/>
          <w:sz w:val="24"/>
          <w:szCs w:val="24"/>
        </w:rPr>
        <w:t>GreenPeace</w:t>
      </w:r>
      <w:proofErr w:type="spellEnd"/>
      <w:r>
        <w:rPr>
          <w:rFonts w:ascii="Arial" w:eastAsia="Arial" w:hAnsi="Arial" w:cs="Arial"/>
          <w:sz w:val="24"/>
          <w:szCs w:val="24"/>
        </w:rPr>
        <w:t>, 2023).</w:t>
      </w:r>
    </w:p>
    <w:p w14:paraId="25B27668"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Tesla has been under the social microscope with its Diversity, Equity and Inclusion (DEI) commitments being questioned and claiming discriminatory practices at work and historically low percentages of women and minorities in senior technical positions (Bloomberg, 2024). The issues of governance, especially with the concentration of power on Elon Musk as a dual holder of the CEO and board of directors, and with the Delaware court 2024 refusal to allow the $56 billion compensation package, are all indicators of corporate governance weaknesses (Financial Times, 2024). Nonetheless, the CSR strategy of Tesla is also uniquely distinguished by its product-level effect: the sale of a single Tesla car will lead to the displacement of a lot of lifetime tailpipe carbon emissions, which is an unambiguously positive external environmental effect and forms the basis of its CSR legitimacy.</w:t>
      </w:r>
    </w:p>
    <w:p w14:paraId="51E0EC24" w14:textId="77777777" w:rsidR="00B06C92" w:rsidRDefault="00B06C92">
      <w:pPr>
        <w:spacing w:before="60" w:after="60" w:line="360" w:lineRule="auto"/>
        <w:jc w:val="both"/>
        <w:rPr>
          <w:rFonts w:ascii="Arial" w:eastAsia="Arial" w:hAnsi="Arial" w:cs="Arial"/>
          <w:sz w:val="24"/>
          <w:szCs w:val="24"/>
        </w:rPr>
      </w:pPr>
    </w:p>
    <w:p w14:paraId="132D0BC9" w14:textId="77777777" w:rsidR="00B06C92" w:rsidRDefault="00B06C92">
      <w:pPr>
        <w:spacing w:before="60" w:after="60" w:line="360" w:lineRule="auto"/>
        <w:jc w:val="both"/>
        <w:rPr>
          <w:rFonts w:ascii="Arial" w:eastAsia="Arial" w:hAnsi="Arial" w:cs="Arial"/>
          <w:sz w:val="24"/>
          <w:szCs w:val="24"/>
        </w:rPr>
      </w:pPr>
    </w:p>
    <w:p w14:paraId="5B22B21D" w14:textId="77777777" w:rsidR="00B06C92" w:rsidRDefault="00B06C92">
      <w:pPr>
        <w:spacing w:before="60" w:after="60" w:line="360" w:lineRule="auto"/>
        <w:jc w:val="both"/>
        <w:rPr>
          <w:rFonts w:ascii="Arial" w:eastAsia="Arial" w:hAnsi="Arial" w:cs="Arial"/>
          <w:sz w:val="24"/>
          <w:szCs w:val="24"/>
        </w:rPr>
      </w:pPr>
    </w:p>
    <w:p w14:paraId="7C08AB85" w14:textId="77777777" w:rsidR="00B06C92" w:rsidRDefault="00B06C92">
      <w:pPr>
        <w:spacing w:before="60" w:after="60" w:line="360" w:lineRule="auto"/>
        <w:jc w:val="both"/>
        <w:rPr>
          <w:rFonts w:ascii="Arial" w:eastAsia="Arial" w:hAnsi="Arial" w:cs="Arial"/>
          <w:sz w:val="24"/>
          <w:szCs w:val="24"/>
        </w:rPr>
      </w:pPr>
    </w:p>
    <w:p w14:paraId="3727FCAF" w14:textId="77777777" w:rsidR="00B06C92" w:rsidRDefault="00B06C92">
      <w:pPr>
        <w:spacing w:before="60" w:after="60" w:line="360" w:lineRule="auto"/>
        <w:jc w:val="both"/>
        <w:rPr>
          <w:rFonts w:ascii="Arial" w:eastAsia="Arial" w:hAnsi="Arial" w:cs="Arial"/>
          <w:sz w:val="24"/>
          <w:szCs w:val="24"/>
        </w:rPr>
      </w:pPr>
    </w:p>
    <w:p w14:paraId="1D99EB49" w14:textId="77777777" w:rsidR="00B06C92" w:rsidRDefault="00B06C92">
      <w:pPr>
        <w:spacing w:before="60" w:after="60" w:line="360" w:lineRule="auto"/>
        <w:jc w:val="both"/>
        <w:rPr>
          <w:rFonts w:ascii="Arial" w:eastAsia="Arial" w:hAnsi="Arial" w:cs="Arial"/>
          <w:sz w:val="24"/>
          <w:szCs w:val="24"/>
        </w:rPr>
      </w:pPr>
    </w:p>
    <w:p w14:paraId="2AEEFB54" w14:textId="77777777" w:rsidR="00B06C92" w:rsidRDefault="00B06C92">
      <w:pPr>
        <w:spacing w:before="60" w:after="60" w:line="360" w:lineRule="auto"/>
        <w:jc w:val="both"/>
        <w:rPr>
          <w:rFonts w:ascii="Arial" w:eastAsia="Arial" w:hAnsi="Arial" w:cs="Arial"/>
          <w:sz w:val="24"/>
          <w:szCs w:val="24"/>
        </w:rPr>
      </w:pPr>
    </w:p>
    <w:p w14:paraId="1F3E6D88" w14:textId="77777777" w:rsidR="00B06C92" w:rsidRDefault="00B06C92">
      <w:pPr>
        <w:spacing w:before="60" w:after="60" w:line="360" w:lineRule="auto"/>
        <w:jc w:val="both"/>
        <w:rPr>
          <w:rFonts w:ascii="Arial" w:eastAsia="Arial" w:hAnsi="Arial" w:cs="Arial"/>
          <w:sz w:val="24"/>
          <w:szCs w:val="24"/>
        </w:rPr>
      </w:pPr>
    </w:p>
    <w:p w14:paraId="548A1C07" w14:textId="77777777" w:rsidR="00B06C92" w:rsidRDefault="00B06C92">
      <w:pPr>
        <w:spacing w:before="60" w:after="60" w:line="360" w:lineRule="auto"/>
        <w:jc w:val="both"/>
        <w:rPr>
          <w:rFonts w:ascii="Arial" w:eastAsia="Arial" w:hAnsi="Arial" w:cs="Arial"/>
          <w:sz w:val="24"/>
          <w:szCs w:val="24"/>
        </w:rPr>
      </w:pPr>
    </w:p>
    <w:p w14:paraId="395F972C" w14:textId="77777777" w:rsidR="00B06C92" w:rsidRDefault="00B06C92">
      <w:pPr>
        <w:spacing w:before="60" w:after="60" w:line="360" w:lineRule="auto"/>
        <w:jc w:val="both"/>
        <w:rPr>
          <w:rFonts w:ascii="Arial" w:eastAsia="Arial" w:hAnsi="Arial" w:cs="Arial"/>
          <w:sz w:val="24"/>
          <w:szCs w:val="24"/>
        </w:rPr>
      </w:pPr>
    </w:p>
    <w:p w14:paraId="1ACD54DD" w14:textId="77777777" w:rsidR="00B06C92" w:rsidRDefault="00B06C92">
      <w:pPr>
        <w:spacing w:before="60" w:after="60" w:line="360" w:lineRule="auto"/>
        <w:jc w:val="both"/>
        <w:rPr>
          <w:rFonts w:ascii="Arial" w:eastAsia="Arial" w:hAnsi="Arial" w:cs="Arial"/>
          <w:sz w:val="24"/>
          <w:szCs w:val="24"/>
        </w:rPr>
      </w:pPr>
    </w:p>
    <w:p w14:paraId="1682E657" w14:textId="77777777" w:rsidR="00B06C92" w:rsidRDefault="00B06C92">
      <w:pPr>
        <w:spacing w:before="60" w:after="60" w:line="360" w:lineRule="auto"/>
        <w:jc w:val="both"/>
        <w:rPr>
          <w:rFonts w:ascii="Arial" w:eastAsia="Arial" w:hAnsi="Arial" w:cs="Arial"/>
          <w:sz w:val="24"/>
          <w:szCs w:val="24"/>
        </w:rPr>
      </w:pPr>
    </w:p>
    <w:p w14:paraId="3405C885" w14:textId="77777777" w:rsidR="00B06C92" w:rsidRDefault="00B06C92">
      <w:pPr>
        <w:spacing w:before="60" w:after="60" w:line="360" w:lineRule="auto"/>
        <w:jc w:val="both"/>
        <w:rPr>
          <w:rFonts w:ascii="Arial" w:eastAsia="Arial" w:hAnsi="Arial" w:cs="Arial"/>
          <w:sz w:val="24"/>
          <w:szCs w:val="24"/>
        </w:rPr>
      </w:pPr>
    </w:p>
    <w:p w14:paraId="28A402CB" w14:textId="77777777" w:rsidR="00B06C92" w:rsidRDefault="00B06C92">
      <w:pPr>
        <w:spacing w:before="60" w:after="60" w:line="360" w:lineRule="auto"/>
        <w:jc w:val="both"/>
        <w:rPr>
          <w:rFonts w:ascii="Arial" w:eastAsia="Arial" w:hAnsi="Arial" w:cs="Arial"/>
          <w:sz w:val="24"/>
          <w:szCs w:val="24"/>
        </w:rPr>
      </w:pPr>
    </w:p>
    <w:p w14:paraId="5D626853" w14:textId="77777777" w:rsidR="00B06C92" w:rsidRDefault="00B06C92">
      <w:pPr>
        <w:spacing w:before="60" w:after="60" w:line="360" w:lineRule="auto"/>
        <w:jc w:val="both"/>
        <w:rPr>
          <w:rFonts w:ascii="Arial" w:eastAsia="Arial" w:hAnsi="Arial" w:cs="Arial"/>
          <w:sz w:val="24"/>
          <w:szCs w:val="24"/>
        </w:rPr>
      </w:pPr>
    </w:p>
    <w:p w14:paraId="47F5EFE8" w14:textId="77777777" w:rsidR="00B06C92" w:rsidRDefault="00B06C92">
      <w:pPr>
        <w:spacing w:before="60" w:after="60" w:line="360" w:lineRule="auto"/>
        <w:jc w:val="both"/>
        <w:rPr>
          <w:rFonts w:ascii="Arial" w:eastAsia="Arial" w:hAnsi="Arial" w:cs="Arial"/>
          <w:sz w:val="24"/>
          <w:szCs w:val="24"/>
        </w:rPr>
      </w:pPr>
    </w:p>
    <w:p w14:paraId="708E3639" w14:textId="77777777" w:rsidR="00B06C92" w:rsidRDefault="00B06C92">
      <w:pPr>
        <w:spacing w:before="60" w:after="60" w:line="360" w:lineRule="auto"/>
        <w:jc w:val="both"/>
        <w:rPr>
          <w:rFonts w:ascii="Arial" w:eastAsia="Arial" w:hAnsi="Arial" w:cs="Arial"/>
          <w:sz w:val="24"/>
          <w:szCs w:val="24"/>
        </w:rPr>
      </w:pPr>
    </w:p>
    <w:p w14:paraId="49BADEC6" w14:textId="77777777" w:rsidR="00B06C92" w:rsidRDefault="00B06C92">
      <w:pPr>
        <w:spacing w:before="60" w:after="60" w:line="360" w:lineRule="auto"/>
        <w:jc w:val="both"/>
        <w:rPr>
          <w:rFonts w:ascii="Arial" w:eastAsia="Arial" w:hAnsi="Arial" w:cs="Arial"/>
          <w:sz w:val="24"/>
          <w:szCs w:val="24"/>
        </w:rPr>
      </w:pPr>
    </w:p>
    <w:p w14:paraId="457490AD" w14:textId="77777777" w:rsidR="00B06C92" w:rsidRDefault="00B06C92">
      <w:pPr>
        <w:spacing w:before="60" w:after="60" w:line="360" w:lineRule="auto"/>
        <w:jc w:val="both"/>
        <w:rPr>
          <w:rFonts w:ascii="Arial" w:eastAsia="Arial" w:hAnsi="Arial" w:cs="Arial"/>
          <w:sz w:val="24"/>
          <w:szCs w:val="24"/>
        </w:rPr>
      </w:pPr>
    </w:p>
    <w:p w14:paraId="4A752BFA" w14:textId="77777777" w:rsidR="00EC7D49" w:rsidRDefault="00EC7D49">
      <w:pPr>
        <w:spacing w:line="360" w:lineRule="auto"/>
        <w:rPr>
          <w:rFonts w:ascii="Arial" w:eastAsia="Arial" w:hAnsi="Arial" w:cs="Arial"/>
          <w:sz w:val="24"/>
          <w:szCs w:val="24"/>
        </w:rPr>
      </w:pPr>
    </w:p>
    <w:p w14:paraId="0C24F881" w14:textId="77777777" w:rsidR="00EC7D49" w:rsidRDefault="00000000">
      <w:pPr>
        <w:pStyle w:val="Heading1"/>
        <w:pBdr>
          <w:bottom w:val="single" w:sz="8" w:space="2" w:color="2E75B6"/>
        </w:pBdr>
        <w:spacing w:line="360" w:lineRule="auto"/>
        <w:rPr>
          <w:rFonts w:ascii="Arial" w:eastAsia="Arial" w:hAnsi="Arial" w:cs="Arial"/>
          <w:sz w:val="30"/>
          <w:szCs w:val="30"/>
        </w:rPr>
      </w:pPr>
      <w:r>
        <w:rPr>
          <w:rFonts w:ascii="Arial" w:eastAsia="Arial" w:hAnsi="Arial" w:cs="Arial"/>
          <w:sz w:val="30"/>
          <w:szCs w:val="30"/>
        </w:rPr>
        <w:t>4. Comprehensive and Holistic View: Balanced Scorecard Analysis</w:t>
      </w:r>
    </w:p>
    <w:p w14:paraId="015E28CF"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The Balanced Scorecard (BSC) is a strategic performance management framework introduced by Kaplan and Norton (1992) to translate the organisational vision and strategy into implementation objectives across four perspectives namely Financial, Customer, Internal Business Process and Learning and Growth. The BSC is not limited to financial measurement but includes the leading non-financial indicators to forecast financial performance in the future (Kaplan and Norton, 2021). The analysis below uses the BSC on the strategic situation of Tesla</w:t>
      </w:r>
      <w:r>
        <w:rPr>
          <w:rFonts w:ascii="Arial" w:eastAsia="Arial" w:hAnsi="Arial" w:cs="Arial"/>
          <w:color w:val="000000"/>
          <w:sz w:val="24"/>
          <w:szCs w:val="24"/>
        </w:rPr>
        <w:t>:</w:t>
      </w:r>
    </w:p>
    <w:p w14:paraId="14504CAB" w14:textId="77777777" w:rsidR="00EC7D49" w:rsidRDefault="00EC7D49">
      <w:pPr>
        <w:spacing w:line="360" w:lineRule="auto"/>
        <w:rPr>
          <w:rFonts w:ascii="Arial" w:eastAsia="Arial" w:hAnsi="Arial" w:cs="Arial"/>
          <w:sz w:val="24"/>
          <w:szCs w:val="24"/>
        </w:rPr>
      </w:pPr>
    </w:p>
    <w:p w14:paraId="6799E9D4" w14:textId="77777777" w:rsidR="00EC7D49" w:rsidRDefault="00000000">
      <w:pPr>
        <w:spacing w:before="80" w:after="40" w:line="360" w:lineRule="auto"/>
        <w:jc w:val="center"/>
        <w:rPr>
          <w:rFonts w:ascii="Arial" w:eastAsia="Arial" w:hAnsi="Arial" w:cs="Arial"/>
          <w:sz w:val="24"/>
          <w:szCs w:val="24"/>
        </w:rPr>
      </w:pPr>
      <w:r>
        <w:rPr>
          <w:rFonts w:ascii="Arial" w:eastAsia="Arial" w:hAnsi="Arial" w:cs="Arial"/>
          <w:b/>
          <w:bCs/>
          <w:color w:val="1F3864"/>
        </w:rPr>
        <w:t>Table 3: Tesla, Inc. — Balanced Scorecard Framework (2024)</w:t>
      </w:r>
    </w:p>
    <w:tbl>
      <w:tblPr>
        <w:tblStyle w:val="a1"/>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200"/>
        <w:gridCol w:w="2000"/>
        <w:gridCol w:w="2000"/>
        <w:gridCol w:w="1560"/>
        <w:gridCol w:w="1600"/>
      </w:tblGrid>
      <w:tr w:rsidR="00EC7D49" w14:paraId="2A687C1E" w14:textId="77777777">
        <w:tc>
          <w:tcPr>
            <w:tcW w:w="2200" w:type="dxa"/>
            <w:tcBorders>
              <w:top w:val="single" w:sz="4" w:space="0" w:color="CCCCCC"/>
              <w:left w:val="single" w:sz="4" w:space="0" w:color="CCCCCC"/>
              <w:bottom w:val="single" w:sz="4" w:space="0" w:color="CCCCCC"/>
              <w:right w:val="single" w:sz="4" w:space="0" w:color="CCCCCC"/>
            </w:tcBorders>
            <w:shd w:val="clear" w:color="auto" w:fill="D6E4F7"/>
            <w:tcMar>
              <w:top w:w="60" w:type="dxa"/>
              <w:left w:w="100" w:type="dxa"/>
              <w:bottom w:w="60" w:type="dxa"/>
              <w:right w:w="100" w:type="dxa"/>
            </w:tcMar>
          </w:tcPr>
          <w:p w14:paraId="16AC47B7" w14:textId="77777777" w:rsidR="00EC7D49" w:rsidRDefault="00000000">
            <w:pPr>
              <w:spacing w:line="360" w:lineRule="auto"/>
              <w:rPr>
                <w:rFonts w:ascii="Arial" w:eastAsia="Arial" w:hAnsi="Arial" w:cs="Arial"/>
                <w:sz w:val="24"/>
                <w:szCs w:val="24"/>
              </w:rPr>
            </w:pPr>
            <w:r>
              <w:rPr>
                <w:rFonts w:ascii="Arial" w:eastAsia="Arial" w:hAnsi="Arial" w:cs="Arial"/>
                <w:b/>
                <w:bCs/>
                <w:color w:val="000000"/>
                <w:sz w:val="20"/>
                <w:szCs w:val="20"/>
              </w:rPr>
              <w:t>Perspective</w:t>
            </w:r>
          </w:p>
        </w:tc>
        <w:tc>
          <w:tcPr>
            <w:tcW w:w="2000" w:type="dxa"/>
            <w:tcBorders>
              <w:top w:val="single" w:sz="4" w:space="0" w:color="CCCCCC"/>
              <w:left w:val="single" w:sz="4" w:space="0" w:color="CCCCCC"/>
              <w:bottom w:val="single" w:sz="4" w:space="0" w:color="CCCCCC"/>
              <w:right w:val="single" w:sz="4" w:space="0" w:color="CCCCCC"/>
            </w:tcBorders>
            <w:shd w:val="clear" w:color="auto" w:fill="D6E4F7"/>
            <w:tcMar>
              <w:top w:w="60" w:type="dxa"/>
              <w:left w:w="100" w:type="dxa"/>
              <w:bottom w:w="60" w:type="dxa"/>
              <w:right w:w="100" w:type="dxa"/>
            </w:tcMar>
          </w:tcPr>
          <w:p w14:paraId="6A48039B" w14:textId="77777777" w:rsidR="00EC7D49" w:rsidRDefault="00000000">
            <w:pPr>
              <w:spacing w:line="360" w:lineRule="auto"/>
              <w:rPr>
                <w:rFonts w:ascii="Arial" w:eastAsia="Arial" w:hAnsi="Arial" w:cs="Arial"/>
                <w:sz w:val="24"/>
                <w:szCs w:val="24"/>
              </w:rPr>
            </w:pPr>
            <w:r>
              <w:rPr>
                <w:rFonts w:ascii="Arial" w:eastAsia="Arial" w:hAnsi="Arial" w:cs="Arial"/>
                <w:b/>
                <w:bCs/>
                <w:color w:val="000000"/>
                <w:sz w:val="20"/>
                <w:szCs w:val="20"/>
              </w:rPr>
              <w:t>Objective</w:t>
            </w:r>
          </w:p>
        </w:tc>
        <w:tc>
          <w:tcPr>
            <w:tcW w:w="2000" w:type="dxa"/>
            <w:tcBorders>
              <w:top w:val="single" w:sz="4" w:space="0" w:color="CCCCCC"/>
              <w:left w:val="single" w:sz="4" w:space="0" w:color="CCCCCC"/>
              <w:bottom w:val="single" w:sz="4" w:space="0" w:color="CCCCCC"/>
              <w:right w:val="single" w:sz="4" w:space="0" w:color="CCCCCC"/>
            </w:tcBorders>
            <w:shd w:val="clear" w:color="auto" w:fill="D6E4F7"/>
            <w:tcMar>
              <w:top w:w="60" w:type="dxa"/>
              <w:left w:w="100" w:type="dxa"/>
              <w:bottom w:w="60" w:type="dxa"/>
              <w:right w:w="100" w:type="dxa"/>
            </w:tcMar>
          </w:tcPr>
          <w:p w14:paraId="67BF4020" w14:textId="77777777" w:rsidR="00EC7D49" w:rsidRDefault="00000000">
            <w:pPr>
              <w:spacing w:line="360" w:lineRule="auto"/>
              <w:rPr>
                <w:rFonts w:ascii="Arial" w:eastAsia="Arial" w:hAnsi="Arial" w:cs="Arial"/>
                <w:sz w:val="24"/>
                <w:szCs w:val="24"/>
              </w:rPr>
            </w:pPr>
            <w:r>
              <w:rPr>
                <w:rFonts w:ascii="Arial" w:eastAsia="Arial" w:hAnsi="Arial" w:cs="Arial"/>
                <w:b/>
                <w:bCs/>
                <w:color w:val="000000"/>
                <w:sz w:val="20"/>
                <w:szCs w:val="20"/>
              </w:rPr>
              <w:t>KPI</w:t>
            </w:r>
          </w:p>
        </w:tc>
        <w:tc>
          <w:tcPr>
            <w:tcW w:w="1560" w:type="dxa"/>
            <w:tcBorders>
              <w:top w:val="single" w:sz="4" w:space="0" w:color="CCCCCC"/>
              <w:left w:val="single" w:sz="4" w:space="0" w:color="CCCCCC"/>
              <w:bottom w:val="single" w:sz="4" w:space="0" w:color="CCCCCC"/>
              <w:right w:val="single" w:sz="4" w:space="0" w:color="CCCCCC"/>
            </w:tcBorders>
            <w:shd w:val="clear" w:color="auto" w:fill="D6E4F7"/>
            <w:tcMar>
              <w:top w:w="60" w:type="dxa"/>
              <w:left w:w="100" w:type="dxa"/>
              <w:bottom w:w="60" w:type="dxa"/>
              <w:right w:w="100" w:type="dxa"/>
            </w:tcMar>
          </w:tcPr>
          <w:p w14:paraId="2F0BFE44" w14:textId="77777777" w:rsidR="00EC7D49" w:rsidRDefault="00000000">
            <w:pPr>
              <w:spacing w:line="360" w:lineRule="auto"/>
              <w:rPr>
                <w:rFonts w:ascii="Arial" w:eastAsia="Arial" w:hAnsi="Arial" w:cs="Arial"/>
                <w:sz w:val="24"/>
                <w:szCs w:val="24"/>
              </w:rPr>
            </w:pPr>
            <w:r>
              <w:rPr>
                <w:rFonts w:ascii="Arial" w:eastAsia="Arial" w:hAnsi="Arial" w:cs="Arial"/>
                <w:b/>
                <w:bCs/>
                <w:color w:val="000000"/>
                <w:sz w:val="20"/>
                <w:szCs w:val="20"/>
              </w:rPr>
              <w:t>Target (2024)</w:t>
            </w:r>
          </w:p>
        </w:tc>
        <w:tc>
          <w:tcPr>
            <w:tcW w:w="1600" w:type="dxa"/>
            <w:tcBorders>
              <w:top w:val="single" w:sz="4" w:space="0" w:color="CCCCCC"/>
              <w:left w:val="single" w:sz="4" w:space="0" w:color="CCCCCC"/>
              <w:bottom w:val="single" w:sz="4" w:space="0" w:color="CCCCCC"/>
              <w:right w:val="single" w:sz="4" w:space="0" w:color="CCCCCC"/>
            </w:tcBorders>
            <w:shd w:val="clear" w:color="auto" w:fill="D6E4F7"/>
            <w:tcMar>
              <w:top w:w="60" w:type="dxa"/>
              <w:left w:w="100" w:type="dxa"/>
              <w:bottom w:w="60" w:type="dxa"/>
              <w:right w:w="100" w:type="dxa"/>
            </w:tcMar>
          </w:tcPr>
          <w:p w14:paraId="7A264D18" w14:textId="77777777" w:rsidR="00EC7D49" w:rsidRDefault="00000000">
            <w:pPr>
              <w:spacing w:line="360" w:lineRule="auto"/>
              <w:rPr>
                <w:rFonts w:ascii="Arial" w:eastAsia="Arial" w:hAnsi="Arial" w:cs="Arial"/>
                <w:sz w:val="24"/>
                <w:szCs w:val="24"/>
              </w:rPr>
            </w:pPr>
            <w:r>
              <w:rPr>
                <w:rFonts w:ascii="Arial" w:eastAsia="Arial" w:hAnsi="Arial" w:cs="Arial"/>
                <w:b/>
                <w:bCs/>
                <w:color w:val="000000"/>
                <w:sz w:val="20"/>
                <w:szCs w:val="20"/>
              </w:rPr>
              <w:t>Strategic Initiative</w:t>
            </w:r>
          </w:p>
        </w:tc>
      </w:tr>
      <w:tr w:rsidR="00EC7D49" w14:paraId="2BE7E51C" w14:textId="77777777">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056E620B"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Financial</w:t>
            </w:r>
          </w:p>
        </w:tc>
        <w:tc>
          <w:tcPr>
            <w:tcW w:w="2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76B3FCFC"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Revenue Growth</w:t>
            </w:r>
          </w:p>
        </w:tc>
        <w:tc>
          <w:tcPr>
            <w:tcW w:w="2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71FD4A34"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 xml:space="preserve">Total Revenue (USD </w:t>
            </w:r>
            <w:proofErr w:type="spellStart"/>
            <w:r>
              <w:rPr>
                <w:rFonts w:ascii="Arial" w:eastAsia="Arial" w:hAnsi="Arial" w:cs="Arial"/>
                <w:color w:val="000000"/>
                <w:sz w:val="20"/>
                <w:szCs w:val="20"/>
              </w:rPr>
              <w:t>bn</w:t>
            </w:r>
            <w:proofErr w:type="spellEnd"/>
            <w:r>
              <w:rPr>
                <w:rFonts w:ascii="Arial" w:eastAsia="Arial" w:hAnsi="Arial" w:cs="Arial"/>
                <w:color w:val="000000"/>
                <w:sz w:val="20"/>
                <w:szCs w:val="20"/>
              </w:rPr>
              <w:t>)</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1D149412"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$105bn</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39812EA9"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Energy segment expansion; new model launches</w:t>
            </w:r>
          </w:p>
        </w:tc>
      </w:tr>
      <w:tr w:rsidR="00EC7D49" w14:paraId="362AC743" w14:textId="77777777">
        <w:tc>
          <w:tcPr>
            <w:tcW w:w="22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7A4D233B"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Financial</w:t>
            </w:r>
          </w:p>
        </w:tc>
        <w:tc>
          <w:tcPr>
            <w:tcW w:w="20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7C4D9A3F"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Margin Recovery</w:t>
            </w:r>
          </w:p>
        </w:tc>
        <w:tc>
          <w:tcPr>
            <w:tcW w:w="20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482360FE"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Automotive Gross Margin</w:t>
            </w:r>
          </w:p>
        </w:tc>
        <w:tc>
          <w:tcPr>
            <w:tcW w:w="156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104CBEBA"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22%+</w:t>
            </w:r>
          </w:p>
        </w:tc>
        <w:tc>
          <w:tcPr>
            <w:tcW w:w="16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6B3D9FDD"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4680 battery cost reduction; operational efficiency</w:t>
            </w:r>
          </w:p>
        </w:tc>
      </w:tr>
      <w:tr w:rsidR="00EC7D49" w14:paraId="7F779430" w14:textId="77777777">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222B376C"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Financial</w:t>
            </w:r>
          </w:p>
        </w:tc>
        <w:tc>
          <w:tcPr>
            <w:tcW w:w="2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6EF9FB28"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Free Cash Flow</w:t>
            </w:r>
          </w:p>
        </w:tc>
        <w:tc>
          <w:tcPr>
            <w:tcW w:w="2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07250DF8"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 xml:space="preserve">FCF (USD </w:t>
            </w:r>
            <w:proofErr w:type="spellStart"/>
            <w:r>
              <w:rPr>
                <w:rFonts w:ascii="Arial" w:eastAsia="Arial" w:hAnsi="Arial" w:cs="Arial"/>
                <w:color w:val="000000"/>
                <w:sz w:val="20"/>
                <w:szCs w:val="20"/>
              </w:rPr>
              <w:t>bn</w:t>
            </w:r>
            <w:proofErr w:type="spellEnd"/>
            <w:r>
              <w:rPr>
                <w:rFonts w:ascii="Arial" w:eastAsia="Arial" w:hAnsi="Arial" w:cs="Arial"/>
                <w:color w:val="000000"/>
                <w:sz w:val="20"/>
                <w:szCs w:val="20"/>
              </w:rPr>
              <w:t>)</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33958DE1"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$5bn+</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0B70BFB7"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Capex discipline; credit sales optimisation</w:t>
            </w:r>
          </w:p>
        </w:tc>
      </w:tr>
      <w:tr w:rsidR="00EC7D49" w14:paraId="12D385B3" w14:textId="77777777">
        <w:tc>
          <w:tcPr>
            <w:tcW w:w="22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297CE4EF"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Financial</w:t>
            </w:r>
          </w:p>
        </w:tc>
        <w:tc>
          <w:tcPr>
            <w:tcW w:w="20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37676317"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Shareholder Return</w:t>
            </w:r>
          </w:p>
        </w:tc>
        <w:tc>
          <w:tcPr>
            <w:tcW w:w="20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14514106"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EPS Growth (</w:t>
            </w:r>
            <w:proofErr w:type="spellStart"/>
            <w:r>
              <w:rPr>
                <w:rFonts w:ascii="Arial" w:eastAsia="Arial" w:hAnsi="Arial" w:cs="Arial"/>
                <w:color w:val="000000"/>
                <w:sz w:val="20"/>
                <w:szCs w:val="20"/>
              </w:rPr>
              <w:t>YoY</w:t>
            </w:r>
            <w:proofErr w:type="spellEnd"/>
            <w:r>
              <w:rPr>
                <w:rFonts w:ascii="Arial" w:eastAsia="Arial" w:hAnsi="Arial" w:cs="Arial"/>
                <w:color w:val="000000"/>
                <w:sz w:val="20"/>
                <w:szCs w:val="20"/>
              </w:rPr>
              <w:t>)</w:t>
            </w:r>
          </w:p>
        </w:tc>
        <w:tc>
          <w:tcPr>
            <w:tcW w:w="156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0C384A97"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15%</w:t>
            </w:r>
          </w:p>
        </w:tc>
        <w:tc>
          <w:tcPr>
            <w:tcW w:w="16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66923A4D"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Stock buyback programme; profit reinvestment</w:t>
            </w:r>
          </w:p>
        </w:tc>
      </w:tr>
      <w:tr w:rsidR="00EC7D49" w14:paraId="34748A2D" w14:textId="77777777">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57BCE2D1"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Customer</w:t>
            </w:r>
          </w:p>
        </w:tc>
        <w:tc>
          <w:tcPr>
            <w:tcW w:w="2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04564E03"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Customer Satisfaction</w:t>
            </w:r>
          </w:p>
        </w:tc>
        <w:tc>
          <w:tcPr>
            <w:tcW w:w="2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7DFB73A5"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Net Promoter Score</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329087BD"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80+</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6DB42ECE"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Enhanced service centre network; mobile service</w:t>
            </w:r>
          </w:p>
        </w:tc>
      </w:tr>
      <w:tr w:rsidR="00EC7D49" w14:paraId="4B24060B" w14:textId="77777777">
        <w:tc>
          <w:tcPr>
            <w:tcW w:w="22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75E5A534"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Customer</w:t>
            </w:r>
          </w:p>
        </w:tc>
        <w:tc>
          <w:tcPr>
            <w:tcW w:w="20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05FFB953"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Market Share</w:t>
            </w:r>
          </w:p>
        </w:tc>
        <w:tc>
          <w:tcPr>
            <w:tcW w:w="20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3E755B53"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Global EV Market Share</w:t>
            </w:r>
          </w:p>
        </w:tc>
        <w:tc>
          <w:tcPr>
            <w:tcW w:w="156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373D6581"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18%+</w:t>
            </w:r>
          </w:p>
        </w:tc>
        <w:tc>
          <w:tcPr>
            <w:tcW w:w="16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496BE459"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Model 2 (affordable EV) launch in 2025</w:t>
            </w:r>
          </w:p>
        </w:tc>
      </w:tr>
      <w:tr w:rsidR="00EC7D49" w14:paraId="059DF468" w14:textId="77777777">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4008BA6C"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Customer</w:t>
            </w:r>
          </w:p>
        </w:tc>
        <w:tc>
          <w:tcPr>
            <w:tcW w:w="2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29E4A6B0"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Brand Perception</w:t>
            </w:r>
          </w:p>
        </w:tc>
        <w:tc>
          <w:tcPr>
            <w:tcW w:w="2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43DB8587"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Brand Trust Index</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579E72D8"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Top 5 Auto Brand</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74A8AA66"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CEO reputation management; product quality</w:t>
            </w:r>
          </w:p>
        </w:tc>
      </w:tr>
      <w:tr w:rsidR="00EC7D49" w14:paraId="7FC55864" w14:textId="77777777">
        <w:tc>
          <w:tcPr>
            <w:tcW w:w="22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17B5FC3F"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Customer</w:t>
            </w:r>
          </w:p>
        </w:tc>
        <w:tc>
          <w:tcPr>
            <w:tcW w:w="20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3B9AB4C9"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Charging Accessibility</w:t>
            </w:r>
          </w:p>
        </w:tc>
        <w:tc>
          <w:tcPr>
            <w:tcW w:w="20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391649D4"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Supercharger uptime</w:t>
            </w:r>
          </w:p>
        </w:tc>
        <w:tc>
          <w:tcPr>
            <w:tcW w:w="156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271B1672"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99.5%</w:t>
            </w:r>
          </w:p>
        </w:tc>
        <w:tc>
          <w:tcPr>
            <w:tcW w:w="16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5538D161"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V4 Supercharger rollout; network expansion</w:t>
            </w:r>
          </w:p>
        </w:tc>
      </w:tr>
      <w:tr w:rsidR="00EC7D49" w14:paraId="662C42B6" w14:textId="77777777">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50DCF295"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Internal Processes</w:t>
            </w:r>
          </w:p>
        </w:tc>
        <w:tc>
          <w:tcPr>
            <w:tcW w:w="2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47531A84"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Production Efficiency</w:t>
            </w:r>
          </w:p>
        </w:tc>
        <w:tc>
          <w:tcPr>
            <w:tcW w:w="2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5A2D125E"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Vehicles Produced per Week</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0E2686E1"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25,000+</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77111A56" w14:textId="77777777" w:rsidR="00EC7D49" w:rsidRDefault="00000000">
            <w:pPr>
              <w:spacing w:line="360" w:lineRule="auto"/>
              <w:rPr>
                <w:rFonts w:ascii="Arial" w:eastAsia="Arial" w:hAnsi="Arial" w:cs="Arial"/>
                <w:sz w:val="24"/>
                <w:szCs w:val="24"/>
              </w:rPr>
            </w:pPr>
            <w:proofErr w:type="spellStart"/>
            <w:r>
              <w:rPr>
                <w:rFonts w:ascii="Arial" w:eastAsia="Arial" w:hAnsi="Arial" w:cs="Arial"/>
                <w:color w:val="000000"/>
                <w:sz w:val="20"/>
                <w:szCs w:val="20"/>
              </w:rPr>
              <w:t>Gigafactory</w:t>
            </w:r>
            <w:proofErr w:type="spellEnd"/>
            <w:r>
              <w:rPr>
                <w:rFonts w:ascii="Arial" w:eastAsia="Arial" w:hAnsi="Arial" w:cs="Arial"/>
                <w:color w:val="000000"/>
                <w:sz w:val="20"/>
                <w:szCs w:val="20"/>
              </w:rPr>
              <w:t xml:space="preserve"> automation; unboxed manufacturing</w:t>
            </w:r>
          </w:p>
        </w:tc>
      </w:tr>
      <w:tr w:rsidR="00EC7D49" w14:paraId="7DF65C69" w14:textId="77777777">
        <w:tc>
          <w:tcPr>
            <w:tcW w:w="22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4B08287E"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Internal Processes</w:t>
            </w:r>
          </w:p>
        </w:tc>
        <w:tc>
          <w:tcPr>
            <w:tcW w:w="20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13064497"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Quality Control</w:t>
            </w:r>
          </w:p>
        </w:tc>
        <w:tc>
          <w:tcPr>
            <w:tcW w:w="20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72820E06"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Customer-reported defects</w:t>
            </w:r>
          </w:p>
        </w:tc>
        <w:tc>
          <w:tcPr>
            <w:tcW w:w="156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0260ECBA"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&lt;3 per 100 vehicles</w:t>
            </w:r>
          </w:p>
        </w:tc>
        <w:tc>
          <w:tcPr>
            <w:tcW w:w="16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5B664873"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AI-driven quality inspection systems</w:t>
            </w:r>
          </w:p>
        </w:tc>
      </w:tr>
      <w:tr w:rsidR="00EC7D49" w14:paraId="664478B6" w14:textId="77777777">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6F4429EB"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Internal Processes</w:t>
            </w:r>
          </w:p>
        </w:tc>
        <w:tc>
          <w:tcPr>
            <w:tcW w:w="2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25090D4A"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Supply Chain Resilience</w:t>
            </w:r>
          </w:p>
        </w:tc>
        <w:tc>
          <w:tcPr>
            <w:tcW w:w="2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674F9F88"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Battery cell self-sufficiency</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74A80177"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50% 4680 cells</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6C4D22FF"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4680 ramp-up; diversified supplier base</w:t>
            </w:r>
          </w:p>
        </w:tc>
      </w:tr>
      <w:tr w:rsidR="00EC7D49" w14:paraId="6A336E69" w14:textId="77777777">
        <w:tc>
          <w:tcPr>
            <w:tcW w:w="22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6BD7C37E"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Internal Processes</w:t>
            </w:r>
          </w:p>
        </w:tc>
        <w:tc>
          <w:tcPr>
            <w:tcW w:w="20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4F73AFC2"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Safety</w:t>
            </w:r>
          </w:p>
        </w:tc>
        <w:tc>
          <w:tcPr>
            <w:tcW w:w="20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242A9067"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Autopilot accident rate</w:t>
            </w:r>
          </w:p>
        </w:tc>
        <w:tc>
          <w:tcPr>
            <w:tcW w:w="156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0FF27A9D"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 xml:space="preserve">40% below national </w:t>
            </w:r>
            <w:proofErr w:type="spellStart"/>
            <w:r>
              <w:rPr>
                <w:rFonts w:ascii="Arial" w:eastAsia="Arial" w:hAnsi="Arial" w:cs="Arial"/>
                <w:color w:val="000000"/>
                <w:sz w:val="20"/>
                <w:szCs w:val="20"/>
              </w:rPr>
              <w:t>avg</w:t>
            </w:r>
            <w:proofErr w:type="spellEnd"/>
          </w:p>
        </w:tc>
        <w:tc>
          <w:tcPr>
            <w:tcW w:w="16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64569F8A"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FSD v12 neural net refinement; NHTSA engagement</w:t>
            </w:r>
          </w:p>
        </w:tc>
      </w:tr>
      <w:tr w:rsidR="00EC7D49" w14:paraId="0073B3A0" w14:textId="77777777">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521FA6F5"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Learning &amp; Growth</w:t>
            </w:r>
          </w:p>
        </w:tc>
        <w:tc>
          <w:tcPr>
            <w:tcW w:w="2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2354E5AA"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AI and R&amp;D Investment</w:t>
            </w:r>
          </w:p>
        </w:tc>
        <w:tc>
          <w:tcPr>
            <w:tcW w:w="2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0AFB6A60"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R&amp;D spend as % of revenue</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6A2CA084"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6%+</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4D16D845"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Dojo supercomputer expansion; FSD development</w:t>
            </w:r>
          </w:p>
        </w:tc>
      </w:tr>
      <w:tr w:rsidR="00EC7D49" w14:paraId="0D629C38" w14:textId="77777777">
        <w:tc>
          <w:tcPr>
            <w:tcW w:w="22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71BEAB75"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Learning &amp; Growth</w:t>
            </w:r>
          </w:p>
        </w:tc>
        <w:tc>
          <w:tcPr>
            <w:tcW w:w="20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3AC49966"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Employee Capability</w:t>
            </w:r>
          </w:p>
        </w:tc>
        <w:tc>
          <w:tcPr>
            <w:tcW w:w="20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233DA0AB"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Engineering headcount growth</w:t>
            </w:r>
          </w:p>
        </w:tc>
        <w:tc>
          <w:tcPr>
            <w:tcW w:w="156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0E4985F5"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 xml:space="preserve">+15% </w:t>
            </w:r>
            <w:proofErr w:type="spellStart"/>
            <w:r>
              <w:rPr>
                <w:rFonts w:ascii="Arial" w:eastAsia="Arial" w:hAnsi="Arial" w:cs="Arial"/>
                <w:color w:val="000000"/>
                <w:sz w:val="20"/>
                <w:szCs w:val="20"/>
              </w:rPr>
              <w:t>YoY</w:t>
            </w:r>
            <w:proofErr w:type="spellEnd"/>
          </w:p>
        </w:tc>
        <w:tc>
          <w:tcPr>
            <w:tcW w:w="16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35A4C692"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STEM talent acquisition; competitive compensation</w:t>
            </w:r>
          </w:p>
        </w:tc>
      </w:tr>
      <w:tr w:rsidR="00EC7D49" w14:paraId="6BDE7C1D" w14:textId="77777777">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1B0FC745"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Learning &amp; Growth</w:t>
            </w:r>
          </w:p>
        </w:tc>
        <w:tc>
          <w:tcPr>
            <w:tcW w:w="2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475C5B03"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Organisational Culture</w:t>
            </w:r>
          </w:p>
        </w:tc>
        <w:tc>
          <w:tcPr>
            <w:tcW w:w="2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3D1C5DBA"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Employee engagement score</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04448808"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75%+</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00" w:type="dxa"/>
              <w:bottom w:w="60" w:type="dxa"/>
              <w:right w:w="100" w:type="dxa"/>
            </w:tcMar>
          </w:tcPr>
          <w:p w14:paraId="54235E1E"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Leadership development; inclusive workplace initiatives</w:t>
            </w:r>
          </w:p>
        </w:tc>
      </w:tr>
      <w:tr w:rsidR="00EC7D49" w14:paraId="7F0F5E72" w14:textId="77777777">
        <w:tc>
          <w:tcPr>
            <w:tcW w:w="22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514C4EDC"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Learning &amp; Growth</w:t>
            </w:r>
          </w:p>
        </w:tc>
        <w:tc>
          <w:tcPr>
            <w:tcW w:w="20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777A1E2B"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Innovation Pipeline</w:t>
            </w:r>
          </w:p>
        </w:tc>
        <w:tc>
          <w:tcPr>
            <w:tcW w:w="20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22E44611"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New patents filed</w:t>
            </w:r>
          </w:p>
        </w:tc>
        <w:tc>
          <w:tcPr>
            <w:tcW w:w="156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2A60CA20"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500+ p.a.</w:t>
            </w:r>
          </w:p>
        </w:tc>
        <w:tc>
          <w:tcPr>
            <w:tcW w:w="1600" w:type="dxa"/>
            <w:tcBorders>
              <w:top w:val="single" w:sz="4" w:space="0" w:color="CCCCCC"/>
              <w:left w:val="single" w:sz="4" w:space="0" w:color="CCCCCC"/>
              <w:bottom w:val="single" w:sz="4" w:space="0" w:color="CCCCCC"/>
              <w:right w:val="single" w:sz="4" w:space="0" w:color="CCCCCC"/>
            </w:tcBorders>
            <w:shd w:val="clear" w:color="auto" w:fill="F2F2F2"/>
            <w:tcMar>
              <w:top w:w="60" w:type="dxa"/>
              <w:left w:w="100" w:type="dxa"/>
              <w:bottom w:w="60" w:type="dxa"/>
              <w:right w:w="100" w:type="dxa"/>
            </w:tcMar>
          </w:tcPr>
          <w:p w14:paraId="5E370032" w14:textId="77777777" w:rsidR="00EC7D49" w:rsidRDefault="00000000">
            <w:pPr>
              <w:spacing w:line="360" w:lineRule="auto"/>
              <w:rPr>
                <w:rFonts w:ascii="Arial" w:eastAsia="Arial" w:hAnsi="Arial" w:cs="Arial"/>
                <w:sz w:val="24"/>
                <w:szCs w:val="24"/>
              </w:rPr>
            </w:pPr>
            <w:r>
              <w:rPr>
                <w:rFonts w:ascii="Arial" w:eastAsia="Arial" w:hAnsi="Arial" w:cs="Arial"/>
                <w:color w:val="000000"/>
                <w:sz w:val="20"/>
                <w:szCs w:val="20"/>
              </w:rPr>
              <w:t>Battery tech R&amp;D; robotics (Optimus); energy AI</w:t>
            </w:r>
          </w:p>
        </w:tc>
      </w:tr>
    </w:tbl>
    <w:p w14:paraId="0BA724EB" w14:textId="77777777" w:rsidR="00EC7D49" w:rsidRDefault="00EC7D49">
      <w:pPr>
        <w:spacing w:line="360" w:lineRule="auto"/>
        <w:rPr>
          <w:rFonts w:ascii="Arial" w:eastAsia="Arial" w:hAnsi="Arial" w:cs="Arial"/>
          <w:sz w:val="24"/>
          <w:szCs w:val="24"/>
        </w:rPr>
      </w:pPr>
    </w:p>
    <w:p w14:paraId="263FF542"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 xml:space="preserve">The Financial perspective shows a strategic focus of margins recovery by Tesla after the price war of 2023. Tesla aims to </w:t>
      </w:r>
      <w:proofErr w:type="spellStart"/>
      <w:r>
        <w:rPr>
          <w:rFonts w:ascii="Arial" w:eastAsia="Arial" w:hAnsi="Arial" w:cs="Arial"/>
          <w:sz w:val="24"/>
          <w:szCs w:val="24"/>
        </w:rPr>
        <w:t>reestablish</w:t>
      </w:r>
      <w:proofErr w:type="spellEnd"/>
      <w:r>
        <w:rPr>
          <w:rFonts w:ascii="Arial" w:eastAsia="Arial" w:hAnsi="Arial" w:cs="Arial"/>
          <w:sz w:val="24"/>
          <w:szCs w:val="24"/>
        </w:rPr>
        <w:t xml:space="preserve"> the profitability buffer it needs to undertake its aggressive growth agenda by concentrating on automotive gross margins exceeding 22% through the manufacturing economies of scale it has created via its 4680 battery programme (Tesla, Inc., 2024a). The Customer view explains that the planned Model 2, which is an affordable EV priced under $30,000, is crucial in dealing with the mass-market segment and protecting against the price-competitive propositions of BYD (</w:t>
      </w:r>
      <w:proofErr w:type="spellStart"/>
      <w:r>
        <w:rPr>
          <w:rFonts w:ascii="Arial" w:eastAsia="Arial" w:hAnsi="Arial" w:cs="Arial"/>
          <w:sz w:val="24"/>
          <w:szCs w:val="24"/>
        </w:rPr>
        <w:t>BloombergNEF</w:t>
      </w:r>
      <w:proofErr w:type="spellEnd"/>
      <w:r>
        <w:rPr>
          <w:rFonts w:ascii="Arial" w:eastAsia="Arial" w:hAnsi="Arial" w:cs="Arial"/>
          <w:sz w:val="24"/>
          <w:szCs w:val="24"/>
        </w:rPr>
        <w:t>, 2024).</w:t>
      </w:r>
    </w:p>
    <w:p w14:paraId="7EB0AD0E"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The Internal Processes view highlights that Tesla emphasized a radical approach to unboxed manufacturing, whereby vehicles are assembled using big, pre-assembled sub-assemblies, to save a lot of factory floor and assembly time. Tesla estimates that the cost of manufacturing using this process will be cut by as much as 50 percent on subsequent platforms (Tesla, Inc., 2024b). The prospect of the Learning and Growth view is based on the central role of artificial intelligence and the Dojo supercomputer in the long-term plan of Tesla to become autonomous, and the FSD capability is the most transformative potential source of revenue in the history of the company.</w:t>
      </w:r>
    </w:p>
    <w:p w14:paraId="5AEBE83F" w14:textId="77777777" w:rsidR="00EC7D49" w:rsidRDefault="00EC7D49">
      <w:pPr>
        <w:spacing w:line="360" w:lineRule="auto"/>
        <w:rPr>
          <w:rFonts w:ascii="Arial" w:eastAsia="Arial" w:hAnsi="Arial" w:cs="Arial"/>
          <w:sz w:val="24"/>
          <w:szCs w:val="24"/>
        </w:rPr>
      </w:pPr>
    </w:p>
    <w:p w14:paraId="2739A3F6" w14:textId="77777777" w:rsidR="00EC7D49" w:rsidRDefault="00000000">
      <w:pPr>
        <w:pStyle w:val="Heading1"/>
        <w:pBdr>
          <w:bottom w:val="single" w:sz="8" w:space="2" w:color="2E75B6"/>
        </w:pBdr>
        <w:spacing w:line="360" w:lineRule="auto"/>
        <w:rPr>
          <w:rFonts w:ascii="Arial" w:eastAsia="Arial" w:hAnsi="Arial" w:cs="Arial"/>
          <w:sz w:val="30"/>
          <w:szCs w:val="30"/>
        </w:rPr>
      </w:pPr>
      <w:r>
        <w:rPr>
          <w:rFonts w:ascii="Arial" w:eastAsia="Arial" w:hAnsi="Arial" w:cs="Arial"/>
          <w:sz w:val="30"/>
          <w:szCs w:val="30"/>
        </w:rPr>
        <w:t>5. Strategic Choices and Implementation</w:t>
      </w:r>
    </w:p>
    <w:p w14:paraId="6953DD7F" w14:textId="77777777" w:rsidR="00EC7D49" w:rsidRDefault="00000000">
      <w:pPr>
        <w:pStyle w:val="Heading2"/>
        <w:spacing w:line="360" w:lineRule="auto"/>
        <w:rPr>
          <w:rFonts w:ascii="Arial" w:eastAsia="Arial" w:hAnsi="Arial" w:cs="Arial"/>
          <w:sz w:val="26"/>
          <w:szCs w:val="26"/>
        </w:rPr>
      </w:pPr>
      <w:r>
        <w:rPr>
          <w:rFonts w:ascii="Arial" w:eastAsia="Arial" w:hAnsi="Arial" w:cs="Arial"/>
          <w:sz w:val="26"/>
          <w:szCs w:val="26"/>
        </w:rPr>
        <w:t>5.1 Business-Level Strategies</w:t>
      </w:r>
    </w:p>
    <w:p w14:paraId="516535C4"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On the business level, Tesla has always led on the differentiation strategy (Porter, 1985), asking high prices due to technological leadership, brand presence, performance advantage, and a system of services (Supercharging, OTA updates, Autopilot). This distinction has allowed Tesla to have pricing power in lucrative segments amid competition. Nonetheless, the 2023 price cuts do not mark the end of the strategy since it is a strategic shift to a hybrid differentiation-cost leadership strategy, or rather what Kim and Mauborgne (2023) call a value innovation strategy, both going after differentiation and at the same time pursuing cost reduction to enter wider market segments.</w:t>
      </w:r>
    </w:p>
    <w:p w14:paraId="4295772B" w14:textId="77777777" w:rsidR="00B06C92" w:rsidRDefault="00B06C92">
      <w:pPr>
        <w:spacing w:before="60" w:after="60" w:line="360" w:lineRule="auto"/>
        <w:jc w:val="both"/>
        <w:rPr>
          <w:rFonts w:ascii="Arial" w:eastAsia="Arial" w:hAnsi="Arial" w:cs="Arial"/>
          <w:sz w:val="24"/>
          <w:szCs w:val="24"/>
        </w:rPr>
      </w:pPr>
    </w:p>
    <w:p w14:paraId="35A9635D" w14:textId="77777777" w:rsidR="00B06C92" w:rsidRDefault="00B06C92">
      <w:pPr>
        <w:spacing w:before="60" w:after="60" w:line="360" w:lineRule="auto"/>
        <w:jc w:val="both"/>
        <w:rPr>
          <w:rFonts w:ascii="Arial" w:eastAsia="Arial" w:hAnsi="Arial" w:cs="Arial"/>
          <w:sz w:val="24"/>
          <w:szCs w:val="24"/>
        </w:rPr>
      </w:pPr>
    </w:p>
    <w:p w14:paraId="32CC77DF"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 xml:space="preserve">The intention to launch a new model, the Model 2 (under $30,000 EV), is the most overt attempt by Tesla to engage in cost leadership in mass markets, drawing on the economies of scale in </w:t>
      </w:r>
      <w:proofErr w:type="spellStart"/>
      <w:r>
        <w:rPr>
          <w:rFonts w:ascii="Arial" w:eastAsia="Arial" w:hAnsi="Arial" w:cs="Arial"/>
          <w:sz w:val="24"/>
          <w:szCs w:val="24"/>
        </w:rPr>
        <w:t>Gigafactory</w:t>
      </w:r>
      <w:proofErr w:type="spellEnd"/>
      <w:r>
        <w:rPr>
          <w:rFonts w:ascii="Arial" w:eastAsia="Arial" w:hAnsi="Arial" w:cs="Arial"/>
          <w:sz w:val="24"/>
          <w:szCs w:val="24"/>
        </w:rPr>
        <w:t>, cost curves of 4680 batteries and unboxed manufacturing to align costs with competitors or outperform them without losing brand differentiation (Johnson et al., 2023).</w:t>
      </w:r>
    </w:p>
    <w:p w14:paraId="691F6D6B" w14:textId="77777777" w:rsidR="00EC7D49" w:rsidRDefault="00000000">
      <w:pPr>
        <w:pStyle w:val="Heading2"/>
        <w:spacing w:line="360" w:lineRule="auto"/>
        <w:rPr>
          <w:rFonts w:ascii="Arial" w:eastAsia="Arial" w:hAnsi="Arial" w:cs="Arial"/>
          <w:sz w:val="26"/>
          <w:szCs w:val="26"/>
        </w:rPr>
      </w:pPr>
      <w:r>
        <w:rPr>
          <w:rFonts w:ascii="Arial" w:eastAsia="Arial" w:hAnsi="Arial" w:cs="Arial"/>
          <w:sz w:val="26"/>
          <w:szCs w:val="26"/>
        </w:rPr>
        <w:t>5.2 Corporate-Level Strategies</w:t>
      </w:r>
    </w:p>
    <w:p w14:paraId="75B57FAE"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On the corporate scale, Tesla is conducting concentric diversification - adding new areas of operation (energy storage, solar, robotics) that would use its expertise in battery technology, power electronics, and software. Such diversification limits the cyclicality of automotive revenue and leverages cross-segment chances (</w:t>
      </w:r>
      <w:proofErr w:type="spellStart"/>
      <w:r>
        <w:rPr>
          <w:rFonts w:ascii="Arial" w:eastAsia="Arial" w:hAnsi="Arial" w:cs="Arial"/>
          <w:sz w:val="24"/>
          <w:szCs w:val="24"/>
        </w:rPr>
        <w:t>Wheelen</w:t>
      </w:r>
      <w:proofErr w:type="spellEnd"/>
      <w:r>
        <w:rPr>
          <w:rFonts w:ascii="Arial" w:eastAsia="Arial" w:hAnsi="Arial" w:cs="Arial"/>
          <w:sz w:val="24"/>
          <w:szCs w:val="24"/>
        </w:rPr>
        <w:t xml:space="preserve"> et al., 2022). Tesla gained 54% in the </w:t>
      </w:r>
      <w:proofErr w:type="spellStart"/>
      <w:r>
        <w:rPr>
          <w:rFonts w:ascii="Arial" w:eastAsia="Arial" w:hAnsi="Arial" w:cs="Arial"/>
          <w:sz w:val="24"/>
          <w:szCs w:val="24"/>
        </w:rPr>
        <w:t>Megapack</w:t>
      </w:r>
      <w:proofErr w:type="spellEnd"/>
      <w:r>
        <w:rPr>
          <w:rFonts w:ascii="Arial" w:eastAsia="Arial" w:hAnsi="Arial" w:cs="Arial"/>
          <w:sz w:val="24"/>
          <w:szCs w:val="24"/>
        </w:rPr>
        <w:t xml:space="preserve"> and </w:t>
      </w:r>
      <w:proofErr w:type="spellStart"/>
      <w:r>
        <w:rPr>
          <w:rFonts w:ascii="Arial" w:eastAsia="Arial" w:hAnsi="Arial" w:cs="Arial"/>
          <w:sz w:val="24"/>
          <w:szCs w:val="24"/>
        </w:rPr>
        <w:t>Powerwall</w:t>
      </w:r>
      <w:proofErr w:type="spellEnd"/>
      <w:r>
        <w:rPr>
          <w:rFonts w:ascii="Arial" w:eastAsia="Arial" w:hAnsi="Arial" w:cs="Arial"/>
          <w:sz w:val="24"/>
          <w:szCs w:val="24"/>
        </w:rPr>
        <w:t xml:space="preserve"> businesses in 2023, indicating the arrival of the Energy segment as a major driver of growth (Tesla, Inc., 2024a).</w:t>
      </w:r>
    </w:p>
    <w:p w14:paraId="4EF01FEF"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 xml:space="preserve">Global growth, especially in India (announced new </w:t>
      </w:r>
      <w:proofErr w:type="spellStart"/>
      <w:r>
        <w:rPr>
          <w:rFonts w:ascii="Arial" w:eastAsia="Arial" w:hAnsi="Arial" w:cs="Arial"/>
          <w:sz w:val="24"/>
          <w:szCs w:val="24"/>
        </w:rPr>
        <w:t>Gigafactory</w:t>
      </w:r>
      <w:proofErr w:type="spellEnd"/>
      <w:r>
        <w:rPr>
          <w:rFonts w:ascii="Arial" w:eastAsia="Arial" w:hAnsi="Arial" w:cs="Arial"/>
          <w:sz w:val="24"/>
          <w:szCs w:val="24"/>
        </w:rPr>
        <w:t xml:space="preserve"> in 2024) and other Southeast Asian markets is a strategic priority at the corporate level that needs to be urgently addressed. These markets have increasing consumer markets with middle-income, strengthening EV infrastructure and government incentive programmes that combine to form favourable conditions in EV demand (KPMG, 2023).</w:t>
      </w:r>
    </w:p>
    <w:p w14:paraId="6D05F90D" w14:textId="77777777" w:rsidR="00EC7D49" w:rsidRDefault="00000000">
      <w:pPr>
        <w:pStyle w:val="Heading2"/>
        <w:spacing w:line="360" w:lineRule="auto"/>
        <w:rPr>
          <w:rFonts w:ascii="Arial" w:eastAsia="Arial" w:hAnsi="Arial" w:cs="Arial"/>
          <w:sz w:val="26"/>
          <w:szCs w:val="26"/>
        </w:rPr>
      </w:pPr>
      <w:r>
        <w:rPr>
          <w:rFonts w:ascii="Arial" w:eastAsia="Arial" w:hAnsi="Arial" w:cs="Arial"/>
          <w:sz w:val="26"/>
          <w:szCs w:val="26"/>
        </w:rPr>
        <w:t>5.3 Recommended Strategic Choices</w:t>
      </w:r>
    </w:p>
    <w:p w14:paraId="193050C6"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The report suggests that Tesla should focus on the most urgent strategic activity of the fast development and introduction of the Model 2. Chinese consumer preferences and emerging markets that are cost-sensitive are pushing the centre of gravity in the global EV market to sub-30,000 vehicles (IEA, 2024). Waiting to enter affordable EV means giving up this high-volume, high-growth market segment to BYD and other price-competitive competitors forever. Also, Tesla would also aggressively monetise FSD via subscription revenue, which has almost zero marginal cost and would be able to earn Tesla $5-10 billion per year in recurring revenue at scale (ARK Invest, 2024). It would change the Tesla financial profile to no longer be a cyclical automotive manufacturer and instead a high-margin technology platform, a business that should be fundamentally revaluated.</w:t>
      </w:r>
    </w:p>
    <w:p w14:paraId="6D9788E1" w14:textId="77777777" w:rsidR="00EC7D49" w:rsidRDefault="00000000">
      <w:pPr>
        <w:pStyle w:val="Heading2"/>
        <w:spacing w:line="360" w:lineRule="auto"/>
        <w:rPr>
          <w:rFonts w:ascii="Arial" w:eastAsia="Arial" w:hAnsi="Arial" w:cs="Arial"/>
          <w:sz w:val="26"/>
          <w:szCs w:val="26"/>
        </w:rPr>
      </w:pPr>
      <w:r>
        <w:rPr>
          <w:rFonts w:ascii="Arial" w:eastAsia="Arial" w:hAnsi="Arial" w:cs="Arial"/>
          <w:sz w:val="26"/>
          <w:szCs w:val="26"/>
        </w:rPr>
        <w:t>5.4 Strategic Change Management</w:t>
      </w:r>
    </w:p>
    <w:p w14:paraId="696B0E7B"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 xml:space="preserve">The core strategic change implemented by Tesla has traditionally been marked by top-down and fast-paced decision making, which is predetermined by the centralised leadership style of Elon Musk. Though this practice allowed making quick changes to the market opportunities (e.g., adjusting prices quickly, shortening the </w:t>
      </w:r>
      <w:proofErr w:type="spellStart"/>
      <w:r>
        <w:rPr>
          <w:rFonts w:ascii="Arial" w:eastAsia="Arial" w:hAnsi="Arial" w:cs="Arial"/>
          <w:sz w:val="24"/>
          <w:szCs w:val="24"/>
        </w:rPr>
        <w:t>Gigafactory</w:t>
      </w:r>
      <w:proofErr w:type="spellEnd"/>
      <w:r>
        <w:rPr>
          <w:rFonts w:ascii="Arial" w:eastAsia="Arial" w:hAnsi="Arial" w:cs="Arial"/>
          <w:sz w:val="24"/>
          <w:szCs w:val="24"/>
        </w:rPr>
        <w:t xml:space="preserve"> schedules), it has also led to operations inconsistency, issues with quality control, and workforce management problems (Kotter, 2021). The 2024 layoff of about 10% of the workforce worldwide, carried out with very little warning, is an example of how strained agile strategic responsiveness can be against the responsible change management practice. In order to maintain competitive advantage based on organisational capability, Tesla should reinvest its institutional change management systems, such as stakeholder involvement, open communication and systematic transition planning to balance its strategic agility with organisational stability.</w:t>
      </w:r>
    </w:p>
    <w:p w14:paraId="5D43ED50" w14:textId="77777777" w:rsidR="00EC7D49" w:rsidRDefault="00000000">
      <w:pPr>
        <w:pStyle w:val="Heading1"/>
        <w:pBdr>
          <w:bottom w:val="single" w:sz="8" w:space="2" w:color="2E75B6"/>
        </w:pBdr>
        <w:spacing w:line="360" w:lineRule="auto"/>
        <w:rPr>
          <w:rFonts w:ascii="Arial" w:eastAsia="Arial" w:hAnsi="Arial" w:cs="Arial"/>
          <w:sz w:val="30"/>
          <w:szCs w:val="30"/>
        </w:rPr>
      </w:pPr>
      <w:r>
        <w:rPr>
          <w:rFonts w:ascii="Arial" w:eastAsia="Arial" w:hAnsi="Arial" w:cs="Arial"/>
          <w:sz w:val="30"/>
          <w:szCs w:val="30"/>
        </w:rPr>
        <w:t>6. Strategic Evaluation and Recommendations</w:t>
      </w:r>
    </w:p>
    <w:p w14:paraId="11F3F7D9" w14:textId="77777777" w:rsidR="00EC7D49" w:rsidRDefault="00000000">
      <w:pPr>
        <w:pStyle w:val="Heading2"/>
        <w:spacing w:line="360" w:lineRule="auto"/>
        <w:rPr>
          <w:rFonts w:ascii="Arial" w:eastAsia="Arial" w:hAnsi="Arial" w:cs="Arial"/>
          <w:sz w:val="26"/>
          <w:szCs w:val="26"/>
        </w:rPr>
      </w:pPr>
      <w:r>
        <w:rPr>
          <w:rFonts w:ascii="Arial" w:eastAsia="Arial" w:hAnsi="Arial" w:cs="Arial"/>
          <w:sz w:val="26"/>
          <w:szCs w:val="26"/>
        </w:rPr>
        <w:t>6.1 SWOT Analysis</w:t>
      </w:r>
    </w:p>
    <w:p w14:paraId="5777F4E1"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color w:val="000000"/>
          <w:sz w:val="24"/>
          <w:szCs w:val="24"/>
        </w:rPr>
        <w:t>The following SWOT matrix synthesises the strategic findings from the PESTEL and VRIO analyses to provide an integrated evaluation of Tesla's strategic position (</w:t>
      </w:r>
      <w:proofErr w:type="spellStart"/>
      <w:r>
        <w:rPr>
          <w:rFonts w:ascii="Arial" w:eastAsia="Arial" w:hAnsi="Arial" w:cs="Arial"/>
          <w:color w:val="000000"/>
          <w:sz w:val="24"/>
          <w:szCs w:val="24"/>
        </w:rPr>
        <w:t>Wheelen</w:t>
      </w:r>
      <w:proofErr w:type="spellEnd"/>
      <w:r>
        <w:rPr>
          <w:rFonts w:ascii="Arial" w:eastAsia="Arial" w:hAnsi="Arial" w:cs="Arial"/>
          <w:color w:val="000000"/>
          <w:sz w:val="24"/>
          <w:szCs w:val="24"/>
        </w:rPr>
        <w:t xml:space="preserve"> et al., 2022):</w:t>
      </w:r>
    </w:p>
    <w:p w14:paraId="2FFA4CA8" w14:textId="77777777" w:rsidR="00EC7D49" w:rsidRDefault="00EC7D49">
      <w:pPr>
        <w:spacing w:line="360" w:lineRule="auto"/>
        <w:rPr>
          <w:rFonts w:ascii="Arial" w:eastAsia="Arial" w:hAnsi="Arial" w:cs="Arial"/>
          <w:sz w:val="24"/>
          <w:szCs w:val="24"/>
        </w:rPr>
      </w:pPr>
    </w:p>
    <w:tbl>
      <w:tblPr>
        <w:tblStyle w:val="a2"/>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680"/>
        <w:gridCol w:w="4680"/>
      </w:tblGrid>
      <w:tr w:rsidR="00EC7D49" w14:paraId="4FD29C6F" w14:textId="77777777">
        <w:tc>
          <w:tcPr>
            <w:tcW w:w="4680" w:type="dxa"/>
            <w:tcBorders>
              <w:top w:val="single" w:sz="4" w:space="0" w:color="CCCCCC"/>
              <w:left w:val="single" w:sz="4" w:space="0" w:color="CCCCCC"/>
              <w:bottom w:val="single" w:sz="4" w:space="0" w:color="CCCCCC"/>
              <w:right w:val="single" w:sz="4" w:space="0" w:color="CCCCCC"/>
            </w:tcBorders>
            <w:shd w:val="clear" w:color="auto" w:fill="D4EDDA"/>
            <w:tcMar>
              <w:top w:w="80" w:type="dxa"/>
              <w:left w:w="120" w:type="dxa"/>
              <w:bottom w:w="80" w:type="dxa"/>
              <w:right w:w="120" w:type="dxa"/>
            </w:tcMar>
          </w:tcPr>
          <w:p w14:paraId="305B989B" w14:textId="77777777" w:rsidR="00EC7D49" w:rsidRDefault="00000000">
            <w:pPr>
              <w:spacing w:line="360" w:lineRule="auto"/>
              <w:rPr>
                <w:rFonts w:ascii="Arial" w:eastAsia="Arial" w:hAnsi="Arial" w:cs="Arial"/>
                <w:sz w:val="24"/>
                <w:szCs w:val="24"/>
              </w:rPr>
            </w:pPr>
            <w:r>
              <w:rPr>
                <w:rFonts w:ascii="Arial" w:eastAsia="Arial" w:hAnsi="Arial" w:cs="Arial"/>
                <w:b/>
                <w:bCs/>
                <w:color w:val="1F3864"/>
              </w:rPr>
              <w:t>STRENGTHS</w:t>
            </w:r>
          </w:p>
          <w:p w14:paraId="44FA4867" w14:textId="77777777" w:rsidR="00EC7D49" w:rsidRDefault="00000000">
            <w:pPr>
              <w:spacing w:before="30" w:after="30" w:line="360" w:lineRule="auto"/>
              <w:rPr>
                <w:rFonts w:ascii="Arial" w:eastAsia="Arial" w:hAnsi="Arial" w:cs="Arial"/>
                <w:sz w:val="24"/>
                <w:szCs w:val="24"/>
              </w:rPr>
            </w:pPr>
            <w:r>
              <w:rPr>
                <w:rFonts w:ascii="Arial" w:eastAsia="Arial" w:hAnsi="Arial" w:cs="Arial"/>
                <w:color w:val="000000"/>
                <w:sz w:val="20"/>
                <w:szCs w:val="20"/>
              </w:rPr>
              <w:t>• Global EV market leader with ~18% share</w:t>
            </w:r>
          </w:p>
          <w:p w14:paraId="50B865F1" w14:textId="77777777" w:rsidR="00EC7D49" w:rsidRDefault="00000000">
            <w:pPr>
              <w:spacing w:before="30" w:after="30" w:line="360" w:lineRule="auto"/>
              <w:rPr>
                <w:rFonts w:ascii="Arial" w:eastAsia="Arial" w:hAnsi="Arial" w:cs="Arial"/>
                <w:sz w:val="24"/>
                <w:szCs w:val="24"/>
              </w:rPr>
            </w:pPr>
            <w:r>
              <w:rPr>
                <w:rFonts w:ascii="Arial" w:eastAsia="Arial" w:hAnsi="Arial" w:cs="Arial"/>
                <w:color w:val="000000"/>
                <w:sz w:val="20"/>
                <w:szCs w:val="20"/>
              </w:rPr>
              <w:t>• Vertically integrated supply chain (</w:t>
            </w:r>
            <w:proofErr w:type="spellStart"/>
            <w:r>
              <w:rPr>
                <w:rFonts w:ascii="Arial" w:eastAsia="Arial" w:hAnsi="Arial" w:cs="Arial"/>
                <w:color w:val="000000"/>
                <w:sz w:val="20"/>
                <w:szCs w:val="20"/>
              </w:rPr>
              <w:t>Gigafactories</w:t>
            </w:r>
            <w:proofErr w:type="spellEnd"/>
            <w:r>
              <w:rPr>
                <w:rFonts w:ascii="Arial" w:eastAsia="Arial" w:hAnsi="Arial" w:cs="Arial"/>
                <w:color w:val="000000"/>
                <w:sz w:val="20"/>
                <w:szCs w:val="20"/>
              </w:rPr>
              <w:t>)</w:t>
            </w:r>
          </w:p>
          <w:p w14:paraId="4D2BB62D" w14:textId="77777777" w:rsidR="00EC7D49" w:rsidRDefault="00000000">
            <w:pPr>
              <w:spacing w:before="30" w:after="30" w:line="360" w:lineRule="auto"/>
              <w:rPr>
                <w:rFonts w:ascii="Arial" w:eastAsia="Arial" w:hAnsi="Arial" w:cs="Arial"/>
                <w:sz w:val="24"/>
                <w:szCs w:val="24"/>
              </w:rPr>
            </w:pPr>
            <w:r>
              <w:rPr>
                <w:rFonts w:ascii="Arial" w:eastAsia="Arial" w:hAnsi="Arial" w:cs="Arial"/>
                <w:color w:val="000000"/>
                <w:sz w:val="20"/>
                <w:szCs w:val="20"/>
              </w:rPr>
              <w:t>• Proprietary Autopilot/FSD technology</w:t>
            </w:r>
          </w:p>
          <w:p w14:paraId="20F8BE35" w14:textId="77777777" w:rsidR="00EC7D49" w:rsidRDefault="00000000">
            <w:pPr>
              <w:spacing w:before="30" w:after="30" w:line="360" w:lineRule="auto"/>
              <w:rPr>
                <w:rFonts w:ascii="Arial" w:eastAsia="Arial" w:hAnsi="Arial" w:cs="Arial"/>
                <w:sz w:val="24"/>
                <w:szCs w:val="24"/>
              </w:rPr>
            </w:pPr>
            <w:r>
              <w:rPr>
                <w:rFonts w:ascii="Arial" w:eastAsia="Arial" w:hAnsi="Arial" w:cs="Arial"/>
                <w:color w:val="000000"/>
                <w:sz w:val="20"/>
                <w:szCs w:val="20"/>
              </w:rPr>
              <w:t>• Strong brand equity and loyal customer base</w:t>
            </w:r>
          </w:p>
          <w:p w14:paraId="01A5B347" w14:textId="77777777" w:rsidR="00EC7D49" w:rsidRDefault="00000000">
            <w:pPr>
              <w:spacing w:before="30" w:after="30" w:line="360" w:lineRule="auto"/>
              <w:rPr>
                <w:rFonts w:ascii="Arial" w:eastAsia="Arial" w:hAnsi="Arial" w:cs="Arial"/>
                <w:sz w:val="24"/>
                <w:szCs w:val="24"/>
              </w:rPr>
            </w:pPr>
            <w:r>
              <w:rPr>
                <w:rFonts w:ascii="Arial" w:eastAsia="Arial" w:hAnsi="Arial" w:cs="Arial"/>
                <w:color w:val="000000"/>
                <w:sz w:val="20"/>
                <w:szCs w:val="20"/>
              </w:rPr>
              <w:t>• Supercharger network across 50+ countries</w:t>
            </w:r>
          </w:p>
        </w:tc>
        <w:tc>
          <w:tcPr>
            <w:tcW w:w="4680" w:type="dxa"/>
            <w:tcBorders>
              <w:top w:val="single" w:sz="4" w:space="0" w:color="CCCCCC"/>
              <w:left w:val="single" w:sz="4" w:space="0" w:color="CCCCCC"/>
              <w:bottom w:val="single" w:sz="4" w:space="0" w:color="CCCCCC"/>
              <w:right w:val="single" w:sz="4" w:space="0" w:color="CCCCCC"/>
            </w:tcBorders>
            <w:shd w:val="clear" w:color="auto" w:fill="FFF3CD"/>
            <w:tcMar>
              <w:top w:w="80" w:type="dxa"/>
              <w:left w:w="120" w:type="dxa"/>
              <w:bottom w:w="80" w:type="dxa"/>
              <w:right w:w="120" w:type="dxa"/>
            </w:tcMar>
          </w:tcPr>
          <w:p w14:paraId="4CDB4ADD" w14:textId="77777777" w:rsidR="00EC7D49" w:rsidRDefault="00000000">
            <w:pPr>
              <w:spacing w:line="360" w:lineRule="auto"/>
              <w:rPr>
                <w:rFonts w:ascii="Arial" w:eastAsia="Arial" w:hAnsi="Arial" w:cs="Arial"/>
                <w:sz w:val="24"/>
                <w:szCs w:val="24"/>
              </w:rPr>
            </w:pPr>
            <w:r>
              <w:rPr>
                <w:rFonts w:ascii="Arial" w:eastAsia="Arial" w:hAnsi="Arial" w:cs="Arial"/>
                <w:b/>
                <w:bCs/>
                <w:color w:val="1F3864"/>
              </w:rPr>
              <w:t>WEAKNESSES</w:t>
            </w:r>
          </w:p>
          <w:p w14:paraId="13D3D03D" w14:textId="77777777" w:rsidR="00EC7D49" w:rsidRDefault="00000000">
            <w:pPr>
              <w:spacing w:before="30" w:after="30" w:line="360" w:lineRule="auto"/>
              <w:rPr>
                <w:rFonts w:ascii="Arial" w:eastAsia="Arial" w:hAnsi="Arial" w:cs="Arial"/>
                <w:sz w:val="24"/>
                <w:szCs w:val="24"/>
              </w:rPr>
            </w:pPr>
            <w:r>
              <w:rPr>
                <w:rFonts w:ascii="Arial" w:eastAsia="Arial" w:hAnsi="Arial" w:cs="Arial"/>
                <w:color w:val="000000"/>
                <w:sz w:val="20"/>
                <w:szCs w:val="20"/>
              </w:rPr>
              <w:t>• High vehicle price points limit mass-market access</w:t>
            </w:r>
          </w:p>
          <w:p w14:paraId="3FE86BD5" w14:textId="77777777" w:rsidR="00EC7D49" w:rsidRDefault="00000000">
            <w:pPr>
              <w:spacing w:before="30" w:after="30" w:line="360" w:lineRule="auto"/>
              <w:rPr>
                <w:rFonts w:ascii="Arial" w:eastAsia="Arial" w:hAnsi="Arial" w:cs="Arial"/>
                <w:sz w:val="24"/>
                <w:szCs w:val="24"/>
              </w:rPr>
            </w:pPr>
            <w:r>
              <w:rPr>
                <w:rFonts w:ascii="Arial" w:eastAsia="Arial" w:hAnsi="Arial" w:cs="Arial"/>
                <w:color w:val="000000"/>
                <w:sz w:val="20"/>
                <w:szCs w:val="20"/>
              </w:rPr>
              <w:t>• Quality control inconsistencies reported</w:t>
            </w:r>
          </w:p>
          <w:p w14:paraId="527DA2A5" w14:textId="77777777" w:rsidR="00EC7D49" w:rsidRDefault="00000000">
            <w:pPr>
              <w:spacing w:before="30" w:after="30" w:line="360" w:lineRule="auto"/>
              <w:rPr>
                <w:rFonts w:ascii="Arial" w:eastAsia="Arial" w:hAnsi="Arial" w:cs="Arial"/>
                <w:sz w:val="24"/>
                <w:szCs w:val="24"/>
              </w:rPr>
            </w:pPr>
            <w:r>
              <w:rPr>
                <w:rFonts w:ascii="Arial" w:eastAsia="Arial" w:hAnsi="Arial" w:cs="Arial"/>
                <w:color w:val="000000"/>
                <w:sz w:val="20"/>
                <w:szCs w:val="20"/>
              </w:rPr>
              <w:t>• Over-dependence on Elon Musk's personal brand</w:t>
            </w:r>
          </w:p>
          <w:p w14:paraId="38D56CBB" w14:textId="77777777" w:rsidR="00EC7D49" w:rsidRDefault="00000000">
            <w:pPr>
              <w:spacing w:before="30" w:after="30" w:line="360" w:lineRule="auto"/>
              <w:rPr>
                <w:rFonts w:ascii="Arial" w:eastAsia="Arial" w:hAnsi="Arial" w:cs="Arial"/>
                <w:sz w:val="24"/>
                <w:szCs w:val="24"/>
              </w:rPr>
            </w:pPr>
            <w:r>
              <w:rPr>
                <w:rFonts w:ascii="Arial" w:eastAsia="Arial" w:hAnsi="Arial" w:cs="Arial"/>
                <w:color w:val="000000"/>
                <w:sz w:val="20"/>
                <w:szCs w:val="20"/>
              </w:rPr>
              <w:t>• Limited model range compared to legacy automakers</w:t>
            </w:r>
          </w:p>
          <w:p w14:paraId="6EB92523" w14:textId="77777777" w:rsidR="00EC7D49" w:rsidRDefault="00000000">
            <w:pPr>
              <w:spacing w:before="30" w:after="30" w:line="360" w:lineRule="auto"/>
              <w:rPr>
                <w:rFonts w:ascii="Arial" w:eastAsia="Arial" w:hAnsi="Arial" w:cs="Arial"/>
                <w:sz w:val="24"/>
                <w:szCs w:val="24"/>
              </w:rPr>
            </w:pPr>
            <w:r>
              <w:rPr>
                <w:rFonts w:ascii="Arial" w:eastAsia="Arial" w:hAnsi="Arial" w:cs="Arial"/>
                <w:color w:val="000000"/>
                <w:sz w:val="20"/>
                <w:szCs w:val="20"/>
              </w:rPr>
              <w:t xml:space="preserve">• Production ramp-up delays at new </w:t>
            </w:r>
            <w:proofErr w:type="spellStart"/>
            <w:r>
              <w:rPr>
                <w:rFonts w:ascii="Arial" w:eastAsia="Arial" w:hAnsi="Arial" w:cs="Arial"/>
                <w:color w:val="000000"/>
                <w:sz w:val="20"/>
                <w:szCs w:val="20"/>
              </w:rPr>
              <w:t>Gigafactories</w:t>
            </w:r>
            <w:proofErr w:type="spellEnd"/>
          </w:p>
        </w:tc>
      </w:tr>
      <w:tr w:rsidR="00EC7D49" w14:paraId="4A374479" w14:textId="77777777">
        <w:tc>
          <w:tcPr>
            <w:tcW w:w="4680" w:type="dxa"/>
            <w:tcBorders>
              <w:top w:val="single" w:sz="4" w:space="0" w:color="CCCCCC"/>
              <w:left w:val="single" w:sz="4" w:space="0" w:color="CCCCCC"/>
              <w:bottom w:val="single" w:sz="4" w:space="0" w:color="CCCCCC"/>
              <w:right w:val="single" w:sz="4" w:space="0" w:color="CCCCCC"/>
            </w:tcBorders>
            <w:shd w:val="clear" w:color="auto" w:fill="CCE5FF"/>
            <w:tcMar>
              <w:top w:w="80" w:type="dxa"/>
              <w:left w:w="120" w:type="dxa"/>
              <w:bottom w:w="80" w:type="dxa"/>
              <w:right w:w="120" w:type="dxa"/>
            </w:tcMar>
          </w:tcPr>
          <w:p w14:paraId="5DC83DBE" w14:textId="77777777" w:rsidR="00EC7D49" w:rsidRDefault="00000000">
            <w:pPr>
              <w:spacing w:line="360" w:lineRule="auto"/>
              <w:rPr>
                <w:rFonts w:ascii="Arial" w:eastAsia="Arial" w:hAnsi="Arial" w:cs="Arial"/>
                <w:sz w:val="24"/>
                <w:szCs w:val="24"/>
              </w:rPr>
            </w:pPr>
            <w:r>
              <w:rPr>
                <w:rFonts w:ascii="Arial" w:eastAsia="Arial" w:hAnsi="Arial" w:cs="Arial"/>
                <w:b/>
                <w:bCs/>
                <w:color w:val="1F3864"/>
              </w:rPr>
              <w:t>OPPORTUNITIES</w:t>
            </w:r>
          </w:p>
          <w:p w14:paraId="65F57FAF" w14:textId="77777777" w:rsidR="00EC7D49" w:rsidRDefault="00000000">
            <w:pPr>
              <w:spacing w:before="30" w:after="30" w:line="360" w:lineRule="auto"/>
              <w:rPr>
                <w:rFonts w:ascii="Arial" w:eastAsia="Arial" w:hAnsi="Arial" w:cs="Arial"/>
                <w:sz w:val="24"/>
                <w:szCs w:val="24"/>
              </w:rPr>
            </w:pPr>
            <w:r>
              <w:rPr>
                <w:rFonts w:ascii="Arial" w:eastAsia="Arial" w:hAnsi="Arial" w:cs="Arial"/>
                <w:color w:val="000000"/>
                <w:sz w:val="20"/>
                <w:szCs w:val="20"/>
              </w:rPr>
              <w:t>• Accelerating EV adoption driven by global emission targets</w:t>
            </w:r>
          </w:p>
          <w:p w14:paraId="1630385D" w14:textId="77777777" w:rsidR="00EC7D49" w:rsidRDefault="00000000">
            <w:pPr>
              <w:spacing w:before="30" w:after="30" w:line="360" w:lineRule="auto"/>
              <w:rPr>
                <w:rFonts w:ascii="Arial" w:eastAsia="Arial" w:hAnsi="Arial" w:cs="Arial"/>
                <w:sz w:val="24"/>
                <w:szCs w:val="24"/>
              </w:rPr>
            </w:pPr>
            <w:r>
              <w:rPr>
                <w:rFonts w:ascii="Arial" w:eastAsia="Arial" w:hAnsi="Arial" w:cs="Arial"/>
                <w:color w:val="000000"/>
                <w:sz w:val="20"/>
                <w:szCs w:val="20"/>
              </w:rPr>
              <w:t>• Energy storage and solar market expansion</w:t>
            </w:r>
          </w:p>
          <w:p w14:paraId="52EF0ED1" w14:textId="77777777" w:rsidR="00EC7D49" w:rsidRDefault="00000000">
            <w:pPr>
              <w:spacing w:before="30" w:after="30" w:line="360" w:lineRule="auto"/>
              <w:rPr>
                <w:rFonts w:ascii="Arial" w:eastAsia="Arial" w:hAnsi="Arial" w:cs="Arial"/>
                <w:sz w:val="24"/>
                <w:szCs w:val="24"/>
              </w:rPr>
            </w:pPr>
            <w:r>
              <w:rPr>
                <w:rFonts w:ascii="Arial" w:eastAsia="Arial" w:hAnsi="Arial" w:cs="Arial"/>
                <w:color w:val="000000"/>
                <w:sz w:val="20"/>
                <w:szCs w:val="20"/>
              </w:rPr>
              <w:t xml:space="preserve">• </w:t>
            </w:r>
            <w:proofErr w:type="spellStart"/>
            <w:r>
              <w:rPr>
                <w:rFonts w:ascii="Arial" w:eastAsia="Arial" w:hAnsi="Arial" w:cs="Arial"/>
                <w:color w:val="000000"/>
                <w:sz w:val="20"/>
                <w:szCs w:val="20"/>
              </w:rPr>
              <w:t>Robotaxi</w:t>
            </w:r>
            <w:proofErr w:type="spellEnd"/>
            <w:r>
              <w:rPr>
                <w:rFonts w:ascii="Arial" w:eastAsia="Arial" w:hAnsi="Arial" w:cs="Arial"/>
                <w:color w:val="000000"/>
                <w:sz w:val="20"/>
                <w:szCs w:val="20"/>
              </w:rPr>
              <w:t>/autonomous vehicle commercialisation</w:t>
            </w:r>
          </w:p>
          <w:p w14:paraId="38184942" w14:textId="77777777" w:rsidR="00EC7D49" w:rsidRDefault="00000000">
            <w:pPr>
              <w:spacing w:before="30" w:after="30" w:line="360" w:lineRule="auto"/>
              <w:rPr>
                <w:rFonts w:ascii="Arial" w:eastAsia="Arial" w:hAnsi="Arial" w:cs="Arial"/>
                <w:sz w:val="24"/>
                <w:szCs w:val="24"/>
              </w:rPr>
            </w:pPr>
            <w:r>
              <w:rPr>
                <w:rFonts w:ascii="Arial" w:eastAsia="Arial" w:hAnsi="Arial" w:cs="Arial"/>
                <w:color w:val="000000"/>
                <w:sz w:val="20"/>
                <w:szCs w:val="20"/>
              </w:rPr>
              <w:t>• Emerging markets: India, Southeast Asia</w:t>
            </w:r>
          </w:p>
          <w:p w14:paraId="16BF40F2" w14:textId="77777777" w:rsidR="00EC7D49" w:rsidRDefault="00000000">
            <w:pPr>
              <w:spacing w:before="30" w:after="30" w:line="360" w:lineRule="auto"/>
              <w:rPr>
                <w:rFonts w:ascii="Arial" w:eastAsia="Arial" w:hAnsi="Arial" w:cs="Arial"/>
                <w:sz w:val="24"/>
                <w:szCs w:val="24"/>
              </w:rPr>
            </w:pPr>
            <w:r>
              <w:rPr>
                <w:rFonts w:ascii="Arial" w:eastAsia="Arial" w:hAnsi="Arial" w:cs="Arial"/>
                <w:color w:val="000000"/>
                <w:sz w:val="20"/>
                <w:szCs w:val="20"/>
              </w:rPr>
              <w:t>• Licensing FSD software to third-party OEMs</w:t>
            </w:r>
          </w:p>
        </w:tc>
        <w:tc>
          <w:tcPr>
            <w:tcW w:w="4680" w:type="dxa"/>
            <w:tcBorders>
              <w:top w:val="single" w:sz="4" w:space="0" w:color="CCCCCC"/>
              <w:left w:val="single" w:sz="4" w:space="0" w:color="CCCCCC"/>
              <w:bottom w:val="single" w:sz="4" w:space="0" w:color="CCCCCC"/>
              <w:right w:val="single" w:sz="4" w:space="0" w:color="CCCCCC"/>
            </w:tcBorders>
            <w:shd w:val="clear" w:color="auto" w:fill="F8D7DA"/>
            <w:tcMar>
              <w:top w:w="80" w:type="dxa"/>
              <w:left w:w="120" w:type="dxa"/>
              <w:bottom w:w="80" w:type="dxa"/>
              <w:right w:w="120" w:type="dxa"/>
            </w:tcMar>
          </w:tcPr>
          <w:p w14:paraId="422B40D5" w14:textId="77777777" w:rsidR="00EC7D49" w:rsidRDefault="00000000">
            <w:pPr>
              <w:spacing w:line="360" w:lineRule="auto"/>
              <w:rPr>
                <w:rFonts w:ascii="Arial" w:eastAsia="Arial" w:hAnsi="Arial" w:cs="Arial"/>
                <w:sz w:val="24"/>
                <w:szCs w:val="24"/>
              </w:rPr>
            </w:pPr>
            <w:r>
              <w:rPr>
                <w:rFonts w:ascii="Arial" w:eastAsia="Arial" w:hAnsi="Arial" w:cs="Arial"/>
                <w:b/>
                <w:bCs/>
                <w:color w:val="1F3864"/>
              </w:rPr>
              <w:t>THREATS</w:t>
            </w:r>
          </w:p>
          <w:p w14:paraId="1062F8B5" w14:textId="77777777" w:rsidR="00EC7D49" w:rsidRDefault="00000000">
            <w:pPr>
              <w:spacing w:before="30" w:after="30" w:line="360" w:lineRule="auto"/>
              <w:rPr>
                <w:rFonts w:ascii="Arial" w:eastAsia="Arial" w:hAnsi="Arial" w:cs="Arial"/>
                <w:sz w:val="24"/>
                <w:szCs w:val="24"/>
              </w:rPr>
            </w:pPr>
            <w:r>
              <w:rPr>
                <w:rFonts w:ascii="Arial" w:eastAsia="Arial" w:hAnsi="Arial" w:cs="Arial"/>
                <w:color w:val="000000"/>
                <w:sz w:val="20"/>
                <w:szCs w:val="20"/>
              </w:rPr>
              <w:t>• Intensifying competition from BYD, Volkswagen, GM</w:t>
            </w:r>
          </w:p>
          <w:p w14:paraId="3FEBFC9D" w14:textId="77777777" w:rsidR="00EC7D49" w:rsidRDefault="00000000">
            <w:pPr>
              <w:spacing w:before="30" w:after="30" w:line="360" w:lineRule="auto"/>
              <w:rPr>
                <w:rFonts w:ascii="Arial" w:eastAsia="Arial" w:hAnsi="Arial" w:cs="Arial"/>
                <w:sz w:val="24"/>
                <w:szCs w:val="24"/>
              </w:rPr>
            </w:pPr>
            <w:r>
              <w:rPr>
                <w:rFonts w:ascii="Arial" w:eastAsia="Arial" w:hAnsi="Arial" w:cs="Arial"/>
                <w:color w:val="000000"/>
                <w:sz w:val="20"/>
                <w:szCs w:val="20"/>
              </w:rPr>
              <w:t>• Battery raw material price volatility (lithium, cobalt)</w:t>
            </w:r>
          </w:p>
          <w:p w14:paraId="5B46EA1A" w14:textId="77777777" w:rsidR="00EC7D49" w:rsidRDefault="00000000">
            <w:pPr>
              <w:spacing w:before="30" w:after="30" w:line="360" w:lineRule="auto"/>
              <w:rPr>
                <w:rFonts w:ascii="Arial" w:eastAsia="Arial" w:hAnsi="Arial" w:cs="Arial"/>
                <w:sz w:val="24"/>
                <w:szCs w:val="24"/>
              </w:rPr>
            </w:pPr>
            <w:r>
              <w:rPr>
                <w:rFonts w:ascii="Arial" w:eastAsia="Arial" w:hAnsi="Arial" w:cs="Arial"/>
                <w:color w:val="000000"/>
                <w:sz w:val="20"/>
                <w:szCs w:val="20"/>
              </w:rPr>
              <w:t>• Regulatory and tariff barriers in key markets</w:t>
            </w:r>
          </w:p>
          <w:p w14:paraId="4A8FC3D5" w14:textId="77777777" w:rsidR="00EC7D49" w:rsidRDefault="00000000">
            <w:pPr>
              <w:spacing w:before="30" w:after="30" w:line="360" w:lineRule="auto"/>
              <w:rPr>
                <w:rFonts w:ascii="Arial" w:eastAsia="Arial" w:hAnsi="Arial" w:cs="Arial"/>
                <w:sz w:val="24"/>
                <w:szCs w:val="24"/>
              </w:rPr>
            </w:pPr>
            <w:r>
              <w:rPr>
                <w:rFonts w:ascii="Arial" w:eastAsia="Arial" w:hAnsi="Arial" w:cs="Arial"/>
                <w:color w:val="000000"/>
                <w:sz w:val="20"/>
                <w:szCs w:val="20"/>
              </w:rPr>
              <w:t>• Cybersecurity and safety recall risks</w:t>
            </w:r>
          </w:p>
          <w:p w14:paraId="08589ACC" w14:textId="77777777" w:rsidR="00EC7D49" w:rsidRDefault="00000000">
            <w:pPr>
              <w:spacing w:before="30" w:after="30" w:line="360" w:lineRule="auto"/>
              <w:rPr>
                <w:rFonts w:ascii="Arial" w:eastAsia="Arial" w:hAnsi="Arial" w:cs="Arial"/>
                <w:sz w:val="24"/>
                <w:szCs w:val="24"/>
              </w:rPr>
            </w:pPr>
            <w:r>
              <w:rPr>
                <w:rFonts w:ascii="Arial" w:eastAsia="Arial" w:hAnsi="Arial" w:cs="Arial"/>
                <w:color w:val="000000"/>
                <w:sz w:val="20"/>
                <w:szCs w:val="20"/>
              </w:rPr>
              <w:t>• Global economic downturns affecting consumer spending</w:t>
            </w:r>
          </w:p>
        </w:tc>
      </w:tr>
    </w:tbl>
    <w:p w14:paraId="454AB0EC" w14:textId="77777777" w:rsidR="00EC7D49" w:rsidRDefault="00EC7D49">
      <w:pPr>
        <w:spacing w:line="360" w:lineRule="auto"/>
        <w:rPr>
          <w:rFonts w:ascii="Arial" w:eastAsia="Arial" w:hAnsi="Arial" w:cs="Arial"/>
          <w:sz w:val="24"/>
          <w:szCs w:val="24"/>
        </w:rPr>
      </w:pPr>
    </w:p>
    <w:p w14:paraId="440C144B" w14:textId="77777777" w:rsidR="00F0002F" w:rsidRDefault="00F0002F">
      <w:pPr>
        <w:spacing w:line="360" w:lineRule="auto"/>
        <w:rPr>
          <w:rFonts w:ascii="Arial" w:eastAsia="Arial" w:hAnsi="Arial" w:cs="Arial"/>
          <w:sz w:val="24"/>
          <w:szCs w:val="24"/>
        </w:rPr>
      </w:pPr>
    </w:p>
    <w:p w14:paraId="49D3742A" w14:textId="77777777" w:rsidR="00F0002F" w:rsidRDefault="00F0002F">
      <w:pPr>
        <w:spacing w:line="360" w:lineRule="auto"/>
        <w:rPr>
          <w:rFonts w:ascii="Arial" w:eastAsia="Arial" w:hAnsi="Arial" w:cs="Arial"/>
          <w:sz w:val="24"/>
          <w:szCs w:val="24"/>
        </w:rPr>
      </w:pPr>
    </w:p>
    <w:p w14:paraId="5D7214D7" w14:textId="77777777" w:rsidR="00EC7D49" w:rsidRDefault="00000000">
      <w:pPr>
        <w:pStyle w:val="Heading2"/>
        <w:spacing w:line="360" w:lineRule="auto"/>
        <w:rPr>
          <w:rFonts w:ascii="Arial" w:eastAsia="Arial" w:hAnsi="Arial" w:cs="Arial"/>
          <w:sz w:val="26"/>
          <w:szCs w:val="26"/>
        </w:rPr>
      </w:pPr>
      <w:r>
        <w:rPr>
          <w:rFonts w:ascii="Arial" w:eastAsia="Arial" w:hAnsi="Arial" w:cs="Arial"/>
          <w:sz w:val="26"/>
          <w:szCs w:val="26"/>
        </w:rPr>
        <w:t xml:space="preserve">6.2 </w:t>
      </w:r>
      <w:proofErr w:type="spellStart"/>
      <w:r>
        <w:rPr>
          <w:rFonts w:ascii="Arial" w:eastAsia="Arial" w:hAnsi="Arial" w:cs="Arial"/>
          <w:sz w:val="26"/>
          <w:szCs w:val="26"/>
        </w:rPr>
        <w:t>Ansoff</w:t>
      </w:r>
      <w:proofErr w:type="spellEnd"/>
      <w:r>
        <w:rPr>
          <w:rFonts w:ascii="Arial" w:eastAsia="Arial" w:hAnsi="Arial" w:cs="Arial"/>
          <w:sz w:val="26"/>
          <w:szCs w:val="26"/>
        </w:rPr>
        <w:t xml:space="preserve"> Growth Matrix Analysis</w:t>
      </w:r>
    </w:p>
    <w:p w14:paraId="7C966467"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 xml:space="preserve">A helpful tool to assess the strategic options of Tesla is </w:t>
      </w:r>
      <w:proofErr w:type="spellStart"/>
      <w:r>
        <w:rPr>
          <w:rFonts w:ascii="Arial" w:eastAsia="Arial" w:hAnsi="Arial" w:cs="Arial"/>
          <w:sz w:val="24"/>
          <w:szCs w:val="24"/>
        </w:rPr>
        <w:t>Ansoff</w:t>
      </w:r>
      <w:proofErr w:type="spellEnd"/>
      <w:r>
        <w:rPr>
          <w:rFonts w:ascii="Arial" w:eastAsia="Arial" w:hAnsi="Arial" w:cs="Arial"/>
          <w:sz w:val="24"/>
          <w:szCs w:val="24"/>
        </w:rPr>
        <w:t xml:space="preserve"> Growth Matrix (1957): in four quadrants, the Market Penetration, Market Development, Product Development, and Diversification (</w:t>
      </w:r>
      <w:proofErr w:type="spellStart"/>
      <w:r>
        <w:rPr>
          <w:rFonts w:ascii="Arial" w:eastAsia="Arial" w:hAnsi="Arial" w:cs="Arial"/>
          <w:sz w:val="24"/>
          <w:szCs w:val="24"/>
        </w:rPr>
        <w:t>Ansoff</w:t>
      </w:r>
      <w:proofErr w:type="spellEnd"/>
      <w:r>
        <w:rPr>
          <w:rFonts w:ascii="Arial" w:eastAsia="Arial" w:hAnsi="Arial" w:cs="Arial"/>
          <w:sz w:val="24"/>
          <w:szCs w:val="24"/>
        </w:rPr>
        <w:t>, 1957, cited in Johnson et al., 2023), the company will be evaluated accordingly. The existing strategy portfolio by Tesla covers several quadrants at the same time:</w:t>
      </w:r>
    </w:p>
    <w:p w14:paraId="3096BDA1"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Market Penetration: Tesla is still reducing its prices and developing a sales base in the current markets; this reflects a penetration strategy to expand the market share of the current EV purchasers. The pricing strategy of 2023 has seen vehicle deliveries grow by 38 percent to 1.81 million units showing effective penetration implementation in spite of margin costs ( Tesla, Inc., 2024a).</w:t>
      </w:r>
    </w:p>
    <w:p w14:paraId="21F586DB"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 xml:space="preserve">Market Development: Geographic market development involves entering the markets of India, Southeast Asia and Middle East. The areas are new potential EV markets as the government of India aims to achieve 30 percent EV penetration by 2030 (IEA, 2024). The proposed </w:t>
      </w:r>
      <w:proofErr w:type="spellStart"/>
      <w:r>
        <w:rPr>
          <w:rFonts w:ascii="Arial" w:eastAsia="Arial" w:hAnsi="Arial" w:cs="Arial"/>
          <w:sz w:val="24"/>
          <w:szCs w:val="24"/>
        </w:rPr>
        <w:t>Gigafactory</w:t>
      </w:r>
      <w:proofErr w:type="spellEnd"/>
      <w:r>
        <w:rPr>
          <w:rFonts w:ascii="Arial" w:eastAsia="Arial" w:hAnsi="Arial" w:cs="Arial"/>
          <w:sz w:val="24"/>
          <w:szCs w:val="24"/>
        </w:rPr>
        <w:t xml:space="preserve"> of India will be used in Tesla to bring production close, lower taxes and customs on imports, and customize products to the local needs.</w:t>
      </w:r>
    </w:p>
    <w:p w14:paraId="63435054"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 xml:space="preserve">Product Development: The next-generation Semi truck, </w:t>
      </w:r>
      <w:proofErr w:type="spellStart"/>
      <w:r>
        <w:rPr>
          <w:rFonts w:ascii="Arial" w:eastAsia="Arial" w:hAnsi="Arial" w:cs="Arial"/>
          <w:sz w:val="24"/>
          <w:szCs w:val="24"/>
        </w:rPr>
        <w:t>Robotaxi</w:t>
      </w:r>
      <w:proofErr w:type="spellEnd"/>
      <w:r>
        <w:rPr>
          <w:rFonts w:ascii="Arial" w:eastAsia="Arial" w:hAnsi="Arial" w:cs="Arial"/>
          <w:sz w:val="24"/>
          <w:szCs w:val="24"/>
        </w:rPr>
        <w:t>, and the Model 2 (sub-$30,000 EV) are product development projects aimed at the existing and adjacent markets. Tesla Optimus humanoid robot is a more long-term product development with the potential to transform the revenues of 150 billion and is targeted to serve the global industrial robotics market size amounting to 150 billion (ARK Invest, 2024).</w:t>
      </w:r>
    </w:p>
    <w:p w14:paraId="286D9F60"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Diversification: The Energy division (</w:t>
      </w:r>
      <w:proofErr w:type="spellStart"/>
      <w:r>
        <w:rPr>
          <w:rFonts w:ascii="Arial" w:eastAsia="Arial" w:hAnsi="Arial" w:cs="Arial"/>
          <w:sz w:val="24"/>
          <w:szCs w:val="24"/>
        </w:rPr>
        <w:t>Megapack</w:t>
      </w:r>
      <w:proofErr w:type="spellEnd"/>
      <w:r>
        <w:rPr>
          <w:rFonts w:ascii="Arial" w:eastAsia="Arial" w:hAnsi="Arial" w:cs="Arial"/>
          <w:sz w:val="24"/>
          <w:szCs w:val="24"/>
        </w:rPr>
        <w:t xml:space="preserve">, </w:t>
      </w:r>
      <w:proofErr w:type="spellStart"/>
      <w:r>
        <w:rPr>
          <w:rFonts w:ascii="Arial" w:eastAsia="Arial" w:hAnsi="Arial" w:cs="Arial"/>
          <w:sz w:val="24"/>
          <w:szCs w:val="24"/>
        </w:rPr>
        <w:t>Powerwall</w:t>
      </w:r>
      <w:proofErr w:type="spellEnd"/>
      <w:r>
        <w:rPr>
          <w:rFonts w:ascii="Arial" w:eastAsia="Arial" w:hAnsi="Arial" w:cs="Arial"/>
          <w:sz w:val="24"/>
          <w:szCs w:val="24"/>
        </w:rPr>
        <w:t>, Solar Roof) is related diversification, as Tesla applies the battery technology in non-automotive operations. Such diversification eliminates cyclical exposure and generates counter-cyclical sources of revenue as the auto market weakens.</w:t>
      </w:r>
    </w:p>
    <w:p w14:paraId="76AF7B21" w14:textId="77777777" w:rsidR="00B06C92" w:rsidRDefault="00B06C92">
      <w:pPr>
        <w:spacing w:before="60" w:after="60" w:line="360" w:lineRule="auto"/>
        <w:jc w:val="both"/>
        <w:rPr>
          <w:rFonts w:ascii="Arial" w:eastAsia="Arial" w:hAnsi="Arial" w:cs="Arial"/>
          <w:sz w:val="24"/>
          <w:szCs w:val="24"/>
        </w:rPr>
      </w:pPr>
    </w:p>
    <w:p w14:paraId="191C5497" w14:textId="77777777" w:rsidR="00B06C92" w:rsidRDefault="00B06C92">
      <w:pPr>
        <w:spacing w:before="60" w:after="60" w:line="360" w:lineRule="auto"/>
        <w:jc w:val="both"/>
        <w:rPr>
          <w:rFonts w:ascii="Arial" w:eastAsia="Arial" w:hAnsi="Arial" w:cs="Arial"/>
          <w:sz w:val="24"/>
          <w:szCs w:val="24"/>
        </w:rPr>
      </w:pPr>
    </w:p>
    <w:p w14:paraId="05078B44" w14:textId="77777777" w:rsidR="00B06C92" w:rsidRDefault="00B06C92">
      <w:pPr>
        <w:spacing w:before="60" w:after="60" w:line="360" w:lineRule="auto"/>
        <w:jc w:val="both"/>
        <w:rPr>
          <w:rFonts w:ascii="Arial" w:eastAsia="Arial" w:hAnsi="Arial" w:cs="Arial"/>
          <w:sz w:val="24"/>
          <w:szCs w:val="24"/>
        </w:rPr>
      </w:pPr>
    </w:p>
    <w:p w14:paraId="13A4D7EB" w14:textId="77777777" w:rsidR="00B06C92" w:rsidRDefault="00B06C92">
      <w:pPr>
        <w:spacing w:before="60" w:after="60" w:line="360" w:lineRule="auto"/>
        <w:jc w:val="both"/>
        <w:rPr>
          <w:rFonts w:ascii="Arial" w:eastAsia="Arial" w:hAnsi="Arial" w:cs="Arial"/>
          <w:sz w:val="24"/>
          <w:szCs w:val="24"/>
        </w:rPr>
      </w:pPr>
    </w:p>
    <w:p w14:paraId="215F1D29" w14:textId="77777777" w:rsidR="00B06C92" w:rsidRDefault="00B06C92">
      <w:pPr>
        <w:spacing w:before="60" w:after="60" w:line="360" w:lineRule="auto"/>
        <w:jc w:val="both"/>
        <w:rPr>
          <w:rFonts w:ascii="Arial" w:eastAsia="Arial" w:hAnsi="Arial" w:cs="Arial"/>
          <w:sz w:val="24"/>
          <w:szCs w:val="24"/>
        </w:rPr>
      </w:pPr>
    </w:p>
    <w:p w14:paraId="4E5EF10F" w14:textId="77777777" w:rsidR="00B06C92" w:rsidRDefault="00B06C92">
      <w:pPr>
        <w:spacing w:before="60" w:after="60" w:line="360" w:lineRule="auto"/>
        <w:jc w:val="both"/>
        <w:rPr>
          <w:rFonts w:ascii="Arial" w:eastAsia="Arial" w:hAnsi="Arial" w:cs="Arial"/>
          <w:sz w:val="24"/>
          <w:szCs w:val="24"/>
        </w:rPr>
      </w:pPr>
    </w:p>
    <w:p w14:paraId="1087FF31" w14:textId="77777777" w:rsidR="00EC7D49" w:rsidRDefault="00000000">
      <w:pPr>
        <w:pStyle w:val="Heading2"/>
        <w:spacing w:line="360" w:lineRule="auto"/>
        <w:rPr>
          <w:rFonts w:ascii="Arial" w:eastAsia="Arial" w:hAnsi="Arial" w:cs="Arial"/>
          <w:sz w:val="26"/>
          <w:szCs w:val="26"/>
        </w:rPr>
      </w:pPr>
      <w:r>
        <w:rPr>
          <w:rFonts w:ascii="Arial" w:eastAsia="Arial" w:hAnsi="Arial" w:cs="Arial"/>
          <w:sz w:val="26"/>
          <w:szCs w:val="26"/>
        </w:rPr>
        <w:t>6.3 Strategic Recommendations</w:t>
      </w:r>
    </w:p>
    <w:p w14:paraId="4C55C20F"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On the basis of the above analysis, the present report can be used to develop the following strategic suggestions to the Tesla leadership:</w:t>
      </w:r>
    </w:p>
    <w:p w14:paraId="11028953"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One, speed up the launch of Model 2 and focus on cost-effective production. The most immediate strategic threat is the rivalry posed by BYD and other inexpensive manufacturers of EV. To become competitive in terms of retail pricing below 30,000 and continue to have positive gross margins, Tesla needs to use its 4680 battery programme and its unboxed production to realise less than 25,000 manufacturing cost and practical retail pricing below 30,000. The inability to act in the affordable segment will result in a permanent loss of the volume market share that cannot be covered solely through the development of the premium segment (</w:t>
      </w:r>
      <w:proofErr w:type="spellStart"/>
      <w:r>
        <w:rPr>
          <w:rFonts w:ascii="Arial" w:eastAsia="Arial" w:hAnsi="Arial" w:cs="Arial"/>
          <w:sz w:val="24"/>
          <w:szCs w:val="24"/>
        </w:rPr>
        <w:t>BloombergNEF</w:t>
      </w:r>
      <w:proofErr w:type="spellEnd"/>
      <w:r>
        <w:rPr>
          <w:rFonts w:ascii="Arial" w:eastAsia="Arial" w:hAnsi="Arial" w:cs="Arial"/>
          <w:sz w:val="24"/>
          <w:szCs w:val="24"/>
        </w:rPr>
        <w:t>, 2024).</w:t>
      </w:r>
    </w:p>
    <w:p w14:paraId="295B00C2"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 xml:space="preserve">Second, commercialise ferociously FSD in Software-as-a-Service (SaaS) monetizing form. FSD software is a light capital and high-margin growth opportunity at $99/month </w:t>
      </w:r>
      <w:proofErr w:type="spellStart"/>
      <w:r>
        <w:rPr>
          <w:rFonts w:ascii="Arial" w:eastAsia="Arial" w:hAnsi="Arial" w:cs="Arial"/>
          <w:sz w:val="24"/>
          <w:szCs w:val="24"/>
        </w:rPr>
        <w:t>orла</w:t>
      </w:r>
      <w:proofErr w:type="spellEnd"/>
      <w:r>
        <w:rPr>
          <w:rFonts w:ascii="Arial" w:eastAsia="Arial" w:hAnsi="Arial" w:cs="Arial"/>
          <w:sz w:val="24"/>
          <w:szCs w:val="24"/>
        </w:rPr>
        <w:t xml:space="preserve"> one upfront payment of 12,000. With the growing number of regulatory approvals of autonomous operation growth - Tesla sought </w:t>
      </w:r>
      <w:proofErr w:type="spellStart"/>
      <w:r>
        <w:rPr>
          <w:rFonts w:ascii="Arial" w:eastAsia="Arial" w:hAnsi="Arial" w:cs="Arial"/>
          <w:sz w:val="24"/>
          <w:szCs w:val="24"/>
        </w:rPr>
        <w:t>robotaxi</w:t>
      </w:r>
      <w:proofErr w:type="spellEnd"/>
      <w:r>
        <w:rPr>
          <w:rFonts w:ascii="Arial" w:eastAsia="Arial" w:hAnsi="Arial" w:cs="Arial"/>
          <w:sz w:val="24"/>
          <w:szCs w:val="24"/>
        </w:rPr>
        <w:t xml:space="preserve"> certification in California in 2024 - the increment in revenue and margin improvement of autonomous deployment at the fleet level could radically change the Tesla P&amp;L profile (ARK Invest, 2024). The management needs to form an independent business unit of services and assign commercial and regulatory teams.</w:t>
      </w:r>
    </w:p>
    <w:p w14:paraId="2338D085"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Third, decentralize the supply chain and increase control of battery materials. Tesla is also dependent on the supply of lithium and cobalt by outside vendors, which opens the company to commodities risks and geopolitical risks. Increasing direct mining investment, which Tesla announced in 2024 with a lithium refinery in Texas, and acquiring long-term offtake agreements will lower the vulnerability of the supply chain and enable long-run cost-cutting curves (McKinsey &amp; Company, 2024).</w:t>
      </w:r>
    </w:p>
    <w:p w14:paraId="55A44114"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Fourth, enhance institutional leadership and corporate governance. There is a material governance risk of over-reliance on one material visionary leader. The board of Tesla must establish an official succession planning model, enhance independent control and institutionalise strategic decision-making procedures that are not dependent on one of the executives. These will strengthen investor confidence, reduce reputational risks associated with Musk, and develop the organisational complexity necessary to continue global strategic implementation at scale (Kotter, 2021).</w:t>
      </w:r>
    </w:p>
    <w:p w14:paraId="696F0744" w14:textId="77777777" w:rsidR="00F0002F" w:rsidRDefault="00F0002F">
      <w:pPr>
        <w:spacing w:before="60" w:after="60" w:line="360" w:lineRule="auto"/>
        <w:jc w:val="both"/>
        <w:rPr>
          <w:rFonts w:ascii="Arial" w:eastAsia="Arial" w:hAnsi="Arial" w:cs="Arial"/>
          <w:sz w:val="24"/>
          <w:szCs w:val="24"/>
        </w:rPr>
      </w:pPr>
    </w:p>
    <w:p w14:paraId="5CD447CC" w14:textId="77777777" w:rsidR="00F0002F" w:rsidRDefault="00F0002F">
      <w:pPr>
        <w:spacing w:before="60" w:after="60" w:line="360" w:lineRule="auto"/>
        <w:jc w:val="both"/>
        <w:rPr>
          <w:rFonts w:ascii="Arial" w:eastAsia="Arial" w:hAnsi="Arial" w:cs="Arial"/>
          <w:sz w:val="24"/>
          <w:szCs w:val="24"/>
        </w:rPr>
      </w:pPr>
    </w:p>
    <w:p w14:paraId="01F542AD" w14:textId="77777777" w:rsidR="00F0002F" w:rsidRDefault="00F0002F">
      <w:pPr>
        <w:spacing w:before="60" w:after="60" w:line="360" w:lineRule="auto"/>
        <w:jc w:val="both"/>
        <w:rPr>
          <w:rFonts w:ascii="Arial" w:eastAsia="Arial" w:hAnsi="Arial" w:cs="Arial"/>
          <w:sz w:val="24"/>
          <w:szCs w:val="24"/>
        </w:rPr>
      </w:pPr>
    </w:p>
    <w:p w14:paraId="1961700A" w14:textId="1E6BA36B" w:rsidR="00EC7D49" w:rsidRDefault="00B06C92">
      <w:pPr>
        <w:spacing w:line="360" w:lineRule="auto"/>
        <w:rPr>
          <w:rFonts w:ascii="Arial" w:eastAsia="Arial" w:hAnsi="Arial" w:cs="Arial"/>
          <w:sz w:val="24"/>
          <w:szCs w:val="24"/>
        </w:rPr>
      </w:pPr>
      <w:r>
        <w:rPr>
          <w:rFonts w:ascii="Arial" w:eastAsia="Arial" w:hAnsi="Arial" w:cs="Arial"/>
          <w:sz w:val="24"/>
          <w:szCs w:val="24"/>
        </w:rPr>
        <w:t>2</w:t>
      </w:r>
    </w:p>
    <w:p w14:paraId="4A13E5F5" w14:textId="77777777" w:rsidR="00EC7D49" w:rsidRDefault="00000000">
      <w:pPr>
        <w:shd w:val="clear" w:color="auto" w:fill="1F3864"/>
        <w:spacing w:after="200" w:line="360" w:lineRule="auto"/>
        <w:jc w:val="center"/>
        <w:rPr>
          <w:rFonts w:ascii="Arial" w:eastAsia="Arial" w:hAnsi="Arial" w:cs="Arial"/>
          <w:sz w:val="24"/>
          <w:szCs w:val="24"/>
        </w:rPr>
      </w:pPr>
      <w:r>
        <w:rPr>
          <w:rFonts w:ascii="Arial" w:eastAsia="Arial" w:hAnsi="Arial" w:cs="Arial"/>
          <w:b/>
          <w:bCs/>
          <w:color w:val="FFFFFF"/>
          <w:sz w:val="26"/>
          <w:szCs w:val="26"/>
        </w:rPr>
        <w:t>SECTION 2: REFLECTIVE ACCOUNT  (~1,000 words)</w:t>
      </w:r>
    </w:p>
    <w:p w14:paraId="7869B5ED" w14:textId="77777777" w:rsidR="00EC7D49" w:rsidRDefault="00000000">
      <w:pPr>
        <w:pStyle w:val="Heading1"/>
        <w:pBdr>
          <w:bottom w:val="single" w:sz="8" w:space="2" w:color="2E75B6"/>
        </w:pBdr>
        <w:spacing w:line="360" w:lineRule="auto"/>
        <w:rPr>
          <w:rFonts w:ascii="Arial" w:eastAsia="Arial" w:hAnsi="Arial" w:cs="Arial"/>
          <w:sz w:val="30"/>
          <w:szCs w:val="30"/>
        </w:rPr>
      </w:pPr>
      <w:r>
        <w:rPr>
          <w:rFonts w:ascii="Arial" w:eastAsia="Arial" w:hAnsi="Arial" w:cs="Arial"/>
          <w:sz w:val="30"/>
          <w:szCs w:val="30"/>
        </w:rPr>
        <w:t>7. Reflective Account: Gibbs' Reflective Cycle</w:t>
      </w:r>
    </w:p>
    <w:p w14:paraId="0A7541B5" w14:textId="77777777" w:rsidR="00EC7D49" w:rsidRDefault="00000000">
      <w:pPr>
        <w:pStyle w:val="Heading2"/>
        <w:spacing w:line="360" w:lineRule="auto"/>
        <w:rPr>
          <w:rFonts w:ascii="Arial" w:eastAsia="Arial" w:hAnsi="Arial" w:cs="Arial"/>
          <w:sz w:val="26"/>
          <w:szCs w:val="26"/>
        </w:rPr>
      </w:pPr>
      <w:r>
        <w:rPr>
          <w:rFonts w:ascii="Arial" w:eastAsia="Arial" w:hAnsi="Arial" w:cs="Arial"/>
          <w:sz w:val="26"/>
          <w:szCs w:val="26"/>
        </w:rPr>
        <w:t>7.1 Description</w:t>
      </w:r>
    </w:p>
    <w:p w14:paraId="4F6672ED"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This reflective report utilises the Reflective Cycle (1988) of Gibbs, which is the description, feelings, evaluation, analysis, conclusion, and action plan, as a critical analysis of how I proceeded to research, analyse, and write this strategic management assessment. Reflective process is a systematic version of the experiential learning where the meaning goes deeper than the content learning (Gibbs, 1988, cited in Finlay, 2021).</w:t>
      </w:r>
    </w:p>
    <w:p w14:paraId="2853D474"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 xml:space="preserve">The evaluation involved the preparation of an overall strategic management report on a self-chosen organisation based on a variety of theoretical frameworks such as PESTEL, VRIO, Balanced Scorecard, SWOT, and the Matrix of </w:t>
      </w:r>
      <w:proofErr w:type="spellStart"/>
      <w:r>
        <w:rPr>
          <w:rFonts w:ascii="Arial" w:eastAsia="Arial" w:hAnsi="Arial" w:cs="Arial"/>
          <w:sz w:val="24"/>
          <w:szCs w:val="24"/>
        </w:rPr>
        <w:t>Ansoff</w:t>
      </w:r>
      <w:proofErr w:type="spellEnd"/>
      <w:r>
        <w:rPr>
          <w:rFonts w:ascii="Arial" w:eastAsia="Arial" w:hAnsi="Arial" w:cs="Arial"/>
          <w:sz w:val="24"/>
          <w:szCs w:val="24"/>
        </w:rPr>
        <w:t xml:space="preserve">. To study Tesla, Inc. as the chosen subject organisation, I was inspired by the fact that the organisation is located at the cross-section of technology, sustainability, and global strategic management - the themes that have become the focus of strategic discussion at the MBA level. The research was conducted through the analysis of Tesla published annual reports, impact reports, and financial disclosures, which was supplemented by the peer-reviewed academic sources, as well as industry reports of such organisations as the International Energy Agency (IEA), </w:t>
      </w:r>
      <w:proofErr w:type="spellStart"/>
      <w:r>
        <w:rPr>
          <w:rFonts w:ascii="Arial" w:eastAsia="Arial" w:hAnsi="Arial" w:cs="Arial"/>
          <w:sz w:val="24"/>
          <w:szCs w:val="24"/>
        </w:rPr>
        <w:t>BloombergNEF</w:t>
      </w:r>
      <w:proofErr w:type="spellEnd"/>
      <w:r>
        <w:rPr>
          <w:rFonts w:ascii="Arial" w:eastAsia="Arial" w:hAnsi="Arial" w:cs="Arial"/>
          <w:sz w:val="24"/>
          <w:szCs w:val="24"/>
        </w:rPr>
        <w:t>, McKinsey &amp; Company, and KPMG.</w:t>
      </w:r>
    </w:p>
    <w:p w14:paraId="330A1E43" w14:textId="77777777" w:rsidR="00EC7D49" w:rsidRDefault="00000000">
      <w:pPr>
        <w:pStyle w:val="Heading2"/>
        <w:spacing w:line="360" w:lineRule="auto"/>
        <w:rPr>
          <w:rFonts w:ascii="Arial" w:eastAsia="Arial" w:hAnsi="Arial" w:cs="Arial"/>
          <w:sz w:val="26"/>
          <w:szCs w:val="26"/>
        </w:rPr>
      </w:pPr>
      <w:r>
        <w:rPr>
          <w:rFonts w:ascii="Arial" w:eastAsia="Arial" w:hAnsi="Arial" w:cs="Arial"/>
          <w:sz w:val="26"/>
          <w:szCs w:val="26"/>
        </w:rPr>
        <w:t>7.2 Feelings</w:t>
      </w:r>
    </w:p>
    <w:p w14:paraId="2637CC0E"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 xml:space="preserve">At the beginning of the evaluation process, my attitude towards it was at once intellectual excitement and methodological perplexity. The scope of analysis frameworks needed, including macro-environmental analysis (PESTEL), resource-based theory (VRIO), performance measurement (Balanced Scorecard), and strategic analysis devices (SWOT, </w:t>
      </w:r>
      <w:proofErr w:type="spellStart"/>
      <w:r>
        <w:rPr>
          <w:rFonts w:ascii="Arial" w:eastAsia="Arial" w:hAnsi="Arial" w:cs="Arial"/>
          <w:sz w:val="24"/>
          <w:szCs w:val="24"/>
        </w:rPr>
        <w:t>Ansoff</w:t>
      </w:r>
      <w:proofErr w:type="spellEnd"/>
      <w:r>
        <w:rPr>
          <w:rFonts w:ascii="Arial" w:eastAsia="Arial" w:hAnsi="Arial" w:cs="Arial"/>
          <w:sz w:val="24"/>
          <w:szCs w:val="24"/>
        </w:rPr>
        <w:t>) in the first place posed a challenge in terms of integrating several theoretical perspectives into a consistent, unified narrative instead of a collection of frameworks used in isolation.</w:t>
      </w:r>
    </w:p>
    <w:p w14:paraId="459BF526"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The deeper I was able to get in the research, the more involved I became with the strategic complexity of Tesla. The strain between the visionary sustainability statement of Tesla and the very actual environmental paradox that lies at the core of large-scale lithium mining and battery manufacturing is an illustration of the practical aspects of the ethical aspects of strategic management that cannot be even adequately represented in the academic context. This complexity in the first place caused a certain level of cognitive dissonance, Tesla at the same time being both a solution and a contributor to environmental issues, this necessitated critical analytical contextualisation, as opposed to naive strategic characterisation.</w:t>
      </w:r>
    </w:p>
    <w:p w14:paraId="0B189843" w14:textId="77777777" w:rsidR="00EC7D49" w:rsidRDefault="00000000">
      <w:pPr>
        <w:pStyle w:val="Heading2"/>
        <w:spacing w:line="360" w:lineRule="auto"/>
        <w:rPr>
          <w:rFonts w:ascii="Arial" w:eastAsia="Arial" w:hAnsi="Arial" w:cs="Arial"/>
          <w:sz w:val="26"/>
          <w:szCs w:val="26"/>
        </w:rPr>
      </w:pPr>
      <w:r>
        <w:rPr>
          <w:rFonts w:ascii="Arial" w:eastAsia="Arial" w:hAnsi="Arial" w:cs="Arial"/>
          <w:sz w:val="26"/>
          <w:szCs w:val="26"/>
        </w:rPr>
        <w:t>7.3 Evaluation</w:t>
      </w:r>
    </w:p>
    <w:p w14:paraId="4995F391"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The study and analytical procedure had a number of true strengths. The least complex element was the PESTEL analysis: the operating environment of Tesla is thoroughly recorded, and the relations between the macro-environmental factors and the strategic actions of Tesla are substantiated in the primary materials and scholarly discussions. The VRIO framework that was available offered specific analytical advantage, through which the analysis could be performed systematically involving what Tesla resources can be considered as actual and sustainable competitive advantages as opposed to those that can be eroded by competition with time.</w:t>
      </w:r>
    </w:p>
    <w:p w14:paraId="18ADE87B"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The most challenging methodological issue was the Balanced Scorecard section. Most BSC measures, especially Learning and Growth measures like organisational culture scores and innovation pipeline assessments are not disclosed with precision by Tesla as are financial ratios or market share data. This necessitated the use of proxies, analyst estimates, and inferences based on existing data, and it recognizes the inherent constraints of external strategic analysis in which the full access to managerial information is not available (</w:t>
      </w:r>
      <w:proofErr w:type="spellStart"/>
      <w:r>
        <w:rPr>
          <w:rFonts w:ascii="Arial" w:eastAsia="Arial" w:hAnsi="Arial" w:cs="Arial"/>
          <w:sz w:val="24"/>
          <w:szCs w:val="24"/>
        </w:rPr>
        <w:t>Rothaermel</w:t>
      </w:r>
      <w:proofErr w:type="spellEnd"/>
      <w:r>
        <w:rPr>
          <w:rFonts w:ascii="Arial" w:eastAsia="Arial" w:hAnsi="Arial" w:cs="Arial"/>
          <w:sz w:val="24"/>
          <w:szCs w:val="24"/>
        </w:rPr>
        <w:t>, 2022). This experience revealed a strategic weakness of secondary research in strategic management the lack of understanding of the richness of internal management information and the incompleteness of the partial information that would be available to external analysts.</w:t>
      </w:r>
    </w:p>
    <w:p w14:paraId="2F3725B2" w14:textId="77777777" w:rsidR="00F0002F" w:rsidRDefault="00F0002F">
      <w:pPr>
        <w:spacing w:before="60" w:after="60" w:line="360" w:lineRule="auto"/>
        <w:jc w:val="both"/>
        <w:rPr>
          <w:rFonts w:ascii="Arial" w:eastAsia="Arial" w:hAnsi="Arial" w:cs="Arial"/>
          <w:sz w:val="24"/>
          <w:szCs w:val="24"/>
        </w:rPr>
      </w:pPr>
    </w:p>
    <w:p w14:paraId="39112C24" w14:textId="77777777" w:rsidR="00F0002F" w:rsidRDefault="00F0002F">
      <w:pPr>
        <w:spacing w:before="60" w:after="60" w:line="360" w:lineRule="auto"/>
        <w:jc w:val="both"/>
        <w:rPr>
          <w:rFonts w:ascii="Arial" w:eastAsia="Arial" w:hAnsi="Arial" w:cs="Arial"/>
          <w:sz w:val="24"/>
          <w:szCs w:val="24"/>
        </w:rPr>
      </w:pPr>
    </w:p>
    <w:p w14:paraId="74D1287D" w14:textId="77777777" w:rsidR="00F0002F" w:rsidRDefault="00F0002F">
      <w:pPr>
        <w:spacing w:before="60" w:after="60" w:line="360" w:lineRule="auto"/>
        <w:jc w:val="both"/>
        <w:rPr>
          <w:rFonts w:ascii="Arial" w:eastAsia="Arial" w:hAnsi="Arial" w:cs="Arial"/>
          <w:sz w:val="24"/>
          <w:szCs w:val="24"/>
        </w:rPr>
      </w:pPr>
    </w:p>
    <w:p w14:paraId="2719652E" w14:textId="77777777" w:rsidR="00F0002F" w:rsidRDefault="00F0002F">
      <w:pPr>
        <w:spacing w:before="60" w:after="60" w:line="360" w:lineRule="auto"/>
        <w:jc w:val="both"/>
        <w:rPr>
          <w:rFonts w:ascii="Arial" w:eastAsia="Arial" w:hAnsi="Arial" w:cs="Arial"/>
          <w:sz w:val="24"/>
          <w:szCs w:val="24"/>
        </w:rPr>
      </w:pPr>
    </w:p>
    <w:p w14:paraId="29575030" w14:textId="77777777" w:rsidR="00F0002F" w:rsidRDefault="00F0002F">
      <w:pPr>
        <w:spacing w:before="60" w:after="60" w:line="360" w:lineRule="auto"/>
        <w:jc w:val="both"/>
        <w:rPr>
          <w:rFonts w:ascii="Arial" w:eastAsia="Arial" w:hAnsi="Arial" w:cs="Arial"/>
          <w:sz w:val="24"/>
          <w:szCs w:val="24"/>
        </w:rPr>
      </w:pPr>
    </w:p>
    <w:p w14:paraId="01891F0E" w14:textId="77777777" w:rsidR="00F0002F" w:rsidRDefault="00F0002F">
      <w:pPr>
        <w:spacing w:before="60" w:after="60" w:line="360" w:lineRule="auto"/>
        <w:jc w:val="both"/>
        <w:rPr>
          <w:rFonts w:ascii="Arial" w:eastAsia="Arial" w:hAnsi="Arial" w:cs="Arial"/>
          <w:sz w:val="24"/>
          <w:szCs w:val="24"/>
        </w:rPr>
      </w:pPr>
    </w:p>
    <w:p w14:paraId="31545023" w14:textId="77777777" w:rsidR="00F0002F" w:rsidRDefault="00F0002F">
      <w:pPr>
        <w:spacing w:before="60" w:after="60" w:line="360" w:lineRule="auto"/>
        <w:jc w:val="both"/>
        <w:rPr>
          <w:rFonts w:ascii="Arial" w:eastAsia="Arial" w:hAnsi="Arial" w:cs="Arial"/>
          <w:sz w:val="24"/>
          <w:szCs w:val="24"/>
        </w:rPr>
      </w:pPr>
    </w:p>
    <w:p w14:paraId="47C00343" w14:textId="77777777" w:rsidR="00F0002F" w:rsidRDefault="00F0002F">
      <w:pPr>
        <w:spacing w:before="60" w:after="60" w:line="360" w:lineRule="auto"/>
        <w:jc w:val="both"/>
        <w:rPr>
          <w:rFonts w:ascii="Arial" w:eastAsia="Arial" w:hAnsi="Arial" w:cs="Arial"/>
          <w:sz w:val="24"/>
          <w:szCs w:val="24"/>
        </w:rPr>
      </w:pPr>
    </w:p>
    <w:p w14:paraId="2A9C7349" w14:textId="77777777" w:rsidR="00F0002F" w:rsidRDefault="00F0002F">
      <w:pPr>
        <w:spacing w:before="60" w:after="60" w:line="360" w:lineRule="auto"/>
        <w:jc w:val="both"/>
        <w:rPr>
          <w:rFonts w:ascii="Arial" w:eastAsia="Arial" w:hAnsi="Arial" w:cs="Arial"/>
          <w:sz w:val="24"/>
          <w:szCs w:val="24"/>
        </w:rPr>
      </w:pPr>
    </w:p>
    <w:p w14:paraId="3C1F579D" w14:textId="77777777" w:rsidR="00F0002F" w:rsidRDefault="00F0002F">
      <w:pPr>
        <w:spacing w:before="60" w:after="60" w:line="360" w:lineRule="auto"/>
        <w:jc w:val="both"/>
        <w:rPr>
          <w:rFonts w:ascii="Arial" w:eastAsia="Arial" w:hAnsi="Arial" w:cs="Arial"/>
          <w:sz w:val="24"/>
          <w:szCs w:val="24"/>
        </w:rPr>
      </w:pPr>
    </w:p>
    <w:p w14:paraId="62BC7240" w14:textId="77777777" w:rsidR="00EC7D49" w:rsidRDefault="00000000">
      <w:pPr>
        <w:pStyle w:val="Heading2"/>
        <w:spacing w:line="360" w:lineRule="auto"/>
        <w:rPr>
          <w:rFonts w:ascii="Arial" w:eastAsia="Arial" w:hAnsi="Arial" w:cs="Arial"/>
          <w:sz w:val="26"/>
          <w:szCs w:val="26"/>
        </w:rPr>
      </w:pPr>
      <w:r>
        <w:rPr>
          <w:rFonts w:ascii="Arial" w:eastAsia="Arial" w:hAnsi="Arial" w:cs="Arial"/>
          <w:sz w:val="26"/>
          <w:szCs w:val="26"/>
        </w:rPr>
        <w:t>7.4 Analysis</w:t>
      </w:r>
    </w:p>
    <w:p w14:paraId="7277EA99"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Taking a second look at the process of making the analysis, I understand that the choice of Tesla as the object organisation was associated with some cognitive biases. Tesla is a company with a polarising public image that is saturated in media and thus poses a risk of analytical framing based on dominant media narratives being uncritical acclaim of the Tesla narrative of innovation or reflexive criticism of the scandals of its CEO. To retain analytical rigour, it was necessary that one revert to primary evidence (annual report, financial reports, regulatory filings) and peer-reviewed scholarship and sift media-generated views against empirical data.</w:t>
      </w:r>
    </w:p>
    <w:p w14:paraId="7D6FD841"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Even the implementation of the Reflective Cycle developed by Gibbs was more complicated than expected. The model presupposes a discrete and linear experiential event a particular incident or a learning experience; meanwhile this evaluation was a long and repetitive research process that took multiple weeks to complete. To make Gibbs model fit into an academic research context, it was necessary to interpret the stages much more generally and take the process of conducting the research and writing the paper in its entirety as the experience instead of an episode. This incorporation is in line with the finding by Kolb (1984) that reflective learning is not episodic as it is basically cyclical and continuous.</w:t>
      </w:r>
    </w:p>
    <w:p w14:paraId="46C82C60"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Even the theoretical frameworks per se, which were analytically strong, have their limitations. PESTEL analysis is a prospective and descriptive system per se; it does not necessarily give precedence to the factors and does not place probability weights on the future development (Johnson et al., 2023). The VRIO framework is based on fairly stable competitive environments, whereas the Tesla market can be described by the succession of the technological disruption and the entry of competitors, and the evaluation of VRIO based on the previous ones may be highly inaccurate. VRIO should be supplemented in future studies with the dynamic capability theory (</w:t>
      </w:r>
      <w:proofErr w:type="spellStart"/>
      <w:r>
        <w:rPr>
          <w:rFonts w:ascii="Arial" w:eastAsia="Arial" w:hAnsi="Arial" w:cs="Arial"/>
          <w:sz w:val="24"/>
          <w:szCs w:val="24"/>
        </w:rPr>
        <w:t>Teece</w:t>
      </w:r>
      <w:proofErr w:type="spellEnd"/>
      <w:r>
        <w:rPr>
          <w:rFonts w:ascii="Arial" w:eastAsia="Arial" w:hAnsi="Arial" w:cs="Arial"/>
          <w:sz w:val="24"/>
          <w:szCs w:val="24"/>
        </w:rPr>
        <w:t>, 2020), which explicitly explains the ability of an organisation to reconfigure resources in reaction to environmental change.</w:t>
      </w:r>
    </w:p>
    <w:p w14:paraId="085B34F9" w14:textId="77777777" w:rsidR="00EC7D49" w:rsidRDefault="00EC7D49">
      <w:pPr>
        <w:spacing w:before="60" w:after="60" w:line="360" w:lineRule="auto"/>
        <w:jc w:val="both"/>
        <w:rPr>
          <w:rFonts w:ascii="Arial" w:eastAsia="Arial" w:hAnsi="Arial" w:cs="Arial"/>
          <w:sz w:val="24"/>
          <w:szCs w:val="24"/>
        </w:rPr>
      </w:pPr>
    </w:p>
    <w:p w14:paraId="1DC95A11" w14:textId="77777777" w:rsidR="00F0002F" w:rsidRDefault="00F0002F">
      <w:pPr>
        <w:spacing w:before="60" w:after="60" w:line="360" w:lineRule="auto"/>
        <w:jc w:val="both"/>
        <w:rPr>
          <w:rFonts w:ascii="Arial" w:eastAsia="Arial" w:hAnsi="Arial" w:cs="Arial"/>
          <w:sz w:val="24"/>
          <w:szCs w:val="24"/>
        </w:rPr>
      </w:pPr>
    </w:p>
    <w:p w14:paraId="674DBA67" w14:textId="77777777" w:rsidR="00F0002F" w:rsidRDefault="00F0002F">
      <w:pPr>
        <w:spacing w:before="60" w:after="60" w:line="360" w:lineRule="auto"/>
        <w:jc w:val="both"/>
        <w:rPr>
          <w:rFonts w:ascii="Arial" w:eastAsia="Arial" w:hAnsi="Arial" w:cs="Arial"/>
          <w:sz w:val="24"/>
          <w:szCs w:val="24"/>
        </w:rPr>
      </w:pPr>
    </w:p>
    <w:p w14:paraId="6D696F2E" w14:textId="77777777" w:rsidR="00F0002F" w:rsidRDefault="00F0002F">
      <w:pPr>
        <w:spacing w:before="60" w:after="60" w:line="360" w:lineRule="auto"/>
        <w:jc w:val="both"/>
        <w:rPr>
          <w:rFonts w:ascii="Arial" w:eastAsia="Arial" w:hAnsi="Arial" w:cs="Arial"/>
          <w:sz w:val="24"/>
          <w:szCs w:val="24"/>
        </w:rPr>
      </w:pPr>
    </w:p>
    <w:p w14:paraId="7023159F" w14:textId="77777777" w:rsidR="00F0002F" w:rsidRDefault="00F0002F">
      <w:pPr>
        <w:spacing w:before="60" w:after="60" w:line="360" w:lineRule="auto"/>
        <w:jc w:val="both"/>
        <w:rPr>
          <w:rFonts w:ascii="Arial" w:eastAsia="Arial" w:hAnsi="Arial" w:cs="Arial"/>
          <w:sz w:val="24"/>
          <w:szCs w:val="24"/>
        </w:rPr>
      </w:pPr>
    </w:p>
    <w:p w14:paraId="09814102" w14:textId="77777777" w:rsidR="00F0002F" w:rsidRDefault="00F0002F">
      <w:pPr>
        <w:spacing w:before="60" w:after="60" w:line="360" w:lineRule="auto"/>
        <w:jc w:val="both"/>
        <w:rPr>
          <w:rFonts w:ascii="Arial" w:eastAsia="Arial" w:hAnsi="Arial" w:cs="Arial"/>
          <w:sz w:val="24"/>
          <w:szCs w:val="24"/>
        </w:rPr>
      </w:pPr>
    </w:p>
    <w:p w14:paraId="2E0BDC9F" w14:textId="77777777" w:rsidR="00EC7D49" w:rsidRDefault="00EC7D49">
      <w:pPr>
        <w:spacing w:before="60" w:after="60" w:line="360" w:lineRule="auto"/>
        <w:jc w:val="both"/>
        <w:rPr>
          <w:rFonts w:ascii="Arial" w:eastAsia="Arial" w:hAnsi="Arial" w:cs="Arial"/>
          <w:sz w:val="24"/>
          <w:szCs w:val="24"/>
        </w:rPr>
      </w:pPr>
    </w:p>
    <w:p w14:paraId="181B8107" w14:textId="77777777" w:rsidR="00EC7D49" w:rsidRDefault="00000000">
      <w:pPr>
        <w:pStyle w:val="Heading2"/>
        <w:spacing w:line="360" w:lineRule="auto"/>
        <w:rPr>
          <w:rFonts w:ascii="Arial" w:eastAsia="Arial" w:hAnsi="Arial" w:cs="Arial"/>
          <w:sz w:val="26"/>
          <w:szCs w:val="26"/>
        </w:rPr>
      </w:pPr>
      <w:r>
        <w:rPr>
          <w:rFonts w:ascii="Arial" w:eastAsia="Arial" w:hAnsi="Arial" w:cs="Arial"/>
          <w:sz w:val="26"/>
          <w:szCs w:val="26"/>
        </w:rPr>
        <w:t>7.5 Conclusion</w:t>
      </w:r>
    </w:p>
    <w:p w14:paraId="7231A509"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The evaluation has provided me with a major insight into strategic management as a multi-dimensional, theoretically informed, and contested field. The fact that various analytical approaches would meet at one point, providing each a unique analytical window into the same organisational reality, supported the importance of analytical pluralism: none of the approaches offers a wholesome or objective strategic view. Strong strategic analyses comprise complementary frameworks, which triangulate at levels of analysis (macro, industry, firm, resource). I also came to value more the fundamental importance of the close linkage between strategy development and strategy implementation: the high-level strategic vision Tesla has is as plausible as organisational ability to implement it through disciplined resource deployment, talent control, and stakeholder involvement.</w:t>
      </w:r>
    </w:p>
    <w:p w14:paraId="75952CA6" w14:textId="77777777" w:rsidR="00EC7D49" w:rsidRDefault="00000000">
      <w:pPr>
        <w:pStyle w:val="Heading2"/>
        <w:spacing w:line="360" w:lineRule="auto"/>
        <w:rPr>
          <w:rFonts w:ascii="Arial" w:eastAsia="Arial" w:hAnsi="Arial" w:cs="Arial"/>
          <w:sz w:val="26"/>
          <w:szCs w:val="26"/>
        </w:rPr>
      </w:pPr>
      <w:r>
        <w:rPr>
          <w:rFonts w:ascii="Arial" w:eastAsia="Arial" w:hAnsi="Arial" w:cs="Arial"/>
          <w:sz w:val="26"/>
          <w:szCs w:val="26"/>
        </w:rPr>
        <w:t>7.6 Action Plan</w:t>
      </w:r>
    </w:p>
    <w:p w14:paraId="76DEC92C" w14:textId="77777777" w:rsidR="00EC7D49" w:rsidRDefault="00000000">
      <w:pPr>
        <w:spacing w:before="60" w:after="60" w:line="360" w:lineRule="auto"/>
        <w:jc w:val="both"/>
        <w:rPr>
          <w:rFonts w:ascii="Arial" w:eastAsia="Arial" w:hAnsi="Arial" w:cs="Arial"/>
          <w:sz w:val="24"/>
          <w:szCs w:val="24"/>
        </w:rPr>
      </w:pPr>
      <w:r>
        <w:rPr>
          <w:rFonts w:ascii="Arial" w:eastAsia="Arial" w:hAnsi="Arial" w:cs="Arial"/>
          <w:sz w:val="24"/>
          <w:szCs w:val="24"/>
        </w:rPr>
        <w:t>In developing further based on the above reflections, I am determined to engage in the following growth activities in the future academic and professional strategic analysis. First, I will work on the development of skills in dynamic capability theory and scenario planning techniques because they can be used in the conventional frameworks used in this assessment and can be more effective in dealing with strategic uncertainty in the turbulent settings. Second, I will take the initiative to find chances of implementing strategic frameworks to organisations that have access to more data, such as internships, consultancy projects, or case competitions, to overcome the constraints of directly relying on secondary data. Third, in future reflective exercises I will be more intentional and keep a research journal during the assessment process instead of imposing a retroactive reflection on the learning experience so I can have more detailed and granular notes on the learning process as it happens. Finlay (2021) holds that transformative reflection should not only describe experience but be critically interrogative of the assumptions, values and knowledge systems that construct our perception of experience: something that I will hold to in this evaluation.</w:t>
      </w:r>
      <w:r>
        <w:br w:type="page"/>
      </w:r>
    </w:p>
    <w:p w14:paraId="5BD89A57" w14:textId="77777777" w:rsidR="00EC7D49" w:rsidRDefault="00EC7D49">
      <w:pPr>
        <w:spacing w:before="60" w:after="60" w:line="360" w:lineRule="auto"/>
        <w:jc w:val="both"/>
        <w:rPr>
          <w:rFonts w:ascii="Arial" w:eastAsia="Arial" w:hAnsi="Arial" w:cs="Arial"/>
          <w:sz w:val="24"/>
          <w:szCs w:val="24"/>
        </w:rPr>
      </w:pPr>
    </w:p>
    <w:p w14:paraId="37538F96" w14:textId="77777777" w:rsidR="00EC7D49" w:rsidRDefault="00000000">
      <w:pPr>
        <w:pStyle w:val="Heading1"/>
        <w:pBdr>
          <w:bottom w:val="single" w:sz="8" w:space="2" w:color="2E75B6"/>
        </w:pBdr>
        <w:spacing w:line="360" w:lineRule="auto"/>
        <w:rPr>
          <w:rFonts w:ascii="Arial" w:eastAsia="Arial" w:hAnsi="Arial" w:cs="Arial"/>
          <w:sz w:val="30"/>
          <w:szCs w:val="30"/>
        </w:rPr>
      </w:pPr>
      <w:r>
        <w:rPr>
          <w:rFonts w:ascii="Arial" w:eastAsia="Arial" w:hAnsi="Arial" w:cs="Arial"/>
          <w:sz w:val="30"/>
          <w:szCs w:val="30"/>
        </w:rPr>
        <w:t>References</w:t>
      </w:r>
    </w:p>
    <w:p w14:paraId="1BB84FBA" w14:textId="3D82CCC9" w:rsidR="00EC7D49" w:rsidRDefault="00000000">
      <w:pPr>
        <w:spacing w:before="60" w:after="60" w:line="360" w:lineRule="auto"/>
        <w:ind w:left="720" w:hanging="720"/>
        <w:jc w:val="both"/>
        <w:rPr>
          <w:rFonts w:ascii="Arial" w:eastAsia="Arial" w:hAnsi="Arial" w:cs="Arial"/>
          <w:sz w:val="24"/>
          <w:szCs w:val="24"/>
        </w:rPr>
      </w:pPr>
      <w:r>
        <w:rPr>
          <w:rFonts w:ascii="Arial" w:eastAsia="Arial" w:hAnsi="Arial" w:cs="Arial"/>
          <w:color w:val="000000"/>
        </w:rPr>
        <w:t xml:space="preserve">ARK Invest (2024) Tesla Valuation Model 2024. Available at: https://ark-invest.com/analyst-research/tesla-price-target-2024 [Accessed </w:t>
      </w:r>
      <w:r w:rsidR="00B06C92">
        <w:rPr>
          <w:rFonts w:ascii="Arial" w:eastAsia="Arial" w:hAnsi="Arial" w:cs="Arial"/>
          <w:color w:val="000000"/>
        </w:rPr>
        <w:t>23</w:t>
      </w:r>
      <w:r>
        <w:rPr>
          <w:rFonts w:ascii="Arial" w:eastAsia="Arial" w:hAnsi="Arial" w:cs="Arial"/>
          <w:color w:val="000000"/>
        </w:rPr>
        <w:t xml:space="preserve"> February 2026].</w:t>
      </w:r>
    </w:p>
    <w:p w14:paraId="08D74B12" w14:textId="77777777" w:rsidR="00EC7D49" w:rsidRDefault="00000000">
      <w:pPr>
        <w:spacing w:before="60" w:after="60" w:line="360" w:lineRule="auto"/>
        <w:ind w:left="720" w:hanging="720"/>
        <w:jc w:val="both"/>
        <w:rPr>
          <w:rFonts w:ascii="Arial" w:eastAsia="Arial" w:hAnsi="Arial" w:cs="Arial"/>
          <w:sz w:val="24"/>
          <w:szCs w:val="24"/>
        </w:rPr>
      </w:pPr>
      <w:r>
        <w:rPr>
          <w:rFonts w:ascii="Arial" w:eastAsia="Arial" w:hAnsi="Arial" w:cs="Arial"/>
          <w:color w:val="000000"/>
        </w:rPr>
        <w:t xml:space="preserve">Barney, J.B. and </w:t>
      </w:r>
      <w:proofErr w:type="spellStart"/>
      <w:r>
        <w:rPr>
          <w:rFonts w:ascii="Arial" w:eastAsia="Arial" w:hAnsi="Arial" w:cs="Arial"/>
          <w:color w:val="000000"/>
        </w:rPr>
        <w:t>Hesterly</w:t>
      </w:r>
      <w:proofErr w:type="spellEnd"/>
      <w:r>
        <w:rPr>
          <w:rFonts w:ascii="Arial" w:eastAsia="Arial" w:hAnsi="Arial" w:cs="Arial"/>
          <w:color w:val="000000"/>
        </w:rPr>
        <w:t xml:space="preserve">, W.S. (2022) Strategic Management and Competitive Advantage: Concepts and Cases. 6th </w:t>
      </w:r>
      <w:proofErr w:type="spellStart"/>
      <w:r>
        <w:rPr>
          <w:rFonts w:ascii="Arial" w:eastAsia="Arial" w:hAnsi="Arial" w:cs="Arial"/>
          <w:color w:val="000000"/>
        </w:rPr>
        <w:t>edn</w:t>
      </w:r>
      <w:proofErr w:type="spellEnd"/>
      <w:r>
        <w:rPr>
          <w:rFonts w:ascii="Arial" w:eastAsia="Arial" w:hAnsi="Arial" w:cs="Arial"/>
          <w:color w:val="000000"/>
        </w:rPr>
        <w:t>. Hoboken, NJ: Pearson Education.</w:t>
      </w:r>
    </w:p>
    <w:p w14:paraId="4667A35E" w14:textId="7CC46EFB" w:rsidR="00EC7D49" w:rsidRDefault="00000000">
      <w:pPr>
        <w:spacing w:before="60" w:after="60" w:line="360" w:lineRule="auto"/>
        <w:ind w:left="720" w:hanging="720"/>
        <w:jc w:val="both"/>
        <w:rPr>
          <w:rFonts w:ascii="Arial" w:eastAsia="Arial" w:hAnsi="Arial" w:cs="Arial"/>
          <w:sz w:val="24"/>
          <w:szCs w:val="24"/>
        </w:rPr>
      </w:pPr>
      <w:proofErr w:type="spellStart"/>
      <w:r>
        <w:rPr>
          <w:rFonts w:ascii="Arial" w:eastAsia="Arial" w:hAnsi="Arial" w:cs="Arial"/>
          <w:color w:val="000000"/>
        </w:rPr>
        <w:t>BloombergNEF</w:t>
      </w:r>
      <w:proofErr w:type="spellEnd"/>
      <w:r>
        <w:rPr>
          <w:rFonts w:ascii="Arial" w:eastAsia="Arial" w:hAnsi="Arial" w:cs="Arial"/>
          <w:color w:val="000000"/>
        </w:rPr>
        <w:t xml:space="preserve"> (2024) Electric Vehicle Outlook 2024. New York: Bloomberg Finance L.P. Available at: https://about.bnef.com/electric-vehicle-outlook [Accessed </w:t>
      </w:r>
      <w:r w:rsidR="00B06C92">
        <w:rPr>
          <w:rFonts w:ascii="Arial" w:eastAsia="Arial" w:hAnsi="Arial" w:cs="Arial"/>
          <w:color w:val="000000"/>
        </w:rPr>
        <w:t>22</w:t>
      </w:r>
      <w:r>
        <w:rPr>
          <w:rFonts w:ascii="Arial" w:eastAsia="Arial" w:hAnsi="Arial" w:cs="Arial"/>
          <w:color w:val="000000"/>
        </w:rPr>
        <w:t xml:space="preserve"> February 2026].</w:t>
      </w:r>
    </w:p>
    <w:p w14:paraId="10F31EF9" w14:textId="57C654B7" w:rsidR="00EC7D49" w:rsidRDefault="00000000">
      <w:pPr>
        <w:spacing w:before="60" w:after="60" w:line="360" w:lineRule="auto"/>
        <w:ind w:left="720" w:hanging="720"/>
        <w:jc w:val="both"/>
        <w:rPr>
          <w:rFonts w:ascii="Arial" w:eastAsia="Arial" w:hAnsi="Arial" w:cs="Arial"/>
          <w:sz w:val="24"/>
          <w:szCs w:val="24"/>
        </w:rPr>
      </w:pPr>
      <w:r>
        <w:rPr>
          <w:rFonts w:ascii="Arial" w:eastAsia="Arial" w:hAnsi="Arial" w:cs="Arial"/>
          <w:color w:val="000000"/>
        </w:rPr>
        <w:t xml:space="preserve">Bloomberg (2024) Tesla Diversity Report Reveals Persistent Gaps in Senior Roles. Available at: https://www.bloomberg.com/news/tesla-diversity-report-2024 [Accessed </w:t>
      </w:r>
      <w:r w:rsidR="00B06C92">
        <w:rPr>
          <w:rFonts w:ascii="Arial" w:eastAsia="Arial" w:hAnsi="Arial" w:cs="Arial"/>
          <w:color w:val="000000"/>
        </w:rPr>
        <w:t>24</w:t>
      </w:r>
      <w:r>
        <w:rPr>
          <w:rFonts w:ascii="Arial" w:eastAsia="Arial" w:hAnsi="Arial" w:cs="Arial"/>
          <w:color w:val="000000"/>
        </w:rPr>
        <w:t xml:space="preserve"> February 2026].</w:t>
      </w:r>
    </w:p>
    <w:p w14:paraId="59F7F76B" w14:textId="77777777" w:rsidR="00EC7D49" w:rsidRDefault="00000000">
      <w:pPr>
        <w:spacing w:before="60" w:after="60" w:line="360" w:lineRule="auto"/>
        <w:ind w:left="720" w:hanging="720"/>
        <w:jc w:val="both"/>
        <w:rPr>
          <w:rFonts w:ascii="Arial" w:eastAsia="Arial" w:hAnsi="Arial" w:cs="Arial"/>
          <w:sz w:val="24"/>
          <w:szCs w:val="24"/>
        </w:rPr>
      </w:pPr>
      <w:r>
        <w:rPr>
          <w:rFonts w:ascii="Arial" w:eastAsia="Arial" w:hAnsi="Arial" w:cs="Arial"/>
          <w:color w:val="000000"/>
        </w:rPr>
        <w:t>Carroll, A.B. and Brown, J.A. (2018) 'Corporate Social Responsibility: A Review of Current Concepts, Research, and Issues', Corporate Social Responsibility (Business and Society 360), 2, pp. 39–69. doi:10.1108/S2514-175920180000002002.</w:t>
      </w:r>
    </w:p>
    <w:p w14:paraId="18DBB038" w14:textId="77777777" w:rsidR="00EC7D49" w:rsidRDefault="00000000">
      <w:pPr>
        <w:spacing w:before="60" w:after="60" w:line="360" w:lineRule="auto"/>
        <w:ind w:left="720" w:hanging="720"/>
        <w:jc w:val="both"/>
        <w:rPr>
          <w:rFonts w:ascii="Arial" w:eastAsia="Arial" w:hAnsi="Arial" w:cs="Arial"/>
          <w:sz w:val="24"/>
          <w:szCs w:val="24"/>
        </w:rPr>
      </w:pPr>
      <w:r>
        <w:rPr>
          <w:rFonts w:ascii="Arial" w:eastAsia="Arial" w:hAnsi="Arial" w:cs="Arial"/>
          <w:color w:val="000000"/>
        </w:rPr>
        <w:t>Financial Times (2024) BYD Overtakes Tesla in Global EV Sales as Price War Intensifies. Available at: https://www.ft.com/content/byd-tesla-ev-sales-q4-2023 [Accessed 15 February 2026].</w:t>
      </w:r>
    </w:p>
    <w:p w14:paraId="3F0420D9" w14:textId="4D1E5FD6" w:rsidR="00EC7D49" w:rsidRDefault="00000000">
      <w:pPr>
        <w:spacing w:before="60" w:after="60" w:line="360" w:lineRule="auto"/>
        <w:ind w:left="720" w:hanging="720"/>
        <w:jc w:val="both"/>
        <w:rPr>
          <w:rFonts w:ascii="Arial" w:eastAsia="Arial" w:hAnsi="Arial" w:cs="Arial"/>
          <w:sz w:val="24"/>
          <w:szCs w:val="24"/>
        </w:rPr>
      </w:pPr>
      <w:r>
        <w:rPr>
          <w:rFonts w:ascii="Arial" w:eastAsia="Arial" w:hAnsi="Arial" w:cs="Arial"/>
          <w:color w:val="000000"/>
        </w:rPr>
        <w:t xml:space="preserve">Financial Times (2024) Delaware Court Rejects Elon Musk $56bn Tesla Pay Package. Available at: https://www.ft.com/content/tesla-musk-compensation-ruling-2024 [Accessed </w:t>
      </w:r>
      <w:r w:rsidR="00B06C92">
        <w:rPr>
          <w:rFonts w:ascii="Arial" w:eastAsia="Arial" w:hAnsi="Arial" w:cs="Arial"/>
          <w:color w:val="000000"/>
        </w:rPr>
        <w:t>24</w:t>
      </w:r>
      <w:r>
        <w:rPr>
          <w:rFonts w:ascii="Arial" w:eastAsia="Arial" w:hAnsi="Arial" w:cs="Arial"/>
          <w:color w:val="000000"/>
        </w:rPr>
        <w:t xml:space="preserve"> February 2026].</w:t>
      </w:r>
    </w:p>
    <w:p w14:paraId="1C6CE9C5" w14:textId="77777777" w:rsidR="00EC7D49" w:rsidRDefault="00000000">
      <w:pPr>
        <w:spacing w:before="60" w:after="60" w:line="360" w:lineRule="auto"/>
        <w:ind w:left="720" w:hanging="720"/>
        <w:jc w:val="both"/>
        <w:rPr>
          <w:rFonts w:ascii="Arial" w:eastAsia="Arial" w:hAnsi="Arial" w:cs="Arial"/>
          <w:sz w:val="24"/>
          <w:szCs w:val="24"/>
        </w:rPr>
      </w:pPr>
      <w:r>
        <w:rPr>
          <w:rFonts w:ascii="Arial" w:eastAsia="Arial" w:hAnsi="Arial" w:cs="Arial"/>
          <w:color w:val="000000"/>
        </w:rPr>
        <w:t>Finlay, L. (2021) Reflexivity: An Essential Guide. London: Sage Publications.</w:t>
      </w:r>
    </w:p>
    <w:p w14:paraId="1950E23E" w14:textId="6E42E0D5" w:rsidR="00EC7D49" w:rsidRDefault="00000000">
      <w:pPr>
        <w:spacing w:before="60" w:after="60" w:line="360" w:lineRule="auto"/>
        <w:ind w:left="720" w:hanging="720"/>
        <w:jc w:val="both"/>
        <w:rPr>
          <w:rFonts w:ascii="Arial" w:eastAsia="Arial" w:hAnsi="Arial" w:cs="Arial"/>
          <w:sz w:val="24"/>
          <w:szCs w:val="24"/>
        </w:rPr>
      </w:pPr>
      <w:proofErr w:type="spellStart"/>
      <w:r>
        <w:rPr>
          <w:rFonts w:ascii="Arial" w:eastAsia="Arial" w:hAnsi="Arial" w:cs="Arial"/>
          <w:color w:val="000000"/>
        </w:rPr>
        <w:t>GreenPeace</w:t>
      </w:r>
      <w:proofErr w:type="spellEnd"/>
      <w:r>
        <w:rPr>
          <w:rFonts w:ascii="Arial" w:eastAsia="Arial" w:hAnsi="Arial" w:cs="Arial"/>
          <w:color w:val="000000"/>
        </w:rPr>
        <w:t xml:space="preserve"> (2023) EV Battery Supply Chains: Environmental and Social Risks. Amsterdam: Greenpeace International. Available at: https://www.greenpeace.org/international/ev-batteries-report-2023 [Accessed </w:t>
      </w:r>
      <w:r w:rsidR="00B06C92">
        <w:rPr>
          <w:rFonts w:ascii="Arial" w:eastAsia="Arial" w:hAnsi="Arial" w:cs="Arial"/>
          <w:color w:val="000000"/>
        </w:rPr>
        <w:t>23</w:t>
      </w:r>
      <w:r>
        <w:rPr>
          <w:rFonts w:ascii="Arial" w:eastAsia="Arial" w:hAnsi="Arial" w:cs="Arial"/>
          <w:color w:val="000000"/>
        </w:rPr>
        <w:t xml:space="preserve"> February 2026].</w:t>
      </w:r>
    </w:p>
    <w:p w14:paraId="4F04166D" w14:textId="77777777" w:rsidR="00EC7D49" w:rsidRDefault="00000000">
      <w:pPr>
        <w:spacing w:before="60" w:after="60" w:line="360" w:lineRule="auto"/>
        <w:ind w:left="720" w:hanging="720"/>
        <w:jc w:val="both"/>
        <w:rPr>
          <w:rFonts w:ascii="Arial" w:eastAsia="Arial" w:hAnsi="Arial" w:cs="Arial"/>
          <w:sz w:val="24"/>
          <w:szCs w:val="24"/>
        </w:rPr>
      </w:pPr>
      <w:r>
        <w:rPr>
          <w:rFonts w:ascii="Arial" w:eastAsia="Arial" w:hAnsi="Arial" w:cs="Arial"/>
          <w:color w:val="000000"/>
        </w:rPr>
        <w:t>IEA (2024) Global EV Outlook 2024. Paris: International Energy Agency. Available at: https://www.iea.org/reports/global-ev-outlook-2024 [Accessed 11 February 2026].</w:t>
      </w:r>
    </w:p>
    <w:p w14:paraId="6ADD2C63" w14:textId="250C2CBE" w:rsidR="00EC7D49" w:rsidRDefault="00000000">
      <w:pPr>
        <w:spacing w:before="60" w:after="60" w:line="360" w:lineRule="auto"/>
        <w:ind w:left="720" w:hanging="720"/>
        <w:jc w:val="both"/>
        <w:rPr>
          <w:rFonts w:ascii="Arial" w:eastAsia="Arial" w:hAnsi="Arial" w:cs="Arial"/>
          <w:sz w:val="24"/>
          <w:szCs w:val="24"/>
        </w:rPr>
      </w:pPr>
      <w:r>
        <w:rPr>
          <w:rFonts w:ascii="Arial" w:eastAsia="Arial" w:hAnsi="Arial" w:cs="Arial"/>
          <w:color w:val="000000"/>
        </w:rPr>
        <w:t xml:space="preserve">IMF (2024) World Economic Outlook: Steady but Slow — Resilience amid Divergence. Washington, DC: International Monetary Fund. Available at: https://www.imf.org/en/Publications/WEO/Issues/2024 [Accessed </w:t>
      </w:r>
      <w:r w:rsidR="00B06C92">
        <w:rPr>
          <w:rFonts w:ascii="Arial" w:eastAsia="Arial" w:hAnsi="Arial" w:cs="Arial"/>
          <w:color w:val="000000"/>
        </w:rPr>
        <w:t>24</w:t>
      </w:r>
      <w:r>
        <w:rPr>
          <w:rFonts w:ascii="Arial" w:eastAsia="Arial" w:hAnsi="Arial" w:cs="Arial"/>
          <w:color w:val="000000"/>
        </w:rPr>
        <w:t xml:space="preserve"> February 2026].</w:t>
      </w:r>
    </w:p>
    <w:p w14:paraId="41FCB52C" w14:textId="77777777" w:rsidR="00EC7D49" w:rsidRDefault="00000000">
      <w:pPr>
        <w:spacing w:before="60" w:after="60" w:line="360" w:lineRule="auto"/>
        <w:ind w:left="720" w:hanging="720"/>
        <w:jc w:val="both"/>
        <w:rPr>
          <w:rFonts w:ascii="Arial" w:eastAsia="Arial" w:hAnsi="Arial" w:cs="Arial"/>
          <w:sz w:val="24"/>
          <w:szCs w:val="24"/>
        </w:rPr>
      </w:pPr>
      <w:r>
        <w:rPr>
          <w:rFonts w:ascii="Arial" w:eastAsia="Arial" w:hAnsi="Arial" w:cs="Arial"/>
          <w:color w:val="000000"/>
        </w:rPr>
        <w:t xml:space="preserve">Johnson, G., Whittington, R., Scholes, K., </w:t>
      </w:r>
      <w:proofErr w:type="spellStart"/>
      <w:r>
        <w:rPr>
          <w:rFonts w:ascii="Arial" w:eastAsia="Arial" w:hAnsi="Arial" w:cs="Arial"/>
          <w:color w:val="000000"/>
        </w:rPr>
        <w:t>Regnér</w:t>
      </w:r>
      <w:proofErr w:type="spellEnd"/>
      <w:r>
        <w:rPr>
          <w:rFonts w:ascii="Arial" w:eastAsia="Arial" w:hAnsi="Arial" w:cs="Arial"/>
          <w:color w:val="000000"/>
        </w:rPr>
        <w:t xml:space="preserve">, P. and </w:t>
      </w:r>
      <w:proofErr w:type="spellStart"/>
      <w:r>
        <w:rPr>
          <w:rFonts w:ascii="Arial" w:eastAsia="Arial" w:hAnsi="Arial" w:cs="Arial"/>
          <w:color w:val="000000"/>
        </w:rPr>
        <w:t>Angwin</w:t>
      </w:r>
      <w:proofErr w:type="spellEnd"/>
      <w:r>
        <w:rPr>
          <w:rFonts w:ascii="Arial" w:eastAsia="Arial" w:hAnsi="Arial" w:cs="Arial"/>
          <w:color w:val="000000"/>
        </w:rPr>
        <w:t xml:space="preserve">, D. (2023) Exploring Corporate Strategy: Text and Cases. 13th </w:t>
      </w:r>
      <w:proofErr w:type="spellStart"/>
      <w:r>
        <w:rPr>
          <w:rFonts w:ascii="Arial" w:eastAsia="Arial" w:hAnsi="Arial" w:cs="Arial"/>
          <w:color w:val="000000"/>
        </w:rPr>
        <w:t>edn</w:t>
      </w:r>
      <w:proofErr w:type="spellEnd"/>
      <w:r>
        <w:rPr>
          <w:rFonts w:ascii="Arial" w:eastAsia="Arial" w:hAnsi="Arial" w:cs="Arial"/>
          <w:color w:val="000000"/>
        </w:rPr>
        <w:t>. Harlow: Pearson Education.</w:t>
      </w:r>
    </w:p>
    <w:p w14:paraId="16BF1F58" w14:textId="77777777" w:rsidR="00EC7D49" w:rsidRDefault="00000000">
      <w:pPr>
        <w:spacing w:before="60" w:after="60" w:line="360" w:lineRule="auto"/>
        <w:ind w:left="720" w:hanging="720"/>
        <w:jc w:val="both"/>
        <w:rPr>
          <w:rFonts w:ascii="Arial" w:eastAsia="Arial" w:hAnsi="Arial" w:cs="Arial"/>
          <w:sz w:val="24"/>
          <w:szCs w:val="24"/>
        </w:rPr>
      </w:pPr>
      <w:r>
        <w:rPr>
          <w:rFonts w:ascii="Arial" w:eastAsia="Arial" w:hAnsi="Arial" w:cs="Arial"/>
          <w:color w:val="000000"/>
        </w:rPr>
        <w:t>Kaplan, R.S. and Norton, D.P. (2021) 'Revisiting the Balanced Scorecard for the Digital Age', Harvard Business Review, 99(4), pp. 72–81.</w:t>
      </w:r>
    </w:p>
    <w:p w14:paraId="3D223BF3" w14:textId="77777777" w:rsidR="00EC7D49" w:rsidRDefault="00000000">
      <w:pPr>
        <w:spacing w:before="60" w:after="60" w:line="360" w:lineRule="auto"/>
        <w:ind w:left="720" w:hanging="720"/>
        <w:jc w:val="both"/>
        <w:rPr>
          <w:rFonts w:ascii="Arial" w:eastAsia="Arial" w:hAnsi="Arial" w:cs="Arial"/>
          <w:sz w:val="24"/>
          <w:szCs w:val="24"/>
        </w:rPr>
      </w:pPr>
      <w:r>
        <w:rPr>
          <w:rFonts w:ascii="Arial" w:eastAsia="Arial" w:hAnsi="Arial" w:cs="Arial"/>
          <w:color w:val="000000"/>
        </w:rPr>
        <w:t xml:space="preserve">Kim, W.C. and Mauborgne, R. (2023) Blue Ocean Strategy: How to Create Uncontested Market Space and Make Competition Irrelevant. Expanded </w:t>
      </w:r>
      <w:proofErr w:type="spellStart"/>
      <w:r>
        <w:rPr>
          <w:rFonts w:ascii="Arial" w:eastAsia="Arial" w:hAnsi="Arial" w:cs="Arial"/>
          <w:color w:val="000000"/>
        </w:rPr>
        <w:t>edn</w:t>
      </w:r>
      <w:proofErr w:type="spellEnd"/>
      <w:r>
        <w:rPr>
          <w:rFonts w:ascii="Arial" w:eastAsia="Arial" w:hAnsi="Arial" w:cs="Arial"/>
          <w:color w:val="000000"/>
        </w:rPr>
        <w:t>. Boston, MA: Harvard Business Review Press.</w:t>
      </w:r>
    </w:p>
    <w:p w14:paraId="6562AFF8" w14:textId="77777777" w:rsidR="00EC7D49" w:rsidRDefault="00000000">
      <w:pPr>
        <w:spacing w:before="60" w:after="60" w:line="360" w:lineRule="auto"/>
        <w:ind w:left="720" w:hanging="720"/>
        <w:jc w:val="both"/>
        <w:rPr>
          <w:rFonts w:ascii="Arial" w:eastAsia="Arial" w:hAnsi="Arial" w:cs="Arial"/>
          <w:sz w:val="24"/>
          <w:szCs w:val="24"/>
        </w:rPr>
      </w:pPr>
      <w:r>
        <w:rPr>
          <w:rFonts w:ascii="Arial" w:eastAsia="Arial" w:hAnsi="Arial" w:cs="Arial"/>
          <w:color w:val="000000"/>
        </w:rPr>
        <w:t xml:space="preserve">Kotter, J.P. (2021) Leading Change: With a New Preface by the Author. 2nd </w:t>
      </w:r>
      <w:proofErr w:type="spellStart"/>
      <w:r>
        <w:rPr>
          <w:rFonts w:ascii="Arial" w:eastAsia="Arial" w:hAnsi="Arial" w:cs="Arial"/>
          <w:color w:val="000000"/>
        </w:rPr>
        <w:t>edn</w:t>
      </w:r>
      <w:proofErr w:type="spellEnd"/>
      <w:r>
        <w:rPr>
          <w:rFonts w:ascii="Arial" w:eastAsia="Arial" w:hAnsi="Arial" w:cs="Arial"/>
          <w:color w:val="000000"/>
        </w:rPr>
        <w:t>. Boston, MA: Harvard Business Review Press.</w:t>
      </w:r>
    </w:p>
    <w:p w14:paraId="16059D01" w14:textId="4EDFE076" w:rsidR="00EC7D49" w:rsidRDefault="00000000">
      <w:pPr>
        <w:spacing w:before="60" w:after="60" w:line="360" w:lineRule="auto"/>
        <w:ind w:left="720" w:hanging="720"/>
        <w:jc w:val="both"/>
        <w:rPr>
          <w:rFonts w:ascii="Arial" w:eastAsia="Arial" w:hAnsi="Arial" w:cs="Arial"/>
          <w:sz w:val="24"/>
          <w:szCs w:val="24"/>
        </w:rPr>
      </w:pPr>
      <w:r>
        <w:rPr>
          <w:rFonts w:ascii="Arial" w:eastAsia="Arial" w:hAnsi="Arial" w:cs="Arial"/>
          <w:color w:val="000000"/>
        </w:rPr>
        <w:t xml:space="preserve">KPMG (2023) Electric Vehicles: Ready for the Road Ahead? Global Automotive Executive Survey 2023. Available at: https://home.kpmg/xx/en/home/industries/automotive/2023-kpmg-global-automotive-executive-survey.html [Accessed </w:t>
      </w:r>
      <w:r w:rsidR="00F0002F">
        <w:rPr>
          <w:rFonts w:ascii="Arial" w:eastAsia="Arial" w:hAnsi="Arial" w:cs="Arial"/>
          <w:color w:val="000000"/>
        </w:rPr>
        <w:t>23</w:t>
      </w:r>
      <w:r>
        <w:rPr>
          <w:rFonts w:ascii="Arial" w:eastAsia="Arial" w:hAnsi="Arial" w:cs="Arial"/>
          <w:color w:val="000000"/>
        </w:rPr>
        <w:t xml:space="preserve"> February 2026].</w:t>
      </w:r>
    </w:p>
    <w:p w14:paraId="7064F605" w14:textId="587A61D5" w:rsidR="00EC7D49" w:rsidRDefault="00000000">
      <w:pPr>
        <w:spacing w:before="60" w:after="60" w:line="360" w:lineRule="auto"/>
        <w:ind w:left="720" w:hanging="720"/>
        <w:jc w:val="both"/>
        <w:rPr>
          <w:rFonts w:ascii="Arial" w:eastAsia="Arial" w:hAnsi="Arial" w:cs="Arial"/>
          <w:sz w:val="24"/>
          <w:szCs w:val="24"/>
        </w:rPr>
      </w:pPr>
      <w:r>
        <w:rPr>
          <w:rFonts w:ascii="Arial" w:eastAsia="Arial" w:hAnsi="Arial" w:cs="Arial"/>
          <w:color w:val="000000"/>
        </w:rPr>
        <w:t xml:space="preserve">McKinsey &amp; Company (2024) The Future of Mobility: How Will Transportation Evolve to 2030? Available at: https://www.mckinsey.com/industries/automotive-and-assembly/our-insights/future-of-mobility-2024 [Accessed </w:t>
      </w:r>
      <w:r w:rsidR="00F0002F">
        <w:rPr>
          <w:rFonts w:ascii="Arial" w:eastAsia="Arial" w:hAnsi="Arial" w:cs="Arial"/>
          <w:color w:val="000000"/>
        </w:rPr>
        <w:t>24</w:t>
      </w:r>
      <w:r>
        <w:rPr>
          <w:rFonts w:ascii="Arial" w:eastAsia="Arial" w:hAnsi="Arial" w:cs="Arial"/>
          <w:color w:val="000000"/>
        </w:rPr>
        <w:t xml:space="preserve"> February 2026].</w:t>
      </w:r>
    </w:p>
    <w:p w14:paraId="6C3F02AB" w14:textId="4E8F79CD" w:rsidR="00EC7D49" w:rsidRDefault="00000000">
      <w:pPr>
        <w:spacing w:before="60" w:after="60" w:line="360" w:lineRule="auto"/>
        <w:ind w:left="720" w:hanging="720"/>
        <w:jc w:val="both"/>
        <w:rPr>
          <w:rFonts w:ascii="Arial" w:eastAsia="Arial" w:hAnsi="Arial" w:cs="Arial"/>
          <w:sz w:val="24"/>
          <w:szCs w:val="24"/>
        </w:rPr>
      </w:pPr>
      <w:r>
        <w:rPr>
          <w:rFonts w:ascii="Arial" w:eastAsia="Arial" w:hAnsi="Arial" w:cs="Arial"/>
          <w:color w:val="000000"/>
        </w:rPr>
        <w:t xml:space="preserve">NASA (2024) GISS Surface Temperature Analysis (GISTEMP v4). Goddard Institute for Space Studies. Available at: https://data.giss.nasa.gov/gistemp [Accessed </w:t>
      </w:r>
      <w:r w:rsidR="00F0002F">
        <w:rPr>
          <w:rFonts w:ascii="Arial" w:eastAsia="Arial" w:hAnsi="Arial" w:cs="Arial"/>
          <w:color w:val="000000"/>
        </w:rPr>
        <w:t>24</w:t>
      </w:r>
      <w:r>
        <w:rPr>
          <w:rFonts w:ascii="Arial" w:eastAsia="Arial" w:hAnsi="Arial" w:cs="Arial"/>
          <w:color w:val="000000"/>
        </w:rPr>
        <w:t xml:space="preserve"> February 2026].</w:t>
      </w:r>
    </w:p>
    <w:p w14:paraId="485646D8" w14:textId="77777777" w:rsidR="00EC7D49" w:rsidRDefault="00000000">
      <w:pPr>
        <w:spacing w:before="60" w:after="60" w:line="360" w:lineRule="auto"/>
        <w:ind w:left="720" w:hanging="720"/>
        <w:jc w:val="both"/>
        <w:rPr>
          <w:rFonts w:ascii="Arial" w:eastAsia="Arial" w:hAnsi="Arial" w:cs="Arial"/>
          <w:sz w:val="24"/>
          <w:szCs w:val="24"/>
        </w:rPr>
      </w:pPr>
      <w:r>
        <w:rPr>
          <w:rFonts w:ascii="Arial" w:eastAsia="Arial" w:hAnsi="Arial" w:cs="Arial"/>
          <w:color w:val="000000"/>
        </w:rPr>
        <w:t>NHTSA (2023) Automated Driving Systems: A Vision for Safety 2.0. Washington, DC: National Highway Traffic Safety Administration. Available at: https://www.nhtsa.gov/automated-driving-systems/av-2-0 [Accessed 21 February 2026].</w:t>
      </w:r>
    </w:p>
    <w:p w14:paraId="30E89586" w14:textId="77777777" w:rsidR="00EC7D49" w:rsidRDefault="00000000">
      <w:pPr>
        <w:spacing w:before="60" w:after="60" w:line="360" w:lineRule="auto"/>
        <w:ind w:left="720" w:hanging="720"/>
        <w:jc w:val="both"/>
        <w:rPr>
          <w:rFonts w:ascii="Arial" w:eastAsia="Arial" w:hAnsi="Arial" w:cs="Arial"/>
          <w:sz w:val="24"/>
          <w:szCs w:val="24"/>
        </w:rPr>
      </w:pPr>
      <w:r>
        <w:rPr>
          <w:rFonts w:ascii="Arial" w:eastAsia="Arial" w:hAnsi="Arial" w:cs="Arial"/>
          <w:color w:val="000000"/>
        </w:rPr>
        <w:t xml:space="preserve">Pedersen, E.R.G., </w:t>
      </w:r>
      <w:proofErr w:type="spellStart"/>
      <w:r>
        <w:rPr>
          <w:rFonts w:ascii="Arial" w:eastAsia="Arial" w:hAnsi="Arial" w:cs="Arial"/>
          <w:color w:val="000000"/>
        </w:rPr>
        <w:t>Lüdeke</w:t>
      </w:r>
      <w:proofErr w:type="spellEnd"/>
      <w:r>
        <w:rPr>
          <w:rFonts w:ascii="Arial" w:eastAsia="Arial" w:hAnsi="Arial" w:cs="Arial"/>
          <w:color w:val="000000"/>
        </w:rPr>
        <w:t xml:space="preserve">-Freund, F., </w:t>
      </w:r>
      <w:proofErr w:type="spellStart"/>
      <w:r>
        <w:rPr>
          <w:rFonts w:ascii="Arial" w:eastAsia="Arial" w:hAnsi="Arial" w:cs="Arial"/>
          <w:color w:val="000000"/>
        </w:rPr>
        <w:t>Henriques</w:t>
      </w:r>
      <w:proofErr w:type="spellEnd"/>
      <w:r>
        <w:rPr>
          <w:rFonts w:ascii="Arial" w:eastAsia="Arial" w:hAnsi="Arial" w:cs="Arial"/>
          <w:color w:val="000000"/>
        </w:rPr>
        <w:t xml:space="preserve">, I. and </w:t>
      </w:r>
      <w:proofErr w:type="spellStart"/>
      <w:r>
        <w:rPr>
          <w:rFonts w:ascii="Arial" w:eastAsia="Arial" w:hAnsi="Arial" w:cs="Arial"/>
          <w:color w:val="000000"/>
        </w:rPr>
        <w:t>Seitanidi</w:t>
      </w:r>
      <w:proofErr w:type="spellEnd"/>
      <w:r>
        <w:rPr>
          <w:rFonts w:ascii="Arial" w:eastAsia="Arial" w:hAnsi="Arial" w:cs="Arial"/>
          <w:color w:val="000000"/>
        </w:rPr>
        <w:t>, M.M. (2021) 'Toward Collaborative Cross-Sector Business Models for Sustainability', Business Strategy and the Environment, 30(3), pp. 1932–1944. doi:10.1002/bse.2727.</w:t>
      </w:r>
    </w:p>
    <w:p w14:paraId="65BD1357" w14:textId="77777777" w:rsidR="00EC7D49" w:rsidRDefault="00000000">
      <w:pPr>
        <w:spacing w:before="60" w:after="60" w:line="360" w:lineRule="auto"/>
        <w:ind w:left="720" w:hanging="720"/>
        <w:jc w:val="both"/>
        <w:rPr>
          <w:rFonts w:ascii="Arial" w:eastAsia="Arial" w:hAnsi="Arial" w:cs="Arial"/>
          <w:sz w:val="24"/>
          <w:szCs w:val="24"/>
        </w:rPr>
      </w:pPr>
      <w:proofErr w:type="spellStart"/>
      <w:r>
        <w:rPr>
          <w:rFonts w:ascii="Arial" w:eastAsia="Arial" w:hAnsi="Arial" w:cs="Arial"/>
          <w:color w:val="000000"/>
        </w:rPr>
        <w:t>Rothaermel</w:t>
      </w:r>
      <w:proofErr w:type="spellEnd"/>
      <w:r>
        <w:rPr>
          <w:rFonts w:ascii="Arial" w:eastAsia="Arial" w:hAnsi="Arial" w:cs="Arial"/>
          <w:color w:val="000000"/>
        </w:rPr>
        <w:t xml:space="preserve">, F.T. (2022) Strategic Management. 5th </w:t>
      </w:r>
      <w:proofErr w:type="spellStart"/>
      <w:r>
        <w:rPr>
          <w:rFonts w:ascii="Arial" w:eastAsia="Arial" w:hAnsi="Arial" w:cs="Arial"/>
          <w:color w:val="000000"/>
        </w:rPr>
        <w:t>edn</w:t>
      </w:r>
      <w:proofErr w:type="spellEnd"/>
      <w:r>
        <w:rPr>
          <w:rFonts w:ascii="Arial" w:eastAsia="Arial" w:hAnsi="Arial" w:cs="Arial"/>
          <w:color w:val="000000"/>
        </w:rPr>
        <w:t>. New York: McGraw-Hill Education.</w:t>
      </w:r>
    </w:p>
    <w:p w14:paraId="219BCC65" w14:textId="77777777" w:rsidR="00EC7D49" w:rsidRDefault="00000000">
      <w:pPr>
        <w:spacing w:before="60" w:after="60" w:line="360" w:lineRule="auto"/>
        <w:ind w:left="720" w:hanging="720"/>
        <w:jc w:val="both"/>
        <w:rPr>
          <w:rFonts w:ascii="Arial" w:eastAsia="Arial" w:hAnsi="Arial" w:cs="Arial"/>
          <w:sz w:val="24"/>
          <w:szCs w:val="24"/>
        </w:rPr>
      </w:pPr>
      <w:proofErr w:type="spellStart"/>
      <w:r>
        <w:rPr>
          <w:rFonts w:ascii="Arial" w:eastAsia="Arial" w:hAnsi="Arial" w:cs="Arial"/>
          <w:color w:val="000000"/>
        </w:rPr>
        <w:t>Statista</w:t>
      </w:r>
      <w:proofErr w:type="spellEnd"/>
      <w:r>
        <w:rPr>
          <w:rFonts w:ascii="Arial" w:eastAsia="Arial" w:hAnsi="Arial" w:cs="Arial"/>
          <w:color w:val="000000"/>
        </w:rPr>
        <w:t xml:space="preserve"> (2024) Tesla Brand Perception Survey: United States, 2024. Available at: https://www.statista.com/study/tesla-brand-perception-2024 [Accessed 22 February 2026].</w:t>
      </w:r>
    </w:p>
    <w:p w14:paraId="70FD05B9" w14:textId="77777777" w:rsidR="00EC7D49" w:rsidRDefault="00000000">
      <w:pPr>
        <w:spacing w:before="60" w:after="60" w:line="360" w:lineRule="auto"/>
        <w:ind w:left="720" w:hanging="720"/>
        <w:jc w:val="both"/>
        <w:rPr>
          <w:rFonts w:ascii="Arial" w:eastAsia="Arial" w:hAnsi="Arial" w:cs="Arial"/>
          <w:sz w:val="24"/>
          <w:szCs w:val="24"/>
        </w:rPr>
      </w:pPr>
      <w:proofErr w:type="spellStart"/>
      <w:r>
        <w:rPr>
          <w:rFonts w:ascii="Arial" w:eastAsia="Arial" w:hAnsi="Arial" w:cs="Arial"/>
          <w:color w:val="000000"/>
        </w:rPr>
        <w:t>Teece</w:t>
      </w:r>
      <w:proofErr w:type="spellEnd"/>
      <w:r>
        <w:rPr>
          <w:rFonts w:ascii="Arial" w:eastAsia="Arial" w:hAnsi="Arial" w:cs="Arial"/>
          <w:color w:val="000000"/>
        </w:rPr>
        <w:t>, D.J. (2020) 'Hand in Glove: Open Innovation and the Dynamic Capabilities Framework', Strategic Management Review, 1(2), pp. 233–253. doi:10.1561/111.00000010.</w:t>
      </w:r>
    </w:p>
    <w:p w14:paraId="35D16B8A" w14:textId="77777777" w:rsidR="00EC7D49" w:rsidRDefault="00000000">
      <w:pPr>
        <w:spacing w:before="60" w:after="60" w:line="360" w:lineRule="auto"/>
        <w:ind w:left="720" w:hanging="720"/>
        <w:jc w:val="both"/>
        <w:rPr>
          <w:rFonts w:ascii="Arial" w:eastAsia="Arial" w:hAnsi="Arial" w:cs="Arial"/>
          <w:sz w:val="24"/>
          <w:szCs w:val="24"/>
        </w:rPr>
      </w:pPr>
      <w:r>
        <w:rPr>
          <w:rFonts w:ascii="Arial" w:eastAsia="Arial" w:hAnsi="Arial" w:cs="Arial"/>
          <w:color w:val="000000"/>
        </w:rPr>
        <w:t>Tesla, Inc. (2024a) Annual Report on Form 10-K for the Year Ended December 31, 2023. Austin, TX: Tesla, Inc. Available at: https://ir.tesla.com/sec-filings/annual-reports [Accessed 12 February 2026].</w:t>
      </w:r>
    </w:p>
    <w:p w14:paraId="3E17652D" w14:textId="77777777" w:rsidR="00EC7D49" w:rsidRDefault="00000000">
      <w:pPr>
        <w:spacing w:before="60" w:after="60" w:line="360" w:lineRule="auto"/>
        <w:ind w:left="720" w:hanging="720"/>
        <w:jc w:val="both"/>
        <w:rPr>
          <w:rFonts w:ascii="Arial" w:eastAsia="Arial" w:hAnsi="Arial" w:cs="Arial"/>
          <w:sz w:val="24"/>
          <w:szCs w:val="24"/>
        </w:rPr>
      </w:pPr>
      <w:r>
        <w:rPr>
          <w:rFonts w:ascii="Arial" w:eastAsia="Arial" w:hAnsi="Arial" w:cs="Arial"/>
          <w:color w:val="000000"/>
        </w:rPr>
        <w:t>Tesla, Inc. (2024b) Tesla Full Self-Driving Technology Overview. Available at: https://www.tesla.com/autopilot [Accessed 10 February 2026].</w:t>
      </w:r>
    </w:p>
    <w:p w14:paraId="2291333C" w14:textId="77777777" w:rsidR="00EC7D49" w:rsidRDefault="00000000">
      <w:pPr>
        <w:spacing w:before="60" w:after="60" w:line="360" w:lineRule="auto"/>
        <w:ind w:left="720" w:hanging="720"/>
        <w:jc w:val="both"/>
        <w:rPr>
          <w:rFonts w:ascii="Arial" w:eastAsia="Arial" w:hAnsi="Arial" w:cs="Arial"/>
          <w:sz w:val="24"/>
          <w:szCs w:val="24"/>
        </w:rPr>
      </w:pPr>
      <w:r>
        <w:rPr>
          <w:rFonts w:ascii="Arial" w:eastAsia="Arial" w:hAnsi="Arial" w:cs="Arial"/>
          <w:color w:val="000000"/>
        </w:rPr>
        <w:t>Tesla, Inc. (2024c) Tesla 2023 Impact Report. Austin, TX: Tesla, Inc. Available at: https://www.tesla.com/impact [Accessed 13 February 2026].</w:t>
      </w:r>
    </w:p>
    <w:p w14:paraId="37674E01" w14:textId="77777777" w:rsidR="00EC7D49" w:rsidRDefault="00000000">
      <w:pPr>
        <w:spacing w:before="60" w:after="60" w:line="360" w:lineRule="auto"/>
        <w:ind w:left="720" w:hanging="720"/>
        <w:jc w:val="both"/>
        <w:rPr>
          <w:rFonts w:ascii="Arial" w:eastAsia="Arial" w:hAnsi="Arial" w:cs="Arial"/>
          <w:sz w:val="24"/>
          <w:szCs w:val="24"/>
        </w:rPr>
      </w:pPr>
      <w:r>
        <w:rPr>
          <w:rFonts w:ascii="Arial" w:eastAsia="Arial" w:hAnsi="Arial" w:cs="Arial"/>
          <w:color w:val="000000"/>
        </w:rPr>
        <w:t>Volkswagen Group (2023) Accelerating Towards e-Mobility: Battery Strategy 2030. Wolfsburg: Volkswagen AG. Available at: https://www.volkswagenag.com/en/news/stories/2023/battery-strategy.html [Accessed 23 February 2026].</w:t>
      </w:r>
    </w:p>
    <w:p w14:paraId="1128419A" w14:textId="77777777" w:rsidR="00EC7D49" w:rsidRDefault="00000000">
      <w:pPr>
        <w:spacing w:before="60" w:after="60" w:line="360" w:lineRule="auto"/>
        <w:ind w:left="720" w:hanging="720"/>
        <w:jc w:val="both"/>
        <w:rPr>
          <w:rFonts w:ascii="Arial" w:eastAsia="Arial" w:hAnsi="Arial" w:cs="Arial"/>
          <w:sz w:val="24"/>
          <w:szCs w:val="24"/>
        </w:rPr>
      </w:pPr>
      <w:proofErr w:type="spellStart"/>
      <w:r>
        <w:rPr>
          <w:rFonts w:ascii="Arial" w:eastAsia="Arial" w:hAnsi="Arial" w:cs="Arial"/>
          <w:color w:val="000000"/>
        </w:rPr>
        <w:t>Wheelen</w:t>
      </w:r>
      <w:proofErr w:type="spellEnd"/>
      <w:r>
        <w:rPr>
          <w:rFonts w:ascii="Arial" w:eastAsia="Arial" w:hAnsi="Arial" w:cs="Arial"/>
          <w:color w:val="000000"/>
        </w:rPr>
        <w:t xml:space="preserve">, T.L., Hunger, J.D., Hoffman, A.N. and Bamford, C.E. (2022) Strategic Management and Business Policy: Globalization, Innovation, and Sustainability. 16th </w:t>
      </w:r>
      <w:proofErr w:type="spellStart"/>
      <w:r>
        <w:rPr>
          <w:rFonts w:ascii="Arial" w:eastAsia="Arial" w:hAnsi="Arial" w:cs="Arial"/>
          <w:color w:val="000000"/>
        </w:rPr>
        <w:t>edn</w:t>
      </w:r>
      <w:proofErr w:type="spellEnd"/>
      <w:r>
        <w:rPr>
          <w:rFonts w:ascii="Arial" w:eastAsia="Arial" w:hAnsi="Arial" w:cs="Arial"/>
          <w:color w:val="000000"/>
        </w:rPr>
        <w:t>. Hoboken, NJ: Pearson Education.</w:t>
      </w:r>
    </w:p>
    <w:sectPr w:rsidR="00EC7D49">
      <w:headerReference w:type="default" r:id="rId8"/>
      <w:footerReference w:type="default" r:id="rId9"/>
      <w:pgSz w:w="11906" w:h="16838"/>
      <w:pgMar w:top="1080" w:right="1080" w:bottom="1080" w:left="126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D4E3ED" w14:textId="77777777" w:rsidR="00290AA1" w:rsidRDefault="00290AA1">
      <w:r>
        <w:separator/>
      </w:r>
    </w:p>
  </w:endnote>
  <w:endnote w:type="continuationSeparator" w:id="0">
    <w:p w14:paraId="279DC6B6" w14:textId="77777777" w:rsidR="00290AA1" w:rsidRDefault="00290A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embedRegular r:id="rId1" w:fontKey="{9AA8EE8A-37DB-4915-BBFA-AECA69724D31}"/>
    <w:embedBold r:id="rId2" w:fontKey="{F07DB3B9-EA73-4BBB-838F-D3DDB342153E}"/>
    <w:embedItalic r:id="rId3" w:fontKey="{D9A883A4-A7F0-4D3C-BE9B-105DF73E7EC7}"/>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4" w:fontKey="{F388131D-682A-486F-8379-42F20B96F9D1}"/>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5" w:fontKey="{BD05E641-BB99-4CC6-9274-B53072DF31B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7A054B" w14:textId="77777777" w:rsidR="00EC7D49" w:rsidRDefault="00000000">
    <w:pPr>
      <w:pBdr>
        <w:top w:val="single" w:sz="4" w:space="2" w:color="2E75B6"/>
      </w:pBdr>
      <w:spacing w:before="80"/>
      <w:jc w:val="center"/>
    </w:pPr>
    <w:r>
      <w:rPr>
        <w:color w:val="555555"/>
        <w:sz w:val="18"/>
        <w:szCs w:val="18"/>
      </w:rPr>
      <w:t xml:space="preserve">MBA | Strategic Management | LCMB7003   |   Page </w:t>
    </w:r>
    <w:r>
      <w:rPr>
        <w:color w:val="555555"/>
        <w:sz w:val="18"/>
        <w:szCs w:val="18"/>
      </w:rPr>
      <w:fldChar w:fldCharType="begin"/>
    </w:r>
    <w:r>
      <w:rPr>
        <w:color w:val="555555"/>
        <w:sz w:val="18"/>
        <w:szCs w:val="18"/>
      </w:rPr>
      <w:instrText>PAGE</w:instrText>
    </w:r>
    <w:r>
      <w:rPr>
        <w:color w:val="555555"/>
        <w:sz w:val="18"/>
        <w:szCs w:val="18"/>
      </w:rPr>
      <w:fldChar w:fldCharType="separate"/>
    </w:r>
    <w:r w:rsidR="00F0002F">
      <w:rPr>
        <w:noProof/>
        <w:color w:val="555555"/>
        <w:sz w:val="18"/>
        <w:szCs w:val="18"/>
      </w:rPr>
      <w:t>1</w:t>
    </w:r>
    <w:r>
      <w:rPr>
        <w:color w:val="555555"/>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4B1548" w14:textId="77777777" w:rsidR="00290AA1" w:rsidRDefault="00290AA1">
      <w:r>
        <w:separator/>
      </w:r>
    </w:p>
  </w:footnote>
  <w:footnote w:type="continuationSeparator" w:id="0">
    <w:p w14:paraId="4FB9CAFB" w14:textId="77777777" w:rsidR="00290AA1" w:rsidRDefault="00290A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A4D21B" w14:textId="77777777" w:rsidR="00EC7D49" w:rsidRDefault="00000000">
    <w:pPr>
      <w:pBdr>
        <w:bottom w:val="single" w:sz="4" w:space="2" w:color="2E75B6"/>
      </w:pBdr>
      <w:spacing w:after="80"/>
      <w:jc w:val="right"/>
    </w:pPr>
    <w:r>
      <w:rPr>
        <w:color w:val="555555"/>
        <w:sz w:val="18"/>
        <w:szCs w:val="18"/>
      </w:rPr>
      <w:t>Strategic Management Analysis: Tesla, Inc.  |  LCMB7003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7"/>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7D49"/>
    <w:rsid w:val="00290AA1"/>
    <w:rsid w:val="003453B7"/>
    <w:rsid w:val="007903CE"/>
    <w:rsid w:val="008A6B44"/>
    <w:rsid w:val="00A31454"/>
    <w:rsid w:val="00A72C57"/>
    <w:rsid w:val="00B06C92"/>
    <w:rsid w:val="00DF19DD"/>
    <w:rsid w:val="00EC7D49"/>
    <w:rsid w:val="00F0002F"/>
    <w:rsid w:val="00F01B64"/>
    <w:rsid w:val="00F36D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101C3"/>
  <w15:docId w15:val="{3B715044-67C3-45D5-B2D7-D9F94B7BDE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320" w:after="120"/>
      <w:outlineLvl w:val="0"/>
    </w:pPr>
    <w:rPr>
      <w:b/>
      <w:bCs/>
      <w:color w:val="1F3864"/>
      <w:sz w:val="28"/>
      <w:szCs w:val="28"/>
    </w:rPr>
  </w:style>
  <w:style w:type="paragraph" w:styleId="Heading2">
    <w:name w:val="heading 2"/>
    <w:basedOn w:val="Normal"/>
    <w:next w:val="Normal"/>
    <w:uiPriority w:val="9"/>
    <w:unhideWhenUsed/>
    <w:qFormat/>
    <w:pPr>
      <w:pBdr>
        <w:top w:val="nil"/>
        <w:left w:val="nil"/>
        <w:bottom w:val="nil"/>
        <w:right w:val="nil"/>
        <w:between w:val="nil"/>
      </w:pBdr>
      <w:spacing w:before="240" w:after="80"/>
      <w:outlineLvl w:val="1"/>
    </w:pPr>
    <w:rPr>
      <w:b/>
      <w:bCs/>
      <w:color w:val="2E75B6"/>
      <w:sz w:val="24"/>
      <w:szCs w:val="24"/>
    </w:rPr>
  </w:style>
  <w:style w:type="paragraph" w:styleId="Heading3">
    <w:name w:val="heading 3"/>
    <w:basedOn w:val="Normal"/>
    <w:next w:val="Normal"/>
    <w:uiPriority w:val="9"/>
    <w:semiHidden/>
    <w:unhideWhenUsed/>
    <w:qFormat/>
    <w:pPr>
      <w:pBdr>
        <w:top w:val="nil"/>
        <w:left w:val="nil"/>
        <w:bottom w:val="nil"/>
        <w:right w:val="nil"/>
        <w:between w:val="nil"/>
      </w:pBdr>
      <w:spacing w:before="160" w:after="60"/>
      <w:outlineLvl w:val="2"/>
    </w:pPr>
    <w:rPr>
      <w:b/>
      <w:bCs/>
      <w:color w:val="333333"/>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customStyle="1" w:styleId="Strong1">
    <w:name w:val="Strong1"/>
    <w:basedOn w:val="Normal"/>
    <w:next w:val="Normal"/>
    <w:qFormat/>
    <w:rPr>
      <w:b/>
      <w:bCs/>
    </w:rPr>
  </w:style>
  <w:style w:type="paragraph" w:styleId="ListParagraph">
    <w:name w:val="List Paragraph"/>
    <w:basedOn w:val="Normal"/>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basedOn w:val="Normal"/>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5" Type="http://schemas.openxmlformats.org/officeDocument/2006/relationships/font" Target="fonts/font5.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OYX7RkDrWkkN2/xxJOjOF22l48w==">CgMxLjA4AHIhMUI2VHBsYXRsUkg1NERMa2ZwU21yZVl3Y3N3T25MeFFU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6880</Words>
  <Characters>39220</Characters>
  <Application>Microsoft Office Word</Application>
  <DocSecurity>0</DocSecurity>
  <Lines>326</Lines>
  <Paragraphs>92</Paragraphs>
  <ScaleCrop>false</ScaleCrop>
  <Company/>
  <LinksUpToDate>false</LinksUpToDate>
  <CharactersWithSpaces>46008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Jahangir</dc:creator>
  <cp:lastModifiedBy>Jahangir Khalaj Savojbolagh (2109914)</cp:lastModifiedBy>
  <cp:revision>5</cp:revision>
  <dcterms:created xsi:type="dcterms:W3CDTF">2026-03-26T10:31:00Z</dcterms:created>
  <dcterms:modified xsi:type="dcterms:W3CDTF">2026-03-26T10:32:00Z</dcterms:modified>
</cp:coreProperties>
</file>