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54289A" w:rsidP="0054289A" w:rsidRDefault="0054289A" w14:paraId="10E93C83" w14:textId="679B5A69">
      <w:sdt>
        <w:sdtPr>
          <w:id w:val="-1919240940"/>
          <w:docPartObj>
            <w:docPartGallery w:val="Cover Pages"/>
            <w:docPartUnique/>
          </w:docPartObj>
        </w:sdtPr>
        <w:sdtEndPr/>
        <w:sdtContent>
          <w:r>
            <w:rPr>
              <w:noProof/>
              <w:color w:val="FFFFFF" w:themeColor="background1"/>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1DE585AA" wp14:editId="09458DAC">
                    <wp:simplePos xmlns:wp="http://schemas.openxmlformats.org/drawingml/2006/wordprocessingDrawing" x="0" y="0"/>
                    <wp:positionH xmlns:wp="http://schemas.openxmlformats.org/drawingml/2006/wordprocessingDrawing" relativeFrom="page">
                      <wp:align>center</wp:align>
                    </wp:positionH>
                    <wp:positionV xmlns:wp="http://schemas.openxmlformats.org/drawingml/2006/wordprocessingDrawing" relativeFrom="page">
                      <wp:align>center</wp:align>
                    </wp:positionV>
                    <wp:extent cx="6855460" cy="11123930"/>
                    <wp:effectExtent l="0" t="0" r="0" b="1270"/>
                    <wp:wrapNone xmlns:wp="http://schemas.openxmlformats.org/drawingml/2006/wordprocessingDrawing"/>
                    <wp:docPr xmlns:wp="http://schemas.openxmlformats.org/drawingml/2006/wordprocessingDrawing" id="11"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855460" cy="11123930"/>
                              <a:chOff x="0" y="0"/>
                              <a:chExt cx="6855460" cy="11124428"/>
                            </a:xfrm>
                          </wpg:grpSpPr>
                          <wps:wsp xmlns:wps="http://schemas.microsoft.com/office/word/2010/wordprocessingShape">
                            <wps:cNvPr id="2" name="Rectangle 2"/>
                            <wps:cNvSpPr/>
                            <wps:spPr>
                              <a:xfrm>
                                <a:off x="0" y="0"/>
                                <a:ext cx="6626945" cy="9143365"/>
                              </a:xfrm>
                              <a:prstGeom prst="rect">
                                <a:avLst/>
                              </a:prstGeom>
                              <a:solidFill>
                                <a:schemeClr val="tx1"/>
                              </a:solidFill>
                              <a:ln>
                                <a:noFill/>
                              </a:ln>
                            </wps:spPr>
                            <wps:style>
                              <a:lnRef idx="2">
                                <a:schemeClr val="accent1">
                                  <a:shade val="50000"/>
                                </a:schemeClr>
                              </a:lnRef>
                              <a:fillRef idx="1">
                                <a:schemeClr val="accent1"/>
                              </a:fillRef>
                              <a:effectRef idx="0">
                                <a:scrgbClr r="0" g="0" b="0"/>
                              </a:effectRef>
                              <a:fontRef idx="minor">
                                <a:schemeClr val="lt1"/>
                              </a:fontRef>
                            </wps:style>
                            <wps:txbx>
                              <w:txbxContent>
                                <w:p w:rsidR="00A47C63" w:rsidP="00A47C63" w:rsidRDefault="00A47C63">
                                  <w:pPr>
                                    <w:spacing w:after="120" w:line="252" w:lineRule="auto"/>
                                    <w:rPr>
                                      <w:rFonts w:ascii="Calibri Light" w:hAnsi="Calibri Light" w:cs="Calibri Light"/>
                                      <w:color w:val="FFFFFF"/>
                                      <w:sz w:val="84"/>
                                      <w:szCs w:val="84"/>
                                      <w:lang w:val="en-US"/>
                                    </w:rPr>
                                  </w:pPr>
                                  <w:r>
                                    <w:rPr>
                                      <w:rFonts w:ascii="Calibri Light" w:hAnsi="Calibri Light" w:cs="Calibri Light"/>
                                      <w:color w:val="FFFFFF"/>
                                      <w:sz w:val="84"/>
                                      <w:szCs w:val="84"/>
                                      <w:lang w:val="en-US"/>
                                    </w:rPr>
                                    <w:t>HOTEL HANDBOOK FOR INTERCULTURAL COMPETENCE</w:t>
                                  </w:r>
                                </w:p>
                                <w:p w:rsidR="00A47C63" w:rsidP="00A47C63" w:rsidRDefault="00A47C63">
                                  <w:pPr>
                                    <w:spacing w:after="120" w:line="252" w:lineRule="auto"/>
                                    <w:rPr>
                                      <w:rFonts w:hAnsi="Calibri" w:eastAsia="Calibri" w:cs="Calibri"/>
                                      <w:color w:val="FFFFFF"/>
                                      <w:sz w:val="28"/>
                                      <w:szCs w:val="28"/>
                                      <w:lang w:val="en-US"/>
                                    </w:rPr>
                                  </w:pPr>
                                  <w:r>
                                    <w:rPr>
                                      <w:rFonts w:hAnsi="Calibri" w:eastAsia="Calibri" w:cs="Calibri"/>
                                      <w:color w:val="FFFFFF"/>
                                      <w:sz w:val="28"/>
                                      <w:szCs w:val="28"/>
                                      <w:lang w:val="en-US"/>
                                    </w:rPr>
                                    <w:t xml:space="preserve">  </w:t>
                                  </w:r>
                                </w:p>
                                <w:p w:rsidR="00A47C63" w:rsidP="00A47C63" w:rsidRDefault="00A47C63">
                                  <w:pPr>
                                    <w:spacing w:after="120" w:line="252" w:lineRule="auto"/>
                                    <w:rPr>
                                      <w:rFonts w:hAnsi="Calibri" w:eastAsia="Calibri" w:cs="Calibri"/>
                                      <w:color w:val="FFFFFF"/>
                                      <w:sz w:val="28"/>
                                      <w:szCs w:val="28"/>
                                      <w:lang w:val="en-US"/>
                                    </w:rPr>
                                  </w:pPr>
                                  <w:r>
                                    <w:rPr>
                                      <w:rFonts w:hAnsi="Calibri" w:eastAsia="Calibri" w:cs="Calibri"/>
                                      <w:color w:val="FFFFFF"/>
                                      <w:sz w:val="28"/>
                                      <w:szCs w:val="28"/>
                                      <w:lang w:val="en-US"/>
                                    </w:rPr>
                                    <w:t>Mohammod Suhel Miah</w:t>
                                  </w:r>
                                </w:p>
                                <w:p w:rsidR="00A47C63" w:rsidP="00A47C63" w:rsidRDefault="00A47C63">
                                  <w:pPr>
                                    <w:spacing w:after="120" w:line="252" w:lineRule="auto"/>
                                    <w:rPr>
                                      <w:rFonts w:hAnsi="Calibri" w:eastAsia="Calibri" w:cs="Calibri"/>
                                      <w:color w:val="FFFFFF"/>
                                      <w:sz w:val="28"/>
                                      <w:szCs w:val="28"/>
                                      <w:lang w:val="en-US"/>
                                    </w:rPr>
                                  </w:pPr>
                                  <w:r>
                                    <w:rPr>
                                      <w:rFonts w:hAnsi="Calibri" w:eastAsia="Calibri" w:cs="Calibri"/>
                                      <w:color w:val="FFFFFF"/>
                                      <w:sz w:val="28"/>
                                      <w:szCs w:val="28"/>
                                      <w:lang w:val="en-US"/>
                                    </w:rPr>
                                    <w:t>ID: 2126980</w:t>
                                  </w:r>
                                </w:p>
                                <w:p w:rsidR="00A47C63" w:rsidP="00A47C63" w:rsidRDefault="00A47C63">
                                  <w:pPr>
                                    <w:spacing w:after="120" w:line="252" w:lineRule="auto"/>
                                    <w:rPr>
                                      <w:rFonts w:hAnsi="Calibri" w:eastAsia="Calibri" w:cs="Calibri"/>
                                      <w:color w:val="FFFFFF"/>
                                      <w:sz w:val="28"/>
                                      <w:szCs w:val="28"/>
                                      <w:lang w:val="en-US"/>
                                    </w:rPr>
                                  </w:pPr>
                                  <w:r>
                                    <w:rPr>
                                      <w:rFonts w:hAnsi="Calibri" w:eastAsia="Calibri" w:cs="Calibri"/>
                                      <w:color w:val="FFFFFF"/>
                                      <w:sz w:val="28"/>
                                      <w:szCs w:val="28"/>
                                      <w:lang w:val="en-US"/>
                                    </w:rPr>
                                    <w:t>Module: Cultural Awareness (BMIH5003)</w:t>
                                  </w:r>
                                </w:p>
                                <w:p w:rsidR="00A47C63" w:rsidP="00A47C63" w:rsidRDefault="00A47C63">
                                  <w:pPr>
                                    <w:spacing w:after="120" w:line="252" w:lineRule="auto"/>
                                    <w:rPr>
                                      <w:rFonts w:hAnsi="Calibri" w:eastAsia="Calibri" w:cs="Calibri"/>
                                      <w:color w:val="FFFFFF"/>
                                      <w:sz w:val="28"/>
                                      <w:szCs w:val="28"/>
                                      <w:lang w:val="en-US"/>
                                    </w:rPr>
                                  </w:pPr>
                                  <w:r>
                                    <w:rPr>
                                      <w:rFonts w:hAnsi="Calibri" w:eastAsia="Calibri" w:cs="Calibri"/>
                                      <w:color w:val="FFFFFF"/>
                                      <w:sz w:val="28"/>
                                      <w:szCs w:val="28"/>
                                      <w:lang w:val="en-US"/>
                                    </w:rPr>
                                    <w:t xml:space="preserve">Lecturer: Rodrigo </w:t>
                                  </w:r>
                                  <w:r>
                                    <w:rPr>
                                      <w:rFonts w:ascii="Calibri" w:hAnsi="Calibri" w:cs="Calibri"/>
                                      <w:color w:val="FFFFFF"/>
                                      <w:sz w:val="28"/>
                                      <w:szCs w:val="28"/>
                                      <w:lang w:val="en-US"/>
                                    </w:rPr>
                                    <w:t xml:space="preserve">F. </w:t>
                                  </w:r>
                                  <w:r>
                                    <w:rPr>
                                      <w:rFonts w:hAnsi="Calibri" w:eastAsia="Calibri" w:cs="Calibri"/>
                                      <w:color w:val="FFFFFF"/>
                                      <w:sz w:val="28"/>
                                      <w:szCs w:val="28"/>
                                      <w:lang w:val="en-US"/>
                                    </w:rPr>
                                    <w:t>Aguilera</w:t>
                                  </w:r>
                                </w:p>
                              </w:txbxContent>
                            </wps:txbx>
                            <wps:bodyPr spcFirstLastPara="0" wrap="square" lIns="457200" tIns="914400" rIns="914400" bIns="2651760" anchor="b">
                              <a:noAutofit/>
                            </wps:bodyPr>
                          </wps:wsp>
                          <wps:wsp xmlns:wps="http://schemas.microsoft.com/office/word/2010/wordprocessingShape">
                            <wps:cNvPr id="3" name="Rectangle 3"/>
                            <wps:cNvSpPr/>
                            <wps:spPr>
                              <a:xfrm>
                                <a:off x="0" y="1981063"/>
                                <a:ext cx="228515" cy="9143365"/>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rgbClr r="0" g="0" b="0"/>
                              </a:effectRef>
                              <a:fontRef idx="minor">
                                <a:schemeClr val="lt1"/>
                              </a:fontRef>
                            </wps:style>
                            <wps:bodyPr spcFirstLastPara="0" wrap="square" lIns="91440" tIns="45720" rIns="91440" bIns="45720" anchor="ctr">
                              <a:noAutofit/>
                            </wps:bodyPr>
                          </wps:wsp>
                          <wps:wsp xmlns:wps="http://schemas.microsoft.com/office/word/2010/wordprocessingShape">
                            <wps:cNvPr id="4" name="Rectangle 4"/>
                            <wps:cNvSpPr/>
                            <wps:spPr>
                              <a:xfrm>
                                <a:off x="228515" y="9143365"/>
                                <a:ext cx="6626945" cy="1561357"/>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A47C63" w:rsidP="00A47C63" w:rsidRDefault="00A47C63">
                                  <w:pPr>
                                    <w:spacing w:line="252" w:lineRule="auto"/>
                                    <w:rPr>
                                      <w:rFonts w:hAnsi="Calibri" w:eastAsia="Calibri" w:cs="Calibri"/>
                                      <w:color w:val="FFFFFF"/>
                                      <w:sz w:val="32"/>
                                      <w:szCs w:val="32"/>
                                      <w:lang w:val="en-US"/>
                                    </w:rPr>
                                  </w:pPr>
                                  <w:r>
                                    <w:rPr>
                                      <w:rFonts w:hAnsi="Calibri" w:eastAsia="Calibri" w:cs="Calibri"/>
                                      <w:color w:val="FFFFFF"/>
                                      <w:sz w:val="32"/>
                                      <w:szCs w:val="32"/>
                                      <w:lang w:val="en-US"/>
                                    </w:rPr>
                                    <w:t>Mohammod Suhel Miah  ID: 2126980</w:t>
                                  </w:r>
                                </w:p>
                                <w:p w:rsidR="00A47C63" w:rsidP="00A47C63" w:rsidRDefault="00A47C63">
                                  <w:pPr>
                                    <w:spacing w:line="252" w:lineRule="auto"/>
                                    <w:rPr>
                                      <w:rFonts w:hAnsi="Calibri" w:eastAsia="Calibri" w:cs="Calibri"/>
                                      <w:color w:val="FFFFFF"/>
                                      <w:sz w:val="18"/>
                                      <w:szCs w:val="18"/>
                                      <w:lang w:val="en-US"/>
                                    </w:rPr>
                                  </w:pPr>
                                  <w:r>
                                    <w:rPr>
                                      <w:rFonts w:hAnsi="Calibri" w:eastAsia="Calibri" w:cs="Calibri"/>
                                      <w:color w:val="FFFFFF"/>
                                      <w:sz w:val="18"/>
                                      <w:szCs w:val="18"/>
                                      <w:lang w:val="en-US"/>
                                    </w:rPr>
                                    <w:t>  </w:t>
                                  </w:r>
                                </w:p>
                              </w:txbxContent>
                            </wps:txbx>
                            <wps:bodyPr spcFirstLastPara="0" wrap="square" lIns="457200" tIns="0" rIns="914400" bIns="0" anchor="b">
                              <a:noAutofit/>
                            </wps:bodyPr>
                          </wps:wsp>
                        </wpg:wgp>
                      </a:graphicData>
                    </a:graphic>
                    <wp14:sizeRelH xmlns:wp14="http://schemas.microsoft.com/office/word/2010/wordprocessingDrawing" relativeFrom="page">
                      <wp14:pctWidth>88200</wp14:pctWidth>
                    </wp14:sizeRelH>
                    <wp14:sizeRelV xmlns:wp14="http://schemas.microsoft.com/office/word/2010/wordprocessingDrawing" relativeFrom="page">
                      <wp14:pctHeight>90900</wp14:pctHeight>
                    </wp14:sizeRelV>
                  </wp:anchor>
                </w:drawing>
              </mc:Choice>
              <mc:Fallback/>
            </mc:AlternateContent>
          </w:r>
          <w:r>
            <w:br w:type="page"/>
          </w:r>
        </w:sdtContent>
      </w:sdt>
    </w:p>
    <w:p w:rsidRPr="0054289A" w:rsidR="008748AE" w:rsidP="0054289A" w:rsidRDefault="0054289A" w14:paraId="5EC33811" w14:textId="1E335111">
      <w:pPr>
        <w:rPr>
          <w:b w:val="1"/>
          <w:bCs w:val="1"/>
          <w:sz w:val="28"/>
          <w:szCs w:val="28"/>
        </w:rPr>
      </w:pPr>
      <w:r w:rsidRPr="796C757E" w:rsidR="0054289A">
        <w:rPr>
          <w:b w:val="1"/>
          <w:bCs w:val="1"/>
          <w:sz w:val="28"/>
          <w:szCs w:val="28"/>
        </w:rPr>
        <w:t>Executive Summary</w:t>
      </w:r>
    </w:p>
    <w:p w:rsidRPr="0054289A" w:rsidR="0054289A" w:rsidP="0054289A" w:rsidRDefault="0054289A" w14:paraId="48CFADAC" w14:textId="7D11A2C4">
      <w:r w:rsidR="0054289A">
        <w:rPr/>
        <w:t xml:space="preserve">This paper delves into the </w:t>
      </w:r>
      <w:r w:rsidR="0054289A">
        <w:rPr/>
        <w:t>different cultural</w:t>
      </w:r>
      <w:r w:rsidR="0054289A">
        <w:rPr/>
        <w:t xml:space="preserve"> aspects that influence the hospitality experiences of Argentine visitors to the United Arab Emirates (UAE). It gives insight on the two countries' differing hospitality cultures, concentrating on service approaches, tipping rules, and gastronomic expectations, among other things.</w:t>
      </w:r>
    </w:p>
    <w:p w:rsidRPr="0054289A" w:rsidR="0054289A" w:rsidP="0054289A" w:rsidRDefault="0054289A" w14:paraId="44729948" w14:textId="7F26582D">
      <w:r w:rsidR="0054289A">
        <w:rPr/>
        <w:t xml:space="preserve">The research also includes a complete list of 'Do's and Don'ts' for hotel personnel to follow </w:t>
      </w:r>
      <w:r w:rsidR="0054289A">
        <w:rPr/>
        <w:t>in order to</w:t>
      </w:r>
      <w:r w:rsidR="0054289A">
        <w:rPr/>
        <w:t xml:space="preserve"> better serve Argentine clients. The need of learning Spanish, honouring Argentine dining hours, and adapting their food choices is emphasised, all while avoiding cultural clichés and hasty service.</w:t>
      </w:r>
    </w:p>
    <w:p w:rsidRPr="0054289A" w:rsidR="0054289A" w:rsidP="0054289A" w:rsidRDefault="0054289A" w14:paraId="75157E5E" w14:textId="43892391">
      <w:r w:rsidRPr="0054289A">
        <w:t>Two key suggestions are made to improve service quality: 1) Implementing cultural sensitivity training for personnel to help them better understand and respect Argentine norms and traditions; and 2) Investing in multilingual skills, whether via recruiting or training, to enhance communication and make visitors feel more at ease.</w:t>
      </w:r>
    </w:p>
    <w:p w:rsidR="0054289A" w:rsidP="0054289A" w:rsidRDefault="0054289A" w14:paraId="3E5A4F39" w14:textId="549DC486">
      <w:r w:rsidRPr="0054289A">
        <w:t>This paper provides as a guidance for the UAE's hospitality sector to better cater to Argentine visitors, resulting in higher guest satisfaction and a more culturally aware and inclusive hospitality environment.</w:t>
      </w:r>
    </w:p>
    <w:p w:rsidR="0054289A" w:rsidRDefault="0054289A" w14:paraId="5715BC40" w14:textId="77E3CE8B">
      <w:pPr>
        <w:spacing w:line="259" w:lineRule="auto"/>
        <w:jc w:val="left"/>
      </w:pPr>
      <w:r>
        <w:br w:type="page"/>
      </w:r>
    </w:p>
    <w:sdt>
      <w:sdtPr>
        <w:rPr>
          <w:b w:val="0"/>
          <w:bCs w:val="0"/>
          <w:kern w:val="2"/>
          <w:sz w:val="24"/>
          <w:szCs w:val="24"/>
          <w:lang w:val="en-MY"/>
          <w14:ligatures w14:val="standardContextual"/>
        </w:rPr>
        <w:id w:val="-1573184300"/>
        <w:docPartObj>
          <w:docPartGallery w:val="Table of Contents"/>
          <w:docPartUnique/>
        </w:docPartObj>
      </w:sdtPr>
      <w:sdtEndPr>
        <w:rPr>
          <w:noProof/>
        </w:rPr>
      </w:sdtEndPr>
      <w:sdtContent>
        <w:p w:rsidR="0054289A" w:rsidP="0054289A" w:rsidRDefault="0054289A" w14:paraId="5CDCD99F" w14:textId="527AEE8B">
          <w:pPr>
            <w:pStyle w:val="TOCHeading"/>
          </w:pPr>
          <w:r w:rsidR="0054289A">
            <w:rPr/>
            <w:t>Table of Contents</w:t>
          </w:r>
        </w:p>
        <w:p w:rsidR="0054289A" w:rsidP="796C757E" w:rsidRDefault="0054289A" w14:paraId="38EC61E5" w14:textId="5EDAE71B">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r>
            <w:fldChar w:fldCharType="begin"/>
          </w:r>
          <w:r>
            <w:instrText xml:space="preserve"> TOC \o "1-3" \h \z \u </w:instrText>
          </w:r>
          <w:r>
            <w:fldChar w:fldCharType="separate"/>
          </w:r>
          <w:hyperlink w:history="1" w:anchor="_Toc137813082">
            <w:r w:rsidRPr="796C757E" w:rsidR="0054289A">
              <w:rPr>
                <w:rStyle w:val="Hyperlink"/>
                <w:noProof/>
              </w:rPr>
              <w:t>Introduction</w:t>
            </w:r>
            <w:r>
              <w:rPr>
                <w:noProof/>
                <w:webHidden/>
              </w:rPr>
              <w:tab/>
            </w:r>
            <w:r>
              <w:rPr>
                <w:noProof/>
                <w:webHidden/>
              </w:rPr>
              <w:fldChar w:fldCharType="begin"/>
            </w:r>
            <w:r>
              <w:rPr>
                <w:noProof/>
                <w:webHidden/>
              </w:rPr>
              <w:instrText xml:space="preserve"> PAGEREF _Toc137813082 \h </w:instrText>
            </w:r>
            <w:r>
              <w:rPr>
                <w:noProof/>
                <w:webHidden/>
              </w:rPr>
            </w:r>
            <w:r>
              <w:rPr>
                <w:noProof/>
                <w:webHidden/>
              </w:rPr>
              <w:fldChar w:fldCharType="separate"/>
            </w:r>
            <w:r w:rsidRPr="796C757E" w:rsidR="0054289A">
              <w:rPr>
                <w:noProof/>
                <w:webHidden/>
              </w:rPr>
              <w:t>3</w:t>
            </w:r>
            <w:r>
              <w:rPr>
                <w:noProof/>
                <w:webHidden/>
              </w:rPr>
              <w:fldChar w:fldCharType="end"/>
            </w:r>
          </w:hyperlink>
        </w:p>
        <w:p w:rsidR="0054289A" w:rsidP="796C757E" w:rsidRDefault="000F62F9" w14:paraId="5F746F99" w14:textId="42A4A2B7">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hyperlink w:history="1" w:anchor="_Toc137813083">
            <w:r w:rsidRPr="796C757E" w:rsidR="0054289A">
              <w:rPr>
                <w:rStyle w:val="Hyperlink"/>
                <w:noProof/>
              </w:rPr>
              <w:t>Variations In Hotel And Hospitality Culture Between The UAE And Argentina</w:t>
            </w:r>
            <w:r w:rsidR="0054289A">
              <w:rPr>
                <w:noProof/>
                <w:webHidden/>
              </w:rPr>
              <w:tab/>
            </w:r>
            <w:r w:rsidR="0054289A">
              <w:rPr>
                <w:noProof/>
                <w:webHidden/>
              </w:rPr>
              <w:fldChar w:fldCharType="begin"/>
            </w:r>
            <w:r w:rsidR="0054289A">
              <w:rPr>
                <w:noProof/>
                <w:webHidden/>
              </w:rPr>
              <w:instrText xml:space="preserve"> PAGEREF _Toc137813083 \h </w:instrText>
            </w:r>
            <w:r w:rsidR="0054289A">
              <w:rPr>
                <w:noProof/>
                <w:webHidden/>
              </w:rPr>
            </w:r>
            <w:r w:rsidR="0054289A">
              <w:rPr>
                <w:noProof/>
                <w:webHidden/>
              </w:rPr>
              <w:fldChar w:fldCharType="separate"/>
            </w:r>
            <w:r w:rsidRPr="796C757E" w:rsidR="0054289A">
              <w:rPr>
                <w:noProof/>
                <w:webHidden/>
              </w:rPr>
              <w:t>3</w:t>
            </w:r>
            <w:r w:rsidR="0054289A">
              <w:rPr>
                <w:noProof/>
                <w:webHidden/>
              </w:rPr>
              <w:fldChar w:fldCharType="end"/>
            </w:r>
          </w:hyperlink>
        </w:p>
        <w:p w:rsidR="0054289A" w:rsidP="796C757E" w:rsidRDefault="000F62F9" w14:paraId="10EA1F85" w14:textId="59E41DB4">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hyperlink w:history="1" w:anchor="_Toc137813084">
            <w:r w:rsidRPr="796C757E" w:rsidR="0054289A">
              <w:rPr>
                <w:rStyle w:val="Hyperlink"/>
                <w:noProof/>
              </w:rPr>
              <w:t>Do's And Don’ts For The Staff</w:t>
            </w:r>
            <w:r w:rsidR="0054289A">
              <w:rPr>
                <w:noProof/>
                <w:webHidden/>
              </w:rPr>
              <w:tab/>
            </w:r>
            <w:r w:rsidR="0054289A">
              <w:rPr>
                <w:noProof/>
                <w:webHidden/>
              </w:rPr>
              <w:fldChar w:fldCharType="begin"/>
            </w:r>
            <w:r w:rsidR="0054289A">
              <w:rPr>
                <w:noProof/>
                <w:webHidden/>
              </w:rPr>
              <w:instrText xml:space="preserve"> PAGEREF _Toc137813084 \h </w:instrText>
            </w:r>
            <w:r w:rsidR="0054289A">
              <w:rPr>
                <w:noProof/>
                <w:webHidden/>
              </w:rPr>
            </w:r>
            <w:r w:rsidR="0054289A">
              <w:rPr>
                <w:noProof/>
                <w:webHidden/>
              </w:rPr>
              <w:fldChar w:fldCharType="separate"/>
            </w:r>
            <w:r w:rsidRPr="796C757E" w:rsidR="0054289A">
              <w:rPr>
                <w:noProof/>
                <w:webHidden/>
              </w:rPr>
              <w:t>4</w:t>
            </w:r>
            <w:r w:rsidR="0054289A">
              <w:rPr>
                <w:noProof/>
                <w:webHidden/>
              </w:rPr>
              <w:fldChar w:fldCharType="end"/>
            </w:r>
          </w:hyperlink>
        </w:p>
        <w:p w:rsidR="0054289A" w:rsidP="796C757E" w:rsidRDefault="000F62F9" w14:paraId="00C7EA1E" w14:textId="4006396A">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hyperlink w:history="1" w:anchor="_Toc137813085">
            <w:r w:rsidRPr="796C757E" w:rsidR="0054289A">
              <w:rPr>
                <w:rStyle w:val="Hyperlink"/>
                <w:noProof/>
              </w:rPr>
              <w:t>Summary</w:t>
            </w:r>
            <w:r w:rsidR="0054289A">
              <w:rPr>
                <w:noProof/>
                <w:webHidden/>
              </w:rPr>
              <w:tab/>
            </w:r>
            <w:r w:rsidR="0054289A">
              <w:rPr>
                <w:noProof/>
                <w:webHidden/>
              </w:rPr>
              <w:fldChar w:fldCharType="begin"/>
            </w:r>
            <w:r w:rsidR="0054289A">
              <w:rPr>
                <w:noProof/>
                <w:webHidden/>
              </w:rPr>
              <w:instrText xml:space="preserve"> PAGEREF _Toc137813085 \h </w:instrText>
            </w:r>
            <w:r w:rsidR="0054289A">
              <w:rPr>
                <w:noProof/>
                <w:webHidden/>
              </w:rPr>
            </w:r>
            <w:r w:rsidR="0054289A">
              <w:rPr>
                <w:noProof/>
                <w:webHidden/>
              </w:rPr>
              <w:fldChar w:fldCharType="separate"/>
            </w:r>
            <w:r w:rsidRPr="796C757E" w:rsidR="0054289A">
              <w:rPr>
                <w:noProof/>
                <w:webHidden/>
              </w:rPr>
              <w:t>5</w:t>
            </w:r>
            <w:r w:rsidR="0054289A">
              <w:rPr>
                <w:noProof/>
                <w:webHidden/>
              </w:rPr>
              <w:fldChar w:fldCharType="end"/>
            </w:r>
          </w:hyperlink>
        </w:p>
        <w:p w:rsidR="0054289A" w:rsidP="796C757E" w:rsidRDefault="000F62F9" w14:paraId="106D283D" w14:textId="54A53803">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hyperlink w:history="1" w:anchor="_Toc137813086">
            <w:r w:rsidRPr="796C757E" w:rsidR="0054289A">
              <w:rPr>
                <w:rStyle w:val="Hyperlink"/>
                <w:noProof/>
              </w:rPr>
              <w:t>Recommendations</w:t>
            </w:r>
            <w:r w:rsidR="0054289A">
              <w:rPr>
                <w:noProof/>
                <w:webHidden/>
              </w:rPr>
              <w:tab/>
            </w:r>
            <w:r w:rsidR="0054289A">
              <w:rPr>
                <w:noProof/>
                <w:webHidden/>
              </w:rPr>
              <w:fldChar w:fldCharType="begin"/>
            </w:r>
            <w:r w:rsidR="0054289A">
              <w:rPr>
                <w:noProof/>
                <w:webHidden/>
              </w:rPr>
              <w:instrText xml:space="preserve"> PAGEREF _Toc137813086 \h </w:instrText>
            </w:r>
            <w:r w:rsidR="0054289A">
              <w:rPr>
                <w:noProof/>
                <w:webHidden/>
              </w:rPr>
            </w:r>
            <w:r w:rsidR="0054289A">
              <w:rPr>
                <w:noProof/>
                <w:webHidden/>
              </w:rPr>
              <w:fldChar w:fldCharType="separate"/>
            </w:r>
            <w:r w:rsidRPr="796C757E" w:rsidR="0054289A">
              <w:rPr>
                <w:noProof/>
                <w:webHidden/>
              </w:rPr>
              <w:t>5</w:t>
            </w:r>
            <w:r w:rsidR="0054289A">
              <w:rPr>
                <w:noProof/>
                <w:webHidden/>
              </w:rPr>
              <w:fldChar w:fldCharType="end"/>
            </w:r>
          </w:hyperlink>
        </w:p>
        <w:p w:rsidR="0054289A" w:rsidP="796C757E" w:rsidRDefault="000F62F9" w14:paraId="46AD6D80" w14:textId="339B0655">
          <w:pPr>
            <w:pStyle w:val="TOC1"/>
            <w:tabs>
              <w:tab w:val="right" w:leader="dot" w:pos="9016"/>
            </w:tabs>
            <w:rPr>
              <w:rFonts w:ascii="Calibri" w:hAnsi="Calibri" w:eastAsia="" w:cs="Vrinda" w:asciiTheme="minorAscii" w:hAnsiTheme="minorAscii" w:eastAsiaTheme="minorEastAsia" w:cstheme="minorBidi"/>
              <w:noProof/>
              <w:sz w:val="22"/>
              <w:szCs w:val="22"/>
              <w:lang w:eastAsia="en-MY"/>
            </w:rPr>
          </w:pPr>
          <w:hyperlink w:history="1" w:anchor="_Toc137813087">
            <w:r w:rsidRPr="796C757E" w:rsidR="0054289A">
              <w:rPr>
                <w:rStyle w:val="Hyperlink"/>
                <w:noProof/>
              </w:rPr>
              <w:t>References</w:t>
            </w:r>
            <w:r w:rsidR="0054289A">
              <w:rPr>
                <w:noProof/>
                <w:webHidden/>
              </w:rPr>
              <w:tab/>
            </w:r>
            <w:r w:rsidR="0054289A">
              <w:rPr>
                <w:noProof/>
                <w:webHidden/>
              </w:rPr>
              <w:fldChar w:fldCharType="begin"/>
            </w:r>
            <w:r w:rsidR="0054289A">
              <w:rPr>
                <w:noProof/>
                <w:webHidden/>
              </w:rPr>
              <w:instrText xml:space="preserve"> PAGEREF _Toc137813087 \h </w:instrText>
            </w:r>
            <w:r w:rsidR="0054289A">
              <w:rPr>
                <w:noProof/>
                <w:webHidden/>
              </w:rPr>
            </w:r>
            <w:r w:rsidR="0054289A">
              <w:rPr>
                <w:noProof/>
                <w:webHidden/>
              </w:rPr>
              <w:fldChar w:fldCharType="separate"/>
            </w:r>
            <w:r w:rsidRPr="796C757E" w:rsidR="0054289A">
              <w:rPr>
                <w:noProof/>
                <w:webHidden/>
              </w:rPr>
              <w:t>6</w:t>
            </w:r>
            <w:r w:rsidR="0054289A">
              <w:rPr>
                <w:noProof/>
                <w:webHidden/>
              </w:rPr>
              <w:fldChar w:fldCharType="end"/>
            </w:r>
          </w:hyperlink>
        </w:p>
        <w:p w:rsidR="0054289A" w:rsidRDefault="0054289A" w14:paraId="1F95A2BF" w14:textId="064E9577">
          <w:r w:rsidRPr="796C757E">
            <w:rPr>
              <w:b w:val="1"/>
              <w:bCs w:val="1"/>
              <w:noProof/>
            </w:rPr>
            <w:fldChar w:fldCharType="end"/>
          </w:r>
        </w:p>
      </w:sdtContent>
    </w:sdt>
    <w:p w:rsidR="0054289A" w:rsidRDefault="0054289A" w14:paraId="7977AEE4" w14:textId="1AFF06B8">
      <w:pPr>
        <w:spacing w:line="259" w:lineRule="auto"/>
        <w:jc w:val="left"/>
      </w:pPr>
      <w:r>
        <w:br w:type="page"/>
      </w:r>
    </w:p>
    <w:p w:rsidRPr="0054289A" w:rsidR="0054289A" w:rsidP="0054289A" w:rsidRDefault="0054289A" w14:paraId="44B185C7" w14:textId="4B4B9908">
      <w:pPr>
        <w:pStyle w:val="Heading1"/>
      </w:pPr>
      <w:bookmarkStart w:name="_Toc137813082" w:id="0"/>
      <w:r w:rsidR="0054289A">
        <w:rPr/>
        <w:t>Introduction</w:t>
      </w:r>
      <w:bookmarkEnd w:id="0"/>
    </w:p>
    <w:p w:rsidR="0054289A" w:rsidP="0054289A" w:rsidRDefault="0054289A" w14:paraId="0BBF2B13" w14:textId="351C8BF9">
      <w:r w:rsidR="0054289A">
        <w:rPr/>
        <w:t xml:space="preserve">This paper delves into the </w:t>
      </w:r>
      <w:r w:rsidR="0054289A">
        <w:rPr/>
        <w:t>different cultural</w:t>
      </w:r>
      <w:r w:rsidR="0054289A">
        <w:rPr/>
        <w:t xml:space="preserve"> aspects that influence the hospitality experiences of Argentine visitors to the United Arab Emirates (UAE). It gives insight on the two countries' differing hospitality cultures, concentrating on service approaches, tipping rules, and gastronomic expectations, among other things. The research also includes a complete list of 'Do's and Don'ts' for hotel personnel to follow </w:t>
      </w:r>
      <w:r w:rsidR="0054289A">
        <w:rPr/>
        <w:t>in order to</w:t>
      </w:r>
      <w:r w:rsidR="0054289A">
        <w:rPr/>
        <w:t xml:space="preserve"> better serve Argentine clients. The need of learning Spanish, honouring Argentine dining hours, and adapting their food choices is emphasised, all while avoiding cultural clichés and hasty service.</w:t>
      </w:r>
    </w:p>
    <w:p w:rsidR="0054289A" w:rsidP="0054289A" w:rsidRDefault="0054289A" w14:paraId="1B1F6544" w14:textId="0A24F7FD">
      <w:r>
        <w:t>Two key suggestions are made to improve service quality: 1) Implementing cultural sensitivity training for personnel to help them better understand and respect Argentine norms and traditions; and 2) Investing in multilingual skills, whether via recruiting or training, to enhance communication and make visitors feel more at ease. This paper provides as a guidance for the UAE's hospitality sector to better cater to Argentine visitors, resulting in higher guest satisfaction and a more culturally aware and inclusive hospitality environment.</w:t>
      </w:r>
    </w:p>
    <w:p w:rsidR="0054289A" w:rsidP="0054289A" w:rsidRDefault="0054289A" w14:paraId="4C774F36" w14:textId="77777777"/>
    <w:p w:rsidR="0054289A" w:rsidP="0054289A" w:rsidRDefault="0054289A" w14:paraId="69E8F687" w14:textId="3D7E7A53">
      <w:pPr>
        <w:pStyle w:val="Heading1"/>
      </w:pPr>
      <w:bookmarkStart w:name="_Toc137813083" w:id="1"/>
      <w:r w:rsidR="0054289A">
        <w:rPr/>
        <w:t xml:space="preserve">Variations In Hotel </w:t>
      </w:r>
      <w:r w:rsidR="65912AC1">
        <w:rPr/>
        <w:t>and</w:t>
      </w:r>
      <w:r w:rsidR="0054289A">
        <w:rPr/>
        <w:t xml:space="preserve"> Hospitality Culture Between </w:t>
      </w:r>
      <w:r w:rsidR="0AF8EBD1">
        <w:rPr/>
        <w:t>the</w:t>
      </w:r>
      <w:r w:rsidR="0054289A">
        <w:rPr/>
        <w:t xml:space="preserve"> UAE And Argentina</w:t>
      </w:r>
      <w:bookmarkEnd w:id="1"/>
    </w:p>
    <w:p w:rsidR="0054289A" w:rsidP="0054289A" w:rsidRDefault="0054289A" w14:paraId="5B82196E" w14:textId="1B99BE2B">
      <w:r w:rsidR="0054289A">
        <w:rPr/>
        <w:t xml:space="preserve">The UAE's hospitality culture is defined by its dedication to luxury and tradition, while Argentina's hospitality values are based on warmth and personal relationships. This comparative research will highlight these distinguishing characteristics and explain how they influence the visitor experience in both nations. A detailed awareness of these distinctions may help hotel workers </w:t>
      </w:r>
      <w:r w:rsidR="0054289A">
        <w:rPr/>
        <w:t>provide</w:t>
      </w:r>
      <w:r w:rsidR="0054289A">
        <w:rPr/>
        <w:t xml:space="preserve"> personalised and culturally sensitive services to customers, therefore improving their entire experience.</w:t>
      </w:r>
    </w:p>
    <w:p w:rsidRPr="0054289A" w:rsidR="0054289A" w:rsidP="0054289A" w:rsidRDefault="0054289A" w14:paraId="7C4DC631" w14:textId="489CE9BF">
      <w:pPr>
        <w:rPr>
          <w:b w:val="1"/>
          <w:bCs w:val="1"/>
        </w:rPr>
      </w:pPr>
      <w:r w:rsidRPr="796C757E" w:rsidR="0054289A">
        <w:rPr>
          <w:b w:val="1"/>
          <w:bCs w:val="1"/>
        </w:rPr>
        <w:t>Service</w:t>
      </w:r>
    </w:p>
    <w:p w:rsidR="0054289A" w:rsidP="0054289A" w:rsidRDefault="0054289A" w14:paraId="33AB7287" w14:textId="6851CC36">
      <w:r w:rsidR="0054289A">
        <w:rPr/>
        <w:t xml:space="preserve">The hotel industry in the UAE often shows </w:t>
      </w:r>
      <w:r w:rsidR="0054289A">
        <w:rPr/>
        <w:t>a high level</w:t>
      </w:r>
      <w:r w:rsidR="0054289A">
        <w:rPr/>
        <w:t xml:space="preserve"> of luxury. This is obvious in high-end hotels, where personnel seek to </w:t>
      </w:r>
      <w:r w:rsidR="0054289A">
        <w:rPr/>
        <w:t>provide</w:t>
      </w:r>
      <w:r w:rsidR="0054289A">
        <w:rPr/>
        <w:t xml:space="preserve"> personalised services, </w:t>
      </w:r>
      <w:r w:rsidR="0054289A">
        <w:rPr/>
        <w:t>showcasing</w:t>
      </w:r>
      <w:r w:rsidR="0054289A">
        <w:rPr/>
        <w:t xml:space="preserve"> hospitality as a social status symbol (Sharpley, R., 2008). The United Arab Emirates, notably Dubai and Abu Dhabi, are well-known for their opulent hotels, with personnel often going </w:t>
      </w:r>
      <w:r w:rsidR="0054289A">
        <w:rPr/>
        <w:t>above and beyond</w:t>
      </w:r>
      <w:r w:rsidR="0054289A">
        <w:rPr/>
        <w:t xml:space="preserve"> to guarantee visitor happiness (Stephenson, M.L., Russell, K.A., Edgar, D., 2010).</w:t>
      </w:r>
    </w:p>
    <w:p w:rsidR="0054289A" w:rsidP="0054289A" w:rsidRDefault="0054289A" w14:paraId="0EF7B80C" w14:textId="7FDD4FF8">
      <w:r>
        <w:t>Argentine hospitality, on the other hand, emphasises personal connection and warmth. Service is often warm and casual, reflecting the culture's focus on human interactions (Gannon, M.J., 2004). Over ostentatious luxury, authentic encounters are appreciated.</w:t>
      </w:r>
    </w:p>
    <w:p w:rsidRPr="0054289A" w:rsidR="0054289A" w:rsidP="0054289A" w:rsidRDefault="0054289A" w14:paraId="04404049" w14:textId="72DF6973">
      <w:pPr>
        <w:rPr>
          <w:b w:val="1"/>
          <w:bCs w:val="1"/>
        </w:rPr>
      </w:pPr>
      <w:r w:rsidRPr="796C757E" w:rsidR="0054289A">
        <w:rPr>
          <w:b w:val="1"/>
          <w:bCs w:val="1"/>
        </w:rPr>
        <w:t>Habits of Tipping</w:t>
      </w:r>
    </w:p>
    <w:p w:rsidR="0054289A" w:rsidP="0054289A" w:rsidRDefault="0054289A" w14:paraId="7A712205" w14:textId="3D25EC1A">
      <w:r w:rsidR="0054289A">
        <w:rPr/>
        <w:t xml:space="preserve">Tipping is prevalent and occasionally </w:t>
      </w:r>
      <w:r w:rsidR="0054289A">
        <w:rPr/>
        <w:t>required</w:t>
      </w:r>
      <w:r w:rsidR="0054289A">
        <w:rPr/>
        <w:t xml:space="preserve"> in the UAE owing to the cultural practise of giving. It is a necessary aspect of the service sector, and big gratuities are often provided in hotels and restaurants (Bryant, K., 2006).</w:t>
      </w:r>
    </w:p>
    <w:p w:rsidR="0054289A" w:rsidP="0054289A" w:rsidRDefault="0054289A" w14:paraId="01E15354" w14:textId="5482E8B3">
      <w:r w:rsidR="0054289A">
        <w:rPr/>
        <w:t xml:space="preserve">Tipping, on the other hand, is not as tightly enforced in Argentina. While it is welcomed, it is not always </w:t>
      </w:r>
      <w:r w:rsidR="0054289A">
        <w:rPr/>
        <w:t>anticipated</w:t>
      </w:r>
      <w:r w:rsidR="0054289A">
        <w:rPr/>
        <w:t xml:space="preserve">, and when it occurs, it is usually on a lesser scale than in the UAE. Some restaurants may add a service fee, which </w:t>
      </w:r>
      <w:r w:rsidR="0054289A">
        <w:rPr/>
        <w:t>eliminates</w:t>
      </w:r>
      <w:r w:rsidR="0054289A">
        <w:rPr/>
        <w:t xml:space="preserve"> the need for tipping (</w:t>
      </w:r>
      <w:r w:rsidR="0054289A">
        <w:rPr/>
        <w:t>Siguaw</w:t>
      </w:r>
      <w:r w:rsidR="0054289A">
        <w:rPr/>
        <w:t>, J., Enz, C., 1999).</w:t>
      </w:r>
    </w:p>
    <w:p w:rsidRPr="0054289A" w:rsidR="0054289A" w:rsidP="0054289A" w:rsidRDefault="0054289A" w14:paraId="72E2CF0B" w14:textId="32DC9D14">
      <w:pPr>
        <w:rPr>
          <w:b w:val="1"/>
          <w:bCs w:val="1"/>
        </w:rPr>
      </w:pPr>
      <w:r w:rsidRPr="796C757E" w:rsidR="0054289A">
        <w:rPr>
          <w:b w:val="1"/>
          <w:bCs w:val="1"/>
        </w:rPr>
        <w:t>Preferences in Food</w:t>
      </w:r>
    </w:p>
    <w:p w:rsidR="0054289A" w:rsidP="0054289A" w:rsidRDefault="0054289A" w14:paraId="328DDB50" w14:textId="711AF958">
      <w:r>
        <w:t>To appeal to its diversified tourist profile and expatriate population, the UAE's hospitality business often offers foreign cuisine. Emirati cuisine is often served as a buffet at hotels, giving a range of selections (Henderson, J.C., 2009).</w:t>
      </w:r>
    </w:p>
    <w:p w:rsidR="0054289A" w:rsidP="0054289A" w:rsidRDefault="0054289A" w14:paraId="39FD530B" w14:textId="0723525A">
      <w:r w:rsidR="0054289A">
        <w:rPr/>
        <w:t xml:space="preserve">Argentina, famous for its meat, often </w:t>
      </w:r>
      <w:r w:rsidR="0054289A">
        <w:rPr/>
        <w:t>provides</w:t>
      </w:r>
      <w:r w:rsidR="0054289A">
        <w:rPr/>
        <w:t xml:space="preserve"> local food in its restaurants. Argentine cuisine is a major draw for visitors, and hotels often reflect this by emphasising locally produced meals, particularly cattle (Abarca, M.E., 2004).</w:t>
      </w:r>
    </w:p>
    <w:p w:rsidR="0054289A" w:rsidP="0054289A" w:rsidRDefault="0054289A" w14:paraId="533C0A25" w14:textId="77777777"/>
    <w:p w:rsidR="0054289A" w:rsidP="0054289A" w:rsidRDefault="0054289A" w14:paraId="50DEE510" w14:textId="358895CB">
      <w:pPr>
        <w:pStyle w:val="Heading1"/>
      </w:pPr>
      <w:bookmarkStart w:name="_Toc137813084" w:id="2"/>
      <w:r w:rsidR="6BF7C125">
        <w:rPr/>
        <w:t>Dos</w:t>
      </w:r>
      <w:r w:rsidR="0054289A">
        <w:rPr/>
        <w:t xml:space="preserve"> And Don’ts </w:t>
      </w:r>
      <w:r w:rsidR="35F4C8CD">
        <w:rPr/>
        <w:t>for</w:t>
      </w:r>
      <w:r w:rsidR="0054289A">
        <w:rPr/>
        <w:t xml:space="preserve"> </w:t>
      </w:r>
      <w:r w:rsidR="0054289A">
        <w:rPr/>
        <w:t>The</w:t>
      </w:r>
      <w:r w:rsidR="0054289A">
        <w:rPr/>
        <w:t xml:space="preserve"> Staff</w:t>
      </w:r>
      <w:bookmarkEnd w:id="2"/>
    </w:p>
    <w:p w:rsidR="0054289A" w:rsidP="0054289A" w:rsidRDefault="0054289A" w14:paraId="324AF077" w14:textId="77777777"/>
    <w:p w:rsidR="0054289A" w:rsidP="0054289A" w:rsidRDefault="0054289A" w14:paraId="1FCD4004" w14:textId="405C5C3A">
      <w:r>
        <w:t>Do's</w:t>
      </w:r>
    </w:p>
    <w:p w:rsidR="0054289A" w:rsidP="0054289A" w:rsidRDefault="0054289A" w14:paraId="6429DC37" w14:textId="77777777"/>
    <w:p w:rsidR="0054289A" w:rsidP="0054289A" w:rsidRDefault="0054289A" w14:paraId="2CE767C4" w14:textId="25511A69">
      <w:r w:rsidRPr="0054289A">
        <w:rPr>
          <w:b/>
          <w:bCs/>
        </w:rPr>
        <w:t>Understand the language:</w:t>
      </w:r>
      <w:r>
        <w:t xml:space="preserve"> Spanish is Argentina's official language. While many Argentines speak English, it is critical that critical hotel services and information be available in Spanish. Signs, menus, and customer service should all be in Spanish. Staff that speak Spanish may also improve the client experience (Warden et al., 2003).</w:t>
      </w:r>
    </w:p>
    <w:p w:rsidR="0054289A" w:rsidP="0054289A" w:rsidRDefault="0054289A" w14:paraId="2E821816" w14:textId="50A51A39">
      <w:r w:rsidRPr="796C757E" w:rsidR="0054289A">
        <w:rPr>
          <w:b w:val="1"/>
          <w:bCs w:val="1"/>
        </w:rPr>
        <w:t xml:space="preserve">Respect </w:t>
      </w:r>
      <w:r w:rsidRPr="796C757E" w:rsidR="31B76872">
        <w:rPr>
          <w:b w:val="1"/>
          <w:bCs w:val="1"/>
        </w:rPr>
        <w:t>mealtimes</w:t>
      </w:r>
      <w:r w:rsidRPr="796C757E" w:rsidR="0054289A">
        <w:rPr>
          <w:b w:val="1"/>
          <w:bCs w:val="1"/>
        </w:rPr>
        <w:t>:</w:t>
      </w:r>
      <w:r w:rsidR="0054289A">
        <w:rPr/>
        <w:t xml:space="preserve"> Argentines eat supper later in the evening, </w:t>
      </w:r>
      <w:r w:rsidR="0054289A">
        <w:rPr/>
        <w:t>frequently</w:t>
      </w:r>
      <w:r w:rsidR="0054289A">
        <w:rPr/>
        <w:t xml:space="preserve"> around 9 p.m. or later (Pearce, 2000). Meal hours should be flexible, and room service and restaurant facilities should be accessible later in the evening.</w:t>
      </w:r>
    </w:p>
    <w:p w:rsidR="0054289A" w:rsidP="0054289A" w:rsidRDefault="0054289A" w14:paraId="4FE2C302" w14:textId="77777777">
      <w:r w:rsidRPr="796C757E" w:rsidR="0054289A">
        <w:rPr>
          <w:b w:val="1"/>
          <w:bCs w:val="1"/>
        </w:rPr>
        <w:t>Provide</w:t>
      </w:r>
      <w:r w:rsidRPr="796C757E" w:rsidR="0054289A">
        <w:rPr>
          <w:b w:val="1"/>
          <w:bCs w:val="1"/>
        </w:rPr>
        <w:t xml:space="preserve"> alternatives for local food:</w:t>
      </w:r>
      <w:r w:rsidR="0054289A">
        <w:rPr/>
        <w:t xml:space="preserve"> Argentine cuisine, particularly beef, is fundamental to their culture (Abarca, 2004). Although most UAE hotels </w:t>
      </w:r>
      <w:r w:rsidR="0054289A">
        <w:rPr/>
        <w:t>provide</w:t>
      </w:r>
      <w:r w:rsidR="0054289A">
        <w:rPr/>
        <w:t xml:space="preserve"> a variety of foreign food, incorporating Argentine meals may help tourists feel more at ease.</w:t>
      </w:r>
    </w:p>
    <w:p w:rsidR="0054289A" w:rsidP="0054289A" w:rsidRDefault="0054289A" w14:paraId="495FF459" w14:textId="77777777"/>
    <w:p w:rsidR="0054289A" w:rsidP="0054289A" w:rsidRDefault="0054289A" w14:paraId="58C0D02B" w14:textId="6CA9D20E">
      <w:pPr>
        <w:rPr>
          <w:b w:val="1"/>
          <w:bCs w:val="1"/>
        </w:rPr>
      </w:pPr>
      <w:r w:rsidRPr="796C757E" w:rsidR="0054289A">
        <w:rPr>
          <w:b w:val="1"/>
          <w:bCs w:val="1"/>
        </w:rPr>
        <w:t>Don'ts</w:t>
      </w:r>
    </w:p>
    <w:p w:rsidRPr="0054289A" w:rsidR="0054289A" w:rsidP="0054289A" w:rsidRDefault="0054289A" w14:paraId="5319720A" w14:textId="77777777">
      <w:pPr>
        <w:rPr>
          <w:b w:val="1"/>
          <w:bCs w:val="1"/>
        </w:rPr>
      </w:pPr>
    </w:p>
    <w:p w:rsidR="0054289A" w:rsidP="0054289A" w:rsidRDefault="0054289A" w14:paraId="0A103A28" w14:textId="0C8F3325">
      <w:r w:rsidRPr="0054289A">
        <w:rPr>
          <w:b/>
          <w:bCs/>
        </w:rPr>
        <w:t>Avoid Stereotypes:</w:t>
      </w:r>
      <w:r>
        <w:t xml:space="preserve"> It is critical to avoid generalising or stereotyping Argentine visitors based on cultural preconceptions. Treat each visitor as a person with distinct tastes and requirements (Reisinger, 2009).</w:t>
      </w:r>
    </w:p>
    <w:p w:rsidR="0054289A" w:rsidP="0054289A" w:rsidRDefault="0054289A" w14:paraId="61AD718C" w14:textId="49EC4518">
      <w:r w:rsidRPr="796C757E" w:rsidR="0054289A">
        <w:rPr>
          <w:b w:val="1"/>
          <w:bCs w:val="1"/>
        </w:rPr>
        <w:t>Don't</w:t>
      </w:r>
      <w:r w:rsidRPr="796C757E" w:rsidR="0054289A">
        <w:rPr>
          <w:b w:val="1"/>
          <w:bCs w:val="1"/>
        </w:rPr>
        <w:t xml:space="preserve"> be in a hurry:</w:t>
      </w:r>
      <w:r w:rsidR="0054289A">
        <w:rPr/>
        <w:t xml:space="preserve"> Argentine culture appreciates a slow pace and personal connection. Rushing services or conversations may be seen as impolite or impersonal (Pearce, 2000).</w:t>
      </w:r>
    </w:p>
    <w:p w:rsidR="0054289A" w:rsidP="0054289A" w:rsidRDefault="0054289A" w14:paraId="28628F41" w14:textId="55E9FCAC">
      <w:r w:rsidRPr="796C757E" w:rsidR="0054289A">
        <w:rPr>
          <w:b w:val="1"/>
          <w:bCs w:val="1"/>
        </w:rPr>
        <w:t>Don't</w:t>
      </w:r>
      <w:r w:rsidRPr="796C757E" w:rsidR="0054289A">
        <w:rPr>
          <w:b w:val="1"/>
          <w:bCs w:val="1"/>
        </w:rPr>
        <w:t xml:space="preserve"> Ignore Feedback:</w:t>
      </w:r>
      <w:r w:rsidR="0054289A">
        <w:rPr/>
        <w:t xml:space="preserve"> Argentines value the opportunity to be heard. If a visitor has a complaint or a suggestion, ensure that it is taken seriously and handled as soon as possible. Customer satisfaction and loyalty may increase as a result (Davidow, 2003).</w:t>
      </w:r>
    </w:p>
    <w:p w:rsidR="0054289A" w:rsidP="0054289A" w:rsidRDefault="0054289A" w14:paraId="487A280F" w14:textId="0EDF5DAD">
      <w:pPr>
        <w:pStyle w:val="Heading1"/>
      </w:pPr>
      <w:bookmarkStart w:name="_Toc137813085" w:id="3"/>
      <w:r w:rsidR="0054289A">
        <w:rPr/>
        <w:t>Summary</w:t>
      </w:r>
      <w:bookmarkEnd w:id="3"/>
    </w:p>
    <w:p w:rsidR="0054289A" w:rsidP="0054289A" w:rsidRDefault="0054289A" w14:paraId="5444786A" w14:textId="77777777">
      <w:r w:rsidR="0054289A">
        <w:rPr/>
        <w:t xml:space="preserve">A comparison of Argentina's and the UAE's hospitality cultures has shown </w:t>
      </w:r>
      <w:r w:rsidR="0054289A">
        <w:rPr/>
        <w:t>a number of</w:t>
      </w:r>
      <w:r w:rsidR="0054289A">
        <w:rPr/>
        <w:t xml:space="preserve"> variations that hotel workers must traverse </w:t>
      </w:r>
      <w:r w:rsidR="0054289A">
        <w:rPr/>
        <w:t>in order to</w:t>
      </w:r>
      <w:r w:rsidR="0054289A">
        <w:rPr/>
        <w:t xml:space="preserve"> give better service to Argentine clients. Understanding cultural subtleties may dramatically improve the client experience, from language and eating preferences to service expectations and tipping patterns. Hotel personnel may successfully negotiate these cultural variations by sticking to the described 'Do's and Don'ts,' ensuring their services fit with the expectations and comfort zones of their Argentine clients.</w:t>
      </w:r>
    </w:p>
    <w:p w:rsidR="0054289A" w:rsidP="0054289A" w:rsidRDefault="0054289A" w14:paraId="61CC6F52" w14:textId="77777777"/>
    <w:p w:rsidR="0054289A" w:rsidP="0054289A" w:rsidRDefault="0054289A" w14:paraId="37F46464" w14:textId="4D0B32F9">
      <w:pPr>
        <w:pStyle w:val="Heading1"/>
      </w:pPr>
      <w:bookmarkStart w:name="_Toc137813086" w:id="4"/>
      <w:r w:rsidR="0054289A">
        <w:rPr/>
        <w:t>Recommendations</w:t>
      </w:r>
      <w:bookmarkEnd w:id="4"/>
    </w:p>
    <w:p w:rsidR="0054289A" w:rsidP="0054289A" w:rsidRDefault="0054289A" w14:paraId="7A6CF540" w14:textId="77777777">
      <w:pPr>
        <w:rPr>
          <w:b w:val="1"/>
          <w:bCs w:val="1"/>
        </w:rPr>
      </w:pPr>
      <w:r w:rsidRPr="796C757E" w:rsidR="0054289A">
        <w:rPr>
          <w:b w:val="1"/>
          <w:bCs w:val="1"/>
        </w:rPr>
        <w:t>Cultural Training</w:t>
      </w:r>
    </w:p>
    <w:p w:rsidR="0054289A" w:rsidP="0054289A" w:rsidRDefault="0054289A" w14:paraId="0FE6B712" w14:textId="689A16E3">
      <w:r w:rsidR="0054289A">
        <w:rPr/>
        <w:t>Provide</w:t>
      </w:r>
      <w:r w:rsidR="0054289A">
        <w:rPr/>
        <w:t xml:space="preserve"> cultural sensitivity training to all employees. This training should not only include </w:t>
      </w:r>
      <w:r w:rsidR="0054289A">
        <w:rPr/>
        <w:t>important information</w:t>
      </w:r>
      <w:r w:rsidR="0054289A">
        <w:rPr/>
        <w:t xml:space="preserve"> about Argentine culture, but it should also emphasise the need of avoiding prejudices and forming assumptions about visitors based on their nationality (Reisinger, Y., 2009).</w:t>
      </w:r>
    </w:p>
    <w:p w:rsidR="0054289A" w:rsidP="0054289A" w:rsidRDefault="0054289A" w14:paraId="3AA471C0" w14:textId="77777777">
      <w:pPr>
        <w:rPr>
          <w:b w:val="1"/>
          <w:bCs w:val="1"/>
        </w:rPr>
      </w:pPr>
      <w:r w:rsidRPr="796C757E" w:rsidR="0054289A">
        <w:rPr>
          <w:b w:val="1"/>
          <w:bCs w:val="1"/>
        </w:rPr>
        <w:t>Language Support</w:t>
      </w:r>
    </w:p>
    <w:p w:rsidR="0054289A" w:rsidP="0054289A" w:rsidRDefault="0054289A" w14:paraId="50A2AFAC" w14:textId="1C711E4F">
      <w:r>
        <w:t>Invest in multilingual employees or give language training, with a concentration on Spanish, to increase communication with Argentine visitors. If recruiting multilingual employees is not an option, consider deploying translation technology in critical areas like as reception and customer service to improve communication (Warden et al., 2003).</w:t>
      </w:r>
    </w:p>
    <w:p w:rsidR="0054289A" w:rsidP="0054289A" w:rsidRDefault="0054289A" w14:paraId="2BAE098B" w14:textId="3941EDF6"/>
    <w:p w:rsidR="0054289A" w:rsidRDefault="0054289A" w14:paraId="6CEF4FCC" w14:textId="77777777">
      <w:pPr>
        <w:spacing w:line="259" w:lineRule="auto"/>
        <w:jc w:val="left"/>
        <w:rPr>
          <w:b w:val="1"/>
          <w:bCs w:val="1"/>
          <w:sz w:val="28"/>
          <w:szCs w:val="28"/>
        </w:rPr>
      </w:pPr>
      <w:r w:rsidRPr="796C757E">
        <w:rPr>
          <w:b w:val="1"/>
          <w:bCs w:val="1"/>
          <w:sz w:val="28"/>
          <w:szCs w:val="28"/>
        </w:rPr>
        <w:br w:type="page"/>
      </w:r>
    </w:p>
    <w:p w:rsidRPr="0054289A" w:rsidR="0054289A" w:rsidP="0054289A" w:rsidRDefault="0054289A" w14:paraId="4E4A129C" w14:textId="4B99F8EC">
      <w:pPr>
        <w:pStyle w:val="Heading1"/>
      </w:pPr>
      <w:bookmarkStart w:name="_Toc137813087" w:id="5"/>
      <w:r w:rsidR="0054289A">
        <w:rPr/>
        <w:t>References</w:t>
      </w:r>
      <w:bookmarkEnd w:id="5"/>
    </w:p>
    <w:p w:rsidR="0054289A" w:rsidP="0054289A" w:rsidRDefault="0054289A" w14:paraId="6EF18BC2" w14:textId="35FB5D8B">
      <w:r w:rsidR="0054289A">
        <w:rPr/>
        <w:t xml:space="preserve">Abarca, M.E., 2004. Authentic or not, </w:t>
      </w:r>
      <w:r w:rsidR="0054289A">
        <w:rPr/>
        <w:t>it's</w:t>
      </w:r>
      <w:r w:rsidR="0054289A">
        <w:rPr/>
        <w:t xml:space="preserve"> original. Food and Foodways, 12(1), pp.1-25.</w:t>
      </w:r>
    </w:p>
    <w:p w:rsidR="0054289A" w:rsidP="0054289A" w:rsidRDefault="0054289A" w14:paraId="393BD5B9" w14:textId="049470A6">
      <w:r>
        <w:t>Bitner, M.J., 1990. Evaluating service encounters: the effects of physical surroundings and employee responses. Journal of Marketing, 54(2), pp.69-82.</w:t>
      </w:r>
    </w:p>
    <w:p w:rsidR="0054289A" w:rsidP="0054289A" w:rsidRDefault="0054289A" w14:paraId="2B34C0DC" w14:textId="4DB248A6">
      <w:r w:rsidR="0054289A">
        <w:rPr/>
        <w:t xml:space="preserve">Davidow, M., 2003. Have you heard the word? The effect of word of mouth on perceived justice, satisfaction and repurchase intentions following complaint handling. Journal of Consumer Satisfaction, Dissatisfaction and Complaining </w:t>
      </w:r>
      <w:r w:rsidR="0054289A">
        <w:rPr/>
        <w:t>Behavior</w:t>
      </w:r>
      <w:r w:rsidR="0054289A">
        <w:rPr/>
        <w:t>, 16, pp.67-80.</w:t>
      </w:r>
    </w:p>
    <w:p w:rsidR="0054289A" w:rsidP="0054289A" w:rsidRDefault="0054289A" w14:paraId="65AF3B21" w14:textId="2B53C927">
      <w:r>
        <w:t>Feghali, E., 1997. Arab cultural communication patterns. International Journal of Intercultural Relations, 21(3), pp.345-378.</w:t>
      </w:r>
    </w:p>
    <w:p w:rsidRPr="0054289A" w:rsidR="0054289A" w:rsidP="0054289A" w:rsidRDefault="0054289A" w14:paraId="1E98F4D8" w14:textId="25403591">
      <w:r w:rsidR="0054289A">
        <w:rPr/>
        <w:t xml:space="preserve">Hofstede, G., 2001. Culture's consequences: Comparing values, </w:t>
      </w:r>
      <w:r w:rsidR="0054289A">
        <w:rPr/>
        <w:t>behaviors</w:t>
      </w:r>
      <w:r w:rsidR="0054289A">
        <w:rPr/>
        <w:t>, institutions, and organizations across nations. Sage publications</w:t>
      </w:r>
    </w:p>
    <w:p w:rsidR="0054289A" w:rsidP="0054289A" w:rsidRDefault="0054289A" w14:paraId="57702B17" w14:textId="4A5E53ED">
      <w:r>
        <w:t>Molz, J.G., 2007. Cosmopolitan bodies: Fit to travel and travelling to fit. Body &amp; Society, 13(2-3), pp.1-21.</w:t>
      </w:r>
    </w:p>
    <w:p w:rsidR="0054289A" w:rsidP="0054289A" w:rsidRDefault="0054289A" w14:paraId="692F8FD7" w14:textId="0F3F31A5">
      <w:r w:rsidR="0054289A">
        <w:rPr/>
        <w:t xml:space="preserve">Pearce, P.L., 2000. An integrative framework for cross-cultural consumer </w:t>
      </w:r>
      <w:r w:rsidR="0054289A">
        <w:rPr/>
        <w:t>behavior</w:t>
      </w:r>
      <w:r w:rsidR="0054289A">
        <w:rPr/>
        <w:t>. International Marketing Review.</w:t>
      </w:r>
    </w:p>
    <w:p w:rsidR="0054289A" w:rsidP="0054289A" w:rsidRDefault="0054289A" w14:paraId="13367917" w14:textId="6DAFE05D">
      <w:r w:rsidR="0054289A">
        <w:rPr/>
        <w:t xml:space="preserve">Reisinger, Y., 2009. International tourism: Cultures and </w:t>
      </w:r>
      <w:r w:rsidR="0054289A">
        <w:rPr/>
        <w:t>behavior</w:t>
      </w:r>
      <w:r w:rsidR="0054289A">
        <w:rPr/>
        <w:t>. Elsevier.</w:t>
      </w:r>
    </w:p>
    <w:p w:rsidR="0054289A" w:rsidP="0054289A" w:rsidRDefault="0054289A" w14:paraId="1B3C8DF5" w14:textId="77777777">
      <w:r>
        <w:t>Solomon, M.R., Surprenant, C., Czepiel, J.A. and Gutman, E.G., 1985. A role theory perspective on dyadic interactions: The service encounter. Journal of Marketing, 49(1), pp.99-111.</w:t>
      </w:r>
    </w:p>
    <w:p w:rsidR="0054289A" w:rsidP="0054289A" w:rsidRDefault="0054289A" w14:paraId="0F03EA44" w14:textId="1B167B7F">
      <w:r w:rsidR="0054289A">
        <w:rPr/>
        <w:t>Triandis</w:t>
      </w:r>
      <w:r w:rsidR="0054289A">
        <w:rPr/>
        <w:t>, H.C., 1995. Individualism &amp; collectivism. Westview press.</w:t>
      </w:r>
    </w:p>
    <w:p w:rsidR="0054289A" w:rsidP="0054289A" w:rsidRDefault="0054289A" w14:paraId="7B3E5A9C" w14:textId="2BD035E2">
      <w:r>
        <w:t>Warden, C.A., Liu, T.C., Huang, C.T., 2003. Service failures away from home: benefits in intercultural service encounters. International Journal of Service Industry Management.</w:t>
      </w:r>
    </w:p>
    <w:sectPr w:rsidR="0054289A" w:rsidSect="0054289A">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D2A98" w:rsidP="00B31D06" w:rsidRDefault="006D2A98" w14:paraId="3B122196" w14:textId="77777777">
      <w:pPr>
        <w:spacing w:after="0" w:line="240" w:lineRule="auto"/>
      </w:pPr>
      <w:r>
        <w:separator/>
      </w:r>
    </w:p>
  </w:endnote>
  <w:endnote w:type="continuationSeparator" w:id="0">
    <w:p w:rsidR="006D2A98" w:rsidP="00B31D06" w:rsidRDefault="006D2A98" w14:paraId="15035D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D2A98" w:rsidP="00B31D06" w:rsidRDefault="006D2A98" w14:paraId="488EA872" w14:textId="77777777">
      <w:pPr>
        <w:spacing w:after="0" w:line="240" w:lineRule="auto"/>
      </w:pPr>
      <w:r>
        <w:separator/>
      </w:r>
    </w:p>
  </w:footnote>
  <w:footnote w:type="continuationSeparator" w:id="0">
    <w:p w:rsidR="006D2A98" w:rsidP="00B31D06" w:rsidRDefault="006D2A98" w14:paraId="08212E4C"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89A"/>
    <w:rsid w:val="000F62F9"/>
    <w:rsid w:val="0054289A"/>
    <w:rsid w:val="006D2A98"/>
    <w:rsid w:val="008748AE"/>
    <w:rsid w:val="00B31D06"/>
    <w:rsid w:val="0AF8EBD1"/>
    <w:rsid w:val="144C92E3"/>
    <w:rsid w:val="1C9A3DD7"/>
    <w:rsid w:val="1F5B124D"/>
    <w:rsid w:val="25BDF7D6"/>
    <w:rsid w:val="2D1BD634"/>
    <w:rsid w:val="2E676436"/>
    <w:rsid w:val="2EC928A9"/>
    <w:rsid w:val="30033497"/>
    <w:rsid w:val="31B76872"/>
    <w:rsid w:val="35F4C8CD"/>
    <w:rsid w:val="5C0895C1"/>
    <w:rsid w:val="65912AC1"/>
    <w:rsid w:val="6BF7C125"/>
    <w:rsid w:val="6D7CB63A"/>
    <w:rsid w:val="71D3580A"/>
    <w:rsid w:val="796C757E"/>
  </w:rsids>
  <m:mathPr>
    <m:mathFont m:val="Cambria Math"/>
    <m:brkBin m:val="before"/>
    <m:brkBinSub m:val="--"/>
    <m:smallFrac m:val="0"/>
    <m:dispDef/>
    <m:lMargin m:val="0"/>
    <m:rMargin m:val="0"/>
    <m:defJc m:val="centerGroup"/>
    <m:wrapIndent m:val="1440"/>
    <m:intLim m:val="subSup"/>
    <m:naryLim m:val="undOvr"/>
  </m:mathPr>
  <w:themeFontLang w:val="en-MY"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C89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96C757E"/>
    <w:rPr>
      <w:rFonts w:ascii="Times New Roman" w:hAnsi="Times New Roman" w:cs="Times New Roman"/>
      <w:noProof w:val="0"/>
      <w:sz w:val="24"/>
      <w:szCs w:val="24"/>
      <w:lang w:val="en-GB"/>
    </w:rPr>
    <w:pPr>
      <w:jc w:val="both"/>
    </w:pPr>
  </w:style>
  <w:style w:type="paragraph" w:styleId="Heading1">
    <w:uiPriority w:val="9"/>
    <w:name w:val="heading 1"/>
    <w:basedOn w:val="Normal"/>
    <w:next w:val="Normal"/>
    <w:link w:val="Heading1Char"/>
    <w:qFormat/>
    <w:rsid w:val="796C757E"/>
    <w:rPr>
      <w:b w:val="1"/>
      <w:bCs w:val="1"/>
      <w:sz w:val="28"/>
      <w:szCs w:val="28"/>
    </w:rPr>
    <w:pPr>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54289A"/>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54289A"/>
    <w:rPr>
      <w:rFonts w:eastAsiaTheme="minorEastAsia"/>
      <w:kern w:val="0"/>
      <w:lang w:val="en-US"/>
      <w14:ligatures w14:val="none"/>
    </w:rPr>
  </w:style>
  <w:style w:type="character" w:styleId="Heading1Char" w:customStyle="true">
    <w:uiPriority w:val="9"/>
    <w:name w:val="Heading 1 Char"/>
    <w:basedOn w:val="DefaultParagraphFont"/>
    <w:link w:val="Heading1"/>
    <w:rsid w:val="796C757E"/>
    <w:rPr>
      <w:rFonts w:ascii="Times New Roman" w:hAnsi="Times New Roman" w:eastAsia="Calibri" w:cs="Times New Roman" w:eastAsiaTheme="minorAscii"/>
      <w:b w:val="1"/>
      <w:bCs w:val="1"/>
      <w:noProof w:val="0"/>
      <w:sz w:val="28"/>
      <w:szCs w:val="28"/>
      <w:lang w:val="en-GB"/>
    </w:rPr>
  </w:style>
  <w:style w:type="paragraph" w:styleId="TOCHeading">
    <w:uiPriority w:val="39"/>
    <w:name w:val="TOC Heading"/>
    <w:basedOn w:val="Heading1"/>
    <w:next w:val="Normal"/>
    <w:unhideWhenUsed/>
    <w:qFormat/>
    <w:rsid w:val="796C757E"/>
    <w:rPr>
      <w:lang w:val="en-US"/>
    </w:rPr>
    <w:pPr>
      <w:jc w:val="left"/>
    </w:pPr>
  </w:style>
  <w:style w:type="paragraph" w:styleId="TOC1">
    <w:uiPriority w:val="39"/>
    <w:name w:val="toc 1"/>
    <w:basedOn w:val="Normal"/>
    <w:next w:val="Normal"/>
    <w:unhideWhenUsed/>
    <w:rsid w:val="796C757E"/>
    <w:pPr>
      <w:spacing w:after="100"/>
    </w:pPr>
  </w:style>
  <w:style w:type="character" w:styleId="Hyperlink">
    <w:name w:val="Hyperlink"/>
    <w:basedOn w:val="DefaultParagraphFont"/>
    <w:uiPriority w:val="99"/>
    <w:unhideWhenUsed/>
    <w:rsid w:val="0054289A"/>
    <w:rPr>
      <w:color w:val="0563C1" w:themeColor="hyperlink"/>
      <w:u w:val="single"/>
    </w:rPr>
  </w:style>
  <w:style w:type="paragraph" w:styleId="Header">
    <w:uiPriority w:val="99"/>
    <w:name w:val="header"/>
    <w:basedOn w:val="Normal"/>
    <w:unhideWhenUsed/>
    <w:link w:val="HeaderChar"/>
    <w:rsid w:val="796C757E"/>
    <w:pPr>
      <w:tabs>
        <w:tab w:val="center" w:leader="none" w:pos="4513"/>
        <w:tab w:val="right" w:leader="none" w:pos="9026"/>
      </w:tabs>
      <w:spacing w:after="0"/>
    </w:pPr>
  </w:style>
  <w:style w:type="character" w:styleId="HeaderChar" w:customStyle="true">
    <w:uiPriority w:val="99"/>
    <w:name w:val="Header Char"/>
    <w:basedOn w:val="DefaultParagraphFont"/>
    <w:link w:val="Header"/>
    <w:rsid w:val="796C757E"/>
    <w:rPr>
      <w:rFonts w:ascii="Times New Roman" w:hAnsi="Times New Roman" w:eastAsia="Calibri" w:cs="Times New Roman" w:eastAsiaTheme="minorAscii"/>
      <w:noProof w:val="0"/>
      <w:sz w:val="24"/>
      <w:szCs w:val="24"/>
      <w:lang w:val="en-GB"/>
    </w:rPr>
  </w:style>
  <w:style w:type="paragraph" w:styleId="Footer">
    <w:uiPriority w:val="99"/>
    <w:name w:val="footer"/>
    <w:basedOn w:val="Normal"/>
    <w:unhideWhenUsed/>
    <w:link w:val="FooterChar"/>
    <w:rsid w:val="796C757E"/>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796C757E"/>
    <w:rPr>
      <w:rFonts w:ascii="Times New Roman" w:hAnsi="Times New Roman" w:eastAsia="Calibri" w:cs="Times New Roman" w:eastAsiaTheme="minorAscii"/>
      <w:noProof w:val="0"/>
      <w:sz w:val="24"/>
      <w:szCs w:val="24"/>
      <w:lang w:val="en-GB"/>
    </w:rPr>
  </w:style>
  <w:style w:type="paragraph" w:styleId="Heading2">
    <w:uiPriority w:val="9"/>
    <w:name w:val="heading 2"/>
    <w:basedOn w:val="Normal"/>
    <w:next w:val="Normal"/>
    <w:unhideWhenUsed/>
    <w:link w:val="Heading2Char"/>
    <w:qFormat/>
    <w:rsid w:val="796C757E"/>
    <w:rPr>
      <w:rFonts w:ascii="Calibri Light" w:hAnsi="Calibri Light" w:eastAsia="" w:cs="Vrinda"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96C757E"/>
    <w:rPr>
      <w:rFonts w:ascii="Calibri Light" w:hAnsi="Calibri Light" w:eastAsia="" w:cs="Vrinda" w:asciiTheme="majorAscii" w:hAnsiTheme="majorAscii" w:eastAsiaTheme="majorEastAsia" w:cstheme="majorBidi"/>
      <w:color w:val="1F3763"/>
    </w:rPr>
    <w:pPr>
      <w:keepNext w:val="1"/>
      <w:keepLines w:val="1"/>
      <w:spacing w:before="40" w:after="0"/>
      <w:outlineLvl w:val="2"/>
    </w:pPr>
  </w:style>
  <w:style w:type="paragraph" w:styleId="Heading4">
    <w:uiPriority w:val="9"/>
    <w:name w:val="heading 4"/>
    <w:basedOn w:val="Normal"/>
    <w:next w:val="Normal"/>
    <w:unhideWhenUsed/>
    <w:link w:val="Heading4Char"/>
    <w:qFormat/>
    <w:rsid w:val="796C757E"/>
    <w:rPr>
      <w:rFonts w:ascii="Calibri Light" w:hAnsi="Calibri Light" w:eastAsia="" w:cs="Vrinda"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96C757E"/>
    <w:rPr>
      <w:rFonts w:ascii="Calibri Light" w:hAnsi="Calibri Light" w:eastAsia="" w:cs="Vrinda"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96C757E"/>
    <w:rPr>
      <w:rFonts w:ascii="Calibri Light" w:hAnsi="Calibri Light" w:eastAsia="" w:cs="Vrinda"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96C757E"/>
    <w:rPr>
      <w:rFonts w:ascii="Calibri Light" w:hAnsi="Calibri Light" w:eastAsia="" w:cs="Vrinda"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96C757E"/>
    <w:rPr>
      <w:rFonts w:ascii="Calibri Light" w:hAnsi="Calibri Light" w:eastAsia="" w:cs="Vrinda"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96C757E"/>
    <w:rPr>
      <w:rFonts w:ascii="Calibri Light" w:hAnsi="Calibri Light" w:eastAsia="" w:cs="Vrinda"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96C757E"/>
    <w:rPr>
      <w:rFonts w:ascii="Calibri Light" w:hAnsi="Calibri Light" w:eastAsia="" w:cs="Vrinda"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96C757E"/>
    <w:rPr>
      <w:rFonts w:eastAsia="" w:eastAsiaTheme="minorEastAsia"/>
      <w:color w:val="5A5A5A"/>
    </w:rPr>
  </w:style>
  <w:style w:type="paragraph" w:styleId="Quote">
    <w:uiPriority w:val="29"/>
    <w:name w:val="Quote"/>
    <w:basedOn w:val="Normal"/>
    <w:next w:val="Normal"/>
    <w:link w:val="QuoteChar"/>
    <w:qFormat/>
    <w:rsid w:val="796C757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6C757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6C757E"/>
    <w:pPr>
      <w:spacing/>
      <w:ind w:left="720"/>
      <w:contextualSpacing/>
    </w:pPr>
  </w:style>
  <w:style w:type="character" w:styleId="Heading2Char" w:customStyle="true">
    <w:uiPriority w:val="9"/>
    <w:name w:val="Heading 2 Char"/>
    <w:basedOn w:val="DefaultParagraphFont"/>
    <w:link w:val="Heading2"/>
    <w:rsid w:val="796C757E"/>
    <w:rPr>
      <w:rFonts w:ascii="Calibri Light" w:hAnsi="Calibri Light" w:eastAsia="" w:cs="Vrinda"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96C757E"/>
    <w:rPr>
      <w:rFonts w:ascii="Calibri Light" w:hAnsi="Calibri Light" w:eastAsia="" w:cs="Vrinda"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96C757E"/>
    <w:rPr>
      <w:rFonts w:ascii="Calibri Light" w:hAnsi="Calibri Light" w:eastAsia="" w:cs="Vrinda"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96C757E"/>
    <w:rPr>
      <w:rFonts w:ascii="Calibri Light" w:hAnsi="Calibri Light" w:eastAsia="" w:cs="Vrinda"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96C757E"/>
    <w:rPr>
      <w:rFonts w:ascii="Calibri Light" w:hAnsi="Calibri Light" w:eastAsia="" w:cs="Vrinda"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96C757E"/>
    <w:rPr>
      <w:rFonts w:ascii="Calibri Light" w:hAnsi="Calibri Light" w:eastAsia="" w:cs="Vrinda"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96C757E"/>
    <w:rPr>
      <w:rFonts w:ascii="Calibri Light" w:hAnsi="Calibri Light" w:eastAsia="" w:cs="Vrinda"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96C757E"/>
    <w:rPr>
      <w:rFonts w:ascii="Calibri Light" w:hAnsi="Calibri Light" w:eastAsia="" w:cs="Vrinda"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96C757E"/>
    <w:rPr>
      <w:rFonts w:ascii="Calibri Light" w:hAnsi="Calibri Light" w:eastAsia="" w:cs="Vrinda"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96C757E"/>
    <w:rPr>
      <w:rFonts w:ascii="Calibri" w:hAnsi="Calibri" w:eastAsia="" w:cs="Vrinda"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96C757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96C757E"/>
    <w:rPr>
      <w:i w:val="1"/>
      <w:iCs w:val="1"/>
      <w:noProof w:val="0"/>
      <w:color w:val="4472C4" w:themeColor="accent1" w:themeTint="FF" w:themeShade="FF"/>
      <w:lang w:val="en-GB"/>
    </w:rPr>
  </w:style>
  <w:style w:type="paragraph" w:styleId="TOC2">
    <w:uiPriority w:val="39"/>
    <w:name w:val="toc 2"/>
    <w:basedOn w:val="Normal"/>
    <w:next w:val="Normal"/>
    <w:unhideWhenUsed/>
    <w:rsid w:val="796C757E"/>
    <w:pPr>
      <w:spacing w:after="100"/>
      <w:ind w:left="220"/>
    </w:pPr>
  </w:style>
  <w:style w:type="paragraph" w:styleId="TOC3">
    <w:uiPriority w:val="39"/>
    <w:name w:val="toc 3"/>
    <w:basedOn w:val="Normal"/>
    <w:next w:val="Normal"/>
    <w:unhideWhenUsed/>
    <w:rsid w:val="796C757E"/>
    <w:pPr>
      <w:spacing w:after="100"/>
      <w:ind w:left="440"/>
    </w:pPr>
  </w:style>
  <w:style w:type="paragraph" w:styleId="TOC4">
    <w:uiPriority w:val="39"/>
    <w:name w:val="toc 4"/>
    <w:basedOn w:val="Normal"/>
    <w:next w:val="Normal"/>
    <w:unhideWhenUsed/>
    <w:rsid w:val="796C757E"/>
    <w:pPr>
      <w:spacing w:after="100"/>
      <w:ind w:left="660"/>
    </w:pPr>
  </w:style>
  <w:style w:type="paragraph" w:styleId="TOC5">
    <w:uiPriority w:val="39"/>
    <w:name w:val="toc 5"/>
    <w:basedOn w:val="Normal"/>
    <w:next w:val="Normal"/>
    <w:unhideWhenUsed/>
    <w:rsid w:val="796C757E"/>
    <w:pPr>
      <w:spacing w:after="100"/>
      <w:ind w:left="880"/>
    </w:pPr>
  </w:style>
  <w:style w:type="paragraph" w:styleId="TOC6">
    <w:uiPriority w:val="39"/>
    <w:name w:val="toc 6"/>
    <w:basedOn w:val="Normal"/>
    <w:next w:val="Normal"/>
    <w:unhideWhenUsed/>
    <w:rsid w:val="796C757E"/>
    <w:pPr>
      <w:spacing w:after="100"/>
      <w:ind w:left="1100"/>
    </w:pPr>
  </w:style>
  <w:style w:type="paragraph" w:styleId="TOC7">
    <w:uiPriority w:val="39"/>
    <w:name w:val="toc 7"/>
    <w:basedOn w:val="Normal"/>
    <w:next w:val="Normal"/>
    <w:unhideWhenUsed/>
    <w:rsid w:val="796C757E"/>
    <w:pPr>
      <w:spacing w:after="100"/>
      <w:ind w:left="1320"/>
    </w:pPr>
  </w:style>
  <w:style w:type="paragraph" w:styleId="TOC8">
    <w:uiPriority w:val="39"/>
    <w:name w:val="toc 8"/>
    <w:basedOn w:val="Normal"/>
    <w:next w:val="Normal"/>
    <w:unhideWhenUsed/>
    <w:rsid w:val="796C757E"/>
    <w:pPr>
      <w:spacing w:after="100"/>
      <w:ind w:left="1540"/>
    </w:pPr>
  </w:style>
  <w:style w:type="paragraph" w:styleId="TOC9">
    <w:uiPriority w:val="39"/>
    <w:name w:val="toc 9"/>
    <w:basedOn w:val="Normal"/>
    <w:next w:val="Normal"/>
    <w:unhideWhenUsed/>
    <w:rsid w:val="796C757E"/>
    <w:pPr>
      <w:spacing w:after="100"/>
      <w:ind w:left="1760"/>
    </w:pPr>
  </w:style>
  <w:style w:type="paragraph" w:styleId="EndnoteText">
    <w:uiPriority w:val="99"/>
    <w:name w:val="endnote text"/>
    <w:basedOn w:val="Normal"/>
    <w:semiHidden/>
    <w:unhideWhenUsed/>
    <w:link w:val="EndnoteTextChar"/>
    <w:rsid w:val="796C757E"/>
    <w:rPr>
      <w:sz w:val="20"/>
      <w:szCs w:val="20"/>
    </w:rPr>
    <w:pPr>
      <w:spacing w:after="0"/>
    </w:pPr>
  </w:style>
  <w:style w:type="character" w:styleId="EndnoteTextChar" w:customStyle="true">
    <w:uiPriority w:val="99"/>
    <w:name w:val="Endnote Text Char"/>
    <w:basedOn w:val="DefaultParagraphFont"/>
    <w:semiHidden/>
    <w:link w:val="EndnoteText"/>
    <w:rsid w:val="796C757E"/>
    <w:rPr>
      <w:noProof w:val="0"/>
      <w:sz w:val="20"/>
      <w:szCs w:val="20"/>
      <w:lang w:val="en-GB"/>
    </w:rPr>
  </w:style>
  <w:style w:type="paragraph" w:styleId="FootnoteText">
    <w:uiPriority w:val="99"/>
    <w:name w:val="footnote text"/>
    <w:basedOn w:val="Normal"/>
    <w:semiHidden/>
    <w:unhideWhenUsed/>
    <w:link w:val="FootnoteTextChar"/>
    <w:rsid w:val="796C757E"/>
    <w:rPr>
      <w:sz w:val="20"/>
      <w:szCs w:val="20"/>
    </w:rPr>
    <w:pPr>
      <w:spacing w:after="0"/>
    </w:pPr>
  </w:style>
  <w:style w:type="character" w:styleId="FootnoteTextChar" w:customStyle="true">
    <w:uiPriority w:val="99"/>
    <w:name w:val="Footnote Text Char"/>
    <w:basedOn w:val="DefaultParagraphFont"/>
    <w:semiHidden/>
    <w:link w:val="FootnoteText"/>
    <w:rsid w:val="796C757E"/>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04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264831fb1652458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f267273-4fb2-4917-b40f-b6c48355d351}"/>
      </w:docPartPr>
      <w:docPartBody>
        <w:p w14:paraId="0E5DF7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Mohammod Suhel Miah (2126980)</lastModifiedBy>
  <revision>5</revision>
  <dcterms:created xsi:type="dcterms:W3CDTF">2023-06-16T06:43:00.0000000Z</dcterms:created>
  <dcterms:modified xsi:type="dcterms:W3CDTF">2023-06-16T08:34:48.4842139Z</dcterms:modified>
</coreProperties>
</file>