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4"/>
        <w:gridCol w:w="4592"/>
      </w:tblGrid>
      <w:tr w:rsidR="00256A32" w14:paraId="30B1D059" w14:textId="77777777" w:rsidTr="00295FDD">
        <w:trPr>
          <w:trHeight w:val="1208"/>
        </w:trPr>
        <w:tc>
          <w:tcPr>
            <w:tcW w:w="4424" w:type="dxa"/>
          </w:tcPr>
          <w:p w14:paraId="6CBDF7C5" w14:textId="77777777" w:rsidR="00256A32" w:rsidRPr="00256A32" w:rsidRDefault="00256A32" w:rsidP="00256A32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Style w:val="apple-converted-space"/>
                <w:rFonts w:asciiTheme="minorHAnsi" w:hAnsiTheme="minorHAnsi" w:cs="Arial"/>
                <w:b/>
                <w:sz w:val="28"/>
                <w:szCs w:val="28"/>
              </w:rPr>
              <w:t>Short r</w:t>
            </w:r>
            <w:r w:rsidRPr="00256A32">
              <w:rPr>
                <w:rStyle w:val="apple-converted-space"/>
                <w:rFonts w:asciiTheme="minorHAnsi" w:hAnsiTheme="minorHAnsi" w:cs="Arial"/>
                <w:b/>
                <w:sz w:val="28"/>
                <w:szCs w:val="28"/>
              </w:rPr>
              <w:t xml:space="preserve">eference </w:t>
            </w:r>
            <w:r w:rsidRPr="00256A32">
              <w:rPr>
                <w:rStyle w:val="apple-converted-space"/>
                <w:rFonts w:asciiTheme="minorHAnsi" w:hAnsiTheme="minorHAnsi" w:cs="Arial"/>
                <w:sz w:val="28"/>
                <w:szCs w:val="28"/>
              </w:rPr>
              <w:t>– short version as written in the main body of an assignment</w:t>
            </w:r>
            <w:r>
              <w:rPr>
                <w:rStyle w:val="apple-converted-space"/>
                <w:rFonts w:asciiTheme="minorHAnsi" w:hAnsiTheme="minorHAnsi" w:cs="Arial"/>
                <w:sz w:val="28"/>
                <w:szCs w:val="28"/>
              </w:rPr>
              <w:t>.</w:t>
            </w:r>
          </w:p>
        </w:tc>
        <w:tc>
          <w:tcPr>
            <w:tcW w:w="4592" w:type="dxa"/>
          </w:tcPr>
          <w:p w14:paraId="4ED7324F" w14:textId="77777777" w:rsidR="00256A32" w:rsidRPr="00256A32" w:rsidRDefault="00256A32" w:rsidP="00256A32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cs="Arial"/>
                <w:sz w:val="28"/>
                <w:szCs w:val="28"/>
              </w:rPr>
            </w:pPr>
            <w:r>
              <w:rPr>
                <w:rStyle w:val="apple-converted-space"/>
                <w:rFonts w:asciiTheme="minorHAnsi" w:hAnsiTheme="minorHAnsi" w:cs="Arial"/>
                <w:b/>
                <w:sz w:val="28"/>
                <w:szCs w:val="28"/>
              </w:rPr>
              <w:t>Long r</w:t>
            </w:r>
            <w:r w:rsidRPr="00256A32">
              <w:rPr>
                <w:rStyle w:val="apple-converted-space"/>
                <w:rFonts w:asciiTheme="minorHAnsi" w:hAnsiTheme="minorHAnsi" w:cs="Arial"/>
                <w:b/>
                <w:sz w:val="28"/>
                <w:szCs w:val="28"/>
              </w:rPr>
              <w:t xml:space="preserve">eference </w:t>
            </w:r>
            <w:r w:rsidRPr="00256A32">
              <w:rPr>
                <w:rStyle w:val="apple-converted-space"/>
                <w:rFonts w:asciiTheme="minorHAnsi" w:hAnsiTheme="minorHAnsi" w:cs="Arial"/>
                <w:sz w:val="28"/>
                <w:szCs w:val="28"/>
              </w:rPr>
              <w:t>– long version as written in the Bibliography of an assignment</w:t>
            </w:r>
            <w:r>
              <w:rPr>
                <w:rStyle w:val="apple-converted-space"/>
                <w:rFonts w:asciiTheme="minorHAnsi" w:hAnsiTheme="minorHAnsi" w:cs="Arial"/>
                <w:sz w:val="28"/>
                <w:szCs w:val="28"/>
              </w:rPr>
              <w:t>.</w:t>
            </w:r>
          </w:p>
        </w:tc>
      </w:tr>
      <w:tr w:rsidR="00256A32" w14:paraId="1395B4B9" w14:textId="77777777" w:rsidTr="00695659">
        <w:tc>
          <w:tcPr>
            <w:tcW w:w="4424" w:type="dxa"/>
          </w:tcPr>
          <w:p w14:paraId="3092C365" w14:textId="77777777" w:rsidR="00256A32" w:rsidRPr="00BC4AB8" w:rsidRDefault="00256A32" w:rsidP="00F347C0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</w:rPr>
            </w:pPr>
          </w:p>
        </w:tc>
        <w:tc>
          <w:tcPr>
            <w:tcW w:w="4592" w:type="dxa"/>
          </w:tcPr>
          <w:p w14:paraId="095EC419" w14:textId="77777777" w:rsidR="00256A32" w:rsidRPr="00F42041" w:rsidRDefault="00256A32" w:rsidP="00F347C0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cs="Arial"/>
                <w:sz w:val="20"/>
                <w:szCs w:val="20"/>
              </w:rPr>
            </w:pPr>
          </w:p>
        </w:tc>
      </w:tr>
      <w:tr w:rsidR="00A21D83" w14:paraId="0D6D6ADF" w14:textId="77777777" w:rsidTr="00695659">
        <w:tc>
          <w:tcPr>
            <w:tcW w:w="4424" w:type="dxa"/>
          </w:tcPr>
          <w:p w14:paraId="7142D52D" w14:textId="77777777" w:rsidR="00A21D83" w:rsidRPr="007A2FA2" w:rsidRDefault="002F3A58" w:rsidP="00F347C0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</w:rPr>
            </w:pPr>
            <w:r w:rsidRPr="007A2FA2">
              <w:rPr>
                <w:rFonts w:asciiTheme="minorHAnsi" w:hAnsiTheme="minorHAnsi"/>
              </w:rPr>
              <w:t xml:space="preserve">According to </w:t>
            </w:r>
            <w:r w:rsidRPr="007A2FA2">
              <w:rPr>
                <w:rStyle w:val="apple-converted-space"/>
                <w:rFonts w:asciiTheme="minorHAnsi" w:hAnsiTheme="minorHAnsi" w:cs="Arial"/>
              </w:rPr>
              <w:t>Bragg, (1988), after s</w:t>
            </w:r>
            <w:r w:rsidRPr="007A2FA2">
              <w:rPr>
                <w:rFonts w:asciiTheme="minorHAnsi" w:hAnsiTheme="minorHAnsi"/>
              </w:rPr>
              <w:t>howing acting promise…</w:t>
            </w:r>
          </w:p>
        </w:tc>
        <w:tc>
          <w:tcPr>
            <w:tcW w:w="4592" w:type="dxa"/>
          </w:tcPr>
          <w:p w14:paraId="2BF9137D" w14:textId="77777777" w:rsidR="00A21D83" w:rsidRPr="00C52851" w:rsidRDefault="00A21D83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rStyle w:val="apple-converted-space"/>
                <w:rFonts w:cs="Arial"/>
                <w:sz w:val="24"/>
                <w:szCs w:val="24"/>
              </w:rPr>
              <w:t xml:space="preserve">Bragg, M. (1988). </w:t>
            </w:r>
            <w:r w:rsidRPr="00C52851">
              <w:rPr>
                <w:i/>
                <w:sz w:val="24"/>
                <w:szCs w:val="24"/>
              </w:rPr>
              <w:t>Rich: The Life of Richard Burton</w:t>
            </w:r>
            <w:r w:rsidRPr="00C52851">
              <w:rPr>
                <w:sz w:val="24"/>
                <w:szCs w:val="24"/>
              </w:rPr>
              <w:t xml:space="preserve">. </w:t>
            </w:r>
            <w:r w:rsidR="00693DCD">
              <w:rPr>
                <w:sz w:val="24"/>
                <w:szCs w:val="24"/>
              </w:rPr>
              <w:t xml:space="preserve">London. </w:t>
            </w:r>
            <w:r w:rsidRPr="00C52851">
              <w:rPr>
                <w:sz w:val="24"/>
                <w:szCs w:val="24"/>
              </w:rPr>
              <w:t>Hodder and Staunton.</w:t>
            </w:r>
          </w:p>
        </w:tc>
      </w:tr>
      <w:tr w:rsidR="00A21D83" w14:paraId="0DF9F9D0" w14:textId="77777777" w:rsidTr="00695659">
        <w:tc>
          <w:tcPr>
            <w:tcW w:w="4424" w:type="dxa"/>
          </w:tcPr>
          <w:p w14:paraId="39A992ED" w14:textId="77777777" w:rsidR="00A21D83" w:rsidRPr="007A2FA2" w:rsidRDefault="00CF35B9" w:rsidP="00F347C0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</w:rPr>
            </w:pPr>
            <w:r w:rsidRPr="007A2FA2">
              <w:rPr>
                <w:rFonts w:asciiTheme="minorHAnsi" w:hAnsiTheme="minorHAnsi"/>
              </w:rPr>
              <w:t>According to Campbell (2002), t</w:t>
            </w:r>
            <w:r w:rsidRPr="007A2FA2">
              <w:rPr>
                <w:rFonts w:asciiTheme="minorHAnsi" w:hAnsiTheme="minorHAnsi" w:cs="Arial"/>
              </w:rPr>
              <w:t>he population of the town…</w:t>
            </w:r>
          </w:p>
        </w:tc>
        <w:tc>
          <w:tcPr>
            <w:tcW w:w="4592" w:type="dxa"/>
          </w:tcPr>
          <w:p w14:paraId="3976647E" w14:textId="77777777" w:rsidR="00A21D83" w:rsidRPr="00C52851" w:rsidRDefault="00A21D83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Campbell, R. (2002). </w:t>
            </w:r>
            <w:r w:rsidRPr="00C52851">
              <w:rPr>
                <w:i/>
                <w:iCs/>
                <w:sz w:val="24"/>
                <w:szCs w:val="24"/>
                <w:shd w:val="clear" w:color="auto" w:fill="FFFFFF"/>
              </w:rPr>
              <w:t xml:space="preserve">Terfysg Abertawe: a Swansea Riot. </w:t>
            </w:r>
            <w:r w:rsidRPr="00C52851">
              <w:rPr>
                <w:bCs/>
                <w:kern w:val="36"/>
                <w:sz w:val="24"/>
                <w:szCs w:val="24"/>
              </w:rPr>
              <w:t>Cardiff. Robin Campbell. </w:t>
            </w:r>
          </w:p>
        </w:tc>
      </w:tr>
      <w:tr w:rsidR="00A21D83" w14:paraId="72EA06A9" w14:textId="77777777" w:rsidTr="00695659">
        <w:tc>
          <w:tcPr>
            <w:tcW w:w="4424" w:type="dxa"/>
          </w:tcPr>
          <w:p w14:paraId="49F15157" w14:textId="77777777" w:rsidR="00A21D83" w:rsidRPr="007A2FA2" w:rsidRDefault="00CF35B9" w:rsidP="00F347C0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</w:rPr>
            </w:pPr>
            <w:r w:rsidRPr="007A2FA2">
              <w:rPr>
                <w:rFonts w:asciiTheme="minorHAnsi" w:hAnsiTheme="minorHAnsi"/>
              </w:rPr>
              <w:t>According to Crowe (1973, p.1), “When Sir William Grove demonstrated…</w:t>
            </w:r>
          </w:p>
        </w:tc>
        <w:tc>
          <w:tcPr>
            <w:tcW w:w="4592" w:type="dxa"/>
          </w:tcPr>
          <w:p w14:paraId="49CA59F6" w14:textId="77777777" w:rsidR="00A21D83" w:rsidRPr="00C52851" w:rsidRDefault="00A21D83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Crowe, B.J. (1973).  </w:t>
            </w:r>
            <w:r w:rsidRPr="00C52851">
              <w:rPr>
                <w:i/>
                <w:sz w:val="24"/>
                <w:szCs w:val="24"/>
              </w:rPr>
              <w:t>Fuel Cells: A Survey</w:t>
            </w:r>
            <w:r w:rsidRPr="00C52851">
              <w:rPr>
                <w:sz w:val="24"/>
                <w:szCs w:val="24"/>
              </w:rPr>
              <w:t xml:space="preserve">. Washington D.C. Prepared under Contract </w:t>
            </w:r>
            <w:r w:rsidRPr="003A6BD4">
              <w:rPr>
                <w:sz w:val="20"/>
                <w:szCs w:val="20"/>
              </w:rPr>
              <w:t>NASW-2173 Computer Sciences Corporation NATIONAL AERONAUTICS and SPACE ADMINISTRATION.</w:t>
            </w:r>
          </w:p>
        </w:tc>
      </w:tr>
      <w:tr w:rsidR="00A21D83" w14:paraId="0E22BDFF" w14:textId="77777777" w:rsidTr="00695659">
        <w:tc>
          <w:tcPr>
            <w:tcW w:w="4424" w:type="dxa"/>
          </w:tcPr>
          <w:p w14:paraId="170E6880" w14:textId="77777777" w:rsidR="00A21D83" w:rsidRPr="007A2FA2" w:rsidRDefault="004842A3" w:rsidP="004842A3">
            <w:pPr>
              <w:pStyle w:val="NoSpacing"/>
              <w:jc w:val="both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7A2FA2">
              <w:rPr>
                <w:rFonts w:eastAsia="Times New Roman" w:cs="Arial"/>
                <w:sz w:val="24"/>
                <w:szCs w:val="24"/>
                <w:lang w:eastAsia="en-GB"/>
              </w:rPr>
              <w:t>…many other innovations (Davies, 1962).</w:t>
            </w:r>
          </w:p>
        </w:tc>
        <w:tc>
          <w:tcPr>
            <w:tcW w:w="4592" w:type="dxa"/>
          </w:tcPr>
          <w:tbl>
            <w:tblPr>
              <w:tblW w:w="0" w:type="auto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85"/>
              <w:gridCol w:w="291"/>
            </w:tblGrid>
            <w:tr w:rsidR="00BF4E67" w:rsidRPr="00C52851" w14:paraId="4AF357A9" w14:textId="77777777" w:rsidTr="00952579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CBA795" w14:textId="77777777" w:rsidR="00BF4E67" w:rsidRPr="00C52851" w:rsidRDefault="00BF4E67" w:rsidP="00C52851">
                  <w:pPr>
                    <w:pStyle w:val="NoSpacing"/>
                    <w:rPr>
                      <w:sz w:val="24"/>
                      <w:szCs w:val="24"/>
                    </w:rPr>
                  </w:pPr>
                  <w:r w:rsidRPr="00C52851">
                    <w:rPr>
                      <w:sz w:val="24"/>
                      <w:szCs w:val="24"/>
                    </w:rPr>
                    <w:t>Davies, M. (1962). The tennis rebel (autobiography). London. S. Paul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240" w:type="dxa"/>
                    <w:bottom w:w="0" w:type="dxa"/>
                    <w:right w:w="0" w:type="dxa"/>
                  </w:tcMar>
                  <w:vAlign w:val="center"/>
                </w:tcPr>
                <w:p w14:paraId="05E8B1A2" w14:textId="77777777" w:rsidR="00BF4E67" w:rsidRPr="00C52851" w:rsidRDefault="00BF4E67" w:rsidP="00C52851">
                  <w:pPr>
                    <w:pStyle w:val="NoSpacing"/>
                    <w:rPr>
                      <w:rFonts w:ascii="Arial" w:hAnsi="Arial"/>
                      <w:sz w:val="24"/>
                      <w:szCs w:val="24"/>
                    </w:rPr>
                  </w:pPr>
                </w:p>
              </w:tc>
            </w:tr>
          </w:tbl>
          <w:p w14:paraId="7476D6FE" w14:textId="77777777" w:rsidR="00A21D83" w:rsidRPr="00C52851" w:rsidRDefault="00A21D83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</w:p>
        </w:tc>
      </w:tr>
      <w:tr w:rsidR="00A21D83" w14:paraId="4D6A1144" w14:textId="77777777" w:rsidTr="00695659">
        <w:tc>
          <w:tcPr>
            <w:tcW w:w="4424" w:type="dxa"/>
          </w:tcPr>
          <w:p w14:paraId="65DF8C84" w14:textId="77777777" w:rsidR="00A21D83" w:rsidRPr="007A2FA2" w:rsidRDefault="00BC4AB8" w:rsidP="003A6BD4">
            <w:pPr>
              <w:pStyle w:val="NoSpacing"/>
              <w:jc w:val="both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7A2FA2">
              <w:rPr>
                <w:rFonts w:eastAsiaTheme="minorEastAsia"/>
                <w:kern w:val="24"/>
                <w:sz w:val="24"/>
                <w:szCs w:val="24"/>
                <w:lang w:eastAsia="en-GB"/>
              </w:rPr>
              <w:t>…named after a famous copper barque. (</w:t>
            </w:r>
            <w:r w:rsidRPr="007A2FA2">
              <w:rPr>
                <w:sz w:val="24"/>
                <w:szCs w:val="24"/>
              </w:rPr>
              <w:t>Greenlaw, 1999).</w:t>
            </w:r>
          </w:p>
        </w:tc>
        <w:tc>
          <w:tcPr>
            <w:tcW w:w="4592" w:type="dxa"/>
          </w:tcPr>
          <w:p w14:paraId="4C1E9C96" w14:textId="77777777" w:rsidR="00A21D83" w:rsidRPr="00C52851" w:rsidRDefault="00BF4E67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Greenlaw, J. (1999). </w:t>
            </w:r>
            <w:r w:rsidRPr="00C52851">
              <w:rPr>
                <w:i/>
                <w:sz w:val="24"/>
                <w:szCs w:val="24"/>
              </w:rPr>
              <w:t>The Swansea Copper Barques and Cape Horner’s</w:t>
            </w:r>
            <w:r w:rsidRPr="00C52851">
              <w:rPr>
                <w:sz w:val="24"/>
                <w:szCs w:val="24"/>
              </w:rPr>
              <w:t xml:space="preserve">. Joanna Greenlaw. </w:t>
            </w:r>
          </w:p>
        </w:tc>
      </w:tr>
      <w:tr w:rsidR="00A21D83" w14:paraId="54EF7329" w14:textId="77777777" w:rsidTr="00695659">
        <w:tc>
          <w:tcPr>
            <w:tcW w:w="4424" w:type="dxa"/>
          </w:tcPr>
          <w:p w14:paraId="79253152" w14:textId="3A5E3D1C" w:rsidR="00A21D83" w:rsidRPr="00EB1135" w:rsidRDefault="00C41C57" w:rsidP="00C85037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  <w:color w:val="FF0000"/>
              </w:rPr>
            </w:pPr>
            <w:r w:rsidRPr="00EB1135">
              <w:rPr>
                <w:rFonts w:asciiTheme="minorHAnsi" w:hAnsiTheme="minorHAnsi"/>
                <w:b/>
                <w:color w:val="FF0000"/>
              </w:rPr>
              <w:t>….</w:t>
            </w:r>
            <w:r w:rsidRPr="00EB1135">
              <w:rPr>
                <w:rFonts w:asciiTheme="minorHAnsi" w:hAnsiTheme="minorHAnsi"/>
                <w:b/>
                <w:color w:val="FF0000"/>
              </w:rPr>
              <w:t>Gross (2002) also pointed out that</w:t>
            </w:r>
            <w:r w:rsidRPr="00EB1135">
              <w:rPr>
                <w:rFonts w:asciiTheme="minorHAnsi" w:hAnsiTheme="minorHAnsi"/>
                <w:b/>
                <w:color w:val="FF0000"/>
              </w:rPr>
              <w:t xml:space="preserve"> the potential effectiveness of fuel cells…</w:t>
            </w:r>
          </w:p>
        </w:tc>
        <w:tc>
          <w:tcPr>
            <w:tcW w:w="4592" w:type="dxa"/>
          </w:tcPr>
          <w:p w14:paraId="22E20BE7" w14:textId="77777777" w:rsidR="00A21D83" w:rsidRPr="00C52851" w:rsidRDefault="00BF4E67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Gross, J.H. (2002). </w:t>
            </w:r>
            <w:r w:rsidRPr="00C52851">
              <w:rPr>
                <w:i/>
                <w:sz w:val="24"/>
                <w:szCs w:val="24"/>
              </w:rPr>
              <w:t>Fuel Cell Technology in Volume I, Number 2 – July 2002 THE ISSUE</w:t>
            </w:r>
          </w:p>
        </w:tc>
      </w:tr>
      <w:tr w:rsidR="00A21D83" w14:paraId="6F3913A8" w14:textId="77777777" w:rsidTr="00695659">
        <w:tc>
          <w:tcPr>
            <w:tcW w:w="4424" w:type="dxa"/>
          </w:tcPr>
          <w:p w14:paraId="0121C85C" w14:textId="0F896CE8" w:rsidR="00A21D83" w:rsidRPr="00EB1135" w:rsidRDefault="006209F3" w:rsidP="006209F3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  <w:color w:val="FF0000"/>
              </w:rPr>
            </w:pPr>
            <w:r w:rsidRPr="00EB1135">
              <w:rPr>
                <w:rFonts w:asciiTheme="minorHAnsi" w:hAnsiTheme="minorHAnsi"/>
                <w:b/>
                <w:color w:val="FF0000"/>
              </w:rPr>
              <w:t>….a</w:t>
            </w:r>
            <w:r w:rsidRPr="00EB1135">
              <w:rPr>
                <w:rFonts w:asciiTheme="minorHAnsi" w:hAnsiTheme="minorHAnsi"/>
                <w:b/>
                <w:color w:val="FF0000"/>
              </w:rPr>
              <w:t>ccording to Harding (2014), the Kardomah gang were a collection of bohemian intellectuals</w:t>
            </w:r>
            <w:r w:rsidRPr="00EB1135">
              <w:rPr>
                <w:rFonts w:asciiTheme="minorHAnsi" w:hAnsiTheme="minorHAnsi"/>
                <w:b/>
                <w:color w:val="FF0000"/>
              </w:rPr>
              <w:t>…</w:t>
            </w:r>
          </w:p>
        </w:tc>
        <w:tc>
          <w:tcPr>
            <w:tcW w:w="4592" w:type="dxa"/>
          </w:tcPr>
          <w:p w14:paraId="08102A72" w14:textId="77777777" w:rsidR="00A21D83" w:rsidRPr="00C52851" w:rsidRDefault="00BF4E67" w:rsidP="00953C88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Harding, N (2014). Online. </w:t>
            </w:r>
            <w:hyperlink r:id="rId6" w:history="1">
              <w:r w:rsidR="00953C88" w:rsidRPr="00E949AA">
                <w:rPr>
                  <w:rStyle w:val="Hyperlink"/>
                  <w:sz w:val="20"/>
                  <w:szCs w:val="20"/>
                </w:rPr>
                <w:t>http://www.telegraph.co.uk/sponsored/travel/wales-dylan-thomas/10833428/swansea-kardomah-cafe.html. (Accessed 21.11.2016</w:t>
              </w:r>
            </w:hyperlink>
            <w:r w:rsidR="0055733A" w:rsidRPr="00953C88">
              <w:rPr>
                <w:sz w:val="20"/>
                <w:szCs w:val="20"/>
              </w:rPr>
              <w:t>)</w:t>
            </w:r>
          </w:p>
        </w:tc>
      </w:tr>
      <w:tr w:rsidR="00A21D83" w14:paraId="5DD607E0" w14:textId="77777777" w:rsidTr="00695659">
        <w:tc>
          <w:tcPr>
            <w:tcW w:w="4424" w:type="dxa"/>
          </w:tcPr>
          <w:p w14:paraId="7BB3FADE" w14:textId="3A4BB8E5" w:rsidR="00A21D83" w:rsidRPr="009470B4" w:rsidRDefault="009470B4" w:rsidP="009470B4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  <w:color w:val="FF0000"/>
              </w:rPr>
            </w:pPr>
            <w:r>
              <w:rPr>
                <w:rFonts w:asciiTheme="minorHAnsi" w:hAnsiTheme="minorHAnsi"/>
                <w:b/>
                <w:color w:val="FF0000"/>
              </w:rPr>
              <w:t>….a</w:t>
            </w:r>
            <w:r w:rsidRPr="009470B4">
              <w:rPr>
                <w:rFonts w:asciiTheme="minorHAnsi" w:hAnsiTheme="minorHAnsi"/>
                <w:b/>
                <w:color w:val="FF0000"/>
              </w:rPr>
              <w:t xml:space="preserve"> famous painting by James Harris Senior, dated around 1850, shows the Hafod copper works</w:t>
            </w:r>
            <w:r>
              <w:rPr>
                <w:rFonts w:asciiTheme="minorHAnsi" w:hAnsiTheme="minorHAnsi"/>
                <w:b/>
                <w:color w:val="FF0000"/>
              </w:rPr>
              <w:t>…</w:t>
            </w:r>
            <w:r w:rsidRPr="009470B4">
              <w:rPr>
                <w:rFonts w:asciiTheme="minorHAnsi" w:hAnsiTheme="minorHAnsi"/>
                <w:b/>
                <w:color w:val="FF0000"/>
              </w:rPr>
              <w:t xml:space="preserve"> </w:t>
            </w:r>
          </w:p>
        </w:tc>
        <w:tc>
          <w:tcPr>
            <w:tcW w:w="4592" w:type="dxa"/>
          </w:tcPr>
          <w:p w14:paraId="42AC0F5C" w14:textId="77777777" w:rsidR="00A21D83" w:rsidRPr="00C52851" w:rsidRDefault="00BF4E67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Harris, J. Snr. (c. 1850). </w:t>
            </w:r>
            <w:r w:rsidRPr="00C52851">
              <w:rPr>
                <w:i/>
                <w:sz w:val="24"/>
                <w:szCs w:val="24"/>
              </w:rPr>
              <w:t>Hafod copper works:  Afon Tawe.</w:t>
            </w:r>
          </w:p>
        </w:tc>
      </w:tr>
      <w:tr w:rsidR="00BF4E67" w14:paraId="70BCDC0D" w14:textId="77777777" w:rsidTr="00695659">
        <w:tc>
          <w:tcPr>
            <w:tcW w:w="4424" w:type="dxa"/>
          </w:tcPr>
          <w:p w14:paraId="76F8F2D7" w14:textId="0F4082F9" w:rsidR="00BF4E67" w:rsidRPr="00235181" w:rsidRDefault="00235181" w:rsidP="00235181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  <w:color w:val="FF0000"/>
              </w:rPr>
            </w:pPr>
            <w:r>
              <w:rPr>
                <w:rFonts w:asciiTheme="minorHAnsi" w:hAnsiTheme="minorHAnsi"/>
                <w:b/>
                <w:color w:val="FF0000"/>
              </w:rPr>
              <w:t>…</w:t>
            </w:r>
            <w:r w:rsidRPr="00235181">
              <w:rPr>
                <w:rFonts w:asciiTheme="minorHAnsi" w:hAnsiTheme="minorHAnsi"/>
                <w:b/>
                <w:color w:val="FF0000"/>
              </w:rPr>
              <w:t>Miskell (2011) traces the rise of significant Swansea movers and shakers such as John Vivien in her excellent book</w:t>
            </w:r>
            <w:r>
              <w:rPr>
                <w:rFonts w:asciiTheme="minorHAnsi" w:hAnsiTheme="minorHAnsi"/>
                <w:b/>
                <w:color w:val="FF0000"/>
              </w:rPr>
              <w:t>….</w:t>
            </w:r>
          </w:p>
        </w:tc>
        <w:tc>
          <w:tcPr>
            <w:tcW w:w="4592" w:type="dxa"/>
          </w:tcPr>
          <w:p w14:paraId="47891379" w14:textId="77777777" w:rsidR="00BF4E67" w:rsidRPr="00C52851" w:rsidRDefault="00BF4E67" w:rsidP="00C52851">
            <w:pPr>
              <w:pStyle w:val="NoSpacing"/>
              <w:rPr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Miskell, L. (2011). </w:t>
            </w:r>
            <w:r w:rsidRPr="00C52851">
              <w:rPr>
                <w:bCs/>
                <w:i/>
                <w:kern w:val="36"/>
                <w:sz w:val="24"/>
                <w:szCs w:val="24"/>
              </w:rPr>
              <w:t>Intelligent Town: an Urban History of Swansea, 1760-1855</w:t>
            </w:r>
            <w:r w:rsidRPr="00C52851">
              <w:rPr>
                <w:bCs/>
                <w:kern w:val="36"/>
                <w:sz w:val="24"/>
                <w:szCs w:val="24"/>
              </w:rPr>
              <w:t>. Cardiff. University of Wales Press. </w:t>
            </w:r>
          </w:p>
        </w:tc>
      </w:tr>
      <w:tr w:rsidR="00BF4E67" w14:paraId="33C10D1F" w14:textId="77777777" w:rsidTr="00695659">
        <w:tc>
          <w:tcPr>
            <w:tcW w:w="4424" w:type="dxa"/>
          </w:tcPr>
          <w:p w14:paraId="3B0600E3" w14:textId="04C0A512" w:rsidR="000F16C4" w:rsidRPr="00FB6D26" w:rsidRDefault="000F16C4" w:rsidP="00D7737B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  <w:color w:val="FF0000"/>
              </w:rPr>
            </w:pPr>
            <w:r w:rsidRPr="00FB6D26">
              <w:rPr>
                <w:rStyle w:val="apple-converted-space"/>
                <w:rFonts w:asciiTheme="minorHAnsi" w:hAnsiTheme="minorHAnsi" w:cs="Arial"/>
                <w:b/>
                <w:color w:val="FF0000"/>
              </w:rPr>
              <w:t>-</w:t>
            </w:r>
            <w:r w:rsidR="00FB6D26" w:rsidRPr="00FB6D26">
              <w:rPr>
                <w:rFonts w:asciiTheme="minorHAnsi" w:hAnsiTheme="minorHAnsi"/>
                <w:b/>
                <w:color w:val="FF0000"/>
              </w:rPr>
              <w:t xml:space="preserve"> </w:t>
            </w:r>
            <w:r w:rsidR="00FB6D26" w:rsidRPr="00FB6D26">
              <w:rPr>
                <w:rFonts w:asciiTheme="minorHAnsi" w:hAnsiTheme="minorHAnsi"/>
                <w:b/>
                <w:color w:val="FF0000"/>
              </w:rPr>
              <w:t>According to Rees (2005), the Llewelyn’s were</w:t>
            </w:r>
            <w:r w:rsidR="00FB6D26">
              <w:rPr>
                <w:rFonts w:asciiTheme="minorHAnsi" w:hAnsiTheme="minorHAnsi"/>
                <w:b/>
                <w:color w:val="FF0000"/>
              </w:rPr>
              <w:t>…</w:t>
            </w:r>
          </w:p>
          <w:p w14:paraId="453E4023" w14:textId="0200A087" w:rsidR="000F16C4" w:rsidRPr="00EB1135" w:rsidRDefault="000F16C4" w:rsidP="0065214E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  <w:color w:val="FF0000"/>
              </w:rPr>
            </w:pPr>
            <w:r w:rsidRPr="00FB6D26">
              <w:rPr>
                <w:rStyle w:val="apple-converted-space"/>
                <w:rFonts w:asciiTheme="minorHAnsi" w:hAnsiTheme="minorHAnsi" w:cs="Arial"/>
                <w:b/>
                <w:color w:val="FF0000"/>
              </w:rPr>
              <w:t>-</w:t>
            </w:r>
            <w:r w:rsidR="00FB6D26" w:rsidRPr="00FB6D26">
              <w:rPr>
                <w:rFonts w:asciiTheme="minorHAnsi" w:hAnsiTheme="minorHAnsi"/>
                <w:b/>
                <w:color w:val="FF0000"/>
              </w:rPr>
              <w:t xml:space="preserve"> </w:t>
            </w:r>
            <w:r w:rsidR="00FB6D26" w:rsidRPr="00FB6D26">
              <w:rPr>
                <w:rFonts w:asciiTheme="minorHAnsi" w:hAnsiTheme="minorHAnsi"/>
                <w:b/>
                <w:color w:val="FF0000"/>
              </w:rPr>
              <w:t>Rees (2005) goes on to explain that, i</w:t>
            </w:r>
            <w:r w:rsidR="00FB6D26" w:rsidRPr="00FB6D26">
              <w:rPr>
                <w:rFonts w:asciiTheme="minorHAnsi" w:eastAsiaTheme="minorEastAsia" w:hAnsiTheme="minorHAnsi"/>
                <w:b/>
                <w:color w:val="FF0000"/>
                <w:kern w:val="24"/>
              </w:rPr>
              <w:t>n 1848, Grove arranged for</w:t>
            </w:r>
            <w:r w:rsidR="00FB6D26">
              <w:rPr>
                <w:rFonts w:asciiTheme="minorHAnsi" w:eastAsiaTheme="minorEastAsia" w:hAnsiTheme="minorHAnsi"/>
                <w:b/>
                <w:color w:val="FF0000"/>
                <w:kern w:val="24"/>
              </w:rPr>
              <w:t>…</w:t>
            </w:r>
            <w:bookmarkStart w:id="0" w:name="_GoBack"/>
            <w:bookmarkEnd w:id="0"/>
          </w:p>
        </w:tc>
        <w:tc>
          <w:tcPr>
            <w:tcW w:w="4592" w:type="dxa"/>
          </w:tcPr>
          <w:p w14:paraId="002F5AF5" w14:textId="77777777" w:rsidR="00BF4E67" w:rsidRPr="00C52851" w:rsidRDefault="00BF4E67" w:rsidP="00C52851">
            <w:pPr>
              <w:pStyle w:val="NoSpacing"/>
              <w:rPr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Rees, R. (2005). </w:t>
            </w:r>
            <w:r w:rsidRPr="00C52851">
              <w:rPr>
                <w:i/>
                <w:sz w:val="24"/>
                <w:szCs w:val="24"/>
              </w:rPr>
              <w:t>Heroic Science: Swansea and the Royal Institution of South Wales 1835-1865</w:t>
            </w:r>
            <w:r w:rsidRPr="00C52851">
              <w:rPr>
                <w:sz w:val="24"/>
                <w:szCs w:val="24"/>
              </w:rPr>
              <w:t>. London. Heinemann.</w:t>
            </w:r>
          </w:p>
        </w:tc>
      </w:tr>
    </w:tbl>
    <w:p w14:paraId="102126DF" w14:textId="77777777" w:rsidR="00F347C0" w:rsidRPr="00F42041" w:rsidRDefault="00F347C0" w:rsidP="00F347C0">
      <w:pPr>
        <w:pStyle w:val="NoSpacing"/>
        <w:spacing w:line="360" w:lineRule="auto"/>
        <w:jc w:val="both"/>
        <w:rPr>
          <w:sz w:val="20"/>
          <w:szCs w:val="20"/>
          <w:lang w:eastAsia="en-GB"/>
        </w:rPr>
      </w:pPr>
    </w:p>
    <w:p w14:paraId="62DCFB3F" w14:textId="77777777" w:rsidR="00F347C0" w:rsidRPr="00F42041" w:rsidRDefault="00F347C0" w:rsidP="00F347C0">
      <w:pPr>
        <w:pStyle w:val="NoSpacing"/>
        <w:jc w:val="both"/>
        <w:rPr>
          <w:sz w:val="20"/>
          <w:szCs w:val="20"/>
        </w:rPr>
      </w:pPr>
    </w:p>
    <w:p w14:paraId="529F8F9B" w14:textId="77777777" w:rsidR="00F347C0" w:rsidRPr="00F42041" w:rsidRDefault="00F347C0" w:rsidP="00F347C0">
      <w:pPr>
        <w:pStyle w:val="NoSpacing"/>
        <w:jc w:val="both"/>
        <w:rPr>
          <w:sz w:val="20"/>
          <w:szCs w:val="20"/>
        </w:rPr>
      </w:pPr>
    </w:p>
    <w:p w14:paraId="4E55007A" w14:textId="77777777" w:rsidR="003C5AF5" w:rsidRDefault="003C5AF5" w:rsidP="00F347C0">
      <w:pPr>
        <w:pStyle w:val="NoSpacing"/>
        <w:jc w:val="both"/>
        <w:rPr>
          <w:bCs/>
          <w:kern w:val="36"/>
          <w:sz w:val="20"/>
          <w:szCs w:val="20"/>
          <w:lang w:eastAsia="en-GB"/>
        </w:rPr>
      </w:pPr>
    </w:p>
    <w:p w14:paraId="2E0039FD" w14:textId="77777777" w:rsidR="003C5AF5" w:rsidRDefault="003C5AF5" w:rsidP="00F347C0">
      <w:pPr>
        <w:pStyle w:val="NoSpacing"/>
        <w:jc w:val="both"/>
        <w:rPr>
          <w:bCs/>
          <w:kern w:val="36"/>
          <w:sz w:val="20"/>
          <w:szCs w:val="20"/>
          <w:lang w:eastAsia="en-GB"/>
        </w:rPr>
      </w:pPr>
    </w:p>
    <w:p w14:paraId="59BD6771" w14:textId="77777777" w:rsidR="003C5AF5" w:rsidRDefault="003C5AF5" w:rsidP="00F347C0">
      <w:pPr>
        <w:pStyle w:val="NoSpacing"/>
        <w:jc w:val="both"/>
        <w:rPr>
          <w:bCs/>
          <w:kern w:val="36"/>
          <w:sz w:val="20"/>
          <w:szCs w:val="20"/>
          <w:lang w:eastAsia="en-GB"/>
        </w:rPr>
      </w:pPr>
    </w:p>
    <w:p w14:paraId="52362D4C" w14:textId="77777777" w:rsidR="003C5AF5" w:rsidRPr="00F42041" w:rsidRDefault="003C5AF5" w:rsidP="00F347C0">
      <w:pPr>
        <w:pStyle w:val="NoSpacing"/>
        <w:jc w:val="both"/>
        <w:rPr>
          <w:bCs/>
          <w:kern w:val="36"/>
          <w:sz w:val="20"/>
          <w:szCs w:val="20"/>
          <w:lang w:eastAsia="en-GB"/>
        </w:rPr>
      </w:pPr>
    </w:p>
    <w:sectPr w:rsidR="003C5AF5" w:rsidRPr="00F42041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766F52" w14:textId="77777777" w:rsidR="0051385E" w:rsidRDefault="0051385E" w:rsidP="004A462F">
      <w:pPr>
        <w:spacing w:after="0" w:line="240" w:lineRule="auto"/>
      </w:pPr>
      <w:r>
        <w:separator/>
      </w:r>
    </w:p>
  </w:endnote>
  <w:endnote w:type="continuationSeparator" w:id="0">
    <w:p w14:paraId="7B0259DF" w14:textId="77777777" w:rsidR="0051385E" w:rsidRDefault="0051385E" w:rsidP="004A4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907546" w14:textId="77777777" w:rsidR="00F74B7E" w:rsidRPr="00F74B7E" w:rsidRDefault="0051385E">
    <w:pPr>
      <w:pStyle w:val="Footer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 w:rsidRPr="00F74B7E">
      <w:rPr>
        <w:sz w:val="20"/>
        <w:szCs w:val="20"/>
      </w:rPr>
      <w:t>© 2017 David C. Williams</w:t>
    </w:r>
  </w:p>
  <w:p w14:paraId="2AEFE622" w14:textId="77777777" w:rsidR="00071728" w:rsidRDefault="0065214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748EE2" w14:textId="77777777" w:rsidR="0051385E" w:rsidRDefault="0051385E" w:rsidP="004A462F">
      <w:pPr>
        <w:spacing w:after="0" w:line="240" w:lineRule="auto"/>
      </w:pPr>
      <w:r>
        <w:separator/>
      </w:r>
    </w:p>
  </w:footnote>
  <w:footnote w:type="continuationSeparator" w:id="0">
    <w:p w14:paraId="1C76CD36" w14:textId="77777777" w:rsidR="0051385E" w:rsidRDefault="0051385E" w:rsidP="004A46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A2C13F" w14:textId="77777777" w:rsidR="003E05F8" w:rsidRDefault="004A462F" w:rsidP="006B31CA">
    <w:pPr>
      <w:pStyle w:val="NoSpacing"/>
    </w:pPr>
    <w:r w:rsidRPr="003E05F8">
      <w:rPr>
        <w:b/>
        <w:sz w:val="32"/>
        <w:szCs w:val="32"/>
      </w:rPr>
      <w:t xml:space="preserve">References vs. </w:t>
    </w:r>
    <w:r w:rsidR="003E05F8" w:rsidRPr="003E05F8">
      <w:rPr>
        <w:b/>
        <w:sz w:val="32"/>
        <w:szCs w:val="32"/>
      </w:rPr>
      <w:t>Bibliographies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7C0"/>
    <w:rsid w:val="000017FF"/>
    <w:rsid w:val="00025093"/>
    <w:rsid w:val="00032E90"/>
    <w:rsid w:val="00035ECF"/>
    <w:rsid w:val="000367E8"/>
    <w:rsid w:val="00037D91"/>
    <w:rsid w:val="00040173"/>
    <w:rsid w:val="00040264"/>
    <w:rsid w:val="00043515"/>
    <w:rsid w:val="00043F41"/>
    <w:rsid w:val="000533C7"/>
    <w:rsid w:val="00057530"/>
    <w:rsid w:val="000713F1"/>
    <w:rsid w:val="00074F1D"/>
    <w:rsid w:val="00080B44"/>
    <w:rsid w:val="00080D8A"/>
    <w:rsid w:val="0008252E"/>
    <w:rsid w:val="00083D76"/>
    <w:rsid w:val="000860D1"/>
    <w:rsid w:val="00087623"/>
    <w:rsid w:val="000A40CC"/>
    <w:rsid w:val="000B6F7E"/>
    <w:rsid w:val="000C06FC"/>
    <w:rsid w:val="000C278F"/>
    <w:rsid w:val="000C2FAE"/>
    <w:rsid w:val="000C3A40"/>
    <w:rsid w:val="000D0D55"/>
    <w:rsid w:val="000D78D7"/>
    <w:rsid w:val="000E2556"/>
    <w:rsid w:val="000E39D3"/>
    <w:rsid w:val="000E4FEE"/>
    <w:rsid w:val="000F16C4"/>
    <w:rsid w:val="000F3817"/>
    <w:rsid w:val="000F74AA"/>
    <w:rsid w:val="00101027"/>
    <w:rsid w:val="0010516A"/>
    <w:rsid w:val="00107E77"/>
    <w:rsid w:val="001135D1"/>
    <w:rsid w:val="001220CE"/>
    <w:rsid w:val="00122F60"/>
    <w:rsid w:val="00123380"/>
    <w:rsid w:val="00125592"/>
    <w:rsid w:val="00132B7E"/>
    <w:rsid w:val="00134D77"/>
    <w:rsid w:val="0013518B"/>
    <w:rsid w:val="00155E96"/>
    <w:rsid w:val="001654B7"/>
    <w:rsid w:val="00177EDE"/>
    <w:rsid w:val="001801B5"/>
    <w:rsid w:val="0018146F"/>
    <w:rsid w:val="00184110"/>
    <w:rsid w:val="001857BE"/>
    <w:rsid w:val="00185850"/>
    <w:rsid w:val="00191278"/>
    <w:rsid w:val="001927BE"/>
    <w:rsid w:val="00197BDB"/>
    <w:rsid w:val="001A0406"/>
    <w:rsid w:val="001B1FC2"/>
    <w:rsid w:val="001B2848"/>
    <w:rsid w:val="001B6D7A"/>
    <w:rsid w:val="001B731A"/>
    <w:rsid w:val="001C0161"/>
    <w:rsid w:val="001C38FB"/>
    <w:rsid w:val="001C5787"/>
    <w:rsid w:val="001D03BC"/>
    <w:rsid w:val="001E4B0C"/>
    <w:rsid w:val="001E4EEC"/>
    <w:rsid w:val="001E6BC7"/>
    <w:rsid w:val="001F0D10"/>
    <w:rsid w:val="001F23CA"/>
    <w:rsid w:val="001F2F03"/>
    <w:rsid w:val="001F3EDC"/>
    <w:rsid w:val="001F7B17"/>
    <w:rsid w:val="00201F45"/>
    <w:rsid w:val="002063AB"/>
    <w:rsid w:val="0022222D"/>
    <w:rsid w:val="00222CE7"/>
    <w:rsid w:val="002237BC"/>
    <w:rsid w:val="00231C38"/>
    <w:rsid w:val="002320B9"/>
    <w:rsid w:val="00235181"/>
    <w:rsid w:val="002362BD"/>
    <w:rsid w:val="00236F57"/>
    <w:rsid w:val="00237EA3"/>
    <w:rsid w:val="00245FFD"/>
    <w:rsid w:val="00253882"/>
    <w:rsid w:val="002562C4"/>
    <w:rsid w:val="00256A32"/>
    <w:rsid w:val="00257D13"/>
    <w:rsid w:val="002623B9"/>
    <w:rsid w:val="00262BA2"/>
    <w:rsid w:val="00275FA6"/>
    <w:rsid w:val="00282914"/>
    <w:rsid w:val="00285FAC"/>
    <w:rsid w:val="00290CDC"/>
    <w:rsid w:val="00294E05"/>
    <w:rsid w:val="002A0408"/>
    <w:rsid w:val="002B1D6E"/>
    <w:rsid w:val="002B43A2"/>
    <w:rsid w:val="002B5B72"/>
    <w:rsid w:val="002B748A"/>
    <w:rsid w:val="002D31B8"/>
    <w:rsid w:val="002D4902"/>
    <w:rsid w:val="002D6EBE"/>
    <w:rsid w:val="002F1A40"/>
    <w:rsid w:val="002F3A58"/>
    <w:rsid w:val="00302BD0"/>
    <w:rsid w:val="00302F4A"/>
    <w:rsid w:val="00303D74"/>
    <w:rsid w:val="003049AD"/>
    <w:rsid w:val="00320C1E"/>
    <w:rsid w:val="003267BE"/>
    <w:rsid w:val="003276B9"/>
    <w:rsid w:val="003309E9"/>
    <w:rsid w:val="003342BA"/>
    <w:rsid w:val="00337EC3"/>
    <w:rsid w:val="0034774C"/>
    <w:rsid w:val="003508F4"/>
    <w:rsid w:val="00352C27"/>
    <w:rsid w:val="00357F74"/>
    <w:rsid w:val="00363A51"/>
    <w:rsid w:val="00382A88"/>
    <w:rsid w:val="00383F1D"/>
    <w:rsid w:val="0038535A"/>
    <w:rsid w:val="0038561C"/>
    <w:rsid w:val="003A22E8"/>
    <w:rsid w:val="003A25EA"/>
    <w:rsid w:val="003A6BD4"/>
    <w:rsid w:val="003B393A"/>
    <w:rsid w:val="003C5AF5"/>
    <w:rsid w:val="003C6023"/>
    <w:rsid w:val="003D416C"/>
    <w:rsid w:val="003E05F8"/>
    <w:rsid w:val="003E1600"/>
    <w:rsid w:val="003E1DFA"/>
    <w:rsid w:val="003F153C"/>
    <w:rsid w:val="003F1815"/>
    <w:rsid w:val="004068A7"/>
    <w:rsid w:val="00410FAD"/>
    <w:rsid w:val="004119C5"/>
    <w:rsid w:val="0042299B"/>
    <w:rsid w:val="004271D4"/>
    <w:rsid w:val="004304AC"/>
    <w:rsid w:val="00432EA4"/>
    <w:rsid w:val="0044663C"/>
    <w:rsid w:val="0045478C"/>
    <w:rsid w:val="00456405"/>
    <w:rsid w:val="004609A3"/>
    <w:rsid w:val="00462919"/>
    <w:rsid w:val="00467A7C"/>
    <w:rsid w:val="00467FDE"/>
    <w:rsid w:val="00473254"/>
    <w:rsid w:val="004757B8"/>
    <w:rsid w:val="00475B67"/>
    <w:rsid w:val="00477C32"/>
    <w:rsid w:val="004818CA"/>
    <w:rsid w:val="00483C63"/>
    <w:rsid w:val="004842A3"/>
    <w:rsid w:val="004867E0"/>
    <w:rsid w:val="004868AC"/>
    <w:rsid w:val="0048744A"/>
    <w:rsid w:val="004903D9"/>
    <w:rsid w:val="004A4047"/>
    <w:rsid w:val="004A462F"/>
    <w:rsid w:val="004B22E7"/>
    <w:rsid w:val="004B274A"/>
    <w:rsid w:val="004B3EBD"/>
    <w:rsid w:val="004C6A94"/>
    <w:rsid w:val="004D668C"/>
    <w:rsid w:val="004D6BAA"/>
    <w:rsid w:val="004D7D82"/>
    <w:rsid w:val="004E51E5"/>
    <w:rsid w:val="004F02FF"/>
    <w:rsid w:val="004F1AAC"/>
    <w:rsid w:val="004F5540"/>
    <w:rsid w:val="00501C68"/>
    <w:rsid w:val="0050247C"/>
    <w:rsid w:val="00507F85"/>
    <w:rsid w:val="00510A0E"/>
    <w:rsid w:val="00512722"/>
    <w:rsid w:val="005128AE"/>
    <w:rsid w:val="00512D7B"/>
    <w:rsid w:val="0051385E"/>
    <w:rsid w:val="00517E17"/>
    <w:rsid w:val="005221A9"/>
    <w:rsid w:val="00522DD5"/>
    <w:rsid w:val="00523002"/>
    <w:rsid w:val="00536886"/>
    <w:rsid w:val="0054036A"/>
    <w:rsid w:val="00541483"/>
    <w:rsid w:val="00541796"/>
    <w:rsid w:val="00544C70"/>
    <w:rsid w:val="00545A25"/>
    <w:rsid w:val="00545ADF"/>
    <w:rsid w:val="005468A1"/>
    <w:rsid w:val="0055733A"/>
    <w:rsid w:val="00564FFD"/>
    <w:rsid w:val="0058722A"/>
    <w:rsid w:val="00591308"/>
    <w:rsid w:val="00596AEC"/>
    <w:rsid w:val="00597433"/>
    <w:rsid w:val="005A64D9"/>
    <w:rsid w:val="005A6737"/>
    <w:rsid w:val="005C35B4"/>
    <w:rsid w:val="005D0CE6"/>
    <w:rsid w:val="005E0F2E"/>
    <w:rsid w:val="005E4275"/>
    <w:rsid w:val="005E7A7A"/>
    <w:rsid w:val="005F1A7B"/>
    <w:rsid w:val="0060511D"/>
    <w:rsid w:val="00606F43"/>
    <w:rsid w:val="00610B31"/>
    <w:rsid w:val="00610DAC"/>
    <w:rsid w:val="00617F33"/>
    <w:rsid w:val="006209F3"/>
    <w:rsid w:val="00623FF3"/>
    <w:rsid w:val="00626E92"/>
    <w:rsid w:val="006302C3"/>
    <w:rsid w:val="0063156C"/>
    <w:rsid w:val="006362B2"/>
    <w:rsid w:val="00636F55"/>
    <w:rsid w:val="006430DE"/>
    <w:rsid w:val="0065214E"/>
    <w:rsid w:val="00653198"/>
    <w:rsid w:val="006570A7"/>
    <w:rsid w:val="006629B8"/>
    <w:rsid w:val="00670A63"/>
    <w:rsid w:val="00675B38"/>
    <w:rsid w:val="00690335"/>
    <w:rsid w:val="00692DC6"/>
    <w:rsid w:val="00693DCD"/>
    <w:rsid w:val="00695659"/>
    <w:rsid w:val="00696246"/>
    <w:rsid w:val="006A1744"/>
    <w:rsid w:val="006B5DEF"/>
    <w:rsid w:val="006B7E1B"/>
    <w:rsid w:val="006C0975"/>
    <w:rsid w:val="006C2EC9"/>
    <w:rsid w:val="006C6390"/>
    <w:rsid w:val="006D2C4D"/>
    <w:rsid w:val="006E28C5"/>
    <w:rsid w:val="006E4FBA"/>
    <w:rsid w:val="006E61AF"/>
    <w:rsid w:val="006F0EF5"/>
    <w:rsid w:val="00702868"/>
    <w:rsid w:val="00711E3A"/>
    <w:rsid w:val="00723898"/>
    <w:rsid w:val="007300E6"/>
    <w:rsid w:val="00731F6C"/>
    <w:rsid w:val="007360CB"/>
    <w:rsid w:val="007406FC"/>
    <w:rsid w:val="00743082"/>
    <w:rsid w:val="00743E9C"/>
    <w:rsid w:val="00753F1A"/>
    <w:rsid w:val="007559E9"/>
    <w:rsid w:val="00764E3B"/>
    <w:rsid w:val="00770AEE"/>
    <w:rsid w:val="007710AE"/>
    <w:rsid w:val="007738AB"/>
    <w:rsid w:val="00773B51"/>
    <w:rsid w:val="007748C5"/>
    <w:rsid w:val="00783598"/>
    <w:rsid w:val="00790EFA"/>
    <w:rsid w:val="0079674D"/>
    <w:rsid w:val="007A2FA2"/>
    <w:rsid w:val="007B41A0"/>
    <w:rsid w:val="007B429A"/>
    <w:rsid w:val="007B699D"/>
    <w:rsid w:val="007C0C58"/>
    <w:rsid w:val="007C371C"/>
    <w:rsid w:val="007C502D"/>
    <w:rsid w:val="007C5628"/>
    <w:rsid w:val="007E0624"/>
    <w:rsid w:val="007E08E8"/>
    <w:rsid w:val="007E68F9"/>
    <w:rsid w:val="007F4902"/>
    <w:rsid w:val="007F6F34"/>
    <w:rsid w:val="007F7529"/>
    <w:rsid w:val="008002B7"/>
    <w:rsid w:val="00806969"/>
    <w:rsid w:val="00807C18"/>
    <w:rsid w:val="0081184D"/>
    <w:rsid w:val="00811C6D"/>
    <w:rsid w:val="00813331"/>
    <w:rsid w:val="0081397A"/>
    <w:rsid w:val="00813D22"/>
    <w:rsid w:val="0083137A"/>
    <w:rsid w:val="00834222"/>
    <w:rsid w:val="00835A6A"/>
    <w:rsid w:val="00840E35"/>
    <w:rsid w:val="008415D7"/>
    <w:rsid w:val="008438F6"/>
    <w:rsid w:val="00847348"/>
    <w:rsid w:val="008514ED"/>
    <w:rsid w:val="008534E4"/>
    <w:rsid w:val="0085390E"/>
    <w:rsid w:val="00854F0F"/>
    <w:rsid w:val="00855833"/>
    <w:rsid w:val="0085689E"/>
    <w:rsid w:val="00862645"/>
    <w:rsid w:val="00864457"/>
    <w:rsid w:val="0086495E"/>
    <w:rsid w:val="00867A12"/>
    <w:rsid w:val="00881DD7"/>
    <w:rsid w:val="008869ED"/>
    <w:rsid w:val="00887D4F"/>
    <w:rsid w:val="008A173B"/>
    <w:rsid w:val="008A5207"/>
    <w:rsid w:val="008B1215"/>
    <w:rsid w:val="008B2504"/>
    <w:rsid w:val="008B5895"/>
    <w:rsid w:val="008C3A49"/>
    <w:rsid w:val="008D635D"/>
    <w:rsid w:val="008E1A1E"/>
    <w:rsid w:val="008F6E18"/>
    <w:rsid w:val="0090010A"/>
    <w:rsid w:val="0090032A"/>
    <w:rsid w:val="00900DE4"/>
    <w:rsid w:val="00901219"/>
    <w:rsid w:val="009035EC"/>
    <w:rsid w:val="00911BF6"/>
    <w:rsid w:val="00913829"/>
    <w:rsid w:val="00921FE3"/>
    <w:rsid w:val="009231A1"/>
    <w:rsid w:val="009370EC"/>
    <w:rsid w:val="0093761C"/>
    <w:rsid w:val="00937D05"/>
    <w:rsid w:val="00942966"/>
    <w:rsid w:val="009470B4"/>
    <w:rsid w:val="00953C88"/>
    <w:rsid w:val="009543ED"/>
    <w:rsid w:val="009554C7"/>
    <w:rsid w:val="00960770"/>
    <w:rsid w:val="00962152"/>
    <w:rsid w:val="00965847"/>
    <w:rsid w:val="00975B2B"/>
    <w:rsid w:val="00982C90"/>
    <w:rsid w:val="00984F0A"/>
    <w:rsid w:val="009869E9"/>
    <w:rsid w:val="00987758"/>
    <w:rsid w:val="00997D6B"/>
    <w:rsid w:val="009A1D8A"/>
    <w:rsid w:val="009A474E"/>
    <w:rsid w:val="009A663A"/>
    <w:rsid w:val="009B474C"/>
    <w:rsid w:val="009C6D32"/>
    <w:rsid w:val="009C6E9C"/>
    <w:rsid w:val="009D0746"/>
    <w:rsid w:val="009D0D21"/>
    <w:rsid w:val="009D6B64"/>
    <w:rsid w:val="009E1256"/>
    <w:rsid w:val="009F0453"/>
    <w:rsid w:val="009F1C13"/>
    <w:rsid w:val="009F62FA"/>
    <w:rsid w:val="00A038CA"/>
    <w:rsid w:val="00A10EB2"/>
    <w:rsid w:val="00A110B0"/>
    <w:rsid w:val="00A17CB7"/>
    <w:rsid w:val="00A17E80"/>
    <w:rsid w:val="00A21D83"/>
    <w:rsid w:val="00A30C9D"/>
    <w:rsid w:val="00A3111A"/>
    <w:rsid w:val="00A31542"/>
    <w:rsid w:val="00A33C03"/>
    <w:rsid w:val="00A41D75"/>
    <w:rsid w:val="00A46CB0"/>
    <w:rsid w:val="00A53439"/>
    <w:rsid w:val="00A5480B"/>
    <w:rsid w:val="00A54F8C"/>
    <w:rsid w:val="00A56B34"/>
    <w:rsid w:val="00A60058"/>
    <w:rsid w:val="00A61C5E"/>
    <w:rsid w:val="00A70C9E"/>
    <w:rsid w:val="00A7589F"/>
    <w:rsid w:val="00A76F26"/>
    <w:rsid w:val="00A804AA"/>
    <w:rsid w:val="00A972B5"/>
    <w:rsid w:val="00AA7A7D"/>
    <w:rsid w:val="00AB24A2"/>
    <w:rsid w:val="00AB6EE4"/>
    <w:rsid w:val="00AB7661"/>
    <w:rsid w:val="00AC154C"/>
    <w:rsid w:val="00AE63BF"/>
    <w:rsid w:val="00AE78AA"/>
    <w:rsid w:val="00AF665B"/>
    <w:rsid w:val="00B03BBF"/>
    <w:rsid w:val="00B05AF9"/>
    <w:rsid w:val="00B05C74"/>
    <w:rsid w:val="00B071D4"/>
    <w:rsid w:val="00B169A2"/>
    <w:rsid w:val="00B24CE9"/>
    <w:rsid w:val="00B33253"/>
    <w:rsid w:val="00B3468D"/>
    <w:rsid w:val="00B37967"/>
    <w:rsid w:val="00B47068"/>
    <w:rsid w:val="00B574F9"/>
    <w:rsid w:val="00B618D9"/>
    <w:rsid w:val="00B63D98"/>
    <w:rsid w:val="00B67313"/>
    <w:rsid w:val="00B728DC"/>
    <w:rsid w:val="00B8433A"/>
    <w:rsid w:val="00B86E81"/>
    <w:rsid w:val="00B91827"/>
    <w:rsid w:val="00BA096B"/>
    <w:rsid w:val="00BA4D6B"/>
    <w:rsid w:val="00BB3034"/>
    <w:rsid w:val="00BB6AF6"/>
    <w:rsid w:val="00BC4AB8"/>
    <w:rsid w:val="00BD782C"/>
    <w:rsid w:val="00BE54A4"/>
    <w:rsid w:val="00BF06B8"/>
    <w:rsid w:val="00BF4E67"/>
    <w:rsid w:val="00BF563C"/>
    <w:rsid w:val="00C20F7D"/>
    <w:rsid w:val="00C23F06"/>
    <w:rsid w:val="00C303F8"/>
    <w:rsid w:val="00C311D4"/>
    <w:rsid w:val="00C35BAE"/>
    <w:rsid w:val="00C41C57"/>
    <w:rsid w:val="00C42E5B"/>
    <w:rsid w:val="00C45288"/>
    <w:rsid w:val="00C50C19"/>
    <w:rsid w:val="00C52851"/>
    <w:rsid w:val="00C528E9"/>
    <w:rsid w:val="00C54C0B"/>
    <w:rsid w:val="00C56899"/>
    <w:rsid w:val="00C63E4A"/>
    <w:rsid w:val="00C650F0"/>
    <w:rsid w:val="00C65812"/>
    <w:rsid w:val="00C66FD7"/>
    <w:rsid w:val="00C741F8"/>
    <w:rsid w:val="00C85037"/>
    <w:rsid w:val="00C919F6"/>
    <w:rsid w:val="00C93318"/>
    <w:rsid w:val="00CA384B"/>
    <w:rsid w:val="00CC3D9F"/>
    <w:rsid w:val="00CC45C6"/>
    <w:rsid w:val="00CC5F43"/>
    <w:rsid w:val="00CC795F"/>
    <w:rsid w:val="00CD2FFB"/>
    <w:rsid w:val="00CD3E34"/>
    <w:rsid w:val="00CD521F"/>
    <w:rsid w:val="00CE04C6"/>
    <w:rsid w:val="00CE1009"/>
    <w:rsid w:val="00CF0078"/>
    <w:rsid w:val="00CF1E5E"/>
    <w:rsid w:val="00CF1F03"/>
    <w:rsid w:val="00CF2146"/>
    <w:rsid w:val="00CF35B9"/>
    <w:rsid w:val="00D01ACC"/>
    <w:rsid w:val="00D02647"/>
    <w:rsid w:val="00D027D1"/>
    <w:rsid w:val="00D05DF8"/>
    <w:rsid w:val="00D135E6"/>
    <w:rsid w:val="00D43B38"/>
    <w:rsid w:val="00D53B3F"/>
    <w:rsid w:val="00D6119D"/>
    <w:rsid w:val="00D61296"/>
    <w:rsid w:val="00D61EFE"/>
    <w:rsid w:val="00D635E6"/>
    <w:rsid w:val="00D6698E"/>
    <w:rsid w:val="00D66EFC"/>
    <w:rsid w:val="00D67027"/>
    <w:rsid w:val="00D67BA0"/>
    <w:rsid w:val="00D74E4E"/>
    <w:rsid w:val="00D77219"/>
    <w:rsid w:val="00D7737B"/>
    <w:rsid w:val="00D92CAE"/>
    <w:rsid w:val="00D97892"/>
    <w:rsid w:val="00DA1F52"/>
    <w:rsid w:val="00DA2A10"/>
    <w:rsid w:val="00DA4DB2"/>
    <w:rsid w:val="00DA4EAA"/>
    <w:rsid w:val="00DB707B"/>
    <w:rsid w:val="00DC2360"/>
    <w:rsid w:val="00DC33E3"/>
    <w:rsid w:val="00DC44BE"/>
    <w:rsid w:val="00DC5E33"/>
    <w:rsid w:val="00DD52E6"/>
    <w:rsid w:val="00DE124E"/>
    <w:rsid w:val="00DE62E0"/>
    <w:rsid w:val="00DE7AB2"/>
    <w:rsid w:val="00E07F2D"/>
    <w:rsid w:val="00E20994"/>
    <w:rsid w:val="00E27432"/>
    <w:rsid w:val="00E41AB6"/>
    <w:rsid w:val="00E444C2"/>
    <w:rsid w:val="00E547A9"/>
    <w:rsid w:val="00E60998"/>
    <w:rsid w:val="00E62848"/>
    <w:rsid w:val="00E67507"/>
    <w:rsid w:val="00E67544"/>
    <w:rsid w:val="00E7070C"/>
    <w:rsid w:val="00E718FF"/>
    <w:rsid w:val="00E71D8F"/>
    <w:rsid w:val="00E85E42"/>
    <w:rsid w:val="00E93FD9"/>
    <w:rsid w:val="00E95B44"/>
    <w:rsid w:val="00E9630B"/>
    <w:rsid w:val="00E96CEC"/>
    <w:rsid w:val="00EA1DCF"/>
    <w:rsid w:val="00EB1135"/>
    <w:rsid w:val="00EB2B99"/>
    <w:rsid w:val="00EC037D"/>
    <w:rsid w:val="00ED1BF3"/>
    <w:rsid w:val="00ED222C"/>
    <w:rsid w:val="00EE71AD"/>
    <w:rsid w:val="00EF443A"/>
    <w:rsid w:val="00F0044A"/>
    <w:rsid w:val="00F05938"/>
    <w:rsid w:val="00F102EB"/>
    <w:rsid w:val="00F104A1"/>
    <w:rsid w:val="00F13CB7"/>
    <w:rsid w:val="00F13F59"/>
    <w:rsid w:val="00F20E2E"/>
    <w:rsid w:val="00F21C9C"/>
    <w:rsid w:val="00F25CBE"/>
    <w:rsid w:val="00F26210"/>
    <w:rsid w:val="00F306FB"/>
    <w:rsid w:val="00F347C0"/>
    <w:rsid w:val="00F352CA"/>
    <w:rsid w:val="00F359F7"/>
    <w:rsid w:val="00F3645F"/>
    <w:rsid w:val="00F37ED9"/>
    <w:rsid w:val="00F43974"/>
    <w:rsid w:val="00F45A29"/>
    <w:rsid w:val="00F518B6"/>
    <w:rsid w:val="00F51963"/>
    <w:rsid w:val="00F51C75"/>
    <w:rsid w:val="00F609BB"/>
    <w:rsid w:val="00F76984"/>
    <w:rsid w:val="00F779CD"/>
    <w:rsid w:val="00F826E9"/>
    <w:rsid w:val="00F9472E"/>
    <w:rsid w:val="00F96C36"/>
    <w:rsid w:val="00FA20DE"/>
    <w:rsid w:val="00FA75AB"/>
    <w:rsid w:val="00FA7E6B"/>
    <w:rsid w:val="00FB0BE0"/>
    <w:rsid w:val="00FB2742"/>
    <w:rsid w:val="00FB3197"/>
    <w:rsid w:val="00FB6D26"/>
    <w:rsid w:val="00FC264D"/>
    <w:rsid w:val="00FD0091"/>
    <w:rsid w:val="00FD0CD2"/>
    <w:rsid w:val="00FD6157"/>
    <w:rsid w:val="00FD6412"/>
    <w:rsid w:val="00FD7AF5"/>
    <w:rsid w:val="00FF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3454C"/>
  <w15:chartTrackingRefBased/>
  <w15:docId w15:val="{658EEEDC-3747-4F87-BC17-70D95775A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47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47C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34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F347C0"/>
  </w:style>
  <w:style w:type="character" w:styleId="Hyperlink">
    <w:name w:val="Hyperlink"/>
    <w:basedOn w:val="DefaultParagraphFont"/>
    <w:uiPriority w:val="99"/>
    <w:unhideWhenUsed/>
    <w:rsid w:val="00F347C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347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47C0"/>
  </w:style>
  <w:style w:type="paragraph" w:styleId="Footer">
    <w:name w:val="footer"/>
    <w:basedOn w:val="Normal"/>
    <w:link w:val="FooterChar"/>
    <w:uiPriority w:val="99"/>
    <w:unhideWhenUsed/>
    <w:rsid w:val="00F347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47C0"/>
  </w:style>
  <w:style w:type="table" w:styleId="TableGrid">
    <w:name w:val="Table Grid"/>
    <w:basedOn w:val="TableNormal"/>
    <w:uiPriority w:val="39"/>
    <w:rsid w:val="00A21D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elegraph.co.uk/sponsored/travel/wales-dylan-thomas/10833428/swansea-kardomah-cafe.html.%20(Accessed%2021.11.2016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8</cp:revision>
  <cp:lastPrinted>2017-03-06T11:27:00Z</cp:lastPrinted>
  <dcterms:created xsi:type="dcterms:W3CDTF">2018-11-16T09:33:00Z</dcterms:created>
  <dcterms:modified xsi:type="dcterms:W3CDTF">2018-11-16T09:38:00Z</dcterms:modified>
</cp:coreProperties>
</file>