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BCFAF" w14:textId="77777777" w:rsidR="00962604" w:rsidRPr="00096EBF" w:rsidRDefault="005D7259" w:rsidP="00B77685">
      <w:pPr>
        <w:jc w:val="center"/>
        <w:rPr>
          <w:rFonts w:ascii="Arial" w:hAnsi="Arial" w:cs="Arial"/>
        </w:rPr>
      </w:pPr>
      <w:r w:rsidRPr="00096EBF">
        <w:rPr>
          <w:rFonts w:ascii="Arial" w:hAnsi="Arial" w:cs="Arial"/>
        </w:rPr>
        <w:t>Financial Management for the</w:t>
      </w:r>
      <w:r w:rsidR="00962604" w:rsidRPr="00096EBF">
        <w:rPr>
          <w:rFonts w:ascii="Arial" w:hAnsi="Arial" w:cs="Arial"/>
        </w:rPr>
        <w:t xml:space="preserve"> Hilton</w:t>
      </w:r>
      <w:r w:rsidRPr="00096EBF">
        <w:rPr>
          <w:rFonts w:ascii="Arial" w:hAnsi="Arial" w:cs="Arial"/>
        </w:rPr>
        <w:t xml:space="preserve"> Hotel Industry</w:t>
      </w:r>
    </w:p>
    <w:p w14:paraId="7BCC242E" w14:textId="4E6504AA" w:rsidR="00096EBF" w:rsidRDefault="00096EBF" w:rsidP="00B77685">
      <w:pPr>
        <w:jc w:val="center"/>
        <w:rPr>
          <w:rFonts w:ascii="Arial" w:hAnsi="Arial" w:cs="Arial"/>
        </w:rPr>
      </w:pPr>
      <w:r>
        <w:rPr>
          <w:rFonts w:ascii="Arial" w:hAnsi="Arial" w:cs="Arial"/>
        </w:rPr>
        <w:t>(</w:t>
      </w:r>
      <w:r w:rsidR="00962604" w:rsidRPr="00096EBF">
        <w:rPr>
          <w:rFonts w:ascii="Arial" w:hAnsi="Arial" w:cs="Arial"/>
        </w:rPr>
        <w:t>Year 2019-20</w:t>
      </w:r>
      <w:r>
        <w:rPr>
          <w:rFonts w:ascii="Arial" w:hAnsi="Arial" w:cs="Arial"/>
        </w:rPr>
        <w:t>)</w:t>
      </w:r>
    </w:p>
    <w:p w14:paraId="1470D490" w14:textId="41FDDCAB" w:rsidR="00096EBF" w:rsidRDefault="00096EBF" w:rsidP="00B77685">
      <w:pPr>
        <w:jc w:val="center"/>
        <w:rPr>
          <w:rFonts w:ascii="Arial" w:hAnsi="Arial" w:cs="Arial"/>
        </w:rPr>
      </w:pPr>
    </w:p>
    <w:p w14:paraId="6CA0B354" w14:textId="77777777" w:rsidR="00D41573" w:rsidRDefault="00D41573" w:rsidP="00B77685">
      <w:pPr>
        <w:jc w:val="center"/>
        <w:rPr>
          <w:rFonts w:ascii="Arial" w:hAnsi="Arial" w:cs="Arial"/>
        </w:rPr>
      </w:pPr>
    </w:p>
    <w:p w14:paraId="43075C72" w14:textId="371646A3" w:rsidR="00096EBF" w:rsidRDefault="00096EBF" w:rsidP="00B77685">
      <w:pPr>
        <w:jc w:val="center"/>
        <w:rPr>
          <w:rFonts w:ascii="Arial" w:hAnsi="Arial" w:cs="Arial"/>
        </w:rPr>
      </w:pPr>
      <w:r>
        <w:rPr>
          <w:rFonts w:ascii="Arial" w:hAnsi="Arial" w:cs="Arial"/>
        </w:rPr>
        <w:t>Student Name: Mohammad Ekram Hossain</w:t>
      </w:r>
    </w:p>
    <w:p w14:paraId="1DE1745D" w14:textId="79C6DAA6" w:rsidR="00096EBF" w:rsidRDefault="00096EBF" w:rsidP="00B77685">
      <w:pPr>
        <w:jc w:val="center"/>
        <w:rPr>
          <w:rFonts w:ascii="Arial" w:hAnsi="Arial" w:cs="Arial"/>
        </w:rPr>
      </w:pPr>
      <w:r>
        <w:rPr>
          <w:rFonts w:ascii="Arial" w:hAnsi="Arial" w:cs="Arial"/>
        </w:rPr>
        <w:t>Student ID: 2019611</w:t>
      </w:r>
    </w:p>
    <w:p w14:paraId="5CBF0E29" w14:textId="288F1E7A" w:rsidR="002862E0" w:rsidRDefault="002862E0" w:rsidP="00B77685">
      <w:pPr>
        <w:jc w:val="center"/>
        <w:rPr>
          <w:rFonts w:ascii="Arial" w:hAnsi="Arial" w:cs="Arial"/>
        </w:rPr>
      </w:pPr>
    </w:p>
    <w:p w14:paraId="38CC8775" w14:textId="77777777" w:rsidR="00D41573" w:rsidRDefault="00D41573" w:rsidP="00B77685">
      <w:pPr>
        <w:jc w:val="center"/>
        <w:rPr>
          <w:rFonts w:ascii="Arial" w:hAnsi="Arial" w:cs="Arial"/>
        </w:rPr>
      </w:pPr>
    </w:p>
    <w:p w14:paraId="1590F129" w14:textId="6C0C8EBB" w:rsidR="002862E0" w:rsidRDefault="002862E0" w:rsidP="00B77685">
      <w:pPr>
        <w:jc w:val="center"/>
        <w:rPr>
          <w:rFonts w:ascii="Arial" w:hAnsi="Arial" w:cs="Arial"/>
        </w:rPr>
      </w:pPr>
      <w:r>
        <w:rPr>
          <w:rFonts w:ascii="Arial" w:hAnsi="Arial" w:cs="Arial"/>
        </w:rPr>
        <w:t>Course</w:t>
      </w:r>
      <w:r w:rsidR="00D527F0">
        <w:rPr>
          <w:rFonts w:ascii="Arial" w:hAnsi="Arial" w:cs="Arial"/>
        </w:rPr>
        <w:t>: Financial Management for the Hotel Industry</w:t>
      </w:r>
    </w:p>
    <w:p w14:paraId="536B006D" w14:textId="19756029" w:rsidR="00D527F0" w:rsidRDefault="006333ED" w:rsidP="00B77685">
      <w:pPr>
        <w:jc w:val="center"/>
        <w:rPr>
          <w:rFonts w:ascii="Arial" w:hAnsi="Arial" w:cs="Arial"/>
        </w:rPr>
      </w:pPr>
      <w:r>
        <w:rPr>
          <w:rFonts w:ascii="Arial" w:hAnsi="Arial" w:cs="Arial"/>
        </w:rPr>
        <w:t>BMIH500</w:t>
      </w:r>
      <w:r w:rsidR="00D41573">
        <w:rPr>
          <w:rFonts w:ascii="Arial" w:hAnsi="Arial" w:cs="Arial"/>
        </w:rPr>
        <w:t>7</w:t>
      </w:r>
    </w:p>
    <w:p w14:paraId="46F6B167" w14:textId="364FAE7A" w:rsidR="00D41573" w:rsidRDefault="00D41573" w:rsidP="00B77685">
      <w:pPr>
        <w:jc w:val="center"/>
        <w:rPr>
          <w:rFonts w:ascii="Arial" w:hAnsi="Arial" w:cs="Arial"/>
        </w:rPr>
      </w:pPr>
    </w:p>
    <w:p w14:paraId="29E53E16" w14:textId="46D52706" w:rsidR="00C230A0" w:rsidRDefault="00C230A0" w:rsidP="00B77685">
      <w:pPr>
        <w:jc w:val="center"/>
        <w:rPr>
          <w:rFonts w:ascii="Arial" w:hAnsi="Arial" w:cs="Arial"/>
        </w:rPr>
      </w:pPr>
      <w:r>
        <w:rPr>
          <w:rFonts w:ascii="Arial" w:hAnsi="Arial" w:cs="Arial"/>
        </w:rPr>
        <w:t>Course Tutor: Mr. Dale Clarke</w:t>
      </w:r>
    </w:p>
    <w:p w14:paraId="7A46EADE" w14:textId="0DAD30C0" w:rsidR="00C230A0" w:rsidRDefault="00C230A0" w:rsidP="00B77685">
      <w:pPr>
        <w:jc w:val="center"/>
        <w:rPr>
          <w:rFonts w:ascii="Arial" w:hAnsi="Arial" w:cs="Arial"/>
        </w:rPr>
      </w:pPr>
    </w:p>
    <w:p w14:paraId="4833F105" w14:textId="2F8E13A9" w:rsidR="00C230A0" w:rsidRPr="00096EBF" w:rsidRDefault="00C230A0" w:rsidP="00B77685">
      <w:pPr>
        <w:jc w:val="center"/>
        <w:rPr>
          <w:rFonts w:ascii="Arial" w:hAnsi="Arial" w:cs="Arial"/>
        </w:rPr>
      </w:pPr>
      <w:r>
        <w:rPr>
          <w:rFonts w:ascii="Arial" w:hAnsi="Arial" w:cs="Arial"/>
        </w:rPr>
        <w:t>The Uni</w:t>
      </w:r>
      <w:r w:rsidR="00C07FBE">
        <w:rPr>
          <w:rFonts w:ascii="Arial" w:hAnsi="Arial" w:cs="Arial"/>
        </w:rPr>
        <w:t>versity of Wales</w:t>
      </w:r>
      <w:r w:rsidR="008037CF">
        <w:rPr>
          <w:rFonts w:ascii="Arial" w:hAnsi="Arial" w:cs="Arial"/>
        </w:rPr>
        <w:t xml:space="preserve"> </w:t>
      </w:r>
      <w:r w:rsidR="00C07FBE">
        <w:rPr>
          <w:rFonts w:ascii="Arial" w:hAnsi="Arial" w:cs="Arial"/>
        </w:rPr>
        <w:t>Trinity</w:t>
      </w:r>
      <w:r w:rsidR="008037CF">
        <w:rPr>
          <w:rFonts w:ascii="Arial" w:hAnsi="Arial" w:cs="Arial"/>
        </w:rPr>
        <w:t xml:space="preserve"> Saint David</w:t>
      </w:r>
    </w:p>
    <w:p w14:paraId="6959C813" w14:textId="13BADDB8" w:rsidR="00442F5D" w:rsidRPr="00096EBF" w:rsidRDefault="005D7259" w:rsidP="00B77685">
      <w:pPr>
        <w:jc w:val="center"/>
        <w:rPr>
          <w:rFonts w:ascii="Arial" w:hAnsi="Arial" w:cs="Arial"/>
          <w:b/>
          <w:bCs/>
          <w:sz w:val="32"/>
          <w:szCs w:val="32"/>
        </w:rPr>
      </w:pPr>
      <w:r w:rsidRPr="00096EBF">
        <w:rPr>
          <w:rFonts w:ascii="Arial" w:hAnsi="Arial" w:cs="Arial"/>
          <w:b/>
          <w:bCs/>
          <w:sz w:val="32"/>
          <w:szCs w:val="32"/>
        </w:rPr>
        <w:t xml:space="preserve"> </w:t>
      </w:r>
    </w:p>
    <w:p w14:paraId="65465DFF" w14:textId="77777777" w:rsidR="00442F5D" w:rsidRPr="00096EBF" w:rsidRDefault="00442F5D">
      <w:pPr>
        <w:spacing w:after="160" w:line="259" w:lineRule="auto"/>
        <w:jc w:val="left"/>
        <w:rPr>
          <w:rFonts w:ascii="Arial" w:hAnsi="Arial" w:cs="Arial"/>
        </w:rPr>
      </w:pPr>
      <w:r w:rsidRPr="00096EBF">
        <w:rPr>
          <w:rFonts w:ascii="Arial" w:hAnsi="Arial" w:cs="Arial"/>
        </w:rPr>
        <w:br w:type="page"/>
      </w:r>
    </w:p>
    <w:p w14:paraId="6FF6D1B5" w14:textId="77777777" w:rsidR="00442F5D" w:rsidRPr="00096EBF" w:rsidRDefault="00442F5D" w:rsidP="00442F5D">
      <w:pPr>
        <w:pStyle w:val="Heading1"/>
        <w:rPr>
          <w:rFonts w:ascii="Arial" w:hAnsi="Arial" w:cs="Arial"/>
        </w:rPr>
      </w:pPr>
      <w:bookmarkStart w:id="0" w:name="_Toc104231683"/>
      <w:r w:rsidRPr="00096EBF">
        <w:rPr>
          <w:rFonts w:ascii="Arial" w:hAnsi="Arial" w:cs="Arial"/>
        </w:rPr>
        <w:lastRenderedPageBreak/>
        <w:t>Executive Summary</w:t>
      </w:r>
      <w:bookmarkEnd w:id="0"/>
      <w:r w:rsidRPr="00096EBF">
        <w:rPr>
          <w:rFonts w:ascii="Arial" w:hAnsi="Arial" w:cs="Arial"/>
        </w:rPr>
        <w:t xml:space="preserve"> </w:t>
      </w:r>
    </w:p>
    <w:p w14:paraId="64BF373A" w14:textId="249B2863" w:rsidR="006B32F0" w:rsidRPr="00096EBF" w:rsidRDefault="00400D6A" w:rsidP="00442F5D">
      <w:pPr>
        <w:rPr>
          <w:rFonts w:ascii="Arial" w:hAnsi="Arial" w:cs="Arial"/>
        </w:rPr>
      </w:pPr>
      <w:r w:rsidRPr="00096EBF">
        <w:rPr>
          <w:rFonts w:ascii="Arial" w:hAnsi="Arial" w:cs="Arial"/>
        </w:rPr>
        <w:t xml:space="preserve">This report, there has been defined the ratio analysis, the trend analysis from the ratio analysis, the importance and uses of this ratio analysis for making financial decisions, the limitations of the ratio analysis that the financial managers usually face, and the essentials of calculating the fluctuations of ratio analysis. For driving all of this information the financial data of Hilton Worldwide Holdings Inc. (HLT) has been used. From using </w:t>
      </w:r>
      <w:r w:rsidR="00512D3C" w:rsidRPr="00096EBF">
        <w:rPr>
          <w:rFonts w:ascii="Arial" w:hAnsi="Arial" w:cs="Arial"/>
        </w:rPr>
        <w:t>that financial information</w:t>
      </w:r>
      <w:r w:rsidRPr="00096EBF">
        <w:rPr>
          <w:rFonts w:ascii="Arial" w:hAnsi="Arial" w:cs="Arial"/>
        </w:rPr>
        <w:t xml:space="preserve"> all the ratio analysis and trend </w:t>
      </w:r>
      <w:r w:rsidR="00512D3C" w:rsidRPr="00096EBF">
        <w:rPr>
          <w:rFonts w:ascii="Arial" w:hAnsi="Arial" w:cs="Arial"/>
        </w:rPr>
        <w:t>analyses</w:t>
      </w:r>
      <w:r w:rsidRPr="00096EBF">
        <w:rPr>
          <w:rFonts w:ascii="Arial" w:hAnsi="Arial" w:cs="Arial"/>
        </w:rPr>
        <w:t xml:space="preserve"> will be done in this report. </w:t>
      </w:r>
      <w:r w:rsidR="00D22F9C" w:rsidRPr="00096EBF">
        <w:rPr>
          <w:rFonts w:ascii="Arial" w:hAnsi="Arial" w:cs="Arial"/>
        </w:rPr>
        <w:t xml:space="preserve">Furthermore, a theoretical aspect of uses of ratio analysis will be given too.  </w:t>
      </w:r>
      <w:r w:rsidR="006B32F0" w:rsidRPr="00096EBF">
        <w:rPr>
          <w:rFonts w:ascii="Arial" w:hAnsi="Arial" w:cs="Arial"/>
        </w:rPr>
        <w:br w:type="page"/>
      </w:r>
    </w:p>
    <w:sdt>
      <w:sdtPr>
        <w:rPr>
          <w:rFonts w:ascii="Arial" w:eastAsia="Times New Roman" w:hAnsi="Arial" w:cs="Arial"/>
          <w:color w:val="auto"/>
          <w:sz w:val="24"/>
          <w:szCs w:val="20"/>
          <w:lang w:val="en-GB"/>
        </w:rPr>
        <w:id w:val="-488255292"/>
        <w:docPartObj>
          <w:docPartGallery w:val="Table of Contents"/>
          <w:docPartUnique/>
        </w:docPartObj>
      </w:sdtPr>
      <w:sdtEndPr>
        <w:rPr>
          <w:b/>
          <w:bCs/>
          <w:noProof/>
        </w:rPr>
      </w:sdtEndPr>
      <w:sdtContent>
        <w:p w14:paraId="45F8B097" w14:textId="3842B052" w:rsidR="0039549B" w:rsidRPr="00096EBF" w:rsidRDefault="0039549B">
          <w:pPr>
            <w:pStyle w:val="TOCHeading"/>
            <w:rPr>
              <w:rFonts w:ascii="Arial" w:hAnsi="Arial" w:cs="Arial"/>
            </w:rPr>
          </w:pPr>
          <w:r w:rsidRPr="00096EBF">
            <w:rPr>
              <w:rFonts w:ascii="Arial" w:hAnsi="Arial" w:cs="Arial"/>
            </w:rPr>
            <w:t>Table of Contents</w:t>
          </w:r>
        </w:p>
        <w:p w14:paraId="3373AF4C" w14:textId="24063E7B" w:rsidR="00075A35" w:rsidRPr="00096EBF" w:rsidRDefault="0039549B">
          <w:pPr>
            <w:pStyle w:val="TOC1"/>
            <w:tabs>
              <w:tab w:val="right" w:leader="dot" w:pos="9350"/>
            </w:tabs>
            <w:rPr>
              <w:rFonts w:ascii="Arial" w:eastAsiaTheme="minorEastAsia" w:hAnsi="Arial" w:cs="Arial"/>
              <w:noProof/>
              <w:sz w:val="22"/>
              <w:szCs w:val="22"/>
              <w:lang w:val="en-US"/>
            </w:rPr>
          </w:pPr>
          <w:r w:rsidRPr="00096EBF">
            <w:rPr>
              <w:rFonts w:ascii="Arial" w:hAnsi="Arial" w:cs="Arial"/>
            </w:rPr>
            <w:fldChar w:fldCharType="begin"/>
          </w:r>
          <w:r w:rsidRPr="00096EBF">
            <w:rPr>
              <w:rFonts w:ascii="Arial" w:hAnsi="Arial" w:cs="Arial"/>
            </w:rPr>
            <w:instrText xml:space="preserve"> TOC \o "1-3" \h \z \u </w:instrText>
          </w:r>
          <w:r w:rsidRPr="00096EBF">
            <w:rPr>
              <w:rFonts w:ascii="Arial" w:hAnsi="Arial" w:cs="Arial"/>
            </w:rPr>
            <w:fldChar w:fldCharType="separate"/>
          </w:r>
          <w:hyperlink w:anchor="_Toc104231683" w:history="1">
            <w:r w:rsidR="00075A35" w:rsidRPr="00096EBF">
              <w:rPr>
                <w:rStyle w:val="Hyperlink"/>
                <w:rFonts w:ascii="Arial" w:hAnsi="Arial" w:cs="Arial"/>
                <w:noProof/>
              </w:rPr>
              <w:t>Executive Summary</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_Toc104231683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2</w:t>
            </w:r>
            <w:r w:rsidR="00075A35" w:rsidRPr="00096EBF">
              <w:rPr>
                <w:rFonts w:ascii="Arial" w:hAnsi="Arial" w:cs="Arial"/>
                <w:noProof/>
                <w:webHidden/>
              </w:rPr>
              <w:fldChar w:fldCharType="end"/>
            </w:r>
          </w:hyperlink>
        </w:p>
        <w:p w14:paraId="7818D192" w14:textId="69FA6D29"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84" w:history="1">
            <w:r w:rsidR="00075A35" w:rsidRPr="00096EBF">
              <w:rPr>
                <w:rStyle w:val="Hyperlink"/>
                <w:rFonts w:ascii="Arial" w:hAnsi="Arial" w:cs="Arial"/>
                <w:noProof/>
              </w:rPr>
              <w:t>Introduction</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_Toc104231684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4</w:t>
            </w:r>
            <w:r w:rsidR="00075A35" w:rsidRPr="00096EBF">
              <w:rPr>
                <w:rFonts w:ascii="Arial" w:hAnsi="Arial" w:cs="Arial"/>
                <w:noProof/>
                <w:webHidden/>
              </w:rPr>
              <w:fldChar w:fldCharType="end"/>
            </w:r>
          </w:hyperlink>
        </w:p>
        <w:p w14:paraId="6B2CBB82" w14:textId="2BC4F891"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85" w:history="1">
            <w:r w:rsidR="00075A35" w:rsidRPr="00096EBF">
              <w:rPr>
                <w:rStyle w:val="Hyperlink"/>
                <w:rFonts w:ascii="Arial" w:hAnsi="Arial" w:cs="Arial"/>
                <w:noProof/>
              </w:rPr>
              <w:t>a) Calculating Horizontal ratios for 2019 as well as 2020</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_Toc104231685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5</w:t>
            </w:r>
            <w:r w:rsidR="00075A35" w:rsidRPr="00096EBF">
              <w:rPr>
                <w:rFonts w:ascii="Arial" w:hAnsi="Arial" w:cs="Arial"/>
                <w:noProof/>
                <w:webHidden/>
              </w:rPr>
              <w:fldChar w:fldCharType="end"/>
            </w:r>
          </w:hyperlink>
        </w:p>
        <w:p w14:paraId="2E22529A" w14:textId="6CA06208" w:rsidR="00075A35" w:rsidRPr="00096EBF" w:rsidRDefault="008037CF">
          <w:pPr>
            <w:pStyle w:val="TOC2"/>
            <w:tabs>
              <w:tab w:val="right" w:leader="dot" w:pos="9350"/>
            </w:tabs>
            <w:rPr>
              <w:rFonts w:ascii="Arial" w:eastAsiaTheme="minorEastAsia" w:hAnsi="Arial" w:cs="Arial"/>
              <w:noProof/>
              <w:sz w:val="22"/>
              <w:szCs w:val="22"/>
              <w:lang w:val="en-US"/>
            </w:rPr>
          </w:pPr>
          <w:hyperlink w:anchor="_Toc104231686" w:history="1">
            <w:r w:rsidR="00075A35" w:rsidRPr="00096EBF">
              <w:rPr>
                <w:rStyle w:val="Hyperlink"/>
                <w:rFonts w:ascii="Arial" w:hAnsi="Arial" w:cs="Arial"/>
                <w:noProof/>
              </w:rPr>
              <w:t>Ratios analysis of 2019 and 2022</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_Toc104231686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5</w:t>
            </w:r>
            <w:r w:rsidR="00075A35" w:rsidRPr="00096EBF">
              <w:rPr>
                <w:rFonts w:ascii="Arial" w:hAnsi="Arial" w:cs="Arial"/>
                <w:noProof/>
                <w:webHidden/>
              </w:rPr>
              <w:fldChar w:fldCharType="end"/>
            </w:r>
          </w:hyperlink>
        </w:p>
        <w:p w14:paraId="75C7B8D5" w14:textId="70C20B2E" w:rsidR="00075A35" w:rsidRPr="00096EBF" w:rsidRDefault="008037CF">
          <w:pPr>
            <w:pStyle w:val="TOC2"/>
            <w:tabs>
              <w:tab w:val="right" w:leader="dot" w:pos="9350"/>
            </w:tabs>
            <w:rPr>
              <w:rFonts w:ascii="Arial" w:eastAsiaTheme="minorEastAsia" w:hAnsi="Arial" w:cs="Arial"/>
              <w:noProof/>
              <w:sz w:val="22"/>
              <w:szCs w:val="22"/>
              <w:lang w:val="en-US"/>
            </w:rPr>
          </w:pPr>
          <w:hyperlink w:anchor="_Toc104231687" w:history="1">
            <w:r w:rsidR="00075A35" w:rsidRPr="00096EBF">
              <w:rPr>
                <w:rStyle w:val="Hyperlink"/>
                <w:rFonts w:ascii="Arial" w:hAnsi="Arial" w:cs="Arial"/>
                <w:noProof/>
              </w:rPr>
              <w:t>Trend analysis from the ratios of (HLT)</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_Toc104231687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6</w:t>
            </w:r>
            <w:r w:rsidR="00075A35" w:rsidRPr="00096EBF">
              <w:rPr>
                <w:rFonts w:ascii="Arial" w:hAnsi="Arial" w:cs="Arial"/>
                <w:noProof/>
                <w:webHidden/>
              </w:rPr>
              <w:fldChar w:fldCharType="end"/>
            </w:r>
          </w:hyperlink>
        </w:p>
        <w:p w14:paraId="0A0AA9E2" w14:textId="61C8753A"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88" w:history="1">
            <w:r w:rsidR="00075A35" w:rsidRPr="00096EBF">
              <w:rPr>
                <w:rStyle w:val="Hyperlink"/>
                <w:rFonts w:ascii="Arial" w:hAnsi="Arial" w:cs="Arial"/>
                <w:noProof/>
              </w:rPr>
              <w:t>b) Necessities of using ratio analysis for decision making</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_Toc104231688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7</w:t>
            </w:r>
            <w:r w:rsidR="00075A35" w:rsidRPr="00096EBF">
              <w:rPr>
                <w:rFonts w:ascii="Arial" w:hAnsi="Arial" w:cs="Arial"/>
                <w:noProof/>
                <w:webHidden/>
              </w:rPr>
              <w:fldChar w:fldCharType="end"/>
            </w:r>
          </w:hyperlink>
        </w:p>
        <w:p w14:paraId="56240929" w14:textId="2D7C1CEA"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89" w:history="1">
            <w:r w:rsidR="00075A35" w:rsidRPr="00096EBF">
              <w:rPr>
                <w:rStyle w:val="Hyperlink"/>
                <w:rFonts w:ascii="Arial" w:hAnsi="Arial" w:cs="Arial"/>
                <w:noProof/>
              </w:rPr>
              <w:t>c) The limitation of ratio analysis as well as the necessity of knowing the fluctuations of ratio analysis</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_Toc104231689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8</w:t>
            </w:r>
            <w:r w:rsidR="00075A35" w:rsidRPr="00096EBF">
              <w:rPr>
                <w:rFonts w:ascii="Arial" w:hAnsi="Arial" w:cs="Arial"/>
                <w:noProof/>
                <w:webHidden/>
              </w:rPr>
              <w:fldChar w:fldCharType="end"/>
            </w:r>
          </w:hyperlink>
        </w:p>
        <w:p w14:paraId="3F803D5D" w14:textId="1C65AD51" w:rsidR="00075A35" w:rsidRPr="00096EBF" w:rsidRDefault="008037CF">
          <w:pPr>
            <w:pStyle w:val="TOC2"/>
            <w:tabs>
              <w:tab w:val="right" w:leader="dot" w:pos="9350"/>
            </w:tabs>
            <w:rPr>
              <w:rFonts w:ascii="Arial" w:eastAsiaTheme="minorEastAsia" w:hAnsi="Arial" w:cs="Arial"/>
              <w:noProof/>
              <w:sz w:val="22"/>
              <w:szCs w:val="22"/>
              <w:lang w:val="en-US"/>
            </w:rPr>
          </w:pPr>
          <w:hyperlink w:anchor="_Toc104231690" w:history="1">
            <w:r w:rsidR="00075A35" w:rsidRPr="00096EBF">
              <w:rPr>
                <w:rStyle w:val="Hyperlink"/>
                <w:rFonts w:ascii="Arial" w:hAnsi="Arial" w:cs="Arial"/>
                <w:noProof/>
              </w:rPr>
              <w:t>Limitations of Ratio Analysis</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_Toc104231690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8</w:t>
            </w:r>
            <w:r w:rsidR="00075A35" w:rsidRPr="00096EBF">
              <w:rPr>
                <w:rFonts w:ascii="Arial" w:hAnsi="Arial" w:cs="Arial"/>
                <w:noProof/>
                <w:webHidden/>
              </w:rPr>
              <w:fldChar w:fldCharType="end"/>
            </w:r>
          </w:hyperlink>
        </w:p>
        <w:p w14:paraId="35BEFFF6" w14:textId="50A4B7A2"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91" w:history="1">
            <w:r w:rsidR="00075A35" w:rsidRPr="00096EBF">
              <w:rPr>
                <w:rStyle w:val="Hyperlink"/>
                <w:rFonts w:ascii="Arial" w:hAnsi="Arial" w:cs="Arial"/>
                <w:noProof/>
              </w:rPr>
              <w:t>Necessities of knowing the fluctuations of ratio analysis</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_Toc104231691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9</w:t>
            </w:r>
            <w:r w:rsidR="00075A35" w:rsidRPr="00096EBF">
              <w:rPr>
                <w:rFonts w:ascii="Arial" w:hAnsi="Arial" w:cs="Arial"/>
                <w:noProof/>
                <w:webHidden/>
              </w:rPr>
              <w:fldChar w:fldCharType="end"/>
            </w:r>
          </w:hyperlink>
        </w:p>
        <w:p w14:paraId="7B6E5EC6" w14:textId="2F7CFEF5"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92" w:history="1">
            <w:r w:rsidR="00075A35" w:rsidRPr="00096EBF">
              <w:rPr>
                <w:rStyle w:val="Hyperlink"/>
                <w:rFonts w:ascii="Arial" w:hAnsi="Arial" w:cs="Arial"/>
                <w:noProof/>
              </w:rPr>
              <w:t>Conclusion</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_Toc104231692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11</w:t>
            </w:r>
            <w:r w:rsidR="00075A35" w:rsidRPr="00096EBF">
              <w:rPr>
                <w:rFonts w:ascii="Arial" w:hAnsi="Arial" w:cs="Arial"/>
                <w:noProof/>
                <w:webHidden/>
              </w:rPr>
              <w:fldChar w:fldCharType="end"/>
            </w:r>
          </w:hyperlink>
        </w:p>
        <w:p w14:paraId="5436CD09" w14:textId="4B789FCC" w:rsidR="00075A35" w:rsidRPr="00096EBF" w:rsidRDefault="008037CF">
          <w:pPr>
            <w:pStyle w:val="TOC1"/>
            <w:tabs>
              <w:tab w:val="right" w:leader="dot" w:pos="9350"/>
            </w:tabs>
            <w:rPr>
              <w:rFonts w:ascii="Arial" w:eastAsiaTheme="minorEastAsia" w:hAnsi="Arial" w:cs="Arial"/>
              <w:noProof/>
              <w:sz w:val="22"/>
              <w:szCs w:val="22"/>
              <w:lang w:val="en-US"/>
            </w:rPr>
          </w:pPr>
          <w:hyperlink w:anchor="_Toc104231693" w:history="1">
            <w:r w:rsidR="00075A35" w:rsidRPr="00096EBF">
              <w:rPr>
                <w:rStyle w:val="Hyperlink"/>
                <w:rFonts w:ascii="Arial" w:hAnsi="Arial" w:cs="Arial"/>
                <w:noProof/>
              </w:rPr>
              <w:t>References</w:t>
            </w:r>
            <w:r w:rsidR="00075A35" w:rsidRPr="00096EBF">
              <w:rPr>
                <w:rFonts w:ascii="Arial" w:hAnsi="Arial" w:cs="Arial"/>
                <w:noProof/>
                <w:webHidden/>
              </w:rPr>
              <w:tab/>
            </w:r>
            <w:r w:rsidR="00075A35" w:rsidRPr="00096EBF">
              <w:rPr>
                <w:rFonts w:ascii="Arial" w:hAnsi="Arial" w:cs="Arial"/>
                <w:noProof/>
                <w:webHidden/>
              </w:rPr>
              <w:fldChar w:fldCharType="begin"/>
            </w:r>
            <w:r w:rsidR="00075A35" w:rsidRPr="00096EBF">
              <w:rPr>
                <w:rFonts w:ascii="Arial" w:hAnsi="Arial" w:cs="Arial"/>
                <w:noProof/>
                <w:webHidden/>
              </w:rPr>
              <w:instrText xml:space="preserve"> PAGEREF _Toc104231693 \h </w:instrText>
            </w:r>
            <w:r w:rsidR="00075A35" w:rsidRPr="00096EBF">
              <w:rPr>
                <w:rFonts w:ascii="Arial" w:hAnsi="Arial" w:cs="Arial"/>
                <w:noProof/>
                <w:webHidden/>
              </w:rPr>
            </w:r>
            <w:r w:rsidR="00075A35" w:rsidRPr="00096EBF">
              <w:rPr>
                <w:rFonts w:ascii="Arial" w:hAnsi="Arial" w:cs="Arial"/>
                <w:noProof/>
                <w:webHidden/>
              </w:rPr>
              <w:fldChar w:fldCharType="separate"/>
            </w:r>
            <w:r w:rsidR="00075A35" w:rsidRPr="00096EBF">
              <w:rPr>
                <w:rFonts w:ascii="Arial" w:hAnsi="Arial" w:cs="Arial"/>
                <w:noProof/>
                <w:webHidden/>
              </w:rPr>
              <w:t>12</w:t>
            </w:r>
            <w:r w:rsidR="00075A35" w:rsidRPr="00096EBF">
              <w:rPr>
                <w:rFonts w:ascii="Arial" w:hAnsi="Arial" w:cs="Arial"/>
                <w:noProof/>
                <w:webHidden/>
              </w:rPr>
              <w:fldChar w:fldCharType="end"/>
            </w:r>
          </w:hyperlink>
        </w:p>
        <w:p w14:paraId="709B7A80" w14:textId="5564BCE4" w:rsidR="0039549B" w:rsidRPr="00096EBF" w:rsidRDefault="0039549B">
          <w:pPr>
            <w:rPr>
              <w:rFonts w:ascii="Arial" w:hAnsi="Arial" w:cs="Arial"/>
            </w:rPr>
          </w:pPr>
          <w:r w:rsidRPr="00096EBF">
            <w:rPr>
              <w:rFonts w:ascii="Arial" w:hAnsi="Arial" w:cs="Arial"/>
              <w:b/>
              <w:bCs/>
              <w:noProof/>
            </w:rPr>
            <w:fldChar w:fldCharType="end"/>
          </w:r>
        </w:p>
      </w:sdtContent>
    </w:sdt>
    <w:p w14:paraId="6D1C4DCD" w14:textId="33BC982A" w:rsidR="00C80086" w:rsidRPr="00096EBF" w:rsidRDefault="00C80086">
      <w:pPr>
        <w:rPr>
          <w:rFonts w:ascii="Arial" w:hAnsi="Arial" w:cs="Arial"/>
        </w:rPr>
      </w:pPr>
    </w:p>
    <w:p w14:paraId="78D66CC8" w14:textId="77777777" w:rsidR="006B32F0" w:rsidRPr="00096EBF" w:rsidRDefault="006B32F0" w:rsidP="006B32F0">
      <w:pPr>
        <w:rPr>
          <w:rFonts w:ascii="Arial" w:hAnsi="Arial" w:cs="Arial"/>
        </w:rPr>
      </w:pPr>
    </w:p>
    <w:p w14:paraId="14631BDC" w14:textId="39308E08" w:rsidR="00103E4C" w:rsidRPr="00096EBF" w:rsidRDefault="00103E4C">
      <w:pPr>
        <w:spacing w:after="160" w:line="259" w:lineRule="auto"/>
        <w:jc w:val="left"/>
        <w:rPr>
          <w:rFonts w:ascii="Arial" w:hAnsi="Arial" w:cs="Arial"/>
        </w:rPr>
      </w:pPr>
      <w:r w:rsidRPr="00096EBF">
        <w:rPr>
          <w:rFonts w:ascii="Arial" w:hAnsi="Arial" w:cs="Arial"/>
        </w:rPr>
        <w:br w:type="page"/>
      </w:r>
    </w:p>
    <w:p w14:paraId="16C58AD9" w14:textId="7FE48269" w:rsidR="00103E4C" w:rsidRPr="00096EBF" w:rsidRDefault="00103E4C" w:rsidP="00103E4C">
      <w:pPr>
        <w:pStyle w:val="Heading1"/>
        <w:rPr>
          <w:rFonts w:ascii="Arial" w:hAnsi="Arial" w:cs="Arial"/>
        </w:rPr>
      </w:pPr>
      <w:bookmarkStart w:id="1" w:name="_Toc101999040"/>
      <w:bookmarkStart w:id="2" w:name="_Toc104231684"/>
      <w:r w:rsidRPr="00096EBF">
        <w:rPr>
          <w:rFonts w:ascii="Arial" w:hAnsi="Arial" w:cs="Arial"/>
        </w:rPr>
        <w:lastRenderedPageBreak/>
        <w:t>Introduction</w:t>
      </w:r>
      <w:bookmarkEnd w:id="1"/>
      <w:bookmarkEnd w:id="2"/>
      <w:r w:rsidRPr="00096EBF">
        <w:rPr>
          <w:rFonts w:ascii="Arial" w:hAnsi="Arial" w:cs="Arial"/>
        </w:rPr>
        <w:t xml:space="preserve"> </w:t>
      </w:r>
    </w:p>
    <w:p w14:paraId="23C0C557" w14:textId="0A9C95FF" w:rsidR="00CB455F" w:rsidRPr="00096EBF" w:rsidRDefault="00A9243B" w:rsidP="00DD54C7">
      <w:pPr>
        <w:rPr>
          <w:rFonts w:ascii="Arial" w:hAnsi="Arial" w:cs="Arial"/>
        </w:rPr>
      </w:pPr>
      <w:r w:rsidRPr="00096EBF">
        <w:rPr>
          <w:rFonts w:ascii="Arial" w:hAnsi="Arial" w:cs="Arial"/>
        </w:rPr>
        <w:t>The ratio analysis takes into account a variety of aspects of a company. The firm's competitiveness and progress can be guaranteed if all of the ratio evaluation components are properly handled and the baseline for maintaining the ratios is effectively managed. In this scenario, corporate entities use data from the past to predict the future. Using the accounting ratios, one can make all of his future judgments</w:t>
      </w:r>
      <w:r w:rsidR="004D3660" w:rsidRPr="00096EBF">
        <w:rPr>
          <w:rFonts w:ascii="Arial" w:hAnsi="Arial" w:cs="Arial"/>
        </w:rPr>
        <w:t xml:space="preserve"> (Gibbs and </w:t>
      </w:r>
      <w:proofErr w:type="spellStart"/>
      <w:r w:rsidR="004D3660" w:rsidRPr="00096EBF">
        <w:rPr>
          <w:rFonts w:ascii="Arial" w:hAnsi="Arial" w:cs="Arial"/>
        </w:rPr>
        <w:t>Flotemersch</w:t>
      </w:r>
      <w:proofErr w:type="spellEnd"/>
      <w:r w:rsidR="004D3660" w:rsidRPr="00096EBF">
        <w:rPr>
          <w:rFonts w:ascii="Arial" w:hAnsi="Arial" w:cs="Arial"/>
        </w:rPr>
        <w:t>, 2019)</w:t>
      </w:r>
      <w:r w:rsidRPr="00096EBF">
        <w:rPr>
          <w:rFonts w:ascii="Arial" w:hAnsi="Arial" w:cs="Arial"/>
        </w:rPr>
        <w:t>. Depending on Hilton Worldwide Holdings Inc.'s financial data, the following report will be compiled. As well as it will be determined whether or not the company is profitable.</w:t>
      </w:r>
      <w:r w:rsidR="00103E4C" w:rsidRPr="00096EBF">
        <w:rPr>
          <w:rFonts w:ascii="Arial" w:hAnsi="Arial" w:cs="Arial"/>
        </w:rPr>
        <w:br w:type="page"/>
      </w:r>
    </w:p>
    <w:p w14:paraId="367B4FA2" w14:textId="4A7EF138" w:rsidR="00761D47" w:rsidRPr="00096EBF" w:rsidRDefault="001E2212" w:rsidP="001E2212">
      <w:pPr>
        <w:pStyle w:val="Heading1"/>
        <w:rPr>
          <w:rFonts w:ascii="Arial" w:hAnsi="Arial" w:cs="Arial"/>
        </w:rPr>
      </w:pPr>
      <w:bookmarkStart w:id="3" w:name="_Toc104151259"/>
      <w:bookmarkStart w:id="4" w:name="_Toc104231685"/>
      <w:r w:rsidRPr="00096EBF">
        <w:rPr>
          <w:rFonts w:ascii="Arial" w:hAnsi="Arial" w:cs="Arial"/>
          <w:bCs/>
        </w:rPr>
        <w:lastRenderedPageBreak/>
        <w:t>a)</w:t>
      </w:r>
      <w:r w:rsidRPr="00096EBF">
        <w:rPr>
          <w:rFonts w:ascii="Arial" w:hAnsi="Arial" w:cs="Arial"/>
        </w:rPr>
        <w:t xml:space="preserve"> </w:t>
      </w:r>
      <w:r w:rsidR="00761D47" w:rsidRPr="00096EBF">
        <w:rPr>
          <w:rFonts w:ascii="Arial" w:hAnsi="Arial" w:cs="Arial"/>
        </w:rPr>
        <w:t>Calculating Horizontal ratios for 2019 as well as 2020</w:t>
      </w:r>
      <w:bookmarkEnd w:id="3"/>
      <w:bookmarkEnd w:id="4"/>
    </w:p>
    <w:p w14:paraId="21A15D0F" w14:textId="1B225A99" w:rsidR="001E2212" w:rsidRPr="00096EBF" w:rsidRDefault="001E2212" w:rsidP="001E2212">
      <w:pPr>
        <w:rPr>
          <w:rFonts w:ascii="Arial" w:hAnsi="Arial" w:cs="Arial"/>
          <w:b/>
          <w:bCs/>
          <w:color w:val="232A31"/>
          <w:sz w:val="22"/>
        </w:rPr>
      </w:pPr>
      <w:r w:rsidRPr="00096EBF">
        <w:rPr>
          <w:rFonts w:ascii="Arial" w:hAnsi="Arial" w:cs="Arial"/>
          <w:b/>
          <w:bCs/>
        </w:rPr>
        <w:t xml:space="preserve">Income statement 2019 &amp; 2020 of </w:t>
      </w:r>
      <w:r w:rsidRPr="00096EBF">
        <w:rPr>
          <w:rFonts w:ascii="Arial" w:hAnsi="Arial" w:cs="Arial"/>
          <w:b/>
          <w:bCs/>
          <w:color w:val="232A31"/>
          <w:sz w:val="22"/>
        </w:rPr>
        <w:t>Hilton Worldwide Holdings Inc. (HLT)</w:t>
      </w:r>
    </w:p>
    <w:tbl>
      <w:tblPr>
        <w:tblW w:w="8800" w:type="dxa"/>
        <w:tblBorders>
          <w:top w:val="single" w:sz="12" w:space="0" w:color="5B9BD5" w:themeColor="accent5"/>
          <w:left w:val="single" w:sz="12" w:space="0" w:color="5B9BD5" w:themeColor="accent5"/>
          <w:bottom w:val="single" w:sz="12" w:space="0" w:color="5B9BD5" w:themeColor="accent5"/>
          <w:right w:val="single" w:sz="12" w:space="0" w:color="5B9BD5" w:themeColor="accent5"/>
          <w:insideH w:val="single" w:sz="12" w:space="0" w:color="5B9BD5" w:themeColor="accent5"/>
          <w:insideV w:val="single" w:sz="12" w:space="0" w:color="5B9BD5" w:themeColor="accent5"/>
        </w:tblBorders>
        <w:tblLook w:val="04A0" w:firstRow="1" w:lastRow="0" w:firstColumn="1" w:lastColumn="0" w:noHBand="0" w:noVBand="1"/>
      </w:tblPr>
      <w:tblGrid>
        <w:gridCol w:w="2853"/>
        <w:gridCol w:w="1438"/>
        <w:gridCol w:w="1915"/>
        <w:gridCol w:w="1279"/>
        <w:gridCol w:w="1315"/>
      </w:tblGrid>
      <w:tr w:rsidR="001E2212" w:rsidRPr="00096EBF" w14:paraId="5D5C307A" w14:textId="77777777" w:rsidTr="00290B67">
        <w:trPr>
          <w:trHeight w:val="288"/>
        </w:trPr>
        <w:tc>
          <w:tcPr>
            <w:tcW w:w="2853" w:type="dxa"/>
            <w:shd w:val="clear" w:color="auto" w:fill="D9E2F3" w:themeFill="accent1" w:themeFillTint="33"/>
            <w:noWrap/>
            <w:vAlign w:val="bottom"/>
            <w:hideMark/>
          </w:tcPr>
          <w:p w14:paraId="406B7E18" w14:textId="77777777" w:rsidR="001E2212" w:rsidRPr="00096EBF" w:rsidRDefault="001E2212" w:rsidP="008B51F2">
            <w:pPr>
              <w:jc w:val="center"/>
              <w:rPr>
                <w:rFonts w:ascii="Arial" w:hAnsi="Arial" w:cs="Arial"/>
                <w:b/>
                <w:bCs/>
                <w:szCs w:val="24"/>
              </w:rPr>
            </w:pPr>
          </w:p>
        </w:tc>
        <w:tc>
          <w:tcPr>
            <w:tcW w:w="1438" w:type="dxa"/>
            <w:shd w:val="clear" w:color="auto" w:fill="D9E2F3" w:themeFill="accent1" w:themeFillTint="33"/>
            <w:noWrap/>
            <w:vAlign w:val="bottom"/>
            <w:hideMark/>
          </w:tcPr>
          <w:p w14:paraId="76D122AD" w14:textId="77777777" w:rsidR="001E2212" w:rsidRPr="00096EBF" w:rsidRDefault="001E2212" w:rsidP="008B51F2">
            <w:pPr>
              <w:jc w:val="center"/>
              <w:rPr>
                <w:rFonts w:ascii="Arial" w:hAnsi="Arial" w:cs="Arial"/>
                <w:b/>
                <w:bCs/>
                <w:color w:val="000000"/>
                <w:sz w:val="22"/>
              </w:rPr>
            </w:pPr>
            <w:r w:rsidRPr="00096EBF">
              <w:rPr>
                <w:rFonts w:ascii="Arial" w:hAnsi="Arial" w:cs="Arial"/>
                <w:b/>
                <w:bCs/>
                <w:color w:val="000000"/>
                <w:sz w:val="22"/>
              </w:rPr>
              <w:t>2020</w:t>
            </w:r>
          </w:p>
        </w:tc>
        <w:tc>
          <w:tcPr>
            <w:tcW w:w="1915" w:type="dxa"/>
            <w:shd w:val="clear" w:color="auto" w:fill="D9E2F3" w:themeFill="accent1" w:themeFillTint="33"/>
            <w:noWrap/>
            <w:vAlign w:val="bottom"/>
            <w:hideMark/>
          </w:tcPr>
          <w:p w14:paraId="502C3D62" w14:textId="77777777" w:rsidR="001E2212" w:rsidRPr="00096EBF" w:rsidRDefault="001E2212" w:rsidP="008B51F2">
            <w:pPr>
              <w:jc w:val="center"/>
              <w:rPr>
                <w:rFonts w:ascii="Arial" w:hAnsi="Arial" w:cs="Arial"/>
                <w:b/>
                <w:bCs/>
                <w:color w:val="000000"/>
                <w:sz w:val="22"/>
              </w:rPr>
            </w:pPr>
            <w:r w:rsidRPr="00096EBF">
              <w:rPr>
                <w:rFonts w:ascii="Arial" w:hAnsi="Arial" w:cs="Arial"/>
                <w:b/>
                <w:bCs/>
                <w:color w:val="000000"/>
                <w:sz w:val="22"/>
              </w:rPr>
              <w:t>2019</w:t>
            </w:r>
          </w:p>
        </w:tc>
        <w:tc>
          <w:tcPr>
            <w:tcW w:w="1279" w:type="dxa"/>
            <w:shd w:val="clear" w:color="auto" w:fill="D9E2F3" w:themeFill="accent1" w:themeFillTint="33"/>
            <w:noWrap/>
            <w:vAlign w:val="bottom"/>
            <w:hideMark/>
          </w:tcPr>
          <w:p w14:paraId="4C3BC03A" w14:textId="77777777" w:rsidR="001E2212" w:rsidRPr="00096EBF" w:rsidRDefault="001E2212" w:rsidP="008B51F2">
            <w:pPr>
              <w:jc w:val="center"/>
              <w:rPr>
                <w:rFonts w:ascii="Arial" w:hAnsi="Arial" w:cs="Arial"/>
                <w:b/>
                <w:bCs/>
                <w:color w:val="000000"/>
                <w:sz w:val="22"/>
              </w:rPr>
            </w:pPr>
            <w:r w:rsidRPr="00096EBF">
              <w:rPr>
                <w:rFonts w:ascii="Arial" w:hAnsi="Arial" w:cs="Arial"/>
                <w:b/>
                <w:bCs/>
                <w:color w:val="000000"/>
                <w:sz w:val="22"/>
              </w:rPr>
              <w:t>Change</w:t>
            </w:r>
          </w:p>
        </w:tc>
        <w:tc>
          <w:tcPr>
            <w:tcW w:w="1315" w:type="dxa"/>
            <w:shd w:val="clear" w:color="auto" w:fill="D9E2F3" w:themeFill="accent1" w:themeFillTint="33"/>
            <w:noWrap/>
            <w:vAlign w:val="bottom"/>
            <w:hideMark/>
          </w:tcPr>
          <w:p w14:paraId="2B4A52EE" w14:textId="77777777" w:rsidR="001E2212" w:rsidRPr="00096EBF" w:rsidRDefault="001E2212" w:rsidP="008B51F2">
            <w:pPr>
              <w:jc w:val="center"/>
              <w:rPr>
                <w:rFonts w:ascii="Arial" w:hAnsi="Arial" w:cs="Arial"/>
                <w:b/>
                <w:bCs/>
                <w:color w:val="000000"/>
                <w:sz w:val="22"/>
              </w:rPr>
            </w:pPr>
            <w:r w:rsidRPr="00096EBF">
              <w:rPr>
                <w:rFonts w:ascii="Arial" w:hAnsi="Arial" w:cs="Arial"/>
                <w:b/>
                <w:bCs/>
                <w:color w:val="000000"/>
                <w:sz w:val="22"/>
              </w:rPr>
              <w:t>% Change</w:t>
            </w:r>
          </w:p>
        </w:tc>
      </w:tr>
      <w:tr w:rsidR="001E2212" w:rsidRPr="00096EBF" w14:paraId="7933804A" w14:textId="77777777" w:rsidTr="00290B67">
        <w:trPr>
          <w:trHeight w:val="288"/>
        </w:trPr>
        <w:tc>
          <w:tcPr>
            <w:tcW w:w="2853" w:type="dxa"/>
            <w:shd w:val="clear" w:color="auto" w:fill="FFFFFF" w:themeFill="background1"/>
            <w:noWrap/>
            <w:vAlign w:val="bottom"/>
            <w:hideMark/>
          </w:tcPr>
          <w:p w14:paraId="34BCA51E"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Fiscal Year Ends</w:t>
            </w:r>
          </w:p>
        </w:tc>
        <w:tc>
          <w:tcPr>
            <w:tcW w:w="1438" w:type="dxa"/>
            <w:shd w:val="clear" w:color="auto" w:fill="auto"/>
            <w:noWrap/>
            <w:vAlign w:val="bottom"/>
            <w:hideMark/>
          </w:tcPr>
          <w:p w14:paraId="44173FD9"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31/12/2020</w:t>
            </w:r>
          </w:p>
        </w:tc>
        <w:tc>
          <w:tcPr>
            <w:tcW w:w="1915" w:type="dxa"/>
            <w:shd w:val="clear" w:color="auto" w:fill="auto"/>
            <w:noWrap/>
            <w:vAlign w:val="bottom"/>
            <w:hideMark/>
          </w:tcPr>
          <w:p w14:paraId="4AF93A67"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31/12/2019</w:t>
            </w:r>
          </w:p>
        </w:tc>
        <w:tc>
          <w:tcPr>
            <w:tcW w:w="1279" w:type="dxa"/>
            <w:shd w:val="clear" w:color="auto" w:fill="auto"/>
            <w:noWrap/>
            <w:vAlign w:val="bottom"/>
          </w:tcPr>
          <w:p w14:paraId="564261B3" w14:textId="77777777" w:rsidR="001E2212" w:rsidRPr="00096EBF" w:rsidRDefault="001E2212" w:rsidP="008B51F2">
            <w:pPr>
              <w:jc w:val="right"/>
              <w:rPr>
                <w:rFonts w:ascii="Arial" w:hAnsi="Arial" w:cs="Arial"/>
                <w:color w:val="000000"/>
                <w:sz w:val="22"/>
              </w:rPr>
            </w:pPr>
          </w:p>
        </w:tc>
        <w:tc>
          <w:tcPr>
            <w:tcW w:w="1315" w:type="dxa"/>
            <w:shd w:val="clear" w:color="auto" w:fill="auto"/>
            <w:noWrap/>
            <w:vAlign w:val="bottom"/>
          </w:tcPr>
          <w:p w14:paraId="4BAAF987" w14:textId="77777777" w:rsidR="001E2212" w:rsidRPr="00096EBF" w:rsidRDefault="001E2212" w:rsidP="008B51F2">
            <w:pPr>
              <w:rPr>
                <w:rFonts w:ascii="Arial" w:hAnsi="Arial" w:cs="Arial"/>
              </w:rPr>
            </w:pPr>
          </w:p>
        </w:tc>
      </w:tr>
      <w:tr w:rsidR="001E2212" w:rsidRPr="00096EBF" w14:paraId="1F2EBA49" w14:textId="77777777" w:rsidTr="00290B67">
        <w:trPr>
          <w:trHeight w:val="288"/>
        </w:trPr>
        <w:tc>
          <w:tcPr>
            <w:tcW w:w="2853" w:type="dxa"/>
            <w:shd w:val="clear" w:color="auto" w:fill="FFFFFF" w:themeFill="background1"/>
            <w:noWrap/>
            <w:vAlign w:val="bottom"/>
            <w:hideMark/>
          </w:tcPr>
          <w:p w14:paraId="47CD8554"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Sales</w:t>
            </w:r>
          </w:p>
        </w:tc>
        <w:tc>
          <w:tcPr>
            <w:tcW w:w="1438" w:type="dxa"/>
            <w:shd w:val="clear" w:color="auto" w:fill="auto"/>
            <w:noWrap/>
            <w:vAlign w:val="bottom"/>
            <w:hideMark/>
          </w:tcPr>
          <w:p w14:paraId="3280B777"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4,307,000</w:t>
            </w:r>
          </w:p>
        </w:tc>
        <w:tc>
          <w:tcPr>
            <w:tcW w:w="1915" w:type="dxa"/>
            <w:shd w:val="clear" w:color="auto" w:fill="auto"/>
            <w:noWrap/>
            <w:vAlign w:val="bottom"/>
            <w:hideMark/>
          </w:tcPr>
          <w:p w14:paraId="0F0B22CE"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 xml:space="preserve">9,452,000   </w:t>
            </w:r>
          </w:p>
        </w:tc>
        <w:tc>
          <w:tcPr>
            <w:tcW w:w="1279" w:type="dxa"/>
            <w:shd w:val="clear" w:color="auto" w:fill="auto"/>
            <w:noWrap/>
            <w:vAlign w:val="bottom"/>
            <w:hideMark/>
          </w:tcPr>
          <w:p w14:paraId="3942F2C2"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-5145000</w:t>
            </w:r>
          </w:p>
        </w:tc>
        <w:tc>
          <w:tcPr>
            <w:tcW w:w="1315" w:type="dxa"/>
            <w:shd w:val="clear" w:color="auto" w:fill="auto"/>
            <w:noWrap/>
            <w:vAlign w:val="bottom"/>
            <w:hideMark/>
          </w:tcPr>
          <w:p w14:paraId="5867BF9C" w14:textId="77777777" w:rsidR="001E2212" w:rsidRPr="00096EBF" w:rsidRDefault="001E2212" w:rsidP="008B51F2">
            <w:pPr>
              <w:rPr>
                <w:rFonts w:ascii="Arial" w:hAnsi="Arial" w:cs="Arial"/>
              </w:rPr>
            </w:pPr>
            <w:r w:rsidRPr="00096EBF">
              <w:rPr>
                <w:rFonts w:ascii="Arial" w:hAnsi="Arial" w:cs="Arial"/>
              </w:rPr>
              <w:t>-54.43%</w:t>
            </w:r>
          </w:p>
        </w:tc>
      </w:tr>
      <w:tr w:rsidR="001E2212" w:rsidRPr="00096EBF" w14:paraId="6F8A155A" w14:textId="77777777" w:rsidTr="00290B67">
        <w:trPr>
          <w:trHeight w:val="288"/>
        </w:trPr>
        <w:tc>
          <w:tcPr>
            <w:tcW w:w="2853" w:type="dxa"/>
            <w:shd w:val="clear" w:color="auto" w:fill="FFFFFF" w:themeFill="background1"/>
            <w:noWrap/>
            <w:vAlign w:val="bottom"/>
            <w:hideMark/>
          </w:tcPr>
          <w:p w14:paraId="5EAD4A99"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Cost of goods sold</w:t>
            </w:r>
          </w:p>
        </w:tc>
        <w:tc>
          <w:tcPr>
            <w:tcW w:w="1438" w:type="dxa"/>
            <w:shd w:val="clear" w:color="auto" w:fill="auto"/>
            <w:noWrap/>
            <w:vAlign w:val="bottom"/>
            <w:hideMark/>
          </w:tcPr>
          <w:p w14:paraId="3913C5BF"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3,724,000</w:t>
            </w:r>
          </w:p>
        </w:tc>
        <w:tc>
          <w:tcPr>
            <w:tcW w:w="1915" w:type="dxa"/>
            <w:shd w:val="clear" w:color="auto" w:fill="auto"/>
            <w:noWrap/>
            <w:vAlign w:val="bottom"/>
            <w:hideMark/>
          </w:tcPr>
          <w:p w14:paraId="4695F505"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7,017,000</w:t>
            </w:r>
          </w:p>
        </w:tc>
        <w:tc>
          <w:tcPr>
            <w:tcW w:w="1279" w:type="dxa"/>
            <w:shd w:val="clear" w:color="auto" w:fill="auto"/>
            <w:noWrap/>
            <w:vAlign w:val="bottom"/>
            <w:hideMark/>
          </w:tcPr>
          <w:p w14:paraId="01E5A958"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-3293000</w:t>
            </w:r>
          </w:p>
        </w:tc>
        <w:tc>
          <w:tcPr>
            <w:tcW w:w="1315" w:type="dxa"/>
            <w:shd w:val="clear" w:color="auto" w:fill="auto"/>
            <w:noWrap/>
            <w:vAlign w:val="bottom"/>
            <w:hideMark/>
          </w:tcPr>
          <w:p w14:paraId="629E575A" w14:textId="77777777" w:rsidR="001E2212" w:rsidRPr="00096EBF" w:rsidRDefault="001E2212" w:rsidP="008B51F2">
            <w:pPr>
              <w:rPr>
                <w:rFonts w:ascii="Arial" w:hAnsi="Arial" w:cs="Arial"/>
              </w:rPr>
            </w:pPr>
            <w:r w:rsidRPr="00096EBF">
              <w:rPr>
                <w:rFonts w:ascii="Arial" w:hAnsi="Arial" w:cs="Arial"/>
              </w:rPr>
              <w:t>-46.93%</w:t>
            </w:r>
          </w:p>
        </w:tc>
      </w:tr>
      <w:tr w:rsidR="001E2212" w:rsidRPr="00096EBF" w14:paraId="76B9CC19" w14:textId="77777777" w:rsidTr="00290B67">
        <w:trPr>
          <w:trHeight w:val="288"/>
        </w:trPr>
        <w:tc>
          <w:tcPr>
            <w:tcW w:w="2853" w:type="dxa"/>
            <w:shd w:val="clear" w:color="auto" w:fill="FFFFFF" w:themeFill="background1"/>
            <w:noWrap/>
            <w:vAlign w:val="bottom"/>
            <w:hideMark/>
          </w:tcPr>
          <w:p w14:paraId="1F61FFA1"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Gross profit</w:t>
            </w:r>
          </w:p>
        </w:tc>
        <w:tc>
          <w:tcPr>
            <w:tcW w:w="1438" w:type="dxa"/>
            <w:shd w:val="clear" w:color="auto" w:fill="auto"/>
            <w:noWrap/>
            <w:vAlign w:val="bottom"/>
            <w:hideMark/>
          </w:tcPr>
          <w:p w14:paraId="0D98868D"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583,000</w:t>
            </w:r>
          </w:p>
        </w:tc>
        <w:tc>
          <w:tcPr>
            <w:tcW w:w="1915" w:type="dxa"/>
            <w:shd w:val="clear" w:color="auto" w:fill="auto"/>
            <w:noWrap/>
            <w:vAlign w:val="bottom"/>
            <w:hideMark/>
          </w:tcPr>
          <w:p w14:paraId="2F6E9881"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2,435,000</w:t>
            </w:r>
          </w:p>
        </w:tc>
        <w:tc>
          <w:tcPr>
            <w:tcW w:w="1279" w:type="dxa"/>
            <w:shd w:val="clear" w:color="auto" w:fill="auto"/>
            <w:noWrap/>
            <w:vAlign w:val="bottom"/>
            <w:hideMark/>
          </w:tcPr>
          <w:p w14:paraId="40DD5911"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-185,2000</w:t>
            </w:r>
          </w:p>
        </w:tc>
        <w:tc>
          <w:tcPr>
            <w:tcW w:w="1315" w:type="dxa"/>
            <w:shd w:val="clear" w:color="auto" w:fill="auto"/>
            <w:noWrap/>
            <w:vAlign w:val="bottom"/>
            <w:hideMark/>
          </w:tcPr>
          <w:p w14:paraId="06AEB09B" w14:textId="77777777" w:rsidR="001E2212" w:rsidRPr="00096EBF" w:rsidRDefault="001E2212" w:rsidP="008B51F2">
            <w:pPr>
              <w:rPr>
                <w:rFonts w:ascii="Arial" w:hAnsi="Arial" w:cs="Arial"/>
              </w:rPr>
            </w:pPr>
            <w:r w:rsidRPr="00096EBF">
              <w:rPr>
                <w:rFonts w:ascii="Arial" w:hAnsi="Arial" w:cs="Arial"/>
              </w:rPr>
              <w:t>-76.06%</w:t>
            </w:r>
          </w:p>
        </w:tc>
      </w:tr>
      <w:tr w:rsidR="001E2212" w:rsidRPr="00096EBF" w14:paraId="43BA8B29" w14:textId="77777777" w:rsidTr="00290B67">
        <w:trPr>
          <w:trHeight w:val="288"/>
        </w:trPr>
        <w:tc>
          <w:tcPr>
            <w:tcW w:w="2853" w:type="dxa"/>
            <w:shd w:val="clear" w:color="auto" w:fill="FFFFFF" w:themeFill="background1"/>
            <w:noWrap/>
            <w:vAlign w:val="bottom"/>
            <w:hideMark/>
          </w:tcPr>
          <w:p w14:paraId="50D7D836"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Operating Expenses</w:t>
            </w:r>
          </w:p>
        </w:tc>
        <w:tc>
          <w:tcPr>
            <w:tcW w:w="1438" w:type="dxa"/>
            <w:shd w:val="clear" w:color="auto" w:fill="auto"/>
            <w:noWrap/>
            <w:vAlign w:val="bottom"/>
            <w:hideMark/>
          </w:tcPr>
          <w:p w14:paraId="038E76A6"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702,000</w:t>
            </w:r>
          </w:p>
        </w:tc>
        <w:tc>
          <w:tcPr>
            <w:tcW w:w="1915" w:type="dxa"/>
            <w:shd w:val="clear" w:color="auto" w:fill="auto"/>
            <w:noWrap/>
            <w:vAlign w:val="bottom"/>
            <w:hideMark/>
          </w:tcPr>
          <w:p w14:paraId="0B6A686B"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859,000</w:t>
            </w:r>
          </w:p>
        </w:tc>
        <w:tc>
          <w:tcPr>
            <w:tcW w:w="1279" w:type="dxa"/>
            <w:shd w:val="clear" w:color="auto" w:fill="auto"/>
            <w:noWrap/>
            <w:vAlign w:val="bottom"/>
            <w:hideMark/>
          </w:tcPr>
          <w:p w14:paraId="0C34877F"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-157,000</w:t>
            </w:r>
          </w:p>
        </w:tc>
        <w:tc>
          <w:tcPr>
            <w:tcW w:w="1315" w:type="dxa"/>
            <w:shd w:val="clear" w:color="auto" w:fill="auto"/>
            <w:noWrap/>
            <w:vAlign w:val="bottom"/>
            <w:hideMark/>
          </w:tcPr>
          <w:p w14:paraId="563ED692" w14:textId="77777777" w:rsidR="001E2212" w:rsidRPr="00096EBF" w:rsidRDefault="001E2212" w:rsidP="008B51F2">
            <w:pPr>
              <w:rPr>
                <w:rFonts w:ascii="Arial" w:hAnsi="Arial" w:cs="Arial"/>
              </w:rPr>
            </w:pPr>
            <w:r w:rsidRPr="00096EBF">
              <w:rPr>
                <w:rFonts w:ascii="Arial" w:hAnsi="Arial" w:cs="Arial"/>
              </w:rPr>
              <w:t>-18.28%</w:t>
            </w:r>
          </w:p>
        </w:tc>
      </w:tr>
      <w:tr w:rsidR="001E2212" w:rsidRPr="00096EBF" w14:paraId="33EBCBE8" w14:textId="77777777" w:rsidTr="00290B67">
        <w:trPr>
          <w:trHeight w:val="288"/>
        </w:trPr>
        <w:tc>
          <w:tcPr>
            <w:tcW w:w="2853" w:type="dxa"/>
            <w:shd w:val="clear" w:color="auto" w:fill="FFFFFF" w:themeFill="background1"/>
            <w:noWrap/>
            <w:vAlign w:val="bottom"/>
            <w:hideMark/>
          </w:tcPr>
          <w:p w14:paraId="667981DA"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Operating income</w:t>
            </w:r>
          </w:p>
        </w:tc>
        <w:tc>
          <w:tcPr>
            <w:tcW w:w="1438" w:type="dxa"/>
            <w:shd w:val="clear" w:color="auto" w:fill="auto"/>
            <w:noWrap/>
            <w:vAlign w:val="bottom"/>
            <w:hideMark/>
          </w:tcPr>
          <w:p w14:paraId="5E777FDB"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-119,000</w:t>
            </w:r>
          </w:p>
        </w:tc>
        <w:tc>
          <w:tcPr>
            <w:tcW w:w="1915" w:type="dxa"/>
            <w:shd w:val="clear" w:color="auto" w:fill="auto"/>
            <w:noWrap/>
            <w:vAlign w:val="bottom"/>
            <w:hideMark/>
          </w:tcPr>
          <w:p w14:paraId="2970D179"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1,576,000</w:t>
            </w:r>
          </w:p>
        </w:tc>
        <w:tc>
          <w:tcPr>
            <w:tcW w:w="1279" w:type="dxa"/>
            <w:shd w:val="clear" w:color="auto" w:fill="auto"/>
            <w:noWrap/>
            <w:vAlign w:val="bottom"/>
            <w:hideMark/>
          </w:tcPr>
          <w:p w14:paraId="6820CB6C"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-169,5000</w:t>
            </w:r>
          </w:p>
        </w:tc>
        <w:tc>
          <w:tcPr>
            <w:tcW w:w="1315" w:type="dxa"/>
            <w:shd w:val="clear" w:color="auto" w:fill="auto"/>
            <w:noWrap/>
            <w:vAlign w:val="bottom"/>
            <w:hideMark/>
          </w:tcPr>
          <w:p w14:paraId="4D28DE7A" w14:textId="77777777" w:rsidR="001E2212" w:rsidRPr="00096EBF" w:rsidRDefault="001E2212" w:rsidP="008B51F2">
            <w:pPr>
              <w:rPr>
                <w:rFonts w:ascii="Arial" w:hAnsi="Arial" w:cs="Arial"/>
              </w:rPr>
            </w:pPr>
            <w:r w:rsidRPr="00096EBF">
              <w:rPr>
                <w:rFonts w:ascii="Arial" w:hAnsi="Arial" w:cs="Arial"/>
              </w:rPr>
              <w:t>-107.55%</w:t>
            </w:r>
          </w:p>
        </w:tc>
      </w:tr>
      <w:tr w:rsidR="001E2212" w:rsidRPr="00096EBF" w14:paraId="0721BC2E" w14:textId="77777777" w:rsidTr="00290B67">
        <w:trPr>
          <w:trHeight w:val="288"/>
        </w:trPr>
        <w:tc>
          <w:tcPr>
            <w:tcW w:w="2853" w:type="dxa"/>
            <w:shd w:val="clear" w:color="auto" w:fill="FFFFFF" w:themeFill="background1"/>
            <w:noWrap/>
            <w:vAlign w:val="bottom"/>
            <w:hideMark/>
          </w:tcPr>
          <w:p w14:paraId="77FA5819"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Interest Expense</w:t>
            </w:r>
          </w:p>
        </w:tc>
        <w:tc>
          <w:tcPr>
            <w:tcW w:w="1438" w:type="dxa"/>
            <w:shd w:val="clear" w:color="auto" w:fill="auto"/>
            <w:noWrap/>
            <w:vAlign w:val="bottom"/>
            <w:hideMark/>
          </w:tcPr>
          <w:p w14:paraId="5A12A899"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429,000</w:t>
            </w:r>
          </w:p>
        </w:tc>
        <w:tc>
          <w:tcPr>
            <w:tcW w:w="1915" w:type="dxa"/>
            <w:shd w:val="clear" w:color="auto" w:fill="auto"/>
            <w:noWrap/>
            <w:vAlign w:val="bottom"/>
            <w:hideMark/>
          </w:tcPr>
          <w:p w14:paraId="18DAD69E"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414,000</w:t>
            </w:r>
          </w:p>
        </w:tc>
        <w:tc>
          <w:tcPr>
            <w:tcW w:w="1279" w:type="dxa"/>
            <w:shd w:val="clear" w:color="auto" w:fill="auto"/>
            <w:noWrap/>
            <w:vAlign w:val="bottom"/>
            <w:hideMark/>
          </w:tcPr>
          <w:p w14:paraId="1E68277E"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15,000</w:t>
            </w:r>
          </w:p>
        </w:tc>
        <w:tc>
          <w:tcPr>
            <w:tcW w:w="1315" w:type="dxa"/>
            <w:shd w:val="clear" w:color="auto" w:fill="auto"/>
            <w:noWrap/>
            <w:vAlign w:val="bottom"/>
            <w:hideMark/>
          </w:tcPr>
          <w:p w14:paraId="1CBFDA2D" w14:textId="77777777" w:rsidR="001E2212" w:rsidRPr="00096EBF" w:rsidRDefault="001E2212" w:rsidP="008B51F2">
            <w:pPr>
              <w:rPr>
                <w:rFonts w:ascii="Arial" w:hAnsi="Arial" w:cs="Arial"/>
              </w:rPr>
            </w:pPr>
            <w:r w:rsidRPr="00096EBF">
              <w:rPr>
                <w:rFonts w:ascii="Arial" w:hAnsi="Arial" w:cs="Arial"/>
              </w:rPr>
              <w:t>3.62%</w:t>
            </w:r>
          </w:p>
        </w:tc>
      </w:tr>
      <w:tr w:rsidR="001E2212" w:rsidRPr="00096EBF" w14:paraId="352E6A0D" w14:textId="77777777" w:rsidTr="00290B67">
        <w:trPr>
          <w:trHeight w:val="288"/>
        </w:trPr>
        <w:tc>
          <w:tcPr>
            <w:tcW w:w="2853" w:type="dxa"/>
            <w:shd w:val="clear" w:color="auto" w:fill="FFFFFF" w:themeFill="background1"/>
            <w:noWrap/>
            <w:vAlign w:val="bottom"/>
            <w:hideMark/>
          </w:tcPr>
          <w:p w14:paraId="343CDD4B"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 xml:space="preserve">Total Other income/ expenses net </w:t>
            </w:r>
          </w:p>
        </w:tc>
        <w:tc>
          <w:tcPr>
            <w:tcW w:w="1438" w:type="dxa"/>
            <w:shd w:val="clear" w:color="auto" w:fill="auto"/>
            <w:noWrap/>
            <w:vAlign w:val="bottom"/>
            <w:hideMark/>
          </w:tcPr>
          <w:p w14:paraId="1E026302"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-376,000</w:t>
            </w:r>
          </w:p>
        </w:tc>
        <w:tc>
          <w:tcPr>
            <w:tcW w:w="1915" w:type="dxa"/>
            <w:shd w:val="clear" w:color="auto" w:fill="auto"/>
            <w:noWrap/>
            <w:vAlign w:val="bottom"/>
            <w:hideMark/>
          </w:tcPr>
          <w:p w14:paraId="5C9D189E"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82,000</w:t>
            </w:r>
          </w:p>
        </w:tc>
        <w:tc>
          <w:tcPr>
            <w:tcW w:w="1279" w:type="dxa"/>
            <w:shd w:val="clear" w:color="auto" w:fill="auto"/>
            <w:noWrap/>
            <w:vAlign w:val="bottom"/>
            <w:hideMark/>
          </w:tcPr>
          <w:p w14:paraId="11C65DE3"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-458,000</w:t>
            </w:r>
          </w:p>
        </w:tc>
        <w:tc>
          <w:tcPr>
            <w:tcW w:w="1315" w:type="dxa"/>
            <w:shd w:val="clear" w:color="auto" w:fill="auto"/>
            <w:noWrap/>
            <w:vAlign w:val="bottom"/>
            <w:hideMark/>
          </w:tcPr>
          <w:p w14:paraId="020C83F1" w14:textId="77777777" w:rsidR="001E2212" w:rsidRPr="00096EBF" w:rsidRDefault="001E2212" w:rsidP="008B51F2">
            <w:pPr>
              <w:rPr>
                <w:rFonts w:ascii="Arial" w:hAnsi="Arial" w:cs="Arial"/>
              </w:rPr>
            </w:pPr>
            <w:r w:rsidRPr="00096EBF">
              <w:rPr>
                <w:rFonts w:ascii="Arial" w:hAnsi="Arial" w:cs="Arial"/>
              </w:rPr>
              <w:t>-558.54%</w:t>
            </w:r>
          </w:p>
        </w:tc>
      </w:tr>
      <w:tr w:rsidR="001E2212" w:rsidRPr="00096EBF" w14:paraId="1F966B62" w14:textId="77777777" w:rsidTr="00290B67">
        <w:trPr>
          <w:trHeight w:val="288"/>
        </w:trPr>
        <w:tc>
          <w:tcPr>
            <w:tcW w:w="2853" w:type="dxa"/>
            <w:shd w:val="clear" w:color="auto" w:fill="FFFFFF" w:themeFill="background1"/>
            <w:noWrap/>
            <w:vAlign w:val="bottom"/>
            <w:hideMark/>
          </w:tcPr>
          <w:p w14:paraId="50A742BA"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Income before taxes</w:t>
            </w:r>
          </w:p>
        </w:tc>
        <w:tc>
          <w:tcPr>
            <w:tcW w:w="1438" w:type="dxa"/>
            <w:shd w:val="clear" w:color="auto" w:fill="auto"/>
            <w:noWrap/>
            <w:vAlign w:val="bottom"/>
            <w:hideMark/>
          </w:tcPr>
          <w:p w14:paraId="3BB7A76C"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-924,000</w:t>
            </w:r>
          </w:p>
        </w:tc>
        <w:tc>
          <w:tcPr>
            <w:tcW w:w="1915" w:type="dxa"/>
            <w:shd w:val="clear" w:color="auto" w:fill="auto"/>
            <w:noWrap/>
            <w:vAlign w:val="bottom"/>
            <w:hideMark/>
          </w:tcPr>
          <w:p w14:paraId="0F9EA983"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1,244,000</w:t>
            </w:r>
          </w:p>
        </w:tc>
        <w:tc>
          <w:tcPr>
            <w:tcW w:w="1279" w:type="dxa"/>
            <w:shd w:val="clear" w:color="auto" w:fill="auto"/>
            <w:noWrap/>
            <w:vAlign w:val="bottom"/>
            <w:hideMark/>
          </w:tcPr>
          <w:p w14:paraId="54D9C0CF"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-2168000</w:t>
            </w:r>
          </w:p>
        </w:tc>
        <w:tc>
          <w:tcPr>
            <w:tcW w:w="1315" w:type="dxa"/>
            <w:shd w:val="clear" w:color="auto" w:fill="auto"/>
            <w:noWrap/>
            <w:vAlign w:val="bottom"/>
            <w:hideMark/>
          </w:tcPr>
          <w:p w14:paraId="40C6A435" w14:textId="77777777" w:rsidR="001E2212" w:rsidRPr="00096EBF" w:rsidRDefault="001E2212" w:rsidP="008B51F2">
            <w:pPr>
              <w:rPr>
                <w:rFonts w:ascii="Arial" w:hAnsi="Arial" w:cs="Arial"/>
              </w:rPr>
            </w:pPr>
            <w:r w:rsidRPr="00096EBF">
              <w:rPr>
                <w:rFonts w:ascii="Arial" w:hAnsi="Arial" w:cs="Arial"/>
              </w:rPr>
              <w:t>-174.28%</w:t>
            </w:r>
          </w:p>
        </w:tc>
      </w:tr>
      <w:tr w:rsidR="001E2212" w:rsidRPr="00096EBF" w14:paraId="4F88EAEB" w14:textId="77777777" w:rsidTr="00290B67">
        <w:trPr>
          <w:trHeight w:val="288"/>
        </w:trPr>
        <w:tc>
          <w:tcPr>
            <w:tcW w:w="2853" w:type="dxa"/>
            <w:shd w:val="clear" w:color="auto" w:fill="FFFFFF" w:themeFill="background1"/>
            <w:noWrap/>
            <w:vAlign w:val="bottom"/>
            <w:hideMark/>
          </w:tcPr>
          <w:p w14:paraId="68A2582E" w14:textId="77777777" w:rsidR="001E2212" w:rsidRPr="00096EBF" w:rsidRDefault="001E2212" w:rsidP="008B51F2">
            <w:pPr>
              <w:rPr>
                <w:rFonts w:ascii="Arial" w:hAnsi="Arial" w:cs="Arial"/>
                <w:b/>
                <w:bCs/>
                <w:color w:val="000000"/>
                <w:sz w:val="22"/>
              </w:rPr>
            </w:pPr>
            <w:r w:rsidRPr="00096EBF">
              <w:rPr>
                <w:rFonts w:ascii="Arial" w:hAnsi="Arial" w:cs="Arial"/>
                <w:b/>
                <w:bCs/>
                <w:color w:val="000000"/>
                <w:sz w:val="22"/>
              </w:rPr>
              <w:t>Net income</w:t>
            </w:r>
          </w:p>
        </w:tc>
        <w:tc>
          <w:tcPr>
            <w:tcW w:w="1438" w:type="dxa"/>
            <w:shd w:val="clear" w:color="auto" w:fill="auto"/>
            <w:noWrap/>
            <w:vAlign w:val="bottom"/>
            <w:hideMark/>
          </w:tcPr>
          <w:p w14:paraId="371DC4CA"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-715,000</w:t>
            </w:r>
          </w:p>
        </w:tc>
        <w:tc>
          <w:tcPr>
            <w:tcW w:w="1915" w:type="dxa"/>
            <w:shd w:val="clear" w:color="auto" w:fill="auto"/>
            <w:noWrap/>
            <w:vAlign w:val="bottom"/>
            <w:hideMark/>
          </w:tcPr>
          <w:p w14:paraId="0C133853"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881,000</w:t>
            </w:r>
          </w:p>
        </w:tc>
        <w:tc>
          <w:tcPr>
            <w:tcW w:w="1279" w:type="dxa"/>
            <w:shd w:val="clear" w:color="auto" w:fill="auto"/>
            <w:noWrap/>
            <w:vAlign w:val="bottom"/>
            <w:hideMark/>
          </w:tcPr>
          <w:p w14:paraId="586491CE" w14:textId="77777777" w:rsidR="001E2212" w:rsidRPr="00096EBF" w:rsidRDefault="001E2212" w:rsidP="008B51F2">
            <w:pPr>
              <w:jc w:val="right"/>
              <w:rPr>
                <w:rFonts w:ascii="Arial" w:hAnsi="Arial" w:cs="Arial"/>
                <w:color w:val="000000"/>
                <w:sz w:val="22"/>
              </w:rPr>
            </w:pPr>
            <w:r w:rsidRPr="00096EBF">
              <w:rPr>
                <w:rFonts w:ascii="Arial" w:hAnsi="Arial" w:cs="Arial"/>
                <w:color w:val="000000"/>
                <w:sz w:val="22"/>
              </w:rPr>
              <w:t>-1596000</w:t>
            </w:r>
          </w:p>
        </w:tc>
        <w:tc>
          <w:tcPr>
            <w:tcW w:w="1315" w:type="dxa"/>
            <w:shd w:val="clear" w:color="auto" w:fill="auto"/>
            <w:noWrap/>
            <w:vAlign w:val="bottom"/>
            <w:hideMark/>
          </w:tcPr>
          <w:p w14:paraId="253A7AE2" w14:textId="77777777" w:rsidR="001E2212" w:rsidRPr="00096EBF" w:rsidRDefault="001E2212" w:rsidP="008B51F2">
            <w:pPr>
              <w:rPr>
                <w:rFonts w:ascii="Arial" w:hAnsi="Arial" w:cs="Arial"/>
              </w:rPr>
            </w:pPr>
            <w:r w:rsidRPr="00096EBF">
              <w:rPr>
                <w:rFonts w:ascii="Arial" w:hAnsi="Arial" w:cs="Arial"/>
              </w:rPr>
              <w:t>-181.16%</w:t>
            </w:r>
          </w:p>
        </w:tc>
      </w:tr>
    </w:tbl>
    <w:p w14:paraId="0FFA6DA9" w14:textId="6B9BB6C9" w:rsidR="001E2212" w:rsidRPr="00096EBF" w:rsidRDefault="001E2212" w:rsidP="001E2212">
      <w:pPr>
        <w:rPr>
          <w:rFonts w:ascii="Arial" w:hAnsi="Arial" w:cs="Arial"/>
          <w:b/>
          <w:bCs/>
          <w:color w:val="232A31"/>
          <w:sz w:val="22"/>
        </w:rPr>
      </w:pPr>
      <w:r w:rsidRPr="00096EBF">
        <w:rPr>
          <w:rFonts w:ascii="Arial" w:hAnsi="Arial" w:cs="Arial"/>
          <w:b/>
          <w:bCs/>
        </w:rPr>
        <w:t xml:space="preserve">Balance Sheet 2019 &amp; 2020 of </w:t>
      </w:r>
      <w:r w:rsidRPr="00096EBF">
        <w:rPr>
          <w:rFonts w:ascii="Arial" w:hAnsi="Arial" w:cs="Arial"/>
          <w:b/>
          <w:bCs/>
          <w:color w:val="232A31"/>
          <w:sz w:val="22"/>
        </w:rPr>
        <w:t>Hilton Worldwide Holdings Inc. (HLT)</w:t>
      </w:r>
    </w:p>
    <w:tbl>
      <w:tblPr>
        <w:tblStyle w:val="GridTable1Light-Accent6"/>
        <w:tblW w:w="859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860"/>
        <w:gridCol w:w="1600"/>
        <w:gridCol w:w="1540"/>
        <w:gridCol w:w="1220"/>
        <w:gridCol w:w="1375"/>
      </w:tblGrid>
      <w:tr w:rsidR="00290B67" w:rsidRPr="00096EBF" w14:paraId="6E5ECD31" w14:textId="77777777" w:rsidTr="00290B67">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D9E2F3" w:themeFill="accent1" w:themeFillTint="33"/>
            <w:noWrap/>
            <w:hideMark/>
          </w:tcPr>
          <w:p w14:paraId="4AD9A621" w14:textId="77777777" w:rsidR="001E2212" w:rsidRPr="00096EBF" w:rsidRDefault="001E2212" w:rsidP="008B51F2">
            <w:pPr>
              <w:jc w:val="center"/>
              <w:rPr>
                <w:rFonts w:ascii="Arial" w:hAnsi="Arial" w:cs="Arial"/>
                <w:szCs w:val="24"/>
              </w:rPr>
            </w:pPr>
          </w:p>
        </w:tc>
        <w:tc>
          <w:tcPr>
            <w:tcW w:w="1600" w:type="dxa"/>
            <w:shd w:val="clear" w:color="auto" w:fill="D9E2F3" w:themeFill="accent1" w:themeFillTint="33"/>
            <w:noWrap/>
            <w:hideMark/>
          </w:tcPr>
          <w:p w14:paraId="1AC7194E" w14:textId="77777777" w:rsidR="001E2212" w:rsidRPr="00096EBF" w:rsidRDefault="001E2212" w:rsidP="008B51F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2020</w:t>
            </w:r>
          </w:p>
        </w:tc>
        <w:tc>
          <w:tcPr>
            <w:tcW w:w="1540" w:type="dxa"/>
            <w:shd w:val="clear" w:color="auto" w:fill="D9E2F3" w:themeFill="accent1" w:themeFillTint="33"/>
            <w:noWrap/>
            <w:hideMark/>
          </w:tcPr>
          <w:p w14:paraId="63228C97" w14:textId="77777777" w:rsidR="001E2212" w:rsidRPr="00096EBF" w:rsidRDefault="001E2212" w:rsidP="008B51F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2019</w:t>
            </w:r>
          </w:p>
        </w:tc>
        <w:tc>
          <w:tcPr>
            <w:tcW w:w="1220" w:type="dxa"/>
            <w:shd w:val="clear" w:color="auto" w:fill="D9E2F3" w:themeFill="accent1" w:themeFillTint="33"/>
            <w:noWrap/>
            <w:hideMark/>
          </w:tcPr>
          <w:p w14:paraId="3F787318" w14:textId="77777777" w:rsidR="001E2212" w:rsidRPr="00096EBF" w:rsidRDefault="001E2212" w:rsidP="008B51F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Change</w:t>
            </w:r>
          </w:p>
        </w:tc>
        <w:tc>
          <w:tcPr>
            <w:tcW w:w="1375" w:type="dxa"/>
            <w:shd w:val="clear" w:color="auto" w:fill="D9E2F3" w:themeFill="accent1" w:themeFillTint="33"/>
            <w:noWrap/>
            <w:hideMark/>
          </w:tcPr>
          <w:p w14:paraId="0AE42B53" w14:textId="77777777" w:rsidR="001E2212" w:rsidRPr="00096EBF" w:rsidRDefault="001E2212" w:rsidP="008B51F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    Change</w:t>
            </w:r>
          </w:p>
        </w:tc>
      </w:tr>
      <w:tr w:rsidR="001E2212" w:rsidRPr="00096EBF" w14:paraId="2BEA871E"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45F2B9ED"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Current Asset</w:t>
            </w:r>
          </w:p>
        </w:tc>
        <w:tc>
          <w:tcPr>
            <w:tcW w:w="1600" w:type="dxa"/>
            <w:noWrap/>
            <w:hideMark/>
          </w:tcPr>
          <w:p w14:paraId="0BD38CF2"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4,202,000</w:t>
            </w:r>
          </w:p>
        </w:tc>
        <w:tc>
          <w:tcPr>
            <w:tcW w:w="1540" w:type="dxa"/>
            <w:noWrap/>
            <w:hideMark/>
          </w:tcPr>
          <w:p w14:paraId="4DD2DD34"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2,093,000</w:t>
            </w:r>
          </w:p>
        </w:tc>
        <w:tc>
          <w:tcPr>
            <w:tcW w:w="1220" w:type="dxa"/>
            <w:noWrap/>
            <w:hideMark/>
          </w:tcPr>
          <w:p w14:paraId="2D7D040F"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-167,2800</w:t>
            </w:r>
          </w:p>
        </w:tc>
        <w:tc>
          <w:tcPr>
            <w:tcW w:w="1375" w:type="dxa"/>
            <w:noWrap/>
            <w:hideMark/>
          </w:tcPr>
          <w:p w14:paraId="30118A11"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-79.92%</w:t>
            </w:r>
          </w:p>
        </w:tc>
      </w:tr>
      <w:tr w:rsidR="001E2212" w:rsidRPr="00096EBF" w14:paraId="19588EC9"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5F4E54AD"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Non-Current Asset</w:t>
            </w:r>
          </w:p>
        </w:tc>
        <w:tc>
          <w:tcPr>
            <w:tcW w:w="1600" w:type="dxa"/>
            <w:noWrap/>
            <w:hideMark/>
          </w:tcPr>
          <w:p w14:paraId="5B135553"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15,810,000</w:t>
            </w:r>
          </w:p>
        </w:tc>
        <w:tc>
          <w:tcPr>
            <w:tcW w:w="1540" w:type="dxa"/>
            <w:noWrap/>
            <w:hideMark/>
          </w:tcPr>
          <w:p w14:paraId="0FBD4140"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12,558,000</w:t>
            </w:r>
          </w:p>
        </w:tc>
        <w:tc>
          <w:tcPr>
            <w:tcW w:w="1220" w:type="dxa"/>
            <w:noWrap/>
            <w:hideMark/>
          </w:tcPr>
          <w:p w14:paraId="6A7CDD89"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325,2000</w:t>
            </w:r>
          </w:p>
        </w:tc>
        <w:tc>
          <w:tcPr>
            <w:tcW w:w="1375" w:type="dxa"/>
            <w:noWrap/>
            <w:hideMark/>
          </w:tcPr>
          <w:p w14:paraId="534BADD4"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25.89%</w:t>
            </w:r>
          </w:p>
        </w:tc>
      </w:tr>
      <w:tr w:rsidR="001E2212" w:rsidRPr="00096EBF" w14:paraId="71BF6BD6"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756A76A7"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Total Asset</w:t>
            </w:r>
          </w:p>
        </w:tc>
        <w:tc>
          <w:tcPr>
            <w:tcW w:w="1600" w:type="dxa"/>
            <w:noWrap/>
            <w:hideMark/>
          </w:tcPr>
          <w:p w14:paraId="1056E95F"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16,755,000</w:t>
            </w:r>
          </w:p>
        </w:tc>
        <w:tc>
          <w:tcPr>
            <w:tcW w:w="1540" w:type="dxa"/>
            <w:noWrap/>
            <w:hideMark/>
          </w:tcPr>
          <w:p w14:paraId="714388FF"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14,957,000</w:t>
            </w:r>
          </w:p>
        </w:tc>
        <w:tc>
          <w:tcPr>
            <w:tcW w:w="1220" w:type="dxa"/>
            <w:noWrap/>
            <w:hideMark/>
          </w:tcPr>
          <w:p w14:paraId="46EB9446"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17,98,000</w:t>
            </w:r>
          </w:p>
        </w:tc>
        <w:tc>
          <w:tcPr>
            <w:tcW w:w="1375" w:type="dxa"/>
            <w:noWrap/>
            <w:hideMark/>
          </w:tcPr>
          <w:p w14:paraId="56A42229"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12.02%</w:t>
            </w:r>
          </w:p>
        </w:tc>
      </w:tr>
      <w:tr w:rsidR="001E2212" w:rsidRPr="00096EBF" w14:paraId="4993B15C"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5798F4FD"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Current Liabilities</w:t>
            </w:r>
          </w:p>
        </w:tc>
        <w:tc>
          <w:tcPr>
            <w:tcW w:w="1600" w:type="dxa"/>
            <w:noWrap/>
            <w:hideMark/>
          </w:tcPr>
          <w:p w14:paraId="21FB7EAE"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2,431,000</w:t>
            </w:r>
          </w:p>
        </w:tc>
        <w:tc>
          <w:tcPr>
            <w:tcW w:w="1540" w:type="dxa"/>
            <w:noWrap/>
            <w:hideMark/>
          </w:tcPr>
          <w:p w14:paraId="48379AD9"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2,871,000</w:t>
            </w:r>
          </w:p>
        </w:tc>
        <w:tc>
          <w:tcPr>
            <w:tcW w:w="1220" w:type="dxa"/>
            <w:noWrap/>
            <w:hideMark/>
          </w:tcPr>
          <w:p w14:paraId="183C552B"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-440000</w:t>
            </w:r>
          </w:p>
        </w:tc>
        <w:tc>
          <w:tcPr>
            <w:tcW w:w="1375" w:type="dxa"/>
            <w:noWrap/>
            <w:hideMark/>
          </w:tcPr>
          <w:p w14:paraId="5D9C2065"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-15.33%</w:t>
            </w:r>
          </w:p>
        </w:tc>
      </w:tr>
      <w:tr w:rsidR="001E2212" w:rsidRPr="00096EBF" w14:paraId="259C7C78"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4207FB20"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Non-current Liabilities</w:t>
            </w:r>
          </w:p>
        </w:tc>
        <w:tc>
          <w:tcPr>
            <w:tcW w:w="1600" w:type="dxa"/>
            <w:noWrap/>
            <w:hideMark/>
          </w:tcPr>
          <w:p w14:paraId="4739D942"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15,810,000</w:t>
            </w:r>
          </w:p>
        </w:tc>
        <w:tc>
          <w:tcPr>
            <w:tcW w:w="1540" w:type="dxa"/>
            <w:noWrap/>
            <w:hideMark/>
          </w:tcPr>
          <w:p w14:paraId="1150A2A1"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12,558,000</w:t>
            </w:r>
          </w:p>
        </w:tc>
        <w:tc>
          <w:tcPr>
            <w:tcW w:w="1220" w:type="dxa"/>
            <w:noWrap/>
            <w:hideMark/>
          </w:tcPr>
          <w:p w14:paraId="5D7BB24F"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325,2000</w:t>
            </w:r>
          </w:p>
        </w:tc>
        <w:tc>
          <w:tcPr>
            <w:tcW w:w="1375" w:type="dxa"/>
            <w:noWrap/>
            <w:hideMark/>
          </w:tcPr>
          <w:p w14:paraId="6D7466E6"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25.89%</w:t>
            </w:r>
          </w:p>
        </w:tc>
      </w:tr>
      <w:tr w:rsidR="001E2212" w:rsidRPr="00096EBF" w14:paraId="4B85885A"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7F5FC542"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Total Liabilities</w:t>
            </w:r>
          </w:p>
        </w:tc>
        <w:tc>
          <w:tcPr>
            <w:tcW w:w="1600" w:type="dxa"/>
            <w:noWrap/>
            <w:hideMark/>
          </w:tcPr>
          <w:p w14:paraId="181F61A0"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18,241,000</w:t>
            </w:r>
          </w:p>
        </w:tc>
        <w:tc>
          <w:tcPr>
            <w:tcW w:w="1540" w:type="dxa"/>
            <w:noWrap/>
            <w:hideMark/>
          </w:tcPr>
          <w:p w14:paraId="06F0F94A"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15,429,000</w:t>
            </w:r>
          </w:p>
        </w:tc>
        <w:tc>
          <w:tcPr>
            <w:tcW w:w="1220" w:type="dxa"/>
            <w:noWrap/>
            <w:hideMark/>
          </w:tcPr>
          <w:p w14:paraId="65984E44"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2812000</w:t>
            </w:r>
          </w:p>
        </w:tc>
        <w:tc>
          <w:tcPr>
            <w:tcW w:w="1375" w:type="dxa"/>
            <w:noWrap/>
            <w:hideMark/>
          </w:tcPr>
          <w:p w14:paraId="1EFF845C"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18.23%</w:t>
            </w:r>
          </w:p>
        </w:tc>
      </w:tr>
      <w:tr w:rsidR="001E2212" w:rsidRPr="00096EBF" w14:paraId="6372DF0D"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5CCCB0BF"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Common Stock</w:t>
            </w:r>
          </w:p>
        </w:tc>
        <w:tc>
          <w:tcPr>
            <w:tcW w:w="1600" w:type="dxa"/>
            <w:noWrap/>
            <w:hideMark/>
          </w:tcPr>
          <w:p w14:paraId="33A5773D"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3,000</w:t>
            </w:r>
          </w:p>
        </w:tc>
        <w:tc>
          <w:tcPr>
            <w:tcW w:w="1540" w:type="dxa"/>
            <w:noWrap/>
            <w:hideMark/>
          </w:tcPr>
          <w:p w14:paraId="6DDC2F8E"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3,000</w:t>
            </w:r>
          </w:p>
        </w:tc>
        <w:tc>
          <w:tcPr>
            <w:tcW w:w="1220" w:type="dxa"/>
            <w:noWrap/>
            <w:hideMark/>
          </w:tcPr>
          <w:p w14:paraId="331956F8"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0</w:t>
            </w:r>
          </w:p>
        </w:tc>
        <w:tc>
          <w:tcPr>
            <w:tcW w:w="1375" w:type="dxa"/>
            <w:noWrap/>
            <w:hideMark/>
          </w:tcPr>
          <w:p w14:paraId="6E2A2FA6"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0%</w:t>
            </w:r>
          </w:p>
        </w:tc>
      </w:tr>
      <w:tr w:rsidR="001E2212" w:rsidRPr="00096EBF" w14:paraId="321C0B97"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48E3D75B"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Retained Earnings</w:t>
            </w:r>
          </w:p>
        </w:tc>
        <w:tc>
          <w:tcPr>
            <w:tcW w:w="1600" w:type="dxa"/>
            <w:noWrap/>
            <w:hideMark/>
          </w:tcPr>
          <w:p w14:paraId="67C98B88"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-6,732,000</w:t>
            </w:r>
          </w:p>
        </w:tc>
        <w:tc>
          <w:tcPr>
            <w:tcW w:w="1540" w:type="dxa"/>
            <w:noWrap/>
            <w:hideMark/>
          </w:tcPr>
          <w:p w14:paraId="39FAD991"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-5,965,000</w:t>
            </w:r>
          </w:p>
        </w:tc>
        <w:tc>
          <w:tcPr>
            <w:tcW w:w="1220" w:type="dxa"/>
            <w:noWrap/>
            <w:hideMark/>
          </w:tcPr>
          <w:p w14:paraId="67795E80"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-76,70,00</w:t>
            </w:r>
          </w:p>
        </w:tc>
        <w:tc>
          <w:tcPr>
            <w:tcW w:w="1375" w:type="dxa"/>
            <w:noWrap/>
            <w:hideMark/>
          </w:tcPr>
          <w:p w14:paraId="362B31A3"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12.86%</w:t>
            </w:r>
          </w:p>
        </w:tc>
      </w:tr>
      <w:tr w:rsidR="001E2212" w:rsidRPr="00096EBF" w14:paraId="0E42D5EC"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78F55D5E"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Total Stockholders' Equity</w:t>
            </w:r>
          </w:p>
        </w:tc>
        <w:tc>
          <w:tcPr>
            <w:tcW w:w="1600" w:type="dxa"/>
            <w:noWrap/>
            <w:hideMark/>
          </w:tcPr>
          <w:p w14:paraId="780BE438"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-1,490,000</w:t>
            </w:r>
          </w:p>
        </w:tc>
        <w:tc>
          <w:tcPr>
            <w:tcW w:w="1540" w:type="dxa"/>
            <w:noWrap/>
            <w:hideMark/>
          </w:tcPr>
          <w:p w14:paraId="7B3F28F5"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-482,000</w:t>
            </w:r>
          </w:p>
        </w:tc>
        <w:tc>
          <w:tcPr>
            <w:tcW w:w="1220" w:type="dxa"/>
            <w:noWrap/>
            <w:hideMark/>
          </w:tcPr>
          <w:p w14:paraId="41133F82"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-1008000</w:t>
            </w:r>
          </w:p>
        </w:tc>
        <w:tc>
          <w:tcPr>
            <w:tcW w:w="1375" w:type="dxa"/>
            <w:noWrap/>
            <w:hideMark/>
          </w:tcPr>
          <w:p w14:paraId="1A78257C"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209.13%</w:t>
            </w:r>
          </w:p>
        </w:tc>
      </w:tr>
      <w:tr w:rsidR="001E2212" w:rsidRPr="00096EBF" w14:paraId="296A80F3" w14:textId="77777777" w:rsidTr="00290B67">
        <w:trPr>
          <w:trHeight w:val="288"/>
        </w:trPr>
        <w:tc>
          <w:tcPr>
            <w:cnfStyle w:val="001000000000" w:firstRow="0" w:lastRow="0" w:firstColumn="1" w:lastColumn="0" w:oddVBand="0" w:evenVBand="0" w:oddHBand="0" w:evenHBand="0" w:firstRowFirstColumn="0" w:firstRowLastColumn="0" w:lastRowFirstColumn="0" w:lastRowLastColumn="0"/>
            <w:tcW w:w="2860" w:type="dxa"/>
            <w:shd w:val="clear" w:color="auto" w:fill="FFFFFF" w:themeFill="background1"/>
            <w:noWrap/>
            <w:hideMark/>
          </w:tcPr>
          <w:p w14:paraId="35158A57" w14:textId="77777777" w:rsidR="001E2212" w:rsidRPr="00096EBF" w:rsidRDefault="001E2212" w:rsidP="008B51F2">
            <w:pPr>
              <w:rPr>
                <w:rFonts w:ascii="Arial" w:hAnsi="Arial" w:cs="Arial"/>
                <w:color w:val="000000"/>
                <w:sz w:val="22"/>
              </w:rPr>
            </w:pPr>
            <w:r w:rsidRPr="00096EBF">
              <w:rPr>
                <w:rFonts w:ascii="Arial" w:hAnsi="Arial" w:cs="Arial"/>
                <w:color w:val="000000"/>
                <w:sz w:val="22"/>
              </w:rPr>
              <w:t>Total Liabilities and Stockholder</w:t>
            </w:r>
          </w:p>
        </w:tc>
        <w:tc>
          <w:tcPr>
            <w:tcW w:w="1600" w:type="dxa"/>
            <w:noWrap/>
            <w:hideMark/>
          </w:tcPr>
          <w:p w14:paraId="1668E9A6"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16,755,000</w:t>
            </w:r>
          </w:p>
        </w:tc>
        <w:tc>
          <w:tcPr>
            <w:tcW w:w="1540" w:type="dxa"/>
            <w:noWrap/>
            <w:hideMark/>
          </w:tcPr>
          <w:p w14:paraId="51D84811"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14,957,000</w:t>
            </w:r>
          </w:p>
        </w:tc>
        <w:tc>
          <w:tcPr>
            <w:tcW w:w="1220" w:type="dxa"/>
            <w:noWrap/>
            <w:hideMark/>
          </w:tcPr>
          <w:p w14:paraId="715187F1" w14:textId="77777777" w:rsidR="001E2212" w:rsidRPr="00096EBF" w:rsidRDefault="001E2212" w:rsidP="008B51F2">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rPr>
            </w:pPr>
            <w:r w:rsidRPr="00096EBF">
              <w:rPr>
                <w:rFonts w:ascii="Arial" w:hAnsi="Arial" w:cs="Arial"/>
                <w:color w:val="000000"/>
                <w:sz w:val="22"/>
              </w:rPr>
              <w:t>179,8000</w:t>
            </w:r>
          </w:p>
        </w:tc>
        <w:tc>
          <w:tcPr>
            <w:tcW w:w="1375" w:type="dxa"/>
            <w:noWrap/>
            <w:hideMark/>
          </w:tcPr>
          <w:p w14:paraId="5FD92B99" w14:textId="77777777" w:rsidR="001E2212" w:rsidRPr="00096EBF" w:rsidRDefault="001E2212" w:rsidP="008B51F2">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96EBF">
              <w:rPr>
                <w:rFonts w:ascii="Arial" w:hAnsi="Arial" w:cs="Arial"/>
              </w:rPr>
              <w:t>12.02%</w:t>
            </w:r>
          </w:p>
        </w:tc>
      </w:tr>
    </w:tbl>
    <w:p w14:paraId="4FC03414" w14:textId="77777777" w:rsidR="001E2212" w:rsidRPr="00096EBF" w:rsidRDefault="001E2212" w:rsidP="001E2212">
      <w:pPr>
        <w:rPr>
          <w:rFonts w:ascii="Arial" w:hAnsi="Arial" w:cs="Arial"/>
          <w:lang w:eastAsia="en-GB"/>
        </w:rPr>
      </w:pPr>
    </w:p>
    <w:p w14:paraId="3440B6A2" w14:textId="25AB3E1B" w:rsidR="00761D47" w:rsidRPr="00096EBF" w:rsidRDefault="00761D47" w:rsidP="00761D47">
      <w:pPr>
        <w:pStyle w:val="Heading2"/>
        <w:rPr>
          <w:rFonts w:ascii="Arial" w:hAnsi="Arial" w:cs="Arial"/>
        </w:rPr>
      </w:pPr>
      <w:bookmarkStart w:id="5" w:name="_Toc104151260"/>
      <w:bookmarkStart w:id="6" w:name="_Toc104231686"/>
      <w:r w:rsidRPr="00096EBF">
        <w:rPr>
          <w:rFonts w:ascii="Arial" w:hAnsi="Arial" w:cs="Arial"/>
        </w:rPr>
        <w:lastRenderedPageBreak/>
        <w:t>Ratios analysis of 2019 and 2022</w:t>
      </w:r>
      <w:bookmarkEnd w:id="5"/>
      <w:bookmarkEnd w:id="6"/>
    </w:p>
    <w:p w14:paraId="208F9B71" w14:textId="77777777" w:rsidR="00E56C71" w:rsidRPr="00096EBF" w:rsidRDefault="00E56C71" w:rsidP="00455940">
      <w:pPr>
        <w:rPr>
          <w:rFonts w:ascii="Arial" w:hAnsi="Arial" w:cs="Arial"/>
          <w:b/>
          <w:bCs/>
        </w:rPr>
      </w:pPr>
      <w:r w:rsidRPr="00096EBF">
        <w:rPr>
          <w:rFonts w:ascii="Arial" w:hAnsi="Arial" w:cs="Arial"/>
          <w:b/>
          <w:bCs/>
        </w:rPr>
        <w:t>The profitability ratio of Hilton Worldwide Holdings Inc:</w:t>
      </w:r>
    </w:p>
    <w:p w14:paraId="2592FBC0" w14:textId="741DAF6D" w:rsidR="00E56C71" w:rsidRPr="00096EBF" w:rsidRDefault="00E56C71" w:rsidP="00455940">
      <w:pPr>
        <w:rPr>
          <w:rFonts w:ascii="Arial" w:eastAsiaTheme="minorEastAsia" w:hAnsi="Arial" w:cs="Arial"/>
          <w:b/>
          <w:bCs/>
        </w:rPr>
      </w:pPr>
      <w:r w:rsidRPr="00096EBF">
        <w:rPr>
          <w:rFonts w:ascii="Arial" w:hAnsi="Arial" w:cs="Arial"/>
        </w:rPr>
        <w:t>It is known that,</w:t>
      </w:r>
      <w:r w:rsidRPr="00096EBF">
        <w:rPr>
          <w:rFonts w:ascii="Arial" w:hAnsi="Arial" w:cs="Arial"/>
          <w:b/>
          <w:bCs/>
        </w:rPr>
        <w:t xml:space="preserve"> Gross profit ratio = </w:t>
      </w:r>
      <m:oMath>
        <m:f>
          <m:fPr>
            <m:ctrlPr>
              <w:rPr>
                <w:rFonts w:ascii="Cambria Math" w:hAnsi="Cambria Math" w:cs="Arial"/>
                <w:b/>
                <w:bCs/>
                <w:i/>
              </w:rPr>
            </m:ctrlPr>
          </m:fPr>
          <m:num>
            <m:r>
              <m:rPr>
                <m:sty m:val="bi"/>
              </m:rPr>
              <w:rPr>
                <w:rFonts w:ascii="Cambria Math" w:hAnsi="Cambria Math" w:cs="Arial"/>
              </w:rPr>
              <m:t xml:space="preserve">Gross Profit </m:t>
            </m:r>
          </m:num>
          <m:den>
            <m:r>
              <m:rPr>
                <m:sty m:val="bi"/>
              </m:rPr>
              <w:rPr>
                <w:rFonts w:ascii="Cambria Math" w:hAnsi="Cambria Math" w:cs="Arial"/>
              </w:rPr>
              <m:t>Net Sales</m:t>
            </m:r>
          </m:den>
        </m:f>
      </m:oMath>
      <w:r w:rsidRPr="00096EBF">
        <w:rPr>
          <w:rFonts w:ascii="Arial" w:eastAsiaTheme="minorEastAsia" w:hAnsi="Arial" w:cs="Arial"/>
          <w:b/>
          <w:bCs/>
        </w:rPr>
        <w:t xml:space="preserve"> * 100</w:t>
      </w:r>
    </w:p>
    <w:p w14:paraId="0480972E" w14:textId="77777777" w:rsidR="00E56C71" w:rsidRPr="00096EBF" w:rsidRDefault="00E56C71" w:rsidP="00E56C71">
      <w:pPr>
        <w:rPr>
          <w:rFonts w:ascii="Arial" w:eastAsiaTheme="minorEastAsia" w:hAnsi="Arial" w:cs="Arial"/>
        </w:rPr>
      </w:pPr>
      <w:r w:rsidRPr="00096EBF">
        <w:rPr>
          <w:rFonts w:ascii="Arial" w:hAnsi="Arial" w:cs="Arial"/>
          <w:b/>
          <w:bCs/>
        </w:rPr>
        <w:t>For 2019</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583,000</m:t>
            </m:r>
            <m:r>
              <w:rPr>
                <w:rFonts w:ascii="Cambria Math" w:hAnsi="Cambria Math" w:cs="Arial"/>
              </w:rPr>
              <m:t xml:space="preserve"> </m:t>
            </m:r>
          </m:num>
          <m:den>
            <m:r>
              <m:rPr>
                <m:sty m:val="p"/>
              </m:rPr>
              <w:rPr>
                <w:rFonts w:ascii="Cambria Math" w:hAnsi="Cambria Math" w:cs="Arial"/>
              </w:rPr>
              <m:t>4,307,000</m:t>
            </m:r>
          </m:den>
        </m:f>
      </m:oMath>
      <w:r w:rsidRPr="00096EBF">
        <w:rPr>
          <w:rFonts w:ascii="Arial" w:eastAsiaTheme="minorEastAsia" w:hAnsi="Arial" w:cs="Arial"/>
        </w:rPr>
        <w:t xml:space="preserve"> * 100</w:t>
      </w:r>
    </w:p>
    <w:p w14:paraId="12C2CF1C" w14:textId="77777777" w:rsidR="00E56C71" w:rsidRPr="00096EBF" w:rsidRDefault="00E56C71" w:rsidP="00E56C71">
      <w:pPr>
        <w:rPr>
          <w:rFonts w:ascii="Arial" w:eastAsiaTheme="minorEastAsia" w:hAnsi="Arial" w:cs="Arial"/>
        </w:rPr>
      </w:pPr>
      <w:r w:rsidRPr="00096EBF">
        <w:rPr>
          <w:rFonts w:ascii="Arial" w:eastAsiaTheme="minorEastAsia" w:hAnsi="Arial" w:cs="Arial"/>
        </w:rPr>
        <w:t>= 13.54%</w:t>
      </w:r>
    </w:p>
    <w:p w14:paraId="1E98C14F" w14:textId="77777777" w:rsidR="00E56C71" w:rsidRPr="00096EBF" w:rsidRDefault="00E56C71" w:rsidP="00E56C71">
      <w:pPr>
        <w:rPr>
          <w:rFonts w:ascii="Arial" w:hAnsi="Arial" w:cs="Arial"/>
        </w:rPr>
      </w:pPr>
      <w:r w:rsidRPr="00096EBF">
        <w:rPr>
          <w:rFonts w:ascii="Arial" w:eastAsiaTheme="minorEastAsia" w:hAnsi="Arial" w:cs="Arial"/>
        </w:rPr>
        <w:t xml:space="preserve">Again, </w:t>
      </w:r>
      <w:r w:rsidRPr="00096EBF">
        <w:rPr>
          <w:rFonts w:ascii="Arial" w:hAnsi="Arial" w:cs="Arial"/>
          <w:b/>
          <w:bCs/>
        </w:rPr>
        <w:t>For 2020</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2,435,000</m:t>
            </m:r>
            <m:r>
              <w:rPr>
                <w:rFonts w:ascii="Cambria Math" w:hAnsi="Cambria Math" w:cs="Arial"/>
              </w:rPr>
              <m:t xml:space="preserve"> </m:t>
            </m:r>
          </m:num>
          <m:den>
            <m:r>
              <m:rPr>
                <m:sty m:val="p"/>
              </m:rPr>
              <w:rPr>
                <w:rFonts w:ascii="Cambria Math" w:hAnsi="Cambria Math" w:cs="Arial"/>
              </w:rPr>
              <m:t>9,452,000</m:t>
            </m:r>
          </m:den>
        </m:f>
      </m:oMath>
      <w:r w:rsidRPr="00096EBF">
        <w:rPr>
          <w:rFonts w:ascii="Arial" w:eastAsiaTheme="minorEastAsia" w:hAnsi="Arial" w:cs="Arial"/>
        </w:rPr>
        <w:t xml:space="preserve"> * 100</w:t>
      </w:r>
    </w:p>
    <w:p w14:paraId="79951FC9" w14:textId="287C14D0" w:rsidR="00E56C71" w:rsidRPr="00096EBF" w:rsidRDefault="00E56C71" w:rsidP="00E56C71">
      <w:pPr>
        <w:rPr>
          <w:rFonts w:ascii="Arial" w:eastAsiaTheme="minorEastAsia" w:hAnsi="Arial" w:cs="Arial"/>
        </w:rPr>
      </w:pPr>
      <w:r w:rsidRPr="00096EBF">
        <w:rPr>
          <w:rFonts w:ascii="Arial" w:hAnsi="Arial" w:cs="Arial"/>
        </w:rPr>
        <w:t xml:space="preserve">= </w:t>
      </w:r>
      <w:r w:rsidRPr="00096EBF">
        <w:rPr>
          <w:rFonts w:ascii="Arial" w:eastAsiaTheme="minorEastAsia" w:hAnsi="Arial" w:cs="Arial"/>
        </w:rPr>
        <w:t>25.76%</w:t>
      </w:r>
    </w:p>
    <w:p w14:paraId="3B372FED" w14:textId="141DE757" w:rsidR="00E56C71" w:rsidRPr="00096EBF" w:rsidRDefault="00E56C71" w:rsidP="00E56C71">
      <w:pPr>
        <w:rPr>
          <w:rFonts w:ascii="Arial" w:eastAsiaTheme="minorEastAsia" w:hAnsi="Arial" w:cs="Arial"/>
          <w:b/>
          <w:bCs/>
        </w:rPr>
      </w:pPr>
      <w:r w:rsidRPr="00096EBF">
        <w:rPr>
          <w:rFonts w:ascii="Arial" w:eastAsiaTheme="minorEastAsia" w:hAnsi="Arial" w:cs="Arial"/>
        </w:rPr>
        <w:t xml:space="preserve">Furthermore, </w:t>
      </w:r>
      <w:r w:rsidRPr="00096EBF">
        <w:rPr>
          <w:rFonts w:ascii="Arial" w:hAnsi="Arial" w:cs="Arial"/>
          <w:b/>
          <w:bCs/>
        </w:rPr>
        <w:t xml:space="preserve">Net profit ratio = </w:t>
      </w:r>
      <m:oMath>
        <m:f>
          <m:fPr>
            <m:ctrlPr>
              <w:rPr>
                <w:rFonts w:ascii="Cambria Math" w:hAnsi="Cambria Math" w:cs="Arial"/>
                <w:b/>
                <w:bCs/>
                <w:i/>
              </w:rPr>
            </m:ctrlPr>
          </m:fPr>
          <m:num>
            <m:r>
              <m:rPr>
                <m:sty m:val="bi"/>
              </m:rPr>
              <w:rPr>
                <w:rFonts w:ascii="Cambria Math" w:hAnsi="Cambria Math" w:cs="Arial"/>
              </w:rPr>
              <m:t xml:space="preserve">Net Profit </m:t>
            </m:r>
          </m:num>
          <m:den>
            <m:r>
              <m:rPr>
                <m:sty m:val="bi"/>
              </m:rPr>
              <w:rPr>
                <w:rFonts w:ascii="Cambria Math" w:hAnsi="Cambria Math" w:cs="Arial"/>
              </w:rPr>
              <m:t>Net Sales</m:t>
            </m:r>
          </m:den>
        </m:f>
      </m:oMath>
      <w:r w:rsidRPr="00096EBF">
        <w:rPr>
          <w:rFonts w:ascii="Arial" w:eastAsiaTheme="minorEastAsia" w:hAnsi="Arial" w:cs="Arial"/>
          <w:b/>
          <w:bCs/>
        </w:rPr>
        <w:t xml:space="preserve"> * 100</w:t>
      </w:r>
    </w:p>
    <w:p w14:paraId="16EAD33B" w14:textId="77777777" w:rsidR="00E56C71" w:rsidRPr="00096EBF" w:rsidRDefault="00E56C71" w:rsidP="00E56C71">
      <w:pPr>
        <w:rPr>
          <w:rFonts w:ascii="Arial" w:eastAsiaTheme="minorEastAsia" w:hAnsi="Arial" w:cs="Arial"/>
        </w:rPr>
      </w:pPr>
      <w:r w:rsidRPr="00096EBF">
        <w:rPr>
          <w:rFonts w:ascii="Arial" w:hAnsi="Arial" w:cs="Arial"/>
          <w:b/>
          <w:bCs/>
        </w:rPr>
        <w:t>For 2019</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9,452,000</m:t>
            </m:r>
            <m:r>
              <w:rPr>
                <w:rFonts w:ascii="Cambria Math" w:hAnsi="Cambria Math" w:cs="Arial"/>
              </w:rPr>
              <m:t xml:space="preserve"> </m:t>
            </m:r>
          </m:num>
          <m:den>
            <m:r>
              <m:rPr>
                <m:sty m:val="p"/>
              </m:rPr>
              <w:rPr>
                <w:rFonts w:ascii="Cambria Math" w:hAnsi="Cambria Math" w:cs="Arial"/>
              </w:rPr>
              <m:t>881,000</m:t>
            </m:r>
          </m:den>
        </m:f>
      </m:oMath>
      <w:r w:rsidRPr="00096EBF">
        <w:rPr>
          <w:rFonts w:ascii="Arial" w:eastAsiaTheme="minorEastAsia" w:hAnsi="Arial" w:cs="Arial"/>
        </w:rPr>
        <w:t xml:space="preserve"> * 100</w:t>
      </w:r>
    </w:p>
    <w:p w14:paraId="5A40B45E" w14:textId="1CEF6B0F" w:rsidR="00E56C71" w:rsidRPr="00096EBF" w:rsidRDefault="00E56C71" w:rsidP="00E56C71">
      <w:pPr>
        <w:rPr>
          <w:rFonts w:ascii="Arial" w:hAnsi="Arial" w:cs="Arial"/>
        </w:rPr>
      </w:pPr>
      <w:r w:rsidRPr="00096EBF">
        <w:rPr>
          <w:rFonts w:ascii="Arial" w:hAnsi="Arial" w:cs="Arial"/>
        </w:rPr>
        <w:t>= 10.73%</w:t>
      </w:r>
    </w:p>
    <w:p w14:paraId="3BFFB7C8" w14:textId="77777777" w:rsidR="00E56C71" w:rsidRPr="00096EBF" w:rsidRDefault="00E56C71" w:rsidP="00E56C71">
      <w:pPr>
        <w:rPr>
          <w:rFonts w:ascii="Arial" w:hAnsi="Arial" w:cs="Arial"/>
        </w:rPr>
      </w:pPr>
      <w:r w:rsidRPr="00096EBF">
        <w:rPr>
          <w:rFonts w:ascii="Arial" w:hAnsi="Arial" w:cs="Arial"/>
        </w:rPr>
        <w:t xml:space="preserve">And, </w:t>
      </w:r>
      <w:r w:rsidRPr="00096EBF">
        <w:rPr>
          <w:rFonts w:ascii="Arial" w:hAnsi="Arial" w:cs="Arial"/>
          <w:b/>
          <w:bCs/>
        </w:rPr>
        <w:t>For 2020</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-715,000</m:t>
            </m:r>
            <m:r>
              <w:rPr>
                <w:rFonts w:ascii="Cambria Math" w:hAnsi="Cambria Math" w:cs="Arial"/>
              </w:rPr>
              <m:t xml:space="preserve"> </m:t>
            </m:r>
          </m:num>
          <m:den>
            <m:r>
              <m:rPr>
                <m:sty m:val="p"/>
              </m:rPr>
              <w:rPr>
                <w:rFonts w:ascii="Cambria Math" w:hAnsi="Cambria Math" w:cs="Arial"/>
              </w:rPr>
              <m:t>4,307,000</m:t>
            </m:r>
          </m:den>
        </m:f>
      </m:oMath>
      <w:r w:rsidRPr="00096EBF">
        <w:rPr>
          <w:rFonts w:ascii="Arial" w:eastAsiaTheme="minorEastAsia" w:hAnsi="Arial" w:cs="Arial"/>
        </w:rPr>
        <w:t xml:space="preserve"> * 100</w:t>
      </w:r>
    </w:p>
    <w:p w14:paraId="27EAD380" w14:textId="5C3A45B4" w:rsidR="00E56C71" w:rsidRPr="00096EBF" w:rsidRDefault="00E56C71" w:rsidP="00E56C71">
      <w:pPr>
        <w:rPr>
          <w:rFonts w:ascii="Arial" w:eastAsiaTheme="minorEastAsia" w:hAnsi="Arial" w:cs="Arial"/>
        </w:rPr>
      </w:pPr>
      <w:r w:rsidRPr="00096EBF">
        <w:rPr>
          <w:rFonts w:ascii="Arial" w:hAnsi="Arial" w:cs="Arial"/>
        </w:rPr>
        <w:t>= -16.60%</w:t>
      </w:r>
    </w:p>
    <w:p w14:paraId="0BB944E5" w14:textId="77777777" w:rsidR="00E56C71" w:rsidRPr="00096EBF" w:rsidRDefault="00E56C71" w:rsidP="00E56C71">
      <w:pPr>
        <w:rPr>
          <w:rFonts w:ascii="Arial" w:hAnsi="Arial" w:cs="Arial"/>
          <w:b/>
          <w:bCs/>
        </w:rPr>
      </w:pPr>
      <w:r w:rsidRPr="00096EBF">
        <w:rPr>
          <w:rFonts w:ascii="Arial" w:hAnsi="Arial" w:cs="Arial"/>
          <w:b/>
          <w:bCs/>
        </w:rPr>
        <w:t>The liquidity ratio of Hilton Worldwide Holdings Inc:</w:t>
      </w:r>
    </w:p>
    <w:p w14:paraId="7454E4D7" w14:textId="77777777" w:rsidR="00E56C71" w:rsidRPr="00096EBF" w:rsidRDefault="00E56C71" w:rsidP="00E56C71">
      <w:pPr>
        <w:rPr>
          <w:rFonts w:ascii="Arial" w:eastAsiaTheme="minorEastAsia" w:hAnsi="Arial" w:cs="Arial"/>
          <w:b/>
          <w:bCs/>
        </w:rPr>
      </w:pPr>
      <w:r w:rsidRPr="00096EBF">
        <w:rPr>
          <w:rFonts w:ascii="Arial" w:hAnsi="Arial" w:cs="Arial"/>
        </w:rPr>
        <w:t>It is known that,</w:t>
      </w:r>
      <w:r w:rsidRPr="00096EBF">
        <w:rPr>
          <w:rFonts w:ascii="Arial" w:hAnsi="Arial" w:cs="Arial"/>
          <w:b/>
          <w:bCs/>
        </w:rPr>
        <w:t xml:space="preserve"> Current ratio = </w:t>
      </w:r>
      <m:oMath>
        <m:f>
          <m:fPr>
            <m:ctrlPr>
              <w:rPr>
                <w:rFonts w:ascii="Cambria Math" w:hAnsi="Cambria Math" w:cs="Arial"/>
                <w:b/>
                <w:bCs/>
                <w:i/>
              </w:rPr>
            </m:ctrlPr>
          </m:fPr>
          <m:num>
            <m:r>
              <m:rPr>
                <m:sty m:val="bi"/>
              </m:rPr>
              <w:rPr>
                <w:rFonts w:ascii="Cambria Math" w:hAnsi="Cambria Math" w:cs="Arial"/>
              </w:rPr>
              <m:t>Current Asets</m:t>
            </m:r>
          </m:num>
          <m:den>
            <m:r>
              <m:rPr>
                <m:sty m:val="bi"/>
              </m:rPr>
              <w:rPr>
                <w:rFonts w:ascii="Cambria Math" w:hAnsi="Cambria Math" w:cs="Arial"/>
              </w:rPr>
              <m:t>current Liability</m:t>
            </m:r>
          </m:den>
        </m:f>
      </m:oMath>
      <w:r w:rsidRPr="00096EBF">
        <w:rPr>
          <w:rFonts w:ascii="Arial" w:eastAsiaTheme="minorEastAsia" w:hAnsi="Arial" w:cs="Arial"/>
          <w:b/>
          <w:bCs/>
        </w:rPr>
        <w:t xml:space="preserve"> </w:t>
      </w:r>
    </w:p>
    <w:p w14:paraId="187CC322" w14:textId="77777777" w:rsidR="00E56C71" w:rsidRPr="00096EBF" w:rsidRDefault="00E56C71" w:rsidP="00E56C71">
      <w:pPr>
        <w:rPr>
          <w:rFonts w:ascii="Arial" w:eastAsiaTheme="minorEastAsia" w:hAnsi="Arial" w:cs="Arial"/>
        </w:rPr>
      </w:pPr>
      <w:r w:rsidRPr="00096EBF">
        <w:rPr>
          <w:rFonts w:ascii="Arial" w:hAnsi="Arial" w:cs="Arial"/>
          <w:b/>
          <w:bCs/>
        </w:rPr>
        <w:t>For 2019</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2,093,000</m:t>
            </m:r>
            <m:r>
              <w:rPr>
                <w:rFonts w:ascii="Cambria Math" w:hAnsi="Cambria Math" w:cs="Arial"/>
              </w:rPr>
              <m:t xml:space="preserve"> </m:t>
            </m:r>
          </m:num>
          <m:den>
            <m:r>
              <m:rPr>
                <m:sty m:val="p"/>
              </m:rPr>
              <w:rPr>
                <w:rFonts w:ascii="Cambria Math" w:hAnsi="Cambria Math" w:cs="Arial"/>
              </w:rPr>
              <m:t>2,871,000</m:t>
            </m:r>
          </m:den>
        </m:f>
      </m:oMath>
      <w:r w:rsidRPr="00096EBF">
        <w:rPr>
          <w:rFonts w:ascii="Arial" w:eastAsiaTheme="minorEastAsia" w:hAnsi="Arial" w:cs="Arial"/>
        </w:rPr>
        <w:t xml:space="preserve"> </w:t>
      </w:r>
    </w:p>
    <w:p w14:paraId="2140365D" w14:textId="77777777" w:rsidR="00E56C71" w:rsidRPr="00096EBF" w:rsidRDefault="00E56C71" w:rsidP="00E56C71">
      <w:pPr>
        <w:rPr>
          <w:rFonts w:ascii="Arial" w:eastAsiaTheme="minorEastAsia" w:hAnsi="Arial" w:cs="Arial"/>
        </w:rPr>
      </w:pPr>
      <w:r w:rsidRPr="00096EBF">
        <w:rPr>
          <w:rFonts w:ascii="Arial" w:eastAsiaTheme="minorEastAsia" w:hAnsi="Arial" w:cs="Arial"/>
        </w:rPr>
        <w:t>= 0.73:1</w:t>
      </w:r>
    </w:p>
    <w:p w14:paraId="2770FDA3" w14:textId="77777777" w:rsidR="00E56C71" w:rsidRPr="00096EBF" w:rsidRDefault="00E56C71" w:rsidP="00E56C71">
      <w:pPr>
        <w:rPr>
          <w:rFonts w:ascii="Arial" w:eastAsiaTheme="minorEastAsia" w:hAnsi="Arial" w:cs="Arial"/>
        </w:rPr>
      </w:pPr>
      <w:r w:rsidRPr="00096EBF">
        <w:rPr>
          <w:rFonts w:ascii="Arial" w:eastAsiaTheme="minorEastAsia" w:hAnsi="Arial" w:cs="Arial"/>
        </w:rPr>
        <w:t xml:space="preserve">Again, </w:t>
      </w:r>
      <w:r w:rsidRPr="00096EBF">
        <w:rPr>
          <w:rFonts w:ascii="Arial" w:hAnsi="Arial" w:cs="Arial"/>
          <w:b/>
          <w:bCs/>
        </w:rPr>
        <w:t>For 2020</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4,202,000</m:t>
            </m:r>
          </m:num>
          <m:den>
            <m:r>
              <m:rPr>
                <m:sty m:val="p"/>
              </m:rPr>
              <w:rPr>
                <w:rFonts w:ascii="Cambria Math" w:hAnsi="Cambria Math" w:cs="Arial"/>
              </w:rPr>
              <m:t>2,431,000</m:t>
            </m:r>
          </m:den>
        </m:f>
      </m:oMath>
      <w:r w:rsidRPr="00096EBF">
        <w:rPr>
          <w:rFonts w:ascii="Arial" w:eastAsiaTheme="minorEastAsia" w:hAnsi="Arial" w:cs="Arial"/>
        </w:rPr>
        <w:t xml:space="preserve"> </w:t>
      </w:r>
    </w:p>
    <w:p w14:paraId="07C2C0DD" w14:textId="77777777" w:rsidR="000F7A27" w:rsidRPr="00096EBF" w:rsidRDefault="00E56C71" w:rsidP="00E56C71">
      <w:pPr>
        <w:rPr>
          <w:rFonts w:ascii="Arial" w:hAnsi="Arial" w:cs="Arial"/>
        </w:rPr>
      </w:pPr>
      <w:r w:rsidRPr="00096EBF">
        <w:rPr>
          <w:rFonts w:ascii="Arial" w:hAnsi="Arial" w:cs="Arial"/>
        </w:rPr>
        <w:t>= 1.73:1</w:t>
      </w:r>
    </w:p>
    <w:p w14:paraId="1518602B" w14:textId="23D7EF43" w:rsidR="000F7A27" w:rsidRPr="00096EBF" w:rsidRDefault="000F7A27" w:rsidP="000F7A27">
      <w:pPr>
        <w:rPr>
          <w:rFonts w:ascii="Arial" w:hAnsi="Arial" w:cs="Arial"/>
          <w:b/>
          <w:bCs/>
        </w:rPr>
      </w:pPr>
      <w:bookmarkStart w:id="7" w:name="_Hlk104151712"/>
      <w:r w:rsidRPr="00096EBF">
        <w:rPr>
          <w:rFonts w:ascii="Arial" w:hAnsi="Arial" w:cs="Arial"/>
          <w:b/>
          <w:bCs/>
        </w:rPr>
        <w:t xml:space="preserve">The </w:t>
      </w:r>
      <w:bookmarkEnd w:id="7"/>
      <w:r w:rsidR="005C5C40" w:rsidRPr="00096EBF">
        <w:rPr>
          <w:rFonts w:ascii="Arial" w:hAnsi="Arial" w:cs="Arial"/>
          <w:b/>
          <w:bCs/>
        </w:rPr>
        <w:t>gearing ratio of Hilton Worldwide Holdings Inc:</w:t>
      </w:r>
    </w:p>
    <w:p w14:paraId="6C126E27" w14:textId="77777777" w:rsidR="005C5C40" w:rsidRPr="00096EBF" w:rsidRDefault="005C5C40" w:rsidP="00E56C71">
      <w:pPr>
        <w:rPr>
          <w:rFonts w:ascii="Arial" w:eastAsiaTheme="minorEastAsia" w:hAnsi="Arial" w:cs="Arial"/>
          <w:b/>
          <w:bCs/>
        </w:rPr>
      </w:pPr>
      <w:r w:rsidRPr="00096EBF">
        <w:rPr>
          <w:rFonts w:ascii="Arial" w:hAnsi="Arial" w:cs="Arial"/>
        </w:rPr>
        <w:t xml:space="preserve">It is known that, </w:t>
      </w:r>
      <w:bookmarkStart w:id="8" w:name="_Hlk104151761"/>
      <w:r w:rsidRPr="00096EBF">
        <w:rPr>
          <w:rFonts w:ascii="Arial" w:hAnsi="Arial" w:cs="Arial"/>
          <w:b/>
          <w:bCs/>
        </w:rPr>
        <w:t xml:space="preserve">Gearing ratio = </w:t>
      </w:r>
      <m:oMath>
        <m:f>
          <m:fPr>
            <m:ctrlPr>
              <w:rPr>
                <w:rFonts w:ascii="Cambria Math" w:hAnsi="Cambria Math" w:cs="Arial"/>
                <w:b/>
                <w:bCs/>
                <w:i/>
              </w:rPr>
            </m:ctrlPr>
          </m:fPr>
          <m:num>
            <m:r>
              <m:rPr>
                <m:sty m:val="bi"/>
              </m:rPr>
              <w:rPr>
                <w:rFonts w:ascii="Cambria Math" w:hAnsi="Cambria Math" w:cs="Arial"/>
              </w:rPr>
              <m:t>Total Debt</m:t>
            </m:r>
          </m:num>
          <m:den>
            <m:r>
              <m:rPr>
                <m:sty m:val="bi"/>
              </m:rPr>
              <w:rPr>
                <w:rFonts w:ascii="Cambria Math" w:hAnsi="Cambria Math" w:cs="Arial"/>
              </w:rPr>
              <m:t>Total Assets</m:t>
            </m:r>
          </m:den>
        </m:f>
      </m:oMath>
      <w:r w:rsidRPr="00096EBF">
        <w:rPr>
          <w:rFonts w:ascii="Arial" w:eastAsiaTheme="minorEastAsia" w:hAnsi="Arial" w:cs="Arial"/>
          <w:b/>
          <w:bCs/>
        </w:rPr>
        <w:t xml:space="preserve"> </w:t>
      </w:r>
      <w:bookmarkEnd w:id="8"/>
    </w:p>
    <w:p w14:paraId="71108E17" w14:textId="77777777" w:rsidR="005C5C40" w:rsidRPr="00096EBF" w:rsidRDefault="005C5C40" w:rsidP="005C5C40">
      <w:pPr>
        <w:rPr>
          <w:rFonts w:ascii="Arial" w:eastAsiaTheme="minorEastAsia" w:hAnsi="Arial" w:cs="Arial"/>
        </w:rPr>
      </w:pPr>
      <w:r w:rsidRPr="00096EBF">
        <w:rPr>
          <w:rFonts w:ascii="Arial" w:hAnsi="Arial" w:cs="Arial"/>
          <w:b/>
          <w:bCs/>
        </w:rPr>
        <w:t>For 2019</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15,429,000</m:t>
            </m:r>
          </m:num>
          <m:den>
            <m:r>
              <m:rPr>
                <m:sty m:val="p"/>
              </m:rPr>
              <w:rPr>
                <w:rFonts w:ascii="Cambria Math" w:hAnsi="Cambria Math" w:cs="Arial"/>
              </w:rPr>
              <m:t>14,957,000</m:t>
            </m:r>
          </m:den>
        </m:f>
      </m:oMath>
      <w:r w:rsidRPr="00096EBF">
        <w:rPr>
          <w:rFonts w:ascii="Arial" w:eastAsiaTheme="minorEastAsia" w:hAnsi="Arial" w:cs="Arial"/>
        </w:rPr>
        <w:t xml:space="preserve"> </w:t>
      </w:r>
    </w:p>
    <w:p w14:paraId="00168A85" w14:textId="77777777" w:rsidR="005C5C40" w:rsidRPr="00096EBF" w:rsidRDefault="005C5C40" w:rsidP="005C5C40">
      <w:pPr>
        <w:rPr>
          <w:rFonts w:ascii="Arial" w:eastAsiaTheme="minorEastAsia" w:hAnsi="Arial" w:cs="Arial"/>
        </w:rPr>
      </w:pPr>
      <w:r w:rsidRPr="00096EBF">
        <w:rPr>
          <w:rFonts w:ascii="Arial" w:eastAsiaTheme="minorEastAsia" w:hAnsi="Arial" w:cs="Arial"/>
        </w:rPr>
        <w:t>= 103.16%</w:t>
      </w:r>
    </w:p>
    <w:p w14:paraId="728F17A5" w14:textId="77777777" w:rsidR="005C5C40" w:rsidRPr="00096EBF" w:rsidRDefault="005C5C40" w:rsidP="005C5C40">
      <w:pPr>
        <w:rPr>
          <w:rFonts w:ascii="Arial" w:hAnsi="Arial" w:cs="Arial"/>
        </w:rPr>
      </w:pPr>
      <w:r w:rsidRPr="00096EBF">
        <w:rPr>
          <w:rFonts w:ascii="Arial" w:hAnsi="Arial" w:cs="Arial"/>
        </w:rPr>
        <w:t xml:space="preserve">Again, </w:t>
      </w:r>
      <w:r w:rsidRPr="00096EBF">
        <w:rPr>
          <w:rFonts w:ascii="Arial" w:hAnsi="Arial" w:cs="Arial"/>
          <w:b/>
          <w:bCs/>
        </w:rPr>
        <w:t>For 2020</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18,241,000</m:t>
            </m:r>
            <m:r>
              <w:rPr>
                <w:rFonts w:ascii="Cambria Math" w:hAnsi="Cambria Math" w:cs="Arial"/>
              </w:rPr>
              <m:t xml:space="preserve"> </m:t>
            </m:r>
          </m:num>
          <m:den>
            <m:r>
              <m:rPr>
                <m:sty m:val="p"/>
              </m:rPr>
              <w:rPr>
                <w:rFonts w:ascii="Cambria Math" w:hAnsi="Cambria Math" w:cs="Arial"/>
              </w:rPr>
              <m:t>16,755,000</m:t>
            </m:r>
          </m:den>
        </m:f>
      </m:oMath>
    </w:p>
    <w:p w14:paraId="6F43E831" w14:textId="77777777" w:rsidR="005C5C40" w:rsidRPr="00096EBF" w:rsidRDefault="005C5C40" w:rsidP="005C5C40">
      <w:pPr>
        <w:rPr>
          <w:rFonts w:ascii="Arial" w:hAnsi="Arial" w:cs="Arial"/>
        </w:rPr>
      </w:pPr>
      <w:r w:rsidRPr="00096EBF">
        <w:rPr>
          <w:rFonts w:ascii="Arial" w:hAnsi="Arial" w:cs="Arial"/>
        </w:rPr>
        <w:t>= 108.87%</w:t>
      </w:r>
    </w:p>
    <w:p w14:paraId="13EB748A" w14:textId="77777777" w:rsidR="005C5C40" w:rsidRPr="00096EBF" w:rsidRDefault="005C5C40" w:rsidP="005C5C40">
      <w:pPr>
        <w:rPr>
          <w:rFonts w:ascii="Arial" w:hAnsi="Arial" w:cs="Arial"/>
          <w:b/>
          <w:bCs/>
        </w:rPr>
      </w:pPr>
      <w:r w:rsidRPr="00096EBF">
        <w:rPr>
          <w:rFonts w:ascii="Arial" w:hAnsi="Arial" w:cs="Arial"/>
        </w:rPr>
        <w:t xml:space="preserve">Furthermore, </w:t>
      </w:r>
      <w:r w:rsidRPr="00096EBF">
        <w:rPr>
          <w:rFonts w:ascii="Arial" w:hAnsi="Arial" w:cs="Arial"/>
          <w:b/>
          <w:bCs/>
        </w:rPr>
        <w:t xml:space="preserve">Debt to Equity ratio = </w:t>
      </w:r>
      <m:oMath>
        <m:f>
          <m:fPr>
            <m:ctrlPr>
              <w:rPr>
                <w:rFonts w:ascii="Cambria Math" w:hAnsi="Cambria Math" w:cs="Arial"/>
                <w:b/>
                <w:bCs/>
                <w:i/>
              </w:rPr>
            </m:ctrlPr>
          </m:fPr>
          <m:num>
            <m:r>
              <m:rPr>
                <m:sty m:val="bi"/>
              </m:rPr>
              <w:rPr>
                <w:rFonts w:ascii="Cambria Math" w:hAnsi="Cambria Math" w:cs="Arial"/>
              </w:rPr>
              <m:t>Total Debt</m:t>
            </m:r>
          </m:num>
          <m:den>
            <m:r>
              <m:rPr>
                <m:sty m:val="bi"/>
              </m:rPr>
              <w:rPr>
                <w:rFonts w:ascii="Cambria Math" w:hAnsi="Cambria Math" w:cs="Arial"/>
              </w:rPr>
              <m:t>Shareholder</m:t>
            </m:r>
            <m:sSup>
              <m:sSupPr>
                <m:ctrlPr>
                  <w:rPr>
                    <w:rFonts w:ascii="Cambria Math" w:hAnsi="Cambria Math" w:cs="Arial"/>
                    <w:b/>
                    <w:bCs/>
                    <w:i/>
                  </w:rPr>
                </m:ctrlPr>
              </m:sSupPr>
              <m:e>
                <m:r>
                  <m:rPr>
                    <m:sty m:val="bi"/>
                  </m:rPr>
                  <w:rPr>
                    <w:rFonts w:ascii="Cambria Math" w:hAnsi="Cambria Math" w:cs="Arial"/>
                  </w:rPr>
                  <m:t>s</m:t>
                </m:r>
              </m:e>
              <m:sup>
                <m:r>
                  <m:rPr>
                    <m:sty m:val="bi"/>
                  </m:rPr>
                  <w:rPr>
                    <w:rFonts w:ascii="Cambria Math" w:hAnsi="Cambria Math" w:cs="Arial"/>
                  </w:rPr>
                  <m:t>'</m:t>
                </m:r>
              </m:sup>
            </m:sSup>
            <m:r>
              <m:rPr>
                <m:sty m:val="bi"/>
              </m:rPr>
              <w:rPr>
                <w:rFonts w:ascii="Cambria Math" w:hAnsi="Cambria Math" w:cs="Arial"/>
              </w:rPr>
              <m:t>Equity</m:t>
            </m:r>
          </m:den>
        </m:f>
      </m:oMath>
    </w:p>
    <w:p w14:paraId="71CE0305" w14:textId="77777777" w:rsidR="005C5C40" w:rsidRPr="00096EBF" w:rsidRDefault="005C5C40" w:rsidP="005C5C40">
      <w:pPr>
        <w:rPr>
          <w:rFonts w:ascii="Arial" w:eastAsiaTheme="minorEastAsia" w:hAnsi="Arial" w:cs="Arial"/>
        </w:rPr>
      </w:pPr>
      <w:r w:rsidRPr="00096EBF">
        <w:rPr>
          <w:rFonts w:ascii="Arial" w:hAnsi="Arial" w:cs="Arial"/>
          <w:b/>
          <w:bCs/>
        </w:rPr>
        <w:t>For 2019</w:t>
      </w:r>
      <w:r w:rsidRPr="00096EBF">
        <w:rPr>
          <w:rFonts w:ascii="Arial" w:hAnsi="Arial" w:cs="Arial"/>
        </w:rPr>
        <w:t xml:space="preserve"> = </w:t>
      </w:r>
      <m:oMath>
        <m:f>
          <m:fPr>
            <m:ctrlPr>
              <w:rPr>
                <w:rFonts w:ascii="Cambria Math" w:hAnsi="Cambria Math" w:cs="Arial"/>
                <w:i/>
              </w:rPr>
            </m:ctrlPr>
          </m:fPr>
          <m:num>
            <m:r>
              <m:rPr>
                <m:sty m:val="p"/>
              </m:rPr>
              <w:rPr>
                <w:rFonts w:ascii="Cambria Math" w:hAnsi="Cambria Math" w:cs="Arial"/>
              </w:rPr>
              <m:t>15,429,000</m:t>
            </m:r>
          </m:num>
          <m:den>
            <m:r>
              <m:rPr>
                <m:sty m:val="p"/>
              </m:rPr>
              <w:rPr>
                <w:rFonts w:ascii="Cambria Math" w:hAnsi="Cambria Math" w:cs="Arial"/>
              </w:rPr>
              <m:t xml:space="preserve">14,957,000 </m:t>
            </m:r>
          </m:den>
        </m:f>
      </m:oMath>
      <w:r w:rsidRPr="00096EBF">
        <w:rPr>
          <w:rFonts w:ascii="Arial" w:eastAsiaTheme="minorEastAsia" w:hAnsi="Arial" w:cs="Arial"/>
        </w:rPr>
        <w:t xml:space="preserve"> </w:t>
      </w:r>
    </w:p>
    <w:p w14:paraId="13C9A8CA" w14:textId="77777777" w:rsidR="005C5C40" w:rsidRPr="00096EBF" w:rsidRDefault="005C5C40" w:rsidP="005C5C40">
      <w:pPr>
        <w:rPr>
          <w:rFonts w:ascii="Arial" w:eastAsiaTheme="minorEastAsia" w:hAnsi="Arial" w:cs="Arial"/>
        </w:rPr>
      </w:pPr>
      <w:r w:rsidRPr="00096EBF">
        <w:rPr>
          <w:rFonts w:ascii="Arial" w:eastAsiaTheme="minorEastAsia" w:hAnsi="Arial" w:cs="Arial"/>
        </w:rPr>
        <w:lastRenderedPageBreak/>
        <w:t>= 1.03</w:t>
      </w:r>
    </w:p>
    <w:p w14:paraId="39B11F22" w14:textId="77777777" w:rsidR="005C5C40" w:rsidRPr="00096EBF" w:rsidRDefault="005C5C40" w:rsidP="005C5C40">
      <w:pPr>
        <w:rPr>
          <w:rFonts w:ascii="Arial" w:eastAsiaTheme="minorEastAsia" w:hAnsi="Arial" w:cs="Arial"/>
        </w:rPr>
      </w:pPr>
      <w:r w:rsidRPr="00096EBF">
        <w:rPr>
          <w:rFonts w:ascii="Arial" w:eastAsiaTheme="minorEastAsia" w:hAnsi="Arial" w:cs="Arial"/>
        </w:rPr>
        <w:t xml:space="preserve">And, </w:t>
      </w:r>
      <w:r w:rsidRPr="00096EBF">
        <w:rPr>
          <w:rFonts w:ascii="Arial" w:hAnsi="Arial" w:cs="Arial"/>
          <w:b/>
          <w:bCs/>
        </w:rPr>
        <w:t xml:space="preserve">For 2020 </w:t>
      </w:r>
      <w:r w:rsidRPr="00096EBF">
        <w:rPr>
          <w:rFonts w:ascii="Arial" w:hAnsi="Arial" w:cs="Arial"/>
        </w:rPr>
        <w:t xml:space="preserve">= </w:t>
      </w:r>
      <m:oMath>
        <m:f>
          <m:fPr>
            <m:ctrlPr>
              <w:rPr>
                <w:rFonts w:ascii="Cambria Math" w:hAnsi="Cambria Math" w:cs="Arial"/>
                <w:i/>
              </w:rPr>
            </m:ctrlPr>
          </m:fPr>
          <m:num>
            <m:r>
              <m:rPr>
                <m:sty m:val="p"/>
              </m:rPr>
              <w:rPr>
                <w:rFonts w:ascii="Cambria Math" w:hAnsi="Cambria Math" w:cs="Arial"/>
              </w:rPr>
              <m:t>18,241,000</m:t>
            </m:r>
            <m:r>
              <w:rPr>
                <w:rFonts w:ascii="Cambria Math" w:hAnsi="Cambria Math" w:cs="Arial"/>
              </w:rPr>
              <m:t xml:space="preserve"> </m:t>
            </m:r>
          </m:num>
          <m:den>
            <m:r>
              <m:rPr>
                <m:sty m:val="p"/>
              </m:rPr>
              <w:rPr>
                <w:rFonts w:ascii="Cambria Math" w:hAnsi="Cambria Math" w:cs="Arial"/>
              </w:rPr>
              <m:t>16,755,000</m:t>
            </m:r>
          </m:den>
        </m:f>
      </m:oMath>
    </w:p>
    <w:p w14:paraId="28F981F7" w14:textId="77777777" w:rsidR="005C5C40" w:rsidRPr="00096EBF" w:rsidRDefault="005C5C40" w:rsidP="005C5C40">
      <w:pPr>
        <w:rPr>
          <w:rFonts w:ascii="Arial" w:eastAsiaTheme="minorEastAsia" w:hAnsi="Arial" w:cs="Arial"/>
        </w:rPr>
      </w:pPr>
      <w:r w:rsidRPr="00096EBF">
        <w:rPr>
          <w:rFonts w:ascii="Arial" w:eastAsiaTheme="minorEastAsia" w:hAnsi="Arial" w:cs="Arial"/>
        </w:rPr>
        <w:t>= 1.09</w:t>
      </w:r>
    </w:p>
    <w:p w14:paraId="1D0DE989" w14:textId="77777777" w:rsidR="005C5C40" w:rsidRPr="00096EBF" w:rsidRDefault="005C5C40" w:rsidP="0044672A">
      <w:pPr>
        <w:pStyle w:val="Heading2"/>
        <w:rPr>
          <w:rFonts w:ascii="Arial" w:hAnsi="Arial" w:cs="Arial"/>
        </w:rPr>
      </w:pPr>
      <w:bookmarkStart w:id="9" w:name="_Toc104151261"/>
      <w:bookmarkStart w:id="10" w:name="_Toc104231687"/>
      <w:r w:rsidRPr="00096EBF">
        <w:rPr>
          <w:rFonts w:ascii="Arial" w:hAnsi="Arial" w:cs="Arial"/>
        </w:rPr>
        <w:t>Trend analysis from the ratios</w:t>
      </w:r>
      <w:bookmarkEnd w:id="9"/>
      <w:r w:rsidRPr="00096EBF">
        <w:rPr>
          <w:rFonts w:ascii="Arial" w:hAnsi="Arial" w:cs="Arial"/>
        </w:rPr>
        <w:t xml:space="preserve"> of (HLT)</w:t>
      </w:r>
      <w:bookmarkEnd w:id="10"/>
    </w:p>
    <w:p w14:paraId="25B34377" w14:textId="03A0B1CC" w:rsidR="00C637A6" w:rsidRPr="00096EBF" w:rsidRDefault="0044672A" w:rsidP="00C637A6">
      <w:pPr>
        <w:rPr>
          <w:rFonts w:ascii="Arial" w:hAnsi="Arial" w:cs="Arial"/>
          <w:b/>
          <w:bCs/>
        </w:rPr>
      </w:pPr>
      <w:r w:rsidRPr="00096EBF">
        <w:rPr>
          <w:rFonts w:ascii="Arial" w:hAnsi="Arial" w:cs="Arial"/>
          <w:b/>
          <w:bCs/>
        </w:rPr>
        <w:t>Trend Analysis from</w:t>
      </w:r>
      <w:r w:rsidRPr="00096EBF">
        <w:rPr>
          <w:rFonts w:ascii="Arial" w:hAnsi="Arial" w:cs="Arial"/>
        </w:rPr>
        <w:t xml:space="preserve"> </w:t>
      </w:r>
      <w:r w:rsidR="00C637A6" w:rsidRPr="00096EBF">
        <w:rPr>
          <w:rFonts w:ascii="Arial" w:hAnsi="Arial" w:cs="Arial"/>
          <w:b/>
          <w:bCs/>
        </w:rPr>
        <w:t xml:space="preserve">Profitability Ratio </w:t>
      </w:r>
    </w:p>
    <w:tbl>
      <w:tblPr>
        <w:tblStyle w:val="TableGrid"/>
        <w:tblW w:w="0" w:type="auto"/>
        <w:jc w:val="center"/>
        <w:tblLook w:val="04A0" w:firstRow="1" w:lastRow="0" w:firstColumn="1" w:lastColumn="0" w:noHBand="0" w:noVBand="1"/>
      </w:tblPr>
      <w:tblGrid>
        <w:gridCol w:w="2175"/>
        <w:gridCol w:w="2175"/>
      </w:tblGrid>
      <w:tr w:rsidR="00B50D8E" w:rsidRPr="00096EBF" w14:paraId="19F60224" w14:textId="77777777" w:rsidTr="00290B67">
        <w:trPr>
          <w:trHeight w:val="436"/>
          <w:jc w:val="center"/>
        </w:trPr>
        <w:tc>
          <w:tcPr>
            <w:tcW w:w="2175" w:type="dxa"/>
            <w:shd w:val="clear" w:color="auto" w:fill="B4C6E7" w:themeFill="accent1" w:themeFillTint="66"/>
          </w:tcPr>
          <w:p w14:paraId="18A8EFEF" w14:textId="77777777" w:rsidR="00B50D8E" w:rsidRPr="00096EBF" w:rsidRDefault="00B50D8E" w:rsidP="008B51F2">
            <w:pPr>
              <w:jc w:val="center"/>
              <w:rPr>
                <w:rFonts w:ascii="Arial" w:hAnsi="Arial" w:cs="Arial"/>
                <w:b/>
                <w:bCs/>
              </w:rPr>
            </w:pPr>
            <w:r w:rsidRPr="00096EBF">
              <w:rPr>
                <w:rFonts w:ascii="Arial" w:hAnsi="Arial" w:cs="Arial"/>
                <w:b/>
                <w:bCs/>
              </w:rPr>
              <w:t>Year</w:t>
            </w:r>
          </w:p>
        </w:tc>
        <w:tc>
          <w:tcPr>
            <w:tcW w:w="2175" w:type="dxa"/>
            <w:shd w:val="clear" w:color="auto" w:fill="B4C6E7" w:themeFill="accent1" w:themeFillTint="66"/>
          </w:tcPr>
          <w:p w14:paraId="240975B9" w14:textId="77777777" w:rsidR="00B50D8E" w:rsidRPr="00096EBF" w:rsidRDefault="00B50D8E" w:rsidP="008B51F2">
            <w:pPr>
              <w:jc w:val="center"/>
              <w:rPr>
                <w:rFonts w:ascii="Arial" w:hAnsi="Arial" w:cs="Arial"/>
                <w:b/>
                <w:bCs/>
              </w:rPr>
            </w:pPr>
            <w:r w:rsidRPr="00096EBF">
              <w:rPr>
                <w:rFonts w:ascii="Arial" w:hAnsi="Arial" w:cs="Arial"/>
                <w:b/>
                <w:bCs/>
              </w:rPr>
              <w:t>Gross profit</w:t>
            </w:r>
          </w:p>
        </w:tc>
      </w:tr>
      <w:tr w:rsidR="00B50D8E" w:rsidRPr="00096EBF" w14:paraId="194A1F60" w14:textId="77777777" w:rsidTr="008B51F2">
        <w:trPr>
          <w:trHeight w:val="436"/>
          <w:jc w:val="center"/>
        </w:trPr>
        <w:tc>
          <w:tcPr>
            <w:tcW w:w="2175" w:type="dxa"/>
          </w:tcPr>
          <w:p w14:paraId="0DBCE0F2" w14:textId="77777777" w:rsidR="00B50D8E" w:rsidRPr="00096EBF" w:rsidRDefault="00B50D8E" w:rsidP="008B51F2">
            <w:pPr>
              <w:jc w:val="center"/>
              <w:rPr>
                <w:rFonts w:ascii="Arial" w:hAnsi="Arial" w:cs="Arial"/>
                <w:b/>
                <w:bCs/>
              </w:rPr>
            </w:pPr>
            <w:r w:rsidRPr="00096EBF">
              <w:rPr>
                <w:rFonts w:ascii="Arial" w:hAnsi="Arial" w:cs="Arial"/>
                <w:b/>
                <w:bCs/>
              </w:rPr>
              <w:t>2019</w:t>
            </w:r>
          </w:p>
        </w:tc>
        <w:tc>
          <w:tcPr>
            <w:tcW w:w="2175" w:type="dxa"/>
          </w:tcPr>
          <w:p w14:paraId="220E4A6E" w14:textId="77777777" w:rsidR="00B50D8E" w:rsidRPr="00096EBF" w:rsidRDefault="00B50D8E" w:rsidP="008B51F2">
            <w:pPr>
              <w:jc w:val="center"/>
              <w:rPr>
                <w:rFonts w:ascii="Arial" w:hAnsi="Arial" w:cs="Arial"/>
                <w:b/>
                <w:bCs/>
              </w:rPr>
            </w:pPr>
            <w:r w:rsidRPr="00096EBF">
              <w:rPr>
                <w:rFonts w:ascii="Arial" w:eastAsiaTheme="minorEastAsia" w:hAnsi="Arial" w:cs="Arial"/>
              </w:rPr>
              <w:t>13.54%</w:t>
            </w:r>
          </w:p>
        </w:tc>
      </w:tr>
      <w:tr w:rsidR="00B50D8E" w:rsidRPr="00096EBF" w14:paraId="37015881" w14:textId="77777777" w:rsidTr="008B51F2">
        <w:trPr>
          <w:trHeight w:val="436"/>
          <w:jc w:val="center"/>
        </w:trPr>
        <w:tc>
          <w:tcPr>
            <w:tcW w:w="2175" w:type="dxa"/>
          </w:tcPr>
          <w:p w14:paraId="4BA26F4E" w14:textId="77777777" w:rsidR="00B50D8E" w:rsidRPr="00096EBF" w:rsidRDefault="00B50D8E" w:rsidP="008B51F2">
            <w:pPr>
              <w:jc w:val="center"/>
              <w:rPr>
                <w:rFonts w:ascii="Arial" w:eastAsiaTheme="minorEastAsia" w:hAnsi="Arial" w:cs="Arial"/>
              </w:rPr>
            </w:pPr>
            <w:r w:rsidRPr="00096EBF">
              <w:rPr>
                <w:rFonts w:ascii="Arial" w:hAnsi="Arial" w:cs="Arial"/>
                <w:b/>
                <w:bCs/>
              </w:rPr>
              <w:t>2020</w:t>
            </w:r>
            <w:r w:rsidRPr="00096EBF">
              <w:rPr>
                <w:rFonts w:ascii="Arial" w:eastAsiaTheme="minorEastAsia" w:hAnsi="Arial" w:cs="Arial"/>
              </w:rPr>
              <w:t xml:space="preserve"> </w:t>
            </w:r>
          </w:p>
        </w:tc>
        <w:tc>
          <w:tcPr>
            <w:tcW w:w="2175" w:type="dxa"/>
          </w:tcPr>
          <w:p w14:paraId="3194DD7A" w14:textId="77777777" w:rsidR="00B50D8E" w:rsidRPr="00096EBF" w:rsidRDefault="00B50D8E" w:rsidP="008B51F2">
            <w:pPr>
              <w:jc w:val="center"/>
              <w:rPr>
                <w:rFonts w:ascii="Arial" w:hAnsi="Arial" w:cs="Arial"/>
              </w:rPr>
            </w:pPr>
            <w:r w:rsidRPr="00096EBF">
              <w:rPr>
                <w:rFonts w:ascii="Arial" w:eastAsiaTheme="minorEastAsia" w:hAnsi="Arial" w:cs="Arial"/>
              </w:rPr>
              <w:t>25.76%</w:t>
            </w:r>
          </w:p>
        </w:tc>
      </w:tr>
    </w:tbl>
    <w:p w14:paraId="7E07D260" w14:textId="16198C8A" w:rsidR="005B5063" w:rsidRPr="00096EBF" w:rsidRDefault="005B5063" w:rsidP="005B5063">
      <w:pPr>
        <w:rPr>
          <w:rFonts w:ascii="Arial" w:hAnsi="Arial" w:cs="Arial"/>
        </w:rPr>
      </w:pPr>
      <w:r w:rsidRPr="00096EBF">
        <w:rPr>
          <w:rFonts w:ascii="Arial" w:hAnsi="Arial" w:cs="Arial"/>
        </w:rPr>
        <w:t xml:space="preserve">Business entities will see greater expansion if their profitability ratios improve. As a result, companies should focus on improving their profitability ratios </w:t>
      </w:r>
      <w:r w:rsidR="00462AD2" w:rsidRPr="00096EBF">
        <w:rPr>
          <w:rFonts w:ascii="Arial" w:hAnsi="Arial" w:cs="Arial"/>
        </w:rPr>
        <w:t>to</w:t>
      </w:r>
      <w:r w:rsidRPr="00096EBF">
        <w:rPr>
          <w:rFonts w:ascii="Arial" w:hAnsi="Arial" w:cs="Arial"/>
        </w:rPr>
        <w:t xml:space="preserve"> achieve greater levels of company growth. It was 13.54 percent gross profit in 2019 for the firm as well as 25.76 percent in 2020 for the firm. The larger the gross profit ratio, the more efficient the company will be in running its day-to-day operations. In other words, because gross profit in the given firm is higher in 2020, the company has efficiently managed its cost of products sold that year.</w:t>
      </w:r>
    </w:p>
    <w:tbl>
      <w:tblPr>
        <w:tblStyle w:val="TableGrid"/>
        <w:tblW w:w="0" w:type="auto"/>
        <w:jc w:val="center"/>
        <w:tblLook w:val="04A0" w:firstRow="1" w:lastRow="0" w:firstColumn="1" w:lastColumn="0" w:noHBand="0" w:noVBand="1"/>
      </w:tblPr>
      <w:tblGrid>
        <w:gridCol w:w="2175"/>
        <w:gridCol w:w="2175"/>
      </w:tblGrid>
      <w:tr w:rsidR="00B50D8E" w:rsidRPr="00096EBF" w14:paraId="78E18DB7" w14:textId="77777777" w:rsidTr="00290B67">
        <w:trPr>
          <w:trHeight w:val="436"/>
          <w:jc w:val="center"/>
        </w:trPr>
        <w:tc>
          <w:tcPr>
            <w:tcW w:w="2175" w:type="dxa"/>
            <w:shd w:val="clear" w:color="auto" w:fill="B4C6E7" w:themeFill="accent1" w:themeFillTint="66"/>
          </w:tcPr>
          <w:p w14:paraId="320697EE" w14:textId="77777777" w:rsidR="00B50D8E" w:rsidRPr="00096EBF" w:rsidRDefault="00B50D8E" w:rsidP="008B51F2">
            <w:pPr>
              <w:jc w:val="center"/>
              <w:rPr>
                <w:rFonts w:ascii="Arial" w:hAnsi="Arial" w:cs="Arial"/>
                <w:b/>
                <w:bCs/>
              </w:rPr>
            </w:pPr>
            <w:r w:rsidRPr="00096EBF">
              <w:rPr>
                <w:rFonts w:ascii="Arial" w:hAnsi="Arial" w:cs="Arial"/>
                <w:b/>
                <w:bCs/>
              </w:rPr>
              <w:t>Year</w:t>
            </w:r>
          </w:p>
        </w:tc>
        <w:tc>
          <w:tcPr>
            <w:tcW w:w="2175" w:type="dxa"/>
            <w:shd w:val="clear" w:color="auto" w:fill="B4C6E7" w:themeFill="accent1" w:themeFillTint="66"/>
          </w:tcPr>
          <w:p w14:paraId="41FF4407" w14:textId="77777777" w:rsidR="00B50D8E" w:rsidRPr="00096EBF" w:rsidRDefault="00B50D8E" w:rsidP="008B51F2">
            <w:pPr>
              <w:jc w:val="center"/>
              <w:rPr>
                <w:rFonts w:ascii="Arial" w:hAnsi="Arial" w:cs="Arial"/>
                <w:b/>
                <w:bCs/>
              </w:rPr>
            </w:pPr>
            <w:r w:rsidRPr="00096EBF">
              <w:rPr>
                <w:rFonts w:ascii="Arial" w:hAnsi="Arial" w:cs="Arial"/>
                <w:b/>
                <w:bCs/>
              </w:rPr>
              <w:t>Net profit</w:t>
            </w:r>
          </w:p>
        </w:tc>
      </w:tr>
      <w:tr w:rsidR="00B50D8E" w:rsidRPr="00096EBF" w14:paraId="1C99BD1F" w14:textId="77777777" w:rsidTr="008B51F2">
        <w:trPr>
          <w:trHeight w:val="436"/>
          <w:jc w:val="center"/>
        </w:trPr>
        <w:tc>
          <w:tcPr>
            <w:tcW w:w="2175" w:type="dxa"/>
          </w:tcPr>
          <w:p w14:paraId="0006A922" w14:textId="77777777" w:rsidR="00B50D8E" w:rsidRPr="00096EBF" w:rsidRDefault="00B50D8E" w:rsidP="008B51F2">
            <w:pPr>
              <w:jc w:val="center"/>
              <w:rPr>
                <w:rFonts w:ascii="Arial" w:hAnsi="Arial" w:cs="Arial"/>
                <w:b/>
                <w:bCs/>
              </w:rPr>
            </w:pPr>
            <w:r w:rsidRPr="00096EBF">
              <w:rPr>
                <w:rFonts w:ascii="Arial" w:hAnsi="Arial" w:cs="Arial"/>
                <w:b/>
                <w:bCs/>
              </w:rPr>
              <w:t>2019</w:t>
            </w:r>
          </w:p>
        </w:tc>
        <w:tc>
          <w:tcPr>
            <w:tcW w:w="2175" w:type="dxa"/>
          </w:tcPr>
          <w:p w14:paraId="1A933660" w14:textId="77777777" w:rsidR="00B50D8E" w:rsidRPr="00096EBF" w:rsidRDefault="00B50D8E" w:rsidP="008B51F2">
            <w:pPr>
              <w:jc w:val="center"/>
              <w:rPr>
                <w:rFonts w:ascii="Arial" w:hAnsi="Arial" w:cs="Arial"/>
                <w:b/>
                <w:bCs/>
              </w:rPr>
            </w:pPr>
            <w:r w:rsidRPr="00096EBF">
              <w:rPr>
                <w:rFonts w:ascii="Arial" w:hAnsi="Arial" w:cs="Arial"/>
              </w:rPr>
              <w:t>10.73%</w:t>
            </w:r>
          </w:p>
        </w:tc>
      </w:tr>
      <w:tr w:rsidR="00B50D8E" w:rsidRPr="00096EBF" w14:paraId="5BC2E3B0" w14:textId="77777777" w:rsidTr="008B51F2">
        <w:trPr>
          <w:trHeight w:val="436"/>
          <w:jc w:val="center"/>
        </w:trPr>
        <w:tc>
          <w:tcPr>
            <w:tcW w:w="2175" w:type="dxa"/>
          </w:tcPr>
          <w:p w14:paraId="50F910E4" w14:textId="77777777" w:rsidR="00B50D8E" w:rsidRPr="00096EBF" w:rsidRDefault="00B50D8E" w:rsidP="008B51F2">
            <w:pPr>
              <w:jc w:val="center"/>
              <w:rPr>
                <w:rFonts w:ascii="Arial" w:eastAsiaTheme="minorEastAsia" w:hAnsi="Arial" w:cs="Arial"/>
              </w:rPr>
            </w:pPr>
            <w:r w:rsidRPr="00096EBF">
              <w:rPr>
                <w:rFonts w:ascii="Arial" w:hAnsi="Arial" w:cs="Arial"/>
                <w:b/>
                <w:bCs/>
              </w:rPr>
              <w:t>2020</w:t>
            </w:r>
            <w:r w:rsidRPr="00096EBF">
              <w:rPr>
                <w:rFonts w:ascii="Arial" w:eastAsiaTheme="minorEastAsia" w:hAnsi="Arial" w:cs="Arial"/>
              </w:rPr>
              <w:t xml:space="preserve"> </w:t>
            </w:r>
          </w:p>
        </w:tc>
        <w:tc>
          <w:tcPr>
            <w:tcW w:w="2175" w:type="dxa"/>
          </w:tcPr>
          <w:p w14:paraId="7E09DF27" w14:textId="77777777" w:rsidR="00B50D8E" w:rsidRPr="00096EBF" w:rsidRDefault="00B50D8E" w:rsidP="008B51F2">
            <w:pPr>
              <w:jc w:val="center"/>
              <w:rPr>
                <w:rFonts w:ascii="Arial" w:hAnsi="Arial" w:cs="Arial"/>
              </w:rPr>
            </w:pPr>
            <w:r w:rsidRPr="00096EBF">
              <w:rPr>
                <w:rFonts w:ascii="Arial" w:hAnsi="Arial" w:cs="Arial"/>
              </w:rPr>
              <w:t>-16.60%</w:t>
            </w:r>
          </w:p>
        </w:tc>
      </w:tr>
    </w:tbl>
    <w:p w14:paraId="367DBF36" w14:textId="2F05E1E8" w:rsidR="005B5063" w:rsidRPr="00096EBF" w:rsidRDefault="005B5063" w:rsidP="005B5063">
      <w:pPr>
        <w:rPr>
          <w:rFonts w:ascii="Arial" w:hAnsi="Arial" w:cs="Arial"/>
        </w:rPr>
      </w:pPr>
      <w:r w:rsidRPr="00096EBF">
        <w:rPr>
          <w:rFonts w:ascii="Arial" w:hAnsi="Arial" w:cs="Arial"/>
        </w:rPr>
        <w:t xml:space="preserve">In 2019, (HLT) had a net income of 10.73 percent and a loss of 16.60 % in 2020. Having managed its </w:t>
      </w:r>
      <w:r w:rsidR="00462AD2" w:rsidRPr="00096EBF">
        <w:rPr>
          <w:rFonts w:ascii="Arial" w:hAnsi="Arial" w:cs="Arial"/>
        </w:rPr>
        <w:t>operating</w:t>
      </w:r>
      <w:r w:rsidRPr="00096EBF">
        <w:rPr>
          <w:rFonts w:ascii="Arial" w:hAnsi="Arial" w:cs="Arial"/>
        </w:rPr>
        <w:t xml:space="preserve"> expenses in 2019, the company will not be able to do so in 2020, and as a result, the company will not generate an operating income in 2020. Since the company was able to increase its gross margin in 2020 but was unable to increase its net profit, </w:t>
      </w:r>
      <w:r w:rsidR="00462AD2" w:rsidRPr="00096EBF">
        <w:rPr>
          <w:rFonts w:ascii="Arial" w:hAnsi="Arial" w:cs="Arial"/>
        </w:rPr>
        <w:t>the company likely made</w:t>
      </w:r>
      <w:r w:rsidRPr="00096EBF">
        <w:rPr>
          <w:rFonts w:ascii="Arial" w:hAnsi="Arial" w:cs="Arial"/>
        </w:rPr>
        <w:t xml:space="preserve"> mistakes when it came to operating expenses. As a result, the business must guarantee that its operating costs are effectively handled so that the company may continue to generate a profit for many years to come.</w:t>
      </w:r>
    </w:p>
    <w:p w14:paraId="5059683C" w14:textId="097826DC" w:rsidR="00C637A6" w:rsidRPr="00096EBF" w:rsidRDefault="0044672A" w:rsidP="00C637A6">
      <w:pPr>
        <w:rPr>
          <w:rFonts w:ascii="Arial" w:hAnsi="Arial" w:cs="Arial"/>
          <w:b/>
          <w:bCs/>
        </w:rPr>
      </w:pPr>
      <w:r w:rsidRPr="00096EBF">
        <w:rPr>
          <w:rFonts w:ascii="Arial" w:hAnsi="Arial" w:cs="Arial"/>
          <w:b/>
          <w:bCs/>
        </w:rPr>
        <w:t>Trend Analysis from</w:t>
      </w:r>
      <w:r w:rsidRPr="00096EBF">
        <w:rPr>
          <w:rFonts w:ascii="Arial" w:hAnsi="Arial" w:cs="Arial"/>
        </w:rPr>
        <w:t xml:space="preserve"> </w:t>
      </w:r>
      <w:r w:rsidR="00C637A6" w:rsidRPr="00096EBF">
        <w:rPr>
          <w:rFonts w:ascii="Arial" w:hAnsi="Arial" w:cs="Arial"/>
          <w:b/>
          <w:bCs/>
        </w:rPr>
        <w:t xml:space="preserve">Liquidity Ratio </w:t>
      </w:r>
    </w:p>
    <w:tbl>
      <w:tblPr>
        <w:tblStyle w:val="TableGrid"/>
        <w:tblW w:w="0" w:type="auto"/>
        <w:jc w:val="center"/>
        <w:tblLook w:val="04A0" w:firstRow="1" w:lastRow="0" w:firstColumn="1" w:lastColumn="0" w:noHBand="0" w:noVBand="1"/>
      </w:tblPr>
      <w:tblGrid>
        <w:gridCol w:w="2175"/>
        <w:gridCol w:w="2175"/>
      </w:tblGrid>
      <w:tr w:rsidR="00290B67" w:rsidRPr="00096EBF" w14:paraId="4E5DB0AD" w14:textId="77777777" w:rsidTr="00290B67">
        <w:trPr>
          <w:trHeight w:val="436"/>
          <w:jc w:val="center"/>
        </w:trPr>
        <w:tc>
          <w:tcPr>
            <w:tcW w:w="2175" w:type="dxa"/>
            <w:shd w:val="clear" w:color="auto" w:fill="B4C6E7" w:themeFill="accent1" w:themeFillTint="66"/>
          </w:tcPr>
          <w:p w14:paraId="3FCF4BD9" w14:textId="77777777" w:rsidR="00290B67" w:rsidRPr="00096EBF" w:rsidRDefault="00290B67" w:rsidP="008B51F2">
            <w:pPr>
              <w:jc w:val="center"/>
              <w:rPr>
                <w:rFonts w:ascii="Arial" w:hAnsi="Arial" w:cs="Arial"/>
                <w:b/>
                <w:bCs/>
              </w:rPr>
            </w:pPr>
            <w:r w:rsidRPr="00096EBF">
              <w:rPr>
                <w:rFonts w:ascii="Arial" w:hAnsi="Arial" w:cs="Arial"/>
                <w:b/>
                <w:bCs/>
              </w:rPr>
              <w:t>Year</w:t>
            </w:r>
          </w:p>
        </w:tc>
        <w:tc>
          <w:tcPr>
            <w:tcW w:w="2175" w:type="dxa"/>
            <w:shd w:val="clear" w:color="auto" w:fill="B4C6E7" w:themeFill="accent1" w:themeFillTint="66"/>
          </w:tcPr>
          <w:p w14:paraId="0E9D94AF" w14:textId="77777777" w:rsidR="00290B67" w:rsidRPr="00096EBF" w:rsidRDefault="00290B67" w:rsidP="008B51F2">
            <w:pPr>
              <w:jc w:val="center"/>
              <w:rPr>
                <w:rFonts w:ascii="Arial" w:hAnsi="Arial" w:cs="Arial"/>
                <w:b/>
                <w:bCs/>
              </w:rPr>
            </w:pPr>
            <w:r w:rsidRPr="00096EBF">
              <w:rPr>
                <w:rFonts w:ascii="Arial" w:hAnsi="Arial" w:cs="Arial"/>
                <w:b/>
                <w:bCs/>
              </w:rPr>
              <w:t>Liquidity Ratio</w:t>
            </w:r>
          </w:p>
        </w:tc>
      </w:tr>
      <w:tr w:rsidR="00290B67" w:rsidRPr="00096EBF" w14:paraId="098D47D8" w14:textId="77777777" w:rsidTr="008B51F2">
        <w:trPr>
          <w:trHeight w:val="436"/>
          <w:jc w:val="center"/>
        </w:trPr>
        <w:tc>
          <w:tcPr>
            <w:tcW w:w="2175" w:type="dxa"/>
          </w:tcPr>
          <w:p w14:paraId="7B4FB20A" w14:textId="77777777" w:rsidR="00290B67" w:rsidRPr="00096EBF" w:rsidRDefault="00290B67" w:rsidP="008B51F2">
            <w:pPr>
              <w:jc w:val="center"/>
              <w:rPr>
                <w:rFonts w:ascii="Arial" w:hAnsi="Arial" w:cs="Arial"/>
                <w:b/>
                <w:bCs/>
              </w:rPr>
            </w:pPr>
            <w:r w:rsidRPr="00096EBF">
              <w:rPr>
                <w:rFonts w:ascii="Arial" w:hAnsi="Arial" w:cs="Arial"/>
                <w:b/>
                <w:bCs/>
              </w:rPr>
              <w:t>2019</w:t>
            </w:r>
          </w:p>
        </w:tc>
        <w:tc>
          <w:tcPr>
            <w:tcW w:w="2175" w:type="dxa"/>
          </w:tcPr>
          <w:p w14:paraId="3B6E17A1" w14:textId="77777777" w:rsidR="00290B67" w:rsidRPr="00096EBF" w:rsidRDefault="00290B67" w:rsidP="008B51F2">
            <w:pPr>
              <w:jc w:val="center"/>
              <w:rPr>
                <w:rFonts w:ascii="Arial" w:hAnsi="Arial" w:cs="Arial"/>
                <w:b/>
                <w:bCs/>
              </w:rPr>
            </w:pPr>
            <w:r w:rsidRPr="00096EBF">
              <w:rPr>
                <w:rFonts w:ascii="Arial" w:eastAsiaTheme="minorEastAsia" w:hAnsi="Arial" w:cs="Arial"/>
              </w:rPr>
              <w:t>0.73:1</w:t>
            </w:r>
          </w:p>
        </w:tc>
      </w:tr>
      <w:tr w:rsidR="00290B67" w:rsidRPr="00096EBF" w14:paraId="632D21BE" w14:textId="77777777" w:rsidTr="008B51F2">
        <w:trPr>
          <w:trHeight w:val="436"/>
          <w:jc w:val="center"/>
        </w:trPr>
        <w:tc>
          <w:tcPr>
            <w:tcW w:w="2175" w:type="dxa"/>
          </w:tcPr>
          <w:p w14:paraId="0C09E078" w14:textId="77777777" w:rsidR="00290B67" w:rsidRPr="00096EBF" w:rsidRDefault="00290B67" w:rsidP="008B51F2">
            <w:pPr>
              <w:jc w:val="center"/>
              <w:rPr>
                <w:rFonts w:ascii="Arial" w:eastAsiaTheme="minorEastAsia" w:hAnsi="Arial" w:cs="Arial"/>
              </w:rPr>
            </w:pPr>
            <w:r w:rsidRPr="00096EBF">
              <w:rPr>
                <w:rFonts w:ascii="Arial" w:hAnsi="Arial" w:cs="Arial"/>
                <w:b/>
                <w:bCs/>
              </w:rPr>
              <w:t>2020</w:t>
            </w:r>
            <w:r w:rsidRPr="00096EBF">
              <w:rPr>
                <w:rFonts w:ascii="Arial" w:eastAsiaTheme="minorEastAsia" w:hAnsi="Arial" w:cs="Arial"/>
              </w:rPr>
              <w:t xml:space="preserve"> </w:t>
            </w:r>
          </w:p>
        </w:tc>
        <w:tc>
          <w:tcPr>
            <w:tcW w:w="2175" w:type="dxa"/>
          </w:tcPr>
          <w:p w14:paraId="71F51B81" w14:textId="77777777" w:rsidR="00290B67" w:rsidRPr="00096EBF" w:rsidRDefault="00290B67" w:rsidP="008B51F2">
            <w:pPr>
              <w:jc w:val="center"/>
              <w:rPr>
                <w:rFonts w:ascii="Arial" w:hAnsi="Arial" w:cs="Arial"/>
              </w:rPr>
            </w:pPr>
            <w:r w:rsidRPr="00096EBF">
              <w:rPr>
                <w:rFonts w:ascii="Arial" w:hAnsi="Arial" w:cs="Arial"/>
              </w:rPr>
              <w:t>1.73:1</w:t>
            </w:r>
          </w:p>
        </w:tc>
      </w:tr>
    </w:tbl>
    <w:p w14:paraId="7F1E2F50" w14:textId="651A9E85" w:rsidR="00C637A6" w:rsidRPr="00096EBF" w:rsidRDefault="005B5063" w:rsidP="005C5C40">
      <w:pPr>
        <w:rPr>
          <w:rFonts w:ascii="Arial" w:hAnsi="Arial" w:cs="Arial"/>
        </w:rPr>
      </w:pPr>
      <w:r w:rsidRPr="00096EBF">
        <w:rPr>
          <w:rFonts w:ascii="Arial" w:hAnsi="Arial" w:cs="Arial"/>
        </w:rPr>
        <w:lastRenderedPageBreak/>
        <w:t>Liquidity ratios have a standard, and businesses that fall short of that standard will find it difficult to satisfy current obligations and fund operational expenses. Any hotel firm must have an asset-to-liability ratio of about 1.5:1. It's difficult for a company to settle its debts or invest in its operating expenses if its current property ratio swings more than the conventional ratio. The current asset-to-equity ratio for the given firm is 0.73:1 in 2019, whereas it is expected to rise to 1.73:1 in 2020. As can be observed, the current asset to current liabilities ratio in 2019 is very near to the average. However, by 2020, the current asset to current liabilities ratio will be significantly different from the norm. As a result, the present asset ratio of (HLT) in 2020 will not be able to fund the company's operational activities. Managing the current asset as well as focusing on developing the current asset are both important tasks for this business.</w:t>
      </w:r>
    </w:p>
    <w:p w14:paraId="4ED75B04" w14:textId="0EFAD3DB" w:rsidR="00C637A6" w:rsidRPr="00096EBF" w:rsidRDefault="0044672A" w:rsidP="00C637A6">
      <w:pPr>
        <w:rPr>
          <w:rFonts w:ascii="Arial" w:eastAsiaTheme="minorEastAsia" w:hAnsi="Arial" w:cs="Arial"/>
          <w:b/>
          <w:bCs/>
        </w:rPr>
      </w:pPr>
      <w:r w:rsidRPr="00096EBF">
        <w:rPr>
          <w:rFonts w:ascii="Arial" w:hAnsi="Arial" w:cs="Arial"/>
          <w:b/>
          <w:bCs/>
        </w:rPr>
        <w:t>Trend Analysis from</w:t>
      </w:r>
      <w:r w:rsidRPr="00096EBF">
        <w:rPr>
          <w:rFonts w:ascii="Arial" w:hAnsi="Arial" w:cs="Arial"/>
        </w:rPr>
        <w:t xml:space="preserve"> </w:t>
      </w:r>
      <w:r w:rsidR="00C637A6" w:rsidRPr="00096EBF">
        <w:rPr>
          <w:rFonts w:ascii="Arial" w:eastAsiaTheme="minorEastAsia" w:hAnsi="Arial" w:cs="Arial"/>
          <w:b/>
          <w:bCs/>
        </w:rPr>
        <w:t>Gearing Ratio</w:t>
      </w:r>
    </w:p>
    <w:tbl>
      <w:tblPr>
        <w:tblStyle w:val="TableGrid"/>
        <w:tblW w:w="0" w:type="auto"/>
        <w:jc w:val="center"/>
        <w:tblLook w:val="04A0" w:firstRow="1" w:lastRow="0" w:firstColumn="1" w:lastColumn="0" w:noHBand="0" w:noVBand="1"/>
      </w:tblPr>
      <w:tblGrid>
        <w:gridCol w:w="2175"/>
        <w:gridCol w:w="2175"/>
      </w:tblGrid>
      <w:tr w:rsidR="00290B67" w:rsidRPr="00096EBF" w14:paraId="7844A70E" w14:textId="77777777" w:rsidTr="00290B67">
        <w:trPr>
          <w:trHeight w:val="436"/>
          <w:jc w:val="center"/>
        </w:trPr>
        <w:tc>
          <w:tcPr>
            <w:tcW w:w="2175" w:type="dxa"/>
            <w:shd w:val="clear" w:color="auto" w:fill="B4C6E7" w:themeFill="accent1" w:themeFillTint="66"/>
          </w:tcPr>
          <w:p w14:paraId="19908C81" w14:textId="77777777" w:rsidR="00290B67" w:rsidRPr="00096EBF" w:rsidRDefault="00290B67" w:rsidP="008B51F2">
            <w:pPr>
              <w:jc w:val="center"/>
              <w:rPr>
                <w:rFonts w:ascii="Arial" w:hAnsi="Arial" w:cs="Arial"/>
                <w:b/>
                <w:bCs/>
              </w:rPr>
            </w:pPr>
            <w:r w:rsidRPr="00096EBF">
              <w:rPr>
                <w:rFonts w:ascii="Arial" w:hAnsi="Arial" w:cs="Arial"/>
                <w:b/>
                <w:bCs/>
              </w:rPr>
              <w:t>Year</w:t>
            </w:r>
          </w:p>
        </w:tc>
        <w:tc>
          <w:tcPr>
            <w:tcW w:w="2175" w:type="dxa"/>
            <w:shd w:val="clear" w:color="auto" w:fill="B4C6E7" w:themeFill="accent1" w:themeFillTint="66"/>
          </w:tcPr>
          <w:p w14:paraId="596AFBA4" w14:textId="77777777" w:rsidR="00290B67" w:rsidRPr="00096EBF" w:rsidRDefault="00290B67" w:rsidP="008B51F2">
            <w:pPr>
              <w:jc w:val="center"/>
              <w:rPr>
                <w:rFonts w:ascii="Arial" w:hAnsi="Arial" w:cs="Arial"/>
                <w:b/>
                <w:bCs/>
              </w:rPr>
            </w:pPr>
            <w:r w:rsidRPr="00096EBF">
              <w:rPr>
                <w:rFonts w:ascii="Arial" w:hAnsi="Arial" w:cs="Arial"/>
                <w:b/>
                <w:bCs/>
              </w:rPr>
              <w:t>Gearing Ratio</w:t>
            </w:r>
          </w:p>
        </w:tc>
      </w:tr>
      <w:tr w:rsidR="00290B67" w:rsidRPr="00096EBF" w14:paraId="0E3D5E90" w14:textId="77777777" w:rsidTr="008B51F2">
        <w:trPr>
          <w:trHeight w:val="436"/>
          <w:jc w:val="center"/>
        </w:trPr>
        <w:tc>
          <w:tcPr>
            <w:tcW w:w="2175" w:type="dxa"/>
          </w:tcPr>
          <w:p w14:paraId="7CC9B42D" w14:textId="77777777" w:rsidR="00290B67" w:rsidRPr="00096EBF" w:rsidRDefault="00290B67" w:rsidP="008B51F2">
            <w:pPr>
              <w:jc w:val="center"/>
              <w:rPr>
                <w:rFonts w:ascii="Arial" w:hAnsi="Arial" w:cs="Arial"/>
                <w:b/>
                <w:bCs/>
              </w:rPr>
            </w:pPr>
            <w:r w:rsidRPr="00096EBF">
              <w:rPr>
                <w:rFonts w:ascii="Arial" w:hAnsi="Arial" w:cs="Arial"/>
                <w:b/>
                <w:bCs/>
              </w:rPr>
              <w:t>2019</w:t>
            </w:r>
          </w:p>
        </w:tc>
        <w:tc>
          <w:tcPr>
            <w:tcW w:w="2175" w:type="dxa"/>
          </w:tcPr>
          <w:p w14:paraId="6112185C" w14:textId="77777777" w:rsidR="00290B67" w:rsidRPr="00096EBF" w:rsidRDefault="00290B67" w:rsidP="008B51F2">
            <w:pPr>
              <w:jc w:val="center"/>
              <w:rPr>
                <w:rFonts w:ascii="Arial" w:hAnsi="Arial" w:cs="Arial"/>
                <w:b/>
                <w:bCs/>
              </w:rPr>
            </w:pPr>
            <w:r w:rsidRPr="00096EBF">
              <w:rPr>
                <w:rFonts w:ascii="Arial" w:eastAsiaTheme="minorEastAsia" w:hAnsi="Arial" w:cs="Arial"/>
              </w:rPr>
              <w:t>103.16%</w:t>
            </w:r>
          </w:p>
        </w:tc>
      </w:tr>
      <w:tr w:rsidR="00290B67" w:rsidRPr="00096EBF" w14:paraId="7A0324D4" w14:textId="77777777" w:rsidTr="008B51F2">
        <w:trPr>
          <w:trHeight w:val="436"/>
          <w:jc w:val="center"/>
        </w:trPr>
        <w:tc>
          <w:tcPr>
            <w:tcW w:w="2175" w:type="dxa"/>
          </w:tcPr>
          <w:p w14:paraId="63616552" w14:textId="77777777" w:rsidR="00290B67" w:rsidRPr="00096EBF" w:rsidRDefault="00290B67" w:rsidP="008B51F2">
            <w:pPr>
              <w:jc w:val="center"/>
              <w:rPr>
                <w:rFonts w:ascii="Arial" w:eastAsiaTheme="minorEastAsia" w:hAnsi="Arial" w:cs="Arial"/>
              </w:rPr>
            </w:pPr>
            <w:r w:rsidRPr="00096EBF">
              <w:rPr>
                <w:rFonts w:ascii="Arial" w:hAnsi="Arial" w:cs="Arial"/>
                <w:b/>
                <w:bCs/>
              </w:rPr>
              <w:t>2020</w:t>
            </w:r>
            <w:r w:rsidRPr="00096EBF">
              <w:rPr>
                <w:rFonts w:ascii="Arial" w:eastAsiaTheme="minorEastAsia" w:hAnsi="Arial" w:cs="Arial"/>
              </w:rPr>
              <w:t xml:space="preserve"> </w:t>
            </w:r>
          </w:p>
        </w:tc>
        <w:tc>
          <w:tcPr>
            <w:tcW w:w="2175" w:type="dxa"/>
          </w:tcPr>
          <w:p w14:paraId="2A78DEAC" w14:textId="77777777" w:rsidR="00290B67" w:rsidRPr="00096EBF" w:rsidRDefault="00290B67" w:rsidP="008B51F2">
            <w:pPr>
              <w:jc w:val="center"/>
              <w:rPr>
                <w:rFonts w:ascii="Arial" w:hAnsi="Arial" w:cs="Arial"/>
              </w:rPr>
            </w:pPr>
            <w:r w:rsidRPr="00096EBF">
              <w:rPr>
                <w:rFonts w:ascii="Arial" w:eastAsiaTheme="minorEastAsia" w:hAnsi="Arial" w:cs="Arial"/>
              </w:rPr>
              <w:t>108.87%</w:t>
            </w:r>
          </w:p>
        </w:tc>
      </w:tr>
    </w:tbl>
    <w:p w14:paraId="5917598D" w14:textId="04059072" w:rsidR="005B5063" w:rsidRPr="00096EBF" w:rsidRDefault="005B5063" w:rsidP="005B5063">
      <w:pPr>
        <w:rPr>
          <w:rFonts w:ascii="Arial" w:hAnsi="Arial" w:cs="Arial"/>
        </w:rPr>
      </w:pPr>
      <w:r w:rsidRPr="00096EBF">
        <w:rPr>
          <w:rFonts w:ascii="Arial" w:hAnsi="Arial" w:cs="Arial"/>
        </w:rPr>
        <w:t xml:space="preserve">The gearing ratio baseline has been established at 25% to 50%. If a corporation can manage its gearing ratio within this baseline and succeed in maintaining its assets and obligations, then the company will be profitable. It's 103.16 percent in 2019 as well as 108.87 percent in 2020 for (HLT) when it comes to </w:t>
      </w:r>
      <w:r w:rsidR="00462AD2" w:rsidRPr="00096EBF">
        <w:rPr>
          <w:rFonts w:ascii="Arial" w:hAnsi="Arial" w:cs="Arial"/>
        </w:rPr>
        <w:t>gear</w:t>
      </w:r>
      <w:r w:rsidRPr="00096EBF">
        <w:rPr>
          <w:rFonts w:ascii="Arial" w:hAnsi="Arial" w:cs="Arial"/>
        </w:rPr>
        <w:t>. In this circumstance, it may be concluded that the gearing ratio was unable to keep up with the baseline in both years. Therefore, the company's assets and debts must be maintained. Even while the gearing ratio improved in 2019 compared to 2020, it still fell short of the norm.</w:t>
      </w:r>
    </w:p>
    <w:tbl>
      <w:tblPr>
        <w:tblStyle w:val="TableGrid"/>
        <w:tblW w:w="0" w:type="auto"/>
        <w:jc w:val="center"/>
        <w:tblLook w:val="04A0" w:firstRow="1" w:lastRow="0" w:firstColumn="1" w:lastColumn="0" w:noHBand="0" w:noVBand="1"/>
      </w:tblPr>
      <w:tblGrid>
        <w:gridCol w:w="2272"/>
        <w:gridCol w:w="2272"/>
      </w:tblGrid>
      <w:tr w:rsidR="00290B67" w:rsidRPr="00096EBF" w14:paraId="217ACA1E" w14:textId="77777777" w:rsidTr="00290B67">
        <w:trPr>
          <w:trHeight w:val="449"/>
          <w:jc w:val="center"/>
        </w:trPr>
        <w:tc>
          <w:tcPr>
            <w:tcW w:w="2272" w:type="dxa"/>
            <w:shd w:val="clear" w:color="auto" w:fill="B4C6E7" w:themeFill="accent1" w:themeFillTint="66"/>
          </w:tcPr>
          <w:p w14:paraId="32D51781" w14:textId="77777777" w:rsidR="00290B67" w:rsidRPr="00096EBF" w:rsidRDefault="00290B67" w:rsidP="008B51F2">
            <w:pPr>
              <w:jc w:val="center"/>
              <w:rPr>
                <w:rFonts w:ascii="Arial" w:hAnsi="Arial" w:cs="Arial"/>
                <w:b/>
                <w:bCs/>
              </w:rPr>
            </w:pPr>
            <w:r w:rsidRPr="00096EBF">
              <w:rPr>
                <w:rFonts w:ascii="Arial" w:hAnsi="Arial" w:cs="Arial"/>
                <w:b/>
                <w:bCs/>
              </w:rPr>
              <w:t>Year</w:t>
            </w:r>
          </w:p>
        </w:tc>
        <w:tc>
          <w:tcPr>
            <w:tcW w:w="2272" w:type="dxa"/>
            <w:shd w:val="clear" w:color="auto" w:fill="B4C6E7" w:themeFill="accent1" w:themeFillTint="66"/>
          </w:tcPr>
          <w:p w14:paraId="33F38D26" w14:textId="77777777" w:rsidR="00290B67" w:rsidRPr="00096EBF" w:rsidRDefault="00290B67" w:rsidP="008B51F2">
            <w:pPr>
              <w:jc w:val="center"/>
              <w:rPr>
                <w:rFonts w:ascii="Arial" w:hAnsi="Arial" w:cs="Arial"/>
                <w:b/>
                <w:bCs/>
              </w:rPr>
            </w:pPr>
            <w:r w:rsidRPr="00096EBF">
              <w:rPr>
                <w:rFonts w:ascii="Arial" w:eastAsiaTheme="minorEastAsia" w:hAnsi="Arial" w:cs="Arial"/>
                <w:b/>
                <w:bCs/>
              </w:rPr>
              <w:t>Debt-to-equity ratio</w:t>
            </w:r>
          </w:p>
        </w:tc>
      </w:tr>
      <w:tr w:rsidR="00290B67" w:rsidRPr="00096EBF" w14:paraId="27F5D9C7" w14:textId="77777777" w:rsidTr="008B51F2">
        <w:trPr>
          <w:trHeight w:val="449"/>
          <w:jc w:val="center"/>
        </w:trPr>
        <w:tc>
          <w:tcPr>
            <w:tcW w:w="2272" w:type="dxa"/>
          </w:tcPr>
          <w:p w14:paraId="7EA8962B" w14:textId="77777777" w:rsidR="00290B67" w:rsidRPr="00096EBF" w:rsidRDefault="00290B67" w:rsidP="008B51F2">
            <w:pPr>
              <w:jc w:val="center"/>
              <w:rPr>
                <w:rFonts w:ascii="Arial" w:hAnsi="Arial" w:cs="Arial"/>
                <w:b/>
                <w:bCs/>
              </w:rPr>
            </w:pPr>
            <w:r w:rsidRPr="00096EBF">
              <w:rPr>
                <w:rFonts w:ascii="Arial" w:hAnsi="Arial" w:cs="Arial"/>
                <w:b/>
                <w:bCs/>
              </w:rPr>
              <w:t>2019</w:t>
            </w:r>
          </w:p>
        </w:tc>
        <w:tc>
          <w:tcPr>
            <w:tcW w:w="2272" w:type="dxa"/>
          </w:tcPr>
          <w:p w14:paraId="2495F572" w14:textId="77777777" w:rsidR="00290B67" w:rsidRPr="00096EBF" w:rsidRDefault="00290B67" w:rsidP="008B51F2">
            <w:pPr>
              <w:jc w:val="center"/>
              <w:rPr>
                <w:rFonts w:ascii="Arial" w:hAnsi="Arial" w:cs="Arial"/>
                <w:b/>
                <w:bCs/>
              </w:rPr>
            </w:pPr>
            <w:r w:rsidRPr="00096EBF">
              <w:rPr>
                <w:rFonts w:ascii="Arial" w:eastAsiaTheme="minorEastAsia" w:hAnsi="Arial" w:cs="Arial"/>
              </w:rPr>
              <w:t>1.03</w:t>
            </w:r>
          </w:p>
        </w:tc>
      </w:tr>
      <w:tr w:rsidR="00290B67" w:rsidRPr="00096EBF" w14:paraId="75D2B809" w14:textId="77777777" w:rsidTr="008B51F2">
        <w:trPr>
          <w:trHeight w:val="449"/>
          <w:jc w:val="center"/>
        </w:trPr>
        <w:tc>
          <w:tcPr>
            <w:tcW w:w="2272" w:type="dxa"/>
          </w:tcPr>
          <w:p w14:paraId="1DB06616" w14:textId="77777777" w:rsidR="00290B67" w:rsidRPr="00096EBF" w:rsidRDefault="00290B67" w:rsidP="008B51F2">
            <w:pPr>
              <w:jc w:val="center"/>
              <w:rPr>
                <w:rFonts w:ascii="Arial" w:eastAsiaTheme="minorEastAsia" w:hAnsi="Arial" w:cs="Arial"/>
              </w:rPr>
            </w:pPr>
            <w:r w:rsidRPr="00096EBF">
              <w:rPr>
                <w:rFonts w:ascii="Arial" w:hAnsi="Arial" w:cs="Arial"/>
                <w:b/>
                <w:bCs/>
              </w:rPr>
              <w:t>2020</w:t>
            </w:r>
            <w:r w:rsidRPr="00096EBF">
              <w:rPr>
                <w:rFonts w:ascii="Arial" w:eastAsiaTheme="minorEastAsia" w:hAnsi="Arial" w:cs="Arial"/>
              </w:rPr>
              <w:t xml:space="preserve"> </w:t>
            </w:r>
          </w:p>
        </w:tc>
        <w:tc>
          <w:tcPr>
            <w:tcW w:w="2272" w:type="dxa"/>
          </w:tcPr>
          <w:p w14:paraId="134915B7" w14:textId="77777777" w:rsidR="00290B67" w:rsidRPr="00096EBF" w:rsidRDefault="00290B67" w:rsidP="008B51F2">
            <w:pPr>
              <w:jc w:val="center"/>
              <w:rPr>
                <w:rFonts w:ascii="Arial" w:hAnsi="Arial" w:cs="Arial"/>
              </w:rPr>
            </w:pPr>
            <w:r w:rsidRPr="00096EBF">
              <w:rPr>
                <w:rFonts w:ascii="Arial" w:eastAsiaTheme="minorEastAsia" w:hAnsi="Arial" w:cs="Arial"/>
              </w:rPr>
              <w:t>1.09</w:t>
            </w:r>
          </w:p>
        </w:tc>
      </w:tr>
    </w:tbl>
    <w:p w14:paraId="6FD35FDE" w14:textId="77777777" w:rsidR="005B5063" w:rsidRPr="00096EBF" w:rsidRDefault="005B5063" w:rsidP="005B5063">
      <w:pPr>
        <w:rPr>
          <w:rFonts w:ascii="Arial" w:hAnsi="Arial" w:cs="Arial"/>
        </w:rPr>
      </w:pPr>
      <w:r w:rsidRPr="00096EBF">
        <w:rPr>
          <w:rFonts w:ascii="Arial" w:hAnsi="Arial" w:cs="Arial"/>
        </w:rPr>
        <w:t xml:space="preserve">The debt-to-equity ratio standard is once again 1-1.5. That is to say, the ideal equity ratio for a company is one in which the debt-to-equity ratio is between one and one and a half to two. There was a ratio of 1.03 for the given firm for 2019 as well as 1.09 for 2020. As a result, the company's debt-to-equity ratio was adequate in both years. If the company </w:t>
      </w:r>
      <w:r w:rsidRPr="00096EBF">
        <w:rPr>
          <w:rFonts w:ascii="Arial" w:hAnsi="Arial" w:cs="Arial"/>
        </w:rPr>
        <w:lastRenderedPageBreak/>
        <w:t>can maintain these ratios for the foreseeable future, it will have no problem paying down its debt.</w:t>
      </w:r>
    </w:p>
    <w:p w14:paraId="74E70EF1" w14:textId="714F38AC" w:rsidR="005C5C40" w:rsidRPr="00096EBF" w:rsidRDefault="0044672A" w:rsidP="0044672A">
      <w:pPr>
        <w:pStyle w:val="Heading1"/>
        <w:rPr>
          <w:rFonts w:ascii="Arial" w:hAnsi="Arial" w:cs="Arial"/>
        </w:rPr>
      </w:pPr>
      <w:bookmarkStart w:id="11" w:name="_Toc104231688"/>
      <w:r w:rsidRPr="00096EBF">
        <w:rPr>
          <w:rFonts w:ascii="Arial" w:hAnsi="Arial" w:cs="Arial"/>
        </w:rPr>
        <w:t>b) Necessities of using ratio analysis for decision making</w:t>
      </w:r>
      <w:bookmarkEnd w:id="11"/>
    </w:p>
    <w:p w14:paraId="012C9103" w14:textId="13CD8ED1" w:rsidR="00E943F4" w:rsidRPr="00096EBF" w:rsidRDefault="00E943F4" w:rsidP="00E943F4">
      <w:pPr>
        <w:rPr>
          <w:rFonts w:ascii="Arial" w:hAnsi="Arial" w:cs="Arial"/>
          <w:lang w:eastAsia="en-GB"/>
        </w:rPr>
      </w:pPr>
      <w:r w:rsidRPr="00096EBF">
        <w:rPr>
          <w:rFonts w:ascii="Arial" w:hAnsi="Arial" w:cs="Arial"/>
          <w:lang w:eastAsia="en-GB"/>
        </w:rPr>
        <w:t>Decision-making in the company is aided by the use of ratio analysis. The company's decision-making process will be simplified if the ratio calculation is performed correctly. As a result, it is imperative to do a thorough analysis of the ratio. The following are some reasons why ratio analysis is critical:</w:t>
      </w:r>
    </w:p>
    <w:p w14:paraId="42495925" w14:textId="1D83EDD7" w:rsidR="00E943F4" w:rsidRPr="00096EBF" w:rsidRDefault="00E943F4" w:rsidP="00E943F4">
      <w:pPr>
        <w:rPr>
          <w:rFonts w:ascii="Arial" w:hAnsi="Arial" w:cs="Arial"/>
          <w:lang w:eastAsia="en-GB"/>
        </w:rPr>
      </w:pPr>
      <w:r w:rsidRPr="00096EBF">
        <w:rPr>
          <w:rFonts w:ascii="Arial" w:hAnsi="Arial" w:cs="Arial"/>
          <w:b/>
          <w:bCs/>
        </w:rPr>
        <w:t>Supports in Investing Decision:</w:t>
      </w:r>
      <w:r w:rsidRPr="00096EBF">
        <w:rPr>
          <w:rFonts w:ascii="Arial" w:hAnsi="Arial" w:cs="Arial"/>
        </w:rPr>
        <w:t xml:space="preserve"> </w:t>
      </w:r>
      <w:r w:rsidRPr="00096EBF">
        <w:rPr>
          <w:rFonts w:ascii="Arial" w:hAnsi="Arial" w:cs="Arial"/>
          <w:lang w:eastAsia="en-GB"/>
        </w:rPr>
        <w:t>One of the most important decisions that businesses make is whether or not to invest. Here, if commercial entities fail to take a smart investment decision, they cannot guarantee that prosperity will be maintained. Here, investment selection has a significant impact on the profitability of businesses</w:t>
      </w:r>
      <w:r w:rsidR="004D3660" w:rsidRPr="00096EBF">
        <w:rPr>
          <w:rFonts w:ascii="Arial" w:hAnsi="Arial" w:cs="Arial"/>
        </w:rPr>
        <w:t xml:space="preserve"> (Gomes and Torres, 2020)</w:t>
      </w:r>
      <w:r w:rsidRPr="00096EBF">
        <w:rPr>
          <w:rFonts w:ascii="Arial" w:hAnsi="Arial" w:cs="Arial"/>
          <w:lang w:eastAsia="en-GB"/>
        </w:rPr>
        <w:t>. The investment selection must be carefully considered because investing in a good project promises greater profits. Investment decisions can be made by comparing the ratio of multiple years in this case.</w:t>
      </w:r>
    </w:p>
    <w:p w14:paraId="4FEC9628" w14:textId="3CF9AEF0" w:rsidR="00E943F4" w:rsidRPr="00096EBF" w:rsidRDefault="00E943F4" w:rsidP="00E943F4">
      <w:pPr>
        <w:rPr>
          <w:rFonts w:ascii="Arial" w:hAnsi="Arial" w:cs="Arial"/>
          <w:lang w:eastAsia="en-GB"/>
        </w:rPr>
      </w:pPr>
      <w:r w:rsidRPr="00096EBF">
        <w:rPr>
          <w:rFonts w:ascii="Arial" w:hAnsi="Arial" w:cs="Arial"/>
          <w:b/>
          <w:bCs/>
        </w:rPr>
        <w:t>Supports in Financing Decision:</w:t>
      </w:r>
      <w:r w:rsidRPr="00096EBF">
        <w:rPr>
          <w:rFonts w:ascii="Arial" w:hAnsi="Arial" w:cs="Arial"/>
        </w:rPr>
        <w:t xml:space="preserve"> </w:t>
      </w:r>
      <w:r w:rsidRPr="00096EBF">
        <w:rPr>
          <w:rFonts w:ascii="Arial" w:hAnsi="Arial" w:cs="Arial"/>
          <w:lang w:eastAsia="en-GB"/>
        </w:rPr>
        <w:t>A resource for making investment decisions: To fund various initiatives, companies must first pick the sources of funding. It becomes difficult for a company to invest in multiple initiatives if it is unable to identify the best sources of financing</w:t>
      </w:r>
      <w:r w:rsidR="004D3660" w:rsidRPr="00096EBF">
        <w:rPr>
          <w:rFonts w:ascii="Arial" w:hAnsi="Arial" w:cs="Arial"/>
        </w:rPr>
        <w:t xml:space="preserve"> (Johnston, 2020)</w:t>
      </w:r>
      <w:r w:rsidRPr="00096EBF">
        <w:rPr>
          <w:rFonts w:ascii="Arial" w:hAnsi="Arial" w:cs="Arial"/>
          <w:lang w:eastAsia="en-GB"/>
        </w:rPr>
        <w:t xml:space="preserve">. When deciding how to fund the company's budget, </w:t>
      </w:r>
      <w:r w:rsidR="00462AD2" w:rsidRPr="00096EBF">
        <w:rPr>
          <w:rFonts w:ascii="Arial" w:hAnsi="Arial" w:cs="Arial"/>
          <w:lang w:eastAsia="en-GB"/>
        </w:rPr>
        <w:t>the company must investigate</w:t>
      </w:r>
      <w:r w:rsidRPr="00096EBF">
        <w:rPr>
          <w:rFonts w:ascii="Arial" w:hAnsi="Arial" w:cs="Arial"/>
          <w:lang w:eastAsia="en-GB"/>
        </w:rPr>
        <w:t xml:space="preserve"> several funding options. </w:t>
      </w:r>
      <w:r w:rsidR="00462AD2" w:rsidRPr="00096EBF">
        <w:rPr>
          <w:rFonts w:ascii="Arial" w:hAnsi="Arial" w:cs="Arial"/>
          <w:lang w:eastAsia="en-GB"/>
        </w:rPr>
        <w:t>To</w:t>
      </w:r>
      <w:r w:rsidRPr="00096EBF">
        <w:rPr>
          <w:rFonts w:ascii="Arial" w:hAnsi="Arial" w:cs="Arial"/>
          <w:lang w:eastAsia="en-GB"/>
        </w:rPr>
        <w:t xml:space="preserve"> figure out where their money is coming from, companies must look at the ratio of various types of funding. As a result, the accounting ratios can also be used to aid with financial decisions.</w:t>
      </w:r>
    </w:p>
    <w:p w14:paraId="65056E6F" w14:textId="4CC9154D" w:rsidR="00E943F4" w:rsidRPr="00096EBF" w:rsidRDefault="00E943F4" w:rsidP="00E943F4">
      <w:pPr>
        <w:rPr>
          <w:rFonts w:ascii="Arial" w:hAnsi="Arial" w:cs="Arial"/>
          <w:lang w:eastAsia="en-GB"/>
        </w:rPr>
      </w:pPr>
      <w:r w:rsidRPr="00096EBF">
        <w:rPr>
          <w:rFonts w:ascii="Arial" w:hAnsi="Arial" w:cs="Arial"/>
          <w:b/>
          <w:bCs/>
          <w:lang w:eastAsia="en-GB"/>
        </w:rPr>
        <w:t>Supports in Business Forecasting:</w:t>
      </w:r>
      <w:r w:rsidRPr="00096EBF">
        <w:rPr>
          <w:rFonts w:ascii="Arial" w:hAnsi="Arial" w:cs="Arial"/>
          <w:lang w:eastAsia="en-GB"/>
        </w:rPr>
        <w:t xml:space="preserve"> Businesses must make decisions about the future based on present facts, and this is called forecasting. As long as the commercial firm analyses the existing data correctly, it gets easier for them to make future decisions. As a result, a company's ability to accurately predict the future is greatly dependent on its current financial state</w:t>
      </w:r>
      <w:r w:rsidR="004D3660" w:rsidRPr="00096EBF">
        <w:rPr>
          <w:rFonts w:ascii="Arial" w:hAnsi="Arial" w:cs="Arial"/>
          <w:color w:val="000000"/>
          <w:sz w:val="20"/>
          <w:shd w:val="clear" w:color="auto" w:fill="FFFFFF"/>
        </w:rPr>
        <w:t xml:space="preserve"> (Marlow, 2018)</w:t>
      </w:r>
      <w:r w:rsidRPr="00096EBF">
        <w:rPr>
          <w:rFonts w:ascii="Arial" w:hAnsi="Arial" w:cs="Arial"/>
          <w:lang w:eastAsia="en-GB"/>
        </w:rPr>
        <w:t>. Business firms predict the future occurrences for the company by analysing data from prior years. To put it another way, if a company's financial records can be gathered and examined, making future decisions can be based on that information. In addition, companies might assume the trend of various events within the company.</w:t>
      </w:r>
    </w:p>
    <w:p w14:paraId="2D0D4541" w14:textId="0304F45B" w:rsidR="00E943F4" w:rsidRPr="00096EBF" w:rsidRDefault="00E943F4" w:rsidP="00E943F4">
      <w:pPr>
        <w:rPr>
          <w:rFonts w:ascii="Arial" w:hAnsi="Arial" w:cs="Arial"/>
          <w:lang w:eastAsia="en-GB"/>
        </w:rPr>
      </w:pPr>
      <w:r w:rsidRPr="00096EBF">
        <w:rPr>
          <w:rFonts w:ascii="Arial" w:hAnsi="Arial" w:cs="Arial"/>
          <w:b/>
          <w:bCs/>
          <w:lang w:eastAsia="en-GB"/>
        </w:rPr>
        <w:lastRenderedPageBreak/>
        <w:t>Calculates Operational Effectiveness:</w:t>
      </w:r>
      <w:r w:rsidRPr="00096EBF">
        <w:rPr>
          <w:rFonts w:ascii="Arial" w:hAnsi="Arial" w:cs="Arial"/>
          <w:lang w:eastAsia="en-GB"/>
        </w:rPr>
        <w:t xml:space="preserve"> The ratio of a business can simply </w:t>
      </w:r>
      <w:r w:rsidR="004D3660" w:rsidRPr="00096EBF">
        <w:rPr>
          <w:rFonts w:ascii="Arial" w:hAnsi="Arial" w:cs="Arial"/>
          <w:lang w:eastAsia="en-GB"/>
        </w:rPr>
        <w:t>reveals</w:t>
      </w:r>
      <w:r w:rsidRPr="00096EBF">
        <w:rPr>
          <w:rFonts w:ascii="Arial" w:hAnsi="Arial" w:cs="Arial"/>
          <w:lang w:eastAsia="en-GB"/>
        </w:rPr>
        <w:t xml:space="preserve"> whether or not a business is running its activities at optimal levels of operational efficiency. There will be a decent level of operational efficiency for the company if the ratios reveal that it produces a positive ratio</w:t>
      </w:r>
      <w:r w:rsidR="004D3660" w:rsidRPr="00096EBF">
        <w:rPr>
          <w:rFonts w:ascii="Arial" w:hAnsi="Arial" w:cs="Arial"/>
        </w:rPr>
        <w:t xml:space="preserve"> (GARWAY, 2017)</w:t>
      </w:r>
      <w:r w:rsidRPr="00096EBF">
        <w:rPr>
          <w:rFonts w:ascii="Arial" w:hAnsi="Arial" w:cs="Arial"/>
          <w:lang w:eastAsia="en-GB"/>
        </w:rPr>
        <w:t>. When a company's financial ratios reveal a negative outcome for its operations, it might be concluded that the company is not performing well in respect of running its business. For example, the company can decide whether or not to continue with its current operating strategy or to change it.</w:t>
      </w:r>
    </w:p>
    <w:p w14:paraId="73BF7C46" w14:textId="445F4B20" w:rsidR="00E943F4" w:rsidRPr="00096EBF" w:rsidRDefault="00E943F4" w:rsidP="00E943F4">
      <w:pPr>
        <w:rPr>
          <w:rFonts w:ascii="Arial" w:hAnsi="Arial" w:cs="Arial"/>
          <w:lang w:eastAsia="en-GB"/>
        </w:rPr>
      </w:pPr>
      <w:r w:rsidRPr="00096EBF">
        <w:rPr>
          <w:rFonts w:ascii="Arial" w:hAnsi="Arial" w:cs="Arial"/>
          <w:b/>
          <w:bCs/>
          <w:lang w:eastAsia="en-GB"/>
        </w:rPr>
        <w:t>Supports in Making the Decision Easy:</w:t>
      </w:r>
      <w:r w:rsidRPr="00096EBF">
        <w:rPr>
          <w:rFonts w:ascii="Arial" w:hAnsi="Arial" w:cs="Arial"/>
          <w:lang w:eastAsia="en-GB"/>
        </w:rPr>
        <w:t xml:space="preserve"> </w:t>
      </w:r>
      <w:r w:rsidR="00462AD2" w:rsidRPr="00096EBF">
        <w:rPr>
          <w:rFonts w:ascii="Arial" w:hAnsi="Arial" w:cs="Arial"/>
          <w:lang w:eastAsia="en-GB"/>
        </w:rPr>
        <w:t>To</w:t>
      </w:r>
      <w:r w:rsidRPr="00096EBF">
        <w:rPr>
          <w:rFonts w:ascii="Arial" w:hAnsi="Arial" w:cs="Arial"/>
          <w:lang w:eastAsia="en-GB"/>
        </w:rPr>
        <w:t xml:space="preserve"> run a business, one needs to be able to make decisions quickly and effectively. It's difficult to make a judgment here, but it's much easier to generate a decision if a corporation analyses the ratio utilizing information from earlier information. Forming a decision becomes more difficult if the companies use alternative methods of making decisions. It's simple to make a conclusion based on a company's ratio analysis</w:t>
      </w:r>
      <w:r w:rsidR="004D3660" w:rsidRPr="00096EBF">
        <w:rPr>
          <w:rFonts w:ascii="Arial" w:hAnsi="Arial" w:cs="Arial"/>
        </w:rPr>
        <w:t xml:space="preserve"> (Lee, 2018)</w:t>
      </w:r>
      <w:r w:rsidRPr="00096EBF">
        <w:rPr>
          <w:rFonts w:ascii="Arial" w:hAnsi="Arial" w:cs="Arial"/>
          <w:lang w:eastAsia="en-GB"/>
        </w:rPr>
        <w:t>. As a result, organizations should use ratio analysis to help them make strategic choices.</w:t>
      </w:r>
    </w:p>
    <w:p w14:paraId="0C0B4FBD" w14:textId="16AFE252" w:rsidR="006612F3" w:rsidRPr="00096EBF" w:rsidRDefault="006612F3" w:rsidP="006612F3">
      <w:pPr>
        <w:pStyle w:val="Heading1"/>
        <w:rPr>
          <w:rFonts w:ascii="Arial" w:hAnsi="Arial" w:cs="Arial"/>
        </w:rPr>
      </w:pPr>
      <w:bookmarkStart w:id="12" w:name="_Toc104231689"/>
      <w:r w:rsidRPr="00096EBF">
        <w:rPr>
          <w:rFonts w:ascii="Arial" w:hAnsi="Arial" w:cs="Arial"/>
        </w:rPr>
        <w:t xml:space="preserve">c) </w:t>
      </w:r>
      <w:bookmarkStart w:id="13" w:name="_Toc104151263"/>
      <w:r w:rsidRPr="00096EBF">
        <w:rPr>
          <w:rFonts w:ascii="Arial" w:hAnsi="Arial" w:cs="Arial"/>
        </w:rPr>
        <w:t xml:space="preserve">The limitation of ratio analysis as well as the </w:t>
      </w:r>
      <w:r w:rsidR="00462AD2" w:rsidRPr="00096EBF">
        <w:rPr>
          <w:rFonts w:ascii="Arial" w:hAnsi="Arial" w:cs="Arial"/>
        </w:rPr>
        <w:t>necessity</w:t>
      </w:r>
      <w:r w:rsidRPr="00096EBF">
        <w:rPr>
          <w:rFonts w:ascii="Arial" w:hAnsi="Arial" w:cs="Arial"/>
        </w:rPr>
        <w:t xml:space="preserve"> of knowing the fluctuations of ratio analysis</w:t>
      </w:r>
      <w:bookmarkEnd w:id="12"/>
      <w:bookmarkEnd w:id="13"/>
      <w:r w:rsidRPr="00096EBF">
        <w:rPr>
          <w:rFonts w:ascii="Arial" w:hAnsi="Arial" w:cs="Arial"/>
        </w:rPr>
        <w:t xml:space="preserve"> </w:t>
      </w:r>
    </w:p>
    <w:p w14:paraId="28CB9CE8" w14:textId="63D2BAA0" w:rsidR="00E60888" w:rsidRPr="00096EBF" w:rsidRDefault="00E60888" w:rsidP="00E60888">
      <w:pPr>
        <w:pStyle w:val="Heading2"/>
        <w:rPr>
          <w:rFonts w:ascii="Arial" w:hAnsi="Arial" w:cs="Arial"/>
        </w:rPr>
      </w:pPr>
      <w:bookmarkStart w:id="14" w:name="_Toc104151264"/>
      <w:bookmarkStart w:id="15" w:name="_Toc104231690"/>
      <w:r w:rsidRPr="00096EBF">
        <w:rPr>
          <w:rFonts w:ascii="Arial" w:hAnsi="Arial" w:cs="Arial"/>
        </w:rPr>
        <w:t>Limitations of Ratio Analysis</w:t>
      </w:r>
      <w:bookmarkEnd w:id="14"/>
      <w:bookmarkEnd w:id="15"/>
    </w:p>
    <w:p w14:paraId="264E8151" w14:textId="6B57F0E6" w:rsidR="002F6844" w:rsidRPr="00096EBF" w:rsidRDefault="002F6844" w:rsidP="002F6844">
      <w:pPr>
        <w:rPr>
          <w:rFonts w:ascii="Arial" w:hAnsi="Arial" w:cs="Arial"/>
          <w:lang w:eastAsia="en-GB"/>
        </w:rPr>
      </w:pPr>
      <w:r w:rsidRPr="00096EBF">
        <w:rPr>
          <w:rFonts w:ascii="Arial" w:hAnsi="Arial" w:cs="Arial"/>
          <w:lang w:eastAsia="en-GB"/>
        </w:rPr>
        <w:t xml:space="preserve">A wide range of limitations can be seen while analysing the ratios of a particular business firm. Here are some of these: </w:t>
      </w:r>
    </w:p>
    <w:p w14:paraId="1B85AA48" w14:textId="77777777" w:rsidR="002F6844" w:rsidRPr="00096EBF" w:rsidRDefault="002F6844" w:rsidP="002F6844">
      <w:pPr>
        <w:rPr>
          <w:rFonts w:ascii="Arial" w:hAnsi="Arial" w:cs="Arial"/>
          <w:lang w:eastAsia="en-GB"/>
        </w:rPr>
      </w:pPr>
      <w:r w:rsidRPr="00096EBF">
        <w:rPr>
          <w:rFonts w:ascii="Arial" w:hAnsi="Arial" w:cs="Arial"/>
          <w:b/>
          <w:bCs/>
          <w:lang w:eastAsia="en-GB"/>
        </w:rPr>
        <w:t>Makes Use of Historical Values:</w:t>
      </w:r>
      <w:r w:rsidRPr="00096EBF">
        <w:rPr>
          <w:rFonts w:ascii="Arial" w:hAnsi="Arial" w:cs="Arial"/>
          <w:lang w:eastAsia="en-GB"/>
        </w:rPr>
        <w:t xml:space="preserve"> Because the accounting ratios are based on past data, it may not always be possible to accurately predict the market's current state based on this data.</w:t>
      </w:r>
    </w:p>
    <w:p w14:paraId="71E253B6" w14:textId="5236BF44" w:rsidR="002F6844" w:rsidRPr="00096EBF" w:rsidRDefault="002F6844" w:rsidP="002F6844">
      <w:pPr>
        <w:rPr>
          <w:rFonts w:ascii="Arial" w:hAnsi="Arial" w:cs="Arial"/>
          <w:lang w:eastAsia="en-GB"/>
        </w:rPr>
      </w:pPr>
      <w:r w:rsidRPr="00096EBF">
        <w:rPr>
          <w:rFonts w:ascii="Arial" w:hAnsi="Arial" w:cs="Arial"/>
          <w:b/>
          <w:bCs/>
          <w:lang w:eastAsia="en-GB"/>
        </w:rPr>
        <w:t>Makes Use of Financial Reports:</w:t>
      </w:r>
      <w:r w:rsidRPr="00096EBF">
        <w:rPr>
          <w:rFonts w:ascii="Arial" w:hAnsi="Arial" w:cs="Arial"/>
          <w:lang w:eastAsia="en-GB"/>
        </w:rPr>
        <w:t xml:space="preserve"> </w:t>
      </w:r>
      <w:r w:rsidR="00462AD2" w:rsidRPr="00096EBF">
        <w:rPr>
          <w:rFonts w:ascii="Arial" w:hAnsi="Arial" w:cs="Arial"/>
          <w:lang w:eastAsia="en-GB"/>
        </w:rPr>
        <w:t>The financial statements used may contain</w:t>
      </w:r>
      <w:r w:rsidRPr="00096EBF">
        <w:rPr>
          <w:rFonts w:ascii="Arial" w:hAnsi="Arial" w:cs="Arial"/>
          <w:lang w:eastAsia="en-GB"/>
        </w:rPr>
        <w:t xml:space="preserve"> data that is riddled with errors. Using financial data that may include errors and inaccuracies, ratio analysis is performed here. As a result, errors in financial statements might potentially affect the ratio analysis.</w:t>
      </w:r>
    </w:p>
    <w:p w14:paraId="0AC3FB20" w14:textId="05B6350E" w:rsidR="002F6844" w:rsidRPr="00096EBF" w:rsidRDefault="002F6844" w:rsidP="002F6844">
      <w:pPr>
        <w:rPr>
          <w:rFonts w:ascii="Arial" w:hAnsi="Arial" w:cs="Arial"/>
          <w:lang w:eastAsia="en-GB"/>
        </w:rPr>
      </w:pPr>
      <w:r w:rsidRPr="00096EBF">
        <w:rPr>
          <w:rFonts w:ascii="Arial" w:hAnsi="Arial" w:cs="Arial"/>
          <w:b/>
          <w:bCs/>
          <w:lang w:eastAsia="en-GB"/>
        </w:rPr>
        <w:t>Makes Use of Various Accounting Standards:</w:t>
      </w:r>
      <w:r w:rsidRPr="00096EBF">
        <w:rPr>
          <w:rFonts w:ascii="Arial" w:hAnsi="Arial" w:cs="Arial"/>
          <w:lang w:eastAsia="en-GB"/>
        </w:rPr>
        <w:t xml:space="preserve"> </w:t>
      </w:r>
      <w:r w:rsidR="00462AD2" w:rsidRPr="00096EBF">
        <w:rPr>
          <w:rFonts w:ascii="Arial" w:hAnsi="Arial" w:cs="Arial"/>
          <w:lang w:eastAsia="en-GB"/>
        </w:rPr>
        <w:t>Many different accounting strategies can</w:t>
      </w:r>
      <w:r w:rsidRPr="00096EBF">
        <w:rPr>
          <w:rFonts w:ascii="Arial" w:hAnsi="Arial" w:cs="Arial"/>
          <w:lang w:eastAsia="en-GB"/>
        </w:rPr>
        <w:t xml:space="preserve"> be employed, and the results can vary from one company to the next, depending on which policy is used. Consequently, businesses may make mistakes due to the wide variety of accounting policies.</w:t>
      </w:r>
    </w:p>
    <w:p w14:paraId="7D04B800" w14:textId="57E6B5E9" w:rsidR="0069071B" w:rsidRPr="00096EBF" w:rsidRDefault="0069071B" w:rsidP="0069071B">
      <w:pPr>
        <w:rPr>
          <w:rFonts w:ascii="Arial" w:hAnsi="Arial" w:cs="Arial"/>
          <w:lang w:eastAsia="en-GB"/>
        </w:rPr>
      </w:pPr>
      <w:r w:rsidRPr="00096EBF">
        <w:rPr>
          <w:rFonts w:ascii="Arial" w:hAnsi="Arial" w:cs="Arial"/>
          <w:b/>
          <w:bCs/>
          <w:lang w:eastAsia="en-GB"/>
        </w:rPr>
        <w:lastRenderedPageBreak/>
        <w:t>Unable to Compare Firms from Different Industries:</w:t>
      </w:r>
      <w:r w:rsidRPr="00096EBF">
        <w:rPr>
          <w:rFonts w:ascii="Arial" w:hAnsi="Arial" w:cs="Arial"/>
          <w:lang w:eastAsia="en-GB"/>
        </w:rPr>
        <w:t xml:space="preserve"> When comparing businesses from various industries, the accounting ratios can only be utilized for comparison same industry</w:t>
      </w:r>
      <w:r w:rsidR="004D3660" w:rsidRPr="00096EBF">
        <w:rPr>
          <w:rFonts w:ascii="Arial" w:hAnsi="Arial" w:cs="Arial"/>
        </w:rPr>
        <w:t xml:space="preserve"> (</w:t>
      </w:r>
      <w:proofErr w:type="spellStart"/>
      <w:r w:rsidR="004D3660" w:rsidRPr="00096EBF">
        <w:rPr>
          <w:rFonts w:ascii="Arial" w:hAnsi="Arial" w:cs="Arial"/>
        </w:rPr>
        <w:t>Gangaiah</w:t>
      </w:r>
      <w:proofErr w:type="spellEnd"/>
      <w:r w:rsidR="004D3660" w:rsidRPr="00096EBF">
        <w:rPr>
          <w:rFonts w:ascii="Arial" w:hAnsi="Arial" w:cs="Arial"/>
        </w:rPr>
        <w:t>, 2019)</w:t>
      </w:r>
      <w:r w:rsidRPr="00096EBF">
        <w:rPr>
          <w:rFonts w:ascii="Arial" w:hAnsi="Arial" w:cs="Arial"/>
          <w:lang w:eastAsia="en-GB"/>
        </w:rPr>
        <w:t>. The financial ratio is not a good option for businesses if they come from various industries.</w:t>
      </w:r>
    </w:p>
    <w:p w14:paraId="49CFEF43" w14:textId="6D898C2D" w:rsidR="0069071B" w:rsidRPr="00096EBF" w:rsidRDefault="0069071B" w:rsidP="0069071B">
      <w:pPr>
        <w:rPr>
          <w:rFonts w:ascii="Arial" w:hAnsi="Arial" w:cs="Arial"/>
        </w:rPr>
      </w:pPr>
      <w:r w:rsidRPr="00096EBF">
        <w:rPr>
          <w:rFonts w:ascii="Arial" w:hAnsi="Arial" w:cs="Arial"/>
          <w:b/>
          <w:bCs/>
        </w:rPr>
        <w:t>Avoids Considering Market Situation:</w:t>
      </w:r>
      <w:r w:rsidRPr="00096EBF">
        <w:rPr>
          <w:rFonts w:ascii="Arial" w:hAnsi="Arial" w:cs="Arial"/>
        </w:rPr>
        <w:t xml:space="preserve"> </w:t>
      </w:r>
      <w:r w:rsidRPr="00096EBF">
        <w:rPr>
          <w:rFonts w:ascii="Arial" w:hAnsi="Arial" w:cs="Arial"/>
          <w:lang w:eastAsia="en-GB"/>
        </w:rPr>
        <w:t>There is no way that all businesses can guarantee the same level of profitability in every market circumstance. Depending on the state of the market, businesses may not be able to make the same profits year after year</w:t>
      </w:r>
      <w:r w:rsidR="004D3660" w:rsidRPr="00096EBF">
        <w:rPr>
          <w:rFonts w:ascii="Arial" w:hAnsi="Arial" w:cs="Arial"/>
        </w:rPr>
        <w:t xml:space="preserve"> (Zhang, 2020)</w:t>
      </w:r>
      <w:r w:rsidRPr="00096EBF">
        <w:rPr>
          <w:rFonts w:ascii="Arial" w:hAnsi="Arial" w:cs="Arial"/>
          <w:lang w:eastAsia="en-GB"/>
        </w:rPr>
        <w:t>. The financial ratio, on the other hand, does not take into account the present market conditions.</w:t>
      </w:r>
    </w:p>
    <w:p w14:paraId="1E8DECEE" w14:textId="0D0A6558" w:rsidR="0069071B" w:rsidRPr="00096EBF" w:rsidRDefault="0069071B" w:rsidP="0069071B">
      <w:pPr>
        <w:rPr>
          <w:rFonts w:ascii="Arial" w:hAnsi="Arial" w:cs="Arial"/>
          <w:lang w:eastAsia="en-GB"/>
        </w:rPr>
      </w:pPr>
      <w:r w:rsidRPr="00096EBF">
        <w:rPr>
          <w:rFonts w:ascii="Arial" w:hAnsi="Arial" w:cs="Arial"/>
          <w:b/>
          <w:bCs/>
          <w:lang w:eastAsia="en-GB"/>
        </w:rPr>
        <w:t>Avoids Inflation:</w:t>
      </w:r>
      <w:r w:rsidRPr="00096EBF">
        <w:rPr>
          <w:rFonts w:ascii="Arial" w:hAnsi="Arial" w:cs="Arial"/>
          <w:lang w:eastAsia="en-GB"/>
        </w:rPr>
        <w:t xml:space="preserve"> Just because a company makes the same income year after year doesn't guarantee that it is doing effectively. In these kinds of scenarios, businesses must figure out how much their existing marketplace's inflation is costing them.</w:t>
      </w:r>
    </w:p>
    <w:p w14:paraId="13E3B638" w14:textId="1BDFC300" w:rsidR="00E60888" w:rsidRPr="00096EBF" w:rsidRDefault="00E60888" w:rsidP="00E60888">
      <w:pPr>
        <w:pStyle w:val="Heading1"/>
        <w:rPr>
          <w:rFonts w:ascii="Arial" w:hAnsi="Arial" w:cs="Arial"/>
        </w:rPr>
      </w:pPr>
      <w:bookmarkStart w:id="16" w:name="_Toc104231691"/>
      <w:r w:rsidRPr="00096EBF">
        <w:rPr>
          <w:rFonts w:ascii="Arial" w:hAnsi="Arial" w:cs="Arial"/>
        </w:rPr>
        <w:t>Necessities of knowing the fluctuations of ratio analysis</w:t>
      </w:r>
      <w:bookmarkEnd w:id="16"/>
      <w:r w:rsidRPr="00096EBF">
        <w:rPr>
          <w:rFonts w:ascii="Arial" w:hAnsi="Arial" w:cs="Arial"/>
        </w:rPr>
        <w:t xml:space="preserve"> </w:t>
      </w:r>
    </w:p>
    <w:p w14:paraId="7E07021D" w14:textId="04CCC62D" w:rsidR="00DD453D" w:rsidRPr="00096EBF" w:rsidRDefault="007E75F4" w:rsidP="005C5C40">
      <w:pPr>
        <w:rPr>
          <w:rFonts w:ascii="Arial" w:hAnsi="Arial" w:cs="Arial"/>
        </w:rPr>
      </w:pPr>
      <w:r w:rsidRPr="00096EBF">
        <w:rPr>
          <w:rFonts w:ascii="Arial" w:hAnsi="Arial" w:cs="Arial"/>
        </w:rPr>
        <w:t xml:space="preserve">When using ratio analysis for a variety of objectives, it is essential to have a solid understanding of the fluctuations that can occur. If Hilton Worldwide Holdings is capable of conducting an accurate analysis of the company's ratios, the company will have no trouble determining its level of profitability. This can be accomplished by evaluating both the gross income ratio as well as the net income ratio. In a similar vein, if a company </w:t>
      </w:r>
      <w:r w:rsidR="00462AD2" w:rsidRPr="00096EBF">
        <w:rPr>
          <w:rFonts w:ascii="Arial" w:hAnsi="Arial" w:cs="Arial"/>
        </w:rPr>
        <w:t>can</w:t>
      </w:r>
      <w:r w:rsidRPr="00096EBF">
        <w:rPr>
          <w:rFonts w:ascii="Arial" w:hAnsi="Arial" w:cs="Arial"/>
        </w:rPr>
        <w:t xml:space="preserve"> correctly comprehend the accounting ratios, then that company is undoubtedly in a position to be aware of its current liquidity status</w:t>
      </w:r>
      <w:r w:rsidR="004D3660" w:rsidRPr="00096EBF">
        <w:rPr>
          <w:rFonts w:ascii="Arial" w:hAnsi="Arial" w:cs="Arial"/>
        </w:rPr>
        <w:t xml:space="preserve"> (Oshana and </w:t>
      </w:r>
      <w:proofErr w:type="spellStart"/>
      <w:r w:rsidR="004D3660" w:rsidRPr="00096EBF">
        <w:rPr>
          <w:rFonts w:ascii="Arial" w:hAnsi="Arial" w:cs="Arial"/>
        </w:rPr>
        <w:t>Kraeling</w:t>
      </w:r>
      <w:proofErr w:type="spellEnd"/>
      <w:r w:rsidR="004D3660" w:rsidRPr="00096EBF">
        <w:rPr>
          <w:rFonts w:ascii="Arial" w:hAnsi="Arial" w:cs="Arial"/>
        </w:rPr>
        <w:t>, 2017)</w:t>
      </w:r>
      <w:r w:rsidRPr="00096EBF">
        <w:rPr>
          <w:rFonts w:ascii="Arial" w:hAnsi="Arial" w:cs="Arial"/>
        </w:rPr>
        <w:t xml:space="preserve">. This indicates that the ratio analysis can be used to quickly determine if the company is in an appropriate position to liquidate or whether it requires some kind of improvement of some kind. In addition, </w:t>
      </w:r>
      <w:r w:rsidR="00462AD2" w:rsidRPr="00096EBF">
        <w:rPr>
          <w:rFonts w:ascii="Arial" w:hAnsi="Arial" w:cs="Arial"/>
        </w:rPr>
        <w:t>for</w:t>
      </w:r>
      <w:r w:rsidRPr="00096EBF">
        <w:rPr>
          <w:rFonts w:ascii="Arial" w:hAnsi="Arial" w:cs="Arial"/>
        </w:rPr>
        <w:t xml:space="preserve"> the company to be successful in respect of knowing the status of the debt management, </w:t>
      </w:r>
      <w:r w:rsidR="00462AD2" w:rsidRPr="00096EBF">
        <w:rPr>
          <w:rFonts w:ascii="Arial" w:hAnsi="Arial" w:cs="Arial"/>
        </w:rPr>
        <w:t>the company needs to grasp</w:t>
      </w:r>
      <w:r w:rsidRPr="00096EBF">
        <w:rPr>
          <w:rFonts w:ascii="Arial" w:hAnsi="Arial" w:cs="Arial"/>
        </w:rPr>
        <w:t xml:space="preserve"> the ratio analysis. In addition, the ratio analysis makes it possible to quickly determine how the financial condition has changed </w:t>
      </w:r>
      <w:r w:rsidR="00462AD2" w:rsidRPr="00096EBF">
        <w:rPr>
          <w:rFonts w:ascii="Arial" w:hAnsi="Arial" w:cs="Arial"/>
        </w:rPr>
        <w:t>over</w:t>
      </w:r>
      <w:r w:rsidRPr="00096EBF">
        <w:rPr>
          <w:rFonts w:ascii="Arial" w:hAnsi="Arial" w:cs="Arial"/>
        </w:rPr>
        <w:t xml:space="preserve"> several years. When it comes to this case, if the commercial firms </w:t>
      </w:r>
      <w:r w:rsidR="00462AD2" w:rsidRPr="00096EBF">
        <w:rPr>
          <w:rFonts w:ascii="Arial" w:hAnsi="Arial" w:cs="Arial"/>
        </w:rPr>
        <w:t>can</w:t>
      </w:r>
      <w:r w:rsidRPr="00096EBF">
        <w:rPr>
          <w:rFonts w:ascii="Arial" w:hAnsi="Arial" w:cs="Arial"/>
        </w:rPr>
        <w:t xml:space="preserve"> correctly </w:t>
      </w:r>
      <w:r w:rsidR="00462AD2" w:rsidRPr="00096EBF">
        <w:rPr>
          <w:rFonts w:ascii="Arial" w:hAnsi="Arial" w:cs="Arial"/>
        </w:rPr>
        <w:t>analyse</w:t>
      </w:r>
      <w:r w:rsidRPr="00096EBF">
        <w:rPr>
          <w:rFonts w:ascii="Arial" w:hAnsi="Arial" w:cs="Arial"/>
        </w:rPr>
        <w:t xml:space="preserve"> the ratio, then those business firms will undoubtedly be able to assess the improvements in the company's financial status.</w:t>
      </w:r>
      <w:r w:rsidR="00DD453D" w:rsidRPr="00096EBF">
        <w:rPr>
          <w:rFonts w:ascii="Arial" w:hAnsi="Arial" w:cs="Arial"/>
        </w:rPr>
        <w:br w:type="page"/>
      </w:r>
    </w:p>
    <w:p w14:paraId="23E13A7C" w14:textId="7827B429" w:rsidR="00CB455F" w:rsidRPr="00096EBF" w:rsidRDefault="00DD453D" w:rsidP="00DD453D">
      <w:pPr>
        <w:pStyle w:val="Heading1"/>
        <w:rPr>
          <w:rFonts w:ascii="Arial" w:hAnsi="Arial" w:cs="Arial"/>
        </w:rPr>
      </w:pPr>
      <w:bookmarkStart w:id="17" w:name="_Toc101999047"/>
      <w:bookmarkStart w:id="18" w:name="_Toc104231692"/>
      <w:r w:rsidRPr="00096EBF">
        <w:rPr>
          <w:rFonts w:ascii="Arial" w:hAnsi="Arial" w:cs="Arial"/>
        </w:rPr>
        <w:lastRenderedPageBreak/>
        <w:t>Conclusion</w:t>
      </w:r>
      <w:bookmarkEnd w:id="17"/>
      <w:bookmarkEnd w:id="18"/>
      <w:r w:rsidRPr="00096EBF">
        <w:rPr>
          <w:rFonts w:ascii="Arial" w:hAnsi="Arial" w:cs="Arial"/>
        </w:rPr>
        <w:t xml:space="preserve"> </w:t>
      </w:r>
    </w:p>
    <w:p w14:paraId="2637752B" w14:textId="3031DC43" w:rsidR="00DD453D" w:rsidRPr="00096EBF" w:rsidRDefault="008A5E69" w:rsidP="00F15F08">
      <w:pPr>
        <w:rPr>
          <w:rFonts w:ascii="Arial" w:hAnsi="Arial" w:cs="Arial"/>
          <w:lang w:eastAsia="en-GB"/>
        </w:rPr>
      </w:pPr>
      <w:r w:rsidRPr="00096EBF">
        <w:rPr>
          <w:rFonts w:ascii="Arial" w:hAnsi="Arial" w:cs="Arial"/>
          <w:lang w:eastAsia="en-GB"/>
        </w:rPr>
        <w:t xml:space="preserve">Decisions made by companies have a significant impact on their profitability and development. The company's profitability and development will be at risk if the company's decisions are not taken correctly. As a result, </w:t>
      </w:r>
      <w:r w:rsidR="00462AD2" w:rsidRPr="00096EBF">
        <w:rPr>
          <w:rFonts w:ascii="Arial" w:hAnsi="Arial" w:cs="Arial"/>
          <w:lang w:eastAsia="en-GB"/>
        </w:rPr>
        <w:t>the company’s decisions must be</w:t>
      </w:r>
      <w:r w:rsidRPr="00096EBF">
        <w:rPr>
          <w:rFonts w:ascii="Arial" w:hAnsi="Arial" w:cs="Arial"/>
          <w:lang w:eastAsia="en-GB"/>
        </w:rPr>
        <w:t xml:space="preserve"> made correctly. Investing decisions, as well as financial decisions, might also fall under this umbrella</w:t>
      </w:r>
      <w:r w:rsidR="004D3660" w:rsidRPr="00096EBF">
        <w:rPr>
          <w:rFonts w:ascii="Arial" w:hAnsi="Arial" w:cs="Arial"/>
        </w:rPr>
        <w:t xml:space="preserve"> (</w:t>
      </w:r>
      <w:proofErr w:type="spellStart"/>
      <w:r w:rsidR="004D3660" w:rsidRPr="00096EBF">
        <w:rPr>
          <w:rFonts w:ascii="Arial" w:hAnsi="Arial" w:cs="Arial"/>
        </w:rPr>
        <w:t>Axelby</w:t>
      </w:r>
      <w:proofErr w:type="spellEnd"/>
      <w:r w:rsidR="004D3660" w:rsidRPr="00096EBF">
        <w:rPr>
          <w:rFonts w:ascii="Arial" w:hAnsi="Arial" w:cs="Arial"/>
        </w:rPr>
        <w:t>, 2019)</w:t>
      </w:r>
      <w:r w:rsidRPr="00096EBF">
        <w:rPr>
          <w:rFonts w:ascii="Arial" w:hAnsi="Arial" w:cs="Arial"/>
          <w:lang w:eastAsia="en-GB"/>
        </w:rPr>
        <w:t>. The accounting ratios can be used to make any financial and investment decisions. If the ratio evaluation has been done correctly, then the business enterprises need to ensure that the judgments they undertake are founded on the results of that analysis.</w:t>
      </w:r>
      <w:r w:rsidR="00DD453D" w:rsidRPr="00096EBF">
        <w:rPr>
          <w:rFonts w:ascii="Arial" w:hAnsi="Arial" w:cs="Arial"/>
          <w:lang w:eastAsia="en-GB"/>
        </w:rPr>
        <w:br w:type="page"/>
      </w:r>
    </w:p>
    <w:p w14:paraId="09267F76" w14:textId="021F8799" w:rsidR="00DD453D" w:rsidRPr="00096EBF" w:rsidRDefault="00DD453D" w:rsidP="00DD453D">
      <w:pPr>
        <w:pStyle w:val="Heading1"/>
        <w:rPr>
          <w:rFonts w:ascii="Arial" w:hAnsi="Arial" w:cs="Arial"/>
        </w:rPr>
      </w:pPr>
      <w:bookmarkStart w:id="19" w:name="_Toc101999048"/>
      <w:bookmarkStart w:id="20" w:name="_Toc104231693"/>
      <w:r w:rsidRPr="00096EBF">
        <w:rPr>
          <w:rFonts w:ascii="Arial" w:hAnsi="Arial" w:cs="Arial"/>
        </w:rPr>
        <w:lastRenderedPageBreak/>
        <w:t>References</w:t>
      </w:r>
      <w:bookmarkEnd w:id="19"/>
      <w:bookmarkEnd w:id="20"/>
      <w:r w:rsidRPr="00096EBF">
        <w:rPr>
          <w:rFonts w:ascii="Arial" w:hAnsi="Arial" w:cs="Arial"/>
        </w:rPr>
        <w:t xml:space="preserve"> </w:t>
      </w:r>
    </w:p>
    <w:p w14:paraId="572F5066" w14:textId="77777777" w:rsidR="004D3660" w:rsidRPr="00096EBF" w:rsidRDefault="004D3660" w:rsidP="004D3660">
      <w:pPr>
        <w:rPr>
          <w:rFonts w:ascii="Arial" w:hAnsi="Arial" w:cs="Arial"/>
        </w:rPr>
      </w:pPr>
      <w:proofErr w:type="spellStart"/>
      <w:r w:rsidRPr="00096EBF">
        <w:rPr>
          <w:rFonts w:ascii="Arial" w:hAnsi="Arial" w:cs="Arial"/>
        </w:rPr>
        <w:t>Axelby</w:t>
      </w:r>
      <w:proofErr w:type="spellEnd"/>
      <w:r w:rsidRPr="00096EBF">
        <w:rPr>
          <w:rFonts w:ascii="Arial" w:hAnsi="Arial" w:cs="Arial"/>
        </w:rPr>
        <w:t>, G., 2019. CIM Coursebook 01/02 Management Information for Marketing Decisions. Hoboken: Taylor and Francis.</w:t>
      </w:r>
    </w:p>
    <w:p w14:paraId="4D2C3238" w14:textId="77777777" w:rsidR="004D3660" w:rsidRPr="00096EBF" w:rsidRDefault="004D3660" w:rsidP="004D3660">
      <w:pPr>
        <w:rPr>
          <w:rFonts w:ascii="Arial" w:hAnsi="Arial" w:cs="Arial"/>
        </w:rPr>
      </w:pPr>
      <w:proofErr w:type="spellStart"/>
      <w:r w:rsidRPr="00096EBF">
        <w:rPr>
          <w:rFonts w:ascii="Arial" w:hAnsi="Arial" w:cs="Arial"/>
        </w:rPr>
        <w:t>Gangaiah</w:t>
      </w:r>
      <w:proofErr w:type="spellEnd"/>
      <w:r w:rsidRPr="00096EBF">
        <w:rPr>
          <w:rFonts w:ascii="Arial" w:hAnsi="Arial" w:cs="Arial"/>
        </w:rPr>
        <w:t xml:space="preserve">, D., 2019. Functional analysis of inorganic polyphosphate and its associated enzymes in Campylobacter </w:t>
      </w:r>
      <w:proofErr w:type="spellStart"/>
      <w:r w:rsidRPr="00096EBF">
        <w:rPr>
          <w:rFonts w:ascii="Arial" w:hAnsi="Arial" w:cs="Arial"/>
        </w:rPr>
        <w:t>jejuni</w:t>
      </w:r>
      <w:proofErr w:type="spellEnd"/>
      <w:r w:rsidRPr="00096EBF">
        <w:rPr>
          <w:rFonts w:ascii="Arial" w:hAnsi="Arial" w:cs="Arial"/>
        </w:rPr>
        <w:t>. Columbus, Ohio: Ohio State University.</w:t>
      </w:r>
    </w:p>
    <w:p w14:paraId="338F6E07" w14:textId="77777777" w:rsidR="004D3660" w:rsidRPr="00096EBF" w:rsidRDefault="004D3660" w:rsidP="004D3660">
      <w:pPr>
        <w:rPr>
          <w:rFonts w:ascii="Arial" w:hAnsi="Arial" w:cs="Arial"/>
        </w:rPr>
      </w:pPr>
      <w:r w:rsidRPr="00096EBF">
        <w:rPr>
          <w:rFonts w:ascii="Arial" w:hAnsi="Arial" w:cs="Arial"/>
        </w:rPr>
        <w:t xml:space="preserve">GARWAY, D., 2017. How imaging can be used for clinical decision-making?. Acta </w:t>
      </w:r>
      <w:proofErr w:type="spellStart"/>
      <w:r w:rsidRPr="00096EBF">
        <w:rPr>
          <w:rFonts w:ascii="Arial" w:hAnsi="Arial" w:cs="Arial"/>
        </w:rPr>
        <w:t>Ophthalmologica</w:t>
      </w:r>
      <w:proofErr w:type="spellEnd"/>
      <w:r w:rsidRPr="00096EBF">
        <w:rPr>
          <w:rFonts w:ascii="Arial" w:hAnsi="Arial" w:cs="Arial"/>
        </w:rPr>
        <w:t>, 91(45), pp.0-0.</w:t>
      </w:r>
    </w:p>
    <w:p w14:paraId="207CDAA9" w14:textId="77777777" w:rsidR="004D3660" w:rsidRPr="00096EBF" w:rsidRDefault="004D3660" w:rsidP="004D3660">
      <w:pPr>
        <w:rPr>
          <w:rFonts w:ascii="Arial" w:hAnsi="Arial" w:cs="Arial"/>
        </w:rPr>
      </w:pPr>
      <w:r w:rsidRPr="00096EBF">
        <w:rPr>
          <w:rFonts w:ascii="Arial" w:hAnsi="Arial" w:cs="Arial"/>
        </w:rPr>
        <w:t>George, T., 2019. How business can encourage shared decision making. Nursing, 43(8), pp.65-66.</w:t>
      </w:r>
    </w:p>
    <w:p w14:paraId="70DD503F" w14:textId="77777777" w:rsidR="004D3660" w:rsidRPr="00096EBF" w:rsidRDefault="004D3660" w:rsidP="004D3660">
      <w:pPr>
        <w:rPr>
          <w:rFonts w:ascii="Arial" w:hAnsi="Arial" w:cs="Arial"/>
        </w:rPr>
      </w:pPr>
      <w:r w:rsidRPr="00096EBF">
        <w:rPr>
          <w:rFonts w:ascii="Arial" w:hAnsi="Arial" w:cs="Arial"/>
        </w:rPr>
        <w:t xml:space="preserve">Gibbs, D. and </w:t>
      </w:r>
      <w:proofErr w:type="spellStart"/>
      <w:r w:rsidRPr="00096EBF">
        <w:rPr>
          <w:rFonts w:ascii="Arial" w:hAnsi="Arial" w:cs="Arial"/>
        </w:rPr>
        <w:t>Flotemersch</w:t>
      </w:r>
      <w:proofErr w:type="spellEnd"/>
      <w:r w:rsidRPr="00096EBF">
        <w:rPr>
          <w:rFonts w:ascii="Arial" w:hAnsi="Arial" w:cs="Arial"/>
        </w:rPr>
        <w:t>, J., 2019. How environmental futures can inform decision making: A review. Futures, 108(42), pp.37-52.</w:t>
      </w:r>
    </w:p>
    <w:p w14:paraId="755C6C55" w14:textId="77777777" w:rsidR="004D3660" w:rsidRPr="00096EBF" w:rsidRDefault="004D3660" w:rsidP="004D3660">
      <w:pPr>
        <w:rPr>
          <w:rFonts w:ascii="Arial" w:hAnsi="Arial" w:cs="Arial"/>
        </w:rPr>
      </w:pPr>
      <w:r w:rsidRPr="00096EBF">
        <w:rPr>
          <w:rFonts w:ascii="Arial" w:hAnsi="Arial" w:cs="Arial"/>
        </w:rPr>
        <w:t>Gomes, L. and Torres, A., 2020. Marketing decisions in small businesses: how verbal decision analysis can help. International Journal of Management and Decision Making, 11(1), p.19.</w:t>
      </w:r>
    </w:p>
    <w:p w14:paraId="75B4E4FF" w14:textId="77777777" w:rsidR="004D3660" w:rsidRPr="00096EBF" w:rsidRDefault="004D3660" w:rsidP="004D3660">
      <w:pPr>
        <w:rPr>
          <w:rFonts w:ascii="Arial" w:hAnsi="Arial" w:cs="Arial"/>
        </w:rPr>
      </w:pPr>
      <w:r w:rsidRPr="00096EBF">
        <w:rPr>
          <w:rFonts w:ascii="Arial" w:hAnsi="Arial" w:cs="Arial"/>
        </w:rPr>
        <w:t>Joel, P., 2018. Sensory memory can be used to improve decision-making. Frontiers in Neuroscience, 6(24), pp.18-20.</w:t>
      </w:r>
    </w:p>
    <w:p w14:paraId="37C20F09" w14:textId="77777777" w:rsidR="004D3660" w:rsidRPr="00096EBF" w:rsidRDefault="004D3660" w:rsidP="004D3660">
      <w:pPr>
        <w:rPr>
          <w:rFonts w:ascii="Arial" w:hAnsi="Arial" w:cs="Arial"/>
        </w:rPr>
      </w:pPr>
      <w:r w:rsidRPr="00096EBF">
        <w:rPr>
          <w:rFonts w:ascii="Arial" w:hAnsi="Arial" w:cs="Arial"/>
        </w:rPr>
        <w:t>Johnston, D., 2020. Introduction to oil company financial analysis. Tulsa, Okla.: PennWell Corp.</w:t>
      </w:r>
    </w:p>
    <w:p w14:paraId="2AC7A49D" w14:textId="77777777" w:rsidR="004D3660" w:rsidRPr="00096EBF" w:rsidRDefault="004D3660" w:rsidP="004D3660">
      <w:pPr>
        <w:rPr>
          <w:rFonts w:ascii="Arial" w:hAnsi="Arial" w:cs="Arial"/>
        </w:rPr>
      </w:pPr>
      <w:r w:rsidRPr="00096EBF">
        <w:rPr>
          <w:rFonts w:ascii="Arial" w:hAnsi="Arial" w:cs="Arial"/>
        </w:rPr>
        <w:t>Lee, M., 2018. Analysis of microarray gene expression data. Boston: Kluwer Academic.</w:t>
      </w:r>
    </w:p>
    <w:p w14:paraId="4802D46E" w14:textId="77777777" w:rsidR="004D3660" w:rsidRPr="00096EBF" w:rsidRDefault="004D3660" w:rsidP="004D3660">
      <w:pPr>
        <w:rPr>
          <w:rFonts w:ascii="Arial" w:hAnsi="Arial" w:cs="Arial"/>
        </w:rPr>
      </w:pPr>
      <w:r w:rsidRPr="00096EBF">
        <w:rPr>
          <w:rFonts w:ascii="Arial" w:hAnsi="Arial" w:cs="Arial"/>
        </w:rPr>
        <w:t>Marlow, D., 2018. A Practitioner's Guide to Economic Decision Making in Asset Management. London: IWA Publishing.</w:t>
      </w:r>
    </w:p>
    <w:p w14:paraId="2F9C5F0C" w14:textId="77777777" w:rsidR="004D3660" w:rsidRPr="00096EBF" w:rsidRDefault="004D3660" w:rsidP="004D3660">
      <w:pPr>
        <w:rPr>
          <w:rFonts w:ascii="Arial" w:hAnsi="Arial" w:cs="Arial"/>
        </w:rPr>
      </w:pPr>
      <w:r w:rsidRPr="00096EBF">
        <w:rPr>
          <w:rFonts w:ascii="Arial" w:hAnsi="Arial" w:cs="Arial"/>
        </w:rPr>
        <w:t xml:space="preserve">Oshana, R. and </w:t>
      </w:r>
      <w:proofErr w:type="spellStart"/>
      <w:r w:rsidRPr="00096EBF">
        <w:rPr>
          <w:rFonts w:ascii="Arial" w:hAnsi="Arial" w:cs="Arial"/>
        </w:rPr>
        <w:t>Kraeling</w:t>
      </w:r>
      <w:proofErr w:type="spellEnd"/>
      <w:r w:rsidRPr="00096EBF">
        <w:rPr>
          <w:rFonts w:ascii="Arial" w:hAnsi="Arial" w:cs="Arial"/>
        </w:rPr>
        <w:t xml:space="preserve">, M., 2017. Software engineering for embedded systems. Amsterdam: </w:t>
      </w:r>
      <w:proofErr w:type="spellStart"/>
      <w:r w:rsidRPr="00096EBF">
        <w:rPr>
          <w:rFonts w:ascii="Arial" w:hAnsi="Arial" w:cs="Arial"/>
        </w:rPr>
        <w:t>Newnes</w:t>
      </w:r>
      <w:proofErr w:type="spellEnd"/>
      <w:r w:rsidRPr="00096EBF">
        <w:rPr>
          <w:rFonts w:ascii="Arial" w:hAnsi="Arial" w:cs="Arial"/>
        </w:rPr>
        <w:t>.</w:t>
      </w:r>
    </w:p>
    <w:p w14:paraId="1CF71618" w14:textId="77777777" w:rsidR="004D3660" w:rsidRPr="00096EBF" w:rsidRDefault="004D3660" w:rsidP="004D3660">
      <w:pPr>
        <w:rPr>
          <w:rFonts w:ascii="Arial" w:hAnsi="Arial" w:cs="Arial"/>
        </w:rPr>
      </w:pPr>
      <w:r w:rsidRPr="00096EBF">
        <w:rPr>
          <w:rFonts w:ascii="Arial" w:hAnsi="Arial" w:cs="Arial"/>
        </w:rPr>
        <w:t>Zhang, L., 2020. High dimensional computational models for biomedical imaging data analysis. California: The city publications.</w:t>
      </w:r>
    </w:p>
    <w:p w14:paraId="77E2C654" w14:textId="77777777" w:rsidR="00DD453D" w:rsidRPr="00096EBF" w:rsidRDefault="00DD453D" w:rsidP="00CB455F">
      <w:pPr>
        <w:rPr>
          <w:rFonts w:ascii="Arial" w:hAnsi="Arial" w:cs="Arial"/>
          <w:lang w:eastAsia="en-GB"/>
        </w:rPr>
      </w:pPr>
    </w:p>
    <w:sectPr w:rsidR="00DD453D" w:rsidRPr="00096EB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A07DC" w14:textId="77777777" w:rsidR="00614BE5" w:rsidRDefault="00614BE5" w:rsidP="000960DA">
      <w:pPr>
        <w:spacing w:line="240" w:lineRule="auto"/>
      </w:pPr>
      <w:r>
        <w:separator/>
      </w:r>
    </w:p>
  </w:endnote>
  <w:endnote w:type="continuationSeparator" w:id="0">
    <w:p w14:paraId="03DBF94F" w14:textId="77777777" w:rsidR="00614BE5" w:rsidRDefault="00614BE5"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A152E" w14:textId="77777777" w:rsidR="00614BE5" w:rsidRDefault="00614BE5" w:rsidP="000960DA">
      <w:pPr>
        <w:spacing w:line="240" w:lineRule="auto"/>
      </w:pPr>
      <w:r>
        <w:separator/>
      </w:r>
    </w:p>
  </w:footnote>
  <w:footnote w:type="continuationSeparator" w:id="0">
    <w:p w14:paraId="4D3C878A" w14:textId="77777777" w:rsidR="00614BE5" w:rsidRDefault="00614BE5"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F0416"/>
    <w:multiLevelType w:val="hybridMultilevel"/>
    <w:tmpl w:val="A9328834"/>
    <w:lvl w:ilvl="0" w:tplc="949A74D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1053044">
    <w:abstractNumId w:val="0"/>
  </w:num>
  <w:num w:numId="2" w16cid:durableId="1039666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56E69"/>
    <w:rsid w:val="00070058"/>
    <w:rsid w:val="00075A35"/>
    <w:rsid w:val="000960DA"/>
    <w:rsid w:val="00096EBF"/>
    <w:rsid w:val="000A6B49"/>
    <w:rsid w:val="000C3641"/>
    <w:rsid w:val="000E785E"/>
    <w:rsid w:val="000F591B"/>
    <w:rsid w:val="000F7A27"/>
    <w:rsid w:val="001015FC"/>
    <w:rsid w:val="00103E4C"/>
    <w:rsid w:val="00151BF9"/>
    <w:rsid w:val="001526D2"/>
    <w:rsid w:val="00185FBE"/>
    <w:rsid w:val="0018725C"/>
    <w:rsid w:val="00197CB4"/>
    <w:rsid w:val="001B0B88"/>
    <w:rsid w:val="001D5DA1"/>
    <w:rsid w:val="001E2212"/>
    <w:rsid w:val="002770C0"/>
    <w:rsid w:val="002862E0"/>
    <w:rsid w:val="00290B67"/>
    <w:rsid w:val="00293BA3"/>
    <w:rsid w:val="002B54DE"/>
    <w:rsid w:val="002B5911"/>
    <w:rsid w:val="002D1B40"/>
    <w:rsid w:val="002D20AF"/>
    <w:rsid w:val="002F6844"/>
    <w:rsid w:val="003364EC"/>
    <w:rsid w:val="0038452C"/>
    <w:rsid w:val="0039549B"/>
    <w:rsid w:val="003A24B6"/>
    <w:rsid w:val="00400D6A"/>
    <w:rsid w:val="00405EFE"/>
    <w:rsid w:val="00407041"/>
    <w:rsid w:val="00420DE2"/>
    <w:rsid w:val="00442F5D"/>
    <w:rsid w:val="0044672A"/>
    <w:rsid w:val="00455940"/>
    <w:rsid w:val="00456AEB"/>
    <w:rsid w:val="00462AD2"/>
    <w:rsid w:val="004706A9"/>
    <w:rsid w:val="00474E04"/>
    <w:rsid w:val="004B0105"/>
    <w:rsid w:val="004C187B"/>
    <w:rsid w:val="004D3660"/>
    <w:rsid w:val="00503D3E"/>
    <w:rsid w:val="00512D3C"/>
    <w:rsid w:val="00523957"/>
    <w:rsid w:val="00567155"/>
    <w:rsid w:val="00573E63"/>
    <w:rsid w:val="00595298"/>
    <w:rsid w:val="005A11D8"/>
    <w:rsid w:val="005A20AB"/>
    <w:rsid w:val="005B5063"/>
    <w:rsid w:val="005C5C40"/>
    <w:rsid w:val="005D7259"/>
    <w:rsid w:val="00612F30"/>
    <w:rsid w:val="00614BE5"/>
    <w:rsid w:val="006333ED"/>
    <w:rsid w:val="00634C9D"/>
    <w:rsid w:val="006443C7"/>
    <w:rsid w:val="00656FEE"/>
    <w:rsid w:val="00661230"/>
    <w:rsid w:val="006612F3"/>
    <w:rsid w:val="00664FFF"/>
    <w:rsid w:val="0069071B"/>
    <w:rsid w:val="0069714C"/>
    <w:rsid w:val="006A5391"/>
    <w:rsid w:val="006B32F0"/>
    <w:rsid w:val="006D73DA"/>
    <w:rsid w:val="006E0EC0"/>
    <w:rsid w:val="00716FE0"/>
    <w:rsid w:val="00761D47"/>
    <w:rsid w:val="00773AC1"/>
    <w:rsid w:val="00791EAF"/>
    <w:rsid w:val="007B11E1"/>
    <w:rsid w:val="007E22AA"/>
    <w:rsid w:val="007E75F4"/>
    <w:rsid w:val="007F79C3"/>
    <w:rsid w:val="008037CF"/>
    <w:rsid w:val="00815B5F"/>
    <w:rsid w:val="00836D3E"/>
    <w:rsid w:val="00853350"/>
    <w:rsid w:val="008A5E69"/>
    <w:rsid w:val="008C00A7"/>
    <w:rsid w:val="008D1D7B"/>
    <w:rsid w:val="008F425E"/>
    <w:rsid w:val="009168A3"/>
    <w:rsid w:val="00955356"/>
    <w:rsid w:val="00962604"/>
    <w:rsid w:val="0097518C"/>
    <w:rsid w:val="00994F4E"/>
    <w:rsid w:val="009A1B47"/>
    <w:rsid w:val="00A15A3B"/>
    <w:rsid w:val="00A202AA"/>
    <w:rsid w:val="00A269EA"/>
    <w:rsid w:val="00A27A2D"/>
    <w:rsid w:val="00A367DA"/>
    <w:rsid w:val="00A432CA"/>
    <w:rsid w:val="00A9243B"/>
    <w:rsid w:val="00AA3CF9"/>
    <w:rsid w:val="00AA5941"/>
    <w:rsid w:val="00AA6E7B"/>
    <w:rsid w:val="00AC090B"/>
    <w:rsid w:val="00AD6A3E"/>
    <w:rsid w:val="00B205F6"/>
    <w:rsid w:val="00B40435"/>
    <w:rsid w:val="00B50D8E"/>
    <w:rsid w:val="00B5445F"/>
    <w:rsid w:val="00B77685"/>
    <w:rsid w:val="00BB3FBA"/>
    <w:rsid w:val="00BF6E89"/>
    <w:rsid w:val="00C07FBE"/>
    <w:rsid w:val="00C230A0"/>
    <w:rsid w:val="00C27815"/>
    <w:rsid w:val="00C30E81"/>
    <w:rsid w:val="00C3229C"/>
    <w:rsid w:val="00C34BFE"/>
    <w:rsid w:val="00C5699D"/>
    <w:rsid w:val="00C637A6"/>
    <w:rsid w:val="00C6709A"/>
    <w:rsid w:val="00C80086"/>
    <w:rsid w:val="00CB2C21"/>
    <w:rsid w:val="00CB455F"/>
    <w:rsid w:val="00D22F9C"/>
    <w:rsid w:val="00D35EB5"/>
    <w:rsid w:val="00D41573"/>
    <w:rsid w:val="00D527F0"/>
    <w:rsid w:val="00D53988"/>
    <w:rsid w:val="00D73DAE"/>
    <w:rsid w:val="00D74442"/>
    <w:rsid w:val="00DB6311"/>
    <w:rsid w:val="00DD453D"/>
    <w:rsid w:val="00DD54C7"/>
    <w:rsid w:val="00DF38B7"/>
    <w:rsid w:val="00E176D7"/>
    <w:rsid w:val="00E25218"/>
    <w:rsid w:val="00E47186"/>
    <w:rsid w:val="00E56C71"/>
    <w:rsid w:val="00E60888"/>
    <w:rsid w:val="00E943F4"/>
    <w:rsid w:val="00E96588"/>
    <w:rsid w:val="00ED25D1"/>
    <w:rsid w:val="00F0563F"/>
    <w:rsid w:val="00F15F08"/>
    <w:rsid w:val="00F21F49"/>
    <w:rsid w:val="00F64574"/>
    <w:rsid w:val="00F7533F"/>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39549B"/>
    <w:pPr>
      <w:spacing w:after="100"/>
      <w:ind w:left="240"/>
    </w:pPr>
  </w:style>
  <w:style w:type="table" w:styleId="GridTable1Light-Accent6">
    <w:name w:val="Grid Table 1 Light Accent 6"/>
    <w:basedOn w:val="TableNormal"/>
    <w:uiPriority w:val="46"/>
    <w:rsid w:val="001E2212"/>
    <w:pPr>
      <w:spacing w:after="0" w:line="240" w:lineRule="auto"/>
    </w:pPr>
    <w:rPr>
      <w:rFonts w:eastAsiaTheme="minorHAnsi"/>
      <w:lang w:val="en-GB"/>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 w:id="2092920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Mohammad Ekram Hossain</cp:lastModifiedBy>
  <cp:revision>12</cp:revision>
  <dcterms:created xsi:type="dcterms:W3CDTF">2022-06-01T19:16:00Z</dcterms:created>
  <dcterms:modified xsi:type="dcterms:W3CDTF">2022-06-01T19:23:00Z</dcterms:modified>
</cp:coreProperties>
</file>