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FC3D6A" w14:textId="77777777" w:rsidR="00790A6A" w:rsidRDefault="00790A6A" w:rsidP="00DB58BC">
      <w:pPr>
        <w:jc w:val="center"/>
        <w:rPr>
          <w:i/>
          <w:iCs/>
          <w:sz w:val="32"/>
          <w:szCs w:val="32"/>
        </w:rPr>
      </w:pPr>
    </w:p>
    <w:p w14:paraId="3BCCF1A3" w14:textId="77777777" w:rsidR="00790A6A" w:rsidRDefault="00790A6A" w:rsidP="00DB58BC">
      <w:pPr>
        <w:jc w:val="center"/>
        <w:rPr>
          <w:i/>
          <w:iCs/>
          <w:sz w:val="32"/>
          <w:szCs w:val="32"/>
        </w:rPr>
      </w:pPr>
    </w:p>
    <w:p w14:paraId="405EC3CB" w14:textId="77777777" w:rsidR="00790A6A" w:rsidRDefault="00790A6A" w:rsidP="00DB58BC">
      <w:pPr>
        <w:jc w:val="center"/>
        <w:rPr>
          <w:i/>
          <w:iCs/>
          <w:sz w:val="32"/>
          <w:szCs w:val="32"/>
        </w:rPr>
      </w:pPr>
    </w:p>
    <w:p w14:paraId="0E8A2AD3" w14:textId="77777777" w:rsidR="00790A6A" w:rsidRDefault="00790A6A" w:rsidP="00DB58BC">
      <w:pPr>
        <w:jc w:val="center"/>
        <w:rPr>
          <w:i/>
          <w:iCs/>
          <w:sz w:val="32"/>
          <w:szCs w:val="32"/>
        </w:rPr>
      </w:pPr>
    </w:p>
    <w:p w14:paraId="65999F97" w14:textId="77777777" w:rsidR="00790A6A" w:rsidRDefault="00790A6A" w:rsidP="00DB58BC">
      <w:pPr>
        <w:jc w:val="center"/>
        <w:rPr>
          <w:i/>
          <w:iCs/>
          <w:sz w:val="32"/>
          <w:szCs w:val="32"/>
        </w:rPr>
      </w:pPr>
    </w:p>
    <w:p w14:paraId="518C53DF" w14:textId="77777777" w:rsidR="006221E0" w:rsidRDefault="006221E0" w:rsidP="00DB58BC">
      <w:pPr>
        <w:jc w:val="center"/>
        <w:rPr>
          <w:b/>
          <w:bCs/>
          <w:sz w:val="28"/>
          <w:szCs w:val="28"/>
        </w:rPr>
      </w:pPr>
    </w:p>
    <w:p w14:paraId="0F7A810F" w14:textId="77777777" w:rsidR="00790A6A" w:rsidRPr="006221E0" w:rsidRDefault="00000000" w:rsidP="006221E0">
      <w:pPr>
        <w:jc w:val="center"/>
        <w:rPr>
          <w:b/>
          <w:bCs/>
          <w:sz w:val="28"/>
          <w:szCs w:val="28"/>
        </w:rPr>
      </w:pPr>
      <w:r w:rsidRPr="006221E0">
        <w:rPr>
          <w:b/>
          <w:bCs/>
          <w:sz w:val="28"/>
          <w:szCs w:val="28"/>
        </w:rPr>
        <w:t>LCBB6015</w:t>
      </w:r>
      <w:r w:rsidR="006221E0">
        <w:rPr>
          <w:b/>
          <w:bCs/>
          <w:sz w:val="28"/>
          <w:szCs w:val="28"/>
        </w:rPr>
        <w:t xml:space="preserve"> </w:t>
      </w:r>
      <w:r w:rsidRPr="006221E0">
        <w:rPr>
          <w:b/>
          <w:bCs/>
          <w:sz w:val="28"/>
          <w:szCs w:val="28"/>
        </w:rPr>
        <w:t>Strategic Management and Sustainability</w:t>
      </w:r>
    </w:p>
    <w:p w14:paraId="69B5D744" w14:textId="77777777" w:rsidR="006221E0" w:rsidRDefault="006221E0" w:rsidP="006221E0">
      <w:pPr>
        <w:jc w:val="center"/>
        <w:rPr>
          <w:b/>
          <w:bCs/>
          <w:sz w:val="28"/>
          <w:szCs w:val="28"/>
        </w:rPr>
      </w:pPr>
    </w:p>
    <w:p w14:paraId="00103C1A" w14:textId="77777777" w:rsidR="00790A6A" w:rsidRPr="006221E0" w:rsidRDefault="00000000" w:rsidP="006221E0">
      <w:pPr>
        <w:jc w:val="center"/>
        <w:rPr>
          <w:b/>
          <w:bCs/>
          <w:sz w:val="28"/>
          <w:szCs w:val="28"/>
        </w:rPr>
      </w:pPr>
      <w:r w:rsidRPr="006221E0">
        <w:rPr>
          <w:b/>
          <w:bCs/>
          <w:sz w:val="28"/>
          <w:szCs w:val="28"/>
        </w:rPr>
        <w:t>Driving the Charge: A Strategic Management Analysis and Formulation Report for Tesla, Inc.</w:t>
      </w:r>
    </w:p>
    <w:p w14:paraId="09DE503F" w14:textId="77777777" w:rsidR="006221E0" w:rsidRDefault="006221E0" w:rsidP="00DB58BC">
      <w:pPr>
        <w:jc w:val="center"/>
        <w:rPr>
          <w:b/>
          <w:bCs/>
          <w:sz w:val="28"/>
          <w:szCs w:val="28"/>
        </w:rPr>
      </w:pPr>
    </w:p>
    <w:p w14:paraId="30B9271A" w14:textId="77777777" w:rsidR="00790A6A" w:rsidRPr="006221E0" w:rsidRDefault="00000000" w:rsidP="00DB58BC">
      <w:pPr>
        <w:jc w:val="center"/>
        <w:rPr>
          <w:b/>
          <w:bCs/>
          <w:sz w:val="28"/>
          <w:szCs w:val="28"/>
        </w:rPr>
      </w:pPr>
      <w:r w:rsidRPr="006221E0">
        <w:rPr>
          <w:b/>
          <w:bCs/>
          <w:sz w:val="28"/>
          <w:szCs w:val="28"/>
        </w:rPr>
        <w:t>Student Name:</w:t>
      </w:r>
    </w:p>
    <w:p w14:paraId="4A1DEA01" w14:textId="77777777" w:rsidR="00790A6A" w:rsidRPr="006221E0" w:rsidRDefault="00000000" w:rsidP="006221E0">
      <w:pPr>
        <w:jc w:val="center"/>
        <w:rPr>
          <w:b/>
          <w:bCs/>
          <w:sz w:val="28"/>
          <w:szCs w:val="28"/>
        </w:rPr>
      </w:pPr>
      <w:r w:rsidRPr="006221E0">
        <w:rPr>
          <w:b/>
          <w:bCs/>
          <w:sz w:val="28"/>
          <w:szCs w:val="28"/>
        </w:rPr>
        <w:t>Student I</w:t>
      </w:r>
      <w:r w:rsidR="006221E0" w:rsidRPr="006221E0">
        <w:rPr>
          <w:b/>
          <w:bCs/>
          <w:sz w:val="28"/>
          <w:szCs w:val="28"/>
        </w:rPr>
        <w:t>D</w:t>
      </w:r>
    </w:p>
    <w:p w14:paraId="78A6FCA8" w14:textId="77777777" w:rsidR="006221E0" w:rsidRDefault="006221E0" w:rsidP="00DB58BC">
      <w:pPr>
        <w:jc w:val="center"/>
        <w:rPr>
          <w:b/>
          <w:bCs/>
          <w:sz w:val="28"/>
          <w:szCs w:val="28"/>
        </w:rPr>
      </w:pPr>
    </w:p>
    <w:p w14:paraId="3937A022" w14:textId="77777777" w:rsidR="00790A6A" w:rsidRPr="006221E0" w:rsidRDefault="00000000" w:rsidP="00DB58BC">
      <w:pPr>
        <w:jc w:val="center"/>
        <w:rPr>
          <w:b/>
          <w:bCs/>
          <w:sz w:val="28"/>
          <w:szCs w:val="28"/>
        </w:rPr>
      </w:pPr>
      <w:r w:rsidRPr="006221E0">
        <w:rPr>
          <w:b/>
          <w:bCs/>
          <w:sz w:val="28"/>
          <w:szCs w:val="28"/>
        </w:rPr>
        <w:t>Module Leader:</w:t>
      </w:r>
    </w:p>
    <w:p w14:paraId="26070FCB" w14:textId="77777777" w:rsidR="009E53D1" w:rsidRDefault="009E53D1" w:rsidP="00DB58BC"/>
    <w:p w14:paraId="77F5B79C" w14:textId="77777777" w:rsidR="009D7143" w:rsidRDefault="009D7143" w:rsidP="00DB58BC"/>
    <w:p w14:paraId="2891C5D9" w14:textId="77777777" w:rsidR="009D7143" w:rsidRDefault="009D7143" w:rsidP="00DB58BC"/>
    <w:p w14:paraId="7B5FD824" w14:textId="77777777" w:rsidR="009D7143" w:rsidRDefault="009D7143" w:rsidP="00DB58BC"/>
    <w:p w14:paraId="26F3D3C4" w14:textId="77777777" w:rsidR="009D7143" w:rsidRDefault="009D7143" w:rsidP="00DB58BC"/>
    <w:p w14:paraId="730FD540" w14:textId="77777777" w:rsidR="009D7143" w:rsidRDefault="009D7143" w:rsidP="00DB58BC"/>
    <w:p w14:paraId="4174EA4B" w14:textId="77777777" w:rsidR="009D7143" w:rsidRDefault="009D7143" w:rsidP="00DB58BC"/>
    <w:p w14:paraId="3D4D0468" w14:textId="77777777" w:rsidR="009D7143" w:rsidRDefault="00000000" w:rsidP="00DB58BC">
      <w:pPr>
        <w:spacing w:after="160"/>
        <w:jc w:val="left"/>
      </w:pPr>
      <w:r>
        <w:br w:type="page"/>
      </w:r>
    </w:p>
    <w:p w14:paraId="4EAED65B" w14:textId="77777777" w:rsidR="009D7143" w:rsidRDefault="00000000" w:rsidP="00DB58BC">
      <w:pPr>
        <w:pStyle w:val="Heading1"/>
      </w:pPr>
      <w:bookmarkStart w:id="0" w:name="_Toc236132304"/>
      <w:r>
        <w:lastRenderedPageBreak/>
        <w:t>Executive Summary</w:t>
      </w:r>
      <w:bookmarkEnd w:id="0"/>
    </w:p>
    <w:p w14:paraId="24625354" w14:textId="77777777" w:rsidR="006F4C0A" w:rsidRPr="006F4C0A" w:rsidRDefault="00000000" w:rsidP="00DB58BC">
      <w:r w:rsidRPr="006F4C0A">
        <w:t>This report builds a strategy formulation plan for Tesla, Inc., an electric vehicle and clean energy industry leader, with the automotive industry context of electrification, software-defined vehicles, and sustainability pressure. It starts with an overview of Tesla's background, mission, and objectives and goes on to analyse the recent financial and operational performance of the firm, which reveals declining vehicle deliveries and increasing rivalry with Chinese BYD and rapid expansion in energy storage. The report then uses PESTEL and Porter's Five Forces to analyse the external environment of Tesla, discovering a market characterised by changing government backing, declining battery prices and stiff competition. An internal audit using SWOT, VRIO, BCG, and value chain analysis indicates that Tesla's strengths are its in-house battery, software, and charging technology; the primary weakness is its reliance on a limited model range. Based on these results, the report proposes a strategy that integrates reduced-priced models with deeper partnerships in essential mineral supplies, which is aimed at securing market share while managing control costs and material risk. The report finds that Tesla needs to strike a balance between short-term competitive pressure and its long-term mission of speeding up the world's transition to sustainable energy and provides clear, practical recommendations to help it achieve that objective.</w:t>
      </w:r>
    </w:p>
    <w:p w14:paraId="6B237110" w14:textId="77777777" w:rsidR="009D7143" w:rsidRDefault="009D7143" w:rsidP="00DB58BC"/>
    <w:p w14:paraId="49B571D1" w14:textId="77777777" w:rsidR="009D7143" w:rsidRDefault="009D7143" w:rsidP="00DB58BC"/>
    <w:p w14:paraId="50DC3445" w14:textId="77777777" w:rsidR="009D7143" w:rsidRDefault="009D7143" w:rsidP="00DB58BC"/>
    <w:p w14:paraId="2ACE10A3" w14:textId="77777777" w:rsidR="009D7143" w:rsidRDefault="009D7143" w:rsidP="00DB58BC"/>
    <w:p w14:paraId="3E610153" w14:textId="77777777" w:rsidR="009D7143" w:rsidRDefault="009D7143" w:rsidP="00DB58BC"/>
    <w:p w14:paraId="2A7CAB44" w14:textId="77777777" w:rsidR="009D7143" w:rsidRDefault="009D7143" w:rsidP="00DB58BC"/>
    <w:p w14:paraId="0BC30894" w14:textId="77777777" w:rsidR="009D7143" w:rsidRDefault="009D7143" w:rsidP="00DB58BC"/>
    <w:p w14:paraId="542CC412" w14:textId="77777777" w:rsidR="009D7143" w:rsidRDefault="00000000" w:rsidP="00DB58BC">
      <w:pPr>
        <w:spacing w:after="160"/>
        <w:jc w:val="left"/>
      </w:pPr>
      <w:r>
        <w:br w:type="page"/>
      </w:r>
    </w:p>
    <w:sdt>
      <w:sdtPr>
        <w:rPr>
          <w:rFonts w:ascii="Arial" w:eastAsiaTheme="minorHAnsi" w:hAnsi="Arial" w:cs="Arial"/>
          <w:b/>
          <w:bCs/>
          <w:color w:val="auto"/>
          <w:sz w:val="28"/>
          <w:szCs w:val="28"/>
          <w:lang w:val="en-GB" w:bidi="bn-BD"/>
          <w14:ligatures w14:val="standardContextual"/>
        </w:rPr>
        <w:id w:val="1893932633"/>
        <w:docPartObj>
          <w:docPartGallery w:val="Table of Contents"/>
          <w:docPartUnique/>
        </w:docPartObj>
      </w:sdtPr>
      <w:sdtEndPr>
        <w:rPr>
          <w:rFonts w:cstheme="minorBidi"/>
          <w:noProof/>
          <w:sz w:val="22"/>
          <w:szCs w:val="30"/>
        </w:rPr>
      </w:sdtEndPr>
      <w:sdtContent>
        <w:p w14:paraId="546ACA1E" w14:textId="77777777" w:rsidR="0017182A" w:rsidRPr="0017182A" w:rsidRDefault="00000000" w:rsidP="00DB58BC">
          <w:pPr>
            <w:pStyle w:val="TOCHeading"/>
            <w:spacing w:line="360" w:lineRule="auto"/>
            <w:rPr>
              <w:rFonts w:ascii="Arial" w:hAnsi="Arial" w:cs="Arial"/>
              <w:b/>
              <w:bCs/>
              <w:color w:val="auto"/>
              <w:sz w:val="28"/>
              <w:szCs w:val="28"/>
            </w:rPr>
          </w:pPr>
          <w:r w:rsidRPr="0017182A">
            <w:rPr>
              <w:rFonts w:ascii="Arial" w:hAnsi="Arial" w:cs="Arial"/>
              <w:b/>
              <w:bCs/>
              <w:color w:val="auto"/>
              <w:sz w:val="28"/>
              <w:szCs w:val="28"/>
            </w:rPr>
            <w:t>Table of Contents</w:t>
          </w:r>
        </w:p>
        <w:p w14:paraId="1FD8CA1A" w14:textId="77777777" w:rsidR="0082200B" w:rsidRDefault="00000000" w:rsidP="0082200B">
          <w:pPr>
            <w:pStyle w:val="TOC1"/>
            <w:tabs>
              <w:tab w:val="right" w:leader="dot" w:pos="9350"/>
            </w:tabs>
            <w:spacing w:after="0"/>
            <w:rPr>
              <w:rFonts w:asciiTheme="minorHAnsi" w:eastAsiaTheme="minorEastAsia" w:hAnsiTheme="minorHAnsi"/>
              <w:noProof/>
              <w:kern w:val="2"/>
              <w:szCs w:val="22"/>
              <w:lang w:val="en-US" w:bidi="ar-SA"/>
            </w:rPr>
          </w:pPr>
          <w:r>
            <w:fldChar w:fldCharType="begin"/>
          </w:r>
          <w:r>
            <w:instrText xml:space="preserve"> TOC \o "1-3" \h \z \u </w:instrText>
          </w:r>
          <w:r>
            <w:fldChar w:fldCharType="separate"/>
          </w:r>
          <w:hyperlink w:anchor="_Toc236132304" w:history="1">
            <w:r w:rsidR="0082200B" w:rsidRPr="00A97BCE">
              <w:rPr>
                <w:rStyle w:val="Hyperlink"/>
                <w:noProof/>
              </w:rPr>
              <w:t>Executive Summary</w:t>
            </w:r>
            <w:r w:rsidR="0082200B">
              <w:rPr>
                <w:noProof/>
                <w:webHidden/>
              </w:rPr>
              <w:tab/>
            </w:r>
            <w:r w:rsidR="0082200B">
              <w:rPr>
                <w:noProof/>
                <w:webHidden/>
              </w:rPr>
              <w:fldChar w:fldCharType="begin"/>
            </w:r>
            <w:r w:rsidR="0082200B">
              <w:rPr>
                <w:noProof/>
                <w:webHidden/>
              </w:rPr>
              <w:instrText xml:space="preserve"> PAGEREF _Toc236132304 \h </w:instrText>
            </w:r>
            <w:r w:rsidR="0082200B">
              <w:rPr>
                <w:noProof/>
                <w:webHidden/>
              </w:rPr>
            </w:r>
            <w:r w:rsidR="0082200B">
              <w:rPr>
                <w:noProof/>
                <w:webHidden/>
              </w:rPr>
              <w:fldChar w:fldCharType="separate"/>
            </w:r>
            <w:r w:rsidR="0082200B">
              <w:rPr>
                <w:noProof/>
                <w:webHidden/>
              </w:rPr>
              <w:t>2</w:t>
            </w:r>
            <w:r w:rsidR="0082200B">
              <w:rPr>
                <w:noProof/>
                <w:webHidden/>
              </w:rPr>
              <w:fldChar w:fldCharType="end"/>
            </w:r>
          </w:hyperlink>
        </w:p>
        <w:p w14:paraId="5ACDFBD2" w14:textId="77777777" w:rsidR="0082200B" w:rsidRDefault="0082200B" w:rsidP="0082200B">
          <w:pPr>
            <w:pStyle w:val="TOC1"/>
            <w:tabs>
              <w:tab w:val="right" w:leader="dot" w:pos="9350"/>
            </w:tabs>
            <w:spacing w:after="0"/>
            <w:rPr>
              <w:rFonts w:asciiTheme="minorHAnsi" w:eastAsiaTheme="minorEastAsia" w:hAnsiTheme="minorHAnsi"/>
              <w:noProof/>
              <w:kern w:val="2"/>
              <w:szCs w:val="22"/>
              <w:lang w:val="en-US" w:bidi="ar-SA"/>
            </w:rPr>
          </w:pPr>
          <w:hyperlink w:anchor="_Toc236132305" w:history="1">
            <w:r w:rsidRPr="00A97BCE">
              <w:rPr>
                <w:rStyle w:val="Hyperlink"/>
                <w:noProof/>
              </w:rPr>
              <w:t>Introduction to the Strategy</w:t>
            </w:r>
            <w:r>
              <w:rPr>
                <w:noProof/>
                <w:webHidden/>
              </w:rPr>
              <w:tab/>
            </w:r>
            <w:r>
              <w:rPr>
                <w:noProof/>
                <w:webHidden/>
              </w:rPr>
              <w:fldChar w:fldCharType="begin"/>
            </w:r>
            <w:r>
              <w:rPr>
                <w:noProof/>
                <w:webHidden/>
              </w:rPr>
              <w:instrText xml:space="preserve"> PAGEREF _Toc236132305 \h </w:instrText>
            </w:r>
            <w:r>
              <w:rPr>
                <w:noProof/>
                <w:webHidden/>
              </w:rPr>
            </w:r>
            <w:r>
              <w:rPr>
                <w:noProof/>
                <w:webHidden/>
              </w:rPr>
              <w:fldChar w:fldCharType="separate"/>
            </w:r>
            <w:r>
              <w:rPr>
                <w:noProof/>
                <w:webHidden/>
              </w:rPr>
              <w:t>4</w:t>
            </w:r>
            <w:r>
              <w:rPr>
                <w:noProof/>
                <w:webHidden/>
              </w:rPr>
              <w:fldChar w:fldCharType="end"/>
            </w:r>
          </w:hyperlink>
        </w:p>
        <w:p w14:paraId="2B427FDB" w14:textId="77777777" w:rsidR="0082200B" w:rsidRDefault="0082200B" w:rsidP="0082200B">
          <w:pPr>
            <w:pStyle w:val="TOC1"/>
            <w:tabs>
              <w:tab w:val="right" w:leader="dot" w:pos="9350"/>
            </w:tabs>
            <w:spacing w:after="0"/>
            <w:rPr>
              <w:rFonts w:asciiTheme="minorHAnsi" w:eastAsiaTheme="minorEastAsia" w:hAnsiTheme="minorHAnsi"/>
              <w:noProof/>
              <w:kern w:val="2"/>
              <w:szCs w:val="22"/>
              <w:lang w:val="en-US" w:bidi="ar-SA"/>
            </w:rPr>
          </w:pPr>
          <w:hyperlink w:anchor="_Toc236132306" w:history="1">
            <w:r w:rsidRPr="00A97BCE">
              <w:rPr>
                <w:rStyle w:val="Hyperlink"/>
                <w:noProof/>
              </w:rPr>
              <w:t>Overview and Background of the Firm</w:t>
            </w:r>
            <w:r>
              <w:rPr>
                <w:noProof/>
                <w:webHidden/>
              </w:rPr>
              <w:tab/>
            </w:r>
            <w:r>
              <w:rPr>
                <w:noProof/>
                <w:webHidden/>
              </w:rPr>
              <w:fldChar w:fldCharType="begin"/>
            </w:r>
            <w:r>
              <w:rPr>
                <w:noProof/>
                <w:webHidden/>
              </w:rPr>
              <w:instrText xml:space="preserve"> PAGEREF _Toc236132306 \h </w:instrText>
            </w:r>
            <w:r>
              <w:rPr>
                <w:noProof/>
                <w:webHidden/>
              </w:rPr>
            </w:r>
            <w:r>
              <w:rPr>
                <w:noProof/>
                <w:webHidden/>
              </w:rPr>
              <w:fldChar w:fldCharType="separate"/>
            </w:r>
            <w:r>
              <w:rPr>
                <w:noProof/>
                <w:webHidden/>
              </w:rPr>
              <w:t>4</w:t>
            </w:r>
            <w:r>
              <w:rPr>
                <w:noProof/>
                <w:webHidden/>
              </w:rPr>
              <w:fldChar w:fldCharType="end"/>
            </w:r>
          </w:hyperlink>
        </w:p>
        <w:p w14:paraId="312FC2DC" w14:textId="77777777" w:rsidR="0082200B" w:rsidRDefault="0082200B" w:rsidP="0082200B">
          <w:pPr>
            <w:pStyle w:val="TOC1"/>
            <w:tabs>
              <w:tab w:val="right" w:leader="dot" w:pos="9350"/>
            </w:tabs>
            <w:spacing w:after="0"/>
            <w:rPr>
              <w:rFonts w:asciiTheme="minorHAnsi" w:eastAsiaTheme="minorEastAsia" w:hAnsiTheme="minorHAnsi"/>
              <w:noProof/>
              <w:kern w:val="2"/>
              <w:szCs w:val="22"/>
              <w:lang w:val="en-US" w:bidi="ar-SA"/>
            </w:rPr>
          </w:pPr>
          <w:hyperlink w:anchor="_Toc236132307" w:history="1">
            <w:r w:rsidRPr="00A97BCE">
              <w:rPr>
                <w:rStyle w:val="Hyperlink"/>
                <w:noProof/>
              </w:rPr>
              <w:t>Strategic Intent</w:t>
            </w:r>
            <w:r>
              <w:rPr>
                <w:noProof/>
                <w:webHidden/>
              </w:rPr>
              <w:tab/>
            </w:r>
            <w:r>
              <w:rPr>
                <w:noProof/>
                <w:webHidden/>
              </w:rPr>
              <w:fldChar w:fldCharType="begin"/>
            </w:r>
            <w:r>
              <w:rPr>
                <w:noProof/>
                <w:webHidden/>
              </w:rPr>
              <w:instrText xml:space="preserve"> PAGEREF _Toc236132307 \h </w:instrText>
            </w:r>
            <w:r>
              <w:rPr>
                <w:noProof/>
                <w:webHidden/>
              </w:rPr>
            </w:r>
            <w:r>
              <w:rPr>
                <w:noProof/>
                <w:webHidden/>
              </w:rPr>
              <w:fldChar w:fldCharType="separate"/>
            </w:r>
            <w:r>
              <w:rPr>
                <w:noProof/>
                <w:webHidden/>
              </w:rPr>
              <w:t>5</w:t>
            </w:r>
            <w:r>
              <w:rPr>
                <w:noProof/>
                <w:webHidden/>
              </w:rPr>
              <w:fldChar w:fldCharType="end"/>
            </w:r>
          </w:hyperlink>
        </w:p>
        <w:p w14:paraId="105344A5" w14:textId="77777777" w:rsidR="0082200B" w:rsidRDefault="0082200B" w:rsidP="0082200B">
          <w:pPr>
            <w:pStyle w:val="TOC1"/>
            <w:tabs>
              <w:tab w:val="right" w:leader="dot" w:pos="9350"/>
            </w:tabs>
            <w:spacing w:after="0"/>
            <w:rPr>
              <w:rFonts w:asciiTheme="minorHAnsi" w:eastAsiaTheme="minorEastAsia" w:hAnsiTheme="minorHAnsi"/>
              <w:noProof/>
              <w:kern w:val="2"/>
              <w:szCs w:val="22"/>
              <w:lang w:val="en-US" w:bidi="ar-SA"/>
            </w:rPr>
          </w:pPr>
          <w:hyperlink w:anchor="_Toc236132308" w:history="1">
            <w:r w:rsidRPr="00A97BCE">
              <w:rPr>
                <w:rStyle w:val="Hyperlink"/>
                <w:noProof/>
              </w:rPr>
              <w:t>The Company's Current Performance</w:t>
            </w:r>
            <w:r>
              <w:rPr>
                <w:noProof/>
                <w:webHidden/>
              </w:rPr>
              <w:tab/>
            </w:r>
            <w:r>
              <w:rPr>
                <w:noProof/>
                <w:webHidden/>
              </w:rPr>
              <w:fldChar w:fldCharType="begin"/>
            </w:r>
            <w:r>
              <w:rPr>
                <w:noProof/>
                <w:webHidden/>
              </w:rPr>
              <w:instrText xml:space="preserve"> PAGEREF _Toc236132308 \h </w:instrText>
            </w:r>
            <w:r>
              <w:rPr>
                <w:noProof/>
                <w:webHidden/>
              </w:rPr>
            </w:r>
            <w:r>
              <w:rPr>
                <w:noProof/>
                <w:webHidden/>
              </w:rPr>
              <w:fldChar w:fldCharType="separate"/>
            </w:r>
            <w:r>
              <w:rPr>
                <w:noProof/>
                <w:webHidden/>
              </w:rPr>
              <w:t>5</w:t>
            </w:r>
            <w:r>
              <w:rPr>
                <w:noProof/>
                <w:webHidden/>
              </w:rPr>
              <w:fldChar w:fldCharType="end"/>
            </w:r>
          </w:hyperlink>
        </w:p>
        <w:p w14:paraId="657D35CC" w14:textId="77777777" w:rsidR="0082200B" w:rsidRDefault="0082200B" w:rsidP="0082200B">
          <w:pPr>
            <w:pStyle w:val="TOC1"/>
            <w:tabs>
              <w:tab w:val="right" w:leader="dot" w:pos="9350"/>
            </w:tabs>
            <w:spacing w:after="0"/>
            <w:rPr>
              <w:rFonts w:asciiTheme="minorHAnsi" w:eastAsiaTheme="minorEastAsia" w:hAnsiTheme="minorHAnsi"/>
              <w:noProof/>
              <w:kern w:val="2"/>
              <w:szCs w:val="22"/>
              <w:lang w:val="en-US" w:bidi="ar-SA"/>
            </w:rPr>
          </w:pPr>
          <w:hyperlink w:anchor="_Toc236132309" w:history="1">
            <w:r w:rsidRPr="00A97BCE">
              <w:rPr>
                <w:rStyle w:val="Hyperlink"/>
                <w:noProof/>
              </w:rPr>
              <w:t>Strategy Analysis</w:t>
            </w:r>
            <w:r>
              <w:rPr>
                <w:noProof/>
                <w:webHidden/>
              </w:rPr>
              <w:tab/>
            </w:r>
            <w:r>
              <w:rPr>
                <w:noProof/>
                <w:webHidden/>
              </w:rPr>
              <w:fldChar w:fldCharType="begin"/>
            </w:r>
            <w:r>
              <w:rPr>
                <w:noProof/>
                <w:webHidden/>
              </w:rPr>
              <w:instrText xml:space="preserve"> PAGEREF _Toc236132309 \h </w:instrText>
            </w:r>
            <w:r>
              <w:rPr>
                <w:noProof/>
                <w:webHidden/>
              </w:rPr>
            </w:r>
            <w:r>
              <w:rPr>
                <w:noProof/>
                <w:webHidden/>
              </w:rPr>
              <w:fldChar w:fldCharType="separate"/>
            </w:r>
            <w:r>
              <w:rPr>
                <w:noProof/>
                <w:webHidden/>
              </w:rPr>
              <w:t>6</w:t>
            </w:r>
            <w:r>
              <w:rPr>
                <w:noProof/>
                <w:webHidden/>
              </w:rPr>
              <w:fldChar w:fldCharType="end"/>
            </w:r>
          </w:hyperlink>
        </w:p>
        <w:p w14:paraId="0F85B45F" w14:textId="77777777" w:rsidR="0082200B" w:rsidRDefault="0082200B" w:rsidP="0082200B">
          <w:pPr>
            <w:pStyle w:val="TOC2"/>
            <w:tabs>
              <w:tab w:val="right" w:leader="dot" w:pos="9350"/>
            </w:tabs>
            <w:spacing w:after="0"/>
            <w:rPr>
              <w:rFonts w:asciiTheme="minorHAnsi" w:eastAsiaTheme="minorEastAsia" w:hAnsiTheme="minorHAnsi"/>
              <w:noProof/>
              <w:kern w:val="2"/>
              <w:szCs w:val="22"/>
              <w:lang w:val="en-US" w:bidi="ar-SA"/>
            </w:rPr>
          </w:pPr>
          <w:hyperlink w:anchor="_Toc236132310" w:history="1">
            <w:r w:rsidRPr="00A97BCE">
              <w:rPr>
                <w:rStyle w:val="Hyperlink"/>
                <w:noProof/>
              </w:rPr>
              <w:t>External Environmental Audit</w:t>
            </w:r>
            <w:r>
              <w:rPr>
                <w:noProof/>
                <w:webHidden/>
              </w:rPr>
              <w:tab/>
            </w:r>
            <w:r>
              <w:rPr>
                <w:noProof/>
                <w:webHidden/>
              </w:rPr>
              <w:fldChar w:fldCharType="begin"/>
            </w:r>
            <w:r>
              <w:rPr>
                <w:noProof/>
                <w:webHidden/>
              </w:rPr>
              <w:instrText xml:space="preserve"> PAGEREF _Toc236132310 \h </w:instrText>
            </w:r>
            <w:r>
              <w:rPr>
                <w:noProof/>
                <w:webHidden/>
              </w:rPr>
            </w:r>
            <w:r>
              <w:rPr>
                <w:noProof/>
                <w:webHidden/>
              </w:rPr>
              <w:fldChar w:fldCharType="separate"/>
            </w:r>
            <w:r>
              <w:rPr>
                <w:noProof/>
                <w:webHidden/>
              </w:rPr>
              <w:t>6</w:t>
            </w:r>
            <w:r>
              <w:rPr>
                <w:noProof/>
                <w:webHidden/>
              </w:rPr>
              <w:fldChar w:fldCharType="end"/>
            </w:r>
          </w:hyperlink>
        </w:p>
        <w:p w14:paraId="17654B26" w14:textId="77777777" w:rsidR="0082200B" w:rsidRDefault="0082200B" w:rsidP="0082200B">
          <w:pPr>
            <w:pStyle w:val="TOC2"/>
            <w:tabs>
              <w:tab w:val="right" w:leader="dot" w:pos="9350"/>
            </w:tabs>
            <w:spacing w:after="0"/>
            <w:rPr>
              <w:rFonts w:asciiTheme="minorHAnsi" w:eastAsiaTheme="minorEastAsia" w:hAnsiTheme="minorHAnsi"/>
              <w:noProof/>
              <w:kern w:val="2"/>
              <w:szCs w:val="22"/>
              <w:lang w:val="en-US" w:bidi="ar-SA"/>
            </w:rPr>
          </w:pPr>
          <w:hyperlink w:anchor="_Toc236132311" w:history="1">
            <w:r w:rsidRPr="00A97BCE">
              <w:rPr>
                <w:rStyle w:val="Hyperlink"/>
                <w:noProof/>
              </w:rPr>
              <w:t>Internal Environmental Audit</w:t>
            </w:r>
            <w:r>
              <w:rPr>
                <w:noProof/>
                <w:webHidden/>
              </w:rPr>
              <w:tab/>
            </w:r>
            <w:r>
              <w:rPr>
                <w:noProof/>
                <w:webHidden/>
              </w:rPr>
              <w:fldChar w:fldCharType="begin"/>
            </w:r>
            <w:r>
              <w:rPr>
                <w:noProof/>
                <w:webHidden/>
              </w:rPr>
              <w:instrText xml:space="preserve"> PAGEREF _Toc236132311 \h </w:instrText>
            </w:r>
            <w:r>
              <w:rPr>
                <w:noProof/>
                <w:webHidden/>
              </w:rPr>
            </w:r>
            <w:r>
              <w:rPr>
                <w:noProof/>
                <w:webHidden/>
              </w:rPr>
              <w:fldChar w:fldCharType="separate"/>
            </w:r>
            <w:r>
              <w:rPr>
                <w:noProof/>
                <w:webHidden/>
              </w:rPr>
              <w:t>7</w:t>
            </w:r>
            <w:r>
              <w:rPr>
                <w:noProof/>
                <w:webHidden/>
              </w:rPr>
              <w:fldChar w:fldCharType="end"/>
            </w:r>
          </w:hyperlink>
        </w:p>
        <w:p w14:paraId="2400B1D8" w14:textId="77777777" w:rsidR="0082200B" w:rsidRDefault="0082200B" w:rsidP="0082200B">
          <w:pPr>
            <w:pStyle w:val="TOC1"/>
            <w:tabs>
              <w:tab w:val="right" w:leader="dot" w:pos="9350"/>
            </w:tabs>
            <w:spacing w:after="0"/>
            <w:rPr>
              <w:rFonts w:asciiTheme="minorHAnsi" w:eastAsiaTheme="minorEastAsia" w:hAnsiTheme="minorHAnsi"/>
              <w:noProof/>
              <w:kern w:val="2"/>
              <w:szCs w:val="22"/>
              <w:lang w:val="en-US" w:bidi="ar-SA"/>
            </w:rPr>
          </w:pPr>
          <w:hyperlink w:anchor="_Toc236132312" w:history="1">
            <w:r w:rsidRPr="00A97BCE">
              <w:rPr>
                <w:rStyle w:val="Hyperlink"/>
                <w:noProof/>
              </w:rPr>
              <w:t>Strategy Formulation</w:t>
            </w:r>
            <w:r>
              <w:rPr>
                <w:noProof/>
                <w:webHidden/>
              </w:rPr>
              <w:tab/>
            </w:r>
            <w:r>
              <w:rPr>
                <w:noProof/>
                <w:webHidden/>
              </w:rPr>
              <w:fldChar w:fldCharType="begin"/>
            </w:r>
            <w:r>
              <w:rPr>
                <w:noProof/>
                <w:webHidden/>
              </w:rPr>
              <w:instrText xml:space="preserve"> PAGEREF _Toc236132312 \h </w:instrText>
            </w:r>
            <w:r>
              <w:rPr>
                <w:noProof/>
                <w:webHidden/>
              </w:rPr>
            </w:r>
            <w:r>
              <w:rPr>
                <w:noProof/>
                <w:webHidden/>
              </w:rPr>
              <w:fldChar w:fldCharType="separate"/>
            </w:r>
            <w:r>
              <w:rPr>
                <w:noProof/>
                <w:webHidden/>
              </w:rPr>
              <w:t>8</w:t>
            </w:r>
            <w:r>
              <w:rPr>
                <w:noProof/>
                <w:webHidden/>
              </w:rPr>
              <w:fldChar w:fldCharType="end"/>
            </w:r>
          </w:hyperlink>
        </w:p>
        <w:p w14:paraId="49B3786B" w14:textId="77777777" w:rsidR="0082200B" w:rsidRDefault="0082200B" w:rsidP="0082200B">
          <w:pPr>
            <w:pStyle w:val="TOC1"/>
            <w:tabs>
              <w:tab w:val="right" w:leader="dot" w:pos="9350"/>
            </w:tabs>
            <w:spacing w:after="0"/>
            <w:rPr>
              <w:rFonts w:asciiTheme="minorHAnsi" w:eastAsiaTheme="minorEastAsia" w:hAnsiTheme="minorHAnsi"/>
              <w:noProof/>
              <w:kern w:val="2"/>
              <w:szCs w:val="22"/>
              <w:lang w:val="en-US" w:bidi="ar-SA"/>
            </w:rPr>
          </w:pPr>
          <w:hyperlink w:anchor="_Toc236132313" w:history="1">
            <w:r w:rsidRPr="00A97BCE">
              <w:rPr>
                <w:rStyle w:val="Hyperlink"/>
                <w:noProof/>
              </w:rPr>
              <w:t>Conclusion and Recommendation</w:t>
            </w:r>
            <w:r>
              <w:rPr>
                <w:noProof/>
                <w:webHidden/>
              </w:rPr>
              <w:tab/>
            </w:r>
            <w:r>
              <w:rPr>
                <w:noProof/>
                <w:webHidden/>
              </w:rPr>
              <w:fldChar w:fldCharType="begin"/>
            </w:r>
            <w:r>
              <w:rPr>
                <w:noProof/>
                <w:webHidden/>
              </w:rPr>
              <w:instrText xml:space="preserve"> PAGEREF _Toc236132313 \h </w:instrText>
            </w:r>
            <w:r>
              <w:rPr>
                <w:noProof/>
                <w:webHidden/>
              </w:rPr>
            </w:r>
            <w:r>
              <w:rPr>
                <w:noProof/>
                <w:webHidden/>
              </w:rPr>
              <w:fldChar w:fldCharType="separate"/>
            </w:r>
            <w:r>
              <w:rPr>
                <w:noProof/>
                <w:webHidden/>
              </w:rPr>
              <w:t>9</w:t>
            </w:r>
            <w:r>
              <w:rPr>
                <w:noProof/>
                <w:webHidden/>
              </w:rPr>
              <w:fldChar w:fldCharType="end"/>
            </w:r>
          </w:hyperlink>
        </w:p>
        <w:p w14:paraId="051F8F9E" w14:textId="77777777" w:rsidR="0082200B" w:rsidRDefault="0082200B" w:rsidP="0082200B">
          <w:pPr>
            <w:pStyle w:val="TOC1"/>
            <w:tabs>
              <w:tab w:val="right" w:leader="dot" w:pos="9350"/>
            </w:tabs>
            <w:spacing w:after="0"/>
            <w:rPr>
              <w:rFonts w:asciiTheme="minorHAnsi" w:eastAsiaTheme="minorEastAsia" w:hAnsiTheme="minorHAnsi"/>
              <w:noProof/>
              <w:kern w:val="2"/>
              <w:szCs w:val="22"/>
              <w:lang w:val="en-US" w:bidi="ar-SA"/>
            </w:rPr>
          </w:pPr>
          <w:hyperlink w:anchor="_Toc236132314" w:history="1">
            <w:r w:rsidRPr="00A97BCE">
              <w:rPr>
                <w:rStyle w:val="Hyperlink"/>
                <w:noProof/>
              </w:rPr>
              <w:t>References</w:t>
            </w:r>
            <w:r>
              <w:rPr>
                <w:noProof/>
                <w:webHidden/>
              </w:rPr>
              <w:tab/>
            </w:r>
            <w:r>
              <w:rPr>
                <w:noProof/>
                <w:webHidden/>
              </w:rPr>
              <w:fldChar w:fldCharType="begin"/>
            </w:r>
            <w:r>
              <w:rPr>
                <w:noProof/>
                <w:webHidden/>
              </w:rPr>
              <w:instrText xml:space="preserve"> PAGEREF _Toc236132314 \h </w:instrText>
            </w:r>
            <w:r>
              <w:rPr>
                <w:noProof/>
                <w:webHidden/>
              </w:rPr>
            </w:r>
            <w:r>
              <w:rPr>
                <w:noProof/>
                <w:webHidden/>
              </w:rPr>
              <w:fldChar w:fldCharType="separate"/>
            </w:r>
            <w:r>
              <w:rPr>
                <w:noProof/>
                <w:webHidden/>
              </w:rPr>
              <w:t>10</w:t>
            </w:r>
            <w:r>
              <w:rPr>
                <w:noProof/>
                <w:webHidden/>
              </w:rPr>
              <w:fldChar w:fldCharType="end"/>
            </w:r>
          </w:hyperlink>
        </w:p>
        <w:p w14:paraId="26D565B5" w14:textId="77777777" w:rsidR="0082200B" w:rsidRDefault="0082200B" w:rsidP="0082200B">
          <w:pPr>
            <w:pStyle w:val="TOC1"/>
            <w:tabs>
              <w:tab w:val="right" w:leader="dot" w:pos="9350"/>
            </w:tabs>
            <w:spacing w:after="0"/>
            <w:rPr>
              <w:rFonts w:asciiTheme="minorHAnsi" w:eastAsiaTheme="minorEastAsia" w:hAnsiTheme="minorHAnsi"/>
              <w:noProof/>
              <w:kern w:val="2"/>
              <w:szCs w:val="22"/>
              <w:lang w:val="en-US" w:bidi="ar-SA"/>
            </w:rPr>
          </w:pPr>
          <w:hyperlink w:anchor="_Toc236132315" w:history="1">
            <w:r w:rsidRPr="00A97BCE">
              <w:rPr>
                <w:rStyle w:val="Hyperlink"/>
                <w:noProof/>
              </w:rPr>
              <w:t>AI Declaration:</w:t>
            </w:r>
            <w:r>
              <w:rPr>
                <w:noProof/>
                <w:webHidden/>
              </w:rPr>
              <w:tab/>
            </w:r>
            <w:r>
              <w:rPr>
                <w:noProof/>
                <w:webHidden/>
              </w:rPr>
              <w:fldChar w:fldCharType="begin"/>
            </w:r>
            <w:r>
              <w:rPr>
                <w:noProof/>
                <w:webHidden/>
              </w:rPr>
              <w:instrText xml:space="preserve"> PAGEREF _Toc236132315 \h </w:instrText>
            </w:r>
            <w:r>
              <w:rPr>
                <w:noProof/>
                <w:webHidden/>
              </w:rPr>
            </w:r>
            <w:r>
              <w:rPr>
                <w:noProof/>
                <w:webHidden/>
              </w:rPr>
              <w:fldChar w:fldCharType="separate"/>
            </w:r>
            <w:r>
              <w:rPr>
                <w:noProof/>
                <w:webHidden/>
              </w:rPr>
              <w:t>12</w:t>
            </w:r>
            <w:r>
              <w:rPr>
                <w:noProof/>
                <w:webHidden/>
              </w:rPr>
              <w:fldChar w:fldCharType="end"/>
            </w:r>
          </w:hyperlink>
        </w:p>
        <w:p w14:paraId="63ABAB44" w14:textId="77777777" w:rsidR="0017182A" w:rsidRDefault="00000000" w:rsidP="00DB58BC">
          <w:r>
            <w:rPr>
              <w:b/>
              <w:bCs/>
              <w:noProof/>
            </w:rPr>
            <w:fldChar w:fldCharType="end"/>
          </w:r>
        </w:p>
      </w:sdtContent>
    </w:sdt>
    <w:p w14:paraId="4BD639BA" w14:textId="77777777" w:rsidR="0017182A" w:rsidRDefault="0017182A" w:rsidP="00DB58BC">
      <w:pPr>
        <w:ind w:left="720" w:hanging="720"/>
      </w:pPr>
    </w:p>
    <w:p w14:paraId="74716F3B" w14:textId="77777777" w:rsidR="009D7143" w:rsidRDefault="009D7143" w:rsidP="00DB58BC"/>
    <w:p w14:paraId="3EC52265" w14:textId="77777777" w:rsidR="009D7143" w:rsidRDefault="009D7143" w:rsidP="00DB58BC"/>
    <w:p w14:paraId="2BC54F30" w14:textId="77777777" w:rsidR="009D7143" w:rsidRDefault="009D7143" w:rsidP="00DB58BC"/>
    <w:p w14:paraId="4B7BBDC0" w14:textId="77777777" w:rsidR="009D7143" w:rsidRDefault="009D7143" w:rsidP="00DB58BC"/>
    <w:p w14:paraId="652B5C5E" w14:textId="77777777" w:rsidR="009D7143" w:rsidRDefault="009D7143" w:rsidP="00DB58BC"/>
    <w:p w14:paraId="4B837863" w14:textId="77777777" w:rsidR="009D7143" w:rsidRDefault="009D7143" w:rsidP="00DB58BC"/>
    <w:p w14:paraId="0DAE3992" w14:textId="77777777" w:rsidR="009D7143" w:rsidRDefault="00000000" w:rsidP="00DB58BC">
      <w:pPr>
        <w:spacing w:after="160"/>
        <w:jc w:val="left"/>
      </w:pPr>
      <w:r>
        <w:br w:type="page"/>
      </w:r>
    </w:p>
    <w:p w14:paraId="6FE35414" w14:textId="77777777" w:rsidR="006F4C0A" w:rsidRPr="006F4C0A" w:rsidRDefault="00000000" w:rsidP="00DB58BC">
      <w:pPr>
        <w:pStyle w:val="Heading1"/>
      </w:pPr>
      <w:bookmarkStart w:id="1" w:name="_Toc236132305"/>
      <w:r w:rsidRPr="006F4C0A">
        <w:lastRenderedPageBreak/>
        <w:t>Introduction to the Strategy</w:t>
      </w:r>
      <w:bookmarkEnd w:id="1"/>
    </w:p>
    <w:p w14:paraId="7F1D6C63" w14:textId="77777777" w:rsidR="00153C54" w:rsidRDefault="00000000" w:rsidP="00153C54">
      <w:r w:rsidRPr="006F4C0A">
        <w:t>Strategic management is the ongoing process of setting goals, examining both internal and external environments and selecting and taking actions that assist a firm to achieve long-term success (Vracheva and Moussetis, 2025). This is important as markets evolve rapidly and companies that fail to strategise will lose their customers, profit, and relevance. Strategic management has the advantages of improved resource utilisation, clearer staff guidance, and enhanced responsiveness to competition and new regulations. In the car industry, strategic management also helps firms to balance between profit and environmental responsibility, which has now become a major component of remaining competitive. This report aims to develop a strategy formulation plan for Tesla, a major company in electric vehicles and clean energy. The report will examine the background and the current performance of Tesla, study its external and internal environment, and finally propose a new strategy with recommendations.</w:t>
      </w:r>
    </w:p>
    <w:p w14:paraId="26D40C2D" w14:textId="77777777" w:rsidR="001C6F66" w:rsidRPr="001C6F66" w:rsidRDefault="00000000" w:rsidP="00DB58BC">
      <w:pPr>
        <w:jc w:val="center"/>
      </w:pPr>
      <w:r w:rsidRPr="001C6F66">
        <w:rPr>
          <w:noProof/>
        </w:rPr>
        <w:drawing>
          <wp:inline distT="0" distB="0" distL="0" distR="0" wp14:anchorId="5408004F" wp14:editId="5200BD6D">
            <wp:extent cx="5485130" cy="1706687"/>
            <wp:effectExtent l="0" t="0" r="1270" b="8255"/>
            <wp:docPr id="15708657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865768"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486400" cy="1707082"/>
                    </a:xfrm>
                    <a:prstGeom prst="rect">
                      <a:avLst/>
                    </a:prstGeom>
                    <a:noFill/>
                    <a:ln>
                      <a:noFill/>
                    </a:ln>
                    <a:extLst>
                      <a:ext uri="{53640926-AAD7-44D8-BBD7-CCE9431645EC}">
                        <a14:shadowObscured xmlns:a14="http://schemas.microsoft.com/office/drawing/2010/main"/>
                      </a:ext>
                    </a:extLst>
                  </pic:spPr>
                </pic:pic>
              </a:graphicData>
            </a:graphic>
          </wp:inline>
        </w:drawing>
      </w:r>
    </w:p>
    <w:p w14:paraId="2FE3D7B7" w14:textId="77777777" w:rsidR="001C6F66" w:rsidRPr="00153C54" w:rsidRDefault="00000000" w:rsidP="00DB58BC">
      <w:pPr>
        <w:pStyle w:val="Caption"/>
        <w:spacing w:line="360" w:lineRule="auto"/>
      </w:pPr>
      <w:bookmarkStart w:id="2" w:name="_Toc236090740"/>
      <w:r w:rsidRPr="00153C54">
        <w:t xml:space="preserve">Figure </w:t>
      </w:r>
      <w:r w:rsidR="00112C0D" w:rsidRPr="00153C54">
        <w:fldChar w:fldCharType="begin"/>
      </w:r>
      <w:r>
        <w:instrText xml:space="preserve"> SEQ Figure \* ARABIC </w:instrText>
      </w:r>
      <w:r w:rsidR="00112C0D" w:rsidRPr="00153C54">
        <w:fldChar w:fldCharType="separate"/>
      </w:r>
      <w:r w:rsidR="00112C0D" w:rsidRPr="00153C54">
        <w:rPr>
          <w:noProof/>
        </w:rPr>
        <w:t>1</w:t>
      </w:r>
      <w:r w:rsidR="00112C0D" w:rsidRPr="00153C54">
        <w:rPr>
          <w:noProof/>
        </w:rPr>
        <w:fldChar w:fldCharType="end"/>
      </w:r>
      <w:r w:rsidRPr="00153C54">
        <w:t xml:space="preserve">: </w:t>
      </w:r>
      <w:r w:rsidR="00D70CEE" w:rsidRPr="00153C54">
        <w:t>The Strategic Management Cycle.</w:t>
      </w:r>
      <w:bookmarkEnd w:id="2"/>
    </w:p>
    <w:p w14:paraId="52D75841" w14:textId="77777777" w:rsidR="00D70CEE" w:rsidRPr="00153C54" w:rsidRDefault="00000000" w:rsidP="00DB58BC">
      <w:pPr>
        <w:jc w:val="center"/>
        <w:rPr>
          <w:b/>
          <w:iCs/>
          <w:color w:val="000000" w:themeColor="text1"/>
          <w:kern w:val="2"/>
          <w:sz w:val="18"/>
          <w:szCs w:val="18"/>
          <w:lang w:bidi="ar-SA"/>
        </w:rPr>
      </w:pPr>
      <w:r w:rsidRPr="00153C54">
        <w:rPr>
          <w:b/>
          <w:iCs/>
          <w:color w:val="000000" w:themeColor="text1"/>
          <w:kern w:val="2"/>
          <w:sz w:val="18"/>
          <w:szCs w:val="18"/>
          <w:lang w:bidi="ar-SA"/>
        </w:rPr>
        <w:t>Source: (Self-made).</w:t>
      </w:r>
    </w:p>
    <w:p w14:paraId="2A61881C" w14:textId="77777777" w:rsidR="006F4C0A" w:rsidRPr="006F4C0A" w:rsidRDefault="00000000" w:rsidP="00DB58BC">
      <w:pPr>
        <w:pStyle w:val="Heading1"/>
      </w:pPr>
      <w:bookmarkStart w:id="3" w:name="_Toc236132306"/>
      <w:r w:rsidRPr="006F4C0A">
        <w:t>Overview and Background of the Firm</w:t>
      </w:r>
      <w:bookmarkEnd w:id="3"/>
    </w:p>
    <w:p w14:paraId="7AAF737C" w14:textId="77777777" w:rsidR="006F4C0A" w:rsidRPr="006F4C0A" w:rsidRDefault="00000000" w:rsidP="00DB58BC">
      <w:r w:rsidRPr="006F4C0A">
        <w:t>Tesla, Inc. is an American-based company that was established in 2003 and is located in Austin, Texas. The company designs, manufactures and sells fully electric cars such as the Model 3, Model Y, Model S and Model X and energy products like solar panels, Powerwall domestic batteries and Megapack grid storage systems (Palmié et al., 2024). Tesla operates in the automotive and clean energy sectors, competing directly with the old car manufacturers and with relatively new electric vehicle companies like BYD. The company sells cars globally, and its key manufacturing sites, referred to as 'Gigafactories', are in the United States, China, and Germany. Tesla runs its own Supercharger charging network as well and creates software in-house, such as its Full Self-Driving system. This combination of vehicle manufacturing, software, and energy storage sets Tesla apart from most car companies that tend to rely on external suppliers to provide these aspects of the business.</w:t>
      </w:r>
    </w:p>
    <w:p w14:paraId="37EE49AB" w14:textId="77777777" w:rsidR="006F4C0A" w:rsidRPr="006F4C0A" w:rsidRDefault="00000000" w:rsidP="00DB58BC">
      <w:pPr>
        <w:pStyle w:val="Heading1"/>
      </w:pPr>
      <w:bookmarkStart w:id="4" w:name="_Toc236132307"/>
      <w:r w:rsidRPr="006F4C0A">
        <w:lastRenderedPageBreak/>
        <w:t>Strategic Intent</w:t>
      </w:r>
      <w:bookmarkEnd w:id="4"/>
    </w:p>
    <w:p w14:paraId="4B8CF512" w14:textId="77777777" w:rsidR="006F4C0A" w:rsidRPr="006F4C0A" w:rsidRDefault="00000000" w:rsidP="00DB58BC">
      <w:r w:rsidRPr="006F4C0A">
        <w:t>Tesla's mission is to speed up the world's move to sustainable energy. This mission defines the firm's vision of a future where clean transport and clean power are not a niche product but are normal. The objectives of Tesla help to realise this vision in practical ways. To begin with, the company desires to continue increasing its vehicle manufacturing and sales, as well as reduce the price of every car in order to make it more affordable to more individuals. Second, Tesla seeks to grow its energy operation, as storage and solar products are used to balance the revenues when car sales decline. Third, the company is spending a lot on artificial intelligence, robotics and self-driving software, as demonstrated by the Optimus robot and Robotaxi service, pointing to a future that is not merely about selling cars (van der Rhee, Schmidt and Van Orden, 2012). Fourth, Tesla wants to retain its own battery and charging technology, instead of being entirely reliant on its external partners, to protect its cost advantage. Collectively, these objectives demonstrate how a company can become more than a car manufacturer to a broader technology and energy enterprise, as well as maintain sustainability as its core purpose.</w:t>
      </w:r>
    </w:p>
    <w:p w14:paraId="79A2861B" w14:textId="77777777" w:rsidR="006F4C0A" w:rsidRPr="006F4C0A" w:rsidRDefault="00000000" w:rsidP="00DB58BC">
      <w:pPr>
        <w:pStyle w:val="Heading1"/>
      </w:pPr>
      <w:bookmarkStart w:id="5" w:name="_Toc236132308"/>
      <w:r w:rsidRPr="006F4C0A">
        <w:t>The Company's Current Performance</w:t>
      </w:r>
      <w:bookmarkEnd w:id="5"/>
    </w:p>
    <w:p w14:paraId="6AFFC074" w14:textId="77777777" w:rsidR="006F4C0A" w:rsidRPr="006F4C0A" w:rsidRDefault="00000000" w:rsidP="00DB58BC">
      <w:r w:rsidRPr="006F4C0A">
        <w:t>Recent performance of Tesla indicates a company that is under pressure but still performing well in general. In the 2025 financial year, the group revenue was nearly US$94.827 billion, which is a decline in comparison to the previous year, largely due to the decline in automotive sales and prices (Tesla, Inc., 2026). In the second quarter of 2025, deliveries were approximately 384,000 vehicles, which indicates that demand is not growing as rapidly as it was during the high-growth years of Tesla. In the United States, the margins have been strained by higher tariffs, increased competition, and the end of certain government incentives. But the energy generation and storage component of the business continued to expand at a high level with the assistance of the increasing need for Megapack and Powerwall products, which helped balance the weaker car sales (Tesla, Inc., 2026). By 2026, BYD surpassed Tesla in some quarters in the delivery of electric vehicles worldwide due to lower prices and a more diverse model range, although Tesla continues to make higher profits per vehicle, software, and charging network. Table 1 compares Tesla and two of its closest competitors.</w:t>
      </w:r>
    </w:p>
    <w:tbl>
      <w:tblPr>
        <w:tblStyle w:val="TableGrid"/>
        <w:tblW w:w="9667" w:type="dxa"/>
        <w:tblLook w:val="04A0" w:firstRow="1" w:lastRow="0" w:firstColumn="1" w:lastColumn="0" w:noHBand="0" w:noVBand="1"/>
      </w:tblPr>
      <w:tblGrid>
        <w:gridCol w:w="1705"/>
        <w:gridCol w:w="3379"/>
        <w:gridCol w:w="4583"/>
      </w:tblGrid>
      <w:tr w:rsidR="00DE4DAF" w14:paraId="147053D9" w14:textId="77777777" w:rsidTr="00D81F79">
        <w:trPr>
          <w:trHeight w:val="300"/>
        </w:trPr>
        <w:tc>
          <w:tcPr>
            <w:tcW w:w="1705" w:type="dxa"/>
            <w:noWrap/>
            <w:hideMark/>
          </w:tcPr>
          <w:p w14:paraId="70870BB6" w14:textId="77777777" w:rsidR="00A41D7F" w:rsidRPr="00A41D7F" w:rsidRDefault="00000000" w:rsidP="00DB58BC">
            <w:pPr>
              <w:jc w:val="left"/>
            </w:pPr>
            <w:r w:rsidRPr="00A41D7F">
              <w:t>Company</w:t>
            </w:r>
          </w:p>
        </w:tc>
        <w:tc>
          <w:tcPr>
            <w:tcW w:w="3379" w:type="dxa"/>
            <w:noWrap/>
            <w:hideMark/>
          </w:tcPr>
          <w:p w14:paraId="07D942C7" w14:textId="77777777" w:rsidR="00A41D7F" w:rsidRPr="00A41D7F" w:rsidRDefault="00000000" w:rsidP="00DB58BC">
            <w:pPr>
              <w:jc w:val="left"/>
            </w:pPr>
            <w:r w:rsidRPr="00A41D7F">
              <w:t>Approximate 2026 Global BEV Deliveries (per quarter)</w:t>
            </w:r>
          </w:p>
        </w:tc>
        <w:tc>
          <w:tcPr>
            <w:tcW w:w="4583" w:type="dxa"/>
            <w:noWrap/>
            <w:hideMark/>
          </w:tcPr>
          <w:p w14:paraId="34E370EF" w14:textId="77777777" w:rsidR="00A41D7F" w:rsidRPr="00A41D7F" w:rsidRDefault="00000000" w:rsidP="00DB58BC">
            <w:pPr>
              <w:jc w:val="left"/>
            </w:pPr>
            <w:r w:rsidRPr="00A41D7F">
              <w:t>Core Strategic Focus</w:t>
            </w:r>
          </w:p>
        </w:tc>
      </w:tr>
      <w:tr w:rsidR="00DE4DAF" w14:paraId="439C2AE9" w14:textId="77777777" w:rsidTr="00D81F79">
        <w:trPr>
          <w:trHeight w:val="300"/>
        </w:trPr>
        <w:tc>
          <w:tcPr>
            <w:tcW w:w="1705" w:type="dxa"/>
            <w:noWrap/>
            <w:hideMark/>
          </w:tcPr>
          <w:p w14:paraId="344D6933" w14:textId="77777777" w:rsidR="00A41D7F" w:rsidRPr="00A41D7F" w:rsidRDefault="00000000" w:rsidP="00DB58BC">
            <w:pPr>
              <w:jc w:val="left"/>
            </w:pPr>
            <w:r w:rsidRPr="00A41D7F">
              <w:t>Tesla</w:t>
            </w:r>
          </w:p>
        </w:tc>
        <w:tc>
          <w:tcPr>
            <w:tcW w:w="3379" w:type="dxa"/>
            <w:noWrap/>
            <w:hideMark/>
          </w:tcPr>
          <w:p w14:paraId="18C99A4E" w14:textId="77777777" w:rsidR="00A41D7F" w:rsidRPr="00A41D7F" w:rsidRDefault="00000000" w:rsidP="00DB58BC">
            <w:pPr>
              <w:jc w:val="left"/>
            </w:pPr>
            <w:r w:rsidRPr="00A41D7F">
              <w:t>480,000</w:t>
            </w:r>
          </w:p>
        </w:tc>
        <w:tc>
          <w:tcPr>
            <w:tcW w:w="4583" w:type="dxa"/>
            <w:noWrap/>
            <w:hideMark/>
          </w:tcPr>
          <w:p w14:paraId="09314E79" w14:textId="77777777" w:rsidR="00A41D7F" w:rsidRPr="00A41D7F" w:rsidRDefault="00000000" w:rsidP="00DB58BC">
            <w:pPr>
              <w:jc w:val="left"/>
            </w:pPr>
            <w:r w:rsidRPr="00A41D7F">
              <w:t>Software, self-driving, premium pricing, charging network</w:t>
            </w:r>
          </w:p>
        </w:tc>
      </w:tr>
      <w:tr w:rsidR="00DE4DAF" w14:paraId="074789BD" w14:textId="77777777" w:rsidTr="00D81F79">
        <w:trPr>
          <w:trHeight w:val="300"/>
        </w:trPr>
        <w:tc>
          <w:tcPr>
            <w:tcW w:w="1705" w:type="dxa"/>
            <w:noWrap/>
            <w:hideMark/>
          </w:tcPr>
          <w:p w14:paraId="5926F3E6" w14:textId="77777777" w:rsidR="00A41D7F" w:rsidRPr="00A41D7F" w:rsidRDefault="00000000" w:rsidP="00DB58BC">
            <w:pPr>
              <w:jc w:val="left"/>
            </w:pPr>
            <w:r w:rsidRPr="00A41D7F">
              <w:lastRenderedPageBreak/>
              <w:t>BYD</w:t>
            </w:r>
          </w:p>
        </w:tc>
        <w:tc>
          <w:tcPr>
            <w:tcW w:w="3379" w:type="dxa"/>
            <w:noWrap/>
            <w:hideMark/>
          </w:tcPr>
          <w:p w14:paraId="4667B4CB" w14:textId="77777777" w:rsidR="00A41D7F" w:rsidRPr="00A41D7F" w:rsidRDefault="00000000" w:rsidP="00DB58BC">
            <w:pPr>
              <w:jc w:val="left"/>
            </w:pPr>
            <w:r w:rsidRPr="00A41D7F">
              <w:t>557,000</w:t>
            </w:r>
          </w:p>
        </w:tc>
        <w:tc>
          <w:tcPr>
            <w:tcW w:w="4583" w:type="dxa"/>
            <w:noWrap/>
            <w:hideMark/>
          </w:tcPr>
          <w:p w14:paraId="138F9B5A" w14:textId="77777777" w:rsidR="00A41D7F" w:rsidRPr="00A41D7F" w:rsidRDefault="00000000" w:rsidP="00DB58BC">
            <w:pPr>
              <w:jc w:val="left"/>
            </w:pPr>
            <w:r w:rsidRPr="00A41D7F">
              <w:t>Low-cost pricing, battery manufacturing, fast model expansion</w:t>
            </w:r>
          </w:p>
        </w:tc>
      </w:tr>
      <w:tr w:rsidR="00DE4DAF" w14:paraId="17F474A7" w14:textId="77777777" w:rsidTr="00D81F79">
        <w:trPr>
          <w:trHeight w:val="300"/>
        </w:trPr>
        <w:tc>
          <w:tcPr>
            <w:tcW w:w="1705" w:type="dxa"/>
            <w:noWrap/>
            <w:hideMark/>
          </w:tcPr>
          <w:p w14:paraId="5E7BDA6B" w14:textId="77777777" w:rsidR="00A41D7F" w:rsidRPr="00A41D7F" w:rsidRDefault="00000000" w:rsidP="00DB58BC">
            <w:pPr>
              <w:jc w:val="left"/>
            </w:pPr>
            <w:r w:rsidRPr="00A41D7F">
              <w:t>Rivian</w:t>
            </w:r>
          </w:p>
        </w:tc>
        <w:tc>
          <w:tcPr>
            <w:tcW w:w="3379" w:type="dxa"/>
            <w:noWrap/>
            <w:hideMark/>
          </w:tcPr>
          <w:p w14:paraId="50773501" w14:textId="77777777" w:rsidR="00A41D7F" w:rsidRPr="00A41D7F" w:rsidRDefault="00000000" w:rsidP="00DB58BC">
            <w:pPr>
              <w:jc w:val="left"/>
            </w:pPr>
            <w:r w:rsidRPr="00A41D7F">
              <w:t>Under 20,000</w:t>
            </w:r>
          </w:p>
        </w:tc>
        <w:tc>
          <w:tcPr>
            <w:tcW w:w="4583" w:type="dxa"/>
            <w:noWrap/>
            <w:hideMark/>
          </w:tcPr>
          <w:p w14:paraId="0839440E" w14:textId="77777777" w:rsidR="00A41D7F" w:rsidRPr="00A41D7F" w:rsidRDefault="00000000" w:rsidP="00DB58BC">
            <w:pPr>
              <w:jc w:val="left"/>
            </w:pPr>
            <w:r w:rsidRPr="00A41D7F">
              <w:t>Adventure vehicles, US market, new R2 model launch</w:t>
            </w:r>
          </w:p>
        </w:tc>
      </w:tr>
    </w:tbl>
    <w:p w14:paraId="182BDA8D" w14:textId="77777777" w:rsidR="009D7143" w:rsidRDefault="00000000" w:rsidP="00DB58BC">
      <w:pPr>
        <w:pStyle w:val="Caption"/>
        <w:spacing w:line="360" w:lineRule="auto"/>
      </w:pPr>
      <w:bookmarkStart w:id="6" w:name="_Toc236090759"/>
      <w:r>
        <w:t xml:space="preserve">Table </w:t>
      </w:r>
      <w:r w:rsidR="00630C68">
        <w:fldChar w:fldCharType="begin"/>
      </w:r>
      <w:r>
        <w:instrText xml:space="preserve"> SEQ Table \* ARABIC </w:instrText>
      </w:r>
      <w:r w:rsidR="00630C68">
        <w:fldChar w:fldCharType="separate"/>
      </w:r>
      <w:r w:rsidR="00630C68">
        <w:rPr>
          <w:noProof/>
        </w:rPr>
        <w:t>1</w:t>
      </w:r>
      <w:r w:rsidR="00630C68">
        <w:rPr>
          <w:noProof/>
        </w:rPr>
        <w:fldChar w:fldCharType="end"/>
      </w:r>
      <w:r>
        <w:t xml:space="preserve">: </w:t>
      </w:r>
      <w:r w:rsidR="00F339FB" w:rsidRPr="00F339FB">
        <w:t>Tesla and Key Global Competitors in the Electric Vehicle Market, 2026</w:t>
      </w:r>
      <w:r w:rsidR="00F339FB">
        <w:t>.</w:t>
      </w:r>
      <w:bookmarkEnd w:id="6"/>
    </w:p>
    <w:p w14:paraId="656C0952" w14:textId="77777777" w:rsidR="00F339FB" w:rsidRPr="005B3B23" w:rsidRDefault="00000000" w:rsidP="00DB58BC">
      <w:pPr>
        <w:jc w:val="center"/>
        <w:rPr>
          <w:b/>
          <w:iCs/>
          <w:color w:val="000000" w:themeColor="text1"/>
          <w:kern w:val="2"/>
          <w:sz w:val="18"/>
          <w:szCs w:val="18"/>
          <w:lang w:bidi="ar-SA"/>
        </w:rPr>
      </w:pPr>
      <w:r w:rsidRPr="005B3B23">
        <w:rPr>
          <w:b/>
          <w:iCs/>
          <w:color w:val="000000" w:themeColor="text1"/>
          <w:kern w:val="2"/>
          <w:sz w:val="18"/>
          <w:szCs w:val="18"/>
          <w:lang w:bidi="ar-SA"/>
        </w:rPr>
        <w:t>Source: adapted from Priambodo and Monica (2026) and Krivevski (2026).</w:t>
      </w:r>
    </w:p>
    <w:p w14:paraId="7CAE6E2B" w14:textId="77777777" w:rsidR="00F97A56" w:rsidRPr="00F97A56" w:rsidRDefault="00000000" w:rsidP="00DB58BC">
      <w:pPr>
        <w:rPr>
          <w:lang w:bidi="ar-SA"/>
        </w:rPr>
      </w:pPr>
      <w:r w:rsidRPr="00F97A56">
        <w:rPr>
          <w:lang w:bidi="ar-SA"/>
        </w:rPr>
        <w:t>Even in the tougher environment, Tesla has a good cash position and is among the most valuable car makers in the world by market value, which leaves it with space to continue investing in new technology (Tesla, Inc., 2026).</w:t>
      </w:r>
    </w:p>
    <w:p w14:paraId="4AC57097" w14:textId="77777777" w:rsidR="00F97A56" w:rsidRPr="00F97A56" w:rsidRDefault="00000000" w:rsidP="00DB58BC">
      <w:pPr>
        <w:pStyle w:val="Heading1"/>
        <w:rPr>
          <w:lang w:bidi="ar-SA"/>
        </w:rPr>
      </w:pPr>
      <w:bookmarkStart w:id="7" w:name="_Toc236132309"/>
      <w:r w:rsidRPr="00F97A56">
        <w:rPr>
          <w:lang w:bidi="ar-SA"/>
        </w:rPr>
        <w:t>Strategy Analysis</w:t>
      </w:r>
      <w:bookmarkEnd w:id="7"/>
    </w:p>
    <w:p w14:paraId="137D2C32" w14:textId="77777777" w:rsidR="00F97A56" w:rsidRPr="00F97A56" w:rsidRDefault="00000000" w:rsidP="00DB58BC">
      <w:pPr>
        <w:pStyle w:val="Heading2"/>
        <w:rPr>
          <w:lang w:bidi="ar-SA"/>
        </w:rPr>
      </w:pPr>
      <w:bookmarkStart w:id="8" w:name="_Toc236132310"/>
      <w:r w:rsidRPr="00F97A56">
        <w:rPr>
          <w:lang w:bidi="ar-SA"/>
        </w:rPr>
        <w:t>External Environmental Audit</w:t>
      </w:r>
      <w:bookmarkEnd w:id="8"/>
    </w:p>
    <w:p w14:paraId="44153DC0" w14:textId="77777777" w:rsidR="00F97A56" w:rsidRPr="00F97A56" w:rsidRDefault="00000000" w:rsidP="00DB58BC">
      <w:pPr>
        <w:rPr>
          <w:lang w:bidi="ar-SA"/>
        </w:rPr>
      </w:pPr>
      <w:r w:rsidRPr="00F97A56">
        <w:rPr>
          <w:b/>
          <w:bCs/>
          <w:lang w:bidi="ar-SA"/>
        </w:rPr>
        <w:t xml:space="preserve">Political: </w:t>
      </w:r>
      <w:r w:rsidRPr="00F97A56">
        <w:rPr>
          <w:lang w:bidi="ar-SA"/>
        </w:rPr>
        <w:t>Governments have a great influence on the electric vehicle market, and this is achieved by subsidies, emission regulations, and trade policy. Tesla and its competitors have both been impacted by the removal of federal tax credits in the United States and tariffs on Chinese-made vehicles and parts (Jones, Nguyen</w:t>
      </w:r>
      <w:r w:rsidRPr="00F97A56">
        <w:rPr>
          <w:rFonts w:ascii="Cambria Math" w:hAnsi="Cambria Math" w:cs="Cambria Math"/>
          <w:lang w:bidi="ar-SA"/>
        </w:rPr>
        <w:t>‐</w:t>
      </w:r>
      <w:r w:rsidRPr="00F97A56">
        <w:rPr>
          <w:lang w:bidi="ar-SA"/>
        </w:rPr>
        <w:t>Tien and Elliott, 2022). Laws in the UK and Europe that are driving towards zero-emission cars continue to favour long-term demand.</w:t>
      </w:r>
    </w:p>
    <w:p w14:paraId="7DEEC271" w14:textId="77777777" w:rsidR="00F97A56" w:rsidRPr="00F97A56" w:rsidRDefault="00000000" w:rsidP="00DB58BC">
      <w:pPr>
        <w:rPr>
          <w:lang w:bidi="ar-SA"/>
        </w:rPr>
      </w:pPr>
      <w:r w:rsidRPr="00F97A56">
        <w:rPr>
          <w:b/>
          <w:bCs/>
          <w:lang w:bidi="ar-SA"/>
        </w:rPr>
        <w:t>Economic:</w:t>
      </w:r>
      <w:r w:rsidRPr="00F97A56">
        <w:rPr>
          <w:lang w:bidi="ar-SA"/>
        </w:rPr>
        <w:t xml:space="preserve"> Higher interest rates and living standards have made consumers more cautious about their expenditures, and car sales have generally stagnated. Meanwhile, electric cars are becoming relatively cheaper to manufacture due to declining battery prices, and this should increase profit margins in the long term (Safari, 2024).</w:t>
      </w:r>
    </w:p>
    <w:p w14:paraId="4BA66522" w14:textId="77777777" w:rsidR="00F97A56" w:rsidRPr="00F97A56" w:rsidRDefault="00000000" w:rsidP="00DB58BC">
      <w:pPr>
        <w:rPr>
          <w:lang w:bidi="ar-SA"/>
        </w:rPr>
      </w:pPr>
      <w:r w:rsidRPr="00F97A56">
        <w:rPr>
          <w:b/>
          <w:bCs/>
          <w:lang w:bidi="ar-SA"/>
        </w:rPr>
        <w:t xml:space="preserve">Social: </w:t>
      </w:r>
      <w:r w:rsidRPr="00F97A56">
        <w:rPr>
          <w:lang w:bidi="ar-SA"/>
        </w:rPr>
        <w:t>The views of the general population on electric cars are much more positive than they used to be during the initial years of Tesla, partly due to the fact that Tesla altered the perception of electric cars and made them appear exciting without necessarily being practical (Palmié et al., 2024). Younger consumers particularly are conscious of sustainability and connected technology.</w:t>
      </w:r>
    </w:p>
    <w:p w14:paraId="49829B66" w14:textId="77777777" w:rsidR="00F97A56" w:rsidRPr="00F97A56" w:rsidRDefault="00000000" w:rsidP="00DB58BC">
      <w:pPr>
        <w:rPr>
          <w:lang w:bidi="ar-SA"/>
        </w:rPr>
      </w:pPr>
      <w:r w:rsidRPr="00F97A56">
        <w:rPr>
          <w:b/>
          <w:bCs/>
          <w:lang w:bidi="ar-SA"/>
        </w:rPr>
        <w:t xml:space="preserve">Technological: </w:t>
      </w:r>
      <w:r w:rsidRPr="00F97A56">
        <w:rPr>
          <w:lang w:bidi="ar-SA"/>
        </w:rPr>
        <w:t>Software, batteries, and self-driving systems are now the key points of competition. Companies that develop their own technology (instead of buying it in) are able to move more quickly and manage costs more effectively.</w:t>
      </w:r>
    </w:p>
    <w:p w14:paraId="32906DEC" w14:textId="77777777" w:rsidR="00F97A56" w:rsidRPr="00F97A56" w:rsidRDefault="00000000" w:rsidP="00DB58BC">
      <w:pPr>
        <w:rPr>
          <w:lang w:bidi="ar-SA"/>
        </w:rPr>
      </w:pPr>
      <w:r w:rsidRPr="00F97A56">
        <w:rPr>
          <w:b/>
          <w:bCs/>
          <w:lang w:bidi="ar-SA"/>
        </w:rPr>
        <w:t xml:space="preserve">Environmental: </w:t>
      </w:r>
      <w:r w:rsidRPr="00F97A56">
        <w:rPr>
          <w:lang w:bidi="ar-SA"/>
        </w:rPr>
        <w:t>All car manufacturers are being forced by climate regulations and customer pressure to produce fewer emissions and more recycling of materials like batteries (Lin et al., 2024).</w:t>
      </w:r>
    </w:p>
    <w:p w14:paraId="69D5D6B7" w14:textId="77777777" w:rsidR="00F97A56" w:rsidRPr="00F97A56" w:rsidRDefault="00000000" w:rsidP="00DB58BC">
      <w:pPr>
        <w:rPr>
          <w:lang w:bidi="ar-SA"/>
        </w:rPr>
      </w:pPr>
      <w:r w:rsidRPr="00F97A56">
        <w:rPr>
          <w:b/>
          <w:bCs/>
          <w:lang w:bidi="ar-SA"/>
        </w:rPr>
        <w:t xml:space="preserve">Legal: </w:t>
      </w:r>
      <w:r w:rsidRPr="00F97A56">
        <w:rPr>
          <w:lang w:bidi="ar-SA"/>
        </w:rPr>
        <w:t>Safety regulations, data protection regulations, and regulations on self-driving vehicles vary by country, which presents an additional cost and complexity to companies that market globally.</w:t>
      </w:r>
    </w:p>
    <w:p w14:paraId="4B9B1E78" w14:textId="77777777" w:rsidR="00F97A56" w:rsidRPr="00F97A56" w:rsidRDefault="00000000" w:rsidP="00DB58BC">
      <w:pPr>
        <w:rPr>
          <w:b/>
          <w:bCs/>
          <w:lang w:bidi="ar-SA"/>
        </w:rPr>
      </w:pPr>
      <w:r w:rsidRPr="00F97A56">
        <w:rPr>
          <w:b/>
          <w:bCs/>
          <w:lang w:bidi="ar-SA"/>
        </w:rPr>
        <w:t>Porter's Five Forces Analysis</w:t>
      </w:r>
    </w:p>
    <w:p w14:paraId="18ECC254" w14:textId="77777777" w:rsidR="00F97A56" w:rsidRPr="00F97A56" w:rsidRDefault="00000000" w:rsidP="00DB58BC">
      <w:pPr>
        <w:rPr>
          <w:lang w:bidi="ar-SA"/>
        </w:rPr>
      </w:pPr>
      <w:r w:rsidRPr="00F97A56">
        <w:rPr>
          <w:lang w:bidi="ar-SA"/>
        </w:rPr>
        <w:lastRenderedPageBreak/>
        <w:t>Using Porter's Five Forces, Competitive rivalry is intense and increasing, as BYD and other Chinese companies are increasing rapidly with lower prices. Studies on firm performance indicate that in turbulent industries, performance may be more determined by the capabilities of a firm as opposed to the wider environment alone, which explains why Tesla has concentrated on developing unique in-house technology rather than just responding to market forces (O'Regan, Kluth and Parnell, 2011). The threat of new entrants is moderate, as constructing an automotive factory requires large capital, yet Chinese companies are gaining entry into Western markets more simply than ever. The buyer power is on the rise, with customers having numerous electric models to select from. The supplier power is high in areas like lithium and battery materials, where supply is concentrated in a few countries (Jones, Nguyen</w:t>
      </w:r>
      <w:r w:rsidRPr="00F97A56">
        <w:rPr>
          <w:rFonts w:ascii="Cambria Math" w:hAnsi="Cambria Math" w:cs="Cambria Math"/>
          <w:lang w:bidi="ar-SA"/>
        </w:rPr>
        <w:t>‐</w:t>
      </w:r>
      <w:r w:rsidRPr="00F97A56">
        <w:rPr>
          <w:lang w:bidi="ar-SA"/>
        </w:rPr>
        <w:t>Tien and Elliott, 2022). Electric cars in general are not subject to a high threat of substitutes, although there is fierce rivalry among competitors of electric cars themselves.</w:t>
      </w:r>
    </w:p>
    <w:p w14:paraId="4DE7D719" w14:textId="77777777" w:rsidR="00F97A56" w:rsidRPr="00F97A56" w:rsidRDefault="00000000" w:rsidP="00DB58BC">
      <w:pPr>
        <w:pStyle w:val="Heading2"/>
        <w:rPr>
          <w:lang w:bidi="ar-SA"/>
        </w:rPr>
      </w:pPr>
      <w:bookmarkStart w:id="9" w:name="_Toc236132311"/>
      <w:r w:rsidRPr="00F97A56">
        <w:rPr>
          <w:lang w:bidi="ar-SA"/>
        </w:rPr>
        <w:t>Internal Environmental Audit</w:t>
      </w:r>
      <w:bookmarkEnd w:id="9"/>
    </w:p>
    <w:p w14:paraId="5233B7F7" w14:textId="77777777" w:rsidR="00F97A56" w:rsidRPr="00F97A56" w:rsidRDefault="00000000" w:rsidP="00DB58BC">
      <w:pPr>
        <w:rPr>
          <w:b/>
          <w:bCs/>
          <w:lang w:bidi="ar-SA"/>
        </w:rPr>
      </w:pPr>
      <w:r w:rsidRPr="00F97A56">
        <w:rPr>
          <w:b/>
          <w:bCs/>
          <w:lang w:bidi="ar-SA"/>
        </w:rPr>
        <w:t>SWOT Analysis</w:t>
      </w:r>
    </w:p>
    <w:p w14:paraId="25256F6D" w14:textId="77777777" w:rsidR="00F97A56" w:rsidRPr="00F97A56" w:rsidRDefault="00000000" w:rsidP="00DB58BC">
      <w:pPr>
        <w:rPr>
          <w:lang w:bidi="ar-SA"/>
        </w:rPr>
      </w:pPr>
      <w:r w:rsidRPr="00F97A56">
        <w:rPr>
          <w:b/>
          <w:bCs/>
          <w:lang w:bidi="ar-SA"/>
        </w:rPr>
        <w:t xml:space="preserve">Strengths: </w:t>
      </w:r>
      <w:r w:rsidRPr="00F97A56">
        <w:rPr>
          <w:lang w:bidi="ar-SA"/>
        </w:rPr>
        <w:t>Tesla has its battery technology, software and charging network, which provides it with additional control compared to most of its competitors. It has a well-established brand globally.</w:t>
      </w:r>
    </w:p>
    <w:p w14:paraId="28306345" w14:textId="77777777" w:rsidR="00F97A56" w:rsidRPr="00F97A56" w:rsidRDefault="00000000" w:rsidP="00DB58BC">
      <w:pPr>
        <w:rPr>
          <w:lang w:bidi="ar-SA"/>
        </w:rPr>
      </w:pPr>
      <w:r w:rsidRPr="00F97A56">
        <w:rPr>
          <w:b/>
          <w:bCs/>
          <w:lang w:bidi="ar-SA"/>
        </w:rPr>
        <w:t xml:space="preserve">Weaknesses: </w:t>
      </w:r>
      <w:r w:rsidRPr="00F97A56">
        <w:rPr>
          <w:lang w:bidi="ar-SA"/>
        </w:rPr>
        <w:t>Tesla has a few models on which it heavily relies, and recent declining delivery numbers indicate the danger of over-reliance on ageing designs.</w:t>
      </w:r>
    </w:p>
    <w:p w14:paraId="635D0A28" w14:textId="77777777" w:rsidR="00F97A56" w:rsidRPr="00F97A56" w:rsidRDefault="00000000" w:rsidP="00DB58BC">
      <w:pPr>
        <w:rPr>
          <w:lang w:bidi="ar-SA"/>
        </w:rPr>
      </w:pPr>
      <w:r w:rsidRPr="00F97A56">
        <w:rPr>
          <w:b/>
          <w:bCs/>
          <w:lang w:bidi="ar-SA"/>
        </w:rPr>
        <w:t xml:space="preserve">Opportunities: </w:t>
      </w:r>
      <w:r w:rsidRPr="00F97A56">
        <w:rPr>
          <w:lang w:bidi="ar-SA"/>
        </w:rPr>
        <w:t>The development of energy storage, self-driving software, and new cost-effective models can provide new sources of income.</w:t>
      </w:r>
    </w:p>
    <w:p w14:paraId="035B944D" w14:textId="77777777" w:rsidR="00F97A56" w:rsidRPr="00F97A56" w:rsidRDefault="00000000" w:rsidP="00DB58BC">
      <w:pPr>
        <w:rPr>
          <w:lang w:bidi="ar-SA"/>
        </w:rPr>
      </w:pPr>
      <w:r w:rsidRPr="00F97A56">
        <w:rPr>
          <w:b/>
          <w:bCs/>
          <w:lang w:bidi="ar-SA"/>
        </w:rPr>
        <w:t>Threats:</w:t>
      </w:r>
      <w:r w:rsidRPr="00F97A56">
        <w:rPr>
          <w:lang w:bidi="ar-SA"/>
        </w:rPr>
        <w:t xml:space="preserve"> BYD, as well as other Chinese manufacturers, threaten Tesla with aggressive pricing and changing government support.</w:t>
      </w:r>
    </w:p>
    <w:p w14:paraId="6B54F36F" w14:textId="77777777" w:rsidR="00F97A56" w:rsidRPr="00F97A56" w:rsidRDefault="00000000" w:rsidP="00DB58BC">
      <w:pPr>
        <w:rPr>
          <w:lang w:bidi="ar-SA"/>
        </w:rPr>
      </w:pPr>
      <w:r w:rsidRPr="00F97A56">
        <w:rPr>
          <w:lang w:bidi="ar-SA"/>
        </w:rPr>
        <w:t xml:space="preserve">Using the VRIO framework, the in-house battery and software systems of Tesla are valuable and rare and not easily imitated by competitors, which provides Tesla with a source of sustained advantage, assuming the firm maintains a sufficient level of organisation in terms of how it utilises these resources (Donnellan and Rutledge, 2019; Barney and Mackey, 2016). Using the BCG Matrix, the Model 3 and Model Y act as cash cows and continue to produce high sales and cash, despite slower growth, whereas energy storage products are a rising star, and they are increasing rapidly and require further investment. More recent projects like Robotaxi and Optimus sit as question marks, promising but untested. Along the value chain, Inbound logistics and technology development are the key strengths of Tesla, as it manufactures many components internally rather than purchasing them externally, facilitating cost control and supply security (Tutar and Erden, 2026). In comparison to other automobile manufacturers, most of which have published </w:t>
      </w:r>
      <w:r w:rsidRPr="00F97A56">
        <w:rPr>
          <w:lang w:bidi="ar-SA"/>
        </w:rPr>
        <w:lastRenderedPageBreak/>
        <w:t>individual recycling and circular recycling goals, Tesla continues to be able to establish more explicit public pledges on vehicle and battery recycling (Abedsoltan, 2023).</w:t>
      </w:r>
    </w:p>
    <w:p w14:paraId="350BE2A2" w14:textId="77777777" w:rsidR="00F97A56" w:rsidRPr="00F97A56" w:rsidRDefault="00000000" w:rsidP="00DB58BC">
      <w:pPr>
        <w:pStyle w:val="Heading1"/>
        <w:rPr>
          <w:lang w:bidi="ar-SA"/>
        </w:rPr>
      </w:pPr>
      <w:bookmarkStart w:id="10" w:name="_Toc236132312"/>
      <w:r w:rsidRPr="00F97A56">
        <w:rPr>
          <w:lang w:bidi="ar-SA"/>
        </w:rPr>
        <w:t>Strategy Formulation</w:t>
      </w:r>
      <w:bookmarkEnd w:id="10"/>
    </w:p>
    <w:p w14:paraId="24023DB1" w14:textId="77777777" w:rsidR="00F97A56" w:rsidRDefault="00000000" w:rsidP="00DB58BC">
      <w:pPr>
        <w:rPr>
          <w:lang w:bidi="ar-SA"/>
        </w:rPr>
      </w:pPr>
      <w:r w:rsidRPr="00F97A56">
        <w:rPr>
          <w:lang w:bidi="ar-SA"/>
        </w:rPr>
        <w:t>The current strategy of Tesla combines cost leadership, by large-scale battery and vehicle manufacturing, and differentiation, by unique software and self-driving capabilities. This hybrid strategy has been successful but is currently being stretched to its limits, as competitors like BYD are closing the gap with Tesla on price and technology. Building on the growth options by Ansoff, Tesla should adopt a market penetration and product development strategy simultaneously. This implies the launching of cheaper models to protect market share against low-cost competitors while still working on higher-margin software features, such as self-driving, which cannot be readily obtained by buyers elsewhere (Vracheva and Moussetis, 2025). A new strategy proposal of Tesla is to deepen coopetition partnerships in battery materials and manufacturing, as it has been in the previous deals with companies like Toyota and Daimler, but it is now aimed at securing lithium, nickel, and cobalt supply with the help of joint ventures instead of working all alone (Cheong, Song, and Hu, 2016). Table 2 indicates the way these partnerships might be structured.</w:t>
      </w:r>
    </w:p>
    <w:tbl>
      <w:tblPr>
        <w:tblStyle w:val="TableGrid"/>
        <w:tblW w:w="0" w:type="auto"/>
        <w:tblLook w:val="04A0" w:firstRow="1" w:lastRow="0" w:firstColumn="1" w:lastColumn="0" w:noHBand="0" w:noVBand="1"/>
      </w:tblPr>
      <w:tblGrid>
        <w:gridCol w:w="2524"/>
        <w:gridCol w:w="2441"/>
        <w:gridCol w:w="4385"/>
      </w:tblGrid>
      <w:tr w:rsidR="00DE4DAF" w14:paraId="3B8516F6" w14:textId="77777777" w:rsidTr="00D81F79">
        <w:trPr>
          <w:trHeight w:val="300"/>
        </w:trPr>
        <w:tc>
          <w:tcPr>
            <w:tcW w:w="0" w:type="auto"/>
            <w:noWrap/>
            <w:hideMark/>
          </w:tcPr>
          <w:p w14:paraId="050564CE" w14:textId="77777777" w:rsidR="00630C68" w:rsidRPr="00630C68" w:rsidRDefault="00000000" w:rsidP="00DB58BC">
            <w:pPr>
              <w:jc w:val="left"/>
              <w:rPr>
                <w:lang w:bidi="ar-SA"/>
              </w:rPr>
            </w:pPr>
            <w:r w:rsidRPr="00630C68">
              <w:rPr>
                <w:lang w:bidi="ar-SA"/>
              </w:rPr>
              <w:t>Partnership Area</w:t>
            </w:r>
          </w:p>
        </w:tc>
        <w:tc>
          <w:tcPr>
            <w:tcW w:w="0" w:type="auto"/>
            <w:noWrap/>
            <w:hideMark/>
          </w:tcPr>
          <w:p w14:paraId="3AF8DA79" w14:textId="77777777" w:rsidR="00630C68" w:rsidRPr="00630C68" w:rsidRDefault="00000000" w:rsidP="00DB58BC">
            <w:pPr>
              <w:jc w:val="left"/>
              <w:rPr>
                <w:lang w:bidi="ar-SA"/>
              </w:rPr>
            </w:pPr>
            <w:r w:rsidRPr="00630C68">
              <w:rPr>
                <w:lang w:bidi="ar-SA"/>
              </w:rPr>
              <w:t>Example Partner Type</w:t>
            </w:r>
          </w:p>
        </w:tc>
        <w:tc>
          <w:tcPr>
            <w:tcW w:w="0" w:type="auto"/>
            <w:noWrap/>
            <w:hideMark/>
          </w:tcPr>
          <w:p w14:paraId="77E2312A" w14:textId="77777777" w:rsidR="00630C68" w:rsidRPr="00630C68" w:rsidRDefault="00000000" w:rsidP="00DB58BC">
            <w:pPr>
              <w:jc w:val="left"/>
              <w:rPr>
                <w:lang w:bidi="ar-SA"/>
              </w:rPr>
            </w:pPr>
            <w:r w:rsidRPr="00630C68">
              <w:rPr>
                <w:lang w:bidi="ar-SA"/>
              </w:rPr>
              <w:t>Strategic Purpose</w:t>
            </w:r>
          </w:p>
        </w:tc>
      </w:tr>
      <w:tr w:rsidR="00DE4DAF" w14:paraId="1D55FD9A" w14:textId="77777777" w:rsidTr="00D81F79">
        <w:trPr>
          <w:trHeight w:val="300"/>
        </w:trPr>
        <w:tc>
          <w:tcPr>
            <w:tcW w:w="0" w:type="auto"/>
            <w:noWrap/>
            <w:hideMark/>
          </w:tcPr>
          <w:p w14:paraId="7BCEBB32" w14:textId="77777777" w:rsidR="00630C68" w:rsidRPr="00630C68" w:rsidRDefault="00000000" w:rsidP="00DB58BC">
            <w:pPr>
              <w:jc w:val="left"/>
              <w:rPr>
                <w:b/>
                <w:bCs/>
                <w:lang w:bidi="ar-SA"/>
              </w:rPr>
            </w:pPr>
            <w:r w:rsidRPr="00630C68">
              <w:rPr>
                <w:lang w:bidi="ar-SA"/>
              </w:rPr>
              <w:t>Critical mineral supply</w:t>
            </w:r>
          </w:p>
        </w:tc>
        <w:tc>
          <w:tcPr>
            <w:tcW w:w="0" w:type="auto"/>
            <w:noWrap/>
            <w:hideMark/>
          </w:tcPr>
          <w:p w14:paraId="44F07994" w14:textId="77777777" w:rsidR="00630C68" w:rsidRPr="00630C68" w:rsidRDefault="00000000" w:rsidP="00DB58BC">
            <w:pPr>
              <w:jc w:val="left"/>
              <w:rPr>
                <w:lang w:bidi="ar-SA"/>
              </w:rPr>
            </w:pPr>
            <w:r w:rsidRPr="00630C68">
              <w:rPr>
                <w:lang w:bidi="ar-SA"/>
              </w:rPr>
              <w:t>Mining and refining firms</w:t>
            </w:r>
          </w:p>
        </w:tc>
        <w:tc>
          <w:tcPr>
            <w:tcW w:w="0" w:type="auto"/>
            <w:noWrap/>
            <w:hideMark/>
          </w:tcPr>
          <w:p w14:paraId="58750BE4" w14:textId="77777777" w:rsidR="00630C68" w:rsidRPr="00630C68" w:rsidRDefault="00000000" w:rsidP="00DB58BC">
            <w:pPr>
              <w:jc w:val="left"/>
              <w:rPr>
                <w:lang w:bidi="ar-SA"/>
              </w:rPr>
            </w:pPr>
            <w:r w:rsidRPr="00630C68">
              <w:rPr>
                <w:lang w:bidi="ar-SA"/>
              </w:rPr>
              <w:t>Secure long-term lithium, nickel, and cobalt supply</w:t>
            </w:r>
          </w:p>
        </w:tc>
      </w:tr>
      <w:tr w:rsidR="00DE4DAF" w14:paraId="6902F56A" w14:textId="77777777" w:rsidTr="00D81F79">
        <w:trPr>
          <w:trHeight w:val="300"/>
        </w:trPr>
        <w:tc>
          <w:tcPr>
            <w:tcW w:w="0" w:type="auto"/>
            <w:noWrap/>
            <w:hideMark/>
          </w:tcPr>
          <w:p w14:paraId="06EEB346" w14:textId="77777777" w:rsidR="00630C68" w:rsidRPr="00630C68" w:rsidRDefault="00000000" w:rsidP="00DB58BC">
            <w:pPr>
              <w:jc w:val="left"/>
              <w:rPr>
                <w:b/>
                <w:bCs/>
                <w:lang w:bidi="ar-SA"/>
              </w:rPr>
            </w:pPr>
            <w:r w:rsidRPr="00630C68">
              <w:rPr>
                <w:lang w:bidi="ar-SA"/>
              </w:rPr>
              <w:t>Battery recycling</w:t>
            </w:r>
          </w:p>
        </w:tc>
        <w:tc>
          <w:tcPr>
            <w:tcW w:w="0" w:type="auto"/>
            <w:noWrap/>
            <w:hideMark/>
          </w:tcPr>
          <w:p w14:paraId="0E602BFF" w14:textId="77777777" w:rsidR="00630C68" w:rsidRPr="00630C68" w:rsidRDefault="00000000" w:rsidP="00DB58BC">
            <w:pPr>
              <w:jc w:val="left"/>
              <w:rPr>
                <w:lang w:bidi="ar-SA"/>
              </w:rPr>
            </w:pPr>
            <w:r w:rsidRPr="00630C68">
              <w:rPr>
                <w:lang w:bidi="ar-SA"/>
              </w:rPr>
              <w:t>Recycling technology firms</w:t>
            </w:r>
          </w:p>
        </w:tc>
        <w:tc>
          <w:tcPr>
            <w:tcW w:w="0" w:type="auto"/>
            <w:noWrap/>
            <w:hideMark/>
          </w:tcPr>
          <w:p w14:paraId="1A848585" w14:textId="77777777" w:rsidR="00630C68" w:rsidRPr="00630C68" w:rsidRDefault="00000000" w:rsidP="00DB58BC">
            <w:pPr>
              <w:jc w:val="left"/>
              <w:rPr>
                <w:lang w:bidi="ar-SA"/>
              </w:rPr>
            </w:pPr>
            <w:r w:rsidRPr="00630C68">
              <w:rPr>
                <w:lang w:bidi="ar-SA"/>
              </w:rPr>
              <w:t>Reduce material cost and improve sustainability</w:t>
            </w:r>
          </w:p>
        </w:tc>
      </w:tr>
      <w:tr w:rsidR="00DE4DAF" w14:paraId="3A49A558" w14:textId="77777777" w:rsidTr="00D81F79">
        <w:trPr>
          <w:trHeight w:val="300"/>
        </w:trPr>
        <w:tc>
          <w:tcPr>
            <w:tcW w:w="0" w:type="auto"/>
            <w:noWrap/>
            <w:hideMark/>
          </w:tcPr>
          <w:p w14:paraId="318DC2E5" w14:textId="77777777" w:rsidR="00630C68" w:rsidRPr="00630C68" w:rsidRDefault="00000000" w:rsidP="00DB58BC">
            <w:pPr>
              <w:jc w:val="left"/>
              <w:rPr>
                <w:b/>
                <w:bCs/>
                <w:lang w:bidi="ar-SA"/>
              </w:rPr>
            </w:pPr>
            <w:r w:rsidRPr="00630C68">
              <w:rPr>
                <w:lang w:bidi="ar-SA"/>
              </w:rPr>
              <w:t>Affordable vehicle platforms</w:t>
            </w:r>
          </w:p>
        </w:tc>
        <w:tc>
          <w:tcPr>
            <w:tcW w:w="0" w:type="auto"/>
            <w:noWrap/>
            <w:hideMark/>
          </w:tcPr>
          <w:p w14:paraId="267A8770" w14:textId="77777777" w:rsidR="00630C68" w:rsidRPr="00630C68" w:rsidRDefault="00000000" w:rsidP="00DB58BC">
            <w:pPr>
              <w:jc w:val="left"/>
              <w:rPr>
                <w:lang w:bidi="ar-SA"/>
              </w:rPr>
            </w:pPr>
            <w:r w:rsidRPr="00630C68">
              <w:rPr>
                <w:lang w:bidi="ar-SA"/>
              </w:rPr>
              <w:t>Regional parts suppliers</w:t>
            </w:r>
          </w:p>
        </w:tc>
        <w:tc>
          <w:tcPr>
            <w:tcW w:w="0" w:type="auto"/>
            <w:noWrap/>
            <w:hideMark/>
          </w:tcPr>
          <w:p w14:paraId="45AA88A9" w14:textId="77777777" w:rsidR="00630C68" w:rsidRPr="00630C68" w:rsidRDefault="00000000" w:rsidP="00DB58BC">
            <w:pPr>
              <w:jc w:val="left"/>
              <w:rPr>
                <w:lang w:bidi="ar-SA"/>
              </w:rPr>
            </w:pPr>
            <w:r w:rsidRPr="00630C68">
              <w:rPr>
                <w:lang w:bidi="ar-SA"/>
              </w:rPr>
              <w:t>Lower production cost for entry-level models</w:t>
            </w:r>
          </w:p>
        </w:tc>
      </w:tr>
    </w:tbl>
    <w:p w14:paraId="3658F4AA" w14:textId="77777777" w:rsidR="00630C68" w:rsidRDefault="00000000" w:rsidP="00DB58BC">
      <w:pPr>
        <w:pStyle w:val="Caption"/>
        <w:spacing w:line="360" w:lineRule="auto"/>
      </w:pPr>
      <w:bookmarkStart w:id="11" w:name="_Toc236090760"/>
      <w:r>
        <w:t xml:space="preserve">Table </w:t>
      </w:r>
      <w:fldSimple w:instr=" SEQ Table \* ARABIC ">
        <w:r>
          <w:rPr>
            <w:noProof/>
          </w:rPr>
          <w:t>2</w:t>
        </w:r>
      </w:fldSimple>
      <w:r>
        <w:t xml:space="preserve">: </w:t>
      </w:r>
      <w:r w:rsidR="004170E8" w:rsidRPr="004170E8">
        <w:t>Proposed Strategic Partnership Areas for Tesla</w:t>
      </w:r>
      <w:r w:rsidR="004170E8">
        <w:t>.</w:t>
      </w:r>
      <w:bookmarkEnd w:id="11"/>
    </w:p>
    <w:p w14:paraId="0DAEF37B" w14:textId="77777777" w:rsidR="00D81F79" w:rsidRPr="00D81F79" w:rsidRDefault="00000000" w:rsidP="00D81F79">
      <w:pPr>
        <w:jc w:val="center"/>
        <w:rPr>
          <w:b/>
          <w:iCs/>
          <w:color w:val="000000" w:themeColor="text1"/>
          <w:kern w:val="2"/>
          <w:sz w:val="18"/>
          <w:szCs w:val="18"/>
          <w:lang w:bidi="ar-SA"/>
        </w:rPr>
      </w:pPr>
      <w:r w:rsidRPr="00153C54">
        <w:rPr>
          <w:b/>
          <w:iCs/>
          <w:color w:val="000000" w:themeColor="text1"/>
          <w:kern w:val="2"/>
          <w:sz w:val="18"/>
          <w:szCs w:val="18"/>
          <w:lang w:bidi="ar-SA"/>
        </w:rPr>
        <w:t>Source: (Self-made).</w:t>
      </w:r>
    </w:p>
    <w:p w14:paraId="0BBF615F" w14:textId="77777777" w:rsidR="00F97A56" w:rsidRDefault="00000000" w:rsidP="00DB58BC">
      <w:pPr>
        <w:rPr>
          <w:lang w:bidi="ar-SA"/>
        </w:rPr>
      </w:pPr>
      <w:r w:rsidRPr="00F97A56">
        <w:rPr>
          <w:lang w:bidi="ar-SA"/>
        </w:rPr>
        <w:t>This hybrid strategy helps to shield Tesla technology and mitigate its risk to raw material and price wars and enables long-term sustainable growth.</w:t>
      </w:r>
    </w:p>
    <w:p w14:paraId="48072904" w14:textId="77777777" w:rsidR="00112C0D" w:rsidRPr="00112C0D" w:rsidRDefault="00000000" w:rsidP="00DB58BC">
      <w:pPr>
        <w:jc w:val="center"/>
        <w:rPr>
          <w:lang w:bidi="ar-SA"/>
        </w:rPr>
      </w:pPr>
      <w:r w:rsidRPr="00112C0D">
        <w:rPr>
          <w:noProof/>
          <w:lang w:bidi="ar-SA"/>
        </w:rPr>
        <w:lastRenderedPageBreak/>
        <w:drawing>
          <wp:inline distT="0" distB="0" distL="0" distR="0" wp14:anchorId="016FD991" wp14:editId="3AFA306C">
            <wp:extent cx="5486400" cy="2635935"/>
            <wp:effectExtent l="0" t="0" r="0" b="0"/>
            <wp:docPr id="18848614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61456" name="Picture 1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486400" cy="2635935"/>
                    </a:xfrm>
                    <a:prstGeom prst="rect">
                      <a:avLst/>
                    </a:prstGeom>
                    <a:noFill/>
                    <a:ln>
                      <a:noFill/>
                    </a:ln>
                  </pic:spPr>
                </pic:pic>
              </a:graphicData>
            </a:graphic>
          </wp:inline>
        </w:drawing>
      </w:r>
    </w:p>
    <w:p w14:paraId="55BD5E6F" w14:textId="77777777" w:rsidR="00112C0D" w:rsidRDefault="00000000" w:rsidP="00DB58BC">
      <w:pPr>
        <w:pStyle w:val="Caption"/>
        <w:spacing w:line="360" w:lineRule="auto"/>
      </w:pPr>
      <w:bookmarkStart w:id="12" w:name="_Toc236090741"/>
      <w:r>
        <w:t xml:space="preserve">Figure </w:t>
      </w:r>
      <w:fldSimple w:instr=" SEQ Figure \* ARABIC ">
        <w:r>
          <w:rPr>
            <w:noProof/>
          </w:rPr>
          <w:t>2</w:t>
        </w:r>
      </w:fldSimple>
      <w:r>
        <w:t xml:space="preserve">: </w:t>
      </w:r>
      <w:r w:rsidR="0017182A" w:rsidRPr="0017182A">
        <w:t>Ansoff Matrix for Tesla's Growth Strategy</w:t>
      </w:r>
      <w:r w:rsidR="0017182A">
        <w:t>.</w:t>
      </w:r>
      <w:bookmarkEnd w:id="12"/>
    </w:p>
    <w:p w14:paraId="5CDCBC50" w14:textId="77777777" w:rsidR="0017182A" w:rsidRPr="0017182A" w:rsidRDefault="00000000" w:rsidP="00DB58BC">
      <w:pPr>
        <w:jc w:val="center"/>
        <w:rPr>
          <w:b/>
          <w:iCs/>
          <w:color w:val="000000" w:themeColor="text1"/>
          <w:kern w:val="2"/>
          <w:sz w:val="18"/>
          <w:szCs w:val="18"/>
          <w:lang w:bidi="ar-SA"/>
        </w:rPr>
      </w:pPr>
      <w:r w:rsidRPr="00D70CEE">
        <w:rPr>
          <w:b/>
          <w:iCs/>
          <w:color w:val="000000" w:themeColor="text1"/>
          <w:kern w:val="2"/>
          <w:sz w:val="18"/>
          <w:szCs w:val="18"/>
          <w:lang w:bidi="ar-SA"/>
        </w:rPr>
        <w:t>Source: (Self-made).</w:t>
      </w:r>
    </w:p>
    <w:p w14:paraId="1B3129CC" w14:textId="77777777" w:rsidR="00F97A56" w:rsidRPr="00F97A56" w:rsidRDefault="00000000" w:rsidP="00DB58BC">
      <w:pPr>
        <w:pStyle w:val="Heading1"/>
        <w:rPr>
          <w:lang w:bidi="ar-SA"/>
        </w:rPr>
      </w:pPr>
      <w:bookmarkStart w:id="13" w:name="_Toc236132313"/>
      <w:r w:rsidRPr="00F97A56">
        <w:rPr>
          <w:lang w:bidi="ar-SA"/>
        </w:rPr>
        <w:t>Conclusion and Recommendation</w:t>
      </w:r>
      <w:bookmarkEnd w:id="13"/>
    </w:p>
    <w:p w14:paraId="481D3DB1" w14:textId="77777777" w:rsidR="00F97A56" w:rsidRDefault="00000000" w:rsidP="00DB58BC">
      <w:pPr>
        <w:rPr>
          <w:lang w:bidi="ar-SA"/>
        </w:rPr>
      </w:pPr>
      <w:r w:rsidRPr="00F97A56">
        <w:rPr>
          <w:lang w:bidi="ar-SA"/>
        </w:rPr>
        <w:t>Tesla has been a dominant player in the electric car and energy market, with solid in-house technology, an established brand, and a diverse product offering that includes cars, storage, and software. Nevertheless, declining sales, an increase in competition with BYD, and the shift in government support indicate that Tesla cannot afford to rest on its past success. The external analysis reveals that the market is influenced by political shifts, declining battery prices, and intense competition, whereas internal analysis indicates that the company has strengths in terms of its technology and cost control, as well as weaknesses in the small model range and material availability. It is recommended that Tesla introduce lower-priced vehicle models to maintain market position, extend collaboration in battery material provision to control cost and risk, and proceed with investing in software and energy storage, where its competitive edge is most difficult to replicate by competitors. These steps are likely to allow Tesla to strike a balance between the competition pressure in the short term and the long-term mission of the company to assist in a more sustainable energy future.</w:t>
      </w:r>
    </w:p>
    <w:p w14:paraId="24D48D30" w14:textId="77777777" w:rsidR="00F97A56" w:rsidRDefault="00F97A56" w:rsidP="00DB58BC">
      <w:pPr>
        <w:rPr>
          <w:lang w:bidi="ar-SA"/>
        </w:rPr>
      </w:pPr>
    </w:p>
    <w:p w14:paraId="093934C5" w14:textId="77777777" w:rsidR="00F97A56" w:rsidRDefault="00000000" w:rsidP="00DB58BC">
      <w:pPr>
        <w:spacing w:after="160"/>
        <w:jc w:val="left"/>
        <w:rPr>
          <w:lang w:bidi="ar-SA"/>
        </w:rPr>
      </w:pPr>
      <w:r>
        <w:rPr>
          <w:lang w:bidi="ar-SA"/>
        </w:rPr>
        <w:br w:type="page"/>
      </w:r>
    </w:p>
    <w:p w14:paraId="72AA243C" w14:textId="77777777" w:rsidR="00630C68" w:rsidRPr="00630C68" w:rsidRDefault="00000000" w:rsidP="00DB58BC">
      <w:pPr>
        <w:pStyle w:val="Heading1"/>
        <w:rPr>
          <w:lang w:bidi="ar-SA"/>
        </w:rPr>
      </w:pPr>
      <w:bookmarkStart w:id="14" w:name="_Toc236132314"/>
      <w:r w:rsidRPr="00630C68">
        <w:rPr>
          <w:lang w:bidi="ar-SA"/>
        </w:rPr>
        <w:lastRenderedPageBreak/>
        <w:t>Reference</w:t>
      </w:r>
      <w:r>
        <w:rPr>
          <w:lang w:bidi="ar-SA"/>
        </w:rPr>
        <w:t>s</w:t>
      </w:r>
      <w:bookmarkEnd w:id="14"/>
    </w:p>
    <w:p w14:paraId="043CF442" w14:textId="77777777" w:rsidR="00630C68" w:rsidRPr="00630C68" w:rsidRDefault="00000000" w:rsidP="00DB58BC">
      <w:pPr>
        <w:rPr>
          <w:lang w:bidi="ar-SA"/>
        </w:rPr>
      </w:pPr>
      <w:r w:rsidRPr="00630C68">
        <w:rPr>
          <w:lang w:bidi="ar-SA"/>
        </w:rPr>
        <w:t xml:space="preserve">Abedsoltan, H. (2023). Applications of plastics in the automotive industry: Current trends and future perspectives. </w:t>
      </w:r>
      <w:r w:rsidRPr="00630C68">
        <w:rPr>
          <w:i/>
          <w:iCs/>
          <w:lang w:bidi="ar-SA"/>
        </w:rPr>
        <w:t>Polymer Engineering and Science</w:t>
      </w:r>
      <w:r w:rsidRPr="00630C68">
        <w:rPr>
          <w:lang w:bidi="ar-SA"/>
        </w:rPr>
        <w:t>, 64(3), pp.929–950. doi:10.1002/pen.26604.</w:t>
      </w:r>
    </w:p>
    <w:p w14:paraId="31732F2A" w14:textId="77777777" w:rsidR="00630C68" w:rsidRPr="00630C68" w:rsidRDefault="00000000" w:rsidP="00DB58BC">
      <w:pPr>
        <w:rPr>
          <w:lang w:bidi="ar-SA"/>
        </w:rPr>
      </w:pPr>
      <w:r w:rsidRPr="00630C68">
        <w:rPr>
          <w:lang w:bidi="ar-SA"/>
        </w:rPr>
        <w:t xml:space="preserve">Barney, J.B. and Mackey, A. (2016). Text and metatext in the resource-based view. </w:t>
      </w:r>
      <w:r w:rsidRPr="00630C68">
        <w:rPr>
          <w:i/>
          <w:iCs/>
          <w:lang w:bidi="ar-SA"/>
        </w:rPr>
        <w:t>Human Resource Management Journal</w:t>
      </w:r>
      <w:r w:rsidRPr="00630C68">
        <w:rPr>
          <w:lang w:bidi="ar-SA"/>
        </w:rPr>
        <w:t>, 26(4), pp.369–378. doi:10.1111/1748-8583.12123.</w:t>
      </w:r>
    </w:p>
    <w:p w14:paraId="2AE53806" w14:textId="77777777" w:rsidR="00630C68" w:rsidRPr="00630C68" w:rsidRDefault="00000000" w:rsidP="00DB58BC">
      <w:pPr>
        <w:rPr>
          <w:lang w:bidi="ar-SA"/>
        </w:rPr>
      </w:pPr>
      <w:r w:rsidRPr="00630C68">
        <w:rPr>
          <w:lang w:bidi="ar-SA"/>
        </w:rPr>
        <w:t xml:space="preserve">Cheong, T., Song, S.H. and Hu, C. (2016). Strategic alliance with competitors in the electric vehicle market: Tesla Motors' case. </w:t>
      </w:r>
      <w:r w:rsidRPr="00630C68">
        <w:rPr>
          <w:i/>
          <w:iCs/>
          <w:lang w:bidi="ar-SA"/>
        </w:rPr>
        <w:t>Mathematical Problems in Engineering</w:t>
      </w:r>
      <w:r w:rsidRPr="00630C68">
        <w:rPr>
          <w:lang w:bidi="ar-SA"/>
        </w:rPr>
        <w:t>, [online] 2016, pp.1–10. doi:10.1155/2016/7210767.</w:t>
      </w:r>
    </w:p>
    <w:p w14:paraId="36A308E2" w14:textId="77777777" w:rsidR="00630C68" w:rsidRPr="00630C68" w:rsidRDefault="00000000" w:rsidP="00DB58BC">
      <w:pPr>
        <w:rPr>
          <w:lang w:bidi="ar-SA"/>
        </w:rPr>
      </w:pPr>
      <w:r w:rsidRPr="00630C68">
        <w:rPr>
          <w:lang w:bidi="ar-SA"/>
        </w:rPr>
        <w:t xml:space="preserve">Donnellan, J. and Rutledge, W.L. (2019). A case for resource-based view and competitive advantage in banking. </w:t>
      </w:r>
      <w:r w:rsidRPr="00630C68">
        <w:rPr>
          <w:i/>
          <w:iCs/>
          <w:lang w:bidi="ar-SA"/>
        </w:rPr>
        <w:t>Managerial and Decision Economics</w:t>
      </w:r>
      <w:r w:rsidRPr="00630C68">
        <w:rPr>
          <w:lang w:bidi="ar-SA"/>
        </w:rPr>
        <w:t>, 40(6), pp.728–737. doi:10.1002/mde.3041.</w:t>
      </w:r>
    </w:p>
    <w:p w14:paraId="2798A39D" w14:textId="77777777" w:rsidR="00630C68" w:rsidRPr="00630C68" w:rsidRDefault="00000000" w:rsidP="00DB58BC">
      <w:pPr>
        <w:rPr>
          <w:lang w:bidi="ar-SA"/>
        </w:rPr>
      </w:pPr>
      <w:r w:rsidRPr="00630C68">
        <w:rPr>
          <w:lang w:bidi="ar-SA"/>
        </w:rPr>
        <w:t>Jones, B., Nguyen</w:t>
      </w:r>
      <w:r w:rsidRPr="00630C68">
        <w:rPr>
          <w:rFonts w:ascii="Cambria Math" w:hAnsi="Cambria Math" w:cs="Cambria Math"/>
          <w:lang w:bidi="ar-SA"/>
        </w:rPr>
        <w:t>‐</w:t>
      </w:r>
      <w:r w:rsidRPr="00630C68">
        <w:rPr>
          <w:lang w:bidi="ar-SA"/>
        </w:rPr>
        <w:t xml:space="preserve">Tien, V. and Elliott, R.J.R. (2022). The electric vehicle revolution: Critical material supply chains, trade and development. </w:t>
      </w:r>
      <w:r w:rsidRPr="00630C68">
        <w:rPr>
          <w:i/>
          <w:iCs/>
          <w:lang w:bidi="ar-SA"/>
        </w:rPr>
        <w:t>The World Economy</w:t>
      </w:r>
      <w:r w:rsidRPr="00630C68">
        <w:rPr>
          <w:lang w:bidi="ar-SA"/>
        </w:rPr>
        <w:t>, 46(1), pp.2–26. doi:10.1111/twec.13345.</w:t>
      </w:r>
    </w:p>
    <w:p w14:paraId="25C98BE3" w14:textId="77777777" w:rsidR="00630C68" w:rsidRPr="00630C68" w:rsidRDefault="00000000" w:rsidP="00DB58BC">
      <w:pPr>
        <w:rPr>
          <w:lang w:bidi="ar-SA"/>
        </w:rPr>
      </w:pPr>
      <w:r w:rsidRPr="00630C68">
        <w:rPr>
          <w:lang w:bidi="ar-SA"/>
        </w:rPr>
        <w:t xml:space="preserve">Krivevski, B. (2026). </w:t>
      </w:r>
      <w:r w:rsidRPr="00630C68">
        <w:rPr>
          <w:i/>
          <w:iCs/>
          <w:lang w:bidi="ar-SA"/>
        </w:rPr>
        <w:t>BYD overtakes Tesla again in Q2 2026 EV sales as global gap widens</w:t>
      </w:r>
      <w:r w:rsidRPr="00630C68">
        <w:rPr>
          <w:lang w:bidi="ar-SA"/>
        </w:rPr>
        <w:t>. [online] Electric Cars Report. Available at: https://electriccarsreport.com/2026/07/byd-overtakes-tesla-again-in-q2-2026-ev-sales-as-global-gap-widens/ [Accessed 27 July 2026].</w:t>
      </w:r>
    </w:p>
    <w:p w14:paraId="400852BD" w14:textId="77777777" w:rsidR="00630C68" w:rsidRPr="00630C68" w:rsidRDefault="00000000" w:rsidP="00DB58BC">
      <w:pPr>
        <w:rPr>
          <w:lang w:bidi="ar-SA"/>
        </w:rPr>
      </w:pPr>
      <w:r w:rsidRPr="00630C68">
        <w:rPr>
          <w:lang w:bidi="ar-SA"/>
        </w:rPr>
        <w:t xml:space="preserve">Lin, W.L., Leow, C., Lim, W.M., Ho, M.K., Yong, J.Y. and Pek, C.K. (2024). The influence of blockchain technology on circular economy implementation in the automotive sector: From a GMM model to a new machine learning algorithm. </w:t>
      </w:r>
      <w:r w:rsidRPr="00630C68">
        <w:rPr>
          <w:i/>
          <w:iCs/>
          <w:lang w:bidi="ar-SA"/>
        </w:rPr>
        <w:t>Business Strategy and the Environment</w:t>
      </w:r>
      <w:r w:rsidRPr="00630C68">
        <w:rPr>
          <w:lang w:bidi="ar-SA"/>
        </w:rPr>
        <w:t>, 34(1), pp.1043–1061. doi:10.1002/bse.4003.</w:t>
      </w:r>
    </w:p>
    <w:p w14:paraId="1A5AFD3F" w14:textId="77777777" w:rsidR="00630C68" w:rsidRPr="00630C68" w:rsidRDefault="00000000" w:rsidP="00DB58BC">
      <w:pPr>
        <w:rPr>
          <w:lang w:bidi="ar-SA"/>
        </w:rPr>
      </w:pPr>
      <w:r w:rsidRPr="00630C68">
        <w:rPr>
          <w:lang w:bidi="ar-SA"/>
        </w:rPr>
        <w:t xml:space="preserve">O’Regan, N., Kluth, C. and Parnell, J. (2011). What drives firm performance: Environment or capabilities? </w:t>
      </w:r>
      <w:r w:rsidRPr="00630C68">
        <w:rPr>
          <w:i/>
          <w:iCs/>
          <w:lang w:bidi="ar-SA"/>
        </w:rPr>
        <w:t>Strategic Change</w:t>
      </w:r>
      <w:r w:rsidRPr="00630C68">
        <w:rPr>
          <w:lang w:bidi="ar-SA"/>
        </w:rPr>
        <w:t>, 20(7–8), pp.279–297. doi:10.1002/jsc.901.</w:t>
      </w:r>
    </w:p>
    <w:p w14:paraId="2FB21289" w14:textId="77777777" w:rsidR="00630C68" w:rsidRPr="00630C68" w:rsidRDefault="00000000" w:rsidP="00DB58BC">
      <w:pPr>
        <w:rPr>
          <w:lang w:bidi="ar-SA"/>
        </w:rPr>
      </w:pPr>
      <w:r w:rsidRPr="00630C68">
        <w:rPr>
          <w:lang w:bidi="ar-SA"/>
        </w:rPr>
        <w:t>Palmié, M., Miehé, L., Mair, J. and Wincent, J. (2024). Valuation entrepreneurship through product</w:t>
      </w:r>
      <w:r w:rsidRPr="00630C68">
        <w:rPr>
          <w:rFonts w:ascii="Cambria Math" w:hAnsi="Cambria Math" w:cs="Cambria Math"/>
          <w:lang w:bidi="ar-SA"/>
        </w:rPr>
        <w:t>‐</w:t>
      </w:r>
      <w:r w:rsidRPr="00630C68">
        <w:rPr>
          <w:lang w:bidi="ar-SA"/>
        </w:rPr>
        <w:t>design and blame</w:t>
      </w:r>
      <w:r w:rsidRPr="00630C68">
        <w:rPr>
          <w:rFonts w:ascii="Cambria Math" w:hAnsi="Cambria Math" w:cs="Cambria Math"/>
          <w:lang w:bidi="ar-SA"/>
        </w:rPr>
        <w:t>‐</w:t>
      </w:r>
      <w:r w:rsidRPr="00630C68">
        <w:rPr>
          <w:lang w:bidi="ar-SA"/>
        </w:rPr>
        <w:t xml:space="preserve">avoidance strategies: How Tesla managed to change the public perception of sustainable innovations. </w:t>
      </w:r>
      <w:r w:rsidRPr="00630C68">
        <w:rPr>
          <w:i/>
          <w:iCs/>
          <w:lang w:bidi="ar-SA"/>
        </w:rPr>
        <w:t>The Journal of Product Innovation Management</w:t>
      </w:r>
      <w:r w:rsidRPr="00630C68">
        <w:rPr>
          <w:lang w:bidi="ar-SA"/>
        </w:rPr>
        <w:t>, 41(3), pp.644–676. doi:10.1111/jpim.12732.</w:t>
      </w:r>
    </w:p>
    <w:p w14:paraId="5D7DD188" w14:textId="77777777" w:rsidR="00630C68" w:rsidRPr="00630C68" w:rsidRDefault="00000000" w:rsidP="00DB58BC">
      <w:pPr>
        <w:rPr>
          <w:lang w:bidi="ar-SA"/>
        </w:rPr>
      </w:pPr>
      <w:r w:rsidRPr="00630C68">
        <w:rPr>
          <w:lang w:bidi="ar-SA"/>
        </w:rPr>
        <w:t xml:space="preserve">Priambodo, D. and Monica, L. (2026). </w:t>
      </w:r>
      <w:r w:rsidRPr="00630C68">
        <w:rPr>
          <w:i/>
          <w:iCs/>
          <w:lang w:bidi="ar-SA"/>
        </w:rPr>
        <w:t>Overtaking BYD, Tesla dominate global EV market again in 2026</w:t>
      </w:r>
      <w:r w:rsidRPr="00630C68">
        <w:rPr>
          <w:lang w:bidi="ar-SA"/>
        </w:rPr>
        <w:t>. [online] IDNFinancials. Available at: https://www.idnfinancials.com/news/62771/overtaking-byd-tesla-dominate-global-ev-market-again-in-2026 [Accessed 27 July 2026].</w:t>
      </w:r>
    </w:p>
    <w:p w14:paraId="3EDC3E59" w14:textId="77777777" w:rsidR="00630C68" w:rsidRPr="00630C68" w:rsidRDefault="00000000" w:rsidP="00DB58BC">
      <w:pPr>
        <w:rPr>
          <w:lang w:bidi="ar-SA"/>
        </w:rPr>
      </w:pPr>
      <w:r w:rsidRPr="00630C68">
        <w:rPr>
          <w:lang w:bidi="ar-SA"/>
        </w:rPr>
        <w:t xml:space="preserve">Safari, M. (2024). A perspective on the battery value chain and the future of battery electric vehicles. </w:t>
      </w:r>
      <w:r w:rsidRPr="00630C68">
        <w:rPr>
          <w:i/>
          <w:iCs/>
          <w:lang w:bidi="ar-SA"/>
        </w:rPr>
        <w:t>Battery Energy</w:t>
      </w:r>
      <w:r w:rsidRPr="00630C68">
        <w:rPr>
          <w:lang w:bidi="ar-SA"/>
        </w:rPr>
        <w:t>, 4(1). doi:10.1002/bte2.20240016.</w:t>
      </w:r>
    </w:p>
    <w:p w14:paraId="2250C469" w14:textId="77777777" w:rsidR="00630C68" w:rsidRPr="00630C68" w:rsidRDefault="00000000" w:rsidP="00DB58BC">
      <w:pPr>
        <w:rPr>
          <w:lang w:bidi="ar-SA"/>
        </w:rPr>
      </w:pPr>
      <w:r w:rsidRPr="00630C68">
        <w:rPr>
          <w:lang w:bidi="ar-SA"/>
        </w:rPr>
        <w:lastRenderedPageBreak/>
        <w:t xml:space="preserve">Tesla, Inc. (2026). </w:t>
      </w:r>
      <w:r w:rsidRPr="00630C68">
        <w:rPr>
          <w:i/>
          <w:iCs/>
          <w:lang w:bidi="ar-SA"/>
        </w:rPr>
        <w:t>Form 10-K: Annual report for the fiscal year ended December 31, 2025</w:t>
      </w:r>
      <w:r w:rsidRPr="00630C68">
        <w:rPr>
          <w:lang w:bidi="ar-SA"/>
        </w:rPr>
        <w:t>. [online] Washington, DC: U.S. Securities and Exchange Commission. Available at: https://www.sec.gov/Archives/edgar/data/1318605/000162828026003952/tsla-20251231.htm [Accessed 27 July 2026].</w:t>
      </w:r>
    </w:p>
    <w:p w14:paraId="0F8BAF16" w14:textId="77777777" w:rsidR="00630C68" w:rsidRPr="00630C68" w:rsidRDefault="00000000" w:rsidP="00DB58BC">
      <w:pPr>
        <w:rPr>
          <w:lang w:bidi="ar-SA"/>
        </w:rPr>
      </w:pPr>
      <w:r w:rsidRPr="00630C68">
        <w:rPr>
          <w:lang w:bidi="ar-SA"/>
        </w:rPr>
        <w:t xml:space="preserve">Tutar, H. and Erden, C. (2026). Sustainable resilience in critical mineral supply chains: An ESG and circular economy perspective. </w:t>
      </w:r>
      <w:r w:rsidRPr="00630C68">
        <w:rPr>
          <w:i/>
          <w:iCs/>
          <w:lang w:bidi="ar-SA"/>
        </w:rPr>
        <w:t>Business Strategy and the Environment</w:t>
      </w:r>
      <w:r w:rsidRPr="00630C68">
        <w:rPr>
          <w:lang w:bidi="ar-SA"/>
        </w:rPr>
        <w:t>. doi:10.1002/bse.70850.</w:t>
      </w:r>
    </w:p>
    <w:p w14:paraId="7CC8A8A5" w14:textId="77777777" w:rsidR="00630C68" w:rsidRPr="00630C68" w:rsidRDefault="00000000" w:rsidP="00DB58BC">
      <w:pPr>
        <w:rPr>
          <w:lang w:bidi="ar-SA"/>
        </w:rPr>
      </w:pPr>
      <w:r w:rsidRPr="00630C68">
        <w:rPr>
          <w:lang w:bidi="ar-SA"/>
        </w:rPr>
        <w:t>van der Rhee, B., Schmidt, G.M. and Van Orden, J. (2012). High</w:t>
      </w:r>
      <w:r w:rsidRPr="00630C68">
        <w:rPr>
          <w:rFonts w:ascii="Cambria Math" w:hAnsi="Cambria Math" w:cs="Cambria Math"/>
          <w:lang w:bidi="ar-SA"/>
        </w:rPr>
        <w:t>‐</w:t>
      </w:r>
      <w:r w:rsidRPr="00630C68">
        <w:rPr>
          <w:lang w:bidi="ar-SA"/>
        </w:rPr>
        <w:t xml:space="preserve">end encroachment patterns of new products. </w:t>
      </w:r>
      <w:r w:rsidRPr="00630C68">
        <w:rPr>
          <w:i/>
          <w:iCs/>
          <w:lang w:bidi="ar-SA"/>
        </w:rPr>
        <w:t>Journal of Product Innovation Management</w:t>
      </w:r>
      <w:r w:rsidRPr="00630C68">
        <w:rPr>
          <w:lang w:bidi="ar-SA"/>
        </w:rPr>
        <w:t>, 29(5), pp.715–733. doi:10.1111/j.1540-5885.2012.00945.x.</w:t>
      </w:r>
    </w:p>
    <w:p w14:paraId="38FAB0FC" w14:textId="77777777" w:rsidR="00630C68" w:rsidRDefault="00000000" w:rsidP="00DB58BC">
      <w:pPr>
        <w:rPr>
          <w:lang w:bidi="ar-SA"/>
        </w:rPr>
      </w:pPr>
      <w:r w:rsidRPr="00630C68">
        <w:rPr>
          <w:lang w:bidi="ar-SA"/>
        </w:rPr>
        <w:t xml:space="preserve">Vracheva, V. and Moussetis, R.C. (2025). The efficacy of Igor Ansoff’s strategic success hypothesis: A comparative analysis of strategic diagnostic models. </w:t>
      </w:r>
      <w:r w:rsidRPr="00630C68">
        <w:rPr>
          <w:i/>
          <w:iCs/>
          <w:lang w:bidi="ar-SA"/>
        </w:rPr>
        <w:t>Strategic Change</w:t>
      </w:r>
      <w:r w:rsidRPr="00630C68">
        <w:rPr>
          <w:lang w:bidi="ar-SA"/>
        </w:rPr>
        <w:t>. doi:10.1002/jsc.70037.</w:t>
      </w:r>
    </w:p>
    <w:p w14:paraId="046494E2" w14:textId="77777777" w:rsidR="00DB58BC" w:rsidRDefault="00DB58BC" w:rsidP="00DB58BC">
      <w:pPr>
        <w:rPr>
          <w:lang w:bidi="ar-SA"/>
        </w:rPr>
      </w:pPr>
    </w:p>
    <w:p w14:paraId="21B053B5" w14:textId="77777777" w:rsidR="00DB58BC" w:rsidRDefault="00000000" w:rsidP="00DB58BC">
      <w:pPr>
        <w:spacing w:after="160"/>
        <w:jc w:val="left"/>
        <w:rPr>
          <w:lang w:bidi="ar-SA"/>
        </w:rPr>
      </w:pPr>
      <w:r>
        <w:rPr>
          <w:lang w:bidi="ar-SA"/>
        </w:rPr>
        <w:br w:type="page"/>
      </w:r>
    </w:p>
    <w:p w14:paraId="048803AD" w14:textId="77777777" w:rsidR="00DB58BC" w:rsidRDefault="00000000" w:rsidP="00DB58BC">
      <w:pPr>
        <w:pStyle w:val="Heading1"/>
      </w:pPr>
      <w:bookmarkStart w:id="15" w:name="_Toc236131071"/>
      <w:bookmarkStart w:id="16" w:name="_Toc236132315"/>
      <w:r>
        <w:lastRenderedPageBreak/>
        <w:t>AI Declaration:</w:t>
      </w:r>
      <w:bookmarkEnd w:id="15"/>
      <w:bookmarkEnd w:id="16"/>
    </w:p>
    <w:tbl>
      <w:tblPr>
        <w:tblStyle w:val="TableGrid0"/>
        <w:tblpPr w:leftFromText="180" w:rightFromText="180" w:vertAnchor="text" w:horzAnchor="margin" w:tblpY="155"/>
        <w:tblOverlap w:val="never"/>
        <w:tblW w:w="9530" w:type="dxa"/>
        <w:tblInd w:w="0" w:type="dxa"/>
        <w:tblCellMar>
          <w:top w:w="10" w:type="dxa"/>
          <w:left w:w="108" w:type="dxa"/>
          <w:right w:w="111" w:type="dxa"/>
        </w:tblCellMar>
        <w:tblLook w:val="04A0" w:firstRow="1" w:lastRow="0" w:firstColumn="1" w:lastColumn="0" w:noHBand="0" w:noVBand="1"/>
      </w:tblPr>
      <w:tblGrid>
        <w:gridCol w:w="2069"/>
        <w:gridCol w:w="5457"/>
        <w:gridCol w:w="2004"/>
      </w:tblGrid>
      <w:tr w:rsidR="00DE4DAF" w14:paraId="0AB749BB" w14:textId="77777777" w:rsidTr="00906F0D">
        <w:trPr>
          <w:trHeight w:val="1527"/>
        </w:trPr>
        <w:tc>
          <w:tcPr>
            <w:tcW w:w="20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01AACF" w14:textId="77777777" w:rsidR="00DB58BC" w:rsidRPr="00A975E0" w:rsidRDefault="00000000" w:rsidP="00DB58BC">
            <w:pPr>
              <w:rPr>
                <w:rFonts w:cs="Times New Roman"/>
              </w:rPr>
            </w:pPr>
            <w:r w:rsidRPr="00A975E0">
              <w:rPr>
                <w:rFonts w:eastAsia="Calibri" w:cs="Times New Roman"/>
              </w:rPr>
              <w:t xml:space="preserve">RESEARCH </w:t>
            </w:r>
            <w:r w:rsidRPr="00A975E0">
              <w:rPr>
                <w:rFonts w:cs="Times New Roman"/>
              </w:rPr>
              <w:t xml:space="preserve"> </w:t>
            </w:r>
          </w:p>
        </w:tc>
        <w:tc>
          <w:tcPr>
            <w:tcW w:w="54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802B26B" w14:textId="77777777" w:rsidR="00DB58BC" w:rsidRPr="00A975E0" w:rsidRDefault="00000000" w:rsidP="00DB58BC">
            <w:pPr>
              <w:rPr>
                <w:rFonts w:cs="Times New Roman"/>
              </w:rPr>
            </w:pPr>
            <w:r w:rsidRPr="00A975E0">
              <w:rPr>
                <w:rFonts w:eastAsia="Calibri" w:cs="Times New Roman"/>
              </w:rPr>
              <w:t xml:space="preserve">For this assessment, you can use Generative AI to support you in research, including searching for bibliography, using tools to summarise, compare and interrogate materials. </w:t>
            </w:r>
            <w:r w:rsidRPr="00A975E0">
              <w:rPr>
                <w:rFonts w:cs="Times New Roman"/>
              </w:rPr>
              <w:t xml:space="preserve"> </w:t>
            </w:r>
          </w:p>
        </w:tc>
        <w:tc>
          <w:tcPr>
            <w:tcW w:w="200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A83B060" w14:textId="77777777" w:rsidR="00DB58BC" w:rsidRPr="00A975E0" w:rsidRDefault="00000000" w:rsidP="00DB58BC">
            <w:pPr>
              <w:ind w:left="2"/>
              <w:rPr>
                <w:rFonts w:cs="Times New Roman"/>
              </w:rPr>
            </w:pPr>
            <w:r w:rsidRPr="00A975E0">
              <w:rPr>
                <w:rFonts w:eastAsia="Calibri" w:cs="Times New Roman"/>
              </w:rPr>
              <w:t xml:space="preserve">Yes </w:t>
            </w:r>
            <w:r w:rsidRPr="00A975E0">
              <w:rPr>
                <w:rFonts w:cs="Times New Roman"/>
              </w:rPr>
              <w:t xml:space="preserve">  </w:t>
            </w:r>
            <w:r w:rsidRPr="00A975E0">
              <w:rPr>
                <w:rFonts w:ascii="Segoe UI Symbol" w:eastAsia="Segoe UI Symbol"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p w14:paraId="3912363B" w14:textId="77777777" w:rsidR="00DB58BC" w:rsidRPr="00A975E0" w:rsidRDefault="00000000" w:rsidP="00DB58BC">
            <w:pPr>
              <w:ind w:left="2"/>
              <w:rPr>
                <w:rFonts w:cs="Times New Roman"/>
              </w:rPr>
            </w:pPr>
            <w:r w:rsidRPr="00A975E0">
              <w:rPr>
                <w:rFonts w:eastAsia="Calibri" w:cs="Times New Roman"/>
              </w:rPr>
              <w:t xml:space="preserve"> </w:t>
            </w:r>
            <w:r w:rsidRPr="00A975E0">
              <w:rPr>
                <w:rFonts w:cs="Times New Roman"/>
              </w:rPr>
              <w:t xml:space="preserve"> </w:t>
            </w:r>
            <w:r w:rsidRPr="00A975E0">
              <w:rPr>
                <w:rFonts w:eastAsia="Calibri" w:cs="Times New Roman"/>
              </w:rPr>
              <w:t xml:space="preserve">No  </w:t>
            </w:r>
            <w:r w:rsidRPr="00A975E0">
              <w:rPr>
                <w:rFonts w:cs="Times New Roman"/>
              </w:rPr>
              <w:t xml:space="preserve"> </w:t>
            </w:r>
            <w:r w:rsidRPr="00A975E0">
              <w:rPr>
                <w:rFonts w:ascii="Segoe UI Symbol" w:eastAsia="Calibri"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tc>
      </w:tr>
      <w:tr w:rsidR="00DE4DAF" w14:paraId="214C69CF" w14:textId="77777777" w:rsidTr="00906F0D">
        <w:trPr>
          <w:trHeight w:val="1525"/>
        </w:trPr>
        <w:tc>
          <w:tcPr>
            <w:tcW w:w="20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4944BAC" w14:textId="77777777" w:rsidR="00DB58BC" w:rsidRPr="00A975E0" w:rsidRDefault="00000000" w:rsidP="00DB58BC">
            <w:pPr>
              <w:rPr>
                <w:rFonts w:cs="Times New Roman"/>
              </w:rPr>
            </w:pPr>
            <w:r w:rsidRPr="00A975E0">
              <w:rPr>
                <w:rFonts w:eastAsia="Calibri" w:cs="Times New Roman"/>
              </w:rPr>
              <w:t xml:space="preserve">STRUCTURE </w:t>
            </w:r>
            <w:r w:rsidRPr="00A975E0">
              <w:rPr>
                <w:rFonts w:cs="Times New Roman"/>
              </w:rPr>
              <w:t xml:space="preserve"> </w:t>
            </w:r>
          </w:p>
        </w:tc>
        <w:tc>
          <w:tcPr>
            <w:tcW w:w="54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827DCED" w14:textId="77777777" w:rsidR="00DB58BC" w:rsidRPr="00A975E0" w:rsidRDefault="00000000" w:rsidP="00DB58BC">
            <w:pPr>
              <w:rPr>
                <w:rFonts w:cs="Times New Roman"/>
              </w:rPr>
            </w:pPr>
            <w:r w:rsidRPr="00A975E0">
              <w:rPr>
                <w:rFonts w:eastAsia="Calibri" w:cs="Times New Roman"/>
              </w:rPr>
              <w:t xml:space="preserve">For this assessment, you can use Generative AI to support you in structuring your submission, including creating a draft argument structure, identifying parts and headings, etc. </w:t>
            </w:r>
            <w:r w:rsidRPr="00A975E0">
              <w:rPr>
                <w:rFonts w:cs="Times New Roman"/>
              </w:rPr>
              <w:t xml:space="preserve"> </w:t>
            </w:r>
          </w:p>
        </w:tc>
        <w:tc>
          <w:tcPr>
            <w:tcW w:w="200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5348F6" w14:textId="77777777" w:rsidR="00DB58BC" w:rsidRPr="00A975E0" w:rsidRDefault="00000000" w:rsidP="00DB58BC">
            <w:pPr>
              <w:ind w:left="2"/>
              <w:rPr>
                <w:rFonts w:cs="Times New Roman"/>
              </w:rPr>
            </w:pPr>
            <w:r w:rsidRPr="00A975E0">
              <w:rPr>
                <w:rFonts w:eastAsia="Calibri" w:cs="Times New Roman"/>
              </w:rPr>
              <w:t xml:space="preserve">Yes </w:t>
            </w:r>
            <w:r w:rsidRPr="00A975E0">
              <w:rPr>
                <w:rFonts w:ascii="Segoe UI Symbol"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p w14:paraId="5222EF8A" w14:textId="77777777" w:rsidR="00DB58BC" w:rsidRPr="00A975E0" w:rsidRDefault="00000000" w:rsidP="00DB58BC">
            <w:pPr>
              <w:ind w:left="2"/>
              <w:rPr>
                <w:rFonts w:cs="Times New Roman"/>
              </w:rPr>
            </w:pPr>
            <w:r w:rsidRPr="00A975E0">
              <w:rPr>
                <w:rFonts w:eastAsia="Calibri" w:cs="Times New Roman"/>
              </w:rPr>
              <w:t xml:space="preserve">No  </w:t>
            </w:r>
            <w:r w:rsidRPr="00A975E0">
              <w:rPr>
                <w:rFonts w:cs="Times New Roman"/>
              </w:rPr>
              <w:t xml:space="preserve"> </w:t>
            </w:r>
            <w:r w:rsidRPr="00A975E0">
              <w:rPr>
                <w:rFonts w:ascii="Segoe UI Symbol" w:eastAsia="Calibri"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r w:rsidRPr="00A975E0">
              <w:rPr>
                <w:rFonts w:eastAsia="Calibri" w:cs="Times New Roman"/>
              </w:rPr>
              <w:t xml:space="preserve"> </w:t>
            </w:r>
            <w:r w:rsidRPr="00A975E0">
              <w:rPr>
                <w:rFonts w:cs="Times New Roman"/>
              </w:rPr>
              <w:t xml:space="preserve"> </w:t>
            </w:r>
          </w:p>
        </w:tc>
      </w:tr>
      <w:tr w:rsidR="00DE4DAF" w14:paraId="5130C900" w14:textId="77777777" w:rsidTr="00906F0D">
        <w:trPr>
          <w:trHeight w:val="1527"/>
        </w:trPr>
        <w:tc>
          <w:tcPr>
            <w:tcW w:w="20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83FA87" w14:textId="77777777" w:rsidR="00DB58BC" w:rsidRPr="00A975E0" w:rsidRDefault="00000000" w:rsidP="00DB58BC">
            <w:pPr>
              <w:rPr>
                <w:rFonts w:cs="Times New Roman"/>
              </w:rPr>
            </w:pPr>
            <w:r w:rsidRPr="00A975E0">
              <w:rPr>
                <w:rFonts w:eastAsia="Calibri" w:cs="Times New Roman"/>
              </w:rPr>
              <w:t xml:space="preserve">PROOFREADING </w:t>
            </w:r>
            <w:r w:rsidRPr="00A975E0">
              <w:rPr>
                <w:rFonts w:cs="Times New Roman"/>
              </w:rPr>
              <w:t xml:space="preserve"> </w:t>
            </w:r>
          </w:p>
        </w:tc>
        <w:tc>
          <w:tcPr>
            <w:tcW w:w="54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12EB5BA" w14:textId="77777777" w:rsidR="00DB58BC" w:rsidRPr="00A975E0" w:rsidRDefault="00000000" w:rsidP="00DB58BC">
            <w:pPr>
              <w:rPr>
                <w:rFonts w:cs="Times New Roman"/>
              </w:rPr>
            </w:pPr>
            <w:r w:rsidRPr="00A975E0">
              <w:rPr>
                <w:rFonts w:eastAsia="Calibri" w:cs="Times New Roman"/>
              </w:rPr>
              <w:t xml:space="preserve">For this assessment, you can use Generative AI to check your own text/creation for grammatical and syntactical mistakes, including rephrasing of your own work within specific standards. </w:t>
            </w:r>
            <w:r w:rsidRPr="00A975E0">
              <w:rPr>
                <w:rFonts w:cs="Times New Roman"/>
              </w:rPr>
              <w:t xml:space="preserve"> </w:t>
            </w:r>
          </w:p>
        </w:tc>
        <w:tc>
          <w:tcPr>
            <w:tcW w:w="200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7FE929C" w14:textId="77777777" w:rsidR="00DB58BC" w:rsidRPr="00A975E0" w:rsidRDefault="00000000" w:rsidP="00DB58BC">
            <w:pPr>
              <w:ind w:left="2"/>
              <w:rPr>
                <w:rFonts w:cs="Times New Roman"/>
              </w:rPr>
            </w:pPr>
            <w:r w:rsidRPr="00A975E0">
              <w:rPr>
                <w:rFonts w:eastAsia="Calibri" w:cs="Times New Roman"/>
              </w:rPr>
              <w:t xml:space="preserve">Yes </w:t>
            </w:r>
            <w:r w:rsidRPr="00A975E0">
              <w:rPr>
                <w:rFonts w:ascii="Segoe UI Symbol"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p w14:paraId="5C4B560B" w14:textId="77777777" w:rsidR="00DB58BC" w:rsidRPr="00A975E0" w:rsidRDefault="00000000" w:rsidP="00DB58BC">
            <w:pPr>
              <w:ind w:left="2"/>
              <w:rPr>
                <w:rFonts w:cs="Times New Roman"/>
              </w:rPr>
            </w:pPr>
            <w:r w:rsidRPr="00A975E0">
              <w:rPr>
                <w:rFonts w:eastAsia="Calibri" w:cs="Times New Roman"/>
              </w:rPr>
              <w:t xml:space="preserve">No </w:t>
            </w:r>
            <w:r w:rsidRPr="00A975E0">
              <w:rPr>
                <w:rFonts w:ascii="Segoe UI Symbol" w:eastAsia="Calibri"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tc>
      </w:tr>
      <w:tr w:rsidR="00DE4DAF" w14:paraId="53DDCD2E" w14:textId="77777777" w:rsidTr="00906F0D">
        <w:trPr>
          <w:trHeight w:val="765"/>
        </w:trPr>
        <w:tc>
          <w:tcPr>
            <w:tcW w:w="20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79BD925" w14:textId="77777777" w:rsidR="00DB58BC" w:rsidRPr="00A975E0" w:rsidRDefault="00000000" w:rsidP="00DB58BC">
            <w:pPr>
              <w:rPr>
                <w:rFonts w:cs="Times New Roman"/>
              </w:rPr>
            </w:pPr>
            <w:r w:rsidRPr="00A975E0">
              <w:rPr>
                <w:rFonts w:eastAsia="Calibri" w:cs="Times New Roman"/>
              </w:rPr>
              <w:t xml:space="preserve">WRITING </w:t>
            </w:r>
            <w:r w:rsidRPr="00A975E0">
              <w:rPr>
                <w:rFonts w:cs="Times New Roman"/>
              </w:rPr>
              <w:t xml:space="preserve"> </w:t>
            </w:r>
          </w:p>
        </w:tc>
        <w:tc>
          <w:tcPr>
            <w:tcW w:w="54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E6399C" w14:textId="77777777" w:rsidR="00DB58BC" w:rsidRPr="00A975E0" w:rsidRDefault="00000000" w:rsidP="00DB58BC">
            <w:pPr>
              <w:rPr>
                <w:rFonts w:cs="Times New Roman"/>
              </w:rPr>
            </w:pPr>
            <w:r w:rsidRPr="00A975E0">
              <w:rPr>
                <w:rFonts w:eastAsia="Calibri" w:cs="Times New Roman"/>
              </w:rPr>
              <w:t xml:space="preserve">For this assessment, you can use Generative AI to create text for submission. </w:t>
            </w:r>
            <w:r w:rsidRPr="00A975E0">
              <w:rPr>
                <w:rFonts w:cs="Times New Roman"/>
              </w:rPr>
              <w:t xml:space="preserve"> </w:t>
            </w:r>
          </w:p>
        </w:tc>
        <w:tc>
          <w:tcPr>
            <w:tcW w:w="200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3CCEFD" w14:textId="77777777" w:rsidR="00DB58BC" w:rsidRDefault="00000000" w:rsidP="00DB58BC">
            <w:pPr>
              <w:ind w:left="2"/>
              <w:rPr>
                <w:rFonts w:cs="Times New Roman"/>
              </w:rPr>
            </w:pPr>
            <w:r w:rsidRPr="00A975E0">
              <w:rPr>
                <w:rFonts w:eastAsia="Calibri" w:cs="Times New Roman"/>
              </w:rPr>
              <w:t xml:space="preserve">Yes </w:t>
            </w:r>
            <w:r w:rsidRPr="00A975E0">
              <w:rPr>
                <w:rFonts w:ascii="Segoe UI Symbol"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p w14:paraId="16DDBE64" w14:textId="77777777" w:rsidR="00DB58BC" w:rsidRPr="00A975E0" w:rsidRDefault="00000000" w:rsidP="00DB58BC">
            <w:pPr>
              <w:ind w:left="2"/>
              <w:rPr>
                <w:rFonts w:cs="Times New Roman"/>
              </w:rPr>
            </w:pPr>
            <w:r w:rsidRPr="00A975E0">
              <w:rPr>
                <w:rFonts w:eastAsia="Calibri" w:cs="Times New Roman"/>
              </w:rPr>
              <w:t xml:space="preserve">No  </w:t>
            </w:r>
            <w:r w:rsidRPr="00A975E0">
              <w:rPr>
                <w:rFonts w:cs="Times New Roman"/>
              </w:rPr>
              <w:t xml:space="preserve"> </w:t>
            </w:r>
            <w:r w:rsidRPr="00A975E0">
              <w:rPr>
                <w:rFonts w:ascii="Segoe UI Symbol" w:eastAsia="Segoe UI Symbol"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tc>
      </w:tr>
      <w:tr w:rsidR="00DE4DAF" w14:paraId="5E0F6149" w14:textId="77777777" w:rsidTr="00906F0D">
        <w:trPr>
          <w:trHeight w:val="765"/>
        </w:trPr>
        <w:tc>
          <w:tcPr>
            <w:tcW w:w="20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154928" w14:textId="77777777" w:rsidR="00DB58BC" w:rsidRPr="00A975E0" w:rsidRDefault="00000000" w:rsidP="00DB58BC">
            <w:pPr>
              <w:rPr>
                <w:rFonts w:cs="Times New Roman"/>
              </w:rPr>
            </w:pPr>
            <w:r w:rsidRPr="00A975E0">
              <w:rPr>
                <w:rFonts w:eastAsia="Calibri" w:cs="Times New Roman"/>
              </w:rPr>
              <w:t xml:space="preserve">CREATIVE </w:t>
            </w:r>
            <w:r w:rsidRPr="00A975E0">
              <w:rPr>
                <w:rFonts w:cs="Times New Roman"/>
              </w:rPr>
              <w:t xml:space="preserve"> </w:t>
            </w:r>
          </w:p>
        </w:tc>
        <w:tc>
          <w:tcPr>
            <w:tcW w:w="54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EA46F80" w14:textId="77777777" w:rsidR="00DB58BC" w:rsidRPr="00A975E0" w:rsidRDefault="00000000" w:rsidP="00DB58BC">
            <w:pPr>
              <w:rPr>
                <w:rFonts w:cs="Times New Roman"/>
              </w:rPr>
            </w:pPr>
            <w:r w:rsidRPr="00A975E0">
              <w:rPr>
                <w:rFonts w:eastAsia="Calibri" w:cs="Times New Roman"/>
              </w:rPr>
              <w:t xml:space="preserve">For this assessment, you can use Generative AI to create creative materials, such as images. </w:t>
            </w:r>
            <w:r w:rsidRPr="00A975E0">
              <w:rPr>
                <w:rFonts w:cs="Times New Roman"/>
              </w:rPr>
              <w:t xml:space="preserve"> </w:t>
            </w:r>
          </w:p>
        </w:tc>
        <w:tc>
          <w:tcPr>
            <w:tcW w:w="200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5677F6" w14:textId="77777777" w:rsidR="00DB58BC" w:rsidRDefault="00000000" w:rsidP="00DB58BC">
            <w:pPr>
              <w:ind w:left="2"/>
              <w:rPr>
                <w:rFonts w:cs="Times New Roman"/>
              </w:rPr>
            </w:pPr>
            <w:r w:rsidRPr="00A975E0">
              <w:rPr>
                <w:rFonts w:eastAsia="Calibri" w:cs="Times New Roman"/>
              </w:rPr>
              <w:t xml:space="preserve">Yes </w:t>
            </w:r>
            <w:r w:rsidRPr="00A975E0">
              <w:rPr>
                <w:rFonts w:ascii="Segoe UI Symbol"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p w14:paraId="5144F8F3" w14:textId="77777777" w:rsidR="00DB58BC" w:rsidRPr="00A975E0" w:rsidRDefault="00000000" w:rsidP="00DB58BC">
            <w:pPr>
              <w:ind w:left="2"/>
              <w:rPr>
                <w:rFonts w:cs="Times New Roman"/>
              </w:rPr>
            </w:pPr>
            <w:r w:rsidRPr="00A975E0">
              <w:rPr>
                <w:rFonts w:eastAsia="Calibri" w:cs="Times New Roman"/>
              </w:rPr>
              <w:t xml:space="preserve">No  </w:t>
            </w:r>
            <w:r w:rsidRPr="00A975E0">
              <w:rPr>
                <w:rFonts w:cs="Times New Roman"/>
              </w:rPr>
              <w:t xml:space="preserve"> </w:t>
            </w:r>
            <w:r w:rsidRPr="00A975E0">
              <w:rPr>
                <w:rFonts w:ascii="Segoe UI Symbol" w:eastAsia="Calibri"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tc>
      </w:tr>
      <w:tr w:rsidR="00DE4DAF" w14:paraId="772E4D52" w14:textId="77777777" w:rsidTr="00906F0D">
        <w:trPr>
          <w:trHeight w:val="315"/>
        </w:trPr>
        <w:tc>
          <w:tcPr>
            <w:tcW w:w="20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1413A6" w14:textId="77777777" w:rsidR="00DB58BC" w:rsidRPr="00A975E0" w:rsidRDefault="00000000" w:rsidP="00DB58BC">
            <w:pPr>
              <w:rPr>
                <w:rFonts w:cs="Times New Roman"/>
              </w:rPr>
            </w:pPr>
            <w:r w:rsidRPr="00A975E0">
              <w:rPr>
                <w:rFonts w:eastAsia="Calibri" w:cs="Times New Roman"/>
              </w:rPr>
              <w:t xml:space="preserve">PROGRAMING </w:t>
            </w:r>
            <w:r w:rsidRPr="00A975E0">
              <w:rPr>
                <w:rFonts w:cs="Times New Roman"/>
              </w:rPr>
              <w:t xml:space="preserve"> </w:t>
            </w:r>
          </w:p>
        </w:tc>
        <w:tc>
          <w:tcPr>
            <w:tcW w:w="54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4290E3" w14:textId="77777777" w:rsidR="00DB58BC" w:rsidRPr="00A975E0" w:rsidRDefault="00000000" w:rsidP="00DB58BC">
            <w:pPr>
              <w:rPr>
                <w:rFonts w:cs="Times New Roman"/>
              </w:rPr>
            </w:pPr>
            <w:r w:rsidRPr="00A975E0">
              <w:rPr>
                <w:rFonts w:eastAsia="Calibri" w:cs="Times New Roman"/>
              </w:rPr>
              <w:t xml:space="preserve">For this assessment, you can use Generative AI to create and check code. </w:t>
            </w:r>
            <w:r w:rsidRPr="00A975E0">
              <w:rPr>
                <w:rFonts w:cs="Times New Roman"/>
              </w:rPr>
              <w:t xml:space="preserve"> </w:t>
            </w:r>
          </w:p>
        </w:tc>
        <w:tc>
          <w:tcPr>
            <w:tcW w:w="200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4BD162D" w14:textId="77777777" w:rsidR="00DB58BC" w:rsidRDefault="00000000" w:rsidP="00DB58BC">
            <w:pPr>
              <w:ind w:left="2"/>
              <w:rPr>
                <w:rFonts w:cs="Times New Roman"/>
              </w:rPr>
            </w:pPr>
            <w:r w:rsidRPr="00A975E0">
              <w:rPr>
                <w:rFonts w:eastAsia="Calibri" w:cs="Times New Roman"/>
              </w:rPr>
              <w:t xml:space="preserve">Yes </w:t>
            </w:r>
            <w:r w:rsidRPr="00A975E0">
              <w:rPr>
                <w:rFonts w:ascii="Segoe UI Symbol"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p w14:paraId="4508A1A7" w14:textId="77777777" w:rsidR="00DB58BC" w:rsidRPr="00A975E0" w:rsidRDefault="00000000" w:rsidP="00DB58BC">
            <w:pPr>
              <w:ind w:left="2"/>
              <w:rPr>
                <w:rFonts w:cs="Times New Roman"/>
              </w:rPr>
            </w:pPr>
            <w:r w:rsidRPr="00A975E0">
              <w:rPr>
                <w:rFonts w:eastAsia="Calibri" w:cs="Times New Roman"/>
              </w:rPr>
              <w:t xml:space="preserve">No  </w:t>
            </w:r>
            <w:r w:rsidRPr="00A975E0">
              <w:rPr>
                <w:rFonts w:cs="Times New Roman"/>
              </w:rPr>
              <w:t xml:space="preserve"> </w:t>
            </w:r>
            <w:r w:rsidRPr="00A975E0">
              <w:rPr>
                <w:rFonts w:ascii="Segoe UI Symbol" w:eastAsia="Segoe UI Symbol"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tc>
      </w:tr>
      <w:tr w:rsidR="00DE4DAF" w14:paraId="40A02AF9" w14:textId="77777777" w:rsidTr="00906F0D">
        <w:trPr>
          <w:trHeight w:val="1224"/>
        </w:trPr>
        <w:tc>
          <w:tcPr>
            <w:tcW w:w="206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5931D5" w14:textId="77777777" w:rsidR="00DB58BC" w:rsidRPr="00A975E0" w:rsidRDefault="00000000" w:rsidP="00DB58BC">
            <w:pPr>
              <w:rPr>
                <w:rFonts w:cs="Times New Roman"/>
              </w:rPr>
            </w:pPr>
            <w:r w:rsidRPr="00A975E0">
              <w:rPr>
                <w:rFonts w:eastAsia="Calibri" w:cs="Times New Roman"/>
              </w:rPr>
              <w:t xml:space="preserve">NONE </w:t>
            </w:r>
            <w:r w:rsidRPr="00A975E0">
              <w:rPr>
                <w:rFonts w:cs="Times New Roman"/>
              </w:rPr>
              <w:t xml:space="preserve"> </w:t>
            </w:r>
          </w:p>
        </w:tc>
        <w:tc>
          <w:tcPr>
            <w:tcW w:w="54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D999B5" w14:textId="77777777" w:rsidR="00DB58BC" w:rsidRPr="00A975E0" w:rsidRDefault="00000000" w:rsidP="00DB58BC">
            <w:pPr>
              <w:rPr>
                <w:rFonts w:cs="Times New Roman"/>
              </w:rPr>
            </w:pPr>
            <w:r w:rsidRPr="00A975E0">
              <w:rPr>
                <w:rFonts w:eastAsia="Calibri" w:cs="Times New Roman"/>
              </w:rPr>
              <w:t xml:space="preserve">For this assessment, you are not allowed to use </w:t>
            </w:r>
            <w:r w:rsidRPr="00A975E0">
              <w:rPr>
                <w:rFonts w:eastAsia="Calibri" w:cs="Times New Roman"/>
                <w:b/>
              </w:rPr>
              <w:t>any</w:t>
            </w:r>
            <w:r w:rsidRPr="00A975E0">
              <w:rPr>
                <w:rFonts w:eastAsia="Calibri" w:cs="Times New Roman"/>
              </w:rPr>
              <w:t xml:space="preserve"> type of Generative AI support. This includes research support, structure support, writing/proofreading support and creative support. </w:t>
            </w:r>
            <w:r w:rsidRPr="00A975E0">
              <w:rPr>
                <w:rFonts w:cs="Times New Roman"/>
              </w:rPr>
              <w:t xml:space="preserve"> </w:t>
            </w:r>
          </w:p>
        </w:tc>
        <w:tc>
          <w:tcPr>
            <w:tcW w:w="200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4EAB315" w14:textId="77777777" w:rsidR="00DB58BC" w:rsidRPr="00A975E0" w:rsidRDefault="00000000" w:rsidP="00DB58BC">
            <w:pPr>
              <w:ind w:left="2"/>
              <w:rPr>
                <w:rFonts w:cs="Times New Roman"/>
              </w:rPr>
            </w:pPr>
            <w:r w:rsidRPr="00A975E0">
              <w:rPr>
                <w:rFonts w:eastAsia="Calibri" w:cs="Times New Roman"/>
              </w:rPr>
              <w:t xml:space="preserve">Yes </w:t>
            </w:r>
            <w:r w:rsidRPr="00A975E0">
              <w:rPr>
                <w:rFonts w:ascii="Segoe UI Symbol"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p w14:paraId="7AE50FE8" w14:textId="77777777" w:rsidR="00DB58BC" w:rsidRPr="00A975E0" w:rsidRDefault="00000000" w:rsidP="00DB58BC">
            <w:pPr>
              <w:rPr>
                <w:rFonts w:cs="Times New Roman"/>
              </w:rPr>
            </w:pPr>
            <w:r w:rsidRPr="00A975E0">
              <w:rPr>
                <w:rFonts w:eastAsia="Calibri" w:cs="Times New Roman"/>
              </w:rPr>
              <w:t xml:space="preserve">No  </w:t>
            </w:r>
            <w:r w:rsidRPr="00A975E0">
              <w:rPr>
                <w:rFonts w:cs="Times New Roman"/>
              </w:rPr>
              <w:t xml:space="preserve"> </w:t>
            </w:r>
            <w:r w:rsidRPr="00A975E0">
              <w:rPr>
                <w:rFonts w:ascii="Segoe UI Symbol" w:eastAsia="Segoe UI Symbol" w:hAnsi="Segoe UI Symbol" w:cs="Segoe UI Symbol"/>
              </w:rPr>
              <w:t>☒</w:t>
            </w:r>
            <w:r w:rsidRPr="00A975E0">
              <w:rPr>
                <w:rFonts w:cs="Times New Roman"/>
              </w:rPr>
              <w:t xml:space="preserve"> </w:t>
            </w:r>
            <w:r w:rsidRPr="00A975E0">
              <w:rPr>
                <w:rFonts w:eastAsia="Calibri" w:cs="Times New Roman"/>
              </w:rPr>
              <w:t xml:space="preserve"> </w:t>
            </w:r>
            <w:r w:rsidRPr="00A975E0">
              <w:rPr>
                <w:rFonts w:cs="Times New Roman"/>
              </w:rPr>
              <w:t xml:space="preserve"> </w:t>
            </w:r>
          </w:p>
        </w:tc>
      </w:tr>
    </w:tbl>
    <w:p w14:paraId="5B9D5751" w14:textId="77777777" w:rsidR="00DB58BC" w:rsidRPr="00630C68" w:rsidRDefault="00DB58BC" w:rsidP="00DB58BC">
      <w:pPr>
        <w:rPr>
          <w:lang w:bidi="ar-SA"/>
        </w:rPr>
      </w:pPr>
    </w:p>
    <w:p w14:paraId="3E2B957E" w14:textId="77777777" w:rsidR="00F97A56" w:rsidRPr="00F97A56" w:rsidRDefault="00F97A56" w:rsidP="00DB58BC">
      <w:pPr>
        <w:rPr>
          <w:lang w:bidi="ar-SA"/>
        </w:rPr>
      </w:pPr>
    </w:p>
    <w:p w14:paraId="2912DF29" w14:textId="77777777" w:rsidR="00F339FB" w:rsidRPr="00F339FB" w:rsidRDefault="00F339FB" w:rsidP="00DB58BC">
      <w:pPr>
        <w:rPr>
          <w:lang w:bidi="ar-SA"/>
        </w:rPr>
      </w:pPr>
    </w:p>
    <w:sectPr w:rsidR="00F339FB" w:rsidRPr="00F339FB" w:rsidSect="007777A1">
      <w:footerReference w:type="default" r:id="rId9"/>
      <w:foot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D9B5AA" w14:textId="77777777" w:rsidR="00B3048C" w:rsidRDefault="00B3048C">
      <w:pPr>
        <w:spacing w:line="240" w:lineRule="auto"/>
      </w:pPr>
      <w:r>
        <w:separator/>
      </w:r>
    </w:p>
  </w:endnote>
  <w:endnote w:type="continuationSeparator" w:id="0">
    <w:p w14:paraId="4A25EC70" w14:textId="77777777" w:rsidR="00B3048C" w:rsidRDefault="00B304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765570"/>
      <w:docPartObj>
        <w:docPartGallery w:val="Page Numbers (Bottom of Page)"/>
        <w:docPartUnique/>
      </w:docPartObj>
    </w:sdtPr>
    <w:sdtEndPr>
      <w:rPr>
        <w:color w:val="7F7F7F" w:themeColor="background1" w:themeShade="7F"/>
        <w:spacing w:val="60"/>
      </w:rPr>
    </w:sdtEndPr>
    <w:sdtContent>
      <w:p w14:paraId="21A23612" w14:textId="77777777" w:rsidR="00A2166F" w:rsidRDefault="000000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0118EB" w14:textId="77777777" w:rsidR="007777A1" w:rsidRDefault="007777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979671"/>
      <w:docPartObj>
        <w:docPartGallery w:val="Page Numbers (Bottom of Page)"/>
        <w:docPartUnique/>
      </w:docPartObj>
    </w:sdtPr>
    <w:sdtEndPr>
      <w:rPr>
        <w:color w:val="7F7F7F" w:themeColor="background1" w:themeShade="7F"/>
        <w:spacing w:val="60"/>
      </w:rPr>
    </w:sdtEndPr>
    <w:sdtContent>
      <w:p w14:paraId="37510F83" w14:textId="77777777" w:rsidR="00A2166F" w:rsidRDefault="000000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CCD840" w14:textId="77777777" w:rsidR="00AB55AE" w:rsidRDefault="00AB5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3B995B" w14:textId="77777777" w:rsidR="00B3048C" w:rsidRDefault="00B3048C">
      <w:pPr>
        <w:spacing w:line="240" w:lineRule="auto"/>
      </w:pPr>
      <w:r>
        <w:separator/>
      </w:r>
    </w:p>
  </w:footnote>
  <w:footnote w:type="continuationSeparator" w:id="0">
    <w:p w14:paraId="5438EA45" w14:textId="77777777" w:rsidR="00B3048C" w:rsidRDefault="00B304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143"/>
    <w:rsid w:val="00057846"/>
    <w:rsid w:val="0006025B"/>
    <w:rsid w:val="00112C0D"/>
    <w:rsid w:val="00153C54"/>
    <w:rsid w:val="0017182A"/>
    <w:rsid w:val="001A785A"/>
    <w:rsid w:val="001C6F66"/>
    <w:rsid w:val="00225C2E"/>
    <w:rsid w:val="00235FDF"/>
    <w:rsid w:val="00247452"/>
    <w:rsid w:val="00287BA9"/>
    <w:rsid w:val="002A4EFC"/>
    <w:rsid w:val="00367E19"/>
    <w:rsid w:val="00390E63"/>
    <w:rsid w:val="003B2493"/>
    <w:rsid w:val="004170E8"/>
    <w:rsid w:val="004221B5"/>
    <w:rsid w:val="004B38E5"/>
    <w:rsid w:val="004B7335"/>
    <w:rsid w:val="004D03A5"/>
    <w:rsid w:val="00532ACA"/>
    <w:rsid w:val="005B3B23"/>
    <w:rsid w:val="005E2CE0"/>
    <w:rsid w:val="00611572"/>
    <w:rsid w:val="006221E0"/>
    <w:rsid w:val="00630C68"/>
    <w:rsid w:val="006706FA"/>
    <w:rsid w:val="006D0A58"/>
    <w:rsid w:val="006F4C0A"/>
    <w:rsid w:val="007777A1"/>
    <w:rsid w:val="00780F6F"/>
    <w:rsid w:val="00790A6A"/>
    <w:rsid w:val="007B2591"/>
    <w:rsid w:val="007B260D"/>
    <w:rsid w:val="00813876"/>
    <w:rsid w:val="0082200B"/>
    <w:rsid w:val="008642F2"/>
    <w:rsid w:val="008A74C7"/>
    <w:rsid w:val="009D7143"/>
    <w:rsid w:val="009E53D1"/>
    <w:rsid w:val="009F51AC"/>
    <w:rsid w:val="00A2166F"/>
    <w:rsid w:val="00A41D7F"/>
    <w:rsid w:val="00A70E37"/>
    <w:rsid w:val="00A975E0"/>
    <w:rsid w:val="00A97BCE"/>
    <w:rsid w:val="00AB55AE"/>
    <w:rsid w:val="00AF7DB6"/>
    <w:rsid w:val="00B3048C"/>
    <w:rsid w:val="00B36939"/>
    <w:rsid w:val="00B872EA"/>
    <w:rsid w:val="00D10D16"/>
    <w:rsid w:val="00D418BA"/>
    <w:rsid w:val="00D70CEE"/>
    <w:rsid w:val="00D81F79"/>
    <w:rsid w:val="00DB58BC"/>
    <w:rsid w:val="00DE4DAF"/>
    <w:rsid w:val="00DF2FD3"/>
    <w:rsid w:val="00E54489"/>
    <w:rsid w:val="00E842FD"/>
    <w:rsid w:val="00E904F4"/>
    <w:rsid w:val="00EB4875"/>
    <w:rsid w:val="00EF7A5D"/>
    <w:rsid w:val="00F26758"/>
    <w:rsid w:val="00F339FB"/>
    <w:rsid w:val="00F97A56"/>
    <w:rsid w:val="00FC323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833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82A"/>
    <w:pPr>
      <w:spacing w:after="0" w:line="360" w:lineRule="auto"/>
      <w:jc w:val="both"/>
    </w:pPr>
    <w:rPr>
      <w:rFonts w:ascii="Arial" w:hAnsi="Arial"/>
      <w:sz w:val="22"/>
    </w:rPr>
  </w:style>
  <w:style w:type="paragraph" w:styleId="Heading1">
    <w:name w:val="heading 1"/>
    <w:basedOn w:val="Normal"/>
    <w:next w:val="Normal"/>
    <w:link w:val="Heading1Char"/>
    <w:autoRedefine/>
    <w:uiPriority w:val="9"/>
    <w:qFormat/>
    <w:rsid w:val="006F4C0A"/>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F4C0A"/>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9D7143"/>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9D714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D714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D714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D714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D714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D714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C0A"/>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6F4C0A"/>
    <w:rPr>
      <w:rFonts w:ascii="Arial" w:eastAsiaTheme="majorEastAsia" w:hAnsi="Arial" w:cstheme="majorBidi"/>
      <w:b/>
      <w:sz w:val="26"/>
      <w:szCs w:val="32"/>
    </w:rPr>
  </w:style>
  <w:style w:type="paragraph" w:styleId="Caption">
    <w:name w:val="caption"/>
    <w:basedOn w:val="Normal"/>
    <w:next w:val="Normal"/>
    <w:uiPriority w:val="35"/>
    <w:unhideWhenUsed/>
    <w:qFormat/>
    <w:rsid w:val="005B3B23"/>
    <w:pPr>
      <w:spacing w:line="240" w:lineRule="auto"/>
      <w:jc w:val="center"/>
    </w:pPr>
    <w:rPr>
      <w:b/>
      <w:iCs/>
      <w:color w:val="000000" w:themeColor="text1"/>
      <w:kern w:val="2"/>
      <w:sz w:val="18"/>
      <w:szCs w:val="18"/>
      <w:lang w:bidi="ar-SA"/>
    </w:rPr>
  </w:style>
  <w:style w:type="character" w:customStyle="1" w:styleId="Heading3Char">
    <w:name w:val="Heading 3 Char"/>
    <w:basedOn w:val="DefaultParagraphFont"/>
    <w:link w:val="Heading3"/>
    <w:uiPriority w:val="9"/>
    <w:semiHidden/>
    <w:rsid w:val="009D7143"/>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9D714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714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71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1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1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143"/>
    <w:rPr>
      <w:rFonts w:eastAsiaTheme="majorEastAsia" w:cstheme="majorBidi"/>
      <w:color w:val="272727" w:themeColor="text1" w:themeTint="D8"/>
    </w:rPr>
  </w:style>
  <w:style w:type="paragraph" w:styleId="Title">
    <w:name w:val="Title"/>
    <w:basedOn w:val="Normal"/>
    <w:next w:val="Normal"/>
    <w:link w:val="TitleChar"/>
    <w:uiPriority w:val="10"/>
    <w:qFormat/>
    <w:rsid w:val="009D714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D7143"/>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9D7143"/>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D7143"/>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9D714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D7143"/>
    <w:rPr>
      <w:rFonts w:ascii="Times New Roman" w:hAnsi="Times New Roman"/>
      <w:i/>
      <w:iCs/>
      <w:color w:val="404040" w:themeColor="text1" w:themeTint="BF"/>
    </w:rPr>
  </w:style>
  <w:style w:type="paragraph" w:styleId="ListParagraph">
    <w:name w:val="List Paragraph"/>
    <w:basedOn w:val="Normal"/>
    <w:uiPriority w:val="34"/>
    <w:qFormat/>
    <w:rsid w:val="009D7143"/>
    <w:pPr>
      <w:ind w:left="720"/>
      <w:contextualSpacing/>
    </w:pPr>
  </w:style>
  <w:style w:type="character" w:styleId="IntenseEmphasis">
    <w:name w:val="Intense Emphasis"/>
    <w:basedOn w:val="DefaultParagraphFont"/>
    <w:uiPriority w:val="21"/>
    <w:qFormat/>
    <w:rsid w:val="009D7143"/>
    <w:rPr>
      <w:i/>
      <w:iCs/>
      <w:color w:val="2F5496" w:themeColor="accent1" w:themeShade="BF"/>
    </w:rPr>
  </w:style>
  <w:style w:type="paragraph" w:styleId="IntenseQuote">
    <w:name w:val="Intense Quote"/>
    <w:basedOn w:val="Normal"/>
    <w:next w:val="Normal"/>
    <w:link w:val="IntenseQuoteChar"/>
    <w:uiPriority w:val="30"/>
    <w:qFormat/>
    <w:rsid w:val="009D71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7143"/>
    <w:rPr>
      <w:rFonts w:ascii="Times New Roman" w:hAnsi="Times New Roman"/>
      <w:i/>
      <w:iCs/>
      <w:color w:val="2F5496" w:themeColor="accent1" w:themeShade="BF"/>
    </w:rPr>
  </w:style>
  <w:style w:type="character" w:styleId="IntenseReference">
    <w:name w:val="Intense Reference"/>
    <w:basedOn w:val="DefaultParagraphFont"/>
    <w:uiPriority w:val="32"/>
    <w:qFormat/>
    <w:rsid w:val="009D7143"/>
    <w:rPr>
      <w:b/>
      <w:bCs/>
      <w:smallCaps/>
      <w:color w:val="2F5496" w:themeColor="accent1" w:themeShade="BF"/>
      <w:spacing w:val="5"/>
    </w:rPr>
  </w:style>
  <w:style w:type="paragraph" w:styleId="Header">
    <w:name w:val="header"/>
    <w:basedOn w:val="Normal"/>
    <w:link w:val="HeaderChar"/>
    <w:uiPriority w:val="99"/>
    <w:unhideWhenUsed/>
    <w:rsid w:val="007777A1"/>
    <w:pPr>
      <w:tabs>
        <w:tab w:val="center" w:pos="4513"/>
        <w:tab w:val="right" w:pos="9026"/>
      </w:tabs>
      <w:spacing w:line="240" w:lineRule="auto"/>
    </w:pPr>
  </w:style>
  <w:style w:type="character" w:customStyle="1" w:styleId="HeaderChar">
    <w:name w:val="Header Char"/>
    <w:basedOn w:val="DefaultParagraphFont"/>
    <w:link w:val="Header"/>
    <w:uiPriority w:val="99"/>
    <w:rsid w:val="007777A1"/>
    <w:rPr>
      <w:rFonts w:ascii="Arial" w:hAnsi="Arial"/>
      <w:sz w:val="22"/>
    </w:rPr>
  </w:style>
  <w:style w:type="paragraph" w:styleId="Footer">
    <w:name w:val="footer"/>
    <w:basedOn w:val="Normal"/>
    <w:link w:val="FooterChar"/>
    <w:uiPriority w:val="99"/>
    <w:unhideWhenUsed/>
    <w:rsid w:val="007777A1"/>
    <w:pPr>
      <w:tabs>
        <w:tab w:val="center" w:pos="4513"/>
        <w:tab w:val="right" w:pos="9026"/>
      </w:tabs>
      <w:spacing w:line="240" w:lineRule="auto"/>
    </w:pPr>
  </w:style>
  <w:style w:type="character" w:customStyle="1" w:styleId="FooterChar">
    <w:name w:val="Footer Char"/>
    <w:basedOn w:val="DefaultParagraphFont"/>
    <w:link w:val="Footer"/>
    <w:uiPriority w:val="99"/>
    <w:rsid w:val="007777A1"/>
    <w:rPr>
      <w:rFonts w:ascii="Arial" w:hAnsi="Arial"/>
      <w:sz w:val="22"/>
    </w:rPr>
  </w:style>
  <w:style w:type="table" w:styleId="TableGrid">
    <w:name w:val="Table Grid"/>
    <w:basedOn w:val="TableNormal"/>
    <w:uiPriority w:val="39"/>
    <w:rsid w:val="00A41D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41D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17182A"/>
    <w:pPr>
      <w:spacing w:before="240" w:line="259" w:lineRule="auto"/>
      <w:jc w:val="left"/>
      <w:outlineLvl w:val="9"/>
    </w:pPr>
    <w:rPr>
      <w:rFonts w:asciiTheme="majorHAnsi" w:hAnsiTheme="majorHAnsi"/>
      <w:b w:val="0"/>
      <w:color w:val="2F5496" w:themeColor="accent1" w:themeShade="BF"/>
      <w:sz w:val="32"/>
      <w:szCs w:val="32"/>
      <w:lang w:val="en-US" w:bidi="ar-SA"/>
      <w14:ligatures w14:val="none"/>
    </w:rPr>
  </w:style>
  <w:style w:type="paragraph" w:styleId="TOC1">
    <w:name w:val="toc 1"/>
    <w:basedOn w:val="Normal"/>
    <w:next w:val="Normal"/>
    <w:autoRedefine/>
    <w:uiPriority w:val="39"/>
    <w:unhideWhenUsed/>
    <w:rsid w:val="0017182A"/>
    <w:pPr>
      <w:spacing w:after="100"/>
    </w:pPr>
  </w:style>
  <w:style w:type="paragraph" w:styleId="TOC2">
    <w:name w:val="toc 2"/>
    <w:basedOn w:val="Normal"/>
    <w:next w:val="Normal"/>
    <w:autoRedefine/>
    <w:uiPriority w:val="39"/>
    <w:unhideWhenUsed/>
    <w:rsid w:val="0017182A"/>
    <w:pPr>
      <w:spacing w:after="100"/>
      <w:ind w:left="220"/>
    </w:pPr>
  </w:style>
  <w:style w:type="character" w:styleId="Hyperlink">
    <w:name w:val="Hyperlink"/>
    <w:basedOn w:val="DefaultParagraphFont"/>
    <w:uiPriority w:val="99"/>
    <w:unhideWhenUsed/>
    <w:rsid w:val="0017182A"/>
    <w:rPr>
      <w:color w:val="0563C1" w:themeColor="hyperlink"/>
      <w:u w:val="single"/>
    </w:rPr>
  </w:style>
  <w:style w:type="paragraph" w:styleId="TableofFigures">
    <w:name w:val="table of figures"/>
    <w:basedOn w:val="Normal"/>
    <w:next w:val="Normal"/>
    <w:uiPriority w:val="99"/>
    <w:unhideWhenUsed/>
    <w:rsid w:val="0017182A"/>
  </w:style>
  <w:style w:type="table" w:customStyle="1" w:styleId="TableGrid0">
    <w:name w:val="TableGrid"/>
    <w:rsid w:val="00DB58BC"/>
    <w:pPr>
      <w:spacing w:after="0" w:line="240" w:lineRule="auto"/>
    </w:pPr>
    <w:rPr>
      <w:rFonts w:eastAsiaTheme="minorEastAsia"/>
      <w:kern w:val="2"/>
      <w:szCs w:val="24"/>
      <w:lang w:eastAsia="en-GB" w:bidi="ar-SA"/>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759776-ABD3-49D3-94D3-046FDA86D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3069</Words>
  <Characters>17498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2026-07-28T06:04:00Z</dcterms:created>
  <dcterms:modified xsi:type="dcterms:W3CDTF">2026-07-28T06:04:00Z</dcterms:modified>
</cp:coreProperties>
</file>