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E437C" w14:textId="77777777" w:rsidR="00DE6A7E" w:rsidRPr="00F139B4" w:rsidRDefault="00DE6A7E">
      <w:pPr>
        <w:rPr>
          <w:rFonts w:cstheme="minorHAnsi"/>
        </w:rPr>
      </w:pPr>
      <w:r w:rsidRPr="00F139B4">
        <w:rPr>
          <w:rFonts w:cstheme="minorHAnsi"/>
          <w:b/>
          <w:u w:val="single"/>
        </w:rPr>
        <w:t>Literature Review</w:t>
      </w:r>
    </w:p>
    <w:p w14:paraId="41BFCAFB" w14:textId="77777777" w:rsidR="00DE6A7E" w:rsidRPr="00F139B4" w:rsidRDefault="00DE6A7E">
      <w:pPr>
        <w:rPr>
          <w:rFonts w:cstheme="minorHAnsi"/>
        </w:rPr>
      </w:pPr>
    </w:p>
    <w:p w14:paraId="75DADE57" w14:textId="6DDC80A9" w:rsidR="00867E85" w:rsidRPr="00F139B4" w:rsidRDefault="001F6523" w:rsidP="00867E85">
      <w:pPr>
        <w:rPr>
          <w:rFonts w:cstheme="minorHAnsi"/>
        </w:rPr>
      </w:pPr>
      <w:r w:rsidRPr="00F139B4">
        <w:rPr>
          <w:rFonts w:cstheme="minorHAnsi"/>
        </w:rPr>
        <w:t xml:space="preserve">To truly identify and </w:t>
      </w:r>
      <w:r w:rsidRPr="00AC6B6B">
        <w:rPr>
          <w:rFonts w:cstheme="minorHAnsi"/>
        </w:rPr>
        <w:t>assess the question</w:t>
      </w:r>
      <w:r w:rsidR="00E13FFF" w:rsidRPr="00AC6B6B">
        <w:rPr>
          <w:rFonts w:cstheme="minorHAnsi"/>
        </w:rPr>
        <w:t xml:space="preserve"> of this piece of work</w:t>
      </w:r>
      <w:r w:rsidR="00E13FFF" w:rsidRPr="00F139B4">
        <w:rPr>
          <w:rFonts w:cstheme="minorHAnsi"/>
        </w:rPr>
        <w:t>, a review of the</w:t>
      </w:r>
      <w:r w:rsidR="00F061D2" w:rsidRPr="00F139B4">
        <w:rPr>
          <w:rFonts w:cstheme="minorHAnsi"/>
        </w:rPr>
        <w:t xml:space="preserve"> information currently available on Anti-Social Behaviour</w:t>
      </w:r>
      <w:r w:rsidR="00E13FFF" w:rsidRPr="00F139B4">
        <w:rPr>
          <w:rFonts w:cstheme="minorHAnsi"/>
        </w:rPr>
        <w:t xml:space="preserve"> is required</w:t>
      </w:r>
      <w:r w:rsidR="00AC6B6B">
        <w:rPr>
          <w:rFonts w:cstheme="minorHAnsi"/>
        </w:rPr>
        <w:t>,</w:t>
      </w:r>
      <w:r w:rsidR="00F061D2" w:rsidRPr="00F139B4">
        <w:rPr>
          <w:rFonts w:cstheme="minorHAnsi"/>
        </w:rPr>
        <w:t xml:space="preserve"> </w:t>
      </w:r>
      <w:r w:rsidR="00E13FFF" w:rsidRPr="00F139B4">
        <w:rPr>
          <w:rFonts w:cstheme="minorHAnsi"/>
        </w:rPr>
        <w:t>as is</w:t>
      </w:r>
      <w:r w:rsidR="00F061D2" w:rsidRPr="00F139B4">
        <w:rPr>
          <w:rFonts w:cstheme="minorHAnsi"/>
        </w:rPr>
        <w:t xml:space="preserve"> explaining the general concept of </w:t>
      </w:r>
      <w:r w:rsidR="00E13FFF" w:rsidRPr="00F139B4">
        <w:rPr>
          <w:rFonts w:cstheme="minorHAnsi"/>
        </w:rPr>
        <w:t xml:space="preserve">the issue as the definition provided </w:t>
      </w:r>
      <w:r w:rsidR="001C2327">
        <w:rPr>
          <w:rFonts w:cstheme="minorHAnsi"/>
        </w:rPr>
        <w:t xml:space="preserve">in law </w:t>
      </w:r>
      <w:r w:rsidR="00AC6B6B">
        <w:rPr>
          <w:rFonts w:cstheme="minorHAnsi"/>
        </w:rPr>
        <w:t>allows opportunity</w:t>
      </w:r>
      <w:r w:rsidR="00E13FFF" w:rsidRPr="00F139B4">
        <w:rPr>
          <w:rFonts w:cstheme="minorHAnsi"/>
        </w:rPr>
        <w:t xml:space="preserve"> for individual interpretation.</w:t>
      </w:r>
      <w:r w:rsidR="00F061D2" w:rsidRPr="00F139B4">
        <w:rPr>
          <w:rFonts w:cstheme="minorHAnsi"/>
        </w:rPr>
        <w:t xml:space="preserve"> </w:t>
      </w:r>
      <w:r w:rsidR="00DE6A7E" w:rsidRPr="00F139B4">
        <w:rPr>
          <w:rFonts w:cstheme="minorHAnsi"/>
        </w:rPr>
        <w:t>There is already a p</w:t>
      </w:r>
      <w:r w:rsidR="00F061D2" w:rsidRPr="00F139B4">
        <w:rPr>
          <w:rFonts w:cstheme="minorHAnsi"/>
        </w:rPr>
        <w:t xml:space="preserve">lethora of literature and online articles published on not only anti-social behaviour but </w:t>
      </w:r>
      <w:r w:rsidR="005D5FBF" w:rsidRPr="00F139B4">
        <w:rPr>
          <w:rFonts w:cstheme="minorHAnsi"/>
        </w:rPr>
        <w:t xml:space="preserve">the </w:t>
      </w:r>
      <w:r w:rsidR="00F061D2" w:rsidRPr="00F139B4">
        <w:rPr>
          <w:rFonts w:cstheme="minorHAnsi"/>
        </w:rPr>
        <w:t>key underlying issues that are suspected to be root causes</w:t>
      </w:r>
      <w:r w:rsidR="001C2327">
        <w:rPr>
          <w:rFonts w:cstheme="minorHAnsi"/>
        </w:rPr>
        <w:t xml:space="preserve"> and factors</w:t>
      </w:r>
      <w:r w:rsidR="00867E85" w:rsidRPr="00F139B4">
        <w:rPr>
          <w:rFonts w:cstheme="minorHAnsi"/>
        </w:rPr>
        <w:t>. It is stated by Arshed and Danson (2015) that the purpose of a literature review is simple</w:t>
      </w:r>
      <w:r w:rsidR="00B826D0">
        <w:rPr>
          <w:rFonts w:cstheme="minorHAnsi"/>
        </w:rPr>
        <w:t>;</w:t>
      </w:r>
      <w:r w:rsidR="00867E85" w:rsidRPr="00F139B4">
        <w:rPr>
          <w:rFonts w:cstheme="minorHAnsi"/>
        </w:rPr>
        <w:t xml:space="preserve"> it is to educate oneself in the topic area and to understand the literature before shaping an argument or justification. From this chapter, a literature review can be summarised as presenting a wide-ranging background of the published works available on a subject</w:t>
      </w:r>
      <w:r w:rsidR="00B826D0">
        <w:rPr>
          <w:rFonts w:cstheme="minorHAnsi"/>
        </w:rPr>
        <w:t>,</w:t>
      </w:r>
      <w:r w:rsidR="00867E85" w:rsidRPr="00F139B4">
        <w:rPr>
          <w:rFonts w:cstheme="minorHAnsi"/>
        </w:rPr>
        <w:t xml:space="preserve"> to not only highlight similarities in the literature but also to identify</w:t>
      </w:r>
      <w:r w:rsidR="00C302F1" w:rsidRPr="00F139B4">
        <w:rPr>
          <w:rFonts w:cstheme="minorHAnsi"/>
        </w:rPr>
        <w:t xml:space="preserve"> </w:t>
      </w:r>
      <w:r w:rsidR="005B2A7E" w:rsidRPr="005B2A7E">
        <w:rPr>
          <w:rFonts w:cstheme="minorHAnsi"/>
        </w:rPr>
        <w:t>inconsistencies</w:t>
      </w:r>
      <w:r w:rsidR="00C302F1" w:rsidRPr="00F139B4">
        <w:rPr>
          <w:rFonts w:cstheme="minorHAnsi"/>
        </w:rPr>
        <w:t xml:space="preserve"> in theories that have potential to be filled by the writer.</w:t>
      </w:r>
      <w:r w:rsidR="00B21500" w:rsidRPr="00F139B4">
        <w:rPr>
          <w:rFonts w:cstheme="minorHAnsi"/>
        </w:rPr>
        <w:t xml:space="preserve"> </w:t>
      </w:r>
    </w:p>
    <w:p w14:paraId="6890A3AB" w14:textId="77777777" w:rsidR="00B21500" w:rsidRPr="00F139B4" w:rsidRDefault="00B21500" w:rsidP="00867E85">
      <w:pPr>
        <w:rPr>
          <w:rFonts w:cstheme="minorHAnsi"/>
        </w:rPr>
      </w:pPr>
    </w:p>
    <w:p w14:paraId="0FE3BEE6" w14:textId="50E69092" w:rsidR="00B21500" w:rsidRPr="00F139B4" w:rsidRDefault="00B21500" w:rsidP="00867E85">
      <w:pPr>
        <w:rPr>
          <w:rFonts w:cstheme="minorHAnsi"/>
        </w:rPr>
      </w:pPr>
      <w:r w:rsidRPr="00F139B4">
        <w:rPr>
          <w:rFonts w:cstheme="minorHAnsi"/>
        </w:rPr>
        <w:t>Anti-social Behaviour is</w:t>
      </w:r>
      <w:r w:rsidR="00115FCB" w:rsidRPr="00F139B4">
        <w:rPr>
          <w:rFonts w:cstheme="minorHAnsi"/>
        </w:rPr>
        <w:t xml:space="preserve"> </w:t>
      </w:r>
      <w:r w:rsidRPr="00F139B4">
        <w:rPr>
          <w:rFonts w:cstheme="minorHAnsi"/>
        </w:rPr>
        <w:t xml:space="preserve">given a </w:t>
      </w:r>
      <w:r w:rsidR="000C3475" w:rsidRPr="00F139B4">
        <w:rPr>
          <w:rFonts w:cstheme="minorHAnsi"/>
        </w:rPr>
        <w:t xml:space="preserve">somewhat precise </w:t>
      </w:r>
      <w:r w:rsidRPr="00F139B4">
        <w:rPr>
          <w:rFonts w:cstheme="minorHAnsi"/>
        </w:rPr>
        <w:t>definition in United Kingdom legislation by the Antisocial Behaviour Act 2003</w:t>
      </w:r>
      <w:r w:rsidR="001C2327">
        <w:rPr>
          <w:rFonts w:cstheme="minorHAnsi"/>
        </w:rPr>
        <w:t>. T</w:t>
      </w:r>
      <w:r w:rsidR="000C3475" w:rsidRPr="00F139B4">
        <w:rPr>
          <w:rFonts w:cstheme="minorHAnsi"/>
        </w:rPr>
        <w:t>he legislation states</w:t>
      </w:r>
      <w:r w:rsidRPr="00F139B4">
        <w:rPr>
          <w:rFonts w:cstheme="minorHAnsi"/>
        </w:rPr>
        <w:t xml:space="preserve"> ‘</w:t>
      </w:r>
      <w:r w:rsidR="000C3475" w:rsidRPr="00F139B4">
        <w:rPr>
          <w:rFonts w:cstheme="minorHAnsi"/>
        </w:rPr>
        <w:t>Antisocial behaviour is defined as 'behaviour by a person which causes, or is likely to cause, harassment, alarm or distress to persons not of the same household as the person’ (Legislation.gov.uk, 2003)</w:t>
      </w:r>
      <w:r w:rsidR="0043182C" w:rsidRPr="00F139B4">
        <w:rPr>
          <w:rFonts w:cstheme="minorHAnsi"/>
        </w:rPr>
        <w:t xml:space="preserve">. </w:t>
      </w:r>
      <w:r w:rsidR="00115FCB" w:rsidRPr="00F139B4">
        <w:rPr>
          <w:rFonts w:cstheme="minorHAnsi"/>
        </w:rPr>
        <w:t xml:space="preserve">Even though the definition is published in legislation, the literature published appears to disregard this with each author </w:t>
      </w:r>
      <w:r w:rsidR="00B826D0">
        <w:rPr>
          <w:rFonts w:cstheme="minorHAnsi"/>
        </w:rPr>
        <w:t>providing</w:t>
      </w:r>
      <w:r w:rsidR="00115FCB" w:rsidRPr="00F139B4">
        <w:rPr>
          <w:rFonts w:cstheme="minorHAnsi"/>
        </w:rPr>
        <w:t xml:space="preserve"> their own </w:t>
      </w:r>
      <w:r w:rsidR="001C2327">
        <w:rPr>
          <w:rFonts w:cstheme="minorHAnsi"/>
        </w:rPr>
        <w:t>loose conditions</w:t>
      </w:r>
      <w:r w:rsidR="00115FCB" w:rsidRPr="00F139B4">
        <w:rPr>
          <w:rFonts w:cstheme="minorHAnsi"/>
        </w:rPr>
        <w:t xml:space="preserve"> for anti-social behaviour. I believe this is due to the definition being somewhat vague and encapsulates a large variety of actions and behaviours. Millie (2008) sets out ‘an elastic definition to ASB’ and goes on to justify this approach by saying that anti-social behaviour covers a large scale of actions from littering to serious harassment</w:t>
      </w:r>
      <w:r w:rsidR="00B826D0">
        <w:rPr>
          <w:rFonts w:cstheme="minorHAnsi"/>
        </w:rPr>
        <w:t xml:space="preserve">. </w:t>
      </w:r>
      <w:r w:rsidR="005B2A7E" w:rsidRPr="00422B4B">
        <w:rPr>
          <w:rFonts w:cstheme="minorHAnsi"/>
        </w:rPr>
        <w:t>T</w:t>
      </w:r>
      <w:r w:rsidR="00115FCB" w:rsidRPr="00422B4B">
        <w:rPr>
          <w:rFonts w:cstheme="minorHAnsi"/>
        </w:rPr>
        <w:t>h</w:t>
      </w:r>
      <w:r w:rsidR="00422B4B">
        <w:rPr>
          <w:rFonts w:cstheme="minorHAnsi"/>
        </w:rPr>
        <w:t>is</w:t>
      </w:r>
      <w:r w:rsidR="00115FCB" w:rsidRPr="00F139B4">
        <w:rPr>
          <w:rFonts w:cstheme="minorHAnsi"/>
        </w:rPr>
        <w:t xml:space="preserve"> vague definition gives room for a considerable degree of local discretion. </w:t>
      </w:r>
      <w:r w:rsidR="0080736B" w:rsidRPr="00F139B4">
        <w:rPr>
          <w:rFonts w:cstheme="minorHAnsi"/>
        </w:rPr>
        <w:t xml:space="preserve">The definition set out also allows for a person responsible to provide a defence that they did not realise that their actions were considered to be anti-social behaviour and that the person did not understand how their actions </w:t>
      </w:r>
      <w:r w:rsidR="00B826D0">
        <w:rPr>
          <w:rFonts w:cstheme="minorHAnsi"/>
        </w:rPr>
        <w:t>were</w:t>
      </w:r>
      <w:r w:rsidR="0080736B" w:rsidRPr="00F139B4">
        <w:rPr>
          <w:rFonts w:cstheme="minorHAnsi"/>
        </w:rPr>
        <w:t xml:space="preserve"> taking effect on others. </w:t>
      </w:r>
      <w:r w:rsidR="0080736B" w:rsidRPr="00422B4B">
        <w:rPr>
          <w:rFonts w:cstheme="minorHAnsi"/>
        </w:rPr>
        <w:t xml:space="preserve">This can create </w:t>
      </w:r>
      <w:r w:rsidR="00422B4B">
        <w:rPr>
          <w:rFonts w:cstheme="minorHAnsi"/>
        </w:rPr>
        <w:t>unclear boundaries</w:t>
      </w:r>
      <w:r w:rsidR="0080736B" w:rsidRPr="00422B4B">
        <w:rPr>
          <w:rFonts w:cstheme="minorHAnsi"/>
        </w:rPr>
        <w:t xml:space="preserve"> between the persons accidently committing the act and persons intentionally carrying out the acts in an effort to effect other members of the public.</w:t>
      </w:r>
      <w:r w:rsidR="0080736B" w:rsidRPr="00F139B4">
        <w:rPr>
          <w:rFonts w:cstheme="minorHAnsi"/>
        </w:rPr>
        <w:t xml:space="preserve"> </w:t>
      </w:r>
    </w:p>
    <w:p w14:paraId="73774277" w14:textId="413DCA57" w:rsidR="00B23A7A" w:rsidRPr="00F139B4" w:rsidRDefault="00B23A7A" w:rsidP="00867E85">
      <w:pPr>
        <w:rPr>
          <w:rFonts w:cstheme="minorHAnsi"/>
        </w:rPr>
      </w:pPr>
    </w:p>
    <w:p w14:paraId="7A882FDD" w14:textId="63D8D8B7" w:rsidR="00B23A7A" w:rsidRPr="00F139B4" w:rsidRDefault="00B23A7A" w:rsidP="00867E85">
      <w:pPr>
        <w:rPr>
          <w:rFonts w:cstheme="minorHAnsi"/>
        </w:rPr>
      </w:pPr>
      <w:r w:rsidRPr="00F139B4">
        <w:rPr>
          <w:rFonts w:cstheme="minorHAnsi"/>
        </w:rPr>
        <w:t>There is also the argument to be had for people’s behavioural expectations for a certain area. For example, the behaviour of a person might be regarded as normal in a</w:t>
      </w:r>
      <w:r w:rsidR="00B826D0">
        <w:rPr>
          <w:rFonts w:cstheme="minorHAnsi"/>
        </w:rPr>
        <w:t>n</w:t>
      </w:r>
      <w:r w:rsidRPr="00F139B4">
        <w:rPr>
          <w:rFonts w:cstheme="minorHAnsi"/>
        </w:rPr>
        <w:t xml:space="preserve"> area of the country with a generally lower </w:t>
      </w:r>
      <w:r w:rsidR="00B826D0" w:rsidRPr="00F139B4">
        <w:rPr>
          <w:rFonts w:cstheme="minorHAnsi"/>
        </w:rPr>
        <w:t>income</w:t>
      </w:r>
      <w:r w:rsidR="00B826D0">
        <w:rPr>
          <w:rFonts w:cstheme="minorHAnsi"/>
        </w:rPr>
        <w:t xml:space="preserve"> and working class</w:t>
      </w:r>
      <w:r w:rsidR="00B826D0" w:rsidRPr="00F139B4">
        <w:rPr>
          <w:rFonts w:cstheme="minorHAnsi"/>
        </w:rPr>
        <w:t>,</w:t>
      </w:r>
      <w:r w:rsidRPr="00F139B4">
        <w:rPr>
          <w:rFonts w:cstheme="minorHAnsi"/>
        </w:rPr>
        <w:t xml:space="preserve"> but the behaviour would be perceived as anti-social to those who reside in a more affluent area</w:t>
      </w:r>
      <w:r w:rsidR="00B826D0">
        <w:rPr>
          <w:rFonts w:cstheme="minorHAnsi"/>
        </w:rPr>
        <w:t xml:space="preserve">, such as those persons who reside in </w:t>
      </w:r>
      <w:r w:rsidR="001C2327">
        <w:rPr>
          <w:rFonts w:cstheme="minorHAnsi"/>
        </w:rPr>
        <w:t>middle- and upper-class</w:t>
      </w:r>
      <w:r w:rsidR="00B826D0">
        <w:rPr>
          <w:rFonts w:cstheme="minorHAnsi"/>
        </w:rPr>
        <w:t xml:space="preserve"> areas</w:t>
      </w:r>
      <w:r w:rsidRPr="00F139B4">
        <w:rPr>
          <w:rFonts w:cstheme="minorHAnsi"/>
        </w:rPr>
        <w:t>. This has also been discussed by Mill</w:t>
      </w:r>
      <w:r w:rsidR="00E80C46" w:rsidRPr="00F139B4">
        <w:rPr>
          <w:rFonts w:cstheme="minorHAnsi"/>
        </w:rPr>
        <w:t>i</w:t>
      </w:r>
      <w:r w:rsidRPr="00F139B4">
        <w:rPr>
          <w:rFonts w:cstheme="minorHAnsi"/>
        </w:rPr>
        <w:t xml:space="preserve">e (2008) </w:t>
      </w:r>
      <w:r w:rsidR="00E80C46" w:rsidRPr="00F139B4">
        <w:rPr>
          <w:rFonts w:cstheme="minorHAnsi"/>
        </w:rPr>
        <w:t>where he states that the behaviour will be perceived depending on a number of variables, one of those variables is the behavioural and aesthetic expectations of the location at the time the behaviour occurs. There was a figure (figure 2) published with this</w:t>
      </w:r>
      <w:r w:rsidR="00B826D0">
        <w:rPr>
          <w:rFonts w:cstheme="minorHAnsi"/>
        </w:rPr>
        <w:t>,</w:t>
      </w:r>
      <w:r w:rsidR="00E80C46" w:rsidRPr="00F139B4">
        <w:rPr>
          <w:rFonts w:cstheme="minorHAnsi"/>
        </w:rPr>
        <w:t xml:space="preserve"> to show the process that Millie </w:t>
      </w:r>
      <w:r w:rsidR="00B826D0">
        <w:rPr>
          <w:rFonts w:cstheme="minorHAnsi"/>
        </w:rPr>
        <w:t>considers</w:t>
      </w:r>
      <w:r w:rsidR="00E80C46" w:rsidRPr="00F139B4">
        <w:rPr>
          <w:rFonts w:cstheme="minorHAnsi"/>
        </w:rPr>
        <w:t xml:space="preserve"> the way the behaviour is perceived. </w:t>
      </w:r>
      <w:r w:rsidR="007F184B" w:rsidRPr="00F139B4">
        <w:rPr>
          <w:rFonts w:cstheme="minorHAnsi"/>
        </w:rPr>
        <w:t>One of the examples provided by Millie is that of the graffiti artist Banksy’s works</w:t>
      </w:r>
      <w:r w:rsidR="009B6CFF">
        <w:rPr>
          <w:rFonts w:cstheme="minorHAnsi"/>
        </w:rPr>
        <w:t xml:space="preserve"> (</w:t>
      </w:r>
      <w:r w:rsidR="009B6CFF" w:rsidRPr="00F139B4">
        <w:rPr>
          <w:rFonts w:cstheme="minorHAnsi"/>
          <w:color w:val="1A1A1A"/>
          <w:shd w:val="clear" w:color="auto" w:fill="FFFFFF"/>
        </w:rPr>
        <w:t>Mancoff, 2021)</w:t>
      </w:r>
      <w:r w:rsidR="007F184B" w:rsidRPr="00F139B4">
        <w:rPr>
          <w:rFonts w:cstheme="minorHAnsi"/>
        </w:rPr>
        <w:t xml:space="preserve">. Millie goes on to state that if the </w:t>
      </w:r>
      <w:r w:rsidR="001C2327" w:rsidRPr="00F139B4">
        <w:rPr>
          <w:rFonts w:cstheme="minorHAnsi"/>
        </w:rPr>
        <w:t>re</w:t>
      </w:r>
      <w:r w:rsidR="001C2327">
        <w:rPr>
          <w:rFonts w:cstheme="minorHAnsi"/>
        </w:rPr>
        <w:t>nowned</w:t>
      </w:r>
      <w:r w:rsidR="007F184B" w:rsidRPr="00F139B4">
        <w:rPr>
          <w:rFonts w:cstheme="minorHAnsi"/>
        </w:rPr>
        <w:t xml:space="preserve"> murals were in </w:t>
      </w:r>
      <w:r w:rsidR="001C2327">
        <w:rPr>
          <w:rFonts w:cstheme="minorHAnsi"/>
        </w:rPr>
        <w:t>more</w:t>
      </w:r>
      <w:r w:rsidR="007F184B" w:rsidRPr="00F139B4">
        <w:rPr>
          <w:rFonts w:cstheme="minorHAnsi"/>
        </w:rPr>
        <w:t xml:space="preserve"> public </w:t>
      </w:r>
      <w:r w:rsidR="00B826D0" w:rsidRPr="00F139B4">
        <w:rPr>
          <w:rFonts w:cstheme="minorHAnsi"/>
        </w:rPr>
        <w:t>places,</w:t>
      </w:r>
      <w:r w:rsidR="007F184B" w:rsidRPr="00F139B4">
        <w:rPr>
          <w:rFonts w:cstheme="minorHAnsi"/>
        </w:rPr>
        <w:t xml:space="preserve"> then they would not be celebrated and would likely be perceived as anti-social behaviour by the general public</w:t>
      </w:r>
      <w:r w:rsidR="001C2327">
        <w:rPr>
          <w:rFonts w:cstheme="minorHAnsi"/>
        </w:rPr>
        <w:t>,</w:t>
      </w:r>
      <w:r w:rsidR="007F184B" w:rsidRPr="00F139B4">
        <w:rPr>
          <w:rFonts w:cstheme="minorHAnsi"/>
        </w:rPr>
        <w:t xml:space="preserve"> like most other cases of graffiti. </w:t>
      </w:r>
      <w:r w:rsidR="00551D54" w:rsidRPr="00F139B4">
        <w:rPr>
          <w:rFonts w:cstheme="minorHAnsi"/>
        </w:rPr>
        <w:t xml:space="preserve">This </w:t>
      </w:r>
      <w:r w:rsidR="005B2A7E">
        <w:rPr>
          <w:rFonts w:cstheme="minorHAnsi"/>
        </w:rPr>
        <w:t>refers back</w:t>
      </w:r>
      <w:r w:rsidR="00551D54" w:rsidRPr="00F139B4">
        <w:rPr>
          <w:rFonts w:cstheme="minorHAnsi"/>
        </w:rPr>
        <w:t xml:space="preserve"> to his elastic definition of anti-social behaviour. </w:t>
      </w:r>
    </w:p>
    <w:p w14:paraId="020ADDEF" w14:textId="77777777" w:rsidR="00E80C46" w:rsidRPr="00F139B4" w:rsidRDefault="00E80C46" w:rsidP="00867E85">
      <w:pPr>
        <w:rPr>
          <w:rFonts w:cstheme="minorHAnsi"/>
        </w:rPr>
      </w:pPr>
    </w:p>
    <w:p w14:paraId="30BCB67D" w14:textId="395C4C9B" w:rsidR="007D5C17" w:rsidRPr="00F139B4" w:rsidRDefault="007D5C17" w:rsidP="00867E85">
      <w:pPr>
        <w:rPr>
          <w:rFonts w:cstheme="minorHAnsi"/>
        </w:rPr>
      </w:pPr>
      <w:r w:rsidRPr="00F139B4">
        <w:rPr>
          <w:rFonts w:cstheme="minorHAnsi"/>
        </w:rPr>
        <w:t>The Metropolitan Police state that there are three main categories that anti-social behaviour can be classified in</w:t>
      </w:r>
      <w:r w:rsidR="00D72A95">
        <w:rPr>
          <w:rFonts w:cstheme="minorHAnsi"/>
        </w:rPr>
        <w:t xml:space="preserve"> </w:t>
      </w:r>
      <w:r w:rsidRPr="00F139B4">
        <w:rPr>
          <w:rFonts w:cstheme="minorHAnsi"/>
        </w:rPr>
        <w:t xml:space="preserve">to. These classifications have been drafted by the volume of people affected by the </w:t>
      </w:r>
      <w:r w:rsidRPr="00F139B4">
        <w:rPr>
          <w:rFonts w:cstheme="minorHAnsi"/>
        </w:rPr>
        <w:lastRenderedPageBreak/>
        <w:t>actions of the person. The classifications outlined are Personal, Nuisance and Environmental (met.police.uk, no date). Personal is when the person is targeting either a specific individual or group</w:t>
      </w:r>
      <w:r w:rsidR="00D72A95">
        <w:rPr>
          <w:rFonts w:cstheme="minorHAnsi"/>
        </w:rPr>
        <w:t>;</w:t>
      </w:r>
      <w:r w:rsidRPr="00F139B4">
        <w:rPr>
          <w:rFonts w:cstheme="minorHAnsi"/>
        </w:rPr>
        <w:t xml:space="preserve"> </w:t>
      </w:r>
      <w:r w:rsidR="00D72A95">
        <w:rPr>
          <w:rFonts w:cstheme="minorHAnsi"/>
        </w:rPr>
        <w:t>n</w:t>
      </w:r>
      <w:r w:rsidRPr="00F139B4">
        <w:rPr>
          <w:rFonts w:cstheme="minorHAnsi"/>
        </w:rPr>
        <w:t xml:space="preserve">uisance is when the person’s actions </w:t>
      </w:r>
      <w:r w:rsidR="00551D54" w:rsidRPr="00F139B4">
        <w:rPr>
          <w:rFonts w:cstheme="minorHAnsi"/>
        </w:rPr>
        <w:t>cause</w:t>
      </w:r>
      <w:r w:rsidR="00357DE0" w:rsidRPr="00F139B4">
        <w:rPr>
          <w:rFonts w:cstheme="minorHAnsi"/>
        </w:rPr>
        <w:t xml:space="preserve"> trouble, annoyance or suffering to the community and </w:t>
      </w:r>
      <w:r w:rsidR="00D72A95">
        <w:rPr>
          <w:rFonts w:cstheme="minorHAnsi"/>
        </w:rPr>
        <w:t>e</w:t>
      </w:r>
      <w:r w:rsidR="00357DE0" w:rsidRPr="00F139B4">
        <w:rPr>
          <w:rFonts w:cstheme="minorHAnsi"/>
        </w:rPr>
        <w:t xml:space="preserve">nvironmental is when the person’s actions affect the wider environment around them such as in open public spaces or buildings. The </w:t>
      </w:r>
      <w:r w:rsidR="00D72A95">
        <w:rPr>
          <w:rFonts w:cstheme="minorHAnsi"/>
        </w:rPr>
        <w:t>M</w:t>
      </w:r>
      <w:r w:rsidR="00357DE0" w:rsidRPr="00F139B4">
        <w:rPr>
          <w:rFonts w:cstheme="minorHAnsi"/>
        </w:rPr>
        <w:t>etropolitan</w:t>
      </w:r>
      <w:r w:rsidR="00D72A95">
        <w:rPr>
          <w:rFonts w:cstheme="minorHAnsi"/>
        </w:rPr>
        <w:t xml:space="preserve"> Police</w:t>
      </w:r>
      <w:r w:rsidR="00357DE0" w:rsidRPr="00F139B4">
        <w:rPr>
          <w:rFonts w:cstheme="minorHAnsi"/>
        </w:rPr>
        <w:t xml:space="preserve"> then </w:t>
      </w:r>
      <w:r w:rsidR="00551D54" w:rsidRPr="00F139B4">
        <w:rPr>
          <w:rFonts w:cstheme="minorHAnsi"/>
        </w:rPr>
        <w:t>go</w:t>
      </w:r>
      <w:r w:rsidR="00357DE0" w:rsidRPr="00F139B4">
        <w:rPr>
          <w:rFonts w:cstheme="minorHAnsi"/>
        </w:rPr>
        <w:t xml:space="preserve"> on to </w:t>
      </w:r>
      <w:r w:rsidR="00D72A95">
        <w:rPr>
          <w:rFonts w:cstheme="minorHAnsi"/>
        </w:rPr>
        <w:t>categorise</w:t>
      </w:r>
      <w:r w:rsidR="00357DE0" w:rsidRPr="00F139B4">
        <w:rPr>
          <w:rFonts w:cstheme="minorHAnsi"/>
        </w:rPr>
        <w:t xml:space="preserve"> thirteen different types of Anti-Social Behaviour under the three main headings outlined above. These are abandoned</w:t>
      </w:r>
      <w:r w:rsidR="00D72A95">
        <w:rPr>
          <w:rFonts w:cstheme="minorHAnsi"/>
        </w:rPr>
        <w:t xml:space="preserve"> vehicles, </w:t>
      </w:r>
      <w:r w:rsidR="00357DE0" w:rsidRPr="00F139B4">
        <w:rPr>
          <w:rFonts w:cstheme="minorHAnsi"/>
        </w:rPr>
        <w:t xml:space="preserve">vehicle nuisance or inappropriate use, rowdy or inconsiderate behaviour, rowdy or nuisance neighbours, littering or drugs paraphernalia, animal problems, trespassing, nuisance calls, street drinking, prostitution related activity, nuisance noise, begging and </w:t>
      </w:r>
      <w:r w:rsidR="00D72A95">
        <w:rPr>
          <w:rFonts w:cstheme="minorHAnsi"/>
        </w:rPr>
        <w:t xml:space="preserve">finally </w:t>
      </w:r>
      <w:r w:rsidR="00357DE0" w:rsidRPr="00F139B4">
        <w:rPr>
          <w:rFonts w:cstheme="minorHAnsi"/>
        </w:rPr>
        <w:t xml:space="preserve">misuse of fireworks.  </w:t>
      </w:r>
      <w:r w:rsidR="00406E2F">
        <w:rPr>
          <w:rFonts w:cstheme="minorHAnsi"/>
        </w:rPr>
        <w:t>By s</w:t>
      </w:r>
      <w:r w:rsidR="00357DE0" w:rsidRPr="00F139B4">
        <w:rPr>
          <w:rFonts w:cstheme="minorHAnsi"/>
        </w:rPr>
        <w:t>etting out these types allow the Metropolitan Police to more easily identify the leading issues in their occurrences of Anti-Social Behaviour as the types are much more specific tha</w:t>
      </w:r>
      <w:r w:rsidR="00D72A95">
        <w:rPr>
          <w:rFonts w:cstheme="minorHAnsi"/>
        </w:rPr>
        <w:t>n</w:t>
      </w:r>
      <w:r w:rsidR="00357DE0" w:rsidRPr="00F139B4">
        <w:rPr>
          <w:rFonts w:cstheme="minorHAnsi"/>
        </w:rPr>
        <w:t xml:space="preserve"> the vague definition laid out in UK legislation. </w:t>
      </w:r>
    </w:p>
    <w:p w14:paraId="39A76FBC" w14:textId="67764128" w:rsidR="00637EB0" w:rsidRPr="00F139B4" w:rsidRDefault="00637EB0" w:rsidP="00867E85">
      <w:pPr>
        <w:rPr>
          <w:rFonts w:cstheme="minorHAnsi"/>
        </w:rPr>
      </w:pPr>
    </w:p>
    <w:p w14:paraId="3EAE8EC5" w14:textId="4042852C" w:rsidR="00637EB0" w:rsidRPr="00F139B4" w:rsidRDefault="00637EB0" w:rsidP="00867E85">
      <w:pPr>
        <w:rPr>
          <w:rFonts w:cstheme="minorHAnsi"/>
        </w:rPr>
      </w:pPr>
      <w:r w:rsidRPr="00F139B4">
        <w:rPr>
          <w:rFonts w:cstheme="minorHAnsi"/>
        </w:rPr>
        <w:t>There was further legislation created to build on the current laws surrounding the discussed issue in the Anti-Social Behaviour, Crime and Policing Act 2014</w:t>
      </w:r>
      <w:r w:rsidR="00EB7AD0" w:rsidRPr="00F139B4">
        <w:rPr>
          <w:rFonts w:cstheme="minorHAnsi"/>
        </w:rPr>
        <w:t xml:space="preserve"> (legislation.gov.uk, 2014). This specific legislation introduced a more effective way to deal with the issue with flexible powers and tools that could be quickly used to tackle anti-social behaviour. These tools range in severity from minor civil injunctions which could be used by a number of local agencies to </w:t>
      </w:r>
      <w:r w:rsidR="00D73C7B" w:rsidRPr="00F139B4">
        <w:rPr>
          <w:rFonts w:cstheme="minorHAnsi"/>
        </w:rPr>
        <w:t>dispersal powers that the police can introduce on a person who commits the offence to not return to a specified area for up to forty-eight hours</w:t>
      </w:r>
      <w:r w:rsidR="00F425C6" w:rsidRPr="00F139B4">
        <w:rPr>
          <w:rFonts w:cstheme="minorHAnsi"/>
        </w:rPr>
        <w:t xml:space="preserve"> (Home Office, 2022). This guidance </w:t>
      </w:r>
      <w:r w:rsidR="00CA6AE0" w:rsidRPr="00F139B4">
        <w:rPr>
          <w:rFonts w:cstheme="minorHAnsi"/>
        </w:rPr>
        <w:t xml:space="preserve">set out by the </w:t>
      </w:r>
      <w:r w:rsidR="00406E2F">
        <w:rPr>
          <w:rFonts w:cstheme="minorHAnsi"/>
        </w:rPr>
        <w:t>H</w:t>
      </w:r>
      <w:r w:rsidR="00CA6AE0" w:rsidRPr="00F139B4">
        <w:rPr>
          <w:rFonts w:cstheme="minorHAnsi"/>
        </w:rPr>
        <w:t xml:space="preserve">ome </w:t>
      </w:r>
      <w:r w:rsidR="00406E2F">
        <w:rPr>
          <w:rFonts w:cstheme="minorHAnsi"/>
        </w:rPr>
        <w:t>O</w:t>
      </w:r>
      <w:r w:rsidR="00CA6AE0" w:rsidRPr="00F139B4">
        <w:rPr>
          <w:rFonts w:cstheme="minorHAnsi"/>
        </w:rPr>
        <w:t>ffice places the victim first and considers the impact of the behaviour not only on the victim but also the surround</w:t>
      </w:r>
      <w:r w:rsidR="00551D54" w:rsidRPr="00F139B4">
        <w:rPr>
          <w:rFonts w:cstheme="minorHAnsi"/>
        </w:rPr>
        <w:t xml:space="preserve">ing </w:t>
      </w:r>
      <w:r w:rsidR="00CA6AE0" w:rsidRPr="00F139B4">
        <w:rPr>
          <w:rFonts w:cstheme="minorHAnsi"/>
        </w:rPr>
        <w:t xml:space="preserve">community. </w:t>
      </w:r>
    </w:p>
    <w:p w14:paraId="5684D2EE" w14:textId="409CE7DA" w:rsidR="00CA6AE0" w:rsidRPr="00F139B4" w:rsidRDefault="00CA6AE0" w:rsidP="00867E85">
      <w:pPr>
        <w:rPr>
          <w:rFonts w:cstheme="minorHAnsi"/>
        </w:rPr>
      </w:pPr>
    </w:p>
    <w:p w14:paraId="5E77658B" w14:textId="1E5CED9E" w:rsidR="00CA6AE0" w:rsidRPr="00F139B4" w:rsidRDefault="00CA6AE0" w:rsidP="00867E85">
      <w:pPr>
        <w:rPr>
          <w:rFonts w:cstheme="minorHAnsi"/>
          <w:color w:val="2B2B2B"/>
          <w:shd w:val="clear" w:color="auto" w:fill="FFFFFF"/>
        </w:rPr>
      </w:pPr>
      <w:r w:rsidRPr="00F139B4">
        <w:rPr>
          <w:rFonts w:cstheme="minorHAnsi"/>
        </w:rPr>
        <w:t xml:space="preserve">Victim focus is now constantly at the heart of </w:t>
      </w:r>
      <w:r w:rsidR="00551D54" w:rsidRPr="00F139B4">
        <w:rPr>
          <w:rFonts w:cstheme="minorHAnsi"/>
        </w:rPr>
        <w:t>policing,</w:t>
      </w:r>
      <w:r w:rsidRPr="00F139B4">
        <w:rPr>
          <w:rFonts w:cstheme="minorHAnsi"/>
        </w:rPr>
        <w:t xml:space="preserve"> but it is </w:t>
      </w:r>
      <w:r w:rsidR="00D72A95">
        <w:rPr>
          <w:rFonts w:cstheme="minorHAnsi"/>
        </w:rPr>
        <w:t>also</w:t>
      </w:r>
      <w:r w:rsidRPr="00F139B4">
        <w:rPr>
          <w:rFonts w:cstheme="minorHAnsi"/>
        </w:rPr>
        <w:t xml:space="preserve"> key when dealing with incidents of anti</w:t>
      </w:r>
      <w:r w:rsidR="00D72A95">
        <w:rPr>
          <w:rFonts w:cstheme="minorHAnsi"/>
        </w:rPr>
        <w:t>-</w:t>
      </w:r>
      <w:r w:rsidRPr="00F139B4">
        <w:rPr>
          <w:rFonts w:cstheme="minorHAnsi"/>
        </w:rPr>
        <w:t>social behaviour as there can be dire consequences when failing to identify victims that are vulnerable and/or intimidat</w:t>
      </w:r>
      <w:r w:rsidR="00D72A95">
        <w:rPr>
          <w:rFonts w:cstheme="minorHAnsi"/>
        </w:rPr>
        <w:t>ed</w:t>
      </w:r>
      <w:r w:rsidRPr="00F139B4">
        <w:rPr>
          <w:rFonts w:cstheme="minorHAnsi"/>
        </w:rPr>
        <w:t xml:space="preserve">. The case of </w:t>
      </w:r>
      <w:r w:rsidRPr="00F139B4">
        <w:rPr>
          <w:rFonts w:cstheme="minorHAnsi"/>
          <w:color w:val="2B2B2B"/>
          <w:shd w:val="clear" w:color="auto" w:fill="FFFFFF"/>
        </w:rPr>
        <w:t>Fiona Pilkington </w:t>
      </w:r>
      <w:r w:rsidRPr="00F139B4">
        <w:rPr>
          <w:rFonts w:cstheme="minorHAnsi"/>
        </w:rPr>
        <w:t xml:space="preserve">is </w:t>
      </w:r>
      <w:r w:rsidR="00406E2F">
        <w:rPr>
          <w:rFonts w:cstheme="minorHAnsi"/>
        </w:rPr>
        <w:t xml:space="preserve">a </w:t>
      </w:r>
      <w:r w:rsidRPr="00F139B4">
        <w:rPr>
          <w:rFonts w:cstheme="minorHAnsi"/>
        </w:rPr>
        <w:t xml:space="preserve">perfect example of a constabulary failing to identify </w:t>
      </w:r>
      <w:r w:rsidR="000B0045" w:rsidRPr="00F139B4">
        <w:rPr>
          <w:rFonts w:cstheme="minorHAnsi"/>
        </w:rPr>
        <w:t>both the protected</w:t>
      </w:r>
      <w:r w:rsidRPr="00F139B4">
        <w:rPr>
          <w:rFonts w:cstheme="minorHAnsi"/>
        </w:rPr>
        <w:t xml:space="preserve"> characteristics above</w:t>
      </w:r>
      <w:r w:rsidR="00924F11" w:rsidRPr="00F139B4">
        <w:rPr>
          <w:rFonts w:cstheme="minorHAnsi"/>
        </w:rPr>
        <w:t xml:space="preserve"> when she was reporting incidents of anti-social behaviour</w:t>
      </w:r>
      <w:r w:rsidRPr="00F139B4">
        <w:rPr>
          <w:rFonts w:cstheme="minorHAnsi"/>
        </w:rPr>
        <w:t>.</w:t>
      </w:r>
      <w:r w:rsidR="000B0045" w:rsidRPr="00F139B4">
        <w:rPr>
          <w:rFonts w:cstheme="minorHAnsi"/>
        </w:rPr>
        <w:t xml:space="preserve"> In the year </w:t>
      </w:r>
      <w:r w:rsidR="00D72A95">
        <w:rPr>
          <w:rFonts w:cstheme="minorHAnsi"/>
        </w:rPr>
        <w:t xml:space="preserve">of </w:t>
      </w:r>
      <w:r w:rsidR="000B0045" w:rsidRPr="00F139B4">
        <w:rPr>
          <w:rFonts w:cstheme="minorHAnsi"/>
        </w:rPr>
        <w:t>2007</w:t>
      </w:r>
      <w:r w:rsidR="00D72A95">
        <w:rPr>
          <w:rFonts w:cstheme="minorHAnsi"/>
        </w:rPr>
        <w:t>,</w:t>
      </w:r>
      <w:r w:rsidR="000B0045" w:rsidRPr="00F139B4">
        <w:rPr>
          <w:rFonts w:cstheme="minorHAnsi"/>
        </w:rPr>
        <w:t xml:space="preserve"> Fiona killed herself and her disabled daughter Francecca Hardwick by setting fire to their car in </w:t>
      </w:r>
      <w:r w:rsidR="000B0045" w:rsidRPr="00F139B4">
        <w:rPr>
          <w:rFonts w:cstheme="minorHAnsi"/>
          <w:color w:val="2B2B2B"/>
          <w:shd w:val="clear" w:color="auto" w:fill="FFFFFF"/>
        </w:rPr>
        <w:t xml:space="preserve">Leicestershire Constabulary’s area (Hampshire Safeguarding Adults Board, no date). </w:t>
      </w:r>
      <w:r w:rsidR="006262DF" w:rsidRPr="00F139B4">
        <w:rPr>
          <w:rFonts w:cstheme="minorHAnsi"/>
          <w:color w:val="2B2B2B"/>
          <w:shd w:val="clear" w:color="auto" w:fill="FFFFFF"/>
        </w:rPr>
        <w:t xml:space="preserve">Fiona had contacted the local police </w:t>
      </w:r>
      <w:r w:rsidR="00B54B14" w:rsidRPr="00F139B4">
        <w:rPr>
          <w:rFonts w:cstheme="minorHAnsi"/>
          <w:color w:val="2B2B2B"/>
          <w:shd w:val="clear" w:color="auto" w:fill="FFFFFF"/>
        </w:rPr>
        <w:t>thirty-three</w:t>
      </w:r>
      <w:r w:rsidR="006262DF" w:rsidRPr="00F139B4">
        <w:rPr>
          <w:rFonts w:cstheme="minorHAnsi"/>
          <w:color w:val="2B2B2B"/>
          <w:shd w:val="clear" w:color="auto" w:fill="FFFFFF"/>
        </w:rPr>
        <w:t xml:space="preserve"> times </w:t>
      </w:r>
      <w:r w:rsidR="00B54B14" w:rsidRPr="00F139B4">
        <w:rPr>
          <w:rFonts w:cstheme="minorHAnsi"/>
          <w:color w:val="2B2B2B"/>
          <w:shd w:val="clear" w:color="auto" w:fill="FFFFFF"/>
        </w:rPr>
        <w:t>to report incidents of anti-social behaviour. The failure of the constabulary was investigated by the I</w:t>
      </w:r>
      <w:r w:rsidR="00924F11" w:rsidRPr="00F139B4">
        <w:rPr>
          <w:rFonts w:cstheme="minorHAnsi"/>
          <w:color w:val="2B2B2B"/>
          <w:shd w:val="clear" w:color="auto" w:fill="FFFFFF"/>
        </w:rPr>
        <w:t>PPC</w:t>
      </w:r>
      <w:r w:rsidR="00B54B14" w:rsidRPr="00F139B4">
        <w:rPr>
          <w:rFonts w:cstheme="minorHAnsi"/>
          <w:color w:val="2B2B2B"/>
          <w:shd w:val="clear" w:color="auto" w:fill="FFFFFF"/>
        </w:rPr>
        <w:t xml:space="preserve"> (Independent </w:t>
      </w:r>
      <w:r w:rsidR="00924F11" w:rsidRPr="00F139B4">
        <w:rPr>
          <w:rFonts w:cstheme="minorHAnsi"/>
          <w:color w:val="2B2B2B"/>
          <w:shd w:val="clear" w:color="auto" w:fill="FFFFFF"/>
        </w:rPr>
        <w:t>Police Complaints Commission</w:t>
      </w:r>
      <w:r w:rsidR="00B54B14" w:rsidRPr="00F139B4">
        <w:rPr>
          <w:rFonts w:cstheme="minorHAnsi"/>
          <w:color w:val="2B2B2B"/>
          <w:shd w:val="clear" w:color="auto" w:fill="FFFFFF"/>
        </w:rPr>
        <w:t>) which found that there was not appropriate safeguarding put in place for the victim (IPPC, 2011)</w:t>
      </w:r>
      <w:r w:rsidR="00924F11" w:rsidRPr="00F139B4">
        <w:rPr>
          <w:rFonts w:cstheme="minorHAnsi"/>
          <w:color w:val="2B2B2B"/>
          <w:shd w:val="clear" w:color="auto" w:fill="FFFFFF"/>
        </w:rPr>
        <w:t xml:space="preserve">. This </w:t>
      </w:r>
      <w:r w:rsidR="00D72A95">
        <w:rPr>
          <w:rFonts w:cstheme="minorHAnsi"/>
          <w:color w:val="2B2B2B"/>
          <w:shd w:val="clear" w:color="auto" w:fill="FFFFFF"/>
        </w:rPr>
        <w:t xml:space="preserve">investigation </w:t>
      </w:r>
      <w:r w:rsidR="00924F11" w:rsidRPr="00F139B4">
        <w:rPr>
          <w:rFonts w:cstheme="minorHAnsi"/>
          <w:color w:val="2B2B2B"/>
          <w:shd w:val="clear" w:color="auto" w:fill="FFFFFF"/>
        </w:rPr>
        <w:t xml:space="preserve">found that due to the incidents being investigated in isolation from one another, they were unable to identify any key repeating factors that contributed to the acts Fiona was victim to. </w:t>
      </w:r>
      <w:r w:rsidR="00D72A95">
        <w:rPr>
          <w:rFonts w:cstheme="minorHAnsi"/>
          <w:color w:val="2B2B2B"/>
          <w:shd w:val="clear" w:color="auto" w:fill="FFFFFF"/>
        </w:rPr>
        <w:t xml:space="preserve">Unfortunately, this is only one example whereby victims of anti-social behaviour have been failed. Following this investigation, all Constabularies in England and Wales were provided feedback and requirements with regards to keeping victims at the heart of all investigations. </w:t>
      </w:r>
    </w:p>
    <w:p w14:paraId="02C640BC" w14:textId="0AAE1CDB" w:rsidR="00512E77" w:rsidRPr="00F139B4" w:rsidRDefault="00512E77" w:rsidP="00867E85">
      <w:pPr>
        <w:rPr>
          <w:rFonts w:cstheme="minorHAnsi"/>
          <w:color w:val="2B2B2B"/>
          <w:shd w:val="clear" w:color="auto" w:fill="FFFFFF"/>
        </w:rPr>
      </w:pPr>
    </w:p>
    <w:p w14:paraId="0DFB2EF6" w14:textId="11086B62" w:rsidR="00214696" w:rsidRDefault="00512E77">
      <w:pPr>
        <w:rPr>
          <w:rFonts w:cstheme="minorHAnsi"/>
          <w:color w:val="333333"/>
          <w:shd w:val="clear" w:color="auto" w:fill="FFFFFF"/>
        </w:rPr>
      </w:pPr>
      <w:r w:rsidRPr="00F139B4">
        <w:rPr>
          <w:rFonts w:cstheme="minorHAnsi"/>
          <w:color w:val="2B2B2B"/>
          <w:shd w:val="clear" w:color="auto" w:fill="FFFFFF"/>
        </w:rPr>
        <w:t>A study into the early risk factors of anti-social behaviour</w:t>
      </w:r>
      <w:r w:rsidR="00D72A95">
        <w:rPr>
          <w:rFonts w:cstheme="minorHAnsi"/>
          <w:color w:val="2B2B2B"/>
          <w:shd w:val="clear" w:color="auto" w:fill="FFFFFF"/>
        </w:rPr>
        <w:t xml:space="preserve"> was conducted</w:t>
      </w:r>
      <w:r w:rsidRPr="00F139B4">
        <w:rPr>
          <w:rFonts w:cstheme="minorHAnsi"/>
          <w:color w:val="2B2B2B"/>
          <w:shd w:val="clear" w:color="auto" w:fill="FFFFFF"/>
        </w:rPr>
        <w:t xml:space="preserve"> on children at five years of age and </w:t>
      </w:r>
      <w:r w:rsidR="00D72A95">
        <w:rPr>
          <w:rFonts w:cstheme="minorHAnsi"/>
          <w:color w:val="2B2B2B"/>
          <w:shd w:val="clear" w:color="auto" w:fill="FFFFFF"/>
        </w:rPr>
        <w:t>again</w:t>
      </w:r>
      <w:r w:rsidRPr="00F139B4">
        <w:rPr>
          <w:rFonts w:cstheme="minorHAnsi"/>
          <w:color w:val="2B2B2B"/>
          <w:shd w:val="clear" w:color="auto" w:fill="FFFFFF"/>
        </w:rPr>
        <w:t xml:space="preserve"> at fourteen. The </w:t>
      </w:r>
      <w:r w:rsidR="00406E2F">
        <w:rPr>
          <w:rFonts w:cstheme="minorHAnsi"/>
          <w:color w:val="2B2B2B"/>
          <w:shd w:val="clear" w:color="auto" w:fill="FFFFFF"/>
        </w:rPr>
        <w:t>findings</w:t>
      </w:r>
      <w:r w:rsidRPr="00F139B4">
        <w:rPr>
          <w:rFonts w:cstheme="minorHAnsi"/>
          <w:color w:val="2B2B2B"/>
          <w:shd w:val="clear" w:color="auto" w:fill="FFFFFF"/>
        </w:rPr>
        <w:t xml:space="preserve"> of this study published </w:t>
      </w:r>
      <w:r w:rsidR="00D72A95" w:rsidRPr="00F139B4">
        <w:rPr>
          <w:rFonts w:cstheme="minorHAnsi"/>
          <w:color w:val="2B2B2B"/>
          <w:shd w:val="clear" w:color="auto" w:fill="FFFFFF"/>
        </w:rPr>
        <w:t>those children</w:t>
      </w:r>
      <w:r w:rsidRPr="00F139B4">
        <w:rPr>
          <w:rFonts w:cstheme="minorHAnsi"/>
          <w:color w:val="2B2B2B"/>
          <w:shd w:val="clear" w:color="auto" w:fill="FFFFFF"/>
        </w:rPr>
        <w:t xml:space="preserve"> who had behaviour problems such as attention and/or aggression issues and marital instability were subject to double or in some cases triple the </w:t>
      </w:r>
      <w:r w:rsidR="00D72A95">
        <w:rPr>
          <w:rFonts w:cstheme="minorHAnsi"/>
          <w:color w:val="2B2B2B"/>
          <w:shd w:val="clear" w:color="auto" w:fill="FFFFFF"/>
        </w:rPr>
        <w:t>likelihood</w:t>
      </w:r>
      <w:r w:rsidRPr="00F139B4">
        <w:rPr>
          <w:rFonts w:cstheme="minorHAnsi"/>
          <w:color w:val="2B2B2B"/>
          <w:shd w:val="clear" w:color="auto" w:fill="FFFFFF"/>
        </w:rPr>
        <w:t xml:space="preserve"> of being involved in anti-social behaviour at the later stage of the study. </w:t>
      </w:r>
      <w:r w:rsidR="00D72A95">
        <w:rPr>
          <w:rFonts w:cstheme="minorHAnsi"/>
          <w:color w:val="2B2B2B"/>
          <w:shd w:val="clear" w:color="auto" w:fill="FFFFFF"/>
        </w:rPr>
        <w:t>However,</w:t>
      </w:r>
      <w:r w:rsidRPr="00F139B4">
        <w:rPr>
          <w:rFonts w:cstheme="minorHAnsi"/>
          <w:color w:val="2B2B2B"/>
          <w:shd w:val="clear" w:color="auto" w:fill="FFFFFF"/>
        </w:rPr>
        <w:t xml:space="preserve"> the results also </w:t>
      </w:r>
      <w:r w:rsidR="00D72A95">
        <w:rPr>
          <w:rFonts w:cstheme="minorHAnsi"/>
          <w:color w:val="2B2B2B"/>
          <w:shd w:val="clear" w:color="auto" w:fill="FFFFFF"/>
        </w:rPr>
        <w:t>found</w:t>
      </w:r>
      <w:r w:rsidRPr="00F139B4">
        <w:rPr>
          <w:rFonts w:cstheme="minorHAnsi"/>
          <w:color w:val="2B2B2B"/>
          <w:shd w:val="clear" w:color="auto" w:fill="FFFFFF"/>
        </w:rPr>
        <w:t xml:space="preserve"> that those subject to maternal substance abuse and </w:t>
      </w:r>
      <w:r w:rsidR="00D72A95">
        <w:rPr>
          <w:rFonts w:cstheme="minorHAnsi"/>
          <w:color w:val="2B2B2B"/>
          <w:shd w:val="clear" w:color="auto" w:fill="FFFFFF"/>
        </w:rPr>
        <w:t xml:space="preserve">poor </w:t>
      </w:r>
      <w:r w:rsidRPr="00F139B4">
        <w:rPr>
          <w:rFonts w:cstheme="minorHAnsi"/>
          <w:color w:val="2B2B2B"/>
          <w:shd w:val="clear" w:color="auto" w:fill="FFFFFF"/>
        </w:rPr>
        <w:t>parenting styl</w:t>
      </w:r>
      <w:r w:rsidR="00D72A95">
        <w:rPr>
          <w:rFonts w:cstheme="minorHAnsi"/>
          <w:color w:val="2B2B2B"/>
          <w:shd w:val="clear" w:color="auto" w:fill="FFFFFF"/>
        </w:rPr>
        <w:t>e</w:t>
      </w:r>
      <w:r w:rsidRPr="00F139B4">
        <w:rPr>
          <w:rFonts w:cstheme="minorHAnsi"/>
          <w:color w:val="2B2B2B"/>
          <w:shd w:val="clear" w:color="auto" w:fill="FFFFFF"/>
        </w:rPr>
        <w:t xml:space="preserve"> were relatively poor indicators of being involved in the behaviour in the later stages </w:t>
      </w:r>
      <w:r w:rsidRPr="00F139B4">
        <w:rPr>
          <w:rFonts w:cstheme="minorHAnsi"/>
          <w:color w:val="2B2B2B"/>
          <w:shd w:val="clear" w:color="auto" w:fill="FFFFFF"/>
        </w:rPr>
        <w:lastRenderedPageBreak/>
        <w:t>(</w:t>
      </w:r>
      <w:r w:rsidRPr="00F139B4">
        <w:rPr>
          <w:rFonts w:cstheme="minorHAnsi"/>
          <w:color w:val="333333"/>
          <w:shd w:val="clear" w:color="auto" w:fill="FFFFFF"/>
        </w:rPr>
        <w:t>Bor, W., McGee, T. R. and Fagan, A. A</w:t>
      </w:r>
      <w:r w:rsidR="004C767F" w:rsidRPr="00F139B4">
        <w:rPr>
          <w:rFonts w:cstheme="minorHAnsi"/>
          <w:color w:val="333333"/>
          <w:shd w:val="clear" w:color="auto" w:fill="FFFFFF"/>
        </w:rPr>
        <w:t xml:space="preserve">, </w:t>
      </w:r>
      <w:r w:rsidRPr="00F139B4">
        <w:rPr>
          <w:rFonts w:cstheme="minorHAnsi"/>
          <w:color w:val="333333"/>
          <w:shd w:val="clear" w:color="auto" w:fill="FFFFFF"/>
        </w:rPr>
        <w:t>2004)</w:t>
      </w:r>
      <w:r w:rsidR="00E110DA" w:rsidRPr="00F139B4">
        <w:rPr>
          <w:rFonts w:cstheme="minorHAnsi"/>
          <w:color w:val="333333"/>
          <w:shd w:val="clear" w:color="auto" w:fill="FFFFFF"/>
        </w:rPr>
        <w:t>. Farrington (2005) also conducted a study into the childhood origins. Farrington states that ‘The comorbidity and versatility of antisocial</w:t>
      </w:r>
      <w:r w:rsidR="001E2E7D" w:rsidRPr="00F139B4">
        <w:rPr>
          <w:rFonts w:cstheme="minorHAnsi"/>
          <w:color w:val="333333"/>
          <w:shd w:val="clear" w:color="auto" w:fill="FFFFFF"/>
        </w:rPr>
        <w:t xml:space="preserve"> behaviour </w:t>
      </w:r>
      <w:r w:rsidR="00E110DA" w:rsidRPr="00F139B4">
        <w:rPr>
          <w:rFonts w:cstheme="minorHAnsi"/>
          <w:color w:val="333333"/>
          <w:shd w:val="clear" w:color="auto" w:fill="FFFFFF"/>
        </w:rPr>
        <w:t>poses a major challenge to understan</w:t>
      </w:r>
      <w:r w:rsidR="001E2E7D" w:rsidRPr="00F139B4">
        <w:rPr>
          <w:rFonts w:cstheme="minorHAnsi"/>
          <w:color w:val="333333"/>
          <w:shd w:val="clear" w:color="auto" w:fill="FFFFFF"/>
        </w:rPr>
        <w:t>d</w:t>
      </w:r>
      <w:r w:rsidR="00E110DA" w:rsidRPr="00F139B4">
        <w:rPr>
          <w:rFonts w:cstheme="minorHAnsi"/>
          <w:color w:val="333333"/>
          <w:shd w:val="clear" w:color="auto" w:fill="FFFFFF"/>
        </w:rPr>
        <w:t>ing</w:t>
      </w:r>
      <w:r w:rsidR="001E2E7D" w:rsidRPr="00F139B4">
        <w:rPr>
          <w:rFonts w:cstheme="minorHAnsi"/>
          <w:color w:val="333333"/>
          <w:shd w:val="clear" w:color="auto" w:fill="FFFFFF"/>
        </w:rPr>
        <w:t xml:space="preserve">’ but he outlines that there are many key factors that can contribute to the behaviour later in life such as impulsiveness, low school achievement, low IQ </w:t>
      </w:r>
      <w:r w:rsidR="005B2A7E">
        <w:rPr>
          <w:rFonts w:cstheme="minorHAnsi"/>
          <w:color w:val="333333"/>
          <w:shd w:val="clear" w:color="auto" w:fill="FFFFFF"/>
        </w:rPr>
        <w:t>and so on. H</w:t>
      </w:r>
      <w:r w:rsidR="001E2E7D" w:rsidRPr="00F139B4">
        <w:rPr>
          <w:rFonts w:cstheme="minorHAnsi"/>
          <w:color w:val="333333"/>
          <w:shd w:val="clear" w:color="auto" w:fill="FFFFFF"/>
        </w:rPr>
        <w:t>e states that mechanism linking the risks are not well established.</w:t>
      </w:r>
      <w:r w:rsidR="00B23A7A" w:rsidRPr="00F139B4">
        <w:rPr>
          <w:rFonts w:cstheme="minorHAnsi"/>
          <w:color w:val="333333"/>
          <w:shd w:val="clear" w:color="auto" w:fill="FFFFFF"/>
        </w:rPr>
        <w:t xml:space="preserve"> This appears to be a common theme in the literature reviewed so far. </w:t>
      </w:r>
      <w:r w:rsidR="00214696">
        <w:rPr>
          <w:rFonts w:cstheme="minorHAnsi"/>
          <w:color w:val="333333"/>
          <w:shd w:val="clear" w:color="auto" w:fill="FFFFFF"/>
        </w:rPr>
        <w:t xml:space="preserve">There appears to be a </w:t>
      </w:r>
      <w:r w:rsidR="00214696" w:rsidRPr="005B2A7E">
        <w:rPr>
          <w:rFonts w:cstheme="minorHAnsi"/>
          <w:color w:val="333333"/>
          <w:shd w:val="clear" w:color="auto" w:fill="FFFFFF"/>
        </w:rPr>
        <w:t xml:space="preserve">clear </w:t>
      </w:r>
      <w:r w:rsidR="005B2A7E" w:rsidRPr="005B2A7E">
        <w:rPr>
          <w:rFonts w:cstheme="minorHAnsi"/>
          <w:color w:val="333333"/>
          <w:shd w:val="clear" w:color="auto" w:fill="FFFFFF"/>
        </w:rPr>
        <w:t>inconsistency</w:t>
      </w:r>
      <w:r w:rsidR="00214696" w:rsidRPr="005B2A7E">
        <w:rPr>
          <w:rFonts w:cstheme="minorHAnsi"/>
          <w:color w:val="333333"/>
          <w:shd w:val="clear" w:color="auto" w:fill="FFFFFF"/>
        </w:rPr>
        <w:t xml:space="preserve"> in the knowledge of anti-social behaviour when discussing key factors and possible links that could</w:t>
      </w:r>
      <w:r w:rsidR="00214696">
        <w:rPr>
          <w:rFonts w:cstheme="minorHAnsi"/>
          <w:color w:val="333333"/>
          <w:shd w:val="clear" w:color="auto" w:fill="FFFFFF"/>
        </w:rPr>
        <w:t xml:space="preserve"> be identified. </w:t>
      </w:r>
    </w:p>
    <w:p w14:paraId="0B0C368B" w14:textId="6E951EDA" w:rsidR="00BC6D26" w:rsidRDefault="00BC6D26">
      <w:pPr>
        <w:rPr>
          <w:rFonts w:cstheme="minorHAnsi"/>
          <w:color w:val="333333"/>
          <w:shd w:val="clear" w:color="auto" w:fill="FFFFFF"/>
        </w:rPr>
      </w:pPr>
    </w:p>
    <w:p w14:paraId="69CD7F6A" w14:textId="3DF9391E" w:rsidR="00BC6D26" w:rsidRPr="00F139B4" w:rsidRDefault="00BC6D26">
      <w:pPr>
        <w:rPr>
          <w:rFonts w:cstheme="minorHAnsi"/>
          <w:color w:val="333333"/>
          <w:shd w:val="clear" w:color="auto" w:fill="FFFFFF"/>
        </w:rPr>
      </w:pPr>
      <w:r>
        <w:rPr>
          <w:rFonts w:cstheme="minorHAnsi"/>
          <w:color w:val="333333"/>
          <w:shd w:val="clear" w:color="auto" w:fill="FFFFFF"/>
        </w:rPr>
        <w:t>(1284)</w:t>
      </w:r>
    </w:p>
    <w:p w14:paraId="5789764D" w14:textId="4F8C5465" w:rsidR="00F139B4" w:rsidRPr="00F139B4" w:rsidRDefault="00F139B4">
      <w:pPr>
        <w:rPr>
          <w:rFonts w:cstheme="minorHAnsi"/>
          <w:color w:val="333333"/>
          <w:shd w:val="clear" w:color="auto" w:fill="FFFFFF"/>
        </w:rPr>
      </w:pPr>
    </w:p>
    <w:p w14:paraId="2547523F" w14:textId="77777777" w:rsidR="00406E2F" w:rsidRDefault="00406E2F">
      <w:pPr>
        <w:rPr>
          <w:rFonts w:cstheme="minorHAnsi"/>
          <w:color w:val="333333"/>
          <w:shd w:val="clear" w:color="auto" w:fill="FFFFFF"/>
        </w:rPr>
      </w:pPr>
    </w:p>
    <w:p w14:paraId="59AD6D6D" w14:textId="77777777" w:rsidR="00406E2F" w:rsidRDefault="00406E2F">
      <w:pPr>
        <w:rPr>
          <w:rFonts w:cstheme="minorHAnsi"/>
          <w:color w:val="333333"/>
          <w:shd w:val="clear" w:color="auto" w:fill="FFFFFF"/>
        </w:rPr>
      </w:pPr>
    </w:p>
    <w:p w14:paraId="0FC55D52" w14:textId="77777777" w:rsidR="00406E2F" w:rsidRDefault="00406E2F">
      <w:pPr>
        <w:rPr>
          <w:rFonts w:cstheme="minorHAnsi"/>
          <w:color w:val="333333"/>
          <w:shd w:val="clear" w:color="auto" w:fill="FFFFFF"/>
        </w:rPr>
      </w:pPr>
    </w:p>
    <w:p w14:paraId="2232BD91" w14:textId="77777777" w:rsidR="00406E2F" w:rsidRDefault="00406E2F">
      <w:pPr>
        <w:rPr>
          <w:rFonts w:cstheme="minorHAnsi"/>
          <w:color w:val="333333"/>
          <w:shd w:val="clear" w:color="auto" w:fill="FFFFFF"/>
        </w:rPr>
      </w:pPr>
    </w:p>
    <w:p w14:paraId="6AB7463E" w14:textId="77777777" w:rsidR="00406E2F" w:rsidRDefault="00406E2F">
      <w:pPr>
        <w:rPr>
          <w:rFonts w:cstheme="minorHAnsi"/>
          <w:color w:val="333333"/>
          <w:shd w:val="clear" w:color="auto" w:fill="FFFFFF"/>
        </w:rPr>
      </w:pPr>
    </w:p>
    <w:p w14:paraId="13CBC981" w14:textId="77777777" w:rsidR="00406E2F" w:rsidRDefault="00406E2F">
      <w:pPr>
        <w:rPr>
          <w:rFonts w:cstheme="minorHAnsi"/>
          <w:color w:val="333333"/>
          <w:shd w:val="clear" w:color="auto" w:fill="FFFFFF"/>
        </w:rPr>
      </w:pPr>
    </w:p>
    <w:p w14:paraId="2D7D86D4" w14:textId="77777777" w:rsidR="00406E2F" w:rsidRDefault="00406E2F">
      <w:pPr>
        <w:rPr>
          <w:rFonts w:cstheme="minorHAnsi"/>
          <w:color w:val="333333"/>
          <w:shd w:val="clear" w:color="auto" w:fill="FFFFFF"/>
        </w:rPr>
      </w:pPr>
    </w:p>
    <w:p w14:paraId="76450B62" w14:textId="77777777" w:rsidR="00406E2F" w:rsidRDefault="00406E2F">
      <w:pPr>
        <w:rPr>
          <w:rFonts w:cstheme="minorHAnsi"/>
          <w:color w:val="333333"/>
          <w:shd w:val="clear" w:color="auto" w:fill="FFFFFF"/>
        </w:rPr>
      </w:pPr>
    </w:p>
    <w:p w14:paraId="1B0760E5" w14:textId="77777777" w:rsidR="00406E2F" w:rsidRDefault="00406E2F">
      <w:pPr>
        <w:rPr>
          <w:rFonts w:cstheme="minorHAnsi"/>
          <w:color w:val="333333"/>
          <w:shd w:val="clear" w:color="auto" w:fill="FFFFFF"/>
        </w:rPr>
      </w:pPr>
    </w:p>
    <w:p w14:paraId="4309C870" w14:textId="77777777" w:rsidR="00406E2F" w:rsidRDefault="00406E2F">
      <w:pPr>
        <w:rPr>
          <w:rFonts w:cstheme="minorHAnsi"/>
          <w:color w:val="333333"/>
          <w:shd w:val="clear" w:color="auto" w:fill="FFFFFF"/>
        </w:rPr>
      </w:pPr>
    </w:p>
    <w:p w14:paraId="6BFF68F7" w14:textId="77777777" w:rsidR="00406E2F" w:rsidRDefault="00406E2F">
      <w:pPr>
        <w:rPr>
          <w:rFonts w:cstheme="minorHAnsi"/>
          <w:color w:val="333333"/>
          <w:shd w:val="clear" w:color="auto" w:fill="FFFFFF"/>
        </w:rPr>
      </w:pPr>
    </w:p>
    <w:p w14:paraId="5AF08F39" w14:textId="77777777" w:rsidR="00406E2F" w:rsidRDefault="00406E2F">
      <w:pPr>
        <w:rPr>
          <w:rFonts w:cstheme="minorHAnsi"/>
          <w:color w:val="333333"/>
          <w:shd w:val="clear" w:color="auto" w:fill="FFFFFF"/>
        </w:rPr>
      </w:pPr>
    </w:p>
    <w:p w14:paraId="53D2DDC2" w14:textId="77777777" w:rsidR="00406E2F" w:rsidRDefault="00406E2F">
      <w:pPr>
        <w:rPr>
          <w:rFonts w:cstheme="minorHAnsi"/>
          <w:color w:val="333333"/>
          <w:shd w:val="clear" w:color="auto" w:fill="FFFFFF"/>
        </w:rPr>
      </w:pPr>
    </w:p>
    <w:p w14:paraId="14C082D5" w14:textId="77777777" w:rsidR="00406E2F" w:rsidRDefault="00406E2F">
      <w:pPr>
        <w:rPr>
          <w:rFonts w:cstheme="minorHAnsi"/>
          <w:color w:val="333333"/>
          <w:shd w:val="clear" w:color="auto" w:fill="FFFFFF"/>
        </w:rPr>
      </w:pPr>
    </w:p>
    <w:p w14:paraId="02DD3C66" w14:textId="77777777" w:rsidR="00406E2F" w:rsidRDefault="00406E2F">
      <w:pPr>
        <w:rPr>
          <w:rFonts w:cstheme="minorHAnsi"/>
          <w:color w:val="333333"/>
          <w:shd w:val="clear" w:color="auto" w:fill="FFFFFF"/>
        </w:rPr>
      </w:pPr>
    </w:p>
    <w:p w14:paraId="7471BE0D" w14:textId="77777777" w:rsidR="00406E2F" w:rsidRDefault="00406E2F">
      <w:pPr>
        <w:rPr>
          <w:rFonts w:cstheme="minorHAnsi"/>
          <w:color w:val="333333"/>
          <w:shd w:val="clear" w:color="auto" w:fill="FFFFFF"/>
        </w:rPr>
      </w:pPr>
    </w:p>
    <w:p w14:paraId="5074A9F7" w14:textId="77777777" w:rsidR="00406E2F" w:rsidRDefault="00406E2F">
      <w:pPr>
        <w:rPr>
          <w:rFonts w:cstheme="minorHAnsi"/>
          <w:color w:val="333333"/>
          <w:shd w:val="clear" w:color="auto" w:fill="FFFFFF"/>
        </w:rPr>
      </w:pPr>
    </w:p>
    <w:p w14:paraId="461E1034" w14:textId="77777777" w:rsidR="00406E2F" w:rsidRDefault="00406E2F">
      <w:pPr>
        <w:rPr>
          <w:rFonts w:cstheme="minorHAnsi"/>
          <w:color w:val="333333"/>
          <w:shd w:val="clear" w:color="auto" w:fill="FFFFFF"/>
        </w:rPr>
      </w:pPr>
    </w:p>
    <w:p w14:paraId="30C722FA" w14:textId="77777777" w:rsidR="00406E2F" w:rsidRDefault="00406E2F">
      <w:pPr>
        <w:rPr>
          <w:rFonts w:cstheme="minorHAnsi"/>
          <w:color w:val="333333"/>
          <w:shd w:val="clear" w:color="auto" w:fill="FFFFFF"/>
        </w:rPr>
      </w:pPr>
    </w:p>
    <w:p w14:paraId="2364BFB2" w14:textId="77777777" w:rsidR="00406E2F" w:rsidRDefault="00406E2F">
      <w:pPr>
        <w:rPr>
          <w:rFonts w:cstheme="minorHAnsi"/>
          <w:color w:val="333333"/>
          <w:shd w:val="clear" w:color="auto" w:fill="FFFFFF"/>
        </w:rPr>
      </w:pPr>
    </w:p>
    <w:p w14:paraId="01B67476" w14:textId="77777777" w:rsidR="00406E2F" w:rsidRDefault="00406E2F">
      <w:pPr>
        <w:rPr>
          <w:rFonts w:cstheme="minorHAnsi"/>
          <w:color w:val="333333"/>
          <w:shd w:val="clear" w:color="auto" w:fill="FFFFFF"/>
        </w:rPr>
      </w:pPr>
    </w:p>
    <w:p w14:paraId="33B5ECE9" w14:textId="77777777" w:rsidR="00BC6D26" w:rsidRDefault="00BC6D26">
      <w:pPr>
        <w:rPr>
          <w:rFonts w:cstheme="minorHAnsi"/>
          <w:color w:val="333333"/>
          <w:shd w:val="clear" w:color="auto" w:fill="FFFFFF"/>
        </w:rPr>
      </w:pPr>
    </w:p>
    <w:p w14:paraId="1DB8CD00" w14:textId="1D111741" w:rsidR="00F061D2" w:rsidRPr="00F139B4" w:rsidRDefault="00F061D2">
      <w:pPr>
        <w:rPr>
          <w:rFonts w:cstheme="minorHAnsi"/>
          <w:color w:val="333333"/>
          <w:shd w:val="clear" w:color="auto" w:fill="FFFFFF"/>
        </w:rPr>
      </w:pPr>
      <w:r w:rsidRPr="00F139B4">
        <w:rPr>
          <w:rFonts w:cstheme="minorHAnsi"/>
          <w:b/>
          <w:u w:val="single"/>
        </w:rPr>
        <w:lastRenderedPageBreak/>
        <w:t>References</w:t>
      </w:r>
    </w:p>
    <w:p w14:paraId="0C919589" w14:textId="379B4230" w:rsidR="000C3475" w:rsidRPr="00F139B4" w:rsidRDefault="00F061D2">
      <w:pPr>
        <w:rPr>
          <w:rFonts w:cstheme="minorHAnsi"/>
        </w:rPr>
      </w:pPr>
      <w:r w:rsidRPr="00F139B4">
        <w:rPr>
          <w:rFonts w:cstheme="minorHAnsi"/>
        </w:rPr>
        <w:t>Arshed, N. and Danson, M. (2015). The Literature Review, in MacIntosh, R and O'Gorman, K (eds.) Research Methods for Business and Management</w:t>
      </w:r>
      <w:r w:rsidR="00867E85" w:rsidRPr="00F139B4">
        <w:rPr>
          <w:rFonts w:cstheme="minorHAnsi"/>
        </w:rPr>
        <w:t>. Goodfellow Publishers Limited. Pp 31-49</w:t>
      </w:r>
    </w:p>
    <w:p w14:paraId="2634AFF0" w14:textId="6541E20A" w:rsidR="007F184B" w:rsidRPr="00F139B4" w:rsidRDefault="00066DDA">
      <w:pPr>
        <w:rPr>
          <w:rFonts w:cstheme="minorHAnsi"/>
          <w:color w:val="333333"/>
          <w:shd w:val="clear" w:color="auto" w:fill="FFFFFF"/>
        </w:rPr>
      </w:pPr>
      <w:r w:rsidRPr="00F139B4">
        <w:rPr>
          <w:rFonts w:cstheme="minorHAnsi"/>
          <w:color w:val="333333"/>
          <w:shd w:val="clear" w:color="auto" w:fill="FFFFFF"/>
        </w:rPr>
        <w:t>Bor, W., McGee, T. R. and Fagan, A. A. (2004) ‘Early Risk Factors for Adolescent Antisocial Behaviour: An Australian Longitudinal Study’, </w:t>
      </w:r>
      <w:r w:rsidRPr="00F139B4">
        <w:rPr>
          <w:rFonts w:cstheme="minorHAnsi"/>
          <w:i/>
          <w:iCs/>
          <w:color w:val="333333"/>
          <w:shd w:val="clear" w:color="auto" w:fill="FFFFFF"/>
        </w:rPr>
        <w:t>Australian &amp; New Zealand Journal of Psychiatry</w:t>
      </w:r>
      <w:r w:rsidRPr="00F139B4">
        <w:rPr>
          <w:rFonts w:cstheme="minorHAnsi"/>
          <w:color w:val="333333"/>
          <w:shd w:val="clear" w:color="auto" w:fill="FFFFFF"/>
        </w:rPr>
        <w:t xml:space="preserve">, 38(5), pp </w:t>
      </w:r>
      <w:r w:rsidR="00512E77" w:rsidRPr="00F139B4">
        <w:rPr>
          <w:rFonts w:cstheme="minorHAnsi"/>
          <w:color w:val="333333"/>
          <w:shd w:val="clear" w:color="auto" w:fill="FFFFFF"/>
        </w:rPr>
        <w:t xml:space="preserve">365–372 </w:t>
      </w:r>
    </w:p>
    <w:p w14:paraId="7BA0B5CF" w14:textId="30D1F5E1" w:rsidR="000B0045" w:rsidRPr="00F139B4" w:rsidRDefault="000B0045">
      <w:pPr>
        <w:rPr>
          <w:rFonts w:cstheme="minorHAnsi"/>
        </w:rPr>
      </w:pPr>
      <w:r w:rsidRPr="00F139B4">
        <w:rPr>
          <w:rFonts w:cstheme="minorHAnsi"/>
          <w:color w:val="2B2B2B"/>
          <w:shd w:val="clear" w:color="auto" w:fill="FFFFFF"/>
        </w:rPr>
        <w:t xml:space="preserve">(Hampshire Safeguarding Adults Board, no date). Fiona Pilkinton. </w:t>
      </w:r>
      <w:r w:rsidRPr="00F139B4">
        <w:rPr>
          <w:rFonts w:cstheme="minorHAnsi"/>
        </w:rPr>
        <w:t xml:space="preserve">Available at: </w:t>
      </w:r>
      <w:hyperlink r:id="rId6" w:history="1">
        <w:r w:rsidRPr="00F139B4">
          <w:rPr>
            <w:rStyle w:val="Hyperlink"/>
            <w:rFonts w:cstheme="minorHAnsi"/>
          </w:rPr>
          <w:t>Fiona Pilkington (Leicestershire) | Hampshire Safeguarding Adults Board (hampshiresab.org.uk)</w:t>
        </w:r>
      </w:hyperlink>
      <w:r w:rsidRPr="00F139B4">
        <w:rPr>
          <w:rFonts w:cstheme="minorHAnsi"/>
        </w:rPr>
        <w:t xml:space="preserve"> (Accessed 22</w:t>
      </w:r>
      <w:r w:rsidRPr="00F139B4">
        <w:rPr>
          <w:rFonts w:cstheme="minorHAnsi"/>
          <w:vertAlign w:val="superscript"/>
        </w:rPr>
        <w:t>nd</w:t>
      </w:r>
      <w:r w:rsidRPr="00F139B4">
        <w:rPr>
          <w:rFonts w:cstheme="minorHAnsi"/>
        </w:rPr>
        <w:t xml:space="preserve"> July 2022)</w:t>
      </w:r>
    </w:p>
    <w:p w14:paraId="34C7DC5E" w14:textId="07952CDE" w:rsidR="00F425C6" w:rsidRPr="00F139B4" w:rsidRDefault="00F425C6">
      <w:pPr>
        <w:rPr>
          <w:rFonts w:cstheme="minorHAnsi"/>
        </w:rPr>
      </w:pPr>
      <w:r w:rsidRPr="00F139B4">
        <w:rPr>
          <w:rFonts w:cstheme="minorHAnsi"/>
        </w:rPr>
        <w:t xml:space="preserve">Home Office (2022) Anti-social Behaviour, Crime and Policing Act 2014: Anti-social behaviour powers Statutory guidance for frontline professionals. Available at: </w:t>
      </w:r>
      <w:hyperlink r:id="rId7" w:history="1">
        <w:r w:rsidRPr="00F139B4">
          <w:rPr>
            <w:rStyle w:val="Hyperlink"/>
            <w:rFonts w:cstheme="minorHAnsi"/>
          </w:rPr>
          <w:t>Anti-social behaviour powers (publishing.service.gov.uk)</w:t>
        </w:r>
      </w:hyperlink>
      <w:r w:rsidRPr="00F139B4">
        <w:rPr>
          <w:rFonts w:cstheme="minorHAnsi"/>
        </w:rPr>
        <w:t xml:space="preserve"> </w:t>
      </w:r>
    </w:p>
    <w:p w14:paraId="00E6EAFD" w14:textId="7D6CE677" w:rsidR="001E2E7D" w:rsidRPr="00F139B4" w:rsidRDefault="001E2E7D">
      <w:pPr>
        <w:rPr>
          <w:rFonts w:cstheme="minorHAnsi"/>
        </w:rPr>
      </w:pPr>
      <w:r w:rsidRPr="00F139B4">
        <w:rPr>
          <w:rFonts w:cstheme="minorHAnsi"/>
          <w:color w:val="1C1D1E"/>
          <w:shd w:val="clear" w:color="auto" w:fill="FFFFFF"/>
        </w:rPr>
        <w:t>Farrington, D.P. (2005), Childhood origins of antisocial behaviour. Clin. Psychol. Psychother., 12: pp. 177-190.</w:t>
      </w:r>
    </w:p>
    <w:p w14:paraId="269FE266" w14:textId="06561E38" w:rsidR="00B54B14" w:rsidRPr="00F139B4" w:rsidRDefault="00B54B14">
      <w:pPr>
        <w:rPr>
          <w:rFonts w:cstheme="minorHAnsi"/>
        </w:rPr>
      </w:pPr>
      <w:r w:rsidRPr="00F139B4">
        <w:rPr>
          <w:rFonts w:cstheme="minorHAnsi"/>
        </w:rPr>
        <w:t xml:space="preserve">IPPC (2011) </w:t>
      </w:r>
      <w:r w:rsidR="00924F11" w:rsidRPr="00F139B4">
        <w:rPr>
          <w:rFonts w:cstheme="minorHAnsi"/>
        </w:rPr>
        <w:t xml:space="preserve">IPCC report into the contact between Fiona Pilkington and Leicestershire Constabulary 2004-2007. Available at: </w:t>
      </w:r>
      <w:hyperlink r:id="rId8" w:history="1">
        <w:r w:rsidR="00924F11" w:rsidRPr="00F139B4">
          <w:rPr>
            <w:rStyle w:val="Hyperlink"/>
            <w:rFonts w:cstheme="minorHAnsi"/>
          </w:rPr>
          <w:t>2009-Fiona-Pilkington-Leicestershire.pdf (hampshiresab.org.uk)</w:t>
        </w:r>
      </w:hyperlink>
      <w:r w:rsidR="00924F11" w:rsidRPr="00F139B4">
        <w:rPr>
          <w:rFonts w:cstheme="minorHAnsi"/>
        </w:rPr>
        <w:t xml:space="preserve"> </w:t>
      </w:r>
    </w:p>
    <w:p w14:paraId="48225D38" w14:textId="125F2076" w:rsidR="000C3475" w:rsidRPr="00F139B4" w:rsidRDefault="00EB7AD0">
      <w:pPr>
        <w:rPr>
          <w:rFonts w:cstheme="minorHAnsi"/>
        </w:rPr>
      </w:pPr>
      <w:r w:rsidRPr="00F139B4">
        <w:rPr>
          <w:rFonts w:cstheme="minorHAnsi"/>
        </w:rPr>
        <w:t>Legislation.gov.uk</w:t>
      </w:r>
      <w:r w:rsidR="000C3475" w:rsidRPr="00F139B4">
        <w:rPr>
          <w:rFonts w:cstheme="minorHAnsi"/>
        </w:rPr>
        <w:t xml:space="preserve"> (2003) Antisocial Behaviour Act 2003. Available at: </w:t>
      </w:r>
      <w:hyperlink r:id="rId9" w:history="1">
        <w:r w:rsidR="000C3475" w:rsidRPr="00F139B4">
          <w:rPr>
            <w:rStyle w:val="Hyperlink"/>
            <w:rFonts w:cstheme="minorHAnsi"/>
          </w:rPr>
          <w:t>https://www.legislation.gov.uk/ukpga/2003/38/contents/enacted?view=plain</w:t>
        </w:r>
      </w:hyperlink>
      <w:r w:rsidR="000C3475" w:rsidRPr="00F139B4">
        <w:rPr>
          <w:rFonts w:cstheme="minorHAnsi"/>
        </w:rPr>
        <w:t xml:space="preserve"> (Accessed 17</w:t>
      </w:r>
      <w:r w:rsidR="000C3475" w:rsidRPr="00F139B4">
        <w:rPr>
          <w:rFonts w:cstheme="minorHAnsi"/>
          <w:vertAlign w:val="superscript"/>
        </w:rPr>
        <w:t>th</w:t>
      </w:r>
      <w:r w:rsidR="000C3475" w:rsidRPr="00F139B4">
        <w:rPr>
          <w:rFonts w:cstheme="minorHAnsi"/>
        </w:rPr>
        <w:t xml:space="preserve"> July 2022)</w:t>
      </w:r>
    </w:p>
    <w:p w14:paraId="666D0C4E" w14:textId="2B897FD6" w:rsidR="00EB7AD0" w:rsidRPr="00F139B4" w:rsidRDefault="00EB7AD0">
      <w:pPr>
        <w:rPr>
          <w:rFonts w:cstheme="minorHAnsi"/>
        </w:rPr>
      </w:pPr>
      <w:r w:rsidRPr="00F139B4">
        <w:rPr>
          <w:rFonts w:cstheme="minorHAnsi"/>
        </w:rPr>
        <w:t xml:space="preserve">Legislation.gov.uk (2014). The anti-social Behaviour, Crime and Policing Act 2014. Available at: </w:t>
      </w:r>
      <w:hyperlink r:id="rId10" w:history="1">
        <w:r w:rsidRPr="00F139B4">
          <w:rPr>
            <w:rStyle w:val="Hyperlink"/>
            <w:rFonts w:cstheme="minorHAnsi"/>
          </w:rPr>
          <w:t>Anti-social Behaviour, Crime and Policing Act 2014 (legislation.gov.uk)</w:t>
        </w:r>
      </w:hyperlink>
      <w:r w:rsidRPr="00F139B4">
        <w:rPr>
          <w:rFonts w:cstheme="minorHAnsi"/>
        </w:rPr>
        <w:t xml:space="preserve"> (Accessed 20</w:t>
      </w:r>
      <w:r w:rsidRPr="00F139B4">
        <w:rPr>
          <w:rFonts w:cstheme="minorHAnsi"/>
          <w:vertAlign w:val="superscript"/>
        </w:rPr>
        <w:t>th</w:t>
      </w:r>
      <w:r w:rsidRPr="00F139B4">
        <w:rPr>
          <w:rFonts w:cstheme="minorHAnsi"/>
        </w:rPr>
        <w:t xml:space="preserve"> July 2022)</w:t>
      </w:r>
    </w:p>
    <w:p w14:paraId="54FA054A" w14:textId="43621412" w:rsidR="007F184B" w:rsidRPr="00F139B4" w:rsidRDefault="007F184B">
      <w:pPr>
        <w:rPr>
          <w:rFonts w:cstheme="minorHAnsi"/>
        </w:rPr>
      </w:pPr>
      <w:r w:rsidRPr="00F139B4">
        <w:rPr>
          <w:rFonts w:cstheme="minorHAnsi"/>
          <w:color w:val="1A1A1A"/>
          <w:shd w:val="clear" w:color="auto" w:fill="FFFFFF"/>
        </w:rPr>
        <w:t>Mancoff, D. (2021) </w:t>
      </w:r>
      <w:r w:rsidRPr="00F139B4">
        <w:rPr>
          <w:rStyle w:val="Emphasis"/>
          <w:rFonts w:cstheme="minorHAnsi"/>
          <w:color w:val="1A1A1A"/>
          <w:shd w:val="clear" w:color="auto" w:fill="FFFFFF"/>
        </w:rPr>
        <w:t>Banksy</w:t>
      </w:r>
      <w:r w:rsidRPr="00F139B4">
        <w:rPr>
          <w:rFonts w:cstheme="minorHAnsi"/>
          <w:color w:val="1A1A1A"/>
          <w:shd w:val="clear" w:color="auto" w:fill="FFFFFF"/>
        </w:rPr>
        <w:t>. </w:t>
      </w:r>
      <w:r w:rsidRPr="00F139B4">
        <w:rPr>
          <w:rStyle w:val="Emphasis"/>
          <w:rFonts w:cstheme="minorHAnsi"/>
          <w:color w:val="1A1A1A"/>
          <w:shd w:val="clear" w:color="auto" w:fill="FFFFFF"/>
        </w:rPr>
        <w:t>Encyclopedia Britannica</w:t>
      </w:r>
      <w:r w:rsidRPr="00F139B4">
        <w:rPr>
          <w:rFonts w:cstheme="minorHAnsi"/>
          <w:color w:val="1A1A1A"/>
          <w:shd w:val="clear" w:color="auto" w:fill="FFFFFF"/>
        </w:rPr>
        <w:t xml:space="preserve">. Available at: </w:t>
      </w:r>
      <w:hyperlink r:id="rId11" w:history="1">
        <w:r w:rsidRPr="00F139B4">
          <w:rPr>
            <w:rStyle w:val="Hyperlink"/>
            <w:rFonts w:cstheme="minorHAnsi"/>
          </w:rPr>
          <w:t>documentary film | motion picture | Britannica</w:t>
        </w:r>
      </w:hyperlink>
      <w:r w:rsidRPr="00F139B4">
        <w:rPr>
          <w:rFonts w:cstheme="minorHAnsi"/>
        </w:rPr>
        <w:t xml:space="preserve"> (Accessed 23</w:t>
      </w:r>
      <w:r w:rsidRPr="00F139B4">
        <w:rPr>
          <w:rFonts w:cstheme="minorHAnsi"/>
          <w:vertAlign w:val="superscript"/>
        </w:rPr>
        <w:t>rd</w:t>
      </w:r>
      <w:r w:rsidRPr="00F139B4">
        <w:rPr>
          <w:rFonts w:cstheme="minorHAnsi"/>
        </w:rPr>
        <w:t xml:space="preserve"> July 2022)</w:t>
      </w:r>
    </w:p>
    <w:p w14:paraId="17F92D41" w14:textId="72220989" w:rsidR="007D5C17" w:rsidRPr="00F139B4" w:rsidRDefault="007D5C17">
      <w:pPr>
        <w:rPr>
          <w:rFonts w:cstheme="minorHAnsi"/>
        </w:rPr>
      </w:pPr>
      <w:r w:rsidRPr="00F139B4">
        <w:rPr>
          <w:rFonts w:cstheme="minorHAnsi"/>
        </w:rPr>
        <w:t xml:space="preserve">met.police.uk (No Date) What is antisocial behaviour? Available at: </w:t>
      </w:r>
      <w:hyperlink r:id="rId12" w:history="1">
        <w:r w:rsidRPr="00F139B4">
          <w:rPr>
            <w:rStyle w:val="Hyperlink"/>
            <w:rFonts w:cstheme="minorHAnsi"/>
          </w:rPr>
          <w:t>What is antisocial behaviour? | Metropolitan Police</w:t>
        </w:r>
      </w:hyperlink>
      <w:r w:rsidRPr="00F139B4">
        <w:rPr>
          <w:rFonts w:cstheme="minorHAnsi"/>
        </w:rPr>
        <w:t xml:space="preserve"> (Accessed 18</w:t>
      </w:r>
      <w:r w:rsidRPr="00F139B4">
        <w:rPr>
          <w:rFonts w:cstheme="minorHAnsi"/>
          <w:vertAlign w:val="superscript"/>
        </w:rPr>
        <w:t>th</w:t>
      </w:r>
      <w:r w:rsidRPr="00F139B4">
        <w:rPr>
          <w:rFonts w:cstheme="minorHAnsi"/>
        </w:rPr>
        <w:t xml:space="preserve"> July 2022)</w:t>
      </w:r>
    </w:p>
    <w:p w14:paraId="35602809" w14:textId="44164DB2" w:rsidR="00A62A80" w:rsidRPr="00F139B4" w:rsidRDefault="00115FCB">
      <w:pPr>
        <w:rPr>
          <w:rFonts w:cstheme="minorHAnsi"/>
        </w:rPr>
      </w:pPr>
      <w:r w:rsidRPr="00F139B4">
        <w:rPr>
          <w:rFonts w:cstheme="minorHAnsi"/>
        </w:rPr>
        <w:t xml:space="preserve">Millie, A., </w:t>
      </w:r>
      <w:r w:rsidR="00F139B4" w:rsidRPr="00F139B4">
        <w:rPr>
          <w:rFonts w:cstheme="minorHAnsi"/>
        </w:rPr>
        <w:t>(</w:t>
      </w:r>
      <w:r w:rsidRPr="00F139B4">
        <w:rPr>
          <w:rFonts w:cstheme="minorHAnsi"/>
        </w:rPr>
        <w:t>2008</w:t>
      </w:r>
      <w:r w:rsidR="00F139B4" w:rsidRPr="00F139B4">
        <w:rPr>
          <w:rFonts w:cstheme="minorHAnsi"/>
        </w:rPr>
        <w:t xml:space="preserve">) </w:t>
      </w:r>
      <w:r w:rsidRPr="00F139B4">
        <w:rPr>
          <w:rFonts w:cstheme="minorHAnsi"/>
        </w:rPr>
        <w:t>Anti-social behaviour. McGraw-Hill Education (UK).</w:t>
      </w:r>
    </w:p>
    <w:p w14:paraId="3766C1EC" w14:textId="595F3AD0" w:rsidR="00A62A80" w:rsidRPr="00F139B4" w:rsidRDefault="00A62A80">
      <w:pPr>
        <w:rPr>
          <w:rFonts w:cstheme="minorHAnsi"/>
        </w:rPr>
      </w:pPr>
      <w:r w:rsidRPr="00F139B4">
        <w:rPr>
          <w:rFonts w:cstheme="minorHAnsi"/>
          <w:color w:val="2A2A2A"/>
          <w:shd w:val="clear" w:color="auto" w:fill="FFFFFF"/>
        </w:rPr>
        <w:t xml:space="preserve">Millie, A. (2008) Anti-Social Behaviour, Behavioural Expectations and an Urban Aesthetic. </w:t>
      </w:r>
      <w:r w:rsidRPr="00F139B4">
        <w:rPr>
          <w:rStyle w:val="Emphasis"/>
          <w:rFonts w:cstheme="minorHAnsi"/>
          <w:color w:val="2A2A2A"/>
          <w:bdr w:val="none" w:sz="0" w:space="0" w:color="auto" w:frame="1"/>
          <w:shd w:val="clear" w:color="auto" w:fill="FFFFFF"/>
        </w:rPr>
        <w:t>The British Journal of Criminology</w:t>
      </w:r>
      <w:r w:rsidRPr="00F139B4">
        <w:rPr>
          <w:rFonts w:cstheme="minorHAnsi"/>
          <w:color w:val="2A2A2A"/>
          <w:shd w:val="clear" w:color="auto" w:fill="FFFFFF"/>
        </w:rPr>
        <w:t>, 48(3). pp 379–39</w:t>
      </w:r>
    </w:p>
    <w:p w14:paraId="3A14A8AB" w14:textId="4D12D77E" w:rsidR="004F7D94" w:rsidRPr="00F061D2" w:rsidRDefault="004F7D94"/>
    <w:sectPr w:rsidR="004F7D94" w:rsidRPr="00F061D2" w:rsidSect="00C302F1">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147C6" w14:textId="77777777" w:rsidR="00C302F1" w:rsidRDefault="00C302F1" w:rsidP="00C302F1">
      <w:pPr>
        <w:spacing w:after="0" w:line="240" w:lineRule="auto"/>
      </w:pPr>
      <w:r>
        <w:separator/>
      </w:r>
    </w:p>
  </w:endnote>
  <w:endnote w:type="continuationSeparator" w:id="0">
    <w:p w14:paraId="15352C45" w14:textId="77777777" w:rsidR="00C302F1" w:rsidRDefault="00C302F1" w:rsidP="00C302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0F570" w14:textId="77777777" w:rsidR="000C3475" w:rsidRDefault="005D5FBF" w:rsidP="005D5FBF">
    <w:pPr>
      <w:pStyle w:val="Footer"/>
      <w:rPr>
        <w:color w:val="000000"/>
        <w:sz w:val="17"/>
      </w:rPr>
    </w:pPr>
    <w:bookmarkStart w:id="2" w:name="TITUS1FooterEvenPages"/>
    <w:r>
      <w:rPr>
        <w:color w:val="000000"/>
        <w:sz w:val="17"/>
      </w:rPr>
      <w:t> </w:t>
    </w:r>
  </w:p>
  <w:bookmarkEnd w:id="2"/>
  <w:p w14:paraId="7924A77F" w14:textId="77777777" w:rsidR="000C3475" w:rsidRDefault="000C3475" w:rsidP="000C3475">
    <w:pPr>
      <w:pStyle w:val="Footer"/>
    </w:pPr>
  </w:p>
  <w:p w14:paraId="0E3A9CDD" w14:textId="77777777" w:rsidR="00C302F1" w:rsidRDefault="00C302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BA5FDB" w14:textId="77777777" w:rsidR="00C302F1" w:rsidRDefault="005D5FBF" w:rsidP="005D5FBF">
    <w:pPr>
      <w:pStyle w:val="Footer"/>
      <w:rPr>
        <w:color w:val="000000"/>
        <w:sz w:val="17"/>
      </w:rPr>
    </w:pPr>
    <w:bookmarkStart w:id="3" w:name="TITUS1FooterPrimary"/>
    <w:r>
      <w:rPr>
        <w:color w:val="000000"/>
        <w:sz w:val="17"/>
      </w:rPr>
      <w:t> </w:t>
    </w:r>
  </w:p>
  <w:bookmarkEnd w:id="3"/>
  <w:p w14:paraId="6EFC2182" w14:textId="77777777" w:rsidR="00C302F1" w:rsidRDefault="00C302F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D7DEF" w14:textId="77777777" w:rsidR="00C302F1" w:rsidRDefault="005D5FBF" w:rsidP="005D5FBF">
    <w:pPr>
      <w:pStyle w:val="Footer"/>
      <w:rPr>
        <w:color w:val="000000"/>
        <w:sz w:val="17"/>
      </w:rPr>
    </w:pPr>
    <w:bookmarkStart w:id="5" w:name="TITUS1FooterFirstPage"/>
    <w:r>
      <w:rPr>
        <w:color w:val="000000"/>
        <w:sz w:val="17"/>
      </w:rPr>
      <w:t> </w:t>
    </w:r>
  </w:p>
  <w:bookmarkEnd w:id="5"/>
  <w:p w14:paraId="26750461" w14:textId="77777777" w:rsidR="00C302F1" w:rsidRDefault="00C302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75378" w14:textId="77777777" w:rsidR="00C302F1" w:rsidRDefault="00C302F1" w:rsidP="00C302F1">
      <w:pPr>
        <w:spacing w:after="0" w:line="240" w:lineRule="auto"/>
      </w:pPr>
      <w:r>
        <w:separator/>
      </w:r>
    </w:p>
  </w:footnote>
  <w:footnote w:type="continuationSeparator" w:id="0">
    <w:p w14:paraId="3FEFE4FC" w14:textId="77777777" w:rsidR="00C302F1" w:rsidRDefault="00C302F1" w:rsidP="00C302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3D93E9" w14:textId="77777777" w:rsidR="000C3475" w:rsidRDefault="005D5FBF" w:rsidP="005D5FBF">
    <w:pPr>
      <w:pStyle w:val="Header"/>
      <w:rPr>
        <w:color w:val="000000"/>
        <w:sz w:val="17"/>
      </w:rPr>
    </w:pPr>
    <w:bookmarkStart w:id="0" w:name="TITUS1HeaderEvenPages"/>
    <w:r>
      <w:rPr>
        <w:color w:val="000000"/>
        <w:sz w:val="17"/>
      </w:rPr>
      <w:t> </w:t>
    </w:r>
  </w:p>
  <w:bookmarkEnd w:id="0"/>
  <w:p w14:paraId="476022CB" w14:textId="77777777" w:rsidR="000C3475" w:rsidRDefault="000C3475" w:rsidP="000C3475">
    <w:pPr>
      <w:pStyle w:val="Header"/>
    </w:pPr>
  </w:p>
  <w:p w14:paraId="4E2394B8" w14:textId="77777777" w:rsidR="00C302F1" w:rsidRDefault="00C302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69D81" w14:textId="77777777" w:rsidR="00C302F1" w:rsidRDefault="005D5FBF" w:rsidP="005D5FBF">
    <w:pPr>
      <w:pStyle w:val="Header"/>
      <w:rPr>
        <w:color w:val="000000"/>
        <w:sz w:val="17"/>
      </w:rPr>
    </w:pPr>
    <w:bookmarkStart w:id="1" w:name="TITUS1HeaderPrimary"/>
    <w:r>
      <w:rPr>
        <w:color w:val="000000"/>
        <w:sz w:val="17"/>
      </w:rPr>
      <w:t> </w:t>
    </w:r>
  </w:p>
  <w:bookmarkEnd w:id="1"/>
  <w:p w14:paraId="63F51C20" w14:textId="77777777" w:rsidR="00C302F1" w:rsidRDefault="00C302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E123EB" w14:textId="77777777" w:rsidR="00C302F1" w:rsidRDefault="005D5FBF" w:rsidP="005D5FBF">
    <w:pPr>
      <w:pStyle w:val="Header"/>
      <w:rPr>
        <w:color w:val="000000"/>
        <w:sz w:val="17"/>
      </w:rPr>
    </w:pPr>
    <w:bookmarkStart w:id="4" w:name="TITUS1HeaderFirstPage"/>
    <w:r>
      <w:rPr>
        <w:color w:val="000000"/>
        <w:sz w:val="17"/>
      </w:rPr>
      <w:t> </w:t>
    </w:r>
  </w:p>
  <w:bookmarkEnd w:id="4"/>
  <w:p w14:paraId="542BB075" w14:textId="77777777" w:rsidR="00C302F1" w:rsidRDefault="00C302F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6A7E"/>
    <w:rsid w:val="00012626"/>
    <w:rsid w:val="00015D32"/>
    <w:rsid w:val="00066DDA"/>
    <w:rsid w:val="000B0045"/>
    <w:rsid w:val="000C3475"/>
    <w:rsid w:val="000D710C"/>
    <w:rsid w:val="00115FCB"/>
    <w:rsid w:val="001C2327"/>
    <w:rsid w:val="001E2E7D"/>
    <w:rsid w:val="001F6523"/>
    <w:rsid w:val="00214696"/>
    <w:rsid w:val="00271B43"/>
    <w:rsid w:val="00357DE0"/>
    <w:rsid w:val="00406E2F"/>
    <w:rsid w:val="00422B4B"/>
    <w:rsid w:val="0043182C"/>
    <w:rsid w:val="004C767F"/>
    <w:rsid w:val="004F6698"/>
    <w:rsid w:val="004F7D94"/>
    <w:rsid w:val="00512E77"/>
    <w:rsid w:val="00551D54"/>
    <w:rsid w:val="005B2A7E"/>
    <w:rsid w:val="005D5FBF"/>
    <w:rsid w:val="006262DF"/>
    <w:rsid w:val="00637EB0"/>
    <w:rsid w:val="006B2C8D"/>
    <w:rsid w:val="007D5C17"/>
    <w:rsid w:val="007F184B"/>
    <w:rsid w:val="0080736B"/>
    <w:rsid w:val="00867E85"/>
    <w:rsid w:val="008D7EC3"/>
    <w:rsid w:val="00924F11"/>
    <w:rsid w:val="009B6CFF"/>
    <w:rsid w:val="00A62A80"/>
    <w:rsid w:val="00A76A30"/>
    <w:rsid w:val="00AC6B6B"/>
    <w:rsid w:val="00B21500"/>
    <w:rsid w:val="00B23A7A"/>
    <w:rsid w:val="00B54B14"/>
    <w:rsid w:val="00B826D0"/>
    <w:rsid w:val="00BC6D26"/>
    <w:rsid w:val="00C302F1"/>
    <w:rsid w:val="00CA6AE0"/>
    <w:rsid w:val="00D72A95"/>
    <w:rsid w:val="00D73C7B"/>
    <w:rsid w:val="00DE6A7E"/>
    <w:rsid w:val="00E110DA"/>
    <w:rsid w:val="00E13FFF"/>
    <w:rsid w:val="00E80C46"/>
    <w:rsid w:val="00EB7AD0"/>
    <w:rsid w:val="00F061D2"/>
    <w:rsid w:val="00F139B4"/>
    <w:rsid w:val="00F32F1E"/>
    <w:rsid w:val="00F42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2EA0316"/>
  <w15:chartTrackingRefBased/>
  <w15:docId w15:val="{E69BC9E7-5292-4DDB-B32A-CCB2AFAC7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02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2F1"/>
  </w:style>
  <w:style w:type="paragraph" w:styleId="Footer">
    <w:name w:val="footer"/>
    <w:basedOn w:val="Normal"/>
    <w:link w:val="FooterChar"/>
    <w:uiPriority w:val="99"/>
    <w:unhideWhenUsed/>
    <w:rsid w:val="00C302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2F1"/>
  </w:style>
  <w:style w:type="character" w:styleId="Hyperlink">
    <w:name w:val="Hyperlink"/>
    <w:basedOn w:val="DefaultParagraphFont"/>
    <w:uiPriority w:val="99"/>
    <w:unhideWhenUsed/>
    <w:rsid w:val="000C3475"/>
    <w:rPr>
      <w:color w:val="0563C1" w:themeColor="hyperlink"/>
      <w:u w:val="single"/>
    </w:rPr>
  </w:style>
  <w:style w:type="character" w:styleId="Emphasis">
    <w:name w:val="Emphasis"/>
    <w:basedOn w:val="DefaultParagraphFont"/>
    <w:uiPriority w:val="20"/>
    <w:qFormat/>
    <w:rsid w:val="00A62A8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1685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mpshiresab.org.uk/wp-content/uploads/2009-Fiona-Pilkington-Leicestershire.pdf"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1088750/2022_Updated_ASB_Statutory_Guidance-_FINAL.pdf" TargetMode="External"/><Relationship Id="rId12" Type="http://schemas.openxmlformats.org/officeDocument/2006/relationships/hyperlink" Target="https://www.met.police.uk/advice/advice-and-information/asb/asb/antisocial-behaviour/what-is-antisocial-behaviour/" TargetMode="External"/><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hampshiresab.org.uk/learning-from-experience-database/serious-case-reviews/fiona-pilkington-leicestershire/" TargetMode="External"/><Relationship Id="rId11" Type="http://schemas.openxmlformats.org/officeDocument/2006/relationships/hyperlink" Target="https://www.britannica.com/art/documentary-film"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legislation.gov.uk/ukpga/2014/12/contents/enacted"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legislation.gov.uk/ukpga/2003/38/contents/enacted?view=plain"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4</Pages>
  <Words>1672</Words>
  <Characters>9532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Costello,Connor swp6634</dc:creator>
  <cp:keywords/>
  <dc:description/>
  <cp:lastModifiedBy>Costello,Connor swp6634</cp:lastModifiedBy>
  <cp:revision>5</cp:revision>
  <dcterms:created xsi:type="dcterms:W3CDTF">2022-07-25T17:33:00Z</dcterms:created>
  <dcterms:modified xsi:type="dcterms:W3CDTF">2022-07-25T17:56:00Z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3569b8ff-8018-4bf7-a569-3faa1d6e560b</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2022-07-20T13:21:07Z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ed7065ff-8c40-4a6c-9d1c-ca075c47d938</vt:lpwstr>
  </property>
  <property fmtid="{D5CDD505-2E9C-101B-9397-08002B2CF9AE}" pid="11" name="MSIP_Label_66cf8fe5-b7b7-4df7-b38d-1c61ac2f6639_ContentBits">
    <vt:lpwstr>0</vt:lpwstr>
  </property>
</Properties>
</file>