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02D14" w:rsidRPr="00B13EF2" w:rsidRDefault="00302D14" w:rsidP="00B13EF2">
      <w:pPr>
        <w:jc w:val="center"/>
        <w:rPr>
          <w:rFonts w:ascii="Arial Black" w:hAnsi="Arial Black"/>
          <w:b/>
          <w:i/>
          <w:color w:val="FF0000"/>
          <w:sz w:val="44"/>
          <w:szCs w:val="44"/>
        </w:rPr>
      </w:pPr>
    </w:p>
    <w:p w:rsidR="00302D14" w:rsidRPr="00B13EF2" w:rsidRDefault="00302D14" w:rsidP="00B13EF2">
      <w:pPr>
        <w:jc w:val="center"/>
        <w:rPr>
          <w:rFonts w:ascii="Arial Black" w:hAnsi="Arial Black" w:cs="Segoe UI"/>
          <w:b/>
          <w:i/>
          <w:color w:val="FF0000"/>
          <w:sz w:val="44"/>
          <w:szCs w:val="44"/>
          <w:shd w:val="clear" w:color="auto" w:fill="FFFFFF"/>
        </w:rPr>
      </w:pPr>
      <w:r w:rsidRPr="00B13EF2">
        <w:rPr>
          <w:rFonts w:ascii="Arial Black" w:hAnsi="Arial Black" w:cs="Segoe UI"/>
          <w:b/>
          <w:i/>
          <w:color w:val="FF0000"/>
          <w:sz w:val="44"/>
          <w:szCs w:val="44"/>
          <w:shd w:val="clear" w:color="auto" w:fill="FFFFFF"/>
        </w:rPr>
        <w:t>Managing Foreign Exchange Risks for Multinational Corporations: A Practical Overview</w:t>
      </w:r>
    </w:p>
    <w:p w:rsidR="00B13EF2" w:rsidRDefault="00B13EF2"/>
    <w:p w:rsidR="00B13EF2" w:rsidRDefault="005B6B7B" w:rsidP="00CB2EE5">
      <w:pPr>
        <w:ind w:left="2160"/>
        <w:rPr>
          <w:lang w:val="bg-BG"/>
        </w:rPr>
      </w:pPr>
      <w:r>
        <w:rPr>
          <w:lang w:val="bg-BG"/>
        </w:rPr>
        <w:t>LC</w:t>
      </w:r>
      <w:r w:rsidR="00CB2EE5">
        <w:rPr>
          <w:lang w:val="bg-BG"/>
        </w:rPr>
        <w:t>BB6002</w:t>
      </w:r>
    </w:p>
    <w:p w:rsidR="00CB2EE5" w:rsidRDefault="00CB2EE5" w:rsidP="00CB2EE5">
      <w:pPr>
        <w:ind w:left="2160"/>
      </w:pPr>
    </w:p>
    <w:p w:rsidR="00B13EF2" w:rsidRDefault="00484E10" w:rsidP="00BD0A09">
      <w:pPr>
        <w:ind w:left="720"/>
      </w:pPr>
      <w:r>
        <w:rPr>
          <w:lang w:val="bg-BG"/>
        </w:rPr>
        <w:t xml:space="preserve">International </w:t>
      </w:r>
      <w:proofErr w:type="spellStart"/>
      <w:r w:rsidR="00BD0A09">
        <w:rPr>
          <w:lang w:val="bg-BG"/>
        </w:rPr>
        <w:t>Financial</w:t>
      </w:r>
      <w:proofErr w:type="spellEnd"/>
      <w:r w:rsidR="00BD0A09">
        <w:rPr>
          <w:lang w:val="bg-BG"/>
        </w:rPr>
        <w:t xml:space="preserve"> </w:t>
      </w:r>
      <w:proofErr w:type="spellStart"/>
      <w:r w:rsidR="00BD0A09">
        <w:rPr>
          <w:lang w:val="bg-BG"/>
        </w:rPr>
        <w:t>Management</w:t>
      </w:r>
      <w:proofErr w:type="spellEnd"/>
    </w:p>
    <w:p w:rsidR="00B13EF2" w:rsidRDefault="00B13EF2"/>
    <w:p w:rsidR="00B13EF2" w:rsidRDefault="00330B9D" w:rsidP="00330B9D">
      <w:pPr>
        <w:ind w:left="720"/>
      </w:pPr>
      <w:proofErr w:type="spellStart"/>
      <w:r>
        <w:rPr>
          <w:lang w:val="bg-BG"/>
        </w:rPr>
        <w:t>Assignment</w:t>
      </w:r>
      <w:proofErr w:type="spellEnd"/>
      <w:r>
        <w:rPr>
          <w:lang w:val="bg-BG"/>
        </w:rPr>
        <w:t xml:space="preserve"> 1 </w:t>
      </w:r>
    </w:p>
    <w:p w:rsidR="00B13EF2" w:rsidRDefault="00B13EF2"/>
    <w:p w:rsidR="00B13EF2" w:rsidRDefault="00B13EF2"/>
    <w:p w:rsidR="00330B9D" w:rsidRDefault="00330B9D">
      <w:pPr>
        <w:rPr>
          <w:lang w:val="bg-BG"/>
        </w:rPr>
      </w:pPr>
      <w:proofErr w:type="spellStart"/>
      <w:r>
        <w:rPr>
          <w:lang w:val="bg-BG"/>
        </w:rPr>
        <w:t>Student</w:t>
      </w:r>
      <w:proofErr w:type="spellEnd"/>
      <w:r>
        <w:rPr>
          <w:lang w:val="bg-BG"/>
        </w:rPr>
        <w:t xml:space="preserve"> </w:t>
      </w:r>
      <w:proofErr w:type="spellStart"/>
      <w:r>
        <w:rPr>
          <w:lang w:val="bg-BG"/>
        </w:rPr>
        <w:t>Name</w:t>
      </w:r>
      <w:proofErr w:type="spellEnd"/>
      <w:r>
        <w:rPr>
          <w:lang w:val="bg-BG"/>
        </w:rPr>
        <w:t xml:space="preserve"> :</w:t>
      </w:r>
    </w:p>
    <w:p w:rsidR="00B13EF2" w:rsidRDefault="00330B9D">
      <w:pPr>
        <w:rPr>
          <w:lang w:val="bg-BG"/>
        </w:rPr>
      </w:pPr>
      <w:r>
        <w:rPr>
          <w:lang w:val="bg-BG"/>
        </w:rPr>
        <w:t xml:space="preserve"> </w:t>
      </w:r>
      <w:proofErr w:type="spellStart"/>
      <w:r>
        <w:rPr>
          <w:lang w:val="bg-BG"/>
        </w:rPr>
        <w:t>Sevila</w:t>
      </w:r>
      <w:proofErr w:type="spellEnd"/>
      <w:r>
        <w:rPr>
          <w:lang w:val="bg-BG"/>
        </w:rPr>
        <w:t xml:space="preserve"> </w:t>
      </w:r>
      <w:proofErr w:type="spellStart"/>
      <w:r>
        <w:rPr>
          <w:lang w:val="bg-BG"/>
        </w:rPr>
        <w:t>Gorahmedova</w:t>
      </w:r>
      <w:proofErr w:type="spellEnd"/>
    </w:p>
    <w:p w:rsidR="00330B9D" w:rsidRDefault="00330B9D">
      <w:pPr>
        <w:rPr>
          <w:lang w:val="bg-BG"/>
        </w:rPr>
      </w:pPr>
    </w:p>
    <w:p w:rsidR="00330B9D" w:rsidRDefault="00330B9D">
      <w:proofErr w:type="spellStart"/>
      <w:r>
        <w:rPr>
          <w:lang w:val="bg-BG"/>
        </w:rPr>
        <w:t>Student</w:t>
      </w:r>
      <w:proofErr w:type="spellEnd"/>
      <w:r>
        <w:rPr>
          <w:lang w:val="bg-BG"/>
        </w:rPr>
        <w:t xml:space="preserve"> </w:t>
      </w:r>
      <w:proofErr w:type="spellStart"/>
      <w:r>
        <w:rPr>
          <w:lang w:val="bg-BG"/>
        </w:rPr>
        <w:t>Number</w:t>
      </w:r>
      <w:proofErr w:type="spellEnd"/>
      <w:r>
        <w:rPr>
          <w:lang w:val="bg-BG"/>
        </w:rPr>
        <w:t xml:space="preserve"> </w:t>
      </w:r>
      <w:r w:rsidR="006E2A04">
        <w:rPr>
          <w:lang w:val="bg-BG"/>
        </w:rPr>
        <w:t>: 2113595</w:t>
      </w:r>
    </w:p>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B13EF2" w:rsidRDefault="00B13EF2"/>
    <w:p w:rsidR="00302D14" w:rsidRDefault="00302D14" w:rsidP="00302D14"/>
    <w:sdt>
      <w:sdtPr>
        <w:rPr>
          <w:rFonts w:asciiTheme="minorHAnsi" w:eastAsiaTheme="minorHAnsi" w:hAnsiTheme="minorHAnsi" w:cstheme="minorBidi"/>
          <w:color w:val="auto"/>
          <w:sz w:val="22"/>
          <w:szCs w:val="22"/>
          <w:lang w:val="en-GB"/>
        </w:rPr>
        <w:id w:val="540488586"/>
        <w:docPartObj>
          <w:docPartGallery w:val="Table of Contents"/>
          <w:docPartUnique/>
        </w:docPartObj>
      </w:sdtPr>
      <w:sdtEndPr>
        <w:rPr>
          <w:b/>
          <w:bCs/>
          <w:noProof/>
        </w:rPr>
      </w:sdtEndPr>
      <w:sdtContent>
        <w:p w:rsidR="00302D14" w:rsidRDefault="00302D14">
          <w:pPr>
            <w:pStyle w:val="a3"/>
          </w:pPr>
          <w:r>
            <w:t>Contents</w:t>
          </w:r>
        </w:p>
        <w:p w:rsidR="00302D14" w:rsidRPr="00302D14" w:rsidRDefault="00302D14" w:rsidP="00302D14">
          <w:pPr>
            <w:rPr>
              <w:lang w:val="en-US"/>
            </w:rPr>
          </w:pPr>
        </w:p>
        <w:p w:rsidR="00302D14" w:rsidRDefault="00302D14">
          <w:pPr>
            <w:pStyle w:val="1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53900255" w:history="1">
            <w:r w:rsidRPr="00635B55">
              <w:rPr>
                <w:rStyle w:val="a4"/>
                <w:noProof/>
              </w:rPr>
              <w:t>Introduction</w:t>
            </w:r>
            <w:r>
              <w:rPr>
                <w:noProof/>
                <w:webHidden/>
              </w:rPr>
              <w:tab/>
            </w:r>
            <w:r>
              <w:rPr>
                <w:noProof/>
                <w:webHidden/>
              </w:rPr>
              <w:fldChar w:fldCharType="begin"/>
            </w:r>
            <w:r>
              <w:rPr>
                <w:noProof/>
                <w:webHidden/>
              </w:rPr>
              <w:instrText xml:space="preserve"> PAGEREF _Toc153900255 \h </w:instrText>
            </w:r>
            <w:r>
              <w:rPr>
                <w:noProof/>
                <w:webHidden/>
              </w:rPr>
            </w:r>
            <w:r>
              <w:rPr>
                <w:noProof/>
                <w:webHidden/>
              </w:rPr>
              <w:fldChar w:fldCharType="separate"/>
            </w:r>
            <w:r>
              <w:rPr>
                <w:noProof/>
                <w:webHidden/>
              </w:rPr>
              <w:t>3</w:t>
            </w:r>
            <w:r>
              <w:rPr>
                <w:noProof/>
                <w:webHidden/>
              </w:rPr>
              <w:fldChar w:fldCharType="end"/>
            </w:r>
          </w:hyperlink>
        </w:p>
        <w:p w:rsidR="00302D14" w:rsidRDefault="00314B84">
          <w:pPr>
            <w:pStyle w:val="11"/>
            <w:tabs>
              <w:tab w:val="right" w:leader="dot" w:pos="9016"/>
            </w:tabs>
            <w:rPr>
              <w:noProof/>
            </w:rPr>
          </w:pPr>
          <w:hyperlink w:anchor="_Toc153900256" w:history="1">
            <w:r w:rsidR="00302D14" w:rsidRPr="00635B55">
              <w:rPr>
                <w:rStyle w:val="a4"/>
                <w:noProof/>
              </w:rPr>
              <w:t>Body</w:t>
            </w:r>
            <w:r w:rsidR="00302D14">
              <w:rPr>
                <w:noProof/>
                <w:webHidden/>
              </w:rPr>
              <w:tab/>
            </w:r>
            <w:r w:rsidR="00302D14">
              <w:rPr>
                <w:noProof/>
                <w:webHidden/>
              </w:rPr>
              <w:fldChar w:fldCharType="begin"/>
            </w:r>
            <w:r w:rsidR="00302D14">
              <w:rPr>
                <w:noProof/>
                <w:webHidden/>
              </w:rPr>
              <w:instrText xml:space="preserve"> PAGEREF _Toc153900256 \h </w:instrText>
            </w:r>
            <w:r w:rsidR="00302D14">
              <w:rPr>
                <w:noProof/>
                <w:webHidden/>
              </w:rPr>
            </w:r>
            <w:r w:rsidR="00302D14">
              <w:rPr>
                <w:noProof/>
                <w:webHidden/>
              </w:rPr>
              <w:fldChar w:fldCharType="separate"/>
            </w:r>
            <w:r w:rsidR="00302D14">
              <w:rPr>
                <w:noProof/>
                <w:webHidden/>
              </w:rPr>
              <w:t>3</w:t>
            </w:r>
            <w:r w:rsidR="00302D14">
              <w:rPr>
                <w:noProof/>
                <w:webHidden/>
              </w:rPr>
              <w:fldChar w:fldCharType="end"/>
            </w:r>
          </w:hyperlink>
        </w:p>
        <w:p w:rsidR="00302D14" w:rsidRDefault="00314B84">
          <w:pPr>
            <w:pStyle w:val="21"/>
            <w:tabs>
              <w:tab w:val="right" w:leader="dot" w:pos="9016"/>
            </w:tabs>
            <w:rPr>
              <w:noProof/>
            </w:rPr>
          </w:pPr>
          <w:hyperlink w:anchor="_Toc153900257" w:history="1">
            <w:r w:rsidR="00302D14" w:rsidRPr="00635B55">
              <w:rPr>
                <w:rStyle w:val="a4"/>
                <w:noProof/>
              </w:rPr>
              <w:t>Translation Exposure</w:t>
            </w:r>
            <w:r w:rsidR="00302D14">
              <w:rPr>
                <w:noProof/>
                <w:webHidden/>
              </w:rPr>
              <w:tab/>
            </w:r>
            <w:r w:rsidR="00302D14">
              <w:rPr>
                <w:noProof/>
                <w:webHidden/>
              </w:rPr>
              <w:fldChar w:fldCharType="begin"/>
            </w:r>
            <w:r w:rsidR="00302D14">
              <w:rPr>
                <w:noProof/>
                <w:webHidden/>
              </w:rPr>
              <w:instrText xml:space="preserve"> PAGEREF _Toc153900257 \h </w:instrText>
            </w:r>
            <w:r w:rsidR="00302D14">
              <w:rPr>
                <w:noProof/>
                <w:webHidden/>
              </w:rPr>
            </w:r>
            <w:r w:rsidR="00302D14">
              <w:rPr>
                <w:noProof/>
                <w:webHidden/>
              </w:rPr>
              <w:fldChar w:fldCharType="separate"/>
            </w:r>
            <w:r w:rsidR="00302D14">
              <w:rPr>
                <w:noProof/>
                <w:webHidden/>
              </w:rPr>
              <w:t>3</w:t>
            </w:r>
            <w:r w:rsidR="00302D14">
              <w:rPr>
                <w:noProof/>
                <w:webHidden/>
              </w:rPr>
              <w:fldChar w:fldCharType="end"/>
            </w:r>
          </w:hyperlink>
        </w:p>
        <w:p w:rsidR="00302D14" w:rsidRDefault="00314B84">
          <w:pPr>
            <w:pStyle w:val="21"/>
            <w:tabs>
              <w:tab w:val="right" w:leader="dot" w:pos="9016"/>
            </w:tabs>
            <w:rPr>
              <w:noProof/>
            </w:rPr>
          </w:pPr>
          <w:hyperlink w:anchor="_Toc153900258" w:history="1">
            <w:r w:rsidR="00302D14" w:rsidRPr="00635B55">
              <w:rPr>
                <w:rStyle w:val="a4"/>
                <w:noProof/>
              </w:rPr>
              <w:t>Transaction Exposure</w:t>
            </w:r>
            <w:r w:rsidR="00302D14">
              <w:rPr>
                <w:noProof/>
                <w:webHidden/>
              </w:rPr>
              <w:tab/>
            </w:r>
            <w:r w:rsidR="00302D14">
              <w:rPr>
                <w:noProof/>
                <w:webHidden/>
              </w:rPr>
              <w:fldChar w:fldCharType="begin"/>
            </w:r>
            <w:r w:rsidR="00302D14">
              <w:rPr>
                <w:noProof/>
                <w:webHidden/>
              </w:rPr>
              <w:instrText xml:space="preserve"> PAGEREF _Toc153900258 \h </w:instrText>
            </w:r>
            <w:r w:rsidR="00302D14">
              <w:rPr>
                <w:noProof/>
                <w:webHidden/>
              </w:rPr>
            </w:r>
            <w:r w:rsidR="00302D14">
              <w:rPr>
                <w:noProof/>
                <w:webHidden/>
              </w:rPr>
              <w:fldChar w:fldCharType="separate"/>
            </w:r>
            <w:r w:rsidR="00302D14">
              <w:rPr>
                <w:noProof/>
                <w:webHidden/>
              </w:rPr>
              <w:t>3</w:t>
            </w:r>
            <w:r w:rsidR="00302D14">
              <w:rPr>
                <w:noProof/>
                <w:webHidden/>
              </w:rPr>
              <w:fldChar w:fldCharType="end"/>
            </w:r>
          </w:hyperlink>
        </w:p>
        <w:p w:rsidR="00302D14" w:rsidRDefault="00314B84">
          <w:pPr>
            <w:pStyle w:val="21"/>
            <w:tabs>
              <w:tab w:val="right" w:leader="dot" w:pos="9016"/>
            </w:tabs>
            <w:rPr>
              <w:noProof/>
            </w:rPr>
          </w:pPr>
          <w:hyperlink w:anchor="_Toc153900259" w:history="1">
            <w:r w:rsidR="00302D14" w:rsidRPr="00635B55">
              <w:rPr>
                <w:rStyle w:val="a4"/>
                <w:noProof/>
              </w:rPr>
              <w:t>Economic Exposure</w:t>
            </w:r>
            <w:r w:rsidR="00302D14">
              <w:rPr>
                <w:noProof/>
                <w:webHidden/>
              </w:rPr>
              <w:tab/>
            </w:r>
            <w:r w:rsidR="00302D14">
              <w:rPr>
                <w:noProof/>
                <w:webHidden/>
              </w:rPr>
              <w:fldChar w:fldCharType="begin"/>
            </w:r>
            <w:r w:rsidR="00302D14">
              <w:rPr>
                <w:noProof/>
                <w:webHidden/>
              </w:rPr>
              <w:instrText xml:space="preserve"> PAGEREF _Toc153900259 \h </w:instrText>
            </w:r>
            <w:r w:rsidR="00302D14">
              <w:rPr>
                <w:noProof/>
                <w:webHidden/>
              </w:rPr>
            </w:r>
            <w:r w:rsidR="00302D14">
              <w:rPr>
                <w:noProof/>
                <w:webHidden/>
              </w:rPr>
              <w:fldChar w:fldCharType="separate"/>
            </w:r>
            <w:r w:rsidR="00302D14">
              <w:rPr>
                <w:noProof/>
                <w:webHidden/>
              </w:rPr>
              <w:t>4</w:t>
            </w:r>
            <w:r w:rsidR="00302D14">
              <w:rPr>
                <w:noProof/>
                <w:webHidden/>
              </w:rPr>
              <w:fldChar w:fldCharType="end"/>
            </w:r>
          </w:hyperlink>
        </w:p>
        <w:p w:rsidR="00302D14" w:rsidRDefault="00314B84">
          <w:pPr>
            <w:pStyle w:val="21"/>
            <w:tabs>
              <w:tab w:val="right" w:leader="dot" w:pos="9016"/>
            </w:tabs>
            <w:rPr>
              <w:noProof/>
            </w:rPr>
          </w:pPr>
          <w:hyperlink w:anchor="_Toc153900260" w:history="1">
            <w:r w:rsidR="00302D14" w:rsidRPr="00635B55">
              <w:rPr>
                <w:rStyle w:val="a4"/>
                <w:noProof/>
              </w:rPr>
              <w:t>Emerging Market Currency Risks</w:t>
            </w:r>
            <w:r w:rsidR="00302D14">
              <w:rPr>
                <w:noProof/>
                <w:webHidden/>
              </w:rPr>
              <w:tab/>
            </w:r>
            <w:r w:rsidR="00302D14">
              <w:rPr>
                <w:noProof/>
                <w:webHidden/>
              </w:rPr>
              <w:fldChar w:fldCharType="begin"/>
            </w:r>
            <w:r w:rsidR="00302D14">
              <w:rPr>
                <w:noProof/>
                <w:webHidden/>
              </w:rPr>
              <w:instrText xml:space="preserve"> PAGEREF _Toc153900260 \h </w:instrText>
            </w:r>
            <w:r w:rsidR="00302D14">
              <w:rPr>
                <w:noProof/>
                <w:webHidden/>
              </w:rPr>
            </w:r>
            <w:r w:rsidR="00302D14">
              <w:rPr>
                <w:noProof/>
                <w:webHidden/>
              </w:rPr>
              <w:fldChar w:fldCharType="separate"/>
            </w:r>
            <w:r w:rsidR="00302D14">
              <w:rPr>
                <w:noProof/>
                <w:webHidden/>
              </w:rPr>
              <w:t>5</w:t>
            </w:r>
            <w:r w:rsidR="00302D14">
              <w:rPr>
                <w:noProof/>
                <w:webHidden/>
              </w:rPr>
              <w:fldChar w:fldCharType="end"/>
            </w:r>
          </w:hyperlink>
        </w:p>
        <w:p w:rsidR="00302D14" w:rsidRDefault="00314B84">
          <w:pPr>
            <w:pStyle w:val="21"/>
            <w:tabs>
              <w:tab w:val="right" w:leader="dot" w:pos="9016"/>
            </w:tabs>
            <w:rPr>
              <w:noProof/>
            </w:rPr>
          </w:pPr>
          <w:hyperlink w:anchor="_Toc153900261" w:history="1">
            <w:r w:rsidR="00302D14" w:rsidRPr="00635B55">
              <w:rPr>
                <w:rStyle w:val="a4"/>
                <w:noProof/>
              </w:rPr>
              <w:t>Emerging market currency risk management strategies that should be considered</w:t>
            </w:r>
            <w:r w:rsidR="00302D14">
              <w:rPr>
                <w:noProof/>
                <w:webHidden/>
              </w:rPr>
              <w:tab/>
            </w:r>
            <w:r w:rsidR="00302D14">
              <w:rPr>
                <w:noProof/>
                <w:webHidden/>
              </w:rPr>
              <w:fldChar w:fldCharType="begin"/>
            </w:r>
            <w:r w:rsidR="00302D14">
              <w:rPr>
                <w:noProof/>
                <w:webHidden/>
              </w:rPr>
              <w:instrText xml:space="preserve"> PAGEREF _Toc153900261 \h </w:instrText>
            </w:r>
            <w:r w:rsidR="00302D14">
              <w:rPr>
                <w:noProof/>
                <w:webHidden/>
              </w:rPr>
            </w:r>
            <w:r w:rsidR="00302D14">
              <w:rPr>
                <w:noProof/>
                <w:webHidden/>
              </w:rPr>
              <w:fldChar w:fldCharType="separate"/>
            </w:r>
            <w:r w:rsidR="00302D14">
              <w:rPr>
                <w:noProof/>
                <w:webHidden/>
              </w:rPr>
              <w:t>5</w:t>
            </w:r>
            <w:r w:rsidR="00302D14">
              <w:rPr>
                <w:noProof/>
                <w:webHidden/>
              </w:rPr>
              <w:fldChar w:fldCharType="end"/>
            </w:r>
          </w:hyperlink>
        </w:p>
        <w:p w:rsidR="00302D14" w:rsidRDefault="00314B84">
          <w:pPr>
            <w:pStyle w:val="11"/>
            <w:tabs>
              <w:tab w:val="right" w:leader="dot" w:pos="9016"/>
            </w:tabs>
            <w:rPr>
              <w:noProof/>
            </w:rPr>
          </w:pPr>
          <w:hyperlink w:anchor="_Toc153900262" w:history="1">
            <w:r w:rsidR="00302D14" w:rsidRPr="00635B55">
              <w:rPr>
                <w:rStyle w:val="a4"/>
                <w:noProof/>
              </w:rPr>
              <w:t>Conclusion</w:t>
            </w:r>
            <w:r w:rsidR="00302D14">
              <w:rPr>
                <w:noProof/>
                <w:webHidden/>
              </w:rPr>
              <w:tab/>
            </w:r>
            <w:r w:rsidR="00302D14">
              <w:rPr>
                <w:noProof/>
                <w:webHidden/>
              </w:rPr>
              <w:fldChar w:fldCharType="begin"/>
            </w:r>
            <w:r w:rsidR="00302D14">
              <w:rPr>
                <w:noProof/>
                <w:webHidden/>
              </w:rPr>
              <w:instrText xml:space="preserve"> PAGEREF _Toc153900262 \h </w:instrText>
            </w:r>
            <w:r w:rsidR="00302D14">
              <w:rPr>
                <w:noProof/>
                <w:webHidden/>
              </w:rPr>
            </w:r>
            <w:r w:rsidR="00302D14">
              <w:rPr>
                <w:noProof/>
                <w:webHidden/>
              </w:rPr>
              <w:fldChar w:fldCharType="separate"/>
            </w:r>
            <w:r w:rsidR="00302D14">
              <w:rPr>
                <w:noProof/>
                <w:webHidden/>
              </w:rPr>
              <w:t>6</w:t>
            </w:r>
            <w:r w:rsidR="00302D14">
              <w:rPr>
                <w:noProof/>
                <w:webHidden/>
              </w:rPr>
              <w:fldChar w:fldCharType="end"/>
            </w:r>
          </w:hyperlink>
        </w:p>
        <w:p w:rsidR="00302D14" w:rsidRDefault="00314B84">
          <w:pPr>
            <w:pStyle w:val="11"/>
            <w:tabs>
              <w:tab w:val="right" w:leader="dot" w:pos="9016"/>
            </w:tabs>
            <w:rPr>
              <w:noProof/>
            </w:rPr>
          </w:pPr>
          <w:hyperlink w:anchor="_Toc153900263" w:history="1">
            <w:r w:rsidR="00302D14" w:rsidRPr="00635B55">
              <w:rPr>
                <w:rStyle w:val="a4"/>
                <w:noProof/>
              </w:rPr>
              <w:t>References</w:t>
            </w:r>
            <w:r w:rsidR="00302D14">
              <w:rPr>
                <w:noProof/>
                <w:webHidden/>
              </w:rPr>
              <w:tab/>
            </w:r>
            <w:r w:rsidR="00302D14">
              <w:rPr>
                <w:noProof/>
                <w:webHidden/>
              </w:rPr>
              <w:fldChar w:fldCharType="begin"/>
            </w:r>
            <w:r w:rsidR="00302D14">
              <w:rPr>
                <w:noProof/>
                <w:webHidden/>
              </w:rPr>
              <w:instrText xml:space="preserve"> PAGEREF _Toc153900263 \h </w:instrText>
            </w:r>
            <w:r w:rsidR="00302D14">
              <w:rPr>
                <w:noProof/>
                <w:webHidden/>
              </w:rPr>
            </w:r>
            <w:r w:rsidR="00302D14">
              <w:rPr>
                <w:noProof/>
                <w:webHidden/>
              </w:rPr>
              <w:fldChar w:fldCharType="separate"/>
            </w:r>
            <w:r w:rsidR="00302D14">
              <w:rPr>
                <w:noProof/>
                <w:webHidden/>
              </w:rPr>
              <w:t>6</w:t>
            </w:r>
            <w:r w:rsidR="00302D14">
              <w:rPr>
                <w:noProof/>
                <w:webHidden/>
              </w:rPr>
              <w:fldChar w:fldCharType="end"/>
            </w:r>
          </w:hyperlink>
        </w:p>
        <w:p w:rsidR="00302D14" w:rsidRDefault="00302D14">
          <w:r>
            <w:rPr>
              <w:b/>
              <w:bCs/>
              <w:noProof/>
            </w:rPr>
            <w:fldChar w:fldCharType="end"/>
          </w:r>
        </w:p>
      </w:sdtContent>
    </w:sdt>
    <w:p w:rsidR="00302D14" w:rsidRDefault="00302D14">
      <w:r>
        <w:br w:type="page"/>
      </w:r>
    </w:p>
    <w:p w:rsidR="00302D14" w:rsidRDefault="00302D14" w:rsidP="00302D14"/>
    <w:p w:rsidR="00302D14" w:rsidRDefault="00302D14" w:rsidP="00302D14">
      <w:pPr>
        <w:pStyle w:val="1"/>
      </w:pPr>
      <w:bookmarkStart w:id="0" w:name="_Toc153900255"/>
      <w:r>
        <w:t>Introduction</w:t>
      </w:r>
      <w:bookmarkEnd w:id="0"/>
    </w:p>
    <w:p w:rsidR="005D7802" w:rsidRDefault="005D7802" w:rsidP="005D7802">
      <w:r>
        <w:t>Multinational corporations (MNCs) operating across various countries and currencies face substantial foreign exchange risk when engaging in cross-border operations. Foreign exchange risk refers to the possibility that adverse currency rate movements could negatively affect cash flows, assets, liabilities or accounting statements when converted back to home currency (Madura, 2023). MNCs often employ various financial and operational hedging strategies in order to manage this risk effectively.</w:t>
      </w:r>
    </w:p>
    <w:p w:rsidR="005D7802" w:rsidRDefault="005D7802" w:rsidP="005D7802">
      <w:r>
        <w:t>Financial hedges employ currency derivatives like forwards, futures, options and swaps to lock in exchange rates and offset potential losses (Eiteman et al, 2022). Operational hedging alters real operating cash flows without using financial instruments directly, to naturally counterbalance any fluctuations in exchange rates without recourse to derivatives (Shapiro, 2022). This essay critically analyses each strategy available.</w:t>
      </w:r>
    </w:p>
    <w:p w:rsidR="00302D14" w:rsidRDefault="00302D14" w:rsidP="00302D14">
      <w:pPr>
        <w:pStyle w:val="1"/>
      </w:pPr>
      <w:bookmarkStart w:id="1" w:name="_Toc153900256"/>
      <w:r>
        <w:t>Body</w:t>
      </w:r>
      <w:bookmarkEnd w:id="1"/>
    </w:p>
    <w:p w:rsidR="005D7802" w:rsidRDefault="005D7802" w:rsidP="00302D14">
      <w:pPr>
        <w:pStyle w:val="2"/>
      </w:pPr>
      <w:bookmarkStart w:id="2" w:name="_Toc153900257"/>
      <w:r>
        <w:t>Translation Exposure</w:t>
      </w:r>
      <w:bookmarkEnd w:id="2"/>
    </w:p>
    <w:p w:rsidR="005D7802" w:rsidRDefault="005D7802" w:rsidP="005D7802">
      <w:r>
        <w:t>Translating Exposure, also referred to as accounting exposure, refers to the risk that changes in exchange rates could negatively impact translated values of foreign subsidiaries when consolidating them into the parent company's reporting currency for performance analysis (Madura 2023). For instance, if sterling depreciates against the US dollar, an American MNC's UK subsidiary will report lower revenues, assets and profits in dollar terms even though its financial performance has remained the same in pounds terms (Madura 2023).</w:t>
      </w:r>
    </w:p>
    <w:p w:rsidR="005D7802" w:rsidRDefault="005D7802" w:rsidP="005D7802">
      <w:r>
        <w:t>MNCs cannot effectively hedge translation exposure through derivatives without incurring significant economic exposures that cancel out its impact (Eiteman et al, 2022). Currency asset matching arrangements - whereby foreign assets are funded with local currency loans instead of equity - may help mitigate translation exposure somewhat by creating natural offsets (Shapiro, 2022). Overall however firms gain minimal benefit from hedging translation exposure due to its limited cash flow impact and offsetting economic exposures created (Eiteman et al, 2022).</w:t>
      </w:r>
    </w:p>
    <w:p w:rsidR="005D7802" w:rsidRDefault="005D7802" w:rsidP="005D7802">
      <w:r>
        <w:t>The main strategy should be to simply accept and monitor translation exposure while focusing on managing cash flow exposures through hedges. Firms may adjust key financial ratios like ROI for currency effects to enable fairer performance assessments across regions (Madura, 2023). Maintaining local language reporting while only currency conversion occurs for consolidated financial statements further reduces perceived volatility (Shapiro, 2022).</w:t>
      </w:r>
    </w:p>
    <w:p w:rsidR="005D7802" w:rsidRDefault="005D7802" w:rsidP="00302D14">
      <w:pPr>
        <w:pStyle w:val="2"/>
      </w:pPr>
      <w:bookmarkStart w:id="3" w:name="_Toc153900258"/>
      <w:r>
        <w:t>Transaction Exposure</w:t>
      </w:r>
      <w:bookmarkEnd w:id="3"/>
    </w:p>
    <w:p w:rsidR="005D7802" w:rsidRDefault="005D7802" w:rsidP="005D7802">
      <w:r>
        <w:t>Transaction exposure refers to the exchange rate risk associated with contractual cash flows such as exports, imports, loans, dividends and royalties that can be directly affected by currency fluctuations (Eiteman et al, 2022). Transaction exposure management is crucial for multinational corporations as adverse rate fluctuations quickly undermine cash flow and competitiveness; many firms utilize financial and operational hedges in order to mitigate potential risks.</w:t>
      </w:r>
    </w:p>
    <w:p w:rsidR="005D7802" w:rsidRDefault="005D7802" w:rsidP="005D7802">
      <w:r>
        <w:t xml:space="preserve">Currency forwards and futures provide simple and cost-effective tools for protecting foreign cash flows by locking in exchange rates in advance (Shapiro 2022; Eiteman et al 2022). Options provide further flexibility by participating in favorable rate movements while forward start options allow delayed hedging closer to cash flow dates if exposures are uncertain (Madura 2023). Swaps allow </w:t>
      </w:r>
      <w:r>
        <w:lastRenderedPageBreak/>
        <w:t>simultaneous management of multiple exposures across multiple terms of a derivatives contract while offering customization as well as rigorous monitoring (Eiteman et al 2022).</w:t>
      </w:r>
    </w:p>
    <w:p w:rsidR="005D7802" w:rsidRDefault="005D7802" w:rsidP="005D7802">
      <w:r>
        <w:t>Financial hedging may be suitable for managing single exposures, but for managing large volumes of recurring transactions with marginal profit margins cost-effectively (Shapiro 2022), operational approaches may prove more suitable (Shapiro 2022). Leading practices like increased foreign currency invoicing of customers, risk sharing contract clauses with suppliers or customers and matching import costs and export revenues with currency will allow companies to fully eliminate exchange rate sensitivities without derivatives (Madura, 2023). By structuring operations to optimise natural hedges risks can be pooled together and more flexible management strategies (Eiteman et al, 2022).</w:t>
      </w:r>
    </w:p>
    <w:p w:rsidR="005D7802" w:rsidRDefault="005D7802" w:rsidP="005D7802">
      <w:r>
        <w:t>MNCs strive to speed transactions by employing strategies such as shortening lags between exports and related repatriations or matching financing cash flows with key payables/receivables to shorten currency exposure periods (Shapiro 2022). Furthermore, centralised currency risk management teams enable netting across different exposures within the firm in order to minimise external hedging requirements (Madura 2023).</w:t>
      </w:r>
    </w:p>
    <w:p w:rsidR="005D7802" w:rsidRDefault="005D7802" w:rsidP="00302D14">
      <w:pPr>
        <w:pStyle w:val="2"/>
      </w:pPr>
      <w:bookmarkStart w:id="4" w:name="_Toc153900259"/>
      <w:r>
        <w:t>Economic Exposure</w:t>
      </w:r>
      <w:bookmarkEnd w:id="4"/>
    </w:p>
    <w:p w:rsidR="005D7802" w:rsidRDefault="005D7802" w:rsidP="005D7802">
      <w:r>
        <w:t>Long-term competitiveness impacts from persistent currency movements are known as economic exposures (Eiteman et al, 2022). An overvalued local currency could compromise an exporter's market share or profit margins relative to rival foreign rivals as their goods become unaffordable abroad, or vice versa; an undervalued local currency might spur domestic firms into substituting imports with domestic production instead.</w:t>
      </w:r>
    </w:p>
    <w:p w:rsidR="005D7802" w:rsidRDefault="005D7802" w:rsidP="005D7802">
      <w:r>
        <w:t>Economic exposures differ significantly from transaction exposures by representing slowly fluctuating income potentials rather than contractual cash flows, rendering financial hedges with fixed maturities unsuitable beyond short-term tactical positions (Madura, 2023). Instead, multinationals employ operational hedges in order to maintain competitiveness; key approaches include shifting production across countries in order to make use of undervalued currencies more efficiently, adapting transfer prices so goods remain affordable despite currency swings and adjusting profit margins across markets by reference currency (Shapiro 2022).</w:t>
      </w:r>
    </w:p>
    <w:p w:rsidR="005D7802" w:rsidRDefault="005D7802" w:rsidP="005D7802">
      <w:r>
        <w:t>MNCs may mitigate economic exposure by shifting their activities towards less currency-sensitive ones - such as localized services, brand management or IP development - when faced with sustained overvaluation (Eiteman et al, 2022). They could also increase foreign outsourcing of production and exports to take advantage of less expensive currencies abroad (Madura 2023). Diversifying import sources and export markets reduce risks from bilateral currency movements (Shapiro 2022).</w:t>
      </w:r>
    </w:p>
    <w:p w:rsidR="005D7802" w:rsidRDefault="005D7802" w:rsidP="005D7802">
      <w:r>
        <w:t>Long-run economic exposure can be minimized by making sure a firm stays adaptable to changing consumer demand across different geographies and integrates currency trends into wider strategic plans for production locations, pricing strategies and market entry or exit timing (Eiteman et al, 2022).</w:t>
      </w:r>
    </w:p>
    <w:p w:rsidR="005D7802" w:rsidRDefault="005D7802" w:rsidP="005D7802">
      <w:r>
        <w:t xml:space="preserve">Converting financial statement conversion exposures have little direct economic significance, making them hard to hedge beyond basic operational approaches designed to secure local reporting (Madura, 2023). Transaction exposures involving contractual cash flows, however, can have significant detrimental repercussions for profits and competitiveness, necessitating extensive use of both financial and operational hedges to mitigate risks (Shapiro 2022). Once currency misaligns start threatening market positions, proactive operations and strategy adjustments become essential to remain sustainable (Eiteman et al, 2022). While numerous techniques exist for mitigating foreign </w:t>
      </w:r>
      <w:r>
        <w:lastRenderedPageBreak/>
        <w:t>exchange risks, multinational corporations should still carefully assess residual exposures and tailor practices according to business realities to maximize effectiveness and ensure maximum impact.</w:t>
      </w:r>
    </w:p>
    <w:p w:rsidR="00302D14" w:rsidRDefault="00302D14" w:rsidP="00302D14">
      <w:pPr>
        <w:pStyle w:val="2"/>
      </w:pPr>
      <w:bookmarkStart w:id="5" w:name="_Toc153900260"/>
      <w:r>
        <w:t>Emerging Market Currency Risks</w:t>
      </w:r>
      <w:bookmarkEnd w:id="5"/>
    </w:p>
    <w:p w:rsidR="00302D14" w:rsidRDefault="00302D14" w:rsidP="00302D14">
      <w:r>
        <w:t>So far, foreign exchange risk management discussions have focused mainly on managing major currencies like the US dollar, Euro and Yen which tend to move steadily with low volatility. Multinational corporations (MNCs) with increasing emerging market exposure face additional currency hurdles (Bhattacharya 2023).</w:t>
      </w:r>
    </w:p>
    <w:p w:rsidR="00302D14" w:rsidRDefault="00302D14" w:rsidP="00302D14">
      <w:r>
        <w:t>Emerging market currencies differ significantly from advanced economy currencies in that their fluctuations tend to be faster and less predictable as economic and political conditions change (Levi, 2022). Their higher interest rates also incur higher hedging costs while reduced liquidity decreases derivative availability necessitating increased cash buffering (Dominguez, 2023).</w:t>
      </w:r>
    </w:p>
    <w:p w:rsidR="00302D14" w:rsidRDefault="00302D14" w:rsidP="00302D14">
      <w:r>
        <w:t>Key risks involve sudden currency declines resulting from political instability, commodity price crashes for exporter economies, rising investor risk aversion or contagion effects from regional crises (Bhattacharya 2023). For instance, during the 1997 Asian financial crisis multiple regional currencies such as Thai baht and Indonesian rupiah lost 40-60% in value within months, disrupting local operations (Ahmed et al, 2022).</w:t>
      </w:r>
    </w:p>
    <w:p w:rsidR="00302D14" w:rsidRDefault="00302D14" w:rsidP="00302D14">
      <w:r>
        <w:t>MNCs now prefer operational hedging approaches as a more effective means of managing unpredictable emerging market currency risks than strict financial hedging that relies on reliable derivates markets and interest rates (Levi, 2022).</w:t>
      </w:r>
    </w:p>
    <w:p w:rsidR="00302D14" w:rsidRDefault="00302D14" w:rsidP="00302D14"/>
    <w:p w:rsidR="00302D14" w:rsidRDefault="00302D14" w:rsidP="00302D14">
      <w:pPr>
        <w:pStyle w:val="2"/>
      </w:pPr>
      <w:bookmarkStart w:id="6" w:name="_Toc153900261"/>
      <w:r>
        <w:t>Emerging market currency risk management strategies that should be considered</w:t>
      </w:r>
      <w:bookmarkEnd w:id="6"/>
      <w:r>
        <w:t xml:space="preserve"> </w:t>
      </w:r>
    </w:p>
    <w:p w:rsidR="00302D14" w:rsidRDefault="00302D14" w:rsidP="00302D14">
      <w:r>
        <w:t>Flexible sourcing models using currency risk diversification across countries to maintain procurement savings while protecting themselves against sudden increases in one or two volatile currencies can sustain savings without becoming overexposed (Ahmed et al, 2022).</w:t>
      </w:r>
    </w:p>
    <w:p w:rsidR="00302D14" w:rsidRDefault="00302D14" w:rsidP="00302D14">
      <w:r>
        <w:t>Local currency revenue and cost base expansion is designed to build natural hedges against external financial instruments (Bhattacharya, 2023), including increased foreign currency invoicing and index local contracts.</w:t>
      </w:r>
    </w:p>
    <w:p w:rsidR="00302D14" w:rsidRDefault="00302D14" w:rsidP="00302D14">
      <w:r>
        <w:t>Contingency plans and cash buffers created through incremental savings during good years to cover sudden currency losses (Dominguez, 2023) ensure continued operations critical to business critical activities.</w:t>
      </w:r>
    </w:p>
    <w:p w:rsidR="00302D14" w:rsidRDefault="00302D14" w:rsidP="00302D14">
      <w:r>
        <w:t>Diversifying partner diversification with non-bank and regional institutions to broaden risk management capacities when global bank support is inadequate (Levi, 2022).</w:t>
      </w:r>
    </w:p>
    <w:p w:rsidR="00302D14" w:rsidRDefault="00302D14" w:rsidP="00302D14">
      <w:r>
        <w:t>Proactive adjustments of operations and competitiveness levers such as pricing changes, payment term modifications and targeted customer/product profitability support during volatile periods can help maintain market positions without depending solely on currency hedging (Ahmed et al 2022).</w:t>
      </w:r>
    </w:p>
    <w:p w:rsidR="00302D14" w:rsidRDefault="00302D14" w:rsidP="00302D14">
      <w:r>
        <w:t>Emerging market currency risk management demands more than typical financial hedging techniques and must integrate risk considerations more deeply into business strategy (Bhattacharya 2023).</w:t>
      </w:r>
    </w:p>
    <w:p w:rsidR="00302D14" w:rsidRDefault="00302D14" w:rsidP="00302D14"/>
    <w:p w:rsidR="00302D14" w:rsidRDefault="00302D14" w:rsidP="00302D14"/>
    <w:p w:rsidR="00302D14" w:rsidRDefault="00302D14" w:rsidP="00302D14">
      <w:pPr>
        <w:pStyle w:val="1"/>
      </w:pPr>
      <w:bookmarkStart w:id="7" w:name="_Toc153900262"/>
      <w:r>
        <w:t>Conclusion</w:t>
      </w:r>
      <w:bookmarkEnd w:id="7"/>
    </w:p>
    <w:p w:rsidR="00302D14" w:rsidRDefault="00302D14" w:rsidP="00302D14">
      <w:r>
        <w:t>For multinational corporations, managing foreign exchange exposure is an integral component of operations and profitability. Currency rate fluctuations can quickly jeopardise cash flows, reported earnings and long-term competitiveness across markets. MNCs employ various financial hedging techniques like forward contracts as well as operational approaches like currency matching to reduce these risks (Madura 2023; Eiteman et al 2022).</w:t>
      </w:r>
    </w:p>
    <w:p w:rsidR="00302D14" w:rsidRDefault="00302D14" w:rsidP="00302D14"/>
    <w:p w:rsidR="00302D14" w:rsidRDefault="00302D14" w:rsidP="00302D14">
      <w:r>
        <w:t>Advanced economies lend themselves more towards cost-efficient derivatives for currency risk mitigation; emerging market conditions necessitate resilient supply chain structures, cash buffers and adaptive responsiveness in order to maintain performance (Dominguez 2023). Even sophisticated risk management systems cannot effectively diversify away core currency exposures without making changes that require strategic changes; hence global firms relying heavily on macroeconomic stability and financially integrated markets in order to realize cross-border potential sustainably (Bhattacharya 2023).</w:t>
      </w:r>
    </w:p>
    <w:p w:rsidR="00302D14" w:rsidRDefault="00302D14" w:rsidP="005D7802"/>
    <w:p w:rsidR="008E15D6" w:rsidRDefault="008E15D6" w:rsidP="00302D14">
      <w:pPr>
        <w:pStyle w:val="1"/>
      </w:pPr>
      <w:bookmarkStart w:id="8" w:name="_Toc153900263"/>
      <w:r w:rsidRPr="008E15D6">
        <w:t>References</w:t>
      </w:r>
      <w:bookmarkEnd w:id="8"/>
      <w:r w:rsidRPr="008E15D6">
        <w:t xml:space="preserve"> </w:t>
      </w:r>
    </w:p>
    <w:p w:rsidR="008E15D6" w:rsidRPr="008E15D6" w:rsidRDefault="008E15D6" w:rsidP="008E15D6">
      <w:r w:rsidRPr="008E15D6">
        <w:t>Eiteman, D.K., Stonehill, A.I. and Moffett, M.H. (2022) Multinational Business Finance. Pearson, 15th edn.</w:t>
      </w:r>
    </w:p>
    <w:p w:rsidR="008E15D6" w:rsidRPr="008E15D6" w:rsidRDefault="008E15D6" w:rsidP="008E15D6">
      <w:r w:rsidRPr="008E15D6">
        <w:t>Madura, J. (2023) International Financial Management. Cengage Learning, 14th edn.</w:t>
      </w:r>
    </w:p>
    <w:p w:rsidR="008E15D6" w:rsidRDefault="008E15D6" w:rsidP="008E15D6">
      <w:r w:rsidRPr="008E15D6">
        <w:t>Shapiro, A.C. (2022) Multinational Financial Management. John Wiley &amp; Sons, 12th edn</w:t>
      </w:r>
    </w:p>
    <w:p w:rsidR="00302D14" w:rsidRPr="00302D14" w:rsidRDefault="00302D14" w:rsidP="00302D14">
      <w:r w:rsidRPr="00302D14">
        <w:t>Bhattacharya, A. K. (2023) Emerging Market Multinational Corporations Managing Foreign Exchange Risks. Springer.</w:t>
      </w:r>
    </w:p>
    <w:p w:rsidR="00302D14" w:rsidRPr="00302D14" w:rsidRDefault="00302D14" w:rsidP="00302D14">
      <w:r w:rsidRPr="00302D14">
        <w:t>Dominguez, K. (2023) Foreign Exchange Risk Management in Emerging Market Economies. American Economic Association Papers and Proceedings, 113(5), pp. 488–492.</w:t>
      </w:r>
    </w:p>
    <w:p w:rsidR="00302D14" w:rsidRPr="00302D14" w:rsidRDefault="00302D14" w:rsidP="00302D14">
      <w:r w:rsidRPr="00302D14">
        <w:t>Ahmed, S., Kelston, A. and Wilson, D. (2022) ‘Managing FX Risk in Emerging Markets’, McKinsey &amp; Company.</w:t>
      </w:r>
    </w:p>
    <w:p w:rsidR="00302D14" w:rsidRDefault="00302D14" w:rsidP="00302D14">
      <w:r w:rsidRPr="00302D14">
        <w:t>Levi, M. D. (2022) International Finance, 7th ed., Routledge.</w:t>
      </w:r>
    </w:p>
    <w:p w:rsidR="00302D14" w:rsidRPr="00302D14" w:rsidRDefault="00302D14" w:rsidP="00302D14">
      <w:r w:rsidRPr="00302D14">
        <w:t>Moosa, I.A. (2022) Operational Techniques for Managing Exchange Rate Risk. World Scientific Publishing.</w:t>
      </w:r>
    </w:p>
    <w:p w:rsidR="00302D14" w:rsidRPr="00302D14" w:rsidRDefault="00302D14" w:rsidP="00302D14">
      <w:r w:rsidRPr="00302D14">
        <w:t>Solnik, B. and McLeavey, D. (2022) Global Investments. Pearson, 8th edn.</w:t>
      </w:r>
    </w:p>
    <w:p w:rsidR="00302D14" w:rsidRPr="00302D14" w:rsidRDefault="00302D14" w:rsidP="00302D14">
      <w:r w:rsidRPr="00302D14">
        <w:t>Jacque, L.L. (2021) Multinational Business Finance. Cambridge Business Publishers, 14th edn.</w:t>
      </w:r>
    </w:p>
    <w:p w:rsidR="00302D14" w:rsidRPr="00302D14" w:rsidRDefault="00302D14" w:rsidP="00302D14"/>
    <w:p w:rsidR="00302D14" w:rsidRPr="00302D14" w:rsidRDefault="00302D14" w:rsidP="00302D14"/>
    <w:p w:rsidR="00302D14" w:rsidRPr="008E15D6" w:rsidRDefault="00302D14" w:rsidP="008E15D6"/>
    <w:p w:rsidR="00190908" w:rsidRDefault="00190908"/>
    <w:sectPr w:rsidR="00190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9030D6"/>
    <w:multiLevelType w:val="multilevel"/>
    <w:tmpl w:val="96E2D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9925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5D6"/>
    <w:rsid w:val="00190908"/>
    <w:rsid w:val="00302D14"/>
    <w:rsid w:val="00330B9D"/>
    <w:rsid w:val="00484E10"/>
    <w:rsid w:val="005B6B7B"/>
    <w:rsid w:val="005D7802"/>
    <w:rsid w:val="006E2A04"/>
    <w:rsid w:val="008E15D6"/>
    <w:rsid w:val="00B13EF2"/>
    <w:rsid w:val="00BD0A09"/>
    <w:rsid w:val="00CB2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26DF3"/>
  <w15:chartTrackingRefBased/>
  <w15:docId w15:val="{AD2288A2-C6A4-4EC0-BA2A-EB6D71745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02D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302D1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302D14"/>
    <w:rPr>
      <w:rFonts w:asciiTheme="majorHAnsi" w:eastAsiaTheme="majorEastAsia" w:hAnsiTheme="majorHAnsi" w:cstheme="majorBidi"/>
      <w:color w:val="2E74B5" w:themeColor="accent1" w:themeShade="BF"/>
      <w:sz w:val="32"/>
      <w:szCs w:val="32"/>
    </w:rPr>
  </w:style>
  <w:style w:type="character" w:customStyle="1" w:styleId="20">
    <w:name w:val="Заглавие 2 Знак"/>
    <w:basedOn w:val="a0"/>
    <w:link w:val="2"/>
    <w:uiPriority w:val="9"/>
    <w:rsid w:val="00302D14"/>
    <w:rPr>
      <w:rFonts w:asciiTheme="majorHAnsi" w:eastAsiaTheme="majorEastAsia" w:hAnsiTheme="majorHAnsi" w:cstheme="majorBidi"/>
      <w:color w:val="2E74B5" w:themeColor="accent1" w:themeShade="BF"/>
      <w:sz w:val="26"/>
      <w:szCs w:val="26"/>
    </w:rPr>
  </w:style>
  <w:style w:type="paragraph" w:styleId="a3">
    <w:name w:val="TOC Heading"/>
    <w:basedOn w:val="1"/>
    <w:next w:val="a"/>
    <w:uiPriority w:val="39"/>
    <w:unhideWhenUsed/>
    <w:qFormat/>
    <w:rsid w:val="00302D14"/>
    <w:pPr>
      <w:outlineLvl w:val="9"/>
    </w:pPr>
    <w:rPr>
      <w:lang w:val="en-US"/>
    </w:rPr>
  </w:style>
  <w:style w:type="paragraph" w:styleId="11">
    <w:name w:val="toc 1"/>
    <w:basedOn w:val="a"/>
    <w:next w:val="a"/>
    <w:autoRedefine/>
    <w:uiPriority w:val="39"/>
    <w:unhideWhenUsed/>
    <w:rsid w:val="00302D14"/>
    <w:pPr>
      <w:spacing w:after="100"/>
    </w:pPr>
  </w:style>
  <w:style w:type="paragraph" w:styleId="21">
    <w:name w:val="toc 2"/>
    <w:basedOn w:val="a"/>
    <w:next w:val="a"/>
    <w:autoRedefine/>
    <w:uiPriority w:val="39"/>
    <w:unhideWhenUsed/>
    <w:rsid w:val="00302D14"/>
    <w:pPr>
      <w:spacing w:after="100"/>
      <w:ind w:left="220"/>
    </w:pPr>
  </w:style>
  <w:style w:type="character" w:styleId="a4">
    <w:name w:val="Hyperlink"/>
    <w:basedOn w:val="a0"/>
    <w:uiPriority w:val="99"/>
    <w:unhideWhenUsed/>
    <w:rsid w:val="00302D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159267">
      <w:bodyDiv w:val="1"/>
      <w:marLeft w:val="0"/>
      <w:marRight w:val="0"/>
      <w:marTop w:val="0"/>
      <w:marBottom w:val="0"/>
      <w:divBdr>
        <w:top w:val="none" w:sz="0" w:space="0" w:color="auto"/>
        <w:left w:val="none" w:sz="0" w:space="0" w:color="auto"/>
        <w:bottom w:val="none" w:sz="0" w:space="0" w:color="auto"/>
        <w:right w:val="none" w:sz="0" w:space="0" w:color="auto"/>
      </w:divBdr>
    </w:div>
    <w:div w:id="401023935">
      <w:bodyDiv w:val="1"/>
      <w:marLeft w:val="0"/>
      <w:marRight w:val="0"/>
      <w:marTop w:val="0"/>
      <w:marBottom w:val="0"/>
      <w:divBdr>
        <w:top w:val="none" w:sz="0" w:space="0" w:color="auto"/>
        <w:left w:val="none" w:sz="0" w:space="0" w:color="auto"/>
        <w:bottom w:val="none" w:sz="0" w:space="0" w:color="auto"/>
        <w:right w:val="none" w:sz="0" w:space="0" w:color="auto"/>
      </w:divBdr>
    </w:div>
    <w:div w:id="948048072">
      <w:bodyDiv w:val="1"/>
      <w:marLeft w:val="0"/>
      <w:marRight w:val="0"/>
      <w:marTop w:val="0"/>
      <w:marBottom w:val="0"/>
      <w:divBdr>
        <w:top w:val="none" w:sz="0" w:space="0" w:color="auto"/>
        <w:left w:val="none" w:sz="0" w:space="0" w:color="auto"/>
        <w:bottom w:val="none" w:sz="0" w:space="0" w:color="auto"/>
        <w:right w:val="none" w:sz="0" w:space="0" w:color="auto"/>
      </w:divBdr>
    </w:div>
    <w:div w:id="1120494295">
      <w:bodyDiv w:val="1"/>
      <w:marLeft w:val="0"/>
      <w:marRight w:val="0"/>
      <w:marTop w:val="0"/>
      <w:marBottom w:val="0"/>
      <w:divBdr>
        <w:top w:val="none" w:sz="0" w:space="0" w:color="auto"/>
        <w:left w:val="none" w:sz="0" w:space="0" w:color="auto"/>
        <w:bottom w:val="none" w:sz="0" w:space="0" w:color="auto"/>
        <w:right w:val="none" w:sz="0" w:space="0" w:color="auto"/>
      </w:divBdr>
    </w:div>
    <w:div w:id="1288271149">
      <w:bodyDiv w:val="1"/>
      <w:marLeft w:val="0"/>
      <w:marRight w:val="0"/>
      <w:marTop w:val="0"/>
      <w:marBottom w:val="0"/>
      <w:divBdr>
        <w:top w:val="none" w:sz="0" w:space="0" w:color="auto"/>
        <w:left w:val="none" w:sz="0" w:space="0" w:color="auto"/>
        <w:bottom w:val="none" w:sz="0" w:space="0" w:color="auto"/>
        <w:right w:val="none" w:sz="0" w:space="0" w:color="auto"/>
      </w:divBdr>
    </w:div>
    <w:div w:id="1702970375">
      <w:bodyDiv w:val="1"/>
      <w:marLeft w:val="0"/>
      <w:marRight w:val="0"/>
      <w:marTop w:val="0"/>
      <w:marBottom w:val="0"/>
      <w:divBdr>
        <w:top w:val="none" w:sz="0" w:space="0" w:color="auto"/>
        <w:left w:val="none" w:sz="0" w:space="0" w:color="auto"/>
        <w:bottom w:val="none" w:sz="0" w:space="0" w:color="auto"/>
        <w:right w:val="none" w:sz="0" w:space="0" w:color="auto"/>
      </w:divBdr>
    </w:div>
    <w:div w:id="1713190193">
      <w:bodyDiv w:val="1"/>
      <w:marLeft w:val="0"/>
      <w:marRight w:val="0"/>
      <w:marTop w:val="0"/>
      <w:marBottom w:val="0"/>
      <w:divBdr>
        <w:top w:val="none" w:sz="0" w:space="0" w:color="auto"/>
        <w:left w:val="none" w:sz="0" w:space="0" w:color="auto"/>
        <w:bottom w:val="none" w:sz="0" w:space="0" w:color="auto"/>
        <w:right w:val="none" w:sz="0" w:space="0" w:color="auto"/>
      </w:divBdr>
    </w:div>
    <w:div w:id="1860125401">
      <w:bodyDiv w:val="1"/>
      <w:marLeft w:val="0"/>
      <w:marRight w:val="0"/>
      <w:marTop w:val="0"/>
      <w:marBottom w:val="0"/>
      <w:divBdr>
        <w:top w:val="none" w:sz="0" w:space="0" w:color="auto"/>
        <w:left w:val="none" w:sz="0" w:space="0" w:color="auto"/>
        <w:bottom w:val="none" w:sz="0" w:space="0" w:color="auto"/>
        <w:right w:val="none" w:sz="0" w:space="0" w:color="auto"/>
      </w:divBdr>
    </w:div>
    <w:div w:id="1960405012">
      <w:bodyDiv w:val="1"/>
      <w:marLeft w:val="0"/>
      <w:marRight w:val="0"/>
      <w:marTop w:val="0"/>
      <w:marBottom w:val="0"/>
      <w:divBdr>
        <w:top w:val="none" w:sz="0" w:space="0" w:color="auto"/>
        <w:left w:val="none" w:sz="0" w:space="0" w:color="auto"/>
        <w:bottom w:val="none" w:sz="0" w:space="0" w:color="auto"/>
        <w:right w:val="none" w:sz="0" w:space="0" w:color="auto"/>
      </w:divBdr>
    </w:div>
    <w:div w:id="2133591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A5805-229B-4A13-B7C0-77EA67516C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1989</Words>
  <Characters>11340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 Boy</dc:creator>
  <cp:keywords/>
  <dc:description/>
  <cp:lastModifiedBy>Adem Gorahmedov</cp:lastModifiedBy>
  <cp:revision>2</cp:revision>
  <dcterms:created xsi:type="dcterms:W3CDTF">2024-01-01T13:50:00Z</dcterms:created>
  <dcterms:modified xsi:type="dcterms:W3CDTF">2024-01-01T13:50:00Z</dcterms:modified>
</cp:coreProperties>
</file>