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7548404"/>
        <w:docPartObj>
          <w:docPartGallery w:val="Cover Pages"/>
          <w:docPartUnique/>
        </w:docPartObj>
      </w:sdtPr>
      <w:sdtContent>
        <w:p w14:paraId="12F1DE20" w14:textId="474A697F" w:rsidR="00A414DD" w:rsidRDefault="00A414DD"/>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A414DD" w14:paraId="1CF63DE7" w14:textId="77777777">
            <w:sdt>
              <w:sdtPr>
                <w:rPr>
                  <w:color w:val="0F4761" w:themeColor="accent1" w:themeShade="BF"/>
                  <w:sz w:val="24"/>
                  <w:szCs w:val="24"/>
                </w:rPr>
                <w:alias w:val="Company"/>
                <w:id w:val="13406915"/>
                <w:placeholder>
                  <w:docPart w:val="CE0031A639EE4E10892F0A1E2C3D689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3E32B05" w14:textId="51C43074" w:rsidR="00A414DD" w:rsidRDefault="00A414DD">
                    <w:pPr>
                      <w:pStyle w:val="NoSpacing"/>
                      <w:rPr>
                        <w:color w:val="0F4761" w:themeColor="accent1" w:themeShade="BF"/>
                        <w:sz w:val="24"/>
                      </w:rPr>
                    </w:pPr>
                    <w:r w:rsidRPr="00A414DD">
                      <w:rPr>
                        <w:color w:val="0F4761" w:themeColor="accent1" w:themeShade="BF"/>
                        <w:sz w:val="24"/>
                        <w:szCs w:val="24"/>
                      </w:rPr>
                      <w:t xml:space="preserve"> </w:t>
                    </w:r>
                    <w:r w:rsidRPr="00A414DD">
                      <w:rPr>
                        <w:color w:val="0F4761" w:themeColor="accent1" w:themeShade="BF"/>
                        <w:sz w:val="24"/>
                        <w:szCs w:val="24"/>
                      </w:rPr>
                      <w:t>Health, Wellbeing and Sustainable Development</w:t>
                    </w:r>
                  </w:p>
                </w:tc>
              </w:sdtContent>
            </w:sdt>
          </w:tr>
          <w:tr w:rsidR="00A414DD" w14:paraId="0F940521" w14:textId="77777777">
            <w:tc>
              <w:tcPr>
                <w:tcW w:w="7672" w:type="dxa"/>
              </w:tcPr>
              <w:sdt>
                <w:sdtPr>
                  <w:rPr>
                    <w:rFonts w:asciiTheme="majorHAnsi" w:eastAsiaTheme="majorEastAsia" w:hAnsiTheme="majorHAnsi" w:cstheme="majorBidi"/>
                    <w:color w:val="156082" w:themeColor="accent1"/>
                    <w:sz w:val="82"/>
                    <w:szCs w:val="82"/>
                  </w:rPr>
                  <w:alias w:val="Title"/>
                  <w:id w:val="13406919"/>
                  <w:placeholder>
                    <w:docPart w:val="33EE8E43010A47EB9CBB1F47FEB35AC3"/>
                  </w:placeholder>
                  <w:dataBinding w:prefixMappings="xmlns:ns0='http://schemas.openxmlformats.org/package/2006/metadata/core-properties' xmlns:ns1='http://purl.org/dc/elements/1.1/'" w:xpath="/ns0:coreProperties[1]/ns1:title[1]" w:storeItemID="{6C3C8BC8-F283-45AE-878A-BAB7291924A1}"/>
                  <w:text/>
                </w:sdtPr>
                <w:sdtContent>
                  <w:p w14:paraId="2DB18DA7" w14:textId="50BD4212" w:rsidR="00A414DD" w:rsidRDefault="00A414DD">
                    <w:pPr>
                      <w:pStyle w:val="NoSpacing"/>
                      <w:spacing w:line="216" w:lineRule="auto"/>
                      <w:rPr>
                        <w:rFonts w:asciiTheme="majorHAnsi" w:eastAsiaTheme="majorEastAsia" w:hAnsiTheme="majorHAnsi" w:cstheme="majorBidi"/>
                        <w:color w:val="156082" w:themeColor="accent1"/>
                        <w:sz w:val="88"/>
                        <w:szCs w:val="88"/>
                      </w:rPr>
                    </w:pPr>
                    <w:r w:rsidRPr="00A414DD">
                      <w:rPr>
                        <w:rFonts w:asciiTheme="majorHAnsi" w:eastAsiaTheme="majorEastAsia" w:hAnsiTheme="majorHAnsi" w:cstheme="majorBidi"/>
                        <w:color w:val="156082" w:themeColor="accent1"/>
                        <w:sz w:val="82"/>
                        <w:szCs w:val="82"/>
                      </w:rPr>
                      <w:t>Component 2: Written Assignment (Report)</w:t>
                    </w:r>
                  </w:p>
                </w:sdtContent>
              </w:sdt>
            </w:tc>
          </w:tr>
          <w:tr w:rsidR="00A414DD" w14:paraId="4F1F0BAF" w14:textId="77777777">
            <w:sdt>
              <w:sdtPr>
                <w:rPr>
                  <w:color w:val="0F4761" w:themeColor="accent1" w:themeShade="BF"/>
                  <w:sz w:val="24"/>
                  <w:szCs w:val="24"/>
                </w:rPr>
                <w:alias w:val="Subtitle"/>
                <w:id w:val="13406923"/>
                <w:placeholder>
                  <w:docPart w:val="C9CAEB8A64B94B3C8A8DAF7C8CD2667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C958513" w14:textId="659E9497" w:rsidR="00A414DD" w:rsidRDefault="00A414DD">
                    <w:pPr>
                      <w:pStyle w:val="NoSpacing"/>
                      <w:rPr>
                        <w:color w:val="0F4761" w:themeColor="accent1" w:themeShade="BF"/>
                        <w:sz w:val="24"/>
                      </w:rPr>
                    </w:pPr>
                    <w:r>
                      <w:rPr>
                        <w:color w:val="0F4761" w:themeColor="accent1" w:themeShade="BF"/>
                        <w:sz w:val="24"/>
                        <w:szCs w:val="24"/>
                      </w:rPr>
                      <w:t xml:space="preserve">Module Code: </w:t>
                    </w:r>
                    <w:r w:rsidRPr="00A414DD">
                      <w:rPr>
                        <w:color w:val="0F4761" w:themeColor="accent1" w:themeShade="BF"/>
                        <w:sz w:val="24"/>
                        <w:szCs w:val="24"/>
                      </w:rPr>
                      <w:t xml:space="preserve"> </w:t>
                    </w:r>
                    <w:r w:rsidRPr="00A414DD">
                      <w:rPr>
                        <w:color w:val="0F4761" w:themeColor="accent1" w:themeShade="BF"/>
                        <w:sz w:val="24"/>
                        <w:szCs w:val="24"/>
                      </w:rPr>
                      <w:t>BMHP6030</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414DD" w14:paraId="1883DBCD" w14:textId="77777777">
            <w:tc>
              <w:tcPr>
                <w:tcW w:w="7221" w:type="dxa"/>
                <w:tcMar>
                  <w:top w:w="216" w:type="dxa"/>
                  <w:left w:w="115" w:type="dxa"/>
                  <w:bottom w:w="216" w:type="dxa"/>
                  <w:right w:w="115" w:type="dxa"/>
                </w:tcMar>
              </w:tcPr>
              <w:p w14:paraId="751013FC" w14:textId="50654929" w:rsidR="00A414DD" w:rsidRPr="00A414DD" w:rsidRDefault="00A414DD" w:rsidP="00A414DD">
                <w:pPr>
                  <w:pStyle w:val="NoSpacing"/>
                  <w:spacing w:line="360" w:lineRule="auto"/>
                  <w:rPr>
                    <w:color w:val="156082" w:themeColor="accent1"/>
                    <w:sz w:val="30"/>
                    <w:szCs w:val="30"/>
                  </w:rPr>
                </w:pPr>
                <w:r w:rsidRPr="00A414DD">
                  <w:rPr>
                    <w:color w:val="156082" w:themeColor="accent1"/>
                    <w:sz w:val="30"/>
                    <w:szCs w:val="30"/>
                  </w:rPr>
                  <w:t>Fathema Khatun</w:t>
                </w:r>
              </w:p>
              <w:p w14:paraId="1F907C15" w14:textId="40D9E57C" w:rsidR="00A414DD" w:rsidRPr="00A414DD" w:rsidRDefault="00A414DD" w:rsidP="00A414DD">
                <w:pPr>
                  <w:pStyle w:val="NoSpacing"/>
                  <w:spacing w:line="360" w:lineRule="auto"/>
                  <w:rPr>
                    <w:color w:val="156082" w:themeColor="accent1"/>
                    <w:sz w:val="30"/>
                    <w:szCs w:val="30"/>
                  </w:rPr>
                </w:pPr>
                <w:r w:rsidRPr="00A414DD">
                  <w:rPr>
                    <w:color w:val="156082" w:themeColor="accent1"/>
                    <w:sz w:val="30"/>
                    <w:szCs w:val="30"/>
                  </w:rPr>
                  <w:t>Student No. 2215607</w:t>
                </w:r>
              </w:p>
              <w:p w14:paraId="04DB9B78" w14:textId="6F603F31" w:rsidR="00A414DD" w:rsidRPr="00A414DD" w:rsidRDefault="00A414DD" w:rsidP="00A414DD">
                <w:pPr>
                  <w:pStyle w:val="NoSpacing"/>
                  <w:spacing w:line="360" w:lineRule="auto"/>
                  <w:rPr>
                    <w:color w:val="156082" w:themeColor="accent1"/>
                    <w:sz w:val="30"/>
                    <w:szCs w:val="30"/>
                  </w:rPr>
                </w:pPr>
                <w:r w:rsidRPr="00A414DD">
                  <w:rPr>
                    <w:color w:val="156082" w:themeColor="accent1"/>
                    <w:sz w:val="30"/>
                    <w:szCs w:val="30"/>
                  </w:rPr>
                  <w:t>Lecturer: Parese Ahmed</w:t>
                </w:r>
              </w:p>
              <w:p w14:paraId="77E7F3E0" w14:textId="77777777" w:rsidR="00A414DD" w:rsidRDefault="00A414DD">
                <w:pPr>
                  <w:pStyle w:val="NoSpacing"/>
                  <w:rPr>
                    <w:color w:val="156082" w:themeColor="accent1"/>
                  </w:rPr>
                </w:pPr>
              </w:p>
            </w:tc>
          </w:tr>
        </w:tbl>
        <w:p w14:paraId="60F43068" w14:textId="7E5CC04E" w:rsidR="00A414DD" w:rsidRDefault="00A414DD">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rPr>
          <w:rFonts w:asciiTheme="minorHAnsi" w:eastAsiaTheme="minorHAnsi" w:hAnsiTheme="minorHAnsi" w:cstheme="minorBidi"/>
          <w:color w:val="auto"/>
          <w:kern w:val="2"/>
          <w:sz w:val="24"/>
          <w:szCs w:val="24"/>
          <w:lang w:val="en-GB"/>
          <w14:ligatures w14:val="standardContextual"/>
        </w:rPr>
        <w:id w:val="-1113599580"/>
        <w:docPartObj>
          <w:docPartGallery w:val="Table of Contents"/>
          <w:docPartUnique/>
        </w:docPartObj>
      </w:sdtPr>
      <w:sdtEndPr>
        <w:rPr>
          <w:b/>
          <w:bCs/>
          <w:noProof/>
        </w:rPr>
      </w:sdtEndPr>
      <w:sdtContent>
        <w:p w14:paraId="3B2F6D05" w14:textId="6E26C8D9" w:rsidR="002F0FB8" w:rsidRDefault="002F0FB8" w:rsidP="00EA10D4">
          <w:pPr>
            <w:pStyle w:val="TOCHeading"/>
            <w:spacing w:line="360" w:lineRule="auto"/>
          </w:pPr>
          <w:r>
            <w:t>Contents</w:t>
          </w:r>
        </w:p>
        <w:p w14:paraId="319DE00B" w14:textId="682274F7" w:rsidR="00EA10D4" w:rsidRDefault="002F0FB8" w:rsidP="00EA10D4">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24951669" w:history="1">
            <w:r w:rsidR="00EA10D4" w:rsidRPr="00E127DB">
              <w:rPr>
                <w:rStyle w:val="Hyperlink"/>
                <w:noProof/>
              </w:rPr>
              <w:t>Introduction</w:t>
            </w:r>
            <w:r w:rsidR="00EA10D4">
              <w:rPr>
                <w:noProof/>
                <w:webHidden/>
              </w:rPr>
              <w:tab/>
            </w:r>
            <w:r w:rsidR="00EA10D4">
              <w:rPr>
                <w:noProof/>
                <w:webHidden/>
              </w:rPr>
              <w:fldChar w:fldCharType="begin"/>
            </w:r>
            <w:r w:rsidR="00EA10D4">
              <w:rPr>
                <w:noProof/>
                <w:webHidden/>
              </w:rPr>
              <w:instrText xml:space="preserve"> PAGEREF _Toc224951669 \h </w:instrText>
            </w:r>
            <w:r w:rsidR="00EA10D4">
              <w:rPr>
                <w:noProof/>
                <w:webHidden/>
              </w:rPr>
            </w:r>
            <w:r w:rsidR="00EA10D4">
              <w:rPr>
                <w:noProof/>
                <w:webHidden/>
              </w:rPr>
              <w:fldChar w:fldCharType="separate"/>
            </w:r>
            <w:r w:rsidR="00EA10D4">
              <w:rPr>
                <w:noProof/>
                <w:webHidden/>
              </w:rPr>
              <w:t>2</w:t>
            </w:r>
            <w:r w:rsidR="00EA10D4">
              <w:rPr>
                <w:noProof/>
                <w:webHidden/>
              </w:rPr>
              <w:fldChar w:fldCharType="end"/>
            </w:r>
          </w:hyperlink>
        </w:p>
        <w:p w14:paraId="10A8E250" w14:textId="250F0990" w:rsidR="00EA10D4" w:rsidRDefault="00EA10D4" w:rsidP="00EA10D4">
          <w:pPr>
            <w:pStyle w:val="TOC1"/>
            <w:tabs>
              <w:tab w:val="right" w:leader="dot" w:pos="9016"/>
            </w:tabs>
            <w:spacing w:line="360" w:lineRule="auto"/>
            <w:rPr>
              <w:rFonts w:eastAsiaTheme="minorEastAsia"/>
              <w:noProof/>
              <w:lang w:eastAsia="en-GB"/>
            </w:rPr>
          </w:pPr>
          <w:hyperlink w:anchor="_Toc224951670" w:history="1">
            <w:r w:rsidRPr="00E127DB">
              <w:rPr>
                <w:rStyle w:val="Hyperlink"/>
                <w:noProof/>
              </w:rPr>
              <w:t>SDG 3 Analysis</w:t>
            </w:r>
            <w:r>
              <w:rPr>
                <w:noProof/>
                <w:webHidden/>
              </w:rPr>
              <w:tab/>
            </w:r>
            <w:r>
              <w:rPr>
                <w:noProof/>
                <w:webHidden/>
              </w:rPr>
              <w:fldChar w:fldCharType="begin"/>
            </w:r>
            <w:r>
              <w:rPr>
                <w:noProof/>
                <w:webHidden/>
              </w:rPr>
              <w:instrText xml:space="preserve"> PAGEREF _Toc224951670 \h </w:instrText>
            </w:r>
            <w:r>
              <w:rPr>
                <w:noProof/>
                <w:webHidden/>
              </w:rPr>
            </w:r>
            <w:r>
              <w:rPr>
                <w:noProof/>
                <w:webHidden/>
              </w:rPr>
              <w:fldChar w:fldCharType="separate"/>
            </w:r>
            <w:r>
              <w:rPr>
                <w:noProof/>
                <w:webHidden/>
              </w:rPr>
              <w:t>2</w:t>
            </w:r>
            <w:r>
              <w:rPr>
                <w:noProof/>
                <w:webHidden/>
              </w:rPr>
              <w:fldChar w:fldCharType="end"/>
            </w:r>
          </w:hyperlink>
        </w:p>
        <w:p w14:paraId="39FEC226" w14:textId="7853BF44" w:rsidR="00EA10D4" w:rsidRDefault="00EA10D4" w:rsidP="00EA10D4">
          <w:pPr>
            <w:pStyle w:val="TOC1"/>
            <w:tabs>
              <w:tab w:val="right" w:leader="dot" w:pos="9016"/>
            </w:tabs>
            <w:spacing w:line="360" w:lineRule="auto"/>
            <w:rPr>
              <w:rFonts w:eastAsiaTheme="minorEastAsia"/>
              <w:noProof/>
              <w:lang w:eastAsia="en-GB"/>
            </w:rPr>
          </w:pPr>
          <w:hyperlink w:anchor="_Toc224951671" w:history="1">
            <w:r w:rsidRPr="00E127DB">
              <w:rPr>
                <w:rStyle w:val="Hyperlink"/>
                <w:noProof/>
              </w:rPr>
              <w:t>SDG 10 Analysis: Reduced Inequalities</w:t>
            </w:r>
            <w:r>
              <w:rPr>
                <w:noProof/>
                <w:webHidden/>
              </w:rPr>
              <w:tab/>
            </w:r>
            <w:r>
              <w:rPr>
                <w:noProof/>
                <w:webHidden/>
              </w:rPr>
              <w:fldChar w:fldCharType="begin"/>
            </w:r>
            <w:r>
              <w:rPr>
                <w:noProof/>
                <w:webHidden/>
              </w:rPr>
              <w:instrText xml:space="preserve"> PAGEREF _Toc224951671 \h </w:instrText>
            </w:r>
            <w:r>
              <w:rPr>
                <w:noProof/>
                <w:webHidden/>
              </w:rPr>
            </w:r>
            <w:r>
              <w:rPr>
                <w:noProof/>
                <w:webHidden/>
              </w:rPr>
              <w:fldChar w:fldCharType="separate"/>
            </w:r>
            <w:r>
              <w:rPr>
                <w:noProof/>
                <w:webHidden/>
              </w:rPr>
              <w:t>3</w:t>
            </w:r>
            <w:r>
              <w:rPr>
                <w:noProof/>
                <w:webHidden/>
              </w:rPr>
              <w:fldChar w:fldCharType="end"/>
            </w:r>
          </w:hyperlink>
        </w:p>
        <w:p w14:paraId="7D6AF049" w14:textId="2FEDBAB8" w:rsidR="00EA10D4" w:rsidRDefault="00EA10D4" w:rsidP="00EA10D4">
          <w:pPr>
            <w:pStyle w:val="TOC1"/>
            <w:tabs>
              <w:tab w:val="right" w:leader="dot" w:pos="9016"/>
            </w:tabs>
            <w:spacing w:line="360" w:lineRule="auto"/>
            <w:rPr>
              <w:rFonts w:eastAsiaTheme="minorEastAsia"/>
              <w:noProof/>
              <w:lang w:eastAsia="en-GB"/>
            </w:rPr>
          </w:pPr>
          <w:hyperlink w:anchor="_Toc224951672" w:history="1">
            <w:r w:rsidRPr="00E127DB">
              <w:rPr>
                <w:rStyle w:val="Hyperlink"/>
                <w:noProof/>
              </w:rPr>
              <w:t>Evaluation of Policies &amp; Initiatives</w:t>
            </w:r>
            <w:r>
              <w:rPr>
                <w:noProof/>
                <w:webHidden/>
              </w:rPr>
              <w:tab/>
            </w:r>
            <w:r>
              <w:rPr>
                <w:noProof/>
                <w:webHidden/>
              </w:rPr>
              <w:fldChar w:fldCharType="begin"/>
            </w:r>
            <w:r>
              <w:rPr>
                <w:noProof/>
                <w:webHidden/>
              </w:rPr>
              <w:instrText xml:space="preserve"> PAGEREF _Toc224951672 \h </w:instrText>
            </w:r>
            <w:r>
              <w:rPr>
                <w:noProof/>
                <w:webHidden/>
              </w:rPr>
            </w:r>
            <w:r>
              <w:rPr>
                <w:noProof/>
                <w:webHidden/>
              </w:rPr>
              <w:fldChar w:fldCharType="separate"/>
            </w:r>
            <w:r>
              <w:rPr>
                <w:noProof/>
                <w:webHidden/>
              </w:rPr>
              <w:t>5</w:t>
            </w:r>
            <w:r>
              <w:rPr>
                <w:noProof/>
                <w:webHidden/>
              </w:rPr>
              <w:fldChar w:fldCharType="end"/>
            </w:r>
          </w:hyperlink>
        </w:p>
        <w:p w14:paraId="0A91217A" w14:textId="628F747A" w:rsidR="00EA10D4" w:rsidRDefault="00EA10D4" w:rsidP="00EA10D4">
          <w:pPr>
            <w:pStyle w:val="TOC2"/>
            <w:tabs>
              <w:tab w:val="right" w:leader="dot" w:pos="9016"/>
            </w:tabs>
            <w:spacing w:line="360" w:lineRule="auto"/>
            <w:rPr>
              <w:rFonts w:eastAsiaTheme="minorEastAsia"/>
              <w:noProof/>
              <w:lang w:eastAsia="en-GB"/>
            </w:rPr>
          </w:pPr>
          <w:hyperlink w:anchor="_Toc224951673" w:history="1">
            <w:r w:rsidRPr="00E127DB">
              <w:rPr>
                <w:rStyle w:val="Hyperlink"/>
                <w:noProof/>
              </w:rPr>
              <w:t>National Initiatives (UK) – NHS Long Term Plan</w:t>
            </w:r>
            <w:r>
              <w:rPr>
                <w:noProof/>
                <w:webHidden/>
              </w:rPr>
              <w:tab/>
            </w:r>
            <w:r>
              <w:rPr>
                <w:noProof/>
                <w:webHidden/>
              </w:rPr>
              <w:fldChar w:fldCharType="begin"/>
            </w:r>
            <w:r>
              <w:rPr>
                <w:noProof/>
                <w:webHidden/>
              </w:rPr>
              <w:instrText xml:space="preserve"> PAGEREF _Toc224951673 \h </w:instrText>
            </w:r>
            <w:r>
              <w:rPr>
                <w:noProof/>
                <w:webHidden/>
              </w:rPr>
            </w:r>
            <w:r>
              <w:rPr>
                <w:noProof/>
                <w:webHidden/>
              </w:rPr>
              <w:fldChar w:fldCharType="separate"/>
            </w:r>
            <w:r>
              <w:rPr>
                <w:noProof/>
                <w:webHidden/>
              </w:rPr>
              <w:t>5</w:t>
            </w:r>
            <w:r>
              <w:rPr>
                <w:noProof/>
                <w:webHidden/>
              </w:rPr>
              <w:fldChar w:fldCharType="end"/>
            </w:r>
          </w:hyperlink>
        </w:p>
        <w:p w14:paraId="7CBDE9A8" w14:textId="6F9417F2" w:rsidR="00EA10D4" w:rsidRDefault="00EA10D4" w:rsidP="00EA10D4">
          <w:pPr>
            <w:pStyle w:val="TOC2"/>
            <w:tabs>
              <w:tab w:val="right" w:leader="dot" w:pos="9016"/>
            </w:tabs>
            <w:spacing w:line="360" w:lineRule="auto"/>
            <w:rPr>
              <w:rFonts w:eastAsiaTheme="minorEastAsia"/>
              <w:noProof/>
              <w:lang w:eastAsia="en-GB"/>
            </w:rPr>
          </w:pPr>
          <w:hyperlink w:anchor="_Toc224951674" w:history="1">
            <w:r w:rsidRPr="00E127DB">
              <w:rPr>
                <w:rStyle w:val="Hyperlink"/>
                <w:noProof/>
              </w:rPr>
              <w:t>Local Initiatives – London Public Health Programmes</w:t>
            </w:r>
            <w:r>
              <w:rPr>
                <w:noProof/>
                <w:webHidden/>
              </w:rPr>
              <w:tab/>
            </w:r>
            <w:r>
              <w:rPr>
                <w:noProof/>
                <w:webHidden/>
              </w:rPr>
              <w:fldChar w:fldCharType="begin"/>
            </w:r>
            <w:r>
              <w:rPr>
                <w:noProof/>
                <w:webHidden/>
              </w:rPr>
              <w:instrText xml:space="preserve"> PAGEREF _Toc224951674 \h </w:instrText>
            </w:r>
            <w:r>
              <w:rPr>
                <w:noProof/>
                <w:webHidden/>
              </w:rPr>
            </w:r>
            <w:r>
              <w:rPr>
                <w:noProof/>
                <w:webHidden/>
              </w:rPr>
              <w:fldChar w:fldCharType="separate"/>
            </w:r>
            <w:r>
              <w:rPr>
                <w:noProof/>
                <w:webHidden/>
              </w:rPr>
              <w:t>6</w:t>
            </w:r>
            <w:r>
              <w:rPr>
                <w:noProof/>
                <w:webHidden/>
              </w:rPr>
              <w:fldChar w:fldCharType="end"/>
            </w:r>
          </w:hyperlink>
        </w:p>
        <w:p w14:paraId="1CB9D5E8" w14:textId="64E5B881" w:rsidR="00EA10D4" w:rsidRDefault="00EA10D4" w:rsidP="00EA10D4">
          <w:pPr>
            <w:pStyle w:val="TOC1"/>
            <w:tabs>
              <w:tab w:val="right" w:leader="dot" w:pos="9016"/>
            </w:tabs>
            <w:spacing w:line="360" w:lineRule="auto"/>
            <w:rPr>
              <w:rFonts w:eastAsiaTheme="minorEastAsia"/>
              <w:noProof/>
              <w:lang w:eastAsia="en-GB"/>
            </w:rPr>
          </w:pPr>
          <w:hyperlink w:anchor="_Toc224951675" w:history="1">
            <w:r w:rsidRPr="00E127DB">
              <w:rPr>
                <w:rStyle w:val="Hyperlink"/>
                <w:noProof/>
              </w:rPr>
              <w:t>Recommendations</w:t>
            </w:r>
            <w:r>
              <w:rPr>
                <w:noProof/>
                <w:webHidden/>
              </w:rPr>
              <w:tab/>
            </w:r>
            <w:r>
              <w:rPr>
                <w:noProof/>
                <w:webHidden/>
              </w:rPr>
              <w:fldChar w:fldCharType="begin"/>
            </w:r>
            <w:r>
              <w:rPr>
                <w:noProof/>
                <w:webHidden/>
              </w:rPr>
              <w:instrText xml:space="preserve"> PAGEREF _Toc224951675 \h </w:instrText>
            </w:r>
            <w:r>
              <w:rPr>
                <w:noProof/>
                <w:webHidden/>
              </w:rPr>
            </w:r>
            <w:r>
              <w:rPr>
                <w:noProof/>
                <w:webHidden/>
              </w:rPr>
              <w:fldChar w:fldCharType="separate"/>
            </w:r>
            <w:r>
              <w:rPr>
                <w:noProof/>
                <w:webHidden/>
              </w:rPr>
              <w:t>7</w:t>
            </w:r>
            <w:r>
              <w:rPr>
                <w:noProof/>
                <w:webHidden/>
              </w:rPr>
              <w:fldChar w:fldCharType="end"/>
            </w:r>
          </w:hyperlink>
        </w:p>
        <w:p w14:paraId="204FF322" w14:textId="57C20377" w:rsidR="00EA10D4" w:rsidRDefault="00EA10D4" w:rsidP="00EA10D4">
          <w:pPr>
            <w:pStyle w:val="TOC1"/>
            <w:tabs>
              <w:tab w:val="right" w:leader="dot" w:pos="9016"/>
            </w:tabs>
            <w:spacing w:line="360" w:lineRule="auto"/>
            <w:rPr>
              <w:rFonts w:eastAsiaTheme="minorEastAsia"/>
              <w:noProof/>
              <w:lang w:eastAsia="en-GB"/>
            </w:rPr>
          </w:pPr>
          <w:hyperlink w:anchor="_Toc224951676" w:history="1">
            <w:r w:rsidRPr="00E127DB">
              <w:rPr>
                <w:rStyle w:val="Hyperlink"/>
                <w:noProof/>
              </w:rPr>
              <w:t>Conclusion</w:t>
            </w:r>
            <w:r>
              <w:rPr>
                <w:noProof/>
                <w:webHidden/>
              </w:rPr>
              <w:tab/>
            </w:r>
            <w:r>
              <w:rPr>
                <w:noProof/>
                <w:webHidden/>
              </w:rPr>
              <w:fldChar w:fldCharType="begin"/>
            </w:r>
            <w:r>
              <w:rPr>
                <w:noProof/>
                <w:webHidden/>
              </w:rPr>
              <w:instrText xml:space="preserve"> PAGEREF _Toc224951676 \h </w:instrText>
            </w:r>
            <w:r>
              <w:rPr>
                <w:noProof/>
                <w:webHidden/>
              </w:rPr>
            </w:r>
            <w:r>
              <w:rPr>
                <w:noProof/>
                <w:webHidden/>
              </w:rPr>
              <w:fldChar w:fldCharType="separate"/>
            </w:r>
            <w:r>
              <w:rPr>
                <w:noProof/>
                <w:webHidden/>
              </w:rPr>
              <w:t>8</w:t>
            </w:r>
            <w:r>
              <w:rPr>
                <w:noProof/>
                <w:webHidden/>
              </w:rPr>
              <w:fldChar w:fldCharType="end"/>
            </w:r>
          </w:hyperlink>
        </w:p>
        <w:p w14:paraId="362F2EA0" w14:textId="64024EFA" w:rsidR="00EA10D4" w:rsidRDefault="00EA10D4" w:rsidP="00EA10D4">
          <w:pPr>
            <w:pStyle w:val="TOC1"/>
            <w:tabs>
              <w:tab w:val="right" w:leader="dot" w:pos="9016"/>
            </w:tabs>
            <w:spacing w:line="360" w:lineRule="auto"/>
            <w:rPr>
              <w:rFonts w:eastAsiaTheme="minorEastAsia"/>
              <w:noProof/>
              <w:lang w:eastAsia="en-GB"/>
            </w:rPr>
          </w:pPr>
          <w:hyperlink w:anchor="_Toc224951677" w:history="1">
            <w:r w:rsidRPr="00E127DB">
              <w:rPr>
                <w:rStyle w:val="Hyperlink"/>
                <w:noProof/>
              </w:rPr>
              <w:t>References</w:t>
            </w:r>
            <w:r>
              <w:rPr>
                <w:noProof/>
                <w:webHidden/>
              </w:rPr>
              <w:tab/>
            </w:r>
            <w:r>
              <w:rPr>
                <w:noProof/>
                <w:webHidden/>
              </w:rPr>
              <w:fldChar w:fldCharType="begin"/>
            </w:r>
            <w:r>
              <w:rPr>
                <w:noProof/>
                <w:webHidden/>
              </w:rPr>
              <w:instrText xml:space="preserve"> PAGEREF _Toc224951677 \h </w:instrText>
            </w:r>
            <w:r>
              <w:rPr>
                <w:noProof/>
                <w:webHidden/>
              </w:rPr>
            </w:r>
            <w:r>
              <w:rPr>
                <w:noProof/>
                <w:webHidden/>
              </w:rPr>
              <w:fldChar w:fldCharType="separate"/>
            </w:r>
            <w:r>
              <w:rPr>
                <w:noProof/>
                <w:webHidden/>
              </w:rPr>
              <w:t>9</w:t>
            </w:r>
            <w:r>
              <w:rPr>
                <w:noProof/>
                <w:webHidden/>
              </w:rPr>
              <w:fldChar w:fldCharType="end"/>
            </w:r>
          </w:hyperlink>
        </w:p>
        <w:p w14:paraId="25761AE8" w14:textId="4B1C90B5" w:rsidR="002F0FB8" w:rsidRDefault="002F0FB8" w:rsidP="00EA10D4">
          <w:pPr>
            <w:spacing w:line="360" w:lineRule="auto"/>
          </w:pPr>
          <w:r>
            <w:rPr>
              <w:b/>
              <w:bCs/>
              <w:noProof/>
            </w:rPr>
            <w:fldChar w:fldCharType="end"/>
          </w:r>
        </w:p>
      </w:sdtContent>
    </w:sdt>
    <w:p w14:paraId="1F907E62" w14:textId="77777777" w:rsidR="002F0FB8" w:rsidRDefault="002F0FB8">
      <w:pPr>
        <w:rPr>
          <w:rFonts w:asciiTheme="majorHAnsi" w:eastAsiaTheme="majorEastAsia" w:hAnsiTheme="majorHAnsi" w:cstheme="majorBidi"/>
          <w:color w:val="0F4761" w:themeColor="accent1" w:themeShade="BF"/>
          <w:sz w:val="40"/>
          <w:szCs w:val="40"/>
        </w:rPr>
      </w:pPr>
      <w:r>
        <w:br w:type="page"/>
      </w:r>
    </w:p>
    <w:p w14:paraId="2C27E5FF" w14:textId="31C64D4E" w:rsidR="00DA2570" w:rsidRPr="00DA2570" w:rsidRDefault="00DA2570" w:rsidP="00DA2570">
      <w:pPr>
        <w:pStyle w:val="Heading1"/>
      </w:pPr>
      <w:bookmarkStart w:id="0" w:name="_Toc224951669"/>
      <w:r w:rsidRPr="00DA2570">
        <w:lastRenderedPageBreak/>
        <w:t>Introduction</w:t>
      </w:r>
      <w:bookmarkEnd w:id="0"/>
      <w:r w:rsidRPr="00DA2570">
        <w:t xml:space="preserve"> </w:t>
      </w:r>
    </w:p>
    <w:p w14:paraId="11AF283A" w14:textId="77777777" w:rsidR="00DA2570" w:rsidRPr="00DA2570" w:rsidRDefault="00DA2570" w:rsidP="00DA2570">
      <w:pPr>
        <w:spacing w:line="360" w:lineRule="auto"/>
        <w:jc w:val="both"/>
        <w:rPr>
          <w:rFonts w:ascii="Arial" w:hAnsi="Arial"/>
        </w:rPr>
      </w:pPr>
      <w:r w:rsidRPr="00DA2570">
        <w:rPr>
          <w:rFonts w:ascii="Arial" w:hAnsi="Arial"/>
        </w:rPr>
        <w:t>Health and wellbeing are essential for individuals and communities, and they are influenced by social, economic, and environmental factors. The United Nations Sustainable Development Goals (SDGs) provide a global framework to improve quality of life and reduce inequalities. SDG 3, “Good Health and Wellbeing,” aims to ensure healthy lives, reduce disease, and promote mental and physical wellbeing for all ages (United Nations, 2024). It focuses on issues such as healthcare access, prevention of diseases, and health promotion.</w:t>
      </w:r>
    </w:p>
    <w:p w14:paraId="07A70294" w14:textId="491DCD82" w:rsidR="00DA2570" w:rsidRPr="00DA2570" w:rsidRDefault="00DA2570" w:rsidP="00DA2570">
      <w:pPr>
        <w:spacing w:line="360" w:lineRule="auto"/>
        <w:jc w:val="both"/>
        <w:rPr>
          <w:rFonts w:ascii="Arial" w:hAnsi="Arial"/>
        </w:rPr>
      </w:pPr>
      <w:r w:rsidRPr="00DA2570">
        <w:rPr>
          <w:rFonts w:ascii="Arial" w:hAnsi="Arial"/>
        </w:rPr>
        <w:t>This report also focuses on SDG 10, “Reduced Inequalities,” which aims to address differences in income, access to services, and social opportunities. Inequality is a key factor that affects health outcomes, as people from disadvantaged backgrounds often experience poorer health and limited access to care (Marmot et al., 2020). Health and sustainability are closely linked because improving health requires addressing environmental and social conditions such as housing, education, and employment.</w:t>
      </w:r>
    </w:p>
    <w:p w14:paraId="2D1AA283" w14:textId="77777777" w:rsidR="00DA2570" w:rsidRDefault="00DA2570" w:rsidP="00DA2570">
      <w:pPr>
        <w:spacing w:line="360" w:lineRule="auto"/>
        <w:jc w:val="both"/>
        <w:rPr>
          <w:rFonts w:ascii="Arial" w:hAnsi="Arial"/>
        </w:rPr>
      </w:pPr>
      <w:r w:rsidRPr="00DA2570">
        <w:rPr>
          <w:rFonts w:ascii="Arial" w:hAnsi="Arial"/>
        </w:rPr>
        <w:t>This report will critically analyse the impact of SDG 3 and SDG 10 on health and wellbeing at global, national, and local levels. It will also evaluate current policies and initiatives in the UK and provide recommendations for improvement.</w:t>
      </w:r>
    </w:p>
    <w:p w14:paraId="23236628" w14:textId="57BC4197" w:rsidR="00DB0306" w:rsidRPr="00DB0306" w:rsidRDefault="00DB0306" w:rsidP="00DB0306">
      <w:pPr>
        <w:pStyle w:val="Heading1"/>
      </w:pPr>
      <w:bookmarkStart w:id="1" w:name="_Toc224951670"/>
      <w:r w:rsidRPr="00DB0306">
        <w:t>SDG 3 Analysis</w:t>
      </w:r>
      <w:bookmarkEnd w:id="1"/>
      <w:r w:rsidRPr="00DB0306">
        <w:t xml:space="preserve"> </w:t>
      </w:r>
    </w:p>
    <w:p w14:paraId="789877DE" w14:textId="77777777" w:rsidR="003469FB" w:rsidRPr="003469FB" w:rsidRDefault="003469FB" w:rsidP="003469FB">
      <w:pPr>
        <w:spacing w:line="360" w:lineRule="auto"/>
        <w:jc w:val="both"/>
        <w:rPr>
          <w:rFonts w:ascii="Arial" w:hAnsi="Arial"/>
        </w:rPr>
      </w:pPr>
      <w:r w:rsidRPr="003469FB">
        <w:rPr>
          <w:rFonts w:ascii="Arial" w:hAnsi="Arial"/>
        </w:rPr>
        <w:t>SDG 3, “Good Health and Wellbeing,” aims to ensure healthy lives and promote wellbeing for all ages. It focuses on reducing mortality, preventing diseases, improving mental health, and achieving universal health coverage (United Nations, 2024). This goal recognises that health is influenced not only by medical care but also by social and environmental factors.</w:t>
      </w:r>
    </w:p>
    <w:p w14:paraId="0C3B6C86" w14:textId="77777777" w:rsidR="003469FB" w:rsidRPr="003469FB" w:rsidRDefault="003469FB" w:rsidP="003469FB">
      <w:pPr>
        <w:spacing w:line="360" w:lineRule="auto"/>
        <w:jc w:val="both"/>
        <w:rPr>
          <w:rFonts w:ascii="Arial" w:hAnsi="Arial"/>
        </w:rPr>
      </w:pPr>
      <w:r w:rsidRPr="003469FB">
        <w:rPr>
          <w:rFonts w:ascii="Arial" w:hAnsi="Arial"/>
        </w:rPr>
        <w:t>The biopsychosocial model helps explain this by showing that health is shaped by biological, psychological, and social factors. For example, conditions such as obesity or heart disease are influenced by lifestyle, stress, and socio-economic conditions. This supports SDG 3’s focus on prevention and overall wellbeing. In the UK, campaigns such as Change4Life reflect this approach by promoting behaviour change. However, many policies still focus more on treatment than prevention, showing a gap between theory and practice (Engel, 1977; WHO, 2023).</w:t>
      </w:r>
    </w:p>
    <w:p w14:paraId="5EBF014E" w14:textId="44D17F94" w:rsidR="003469FB" w:rsidRPr="003469FB" w:rsidRDefault="003469FB" w:rsidP="003469FB">
      <w:pPr>
        <w:spacing w:line="360" w:lineRule="auto"/>
        <w:jc w:val="both"/>
        <w:rPr>
          <w:rFonts w:ascii="Arial" w:hAnsi="Arial"/>
        </w:rPr>
      </w:pPr>
      <w:r w:rsidRPr="003469FB">
        <w:rPr>
          <w:rFonts w:ascii="Arial" w:hAnsi="Arial"/>
        </w:rPr>
        <w:lastRenderedPageBreak/>
        <w:t>At a global level, SDG 3 has improved life expectancy and reduced child mortality through vaccination and better healthcare access (WHO, 2023). However, challenges remain, particularly non-communicable diseases (NCDs), which account for around 74% of global deaths, as well as ongoing health inequalities between countries.</w:t>
      </w:r>
      <w:r w:rsidR="00A40C99">
        <w:rPr>
          <w:rFonts w:ascii="Arial" w:hAnsi="Arial"/>
        </w:rPr>
        <w:t xml:space="preserve"> </w:t>
      </w:r>
      <w:r w:rsidR="00A40C99" w:rsidRPr="00A40C99">
        <w:rPr>
          <w:rFonts w:ascii="Arial" w:hAnsi="Arial"/>
        </w:rPr>
        <w:t>Compared to high-income countries like the UK, low-income countries face greater barriers such as limited healthcare infrastructure and funding, which further widens global health inequalities.</w:t>
      </w:r>
    </w:p>
    <w:p w14:paraId="60A2091E" w14:textId="1024FD98" w:rsidR="003469FB" w:rsidRPr="003469FB" w:rsidRDefault="003469FB" w:rsidP="003469FB">
      <w:pPr>
        <w:spacing w:line="360" w:lineRule="auto"/>
        <w:jc w:val="both"/>
        <w:rPr>
          <w:rFonts w:ascii="Arial" w:hAnsi="Arial"/>
        </w:rPr>
      </w:pPr>
      <w:r w:rsidRPr="003469FB">
        <w:rPr>
          <w:rFonts w:ascii="Arial" w:hAnsi="Arial"/>
        </w:rPr>
        <w:t xml:space="preserve">In the UK, SDG 3 is supported by policies such as the NHS Long Term Plan, which focuses on prevention and mental health services (NHS England, 2019). Public health campaigns have increased awareness, but issues such as obesity remain high, with around 64.5% of adults overweight or obese. </w:t>
      </w:r>
      <w:r w:rsidR="009C2C44" w:rsidRPr="009C2C44">
        <w:rPr>
          <w:rFonts w:ascii="Arial" w:hAnsi="Arial"/>
        </w:rPr>
        <w:t>This highlights a gap between policy intentions and real-world outcomes, as despite national strategies promoting healthier lifestyles, health behaviours have not improved significantly.</w:t>
      </w:r>
      <w:r w:rsidR="009C2C44" w:rsidRPr="009C2C44">
        <w:rPr>
          <w:rFonts w:ascii="Arial" w:hAnsi="Arial"/>
        </w:rPr>
        <w:br/>
        <w:t>This suggests that behaviour-change strategies alone are not sufficient</w:t>
      </w:r>
    </w:p>
    <w:p w14:paraId="4344A06F" w14:textId="77777777" w:rsidR="003469FB" w:rsidRPr="003469FB" w:rsidRDefault="003469FB" w:rsidP="003469FB">
      <w:pPr>
        <w:spacing w:line="360" w:lineRule="auto"/>
        <w:jc w:val="both"/>
        <w:rPr>
          <w:rFonts w:ascii="Arial" w:hAnsi="Arial"/>
        </w:rPr>
      </w:pPr>
      <w:r w:rsidRPr="003469FB">
        <w:rPr>
          <w:rFonts w:ascii="Arial" w:hAnsi="Arial"/>
        </w:rPr>
        <w:t>At a local level, initiatives such as NHS Health Checks aim to support early diagnosis and prevention. However, access to services is unequal. People in deprived areas experience poorer health outcomes and lower life expectancy, highlighting the impact of social determinants such as income and housing (Marmot et al., 2020).</w:t>
      </w:r>
    </w:p>
    <w:p w14:paraId="3ACBA8AD" w14:textId="02A18CD9" w:rsidR="003469FB" w:rsidRPr="003469FB" w:rsidRDefault="009C2C44" w:rsidP="003469FB">
      <w:pPr>
        <w:spacing w:line="360" w:lineRule="auto"/>
        <w:jc w:val="both"/>
        <w:rPr>
          <w:rFonts w:ascii="Arial" w:hAnsi="Arial"/>
        </w:rPr>
      </w:pPr>
      <w:r w:rsidRPr="009C2C44">
        <w:rPr>
          <w:rFonts w:ascii="Arial" w:hAnsi="Arial"/>
        </w:rPr>
        <w:t>Critically, although SDG 3 has improved healthcare access and awareness, many policies fail to achieve long-term impact because they focus mainly on individual behaviour rather than structural issues such as poverty and inequality. This suggests that without addressing wider social determinants, improvements in health outcomes will remain limited.</w:t>
      </w:r>
    </w:p>
    <w:p w14:paraId="6F8DC09F" w14:textId="707FF9A1" w:rsidR="001450CE" w:rsidRPr="001450CE" w:rsidRDefault="001450CE" w:rsidP="001450CE">
      <w:pPr>
        <w:spacing w:line="360" w:lineRule="auto"/>
        <w:jc w:val="both"/>
        <w:rPr>
          <w:rFonts w:ascii="Arial" w:hAnsi="Arial"/>
        </w:rPr>
      </w:pPr>
    </w:p>
    <w:p w14:paraId="2C34B690" w14:textId="46C13EE6" w:rsidR="00DB0306" w:rsidRPr="00DB0306" w:rsidRDefault="00DB0306" w:rsidP="00DB0306">
      <w:pPr>
        <w:pStyle w:val="Heading1"/>
      </w:pPr>
      <w:bookmarkStart w:id="2" w:name="_Toc224951671"/>
      <w:r w:rsidRPr="00DB0306">
        <w:t>SDG 10 Analysis: Reduced Inequalities</w:t>
      </w:r>
      <w:bookmarkEnd w:id="2"/>
      <w:r w:rsidRPr="00DB0306">
        <w:t xml:space="preserve"> </w:t>
      </w:r>
    </w:p>
    <w:p w14:paraId="107FA1FD" w14:textId="77777777" w:rsidR="001450CE" w:rsidRPr="001450CE" w:rsidRDefault="001450CE" w:rsidP="001450CE">
      <w:pPr>
        <w:spacing w:line="360" w:lineRule="auto"/>
        <w:jc w:val="both"/>
        <w:rPr>
          <w:rFonts w:ascii="Arial" w:hAnsi="Arial"/>
        </w:rPr>
      </w:pPr>
      <w:r w:rsidRPr="001450CE">
        <w:rPr>
          <w:rFonts w:ascii="Arial" w:hAnsi="Arial"/>
        </w:rPr>
        <w:t>SDG 10, “Reduced Inequalities,” aims to reduce inequality within and between countries by improving access to resources, opportunities, and services. It focuses on issues such as income inequality, social exclusion, and unequal access to healthcare and education (United Nations, 2024). This goal is strongly linked to health and wellbeing because inequality directly affects people’s living conditions, health behaviours, and access to healthcare services.</w:t>
      </w:r>
    </w:p>
    <w:p w14:paraId="0B760EB3" w14:textId="77777777" w:rsidR="001450CE" w:rsidRPr="001450CE" w:rsidRDefault="001450CE" w:rsidP="001450CE">
      <w:pPr>
        <w:spacing w:line="360" w:lineRule="auto"/>
        <w:jc w:val="both"/>
        <w:rPr>
          <w:rFonts w:ascii="Arial" w:hAnsi="Arial"/>
        </w:rPr>
      </w:pPr>
      <w:r w:rsidRPr="001450CE">
        <w:rPr>
          <w:rFonts w:ascii="Arial" w:hAnsi="Arial"/>
        </w:rPr>
        <w:lastRenderedPageBreak/>
        <w:t>Globally, inequality remains a major challenge for achieving good health. People in low-income countries often experience limited access to healthcare, clean water, and nutritious food, leading to higher rates of disease and lower life expectancy (WHO, 2023). For example, disadvantaged populations are more likely to suffer from preventable diseases and poor mental health. Inequalities were also evident during the COVID-19 pandemic, where access to vaccines and healthcare services varied significantly across countries. This shows that reducing inequality is essential for achieving SDG 3.</w:t>
      </w:r>
    </w:p>
    <w:p w14:paraId="4B1EADD0" w14:textId="10DC07A7" w:rsidR="001450CE" w:rsidRPr="001450CE" w:rsidRDefault="001450CE" w:rsidP="001450CE">
      <w:pPr>
        <w:spacing w:line="360" w:lineRule="auto"/>
        <w:jc w:val="both"/>
        <w:rPr>
          <w:rFonts w:ascii="Arial" w:hAnsi="Arial"/>
        </w:rPr>
      </w:pPr>
      <w:r w:rsidRPr="001450CE">
        <w:rPr>
          <w:rFonts w:ascii="Arial" w:hAnsi="Arial"/>
        </w:rPr>
        <w:t xml:space="preserve">In the UK, inequality has a significant impact on health outcomes. The Marmot Review (2020) found that people living in deprived areas have shorter life expectancy and spend more years in poor health. This is linked to social determinants such as income, education, employment, and housing. </w:t>
      </w:r>
      <w:r w:rsidR="00BE36AE" w:rsidRPr="00BE36AE">
        <w:rPr>
          <w:rFonts w:ascii="Arial" w:hAnsi="Arial"/>
        </w:rPr>
        <w:t>The Dahlgren and Whitehead model (1991), also known as the “rainbow model,” helps explain these inequalities by showing how different layers—individual lifestyle, social networks, living conditions, and wider socio-economic factors—influence health. It highlights that poor health is often caused by wider issues such as poverty, unemployment, and poor housing (Dahlgren &amp; Whitehead, 1991).</w:t>
      </w:r>
      <w:r w:rsidRPr="001450CE">
        <w:rPr>
          <w:rFonts w:ascii="Arial" w:hAnsi="Arial"/>
        </w:rPr>
        <w:t xml:space="preserve"> As a result, individuals in deprived areas are more likely to experience chronic illness due to limited access to healthcare and unhealthy environments. Although policies such as the NHS Long Term Plan aim to reduce inequalities, they often fail to fully address these wider determinants (Marmot et al., 2020; WHO, 2023).</w:t>
      </w:r>
    </w:p>
    <w:p w14:paraId="4160F603" w14:textId="0969D0D6" w:rsidR="001226B0" w:rsidRPr="001226B0" w:rsidRDefault="001226B0" w:rsidP="001226B0">
      <w:pPr>
        <w:spacing w:line="360" w:lineRule="auto"/>
        <w:jc w:val="both"/>
        <w:rPr>
          <w:rFonts w:ascii="Arial" w:hAnsi="Arial"/>
        </w:rPr>
      </w:pPr>
      <w:r w:rsidRPr="001226B0">
        <w:rPr>
          <w:rFonts w:ascii="Arial" w:hAnsi="Arial"/>
        </w:rPr>
        <w:t>At a local level, inequalities are visible in cities such as London, where health outcomes vary significantly between boroughs (Public Health England, 2021). People in deprived areas are more likely to experience obesity, mental health problems, and long-term conditions. Barriers such as poor housing, unemployment, and limited access to services contribute to these issues (Office for National Statistics, 2022). Social factors such as stigma can also prevent individuals from seeking help (NHS England, 2021).</w:t>
      </w:r>
    </w:p>
    <w:p w14:paraId="353137E7" w14:textId="184C33DC" w:rsidR="001450CE" w:rsidRPr="001450CE" w:rsidRDefault="001450CE" w:rsidP="001450CE">
      <w:pPr>
        <w:spacing w:line="360" w:lineRule="auto"/>
        <w:jc w:val="both"/>
        <w:rPr>
          <w:rFonts w:ascii="Arial" w:hAnsi="Arial"/>
        </w:rPr>
      </w:pPr>
      <w:r w:rsidRPr="001450CE">
        <w:rPr>
          <w:rFonts w:ascii="Arial" w:hAnsi="Arial"/>
        </w:rPr>
        <w:t xml:space="preserve">Critically, while SDG 10 emphasises reducing inequality, many policies focus more on healthcare services rather than addressing root causes such as poverty and social exclusion. Without tackling these wider issues, health inequalities will continue. </w:t>
      </w:r>
      <w:r w:rsidR="00A40C99" w:rsidRPr="00A40C99">
        <w:rPr>
          <w:rFonts w:ascii="Arial" w:hAnsi="Arial"/>
        </w:rPr>
        <w:t xml:space="preserve">This indicates that current policies are reactive rather than preventative, focusing on </w:t>
      </w:r>
      <w:r w:rsidR="00A40C99" w:rsidRPr="00A40C99">
        <w:rPr>
          <w:rFonts w:ascii="Arial" w:hAnsi="Arial"/>
        </w:rPr>
        <w:lastRenderedPageBreak/>
        <w:t>healthcare services instead of addressing the underlying causes of inequality.</w:t>
      </w:r>
      <w:r w:rsidR="00A40C99" w:rsidRPr="00A40C99">
        <w:rPr>
          <w:rFonts w:ascii="Arial" w:hAnsi="Arial"/>
        </w:rPr>
        <w:br/>
        <w:t>Therefore, achieving SDG 10 is essential for improving overall health and wellbeing.</w:t>
      </w:r>
    </w:p>
    <w:p w14:paraId="7544C835" w14:textId="70734088" w:rsidR="00DB0306" w:rsidRDefault="00DB0306" w:rsidP="00DB0306">
      <w:pPr>
        <w:spacing w:line="360" w:lineRule="auto"/>
        <w:jc w:val="both"/>
        <w:rPr>
          <w:rFonts w:ascii="Arial" w:hAnsi="Arial"/>
        </w:rPr>
      </w:pPr>
    </w:p>
    <w:p w14:paraId="1EA027D6" w14:textId="2ACC5AAE" w:rsidR="00435F71" w:rsidRPr="00435F71" w:rsidRDefault="00435F71" w:rsidP="00435F71">
      <w:pPr>
        <w:pStyle w:val="Heading1"/>
      </w:pPr>
      <w:bookmarkStart w:id="3" w:name="_Toc224951672"/>
      <w:r w:rsidRPr="00435F71">
        <w:t>Evaluation of Policies &amp; Initiatives</w:t>
      </w:r>
      <w:bookmarkEnd w:id="3"/>
      <w:r w:rsidRPr="00435F71">
        <w:t xml:space="preserve"> </w:t>
      </w:r>
    </w:p>
    <w:p w14:paraId="01250B32" w14:textId="1BE5D05B" w:rsidR="00435F71" w:rsidRPr="00435F71" w:rsidRDefault="00435F71" w:rsidP="00435F71">
      <w:pPr>
        <w:spacing w:line="360" w:lineRule="auto"/>
        <w:jc w:val="both"/>
        <w:rPr>
          <w:rFonts w:ascii="Arial" w:hAnsi="Arial"/>
        </w:rPr>
      </w:pPr>
    </w:p>
    <w:p w14:paraId="052B3776" w14:textId="489C73EC" w:rsidR="00435F71" w:rsidRPr="00435F71" w:rsidRDefault="00435F71" w:rsidP="00435F71">
      <w:pPr>
        <w:pStyle w:val="Heading2"/>
      </w:pPr>
      <w:bookmarkStart w:id="4" w:name="_Toc224951673"/>
      <w:r w:rsidRPr="00435F71">
        <w:t>National Initiatives (UK) – NHS Long Term Plan</w:t>
      </w:r>
      <w:bookmarkEnd w:id="4"/>
      <w:r w:rsidRPr="00435F71">
        <w:t xml:space="preserve"> </w:t>
      </w:r>
    </w:p>
    <w:p w14:paraId="65FB697B" w14:textId="223B5A94" w:rsidR="00435F71" w:rsidRPr="00435F71" w:rsidRDefault="00435F71" w:rsidP="00435F71">
      <w:pPr>
        <w:spacing w:line="360" w:lineRule="auto"/>
        <w:jc w:val="both"/>
        <w:rPr>
          <w:rFonts w:ascii="Arial" w:hAnsi="Arial"/>
        </w:rPr>
      </w:pPr>
      <w:r w:rsidRPr="00435F71">
        <w:rPr>
          <w:rFonts w:ascii="Arial" w:hAnsi="Arial"/>
        </w:rPr>
        <w:t>The NHS Long Term Plan (2019) is a key national policy designed to improve health outcomes, support prevention, and reduce health inequalities in the UK. It aligns closely with SDG 3 by focusing on early intervention, mental health services, and integrated care systems (NHS England, 2019). One major strength of the plan is its emphasis on prevention, which includes reducing smoking, obesity, and alcohol-related harm. This reflects health promotion approaches that aim to improve long-term wellbeing rather than just treating illness.</w:t>
      </w:r>
    </w:p>
    <w:p w14:paraId="790A812F" w14:textId="77777777" w:rsidR="00435F71" w:rsidRPr="00435F71" w:rsidRDefault="00435F71" w:rsidP="00435F71">
      <w:pPr>
        <w:spacing w:line="360" w:lineRule="auto"/>
        <w:jc w:val="both"/>
        <w:rPr>
          <w:rFonts w:ascii="Arial" w:hAnsi="Arial"/>
        </w:rPr>
      </w:pPr>
      <w:r w:rsidRPr="00435F71">
        <w:rPr>
          <w:rFonts w:ascii="Arial" w:hAnsi="Arial"/>
        </w:rPr>
        <w:t>Another strength is the focus on mental health. The plan aims to increase access to mental health services, which is important because mental health conditions are a major contributor to the global burden of disease (WHO, 2023). The plan also promotes integrated care systems (ICS), which aim to improve coordination between healthcare providers and social services, leading to more person-centred care.</w:t>
      </w:r>
    </w:p>
    <w:p w14:paraId="230ADF70" w14:textId="77777777" w:rsidR="00435F71" w:rsidRPr="00435F71" w:rsidRDefault="00435F71" w:rsidP="00435F71">
      <w:pPr>
        <w:spacing w:line="360" w:lineRule="auto"/>
        <w:jc w:val="both"/>
        <w:rPr>
          <w:rFonts w:ascii="Arial" w:hAnsi="Arial"/>
        </w:rPr>
      </w:pPr>
      <w:r w:rsidRPr="00435F71">
        <w:rPr>
          <w:rFonts w:ascii="Arial" w:hAnsi="Arial"/>
        </w:rPr>
        <w:t>However, there are several weaknesses. One major issue is limited funding and workforce shortages, which reduce the effectiveness of the plan. For example, increasing waiting times for NHS services suggest that demand is still higher than capacity (The King’s Fund, 2023). Additionally, while the plan aims to reduce inequalities, progress has been slow. Evidence from the Marmot Review (2020) shows that health inequalities in England have widened, with disadvantaged groups experiencing worse outcomes.</w:t>
      </w:r>
    </w:p>
    <w:p w14:paraId="732A8CCC" w14:textId="77777777" w:rsidR="00435F71" w:rsidRPr="00435F71" w:rsidRDefault="00435F71" w:rsidP="00435F71">
      <w:pPr>
        <w:spacing w:line="360" w:lineRule="auto"/>
        <w:jc w:val="both"/>
        <w:rPr>
          <w:rFonts w:ascii="Arial" w:hAnsi="Arial"/>
        </w:rPr>
      </w:pPr>
      <w:r w:rsidRPr="00435F71">
        <w:rPr>
          <w:rFonts w:ascii="Arial" w:hAnsi="Arial"/>
        </w:rPr>
        <w:t>Critically, the NHS Long Term Plan focuses mainly on healthcare services rather than addressing wider social determinants such as housing and income. This limits its ability to fully achieve SDG 10. Therefore, while the policy has strong goals, its real impact is constrained by structural and resource challenges.</w:t>
      </w:r>
    </w:p>
    <w:p w14:paraId="42686864" w14:textId="5A0EA992" w:rsidR="00435F71" w:rsidRPr="00435F71" w:rsidRDefault="00435F71" w:rsidP="00435F71">
      <w:pPr>
        <w:spacing w:line="360" w:lineRule="auto"/>
        <w:jc w:val="both"/>
        <w:rPr>
          <w:rFonts w:ascii="Arial" w:hAnsi="Arial"/>
        </w:rPr>
      </w:pPr>
    </w:p>
    <w:p w14:paraId="3A79AEF4" w14:textId="0BAA9830" w:rsidR="00435F71" w:rsidRPr="00435F71" w:rsidRDefault="00435F71" w:rsidP="00435F71">
      <w:pPr>
        <w:pStyle w:val="Heading2"/>
      </w:pPr>
      <w:bookmarkStart w:id="5" w:name="_Toc224951674"/>
      <w:r w:rsidRPr="00435F71">
        <w:lastRenderedPageBreak/>
        <w:t>Local Initiatives – London Public Health Programmes</w:t>
      </w:r>
      <w:bookmarkEnd w:id="5"/>
    </w:p>
    <w:p w14:paraId="69398C52" w14:textId="77777777" w:rsidR="00435F71" w:rsidRPr="00435F71" w:rsidRDefault="00435F71" w:rsidP="00435F71">
      <w:pPr>
        <w:spacing w:line="360" w:lineRule="auto"/>
        <w:jc w:val="both"/>
        <w:rPr>
          <w:rFonts w:ascii="Arial" w:hAnsi="Arial"/>
        </w:rPr>
      </w:pPr>
      <w:r w:rsidRPr="00435F71">
        <w:rPr>
          <w:rFonts w:ascii="Arial" w:hAnsi="Arial"/>
        </w:rPr>
        <w:t>At a local level, public health programmes in London aim to improve health outcomes and reduce inequalities within communities. Examples include NHS Health Checks, Change4Life, and community outreach initiatives. These programmes focus on prevention, early diagnosis, and promoting healthier lifestyles.</w:t>
      </w:r>
    </w:p>
    <w:p w14:paraId="5FC92324" w14:textId="03A22FF1" w:rsidR="00435F71" w:rsidRPr="00435F71" w:rsidRDefault="00A76622" w:rsidP="00435F71">
      <w:pPr>
        <w:spacing w:line="360" w:lineRule="auto"/>
        <w:jc w:val="both"/>
        <w:rPr>
          <w:rFonts w:ascii="Arial" w:hAnsi="Arial"/>
        </w:rPr>
      </w:pPr>
      <w:r w:rsidRPr="00A76622">
        <w:rPr>
          <w:rFonts w:ascii="Arial" w:hAnsi="Arial"/>
        </w:rPr>
        <w:t>One key strength of local initiatives is their ability to target specific populations. For example, NHS Health Checks help identify individuals at risk of conditions such as cardiovascular disease and diabetes, allowing early intervention (NHS England, 2023). Similarly, campaigns like Change4Life promote healthy eating and physical activity, helping to reduce obesity levels (Public Health England, 2020). These programmes reflect the principles of health promotion and behaviour change, which aim to empower individuals to improve their health (World Health Organization, 2021).</w:t>
      </w:r>
    </w:p>
    <w:p w14:paraId="425617DC" w14:textId="2CAE095B" w:rsidR="00435F71" w:rsidRPr="00435F71" w:rsidRDefault="00435F71" w:rsidP="00435F71">
      <w:pPr>
        <w:spacing w:line="360" w:lineRule="auto"/>
        <w:jc w:val="both"/>
        <w:rPr>
          <w:rFonts w:ascii="Arial" w:hAnsi="Arial"/>
        </w:rPr>
      </w:pPr>
      <w:r w:rsidRPr="00435F71">
        <w:rPr>
          <w:rFonts w:ascii="Arial" w:hAnsi="Arial"/>
        </w:rPr>
        <w:t>Another strength is the use of approaches such as Making Every Contact Count (MECC), where professionals use everyday interactions to encourage healthier behaviours. This approach is cost-effective and can reach a wide population</w:t>
      </w:r>
      <w:r w:rsidR="00672E19">
        <w:rPr>
          <w:rFonts w:ascii="Arial" w:hAnsi="Arial"/>
        </w:rPr>
        <w:t xml:space="preserve"> </w:t>
      </w:r>
      <w:r w:rsidR="00672E19" w:rsidRPr="00672E19">
        <w:rPr>
          <w:rFonts w:ascii="Arial" w:hAnsi="Arial"/>
        </w:rPr>
        <w:t>(Public Health England, 2019)</w:t>
      </w:r>
      <w:r w:rsidR="00672E19">
        <w:rPr>
          <w:rFonts w:ascii="Arial" w:hAnsi="Arial"/>
        </w:rPr>
        <w:t>.</w:t>
      </w:r>
    </w:p>
    <w:p w14:paraId="7BDE2F74" w14:textId="77777777" w:rsidR="00435F71" w:rsidRPr="00435F71" w:rsidRDefault="00435F71" w:rsidP="00435F71">
      <w:pPr>
        <w:spacing w:line="360" w:lineRule="auto"/>
        <w:jc w:val="both"/>
        <w:rPr>
          <w:rFonts w:ascii="Arial" w:hAnsi="Arial"/>
        </w:rPr>
      </w:pPr>
      <w:r w:rsidRPr="00435F71">
        <w:rPr>
          <w:rFonts w:ascii="Arial" w:hAnsi="Arial"/>
        </w:rPr>
        <w:t>However, local initiatives also face challenges. One major issue is inequality in access. People living in deprived areas are less likely to engage with health services due to barriers such as low income, lack of awareness, and limited access to transport. For example, life expectancy can vary significantly between London boroughs, reflecting ongoing health inequalities (Public Health England, 2021).</w:t>
      </w:r>
    </w:p>
    <w:p w14:paraId="15CF81DC" w14:textId="3734E233" w:rsidR="00435F71" w:rsidRPr="00435F71" w:rsidRDefault="00435F71" w:rsidP="00435F71">
      <w:pPr>
        <w:spacing w:line="360" w:lineRule="auto"/>
        <w:jc w:val="both"/>
        <w:rPr>
          <w:rFonts w:ascii="Arial" w:hAnsi="Arial"/>
        </w:rPr>
      </w:pPr>
      <w:r w:rsidRPr="00435F71">
        <w:rPr>
          <w:rFonts w:ascii="Arial" w:hAnsi="Arial"/>
        </w:rPr>
        <w:t>Additionally, the rise of digital health services has created a “digital divide,” where some individuals cannot access online healthcare due to lack of skills or technology. This can increase inequalities rather than reduce them</w:t>
      </w:r>
      <w:r w:rsidR="00672E19">
        <w:rPr>
          <w:rFonts w:ascii="Arial" w:hAnsi="Arial"/>
        </w:rPr>
        <w:t xml:space="preserve"> </w:t>
      </w:r>
      <w:r w:rsidR="00672E19" w:rsidRPr="00672E19">
        <w:rPr>
          <w:rFonts w:ascii="Arial" w:hAnsi="Arial"/>
        </w:rPr>
        <w:t>(Health and Social Care Committee, 2023)</w:t>
      </w:r>
      <w:r w:rsidR="00672E19">
        <w:rPr>
          <w:rFonts w:ascii="Arial" w:hAnsi="Arial"/>
        </w:rPr>
        <w:t>.</w:t>
      </w:r>
    </w:p>
    <w:p w14:paraId="54B58D31" w14:textId="77777777" w:rsidR="00435F71" w:rsidRDefault="00435F71" w:rsidP="00435F71">
      <w:pPr>
        <w:spacing w:line="360" w:lineRule="auto"/>
        <w:jc w:val="both"/>
        <w:rPr>
          <w:rFonts w:ascii="Arial" w:hAnsi="Arial"/>
        </w:rPr>
      </w:pPr>
      <w:r w:rsidRPr="00435F71">
        <w:rPr>
          <w:rFonts w:ascii="Arial" w:hAnsi="Arial"/>
        </w:rPr>
        <w:t>Critically, while local programmes are effective in promoting behaviour change, they often focus on individual responsibility rather than addressing structural issues such as poverty and housing. Therefore, their long-term impact is limited unless combined with wider policy changes.</w:t>
      </w:r>
    </w:p>
    <w:p w14:paraId="3737E233" w14:textId="247EFB13" w:rsidR="00B079C0" w:rsidRPr="00B079C0" w:rsidRDefault="00B079C0" w:rsidP="00B079C0">
      <w:pPr>
        <w:pStyle w:val="Heading1"/>
      </w:pPr>
      <w:bookmarkStart w:id="6" w:name="_Toc224951675"/>
      <w:r w:rsidRPr="00B079C0">
        <w:lastRenderedPageBreak/>
        <w:t>Recommendations</w:t>
      </w:r>
      <w:bookmarkEnd w:id="6"/>
      <w:r w:rsidRPr="00B079C0">
        <w:t xml:space="preserve"> </w:t>
      </w:r>
    </w:p>
    <w:p w14:paraId="75EDA0AF" w14:textId="77777777" w:rsidR="00B079C0" w:rsidRPr="00B079C0" w:rsidRDefault="00B079C0" w:rsidP="00B079C0">
      <w:pPr>
        <w:spacing w:line="360" w:lineRule="auto"/>
        <w:jc w:val="both"/>
        <w:rPr>
          <w:rFonts w:ascii="Arial" w:hAnsi="Arial"/>
        </w:rPr>
      </w:pPr>
      <w:r w:rsidRPr="00B079C0">
        <w:rPr>
          <w:rFonts w:ascii="Arial" w:hAnsi="Arial"/>
        </w:rPr>
        <w:t>Based on the analysis of SDG 3 and SDG 10, several recommendations can be made to improve health and wellbeing outcomes in the UK.</w:t>
      </w:r>
    </w:p>
    <w:p w14:paraId="383A3FDA" w14:textId="77777777" w:rsidR="00B079C0" w:rsidRPr="00B079C0" w:rsidRDefault="00B079C0" w:rsidP="00B079C0">
      <w:pPr>
        <w:spacing w:line="360" w:lineRule="auto"/>
        <w:jc w:val="both"/>
        <w:rPr>
          <w:rFonts w:ascii="Arial" w:hAnsi="Arial"/>
        </w:rPr>
      </w:pPr>
      <w:r w:rsidRPr="00B079C0">
        <w:rPr>
          <w:rFonts w:ascii="Arial" w:hAnsi="Arial"/>
        </w:rPr>
        <w:t>Firstly, there is a need to address the social determinants of health, such as housing, education, and income. Evidence shows that people living in deprived areas experience worse health outcomes and shorter life expectancy (Marmot et al., 2020). Therefore, policies should focus on reducing poverty and improving living conditions. This could include increased investment in affordable housing, employment opportunities, and education programmes. Addressing these root causes would support both SDG 3 and SDG 10.</w:t>
      </w:r>
    </w:p>
    <w:p w14:paraId="2DB065CA" w14:textId="77777777" w:rsidR="00B079C0" w:rsidRPr="00B079C0" w:rsidRDefault="00B079C0" w:rsidP="00B079C0">
      <w:pPr>
        <w:spacing w:line="360" w:lineRule="auto"/>
        <w:jc w:val="both"/>
        <w:rPr>
          <w:rFonts w:ascii="Arial" w:hAnsi="Arial"/>
        </w:rPr>
      </w:pPr>
      <w:r w:rsidRPr="00B079C0">
        <w:rPr>
          <w:rFonts w:ascii="Arial" w:hAnsi="Arial"/>
        </w:rPr>
        <w:t>Secondly, increasing NHS funding and workforce capacity is essential. The NHS Long Term Plan has strong goals, but staff shortages and long waiting times reduce its effectiveness (The King’s Fund, 2023). Providing more funding for healthcare services and training more healthcare professionals would improve access to care and reduce delays in treatment.</w:t>
      </w:r>
    </w:p>
    <w:p w14:paraId="633DB6D2" w14:textId="3C748CC2" w:rsidR="00B079C0" w:rsidRPr="00B079C0" w:rsidRDefault="009D60A4" w:rsidP="00B079C0">
      <w:pPr>
        <w:spacing w:line="360" w:lineRule="auto"/>
        <w:jc w:val="both"/>
        <w:rPr>
          <w:rFonts w:ascii="Arial" w:hAnsi="Arial"/>
        </w:rPr>
      </w:pPr>
      <w:r w:rsidRPr="009D60A4">
        <w:rPr>
          <w:rFonts w:ascii="Arial" w:hAnsi="Arial"/>
        </w:rPr>
        <w:t>Thirdly, improving access to local health services is important, especially for disadvantaged groups. Many individuals face barriers such as lack of transport, low awareness, and digital exclusion, which can significantly limit their ability to access care (NHS England, 2021; World Health Organization, 2020). Expanding community-based services and reducing the digital divide can help ensure equal access to healthcare. For example, combining digital services with face-to-face support can improve inclusivity and reduce health inequalities (The King’s Fund, 2022).</w:t>
      </w:r>
    </w:p>
    <w:p w14:paraId="519B7838" w14:textId="62839E41" w:rsidR="00B079C0" w:rsidRPr="00B079C0" w:rsidRDefault="00B079C0" w:rsidP="00B079C0">
      <w:pPr>
        <w:spacing w:line="360" w:lineRule="auto"/>
        <w:jc w:val="both"/>
        <w:rPr>
          <w:rFonts w:ascii="Arial" w:hAnsi="Arial"/>
        </w:rPr>
      </w:pPr>
      <w:r w:rsidRPr="00B079C0">
        <w:rPr>
          <w:rFonts w:ascii="Arial" w:hAnsi="Arial"/>
        </w:rPr>
        <w:t>Finally, there should be stronger investment in health promotion and prevention strategies. Approaches such as Making Every Contact Count (MECC) can support behaviour change and improve long-term health outcomes. However, these strategies should be combined with wider policy changes to address inequality.</w:t>
      </w:r>
    </w:p>
    <w:p w14:paraId="545FE5B1" w14:textId="77777777" w:rsidR="00B079C0" w:rsidRPr="00B079C0" w:rsidRDefault="00B079C0" w:rsidP="00B079C0">
      <w:pPr>
        <w:spacing w:line="360" w:lineRule="auto"/>
        <w:jc w:val="both"/>
        <w:rPr>
          <w:rFonts w:ascii="Arial" w:hAnsi="Arial"/>
        </w:rPr>
      </w:pPr>
      <w:r w:rsidRPr="00B079C0">
        <w:rPr>
          <w:rFonts w:ascii="Arial" w:hAnsi="Arial"/>
        </w:rPr>
        <w:t>Overall, these recommendations focus on both healthcare improvement and tackling inequality, which are essential for achieving sustainable health outcomes.</w:t>
      </w:r>
    </w:p>
    <w:p w14:paraId="1C6540FD" w14:textId="38270DE5" w:rsidR="00B079C0" w:rsidRPr="00B079C0" w:rsidRDefault="00B079C0" w:rsidP="00B079C0">
      <w:pPr>
        <w:pStyle w:val="Heading1"/>
      </w:pPr>
      <w:bookmarkStart w:id="7" w:name="_Toc224951676"/>
      <w:r w:rsidRPr="00B079C0">
        <w:lastRenderedPageBreak/>
        <w:t>Conclusion</w:t>
      </w:r>
      <w:bookmarkEnd w:id="7"/>
      <w:r w:rsidRPr="00B079C0">
        <w:t xml:space="preserve"> </w:t>
      </w:r>
    </w:p>
    <w:p w14:paraId="737AE27A" w14:textId="77777777" w:rsidR="00B079C0" w:rsidRPr="00B079C0" w:rsidRDefault="00B079C0" w:rsidP="00B079C0">
      <w:pPr>
        <w:spacing w:line="360" w:lineRule="auto"/>
        <w:jc w:val="both"/>
        <w:rPr>
          <w:rFonts w:ascii="Arial" w:hAnsi="Arial"/>
        </w:rPr>
      </w:pPr>
      <w:r w:rsidRPr="00B079C0">
        <w:rPr>
          <w:rFonts w:ascii="Arial" w:hAnsi="Arial"/>
        </w:rPr>
        <w:t>In conclusion, this report has shown that SDG 3 (Good Health and Wellbeing) and SDG 10 (Reduced Inequalities) are closely connected and both play an important role in improving people’s health. While SDG 3 focuses on healthcare, prevention, and wellbeing, SDG 10 highlights the need to reduce social and economic inequalities that affect health outcomes.</w:t>
      </w:r>
    </w:p>
    <w:p w14:paraId="4C4F67D8" w14:textId="77777777" w:rsidR="00B079C0" w:rsidRPr="00B079C0" w:rsidRDefault="00B079C0" w:rsidP="00B079C0">
      <w:pPr>
        <w:spacing w:line="360" w:lineRule="auto"/>
        <w:jc w:val="both"/>
        <w:rPr>
          <w:rFonts w:ascii="Arial" w:hAnsi="Arial"/>
        </w:rPr>
      </w:pPr>
      <w:r w:rsidRPr="00B079C0">
        <w:rPr>
          <w:rFonts w:ascii="Arial" w:hAnsi="Arial"/>
        </w:rPr>
        <w:t xml:space="preserve">The analysis found that, although global, national, and local initiatives have improved health in many areas, significant challenges </w:t>
      </w:r>
      <w:proofErr w:type="gramStart"/>
      <w:r w:rsidRPr="00B079C0">
        <w:rPr>
          <w:rFonts w:ascii="Arial" w:hAnsi="Arial"/>
        </w:rPr>
        <w:t>still remain</w:t>
      </w:r>
      <w:proofErr w:type="gramEnd"/>
      <w:r w:rsidRPr="00B079C0">
        <w:rPr>
          <w:rFonts w:ascii="Arial" w:hAnsi="Arial"/>
        </w:rPr>
        <w:t>. Health inequalities continue to affect disadvantaged groups, and current policies often focus more on treatment and individual behaviour rather than addressing wider social issues.</w:t>
      </w:r>
    </w:p>
    <w:p w14:paraId="1A6956B2" w14:textId="1310B8A4" w:rsidR="00435F71" w:rsidRPr="00DB0306" w:rsidRDefault="00B079C0" w:rsidP="00DB0306">
      <w:pPr>
        <w:spacing w:line="360" w:lineRule="auto"/>
        <w:jc w:val="both"/>
        <w:rPr>
          <w:rFonts w:ascii="Arial" w:hAnsi="Arial"/>
        </w:rPr>
      </w:pPr>
      <w:r w:rsidRPr="00B079C0">
        <w:rPr>
          <w:rFonts w:ascii="Arial" w:hAnsi="Arial"/>
        </w:rPr>
        <w:t>Overall, achieving sustainable health improvement requires a more holistic approach that combines healthcare services with action on inequality. The SDGs provide a strong framework for this, but greater effort, investment, and policy change are needed to ensure better health and wellbeing for all.</w:t>
      </w:r>
    </w:p>
    <w:p w14:paraId="5E94F5CF" w14:textId="77777777" w:rsidR="00DB0306" w:rsidRDefault="00DB0306" w:rsidP="00DB0306">
      <w:pPr>
        <w:spacing w:line="360" w:lineRule="auto"/>
        <w:jc w:val="both"/>
        <w:rPr>
          <w:rFonts w:ascii="Arial" w:hAnsi="Arial"/>
        </w:rPr>
      </w:pPr>
    </w:p>
    <w:p w14:paraId="44982224" w14:textId="77777777" w:rsidR="00DB0306" w:rsidRPr="00DB0306" w:rsidRDefault="00DB0306" w:rsidP="00DB0306">
      <w:pPr>
        <w:spacing w:line="360" w:lineRule="auto"/>
        <w:jc w:val="both"/>
        <w:rPr>
          <w:rFonts w:ascii="Arial" w:hAnsi="Arial"/>
        </w:rPr>
      </w:pPr>
    </w:p>
    <w:p w14:paraId="2FE24445" w14:textId="77777777" w:rsidR="001045F3" w:rsidRDefault="001045F3">
      <w:pPr>
        <w:rPr>
          <w:rFonts w:ascii="Segoe UI Emoji" w:hAnsi="Segoe UI Emoji" w:cs="Segoe UI Emoji"/>
          <w:b/>
          <w:bCs/>
        </w:rPr>
      </w:pPr>
      <w:r>
        <w:rPr>
          <w:rFonts w:ascii="Segoe UI Emoji" w:hAnsi="Segoe UI Emoji" w:cs="Segoe UI Emoji"/>
          <w:b/>
          <w:bCs/>
        </w:rPr>
        <w:br w:type="page"/>
      </w:r>
    </w:p>
    <w:p w14:paraId="3E2E9034" w14:textId="6B305DD1" w:rsidR="00DA2570" w:rsidRPr="00DA2570" w:rsidRDefault="00DA2570" w:rsidP="00BE36AE">
      <w:pPr>
        <w:pStyle w:val="Heading1"/>
      </w:pPr>
      <w:bookmarkStart w:id="8" w:name="_Toc224951677"/>
      <w:r w:rsidRPr="00DA2570">
        <w:lastRenderedPageBreak/>
        <w:t>References</w:t>
      </w:r>
      <w:bookmarkEnd w:id="8"/>
      <w:r w:rsidRPr="00DA2570">
        <w:t xml:space="preserve"> </w:t>
      </w:r>
    </w:p>
    <w:p w14:paraId="7F41032F" w14:textId="77777777" w:rsidR="00BE36AE" w:rsidRPr="00BE36AE" w:rsidRDefault="00BE36AE" w:rsidP="00BE36AE">
      <w:pPr>
        <w:spacing w:line="360" w:lineRule="auto"/>
        <w:rPr>
          <w:rFonts w:ascii="Arial" w:hAnsi="Arial"/>
        </w:rPr>
      </w:pPr>
      <w:r w:rsidRPr="00BE36AE">
        <w:rPr>
          <w:rFonts w:ascii="Arial" w:hAnsi="Arial"/>
        </w:rPr>
        <w:t xml:space="preserve">Health and Social Care Committee (2023) </w:t>
      </w:r>
      <w:r w:rsidRPr="00BE36AE">
        <w:rPr>
          <w:rFonts w:ascii="Arial" w:hAnsi="Arial"/>
          <w:i/>
          <w:iCs/>
        </w:rPr>
        <w:t>Digital transformation in the NHS (HC 223).</w:t>
      </w:r>
      <w:r w:rsidRPr="00BE36AE">
        <w:rPr>
          <w:rFonts w:ascii="Arial" w:hAnsi="Arial"/>
        </w:rPr>
        <w:t xml:space="preserve"> Available at: Digital transformation in the NHS report (Accessed: 14 March 2026).</w:t>
      </w:r>
    </w:p>
    <w:p w14:paraId="7C240E1E" w14:textId="77777777" w:rsidR="00BE36AE" w:rsidRPr="00BE36AE" w:rsidRDefault="00BE36AE" w:rsidP="00BE36AE">
      <w:pPr>
        <w:spacing w:line="360" w:lineRule="auto"/>
        <w:rPr>
          <w:rFonts w:ascii="Arial" w:hAnsi="Arial"/>
        </w:rPr>
      </w:pPr>
      <w:r w:rsidRPr="00BE36AE">
        <w:rPr>
          <w:rFonts w:ascii="Arial" w:hAnsi="Arial"/>
        </w:rPr>
        <w:t xml:space="preserve">Marmot, M., Allen, J., Boyce, T., Goldblatt, P. and Morrison, J. (2020) </w:t>
      </w:r>
      <w:r w:rsidRPr="00BE36AE">
        <w:rPr>
          <w:rFonts w:ascii="Arial" w:hAnsi="Arial"/>
          <w:i/>
          <w:iCs/>
        </w:rPr>
        <w:t>Health Equity in England: The Marmot Review 10 Years On.</w:t>
      </w:r>
      <w:r w:rsidRPr="00BE36AE">
        <w:rPr>
          <w:rFonts w:ascii="Arial" w:hAnsi="Arial"/>
        </w:rPr>
        <w:t xml:space="preserve"> London: Institute of Health Equity. Available at: </w:t>
      </w:r>
      <w:hyperlink r:id="rId7" w:tgtFrame="_new" w:history="1">
        <w:r w:rsidRPr="00BE36AE">
          <w:rPr>
            <w:rStyle w:val="Hyperlink"/>
            <w:rFonts w:ascii="Arial" w:hAnsi="Arial"/>
          </w:rPr>
          <w:t>https://www.health.org.uk/publications/reports/the-marmot-review-10-years-on</w:t>
        </w:r>
      </w:hyperlink>
      <w:r w:rsidRPr="00BE36AE">
        <w:rPr>
          <w:rFonts w:ascii="Arial" w:hAnsi="Arial"/>
        </w:rPr>
        <w:t xml:space="preserve"> (Accessed: 18 March 2026).</w:t>
      </w:r>
    </w:p>
    <w:p w14:paraId="0E3E9268" w14:textId="77777777" w:rsidR="00BE36AE" w:rsidRPr="00BE36AE" w:rsidRDefault="00BE36AE" w:rsidP="00BE36AE">
      <w:pPr>
        <w:spacing w:line="360" w:lineRule="auto"/>
        <w:rPr>
          <w:rFonts w:ascii="Arial" w:hAnsi="Arial"/>
        </w:rPr>
      </w:pPr>
      <w:r w:rsidRPr="00BE36AE">
        <w:rPr>
          <w:rFonts w:ascii="Arial" w:hAnsi="Arial"/>
        </w:rPr>
        <w:t xml:space="preserve">NHS (2020) </w:t>
      </w:r>
      <w:r w:rsidRPr="00BE36AE">
        <w:rPr>
          <w:rFonts w:ascii="Arial" w:hAnsi="Arial"/>
          <w:i/>
          <w:iCs/>
        </w:rPr>
        <w:t>Healthier Families (formerly Change4Life).</w:t>
      </w:r>
      <w:r w:rsidRPr="00BE36AE">
        <w:rPr>
          <w:rFonts w:ascii="Arial" w:hAnsi="Arial"/>
        </w:rPr>
        <w:t xml:space="preserve"> Available at: </w:t>
      </w:r>
      <w:hyperlink r:id="rId8" w:tgtFrame="_new" w:history="1">
        <w:r w:rsidRPr="00BE36AE">
          <w:rPr>
            <w:rStyle w:val="Hyperlink"/>
            <w:rFonts w:ascii="Arial" w:hAnsi="Arial"/>
          </w:rPr>
          <w:t>https://www.nhs.uk/healthier-families/</w:t>
        </w:r>
      </w:hyperlink>
      <w:r w:rsidRPr="00BE36AE">
        <w:rPr>
          <w:rFonts w:ascii="Arial" w:hAnsi="Arial"/>
        </w:rPr>
        <w:t xml:space="preserve"> (Accessed: 13 March 2026).</w:t>
      </w:r>
    </w:p>
    <w:p w14:paraId="11835CDA" w14:textId="77777777" w:rsidR="00BE36AE" w:rsidRPr="00BE36AE" w:rsidRDefault="00BE36AE" w:rsidP="00BE36AE">
      <w:pPr>
        <w:spacing w:line="360" w:lineRule="auto"/>
        <w:rPr>
          <w:rFonts w:ascii="Arial" w:hAnsi="Arial"/>
        </w:rPr>
      </w:pPr>
      <w:r w:rsidRPr="00BE36AE">
        <w:rPr>
          <w:rFonts w:ascii="Arial" w:hAnsi="Arial"/>
        </w:rPr>
        <w:t xml:space="preserve">NHS (2023) </w:t>
      </w:r>
      <w:r w:rsidRPr="00BE36AE">
        <w:rPr>
          <w:rFonts w:ascii="Arial" w:hAnsi="Arial"/>
          <w:i/>
          <w:iCs/>
        </w:rPr>
        <w:t>NHS Health Check.</w:t>
      </w:r>
      <w:r w:rsidRPr="00BE36AE">
        <w:rPr>
          <w:rFonts w:ascii="Arial" w:hAnsi="Arial"/>
        </w:rPr>
        <w:t xml:space="preserve"> Available at: </w:t>
      </w:r>
      <w:hyperlink r:id="rId9" w:tgtFrame="_new" w:history="1">
        <w:r w:rsidRPr="00BE36AE">
          <w:rPr>
            <w:rStyle w:val="Hyperlink"/>
            <w:rFonts w:ascii="Arial" w:hAnsi="Arial"/>
          </w:rPr>
          <w:t>https://www.nhs.uk/tests-and-treatments/nhs-health-check/</w:t>
        </w:r>
      </w:hyperlink>
      <w:r w:rsidRPr="00BE36AE">
        <w:rPr>
          <w:rFonts w:ascii="Arial" w:hAnsi="Arial"/>
        </w:rPr>
        <w:t xml:space="preserve"> (Accessed: 19 March 2026).</w:t>
      </w:r>
    </w:p>
    <w:p w14:paraId="778DCC17" w14:textId="77777777" w:rsidR="00BE36AE" w:rsidRPr="00BE36AE" w:rsidRDefault="00BE36AE" w:rsidP="00BE36AE">
      <w:pPr>
        <w:spacing w:line="360" w:lineRule="auto"/>
        <w:rPr>
          <w:rFonts w:ascii="Arial" w:hAnsi="Arial"/>
        </w:rPr>
      </w:pPr>
      <w:r w:rsidRPr="00BE36AE">
        <w:rPr>
          <w:rFonts w:ascii="Arial" w:hAnsi="Arial"/>
        </w:rPr>
        <w:t xml:space="preserve">NHS England (2019) </w:t>
      </w:r>
      <w:r w:rsidRPr="00BE36AE">
        <w:rPr>
          <w:rFonts w:ascii="Arial" w:hAnsi="Arial"/>
          <w:i/>
          <w:iCs/>
        </w:rPr>
        <w:t>The NHS Long Term Plan.</w:t>
      </w:r>
      <w:r w:rsidRPr="00BE36AE">
        <w:rPr>
          <w:rFonts w:ascii="Arial" w:hAnsi="Arial"/>
        </w:rPr>
        <w:t xml:space="preserve"> Available at: </w:t>
      </w:r>
      <w:hyperlink r:id="rId10" w:tgtFrame="_new" w:history="1">
        <w:r w:rsidRPr="00BE36AE">
          <w:rPr>
            <w:rStyle w:val="Hyperlink"/>
            <w:rFonts w:ascii="Arial" w:hAnsi="Arial"/>
          </w:rPr>
          <w:t>https://www.longtermplan.nhs.uk</w:t>
        </w:r>
      </w:hyperlink>
      <w:r w:rsidRPr="00BE36AE">
        <w:rPr>
          <w:rFonts w:ascii="Arial" w:hAnsi="Arial"/>
        </w:rPr>
        <w:t xml:space="preserve"> (Accessed: 15 March 2026).</w:t>
      </w:r>
    </w:p>
    <w:p w14:paraId="15DB97B4" w14:textId="77777777" w:rsidR="00BE36AE" w:rsidRPr="00BE36AE" w:rsidRDefault="00BE36AE" w:rsidP="00BE36AE">
      <w:pPr>
        <w:spacing w:line="360" w:lineRule="auto"/>
        <w:rPr>
          <w:rFonts w:ascii="Arial" w:hAnsi="Arial"/>
        </w:rPr>
      </w:pPr>
      <w:r w:rsidRPr="00BE36AE">
        <w:rPr>
          <w:rFonts w:ascii="Arial" w:hAnsi="Arial"/>
        </w:rPr>
        <w:t xml:space="preserve">NHS England (2021) </w:t>
      </w:r>
      <w:r w:rsidRPr="00BE36AE">
        <w:rPr>
          <w:rFonts w:ascii="Arial" w:hAnsi="Arial"/>
          <w:i/>
          <w:iCs/>
        </w:rPr>
        <w:t>Advancing mental health equalities strategy.</w:t>
      </w:r>
      <w:r w:rsidRPr="00BE36AE">
        <w:rPr>
          <w:rFonts w:ascii="Arial" w:hAnsi="Arial"/>
        </w:rPr>
        <w:t xml:space="preserve"> Available at: </w:t>
      </w:r>
      <w:hyperlink r:id="rId11" w:tgtFrame="_new" w:history="1">
        <w:r w:rsidRPr="00BE36AE">
          <w:rPr>
            <w:rStyle w:val="Hyperlink"/>
            <w:rFonts w:ascii="Arial" w:hAnsi="Arial"/>
          </w:rPr>
          <w:t>https://www.england.nhs.uk/publication/advancing-mental-health-equalities-strategy/</w:t>
        </w:r>
      </w:hyperlink>
      <w:r w:rsidRPr="00BE36AE">
        <w:rPr>
          <w:rFonts w:ascii="Arial" w:hAnsi="Arial"/>
        </w:rPr>
        <w:t xml:space="preserve"> (Accessed: 13 March 2026).</w:t>
      </w:r>
    </w:p>
    <w:p w14:paraId="245785EC" w14:textId="77777777" w:rsidR="00BE36AE" w:rsidRPr="00BE36AE" w:rsidRDefault="00BE36AE" w:rsidP="00BE36AE">
      <w:pPr>
        <w:spacing w:line="360" w:lineRule="auto"/>
        <w:rPr>
          <w:rFonts w:ascii="Arial" w:hAnsi="Arial"/>
        </w:rPr>
      </w:pPr>
      <w:r w:rsidRPr="00BE36AE">
        <w:rPr>
          <w:rFonts w:ascii="Arial" w:hAnsi="Arial"/>
        </w:rPr>
        <w:t xml:space="preserve">NHS England (2021) </w:t>
      </w:r>
      <w:r w:rsidRPr="00BE36AE">
        <w:rPr>
          <w:rFonts w:ascii="Arial" w:hAnsi="Arial"/>
          <w:i/>
          <w:iCs/>
        </w:rPr>
        <w:t>Core20PLUS5: An approach to reducing health inequalities.</w:t>
      </w:r>
      <w:r w:rsidRPr="00BE36AE">
        <w:rPr>
          <w:rFonts w:ascii="Arial" w:hAnsi="Arial"/>
        </w:rPr>
        <w:t xml:space="preserve"> Available at: </w:t>
      </w:r>
      <w:hyperlink r:id="rId12" w:tgtFrame="_new" w:history="1">
        <w:r w:rsidRPr="00BE36AE">
          <w:rPr>
            <w:rStyle w:val="Hyperlink"/>
            <w:rFonts w:ascii="Arial" w:hAnsi="Arial"/>
          </w:rPr>
          <w:t>https://www.england.nhs.uk/publication/core20plus5-an-approach-to-reducing-health-inequalities-supporting-information/</w:t>
        </w:r>
      </w:hyperlink>
      <w:r w:rsidRPr="00BE36AE">
        <w:rPr>
          <w:rFonts w:ascii="Arial" w:hAnsi="Arial"/>
        </w:rPr>
        <w:t xml:space="preserve"> (Accessed: 17 March 2026).</w:t>
      </w:r>
    </w:p>
    <w:p w14:paraId="4CB964AF" w14:textId="77777777" w:rsidR="00BE36AE" w:rsidRPr="00BE36AE" w:rsidRDefault="00BE36AE" w:rsidP="00BE36AE">
      <w:pPr>
        <w:spacing w:line="360" w:lineRule="auto"/>
        <w:rPr>
          <w:rFonts w:ascii="Arial" w:hAnsi="Arial"/>
        </w:rPr>
      </w:pPr>
      <w:r w:rsidRPr="00BE36AE">
        <w:rPr>
          <w:rFonts w:ascii="Arial" w:hAnsi="Arial"/>
        </w:rPr>
        <w:t xml:space="preserve">Office for National Statistics (2022) </w:t>
      </w:r>
      <w:r w:rsidRPr="00BE36AE">
        <w:rPr>
          <w:rFonts w:ascii="Arial" w:hAnsi="Arial"/>
          <w:i/>
          <w:iCs/>
        </w:rPr>
        <w:t>Health state life expectancies by national deprivation deciles, England: 2018 to 2020.</w:t>
      </w:r>
      <w:r w:rsidRPr="00BE36AE">
        <w:rPr>
          <w:rFonts w:ascii="Arial" w:hAnsi="Arial"/>
        </w:rPr>
        <w:t xml:space="preserve"> Available at: </w:t>
      </w:r>
      <w:hyperlink r:id="rId13" w:tgtFrame="_new" w:history="1">
        <w:r w:rsidRPr="00BE36AE">
          <w:rPr>
            <w:rStyle w:val="Hyperlink"/>
            <w:rFonts w:ascii="Arial" w:hAnsi="Arial"/>
          </w:rPr>
          <w:t>https://www.ons.gov.uk/peoplepopulationandcommunity/healthandsocialcare/healthinequalities/bulletins/healthstatelifeexpectanciesbyindexofmultipledeprivationimd/2018to2020</w:t>
        </w:r>
      </w:hyperlink>
      <w:r w:rsidRPr="00BE36AE">
        <w:rPr>
          <w:rFonts w:ascii="Arial" w:hAnsi="Arial"/>
        </w:rPr>
        <w:t xml:space="preserve"> (Accessed: 18 March 2026).</w:t>
      </w:r>
    </w:p>
    <w:p w14:paraId="7F585F05" w14:textId="77777777" w:rsidR="00BE36AE" w:rsidRPr="00BE36AE" w:rsidRDefault="00BE36AE" w:rsidP="00BE36AE">
      <w:pPr>
        <w:spacing w:line="360" w:lineRule="auto"/>
        <w:rPr>
          <w:rFonts w:ascii="Arial" w:hAnsi="Arial"/>
        </w:rPr>
      </w:pPr>
      <w:r w:rsidRPr="00BE36AE">
        <w:rPr>
          <w:rFonts w:ascii="Arial" w:hAnsi="Arial"/>
        </w:rPr>
        <w:t xml:space="preserve">Public Health England (2019) </w:t>
      </w:r>
      <w:r w:rsidRPr="00BE36AE">
        <w:rPr>
          <w:rFonts w:ascii="Arial" w:hAnsi="Arial"/>
          <w:i/>
          <w:iCs/>
        </w:rPr>
        <w:t>Making Every Contact Count (MECC): Implementation guide.</w:t>
      </w:r>
      <w:r w:rsidRPr="00BE36AE">
        <w:rPr>
          <w:rFonts w:ascii="Arial" w:hAnsi="Arial"/>
        </w:rPr>
        <w:t xml:space="preserve"> Available at: </w:t>
      </w:r>
      <w:hyperlink r:id="rId14" w:tgtFrame="_new" w:history="1">
        <w:r w:rsidRPr="00BE36AE">
          <w:rPr>
            <w:rStyle w:val="Hyperlink"/>
            <w:rFonts w:ascii="Arial" w:hAnsi="Arial"/>
          </w:rPr>
          <w:t>https://assets.publishing.service.gov.uk/media/5c338375e5274a65a5da03d6/MECC_Implememenation_guide_v2.pdf</w:t>
        </w:r>
      </w:hyperlink>
      <w:r w:rsidRPr="00BE36AE">
        <w:rPr>
          <w:rFonts w:ascii="Arial" w:hAnsi="Arial"/>
        </w:rPr>
        <w:t xml:space="preserve"> (Accessed: 12 March 2026).</w:t>
      </w:r>
    </w:p>
    <w:p w14:paraId="7C422DA9" w14:textId="77777777" w:rsidR="00BE36AE" w:rsidRPr="00BE36AE" w:rsidRDefault="00BE36AE" w:rsidP="00BE36AE">
      <w:pPr>
        <w:spacing w:line="360" w:lineRule="auto"/>
        <w:rPr>
          <w:rFonts w:ascii="Arial" w:hAnsi="Arial"/>
        </w:rPr>
      </w:pPr>
      <w:r w:rsidRPr="00BE36AE">
        <w:rPr>
          <w:rFonts w:ascii="Arial" w:hAnsi="Arial"/>
        </w:rPr>
        <w:lastRenderedPageBreak/>
        <w:t xml:space="preserve">Public Health England (2021) </w:t>
      </w:r>
      <w:r w:rsidRPr="00BE36AE">
        <w:rPr>
          <w:rFonts w:ascii="Arial" w:hAnsi="Arial"/>
          <w:i/>
          <w:iCs/>
        </w:rPr>
        <w:t>Health profile for England.</w:t>
      </w:r>
      <w:r w:rsidRPr="00BE36AE">
        <w:rPr>
          <w:rFonts w:ascii="Arial" w:hAnsi="Arial"/>
        </w:rPr>
        <w:t xml:space="preserve"> Available at: </w:t>
      </w:r>
      <w:hyperlink r:id="rId15" w:tgtFrame="_new" w:history="1">
        <w:r w:rsidRPr="00BE36AE">
          <w:rPr>
            <w:rStyle w:val="Hyperlink"/>
            <w:rFonts w:ascii="Arial" w:hAnsi="Arial"/>
          </w:rPr>
          <w:t>https://www.gov.uk/government/publications/health-profile-for-england-2021</w:t>
        </w:r>
      </w:hyperlink>
      <w:r w:rsidRPr="00BE36AE">
        <w:rPr>
          <w:rFonts w:ascii="Arial" w:hAnsi="Arial"/>
        </w:rPr>
        <w:t xml:space="preserve"> (Accessed: 20 March 2026).</w:t>
      </w:r>
    </w:p>
    <w:p w14:paraId="11DEAD80" w14:textId="77777777" w:rsidR="00BE36AE" w:rsidRPr="00BE36AE" w:rsidRDefault="00BE36AE" w:rsidP="00BE36AE">
      <w:pPr>
        <w:spacing w:line="360" w:lineRule="auto"/>
        <w:rPr>
          <w:rFonts w:ascii="Arial" w:hAnsi="Arial"/>
        </w:rPr>
      </w:pPr>
      <w:r w:rsidRPr="00BE36AE">
        <w:rPr>
          <w:rFonts w:ascii="Arial" w:hAnsi="Arial"/>
        </w:rPr>
        <w:t xml:space="preserve">The Health Foundation (2022) </w:t>
      </w:r>
      <w:r w:rsidRPr="00BE36AE">
        <w:rPr>
          <w:rFonts w:ascii="Arial" w:hAnsi="Arial"/>
          <w:i/>
          <w:iCs/>
        </w:rPr>
        <w:t>Quantifying health inequalities in England.</w:t>
      </w:r>
      <w:r w:rsidRPr="00BE36AE">
        <w:rPr>
          <w:rFonts w:ascii="Arial" w:hAnsi="Arial"/>
        </w:rPr>
        <w:t xml:space="preserve"> Available at: </w:t>
      </w:r>
      <w:hyperlink r:id="rId16" w:tgtFrame="_new" w:history="1">
        <w:r w:rsidRPr="00BE36AE">
          <w:rPr>
            <w:rStyle w:val="Hyperlink"/>
            <w:rFonts w:ascii="Arial" w:hAnsi="Arial"/>
          </w:rPr>
          <w:t>https://www.health.org.uk/news-and-comment/charts-and-infographics/quantifying-health-inequalities</w:t>
        </w:r>
      </w:hyperlink>
      <w:r w:rsidRPr="00BE36AE">
        <w:rPr>
          <w:rFonts w:ascii="Arial" w:hAnsi="Arial"/>
        </w:rPr>
        <w:t xml:space="preserve"> (Accessed: 16 March 2026).</w:t>
      </w:r>
    </w:p>
    <w:p w14:paraId="26B2B9C7" w14:textId="77777777" w:rsidR="00BE36AE" w:rsidRPr="00BE36AE" w:rsidRDefault="00BE36AE" w:rsidP="00BE36AE">
      <w:pPr>
        <w:spacing w:line="360" w:lineRule="auto"/>
        <w:rPr>
          <w:rFonts w:ascii="Arial" w:hAnsi="Arial"/>
        </w:rPr>
      </w:pPr>
      <w:r w:rsidRPr="00BE36AE">
        <w:rPr>
          <w:rFonts w:ascii="Arial" w:hAnsi="Arial"/>
        </w:rPr>
        <w:t xml:space="preserve">The King’s Fund (2022) </w:t>
      </w:r>
      <w:r w:rsidRPr="00BE36AE">
        <w:rPr>
          <w:rFonts w:ascii="Arial" w:hAnsi="Arial"/>
          <w:i/>
          <w:iCs/>
        </w:rPr>
        <w:t>Moving from exclusion to inclusion in digital health and care.</w:t>
      </w:r>
      <w:r w:rsidRPr="00BE36AE">
        <w:rPr>
          <w:rFonts w:ascii="Arial" w:hAnsi="Arial"/>
        </w:rPr>
        <w:t xml:space="preserve"> Available at: </w:t>
      </w:r>
      <w:hyperlink r:id="rId17" w:tgtFrame="_new" w:history="1">
        <w:r w:rsidRPr="00BE36AE">
          <w:rPr>
            <w:rStyle w:val="Hyperlink"/>
            <w:rFonts w:ascii="Arial" w:hAnsi="Arial"/>
          </w:rPr>
          <w:t>https://www.kingsfund.org.uk/insight-and-analysis/long-reads/exclusion-inclusion-digital-health-care</w:t>
        </w:r>
      </w:hyperlink>
      <w:r w:rsidRPr="00BE36AE">
        <w:rPr>
          <w:rFonts w:ascii="Arial" w:hAnsi="Arial"/>
        </w:rPr>
        <w:t xml:space="preserve"> (Accessed: 14 March 2026).</w:t>
      </w:r>
    </w:p>
    <w:p w14:paraId="318DDC90" w14:textId="77777777" w:rsidR="00BE36AE" w:rsidRPr="00BE36AE" w:rsidRDefault="00BE36AE" w:rsidP="00BE36AE">
      <w:pPr>
        <w:spacing w:line="360" w:lineRule="auto"/>
        <w:rPr>
          <w:rFonts w:ascii="Arial" w:hAnsi="Arial"/>
        </w:rPr>
      </w:pPr>
      <w:r w:rsidRPr="00BE36AE">
        <w:rPr>
          <w:rFonts w:ascii="Arial" w:hAnsi="Arial"/>
        </w:rPr>
        <w:t xml:space="preserve">The King’s Fund (2023) </w:t>
      </w:r>
      <w:r w:rsidRPr="00BE36AE">
        <w:rPr>
          <w:rFonts w:ascii="Arial" w:hAnsi="Arial"/>
          <w:i/>
          <w:iCs/>
        </w:rPr>
        <w:t>Public satisfaction with the NHS and social care in 2023.</w:t>
      </w:r>
      <w:r w:rsidRPr="00BE36AE">
        <w:rPr>
          <w:rFonts w:ascii="Arial" w:hAnsi="Arial"/>
        </w:rPr>
        <w:t xml:space="preserve"> Available at: </w:t>
      </w:r>
      <w:hyperlink r:id="rId18" w:tgtFrame="_new" w:history="1">
        <w:r w:rsidRPr="00BE36AE">
          <w:rPr>
            <w:rStyle w:val="Hyperlink"/>
            <w:rFonts w:ascii="Arial" w:hAnsi="Arial"/>
          </w:rPr>
          <w:t>https://www.kingsfund.org.uk/insight-and-analysis/reports/public-satisfaction-nhs-social-care-2023</w:t>
        </w:r>
      </w:hyperlink>
      <w:r w:rsidRPr="00BE36AE">
        <w:rPr>
          <w:rFonts w:ascii="Arial" w:hAnsi="Arial"/>
        </w:rPr>
        <w:t xml:space="preserve"> (Accessed: 18 March 2026).</w:t>
      </w:r>
    </w:p>
    <w:p w14:paraId="2A534EEA" w14:textId="77777777" w:rsidR="00BE36AE" w:rsidRPr="00BE36AE" w:rsidRDefault="00BE36AE" w:rsidP="00BE36AE">
      <w:pPr>
        <w:spacing w:line="360" w:lineRule="auto"/>
        <w:rPr>
          <w:rFonts w:ascii="Arial" w:hAnsi="Arial"/>
        </w:rPr>
      </w:pPr>
      <w:r w:rsidRPr="00BE36AE">
        <w:rPr>
          <w:rFonts w:ascii="Arial" w:hAnsi="Arial"/>
        </w:rPr>
        <w:t xml:space="preserve">United Nations (2024) </w:t>
      </w:r>
      <w:r w:rsidRPr="00BE36AE">
        <w:rPr>
          <w:rFonts w:ascii="Arial" w:hAnsi="Arial"/>
          <w:i/>
          <w:iCs/>
        </w:rPr>
        <w:t>Sustainable Development Goals.</w:t>
      </w:r>
      <w:r w:rsidRPr="00BE36AE">
        <w:rPr>
          <w:rFonts w:ascii="Arial" w:hAnsi="Arial"/>
        </w:rPr>
        <w:t xml:space="preserve"> Available at: </w:t>
      </w:r>
      <w:hyperlink r:id="rId19" w:tgtFrame="_new" w:history="1">
        <w:r w:rsidRPr="00BE36AE">
          <w:rPr>
            <w:rStyle w:val="Hyperlink"/>
            <w:rFonts w:ascii="Arial" w:hAnsi="Arial"/>
          </w:rPr>
          <w:t>https://sdgs.un.org/goals</w:t>
        </w:r>
      </w:hyperlink>
      <w:r w:rsidRPr="00BE36AE">
        <w:rPr>
          <w:rFonts w:ascii="Arial" w:hAnsi="Arial"/>
        </w:rPr>
        <w:t xml:space="preserve"> (Accessed: 13 March 2026).</w:t>
      </w:r>
    </w:p>
    <w:p w14:paraId="59072F3D" w14:textId="77777777" w:rsidR="00BE36AE" w:rsidRPr="00BE36AE" w:rsidRDefault="00BE36AE" w:rsidP="00BE36AE">
      <w:pPr>
        <w:spacing w:line="360" w:lineRule="auto"/>
        <w:rPr>
          <w:rFonts w:ascii="Arial" w:hAnsi="Arial"/>
        </w:rPr>
      </w:pPr>
      <w:r w:rsidRPr="00BE36AE">
        <w:rPr>
          <w:rFonts w:ascii="Arial" w:hAnsi="Arial"/>
        </w:rPr>
        <w:t xml:space="preserve">World Health Organization (2021) </w:t>
      </w:r>
      <w:r w:rsidRPr="00BE36AE">
        <w:rPr>
          <w:rFonts w:ascii="Arial" w:hAnsi="Arial"/>
          <w:i/>
          <w:iCs/>
        </w:rPr>
        <w:t>Global strategy on digital health 2020–2025.</w:t>
      </w:r>
      <w:r w:rsidRPr="00BE36AE">
        <w:rPr>
          <w:rFonts w:ascii="Arial" w:hAnsi="Arial"/>
        </w:rPr>
        <w:t xml:space="preserve"> Available at: </w:t>
      </w:r>
      <w:hyperlink r:id="rId20" w:tgtFrame="_new" w:history="1">
        <w:r w:rsidRPr="00BE36AE">
          <w:rPr>
            <w:rStyle w:val="Hyperlink"/>
            <w:rFonts w:ascii="Arial" w:hAnsi="Arial"/>
          </w:rPr>
          <w:t>https://www.who.int/publications/i/item/9789240020924</w:t>
        </w:r>
      </w:hyperlink>
      <w:r w:rsidRPr="00BE36AE">
        <w:rPr>
          <w:rFonts w:ascii="Arial" w:hAnsi="Arial"/>
        </w:rPr>
        <w:t xml:space="preserve"> (Accessed: 17 March 2026).</w:t>
      </w:r>
    </w:p>
    <w:p w14:paraId="03AC14E6" w14:textId="77777777" w:rsidR="00BE36AE" w:rsidRPr="00BE36AE" w:rsidRDefault="00BE36AE" w:rsidP="00BE36AE">
      <w:pPr>
        <w:spacing w:line="360" w:lineRule="auto"/>
        <w:rPr>
          <w:rFonts w:ascii="Arial" w:hAnsi="Arial"/>
        </w:rPr>
      </w:pPr>
      <w:r w:rsidRPr="00BE36AE">
        <w:rPr>
          <w:rFonts w:ascii="Arial" w:hAnsi="Arial"/>
        </w:rPr>
        <w:t xml:space="preserve">World Health Organization (2021) </w:t>
      </w:r>
      <w:r w:rsidRPr="00BE36AE">
        <w:rPr>
          <w:rFonts w:ascii="Arial" w:hAnsi="Arial"/>
          <w:i/>
          <w:iCs/>
        </w:rPr>
        <w:t>Health promotion.</w:t>
      </w:r>
      <w:r w:rsidRPr="00BE36AE">
        <w:rPr>
          <w:rFonts w:ascii="Arial" w:hAnsi="Arial"/>
        </w:rPr>
        <w:t xml:space="preserve"> Available at: </w:t>
      </w:r>
      <w:hyperlink r:id="rId21" w:tgtFrame="_new" w:history="1">
        <w:r w:rsidRPr="00BE36AE">
          <w:rPr>
            <w:rStyle w:val="Hyperlink"/>
            <w:rFonts w:ascii="Arial" w:hAnsi="Arial"/>
          </w:rPr>
          <w:t>https://www.who.int/health-topics/health-promotion</w:t>
        </w:r>
      </w:hyperlink>
      <w:r w:rsidRPr="00BE36AE">
        <w:rPr>
          <w:rFonts w:ascii="Arial" w:hAnsi="Arial"/>
        </w:rPr>
        <w:t xml:space="preserve"> (Accessed: 16 March 2026).</w:t>
      </w:r>
    </w:p>
    <w:p w14:paraId="7BAA77F2" w14:textId="77777777" w:rsidR="00BE36AE" w:rsidRPr="00BE36AE" w:rsidRDefault="00BE36AE" w:rsidP="00BE36AE">
      <w:pPr>
        <w:spacing w:line="360" w:lineRule="auto"/>
        <w:rPr>
          <w:rFonts w:ascii="Arial" w:hAnsi="Arial"/>
        </w:rPr>
      </w:pPr>
      <w:r w:rsidRPr="00BE36AE">
        <w:rPr>
          <w:rFonts w:ascii="Arial" w:hAnsi="Arial"/>
        </w:rPr>
        <w:t xml:space="preserve">World Health Organization (2023) </w:t>
      </w:r>
      <w:r w:rsidRPr="00BE36AE">
        <w:rPr>
          <w:rFonts w:ascii="Arial" w:hAnsi="Arial"/>
          <w:i/>
          <w:iCs/>
        </w:rPr>
        <w:t>Mental health.</w:t>
      </w:r>
      <w:r w:rsidRPr="00BE36AE">
        <w:rPr>
          <w:rFonts w:ascii="Arial" w:hAnsi="Arial"/>
        </w:rPr>
        <w:t xml:space="preserve"> Available at: </w:t>
      </w:r>
      <w:hyperlink r:id="rId22" w:tgtFrame="_new" w:history="1">
        <w:r w:rsidRPr="00BE36AE">
          <w:rPr>
            <w:rStyle w:val="Hyperlink"/>
            <w:rFonts w:ascii="Arial" w:hAnsi="Arial"/>
          </w:rPr>
          <w:t>https://www.who.int/health-topics/mental-health</w:t>
        </w:r>
      </w:hyperlink>
      <w:r w:rsidRPr="00BE36AE">
        <w:rPr>
          <w:rFonts w:ascii="Arial" w:hAnsi="Arial"/>
        </w:rPr>
        <w:t xml:space="preserve"> (Accessed: 15 March 2026).</w:t>
      </w:r>
    </w:p>
    <w:p w14:paraId="55C86830" w14:textId="77777777" w:rsidR="00BE36AE" w:rsidRPr="00BE36AE" w:rsidRDefault="00BE36AE" w:rsidP="00BE36AE">
      <w:pPr>
        <w:spacing w:line="360" w:lineRule="auto"/>
        <w:rPr>
          <w:rFonts w:ascii="Arial" w:hAnsi="Arial"/>
        </w:rPr>
      </w:pPr>
      <w:r w:rsidRPr="00BE36AE">
        <w:rPr>
          <w:rFonts w:ascii="Arial" w:hAnsi="Arial"/>
        </w:rPr>
        <w:t xml:space="preserve">World Health Organization (2023) </w:t>
      </w:r>
      <w:r w:rsidRPr="00BE36AE">
        <w:rPr>
          <w:rFonts w:ascii="Arial" w:hAnsi="Arial"/>
          <w:i/>
          <w:iCs/>
        </w:rPr>
        <w:t>Noncommunicable diseases.</w:t>
      </w:r>
      <w:r w:rsidRPr="00BE36AE">
        <w:rPr>
          <w:rFonts w:ascii="Arial" w:hAnsi="Arial"/>
        </w:rPr>
        <w:t xml:space="preserve"> Available at: </w:t>
      </w:r>
      <w:hyperlink r:id="rId23" w:tgtFrame="_new" w:history="1">
        <w:r w:rsidRPr="00BE36AE">
          <w:rPr>
            <w:rStyle w:val="Hyperlink"/>
            <w:rFonts w:ascii="Arial" w:hAnsi="Arial"/>
          </w:rPr>
          <w:t>https://www.who.int/news-room/fact-sheets/detail/noncommunicable-diseases</w:t>
        </w:r>
      </w:hyperlink>
      <w:r w:rsidRPr="00BE36AE">
        <w:rPr>
          <w:rFonts w:ascii="Arial" w:hAnsi="Arial"/>
        </w:rPr>
        <w:t xml:space="preserve"> (Accessed: 19 March 2026).</w:t>
      </w:r>
    </w:p>
    <w:p w14:paraId="0451DB39" w14:textId="77777777" w:rsidR="00BE36AE" w:rsidRPr="00BE36AE" w:rsidRDefault="00BE36AE" w:rsidP="00BE36AE">
      <w:pPr>
        <w:spacing w:line="360" w:lineRule="auto"/>
        <w:rPr>
          <w:rFonts w:ascii="Arial" w:hAnsi="Arial"/>
        </w:rPr>
      </w:pPr>
      <w:r w:rsidRPr="00BE36AE">
        <w:rPr>
          <w:rFonts w:ascii="Arial" w:hAnsi="Arial"/>
        </w:rPr>
        <w:t xml:space="preserve">World Health Organization (2023) </w:t>
      </w:r>
      <w:r w:rsidRPr="00BE36AE">
        <w:rPr>
          <w:rFonts w:ascii="Arial" w:hAnsi="Arial"/>
          <w:i/>
          <w:iCs/>
        </w:rPr>
        <w:t>Social determinants of health.</w:t>
      </w:r>
      <w:r w:rsidRPr="00BE36AE">
        <w:rPr>
          <w:rFonts w:ascii="Arial" w:hAnsi="Arial"/>
        </w:rPr>
        <w:t xml:space="preserve"> Available at: </w:t>
      </w:r>
      <w:hyperlink r:id="rId24" w:tgtFrame="_new" w:history="1">
        <w:r w:rsidRPr="00BE36AE">
          <w:rPr>
            <w:rStyle w:val="Hyperlink"/>
            <w:rFonts w:ascii="Arial" w:hAnsi="Arial"/>
          </w:rPr>
          <w:t>https://www.who.int/health-topics/social-determinants-of-health</w:t>
        </w:r>
      </w:hyperlink>
      <w:r w:rsidRPr="00BE36AE">
        <w:rPr>
          <w:rFonts w:ascii="Arial" w:hAnsi="Arial"/>
        </w:rPr>
        <w:t xml:space="preserve"> (Accessed: 12 March 2026).</w:t>
      </w:r>
    </w:p>
    <w:p w14:paraId="5353CEC1" w14:textId="77777777" w:rsidR="00BE36AE" w:rsidRPr="00BE36AE" w:rsidRDefault="00BE36AE" w:rsidP="00BE36AE">
      <w:pPr>
        <w:spacing w:line="360" w:lineRule="auto"/>
        <w:rPr>
          <w:rFonts w:ascii="Arial" w:hAnsi="Arial"/>
        </w:rPr>
      </w:pPr>
      <w:r w:rsidRPr="00BE36AE">
        <w:rPr>
          <w:rFonts w:ascii="Arial" w:hAnsi="Arial"/>
        </w:rPr>
        <w:t xml:space="preserve">World Health Organization (2023) </w:t>
      </w:r>
      <w:r w:rsidRPr="00BE36AE">
        <w:rPr>
          <w:rFonts w:ascii="Arial" w:hAnsi="Arial"/>
          <w:i/>
          <w:iCs/>
        </w:rPr>
        <w:t>World health statistics.</w:t>
      </w:r>
      <w:r w:rsidRPr="00BE36AE">
        <w:rPr>
          <w:rFonts w:ascii="Arial" w:hAnsi="Arial"/>
        </w:rPr>
        <w:t xml:space="preserve"> Available at: </w:t>
      </w:r>
      <w:hyperlink r:id="rId25" w:tgtFrame="_new" w:history="1">
        <w:r w:rsidRPr="00BE36AE">
          <w:rPr>
            <w:rStyle w:val="Hyperlink"/>
            <w:rFonts w:ascii="Arial" w:hAnsi="Arial"/>
          </w:rPr>
          <w:t>https://www.who.int/data/gho/publications/world-health-statistics</w:t>
        </w:r>
      </w:hyperlink>
      <w:r w:rsidRPr="00BE36AE">
        <w:rPr>
          <w:rFonts w:ascii="Arial" w:hAnsi="Arial"/>
        </w:rPr>
        <w:t xml:space="preserve"> (Accessed: 20 March 2026).</w:t>
      </w:r>
    </w:p>
    <w:p w14:paraId="6175FCD2" w14:textId="10686D14" w:rsidR="001226B0" w:rsidRPr="00DB0306" w:rsidRDefault="001226B0" w:rsidP="00DB0306">
      <w:pPr>
        <w:spacing w:line="360" w:lineRule="auto"/>
        <w:jc w:val="both"/>
        <w:rPr>
          <w:rFonts w:ascii="Arial" w:hAnsi="Arial"/>
        </w:rPr>
      </w:pPr>
    </w:p>
    <w:p w14:paraId="2FD94952" w14:textId="77777777" w:rsidR="00DB0306" w:rsidRPr="00DA2570" w:rsidRDefault="00DB0306" w:rsidP="00DA2570">
      <w:pPr>
        <w:spacing w:line="360" w:lineRule="auto"/>
        <w:jc w:val="both"/>
        <w:rPr>
          <w:rFonts w:ascii="Arial" w:hAnsi="Arial"/>
        </w:rPr>
      </w:pPr>
    </w:p>
    <w:p w14:paraId="263C4D24" w14:textId="77777777" w:rsidR="00DA2570" w:rsidRPr="00DA2570" w:rsidRDefault="00DA2570" w:rsidP="00DA2570">
      <w:pPr>
        <w:spacing w:line="360" w:lineRule="auto"/>
        <w:jc w:val="both"/>
        <w:rPr>
          <w:rFonts w:ascii="Arial" w:hAnsi="Arial"/>
        </w:rPr>
      </w:pPr>
    </w:p>
    <w:p w14:paraId="4922B3AF" w14:textId="77777777" w:rsidR="00BA1F67" w:rsidRPr="00DA2570" w:rsidRDefault="00BA1F67" w:rsidP="00DA2570">
      <w:pPr>
        <w:spacing w:line="360" w:lineRule="auto"/>
        <w:jc w:val="both"/>
        <w:rPr>
          <w:rFonts w:ascii="Arial" w:hAnsi="Arial"/>
        </w:rPr>
      </w:pPr>
    </w:p>
    <w:sectPr w:rsidR="00BA1F67" w:rsidRPr="00DA2570" w:rsidSect="00A414DD">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057F1" w14:textId="77777777" w:rsidR="00954D51" w:rsidRDefault="00954D51" w:rsidP="00A414DD">
      <w:pPr>
        <w:spacing w:after="0" w:line="240" w:lineRule="auto"/>
      </w:pPr>
      <w:r>
        <w:separator/>
      </w:r>
    </w:p>
  </w:endnote>
  <w:endnote w:type="continuationSeparator" w:id="0">
    <w:p w14:paraId="1D7566E4" w14:textId="77777777" w:rsidR="00954D51" w:rsidRDefault="00954D51" w:rsidP="00A41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518601"/>
      <w:docPartObj>
        <w:docPartGallery w:val="Page Numbers (Bottom of Page)"/>
        <w:docPartUnique/>
      </w:docPartObj>
    </w:sdtPr>
    <w:sdtEndPr>
      <w:rPr>
        <w:noProof/>
      </w:rPr>
    </w:sdtEndPr>
    <w:sdtContent>
      <w:p w14:paraId="79FF6CFB" w14:textId="70455A6F" w:rsidR="00A414DD" w:rsidRDefault="00A414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EFD6F" w14:textId="77777777" w:rsidR="00A414DD" w:rsidRDefault="00A41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5B2A4" w14:textId="77777777" w:rsidR="00954D51" w:rsidRDefault="00954D51" w:rsidP="00A414DD">
      <w:pPr>
        <w:spacing w:after="0" w:line="240" w:lineRule="auto"/>
      </w:pPr>
      <w:r>
        <w:separator/>
      </w:r>
    </w:p>
  </w:footnote>
  <w:footnote w:type="continuationSeparator" w:id="0">
    <w:p w14:paraId="31F039E4" w14:textId="77777777" w:rsidR="00954D51" w:rsidRDefault="00954D51" w:rsidP="00A414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D99"/>
    <w:rsid w:val="001045F3"/>
    <w:rsid w:val="001226B0"/>
    <w:rsid w:val="001450CE"/>
    <w:rsid w:val="002D6516"/>
    <w:rsid w:val="002F0FB8"/>
    <w:rsid w:val="003076FD"/>
    <w:rsid w:val="003469FB"/>
    <w:rsid w:val="00435F71"/>
    <w:rsid w:val="00535D99"/>
    <w:rsid w:val="00672E19"/>
    <w:rsid w:val="00906C33"/>
    <w:rsid w:val="00954D51"/>
    <w:rsid w:val="009B6E5E"/>
    <w:rsid w:val="009C2C44"/>
    <w:rsid w:val="009D60A4"/>
    <w:rsid w:val="00A40C99"/>
    <w:rsid w:val="00A414DD"/>
    <w:rsid w:val="00A76622"/>
    <w:rsid w:val="00B079C0"/>
    <w:rsid w:val="00BA1F67"/>
    <w:rsid w:val="00BE36AE"/>
    <w:rsid w:val="00D75FA3"/>
    <w:rsid w:val="00DA2570"/>
    <w:rsid w:val="00DB0306"/>
    <w:rsid w:val="00E63438"/>
    <w:rsid w:val="00EA1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CBBF"/>
  <w15:chartTrackingRefBased/>
  <w15:docId w15:val="{1C510A30-C4B1-4409-8551-A361B939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D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5D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5D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D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D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D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D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D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D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D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5D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5D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D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D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D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D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D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D99"/>
    <w:rPr>
      <w:rFonts w:eastAsiaTheme="majorEastAsia" w:cstheme="majorBidi"/>
      <w:color w:val="272727" w:themeColor="text1" w:themeTint="D8"/>
    </w:rPr>
  </w:style>
  <w:style w:type="paragraph" w:styleId="Title">
    <w:name w:val="Title"/>
    <w:basedOn w:val="Normal"/>
    <w:next w:val="Normal"/>
    <w:link w:val="TitleChar"/>
    <w:uiPriority w:val="10"/>
    <w:qFormat/>
    <w:rsid w:val="00535D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D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D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D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D99"/>
    <w:pPr>
      <w:spacing w:before="160"/>
      <w:jc w:val="center"/>
    </w:pPr>
    <w:rPr>
      <w:i/>
      <w:iCs/>
      <w:color w:val="404040" w:themeColor="text1" w:themeTint="BF"/>
    </w:rPr>
  </w:style>
  <w:style w:type="character" w:customStyle="1" w:styleId="QuoteChar">
    <w:name w:val="Quote Char"/>
    <w:basedOn w:val="DefaultParagraphFont"/>
    <w:link w:val="Quote"/>
    <w:uiPriority w:val="29"/>
    <w:rsid w:val="00535D99"/>
    <w:rPr>
      <w:i/>
      <w:iCs/>
      <w:color w:val="404040" w:themeColor="text1" w:themeTint="BF"/>
    </w:rPr>
  </w:style>
  <w:style w:type="paragraph" w:styleId="ListParagraph">
    <w:name w:val="List Paragraph"/>
    <w:basedOn w:val="Normal"/>
    <w:uiPriority w:val="34"/>
    <w:qFormat/>
    <w:rsid w:val="00535D99"/>
    <w:pPr>
      <w:ind w:left="720"/>
      <w:contextualSpacing/>
    </w:pPr>
  </w:style>
  <w:style w:type="character" w:styleId="IntenseEmphasis">
    <w:name w:val="Intense Emphasis"/>
    <w:basedOn w:val="DefaultParagraphFont"/>
    <w:uiPriority w:val="21"/>
    <w:qFormat/>
    <w:rsid w:val="00535D99"/>
    <w:rPr>
      <w:i/>
      <w:iCs/>
      <w:color w:val="0F4761" w:themeColor="accent1" w:themeShade="BF"/>
    </w:rPr>
  </w:style>
  <w:style w:type="paragraph" w:styleId="IntenseQuote">
    <w:name w:val="Intense Quote"/>
    <w:basedOn w:val="Normal"/>
    <w:next w:val="Normal"/>
    <w:link w:val="IntenseQuoteChar"/>
    <w:uiPriority w:val="30"/>
    <w:qFormat/>
    <w:rsid w:val="00535D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D99"/>
    <w:rPr>
      <w:i/>
      <w:iCs/>
      <w:color w:val="0F4761" w:themeColor="accent1" w:themeShade="BF"/>
    </w:rPr>
  </w:style>
  <w:style w:type="character" w:styleId="IntenseReference">
    <w:name w:val="Intense Reference"/>
    <w:basedOn w:val="DefaultParagraphFont"/>
    <w:uiPriority w:val="32"/>
    <w:qFormat/>
    <w:rsid w:val="00535D99"/>
    <w:rPr>
      <w:b/>
      <w:bCs/>
      <w:smallCaps/>
      <w:color w:val="0F4761" w:themeColor="accent1" w:themeShade="BF"/>
      <w:spacing w:val="5"/>
    </w:rPr>
  </w:style>
  <w:style w:type="character" w:styleId="Hyperlink">
    <w:name w:val="Hyperlink"/>
    <w:basedOn w:val="DefaultParagraphFont"/>
    <w:uiPriority w:val="99"/>
    <w:unhideWhenUsed/>
    <w:rsid w:val="00DA2570"/>
    <w:rPr>
      <w:color w:val="467886" w:themeColor="hyperlink"/>
      <w:u w:val="single"/>
    </w:rPr>
  </w:style>
  <w:style w:type="character" w:styleId="UnresolvedMention">
    <w:name w:val="Unresolved Mention"/>
    <w:basedOn w:val="DefaultParagraphFont"/>
    <w:uiPriority w:val="99"/>
    <w:semiHidden/>
    <w:unhideWhenUsed/>
    <w:rsid w:val="00DA2570"/>
    <w:rPr>
      <w:color w:val="605E5C"/>
      <w:shd w:val="clear" w:color="auto" w:fill="E1DFDD"/>
    </w:rPr>
  </w:style>
  <w:style w:type="paragraph" w:styleId="TOCHeading">
    <w:name w:val="TOC Heading"/>
    <w:basedOn w:val="Heading1"/>
    <w:next w:val="Normal"/>
    <w:uiPriority w:val="39"/>
    <w:unhideWhenUsed/>
    <w:qFormat/>
    <w:rsid w:val="002F0FB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0FB8"/>
    <w:pPr>
      <w:spacing w:after="100"/>
    </w:pPr>
  </w:style>
  <w:style w:type="paragraph" w:styleId="TOC2">
    <w:name w:val="toc 2"/>
    <w:basedOn w:val="Normal"/>
    <w:next w:val="Normal"/>
    <w:autoRedefine/>
    <w:uiPriority w:val="39"/>
    <w:unhideWhenUsed/>
    <w:rsid w:val="002F0FB8"/>
    <w:pPr>
      <w:spacing w:after="100"/>
      <w:ind w:left="240"/>
    </w:pPr>
  </w:style>
  <w:style w:type="character" w:styleId="FollowedHyperlink">
    <w:name w:val="FollowedHyperlink"/>
    <w:basedOn w:val="DefaultParagraphFont"/>
    <w:uiPriority w:val="99"/>
    <w:semiHidden/>
    <w:unhideWhenUsed/>
    <w:rsid w:val="001045F3"/>
    <w:rPr>
      <w:color w:val="96607D" w:themeColor="followedHyperlink"/>
      <w:u w:val="single"/>
    </w:rPr>
  </w:style>
  <w:style w:type="paragraph" w:styleId="NoSpacing">
    <w:name w:val="No Spacing"/>
    <w:link w:val="NoSpacingChar"/>
    <w:uiPriority w:val="1"/>
    <w:qFormat/>
    <w:rsid w:val="00A414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414DD"/>
    <w:rPr>
      <w:rFonts w:eastAsiaTheme="minorEastAsia"/>
      <w:kern w:val="0"/>
      <w:sz w:val="22"/>
      <w:szCs w:val="22"/>
      <w:lang w:val="en-US"/>
      <w14:ligatures w14:val="none"/>
    </w:rPr>
  </w:style>
  <w:style w:type="paragraph" w:styleId="Header">
    <w:name w:val="header"/>
    <w:basedOn w:val="Normal"/>
    <w:link w:val="HeaderChar"/>
    <w:uiPriority w:val="99"/>
    <w:unhideWhenUsed/>
    <w:rsid w:val="00A414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4DD"/>
  </w:style>
  <w:style w:type="paragraph" w:styleId="Footer">
    <w:name w:val="footer"/>
    <w:basedOn w:val="Normal"/>
    <w:link w:val="FooterChar"/>
    <w:uiPriority w:val="99"/>
    <w:unhideWhenUsed/>
    <w:rsid w:val="00A414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healthier-families/" TargetMode="External"/><Relationship Id="rId13" Type="http://schemas.openxmlformats.org/officeDocument/2006/relationships/hyperlink" Target="https://www.ons.gov.uk/peoplepopulationandcommunity/healthandsocialcare/healthinequalities/bulletins/healthstatelifeexpectanciesbyindexofmultipledeprivationimd/2018to2020" TargetMode="External"/><Relationship Id="rId18" Type="http://schemas.openxmlformats.org/officeDocument/2006/relationships/hyperlink" Target="https://www.kingsfund.org.uk/insight-and-analysis/reports/public-satisfaction-nhs-social-care-202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who.int/health-topics/health-promotion" TargetMode="External"/><Relationship Id="rId7" Type="http://schemas.openxmlformats.org/officeDocument/2006/relationships/hyperlink" Target="https://www.health.org.uk/publications/reports/the-marmot-review-10-years-on" TargetMode="External"/><Relationship Id="rId12" Type="http://schemas.openxmlformats.org/officeDocument/2006/relationships/hyperlink" Target="https://www.england.nhs.uk/publication/core20plus5-an-approach-to-reducing-health-inequalities-supporting-information/" TargetMode="External"/><Relationship Id="rId17" Type="http://schemas.openxmlformats.org/officeDocument/2006/relationships/hyperlink" Target="https://www.kingsfund.org.uk/insight-and-analysis/long-reads/exclusion-inclusion-digital-health-care" TargetMode="External"/><Relationship Id="rId25" Type="http://schemas.openxmlformats.org/officeDocument/2006/relationships/hyperlink" Target="https://www.who.int/data/gho/publications/world-health-statistics" TargetMode="External"/><Relationship Id="rId2" Type="http://schemas.openxmlformats.org/officeDocument/2006/relationships/styles" Target="styles.xml"/><Relationship Id="rId16" Type="http://schemas.openxmlformats.org/officeDocument/2006/relationships/hyperlink" Target="https://www.health.org.uk/news-and-comment/charts-and-infographics/quantifying-health-inequalities" TargetMode="External"/><Relationship Id="rId20" Type="http://schemas.openxmlformats.org/officeDocument/2006/relationships/hyperlink" Target="https://www.who.int/publications/i/item/97892400209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publication/advancing-mental-health-equalities-strategy/" TargetMode="External"/><Relationship Id="rId24" Type="http://schemas.openxmlformats.org/officeDocument/2006/relationships/hyperlink" Target="https://www.who.int/health-topics/social-determinants-of-health" TargetMode="External"/><Relationship Id="rId5" Type="http://schemas.openxmlformats.org/officeDocument/2006/relationships/footnotes" Target="footnotes.xml"/><Relationship Id="rId15" Type="http://schemas.openxmlformats.org/officeDocument/2006/relationships/hyperlink" Target="https://www.gov.uk/government/publications/health-profile-for-england-2021" TargetMode="External"/><Relationship Id="rId23" Type="http://schemas.openxmlformats.org/officeDocument/2006/relationships/hyperlink" Target="https://www.who.int/news-room/fact-sheets/detail/noncommunicable-diseases" TargetMode="External"/><Relationship Id="rId28" Type="http://schemas.openxmlformats.org/officeDocument/2006/relationships/glossaryDocument" Target="glossary/document.xml"/><Relationship Id="rId10" Type="http://schemas.openxmlformats.org/officeDocument/2006/relationships/hyperlink" Target="https://www.longtermplan.nhs.uk" TargetMode="External"/><Relationship Id="rId19" Type="http://schemas.openxmlformats.org/officeDocument/2006/relationships/hyperlink" Target="https://sdgs.un.org/goals" TargetMode="External"/><Relationship Id="rId4" Type="http://schemas.openxmlformats.org/officeDocument/2006/relationships/webSettings" Target="webSettings.xml"/><Relationship Id="rId9" Type="http://schemas.openxmlformats.org/officeDocument/2006/relationships/hyperlink" Target="https://www.nhs.uk/tests-and-treatments/nhs-health-check/" TargetMode="External"/><Relationship Id="rId14" Type="http://schemas.openxmlformats.org/officeDocument/2006/relationships/hyperlink" Target="https://assets.publishing.service.gov.uk/media/5c338375e5274a65a5da03d6/MECC_Implememenation_guide_v2.pdf" TargetMode="External"/><Relationship Id="rId22" Type="http://schemas.openxmlformats.org/officeDocument/2006/relationships/hyperlink" Target="https://www.who.int/health-topics/mental-health"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0031A639EE4E10892F0A1E2C3D6891"/>
        <w:category>
          <w:name w:val="General"/>
          <w:gallery w:val="placeholder"/>
        </w:category>
        <w:types>
          <w:type w:val="bbPlcHdr"/>
        </w:types>
        <w:behaviors>
          <w:behavior w:val="content"/>
        </w:behaviors>
        <w:guid w:val="{C4A832E8-DCB7-46DD-97D9-91E285D644E5}"/>
      </w:docPartPr>
      <w:docPartBody>
        <w:p w:rsidR="00000000" w:rsidRDefault="00B35D5C" w:rsidP="00B35D5C">
          <w:pPr>
            <w:pStyle w:val="CE0031A639EE4E10892F0A1E2C3D6891"/>
          </w:pPr>
          <w:r>
            <w:rPr>
              <w:color w:val="0F4761" w:themeColor="accent1" w:themeShade="BF"/>
            </w:rPr>
            <w:t>[Company name]</w:t>
          </w:r>
        </w:p>
      </w:docPartBody>
    </w:docPart>
    <w:docPart>
      <w:docPartPr>
        <w:name w:val="33EE8E43010A47EB9CBB1F47FEB35AC3"/>
        <w:category>
          <w:name w:val="General"/>
          <w:gallery w:val="placeholder"/>
        </w:category>
        <w:types>
          <w:type w:val="bbPlcHdr"/>
        </w:types>
        <w:behaviors>
          <w:behavior w:val="content"/>
        </w:behaviors>
        <w:guid w:val="{F437A891-D81E-42D5-B862-5E5184896C62}"/>
      </w:docPartPr>
      <w:docPartBody>
        <w:p w:rsidR="00000000" w:rsidRDefault="00B35D5C" w:rsidP="00B35D5C">
          <w:pPr>
            <w:pStyle w:val="33EE8E43010A47EB9CBB1F47FEB35AC3"/>
          </w:pPr>
          <w:r>
            <w:rPr>
              <w:rFonts w:asciiTheme="majorHAnsi" w:eastAsiaTheme="majorEastAsia" w:hAnsiTheme="majorHAnsi" w:cstheme="majorBidi"/>
              <w:color w:val="156082" w:themeColor="accent1"/>
              <w:sz w:val="88"/>
              <w:szCs w:val="88"/>
            </w:rPr>
            <w:t>[Document title]</w:t>
          </w:r>
        </w:p>
      </w:docPartBody>
    </w:docPart>
    <w:docPart>
      <w:docPartPr>
        <w:name w:val="C9CAEB8A64B94B3C8A8DAF7C8CD26678"/>
        <w:category>
          <w:name w:val="General"/>
          <w:gallery w:val="placeholder"/>
        </w:category>
        <w:types>
          <w:type w:val="bbPlcHdr"/>
        </w:types>
        <w:behaviors>
          <w:behavior w:val="content"/>
        </w:behaviors>
        <w:guid w:val="{B15ABEF7-3251-4C1D-BA47-CA460BBA7F33}"/>
      </w:docPartPr>
      <w:docPartBody>
        <w:p w:rsidR="00000000" w:rsidRDefault="00B35D5C" w:rsidP="00B35D5C">
          <w:pPr>
            <w:pStyle w:val="C9CAEB8A64B94B3C8A8DAF7C8CD26678"/>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5C"/>
    <w:rsid w:val="00A2143E"/>
    <w:rsid w:val="00B35D5C"/>
    <w:rsid w:val="00E63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0031A639EE4E10892F0A1E2C3D6891">
    <w:name w:val="CE0031A639EE4E10892F0A1E2C3D6891"/>
    <w:rsid w:val="00B35D5C"/>
  </w:style>
  <w:style w:type="paragraph" w:customStyle="1" w:styleId="33EE8E43010A47EB9CBB1F47FEB35AC3">
    <w:name w:val="33EE8E43010A47EB9CBB1F47FEB35AC3"/>
    <w:rsid w:val="00B35D5C"/>
  </w:style>
  <w:style w:type="paragraph" w:customStyle="1" w:styleId="C9CAEB8A64B94B3C8A8DAF7C8CD26678">
    <w:name w:val="C9CAEB8A64B94B3C8A8DAF7C8CD26678"/>
    <w:rsid w:val="00B35D5C"/>
  </w:style>
  <w:style w:type="paragraph" w:customStyle="1" w:styleId="A33D9690B7AD4046AE9B7E50D31C1082">
    <w:name w:val="A33D9690B7AD4046AE9B7E50D31C1082"/>
    <w:rsid w:val="00B35D5C"/>
  </w:style>
  <w:style w:type="paragraph" w:customStyle="1" w:styleId="87F4BAFE4A2B4B85927296D026C43D41">
    <w:name w:val="87F4BAFE4A2B4B85927296D026C43D41"/>
    <w:rsid w:val="00B35D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92D60-BCBE-466B-BFBA-641BA00EE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3112</Words>
  <Characters>17741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Health, Wellbeing and Sustainable Development</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(Report)</dc:title>
  <dc:subject>Module Code:  BMHP6030</dc:subject>
  <dc:creator>Iftekhar Rashid</dc:creator>
  <cp:keywords/>
  <dc:description/>
  <cp:lastModifiedBy>Iftekhar Rashid</cp:lastModifiedBy>
  <cp:revision>12</cp:revision>
  <dcterms:created xsi:type="dcterms:W3CDTF">2026-03-20T00:34:00Z</dcterms:created>
  <dcterms:modified xsi:type="dcterms:W3CDTF">2026-03-21T02:17:00Z</dcterms:modified>
</cp:coreProperties>
</file>