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D32B2" w14:textId="0CB71EFB" w:rsidR="00745692" w:rsidRDefault="00745692" w:rsidP="000E06C2">
      <w:pPr>
        <w:jc w:val="center"/>
        <w:rPr>
          <w:rFonts w:ascii="Arial" w:hAnsi="Arial" w:cs="Arial"/>
          <w:b/>
          <w:bCs/>
          <w:sz w:val="22"/>
          <w:szCs w:val="22"/>
        </w:rPr>
      </w:pPr>
    </w:p>
    <w:p w14:paraId="044E5430" w14:textId="77777777" w:rsidR="000E06C2" w:rsidRDefault="000E06C2" w:rsidP="000E06C2">
      <w:pPr>
        <w:jc w:val="center"/>
        <w:rPr>
          <w:rFonts w:ascii="Arial" w:hAnsi="Arial" w:cs="Arial"/>
          <w:b/>
          <w:bCs/>
          <w:sz w:val="22"/>
          <w:szCs w:val="22"/>
        </w:rPr>
      </w:pPr>
    </w:p>
    <w:p w14:paraId="47ABA055" w14:textId="77777777" w:rsidR="000E06C2" w:rsidRDefault="000E06C2" w:rsidP="000E06C2">
      <w:pPr>
        <w:jc w:val="center"/>
        <w:rPr>
          <w:rFonts w:ascii="Arial" w:hAnsi="Arial" w:cs="Arial"/>
          <w:b/>
          <w:bCs/>
          <w:sz w:val="22"/>
          <w:szCs w:val="22"/>
        </w:rPr>
      </w:pPr>
    </w:p>
    <w:p w14:paraId="1CDD2865" w14:textId="77777777" w:rsidR="000E06C2" w:rsidRDefault="000E06C2" w:rsidP="000E06C2">
      <w:pPr>
        <w:jc w:val="center"/>
        <w:rPr>
          <w:rFonts w:ascii="Arial" w:hAnsi="Arial" w:cs="Arial"/>
          <w:b/>
          <w:bCs/>
          <w:sz w:val="22"/>
          <w:szCs w:val="22"/>
        </w:rPr>
      </w:pPr>
    </w:p>
    <w:p w14:paraId="691FFD5C" w14:textId="77777777" w:rsidR="000E06C2" w:rsidRPr="000E06C2" w:rsidRDefault="000E06C2" w:rsidP="000E06C2">
      <w:pPr>
        <w:jc w:val="center"/>
        <w:rPr>
          <w:rFonts w:ascii="Arial" w:hAnsi="Arial" w:cs="Arial"/>
          <w:b/>
          <w:bCs/>
          <w:sz w:val="36"/>
          <w:szCs w:val="36"/>
        </w:rPr>
      </w:pPr>
      <w:r w:rsidRPr="000E06C2">
        <w:rPr>
          <w:rFonts w:ascii="Arial" w:hAnsi="Arial" w:cs="Arial"/>
          <w:b/>
          <w:bCs/>
          <w:sz w:val="36"/>
          <w:szCs w:val="36"/>
        </w:rPr>
        <w:t xml:space="preserve">Name: </w:t>
      </w:r>
      <w:proofErr w:type="spellStart"/>
      <w:r w:rsidRPr="000E06C2">
        <w:rPr>
          <w:rFonts w:ascii="Arial" w:hAnsi="Arial" w:cs="Arial"/>
          <w:b/>
          <w:bCs/>
          <w:sz w:val="36"/>
          <w:szCs w:val="36"/>
        </w:rPr>
        <w:t>Shabila</w:t>
      </w:r>
      <w:proofErr w:type="spellEnd"/>
      <w:r w:rsidRPr="000E06C2">
        <w:rPr>
          <w:rFonts w:ascii="Arial" w:hAnsi="Arial" w:cs="Arial"/>
          <w:b/>
          <w:bCs/>
          <w:sz w:val="36"/>
          <w:szCs w:val="36"/>
        </w:rPr>
        <w:t xml:space="preserve"> Hussain</w:t>
      </w:r>
    </w:p>
    <w:p w14:paraId="0B47A058" w14:textId="77777777" w:rsidR="000E06C2" w:rsidRPr="000E06C2" w:rsidRDefault="000E06C2" w:rsidP="000E06C2">
      <w:pPr>
        <w:jc w:val="center"/>
        <w:rPr>
          <w:rFonts w:ascii="Arial" w:hAnsi="Arial" w:cs="Arial"/>
          <w:b/>
          <w:bCs/>
          <w:sz w:val="36"/>
          <w:szCs w:val="36"/>
        </w:rPr>
      </w:pPr>
      <w:r w:rsidRPr="000E06C2">
        <w:rPr>
          <w:rFonts w:ascii="Arial" w:hAnsi="Arial" w:cs="Arial"/>
          <w:b/>
          <w:bCs/>
          <w:sz w:val="36"/>
          <w:szCs w:val="36"/>
        </w:rPr>
        <w:t>Student Number: 2410302</w:t>
      </w:r>
    </w:p>
    <w:p w14:paraId="55DF155A" w14:textId="77777777" w:rsidR="000E06C2" w:rsidRPr="000E06C2" w:rsidRDefault="000E06C2" w:rsidP="000E06C2">
      <w:pPr>
        <w:jc w:val="center"/>
        <w:rPr>
          <w:rFonts w:ascii="Arial" w:hAnsi="Arial" w:cs="Arial"/>
          <w:b/>
          <w:bCs/>
          <w:sz w:val="36"/>
          <w:szCs w:val="36"/>
        </w:rPr>
      </w:pPr>
      <w:r w:rsidRPr="000E06C2">
        <w:rPr>
          <w:rFonts w:ascii="Arial" w:hAnsi="Arial" w:cs="Arial"/>
          <w:b/>
          <w:bCs/>
          <w:sz w:val="36"/>
          <w:szCs w:val="36"/>
        </w:rPr>
        <w:t>Module Code: BMHP5016</w:t>
      </w:r>
    </w:p>
    <w:p w14:paraId="6A42FF2D" w14:textId="77777777" w:rsidR="000E06C2" w:rsidRPr="000E06C2" w:rsidRDefault="000E06C2" w:rsidP="000E06C2">
      <w:pPr>
        <w:jc w:val="center"/>
        <w:rPr>
          <w:rFonts w:ascii="Arial" w:hAnsi="Arial" w:cs="Arial"/>
          <w:b/>
          <w:bCs/>
          <w:sz w:val="36"/>
          <w:szCs w:val="36"/>
        </w:rPr>
      </w:pPr>
      <w:r w:rsidRPr="000E06C2">
        <w:rPr>
          <w:rFonts w:ascii="Arial" w:hAnsi="Arial" w:cs="Arial"/>
          <w:b/>
          <w:bCs/>
          <w:sz w:val="36"/>
          <w:szCs w:val="36"/>
        </w:rPr>
        <w:t>Module Title: Principles of Health and social care Practice</w:t>
      </w:r>
    </w:p>
    <w:p w14:paraId="27444741" w14:textId="77777777" w:rsidR="000E06C2" w:rsidRPr="000E06C2" w:rsidRDefault="000E06C2" w:rsidP="000E06C2">
      <w:pPr>
        <w:jc w:val="center"/>
        <w:rPr>
          <w:rFonts w:ascii="Arial" w:hAnsi="Arial" w:cs="Arial"/>
          <w:b/>
          <w:bCs/>
          <w:sz w:val="36"/>
          <w:szCs w:val="36"/>
        </w:rPr>
      </w:pPr>
      <w:r w:rsidRPr="000E06C2">
        <w:rPr>
          <w:rFonts w:ascii="Arial" w:hAnsi="Arial" w:cs="Arial"/>
          <w:b/>
          <w:bCs/>
          <w:sz w:val="36"/>
          <w:szCs w:val="36"/>
        </w:rPr>
        <w:t xml:space="preserve">Lecturer Name: Precious </w:t>
      </w:r>
      <w:proofErr w:type="spellStart"/>
      <w:r w:rsidRPr="000E06C2">
        <w:rPr>
          <w:rFonts w:ascii="Arial" w:hAnsi="Arial" w:cs="Arial"/>
          <w:b/>
          <w:bCs/>
          <w:sz w:val="36"/>
          <w:szCs w:val="36"/>
        </w:rPr>
        <w:t>Igbingie</w:t>
      </w:r>
      <w:proofErr w:type="spellEnd"/>
    </w:p>
    <w:p w14:paraId="682C354F" w14:textId="016E3D4B" w:rsidR="00745692" w:rsidRDefault="000E06C2" w:rsidP="000E06C2">
      <w:pPr>
        <w:jc w:val="center"/>
        <w:rPr>
          <w:rFonts w:ascii="Arial" w:hAnsi="Arial" w:cs="Arial"/>
          <w:b/>
          <w:bCs/>
          <w:sz w:val="22"/>
          <w:szCs w:val="22"/>
        </w:rPr>
      </w:pPr>
      <w:r w:rsidRPr="000E06C2">
        <w:rPr>
          <w:rFonts w:ascii="Arial" w:hAnsi="Arial" w:cs="Arial"/>
          <w:b/>
          <w:bCs/>
          <w:sz w:val="36"/>
          <w:szCs w:val="36"/>
        </w:rPr>
        <w:t>Assignment Title: Written Assignment</w:t>
      </w:r>
      <w:r w:rsidR="00745692">
        <w:rPr>
          <w:rFonts w:ascii="Arial" w:hAnsi="Arial" w:cs="Arial"/>
          <w:b/>
          <w:bCs/>
          <w:sz w:val="22"/>
          <w:szCs w:val="22"/>
        </w:rPr>
        <w:br w:type="page"/>
      </w:r>
    </w:p>
    <w:p w14:paraId="624F0672" w14:textId="77777777" w:rsidR="00DF472F" w:rsidRDefault="00DF472F" w:rsidP="00DF472F">
      <w:pPr>
        <w:rPr>
          <w:rFonts w:ascii="Arial" w:hAnsi="Arial" w:cs="Arial"/>
          <w:b/>
          <w:bCs/>
          <w:sz w:val="22"/>
          <w:szCs w:val="22"/>
        </w:rPr>
      </w:pPr>
    </w:p>
    <w:p w14:paraId="68CE6947" w14:textId="1CD9736E" w:rsidR="00DF472F" w:rsidRDefault="00745692" w:rsidP="00DF472F">
      <w:pPr>
        <w:rPr>
          <w:rFonts w:ascii="Arial" w:hAnsi="Arial" w:cs="Arial"/>
          <w:b/>
          <w:bCs/>
          <w:sz w:val="22"/>
          <w:szCs w:val="22"/>
          <w:u w:val="single"/>
        </w:rPr>
      </w:pPr>
      <w:r w:rsidRPr="00745692">
        <w:rPr>
          <w:rFonts w:ascii="Arial" w:hAnsi="Arial" w:cs="Arial"/>
          <w:b/>
          <w:bCs/>
          <w:sz w:val="22"/>
          <w:szCs w:val="22"/>
          <w:u w:val="single"/>
        </w:rPr>
        <w:t xml:space="preserve">Contents </w:t>
      </w:r>
    </w:p>
    <w:p w14:paraId="409DF18D" w14:textId="77777777" w:rsidR="00745692" w:rsidRPr="00745692" w:rsidRDefault="00745692" w:rsidP="000E06C2">
      <w:pPr>
        <w:pStyle w:val="TOC1"/>
      </w:pPr>
      <w:hyperlink r:id="rId6" w:anchor="_Toc225073256" w:history="1">
        <w:r w:rsidRPr="00745692">
          <w:rPr>
            <w:rStyle w:val="Hyperlink"/>
            <w:rFonts w:ascii="Arial" w:hAnsi="Arial" w:cs="Arial"/>
            <w:color w:val="auto"/>
            <w:u w:val="none"/>
          </w:rPr>
          <w:t>Evaluation of Person-Centered Care and Partnership Working in Health and Social Care</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_Toc225073256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3</w:t>
        </w:r>
        <w:r w:rsidRPr="00745692">
          <w:rPr>
            <w:rStyle w:val="Hyperlink"/>
            <w:rFonts w:ascii="Arial" w:hAnsi="Arial" w:cs="Arial"/>
            <w:webHidden/>
            <w:color w:val="auto"/>
            <w:u w:val="none"/>
          </w:rPr>
          <w:fldChar w:fldCharType="end"/>
        </w:r>
      </w:hyperlink>
    </w:p>
    <w:p w14:paraId="06487B1A" w14:textId="77777777" w:rsidR="00745692" w:rsidRPr="00745692" w:rsidRDefault="00745692" w:rsidP="000E06C2">
      <w:pPr>
        <w:pStyle w:val="TOC1"/>
      </w:pPr>
      <w:hyperlink r:id="rId7" w:anchor="_Toc225073257" w:history="1">
        <w:r w:rsidRPr="00745692">
          <w:rPr>
            <w:rStyle w:val="Hyperlink"/>
            <w:rFonts w:ascii="Arial" w:hAnsi="Arial" w:cs="Arial"/>
            <w:color w:val="auto"/>
            <w:u w:val="none"/>
          </w:rPr>
          <w:t>Introduction</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_Toc225073257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3</w:t>
        </w:r>
        <w:r w:rsidRPr="00745692">
          <w:rPr>
            <w:rStyle w:val="Hyperlink"/>
            <w:rFonts w:ascii="Arial" w:hAnsi="Arial" w:cs="Arial"/>
            <w:webHidden/>
            <w:color w:val="auto"/>
            <w:u w:val="none"/>
          </w:rPr>
          <w:fldChar w:fldCharType="end"/>
        </w:r>
      </w:hyperlink>
    </w:p>
    <w:p w14:paraId="25A755DC" w14:textId="740865FF" w:rsidR="00745692" w:rsidRPr="000E06C2" w:rsidRDefault="00745692" w:rsidP="000E06C2">
      <w:pPr>
        <w:pStyle w:val="TOC1"/>
      </w:pPr>
      <w:hyperlink r:id="rId8" w:anchor="_Toc225073258" w:history="1">
        <w:r w:rsidR="000E06C2">
          <w:t>Defining person centered care (PCP……………………………………………………………….3</w:t>
        </w:r>
      </w:hyperlink>
    </w:p>
    <w:p w14:paraId="1F95A25B" w14:textId="77777777" w:rsidR="00745692" w:rsidRPr="00745692" w:rsidRDefault="00745692" w:rsidP="000E06C2">
      <w:pPr>
        <w:pStyle w:val="TOC1"/>
      </w:pPr>
      <w:hyperlink r:id="rId9" w:anchor="_Toc225073259" w:history="1">
        <w:r w:rsidRPr="00745692">
          <w:rPr>
            <w:rStyle w:val="Hyperlink"/>
            <w:rFonts w:ascii="Arial" w:hAnsi="Arial" w:cs="Arial"/>
            <w:color w:val="auto"/>
            <w:u w:val="none"/>
          </w:rPr>
          <w:t>Relevant Theory/Model Underpinning PCC</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_Toc225073259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4</w:t>
        </w:r>
        <w:r w:rsidRPr="00745692">
          <w:rPr>
            <w:rStyle w:val="Hyperlink"/>
            <w:rFonts w:ascii="Arial" w:hAnsi="Arial" w:cs="Arial"/>
            <w:webHidden/>
            <w:color w:val="auto"/>
            <w:u w:val="none"/>
          </w:rPr>
          <w:fldChar w:fldCharType="end"/>
        </w:r>
      </w:hyperlink>
    </w:p>
    <w:p w14:paraId="4A8230D5" w14:textId="77777777" w:rsidR="00745692" w:rsidRPr="00745692" w:rsidRDefault="00745692" w:rsidP="000E06C2">
      <w:pPr>
        <w:pStyle w:val="TOC1"/>
      </w:pPr>
      <w:hyperlink r:id="rId10" w:anchor="_Toc225073260" w:history="1">
        <w:r w:rsidRPr="00745692">
          <w:rPr>
            <w:rStyle w:val="Hyperlink"/>
            <w:rFonts w:ascii="Arial" w:hAnsi="Arial" w:cs="Arial"/>
            <w:color w:val="auto"/>
            <w:u w:val="none"/>
          </w:rPr>
          <w:t>Ethical Fundamentals of Health and Social Care</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_Toc225073260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4</w:t>
        </w:r>
        <w:r w:rsidRPr="00745692">
          <w:rPr>
            <w:rStyle w:val="Hyperlink"/>
            <w:rFonts w:ascii="Arial" w:hAnsi="Arial" w:cs="Arial"/>
            <w:webHidden/>
            <w:color w:val="auto"/>
            <w:u w:val="none"/>
          </w:rPr>
          <w:fldChar w:fldCharType="end"/>
        </w:r>
      </w:hyperlink>
    </w:p>
    <w:p w14:paraId="7F9848EC" w14:textId="77777777" w:rsidR="00745692" w:rsidRPr="00745692" w:rsidRDefault="00745692" w:rsidP="000E06C2">
      <w:pPr>
        <w:pStyle w:val="TOC1"/>
      </w:pPr>
      <w:hyperlink r:id="rId11" w:anchor="_Toc225073261" w:history="1">
        <w:r w:rsidRPr="00745692">
          <w:rPr>
            <w:rStyle w:val="Hyperlink"/>
            <w:rFonts w:ascii="Arial" w:hAnsi="Arial" w:cs="Arial"/>
            <w:color w:val="auto"/>
            <w:u w:val="none"/>
          </w:rPr>
          <w:t>Evaluating Partnership Working (PW) in Health and Social Care</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_Toc225073261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5</w:t>
        </w:r>
        <w:r w:rsidRPr="00745692">
          <w:rPr>
            <w:rStyle w:val="Hyperlink"/>
            <w:rFonts w:ascii="Arial" w:hAnsi="Arial" w:cs="Arial"/>
            <w:webHidden/>
            <w:color w:val="auto"/>
            <w:u w:val="none"/>
          </w:rPr>
          <w:fldChar w:fldCharType="end"/>
        </w:r>
      </w:hyperlink>
    </w:p>
    <w:p w14:paraId="5B4D1D37" w14:textId="700227B7" w:rsidR="000E06C2" w:rsidRPr="00745692" w:rsidRDefault="00745692" w:rsidP="000E06C2">
      <w:pPr>
        <w:pStyle w:val="TOC1"/>
      </w:pPr>
      <w:r w:rsidRPr="00745692">
        <w:fldChar w:fldCharType="begin"/>
      </w:r>
      <w:r w:rsidRPr="00745692">
        <w:instrText>HYPERLINK "file:///C:\\Users\\Harry\\Downloads\\BMHP5016%20A.docx" \l "_Toc225073262"</w:instrText>
      </w:r>
      <w:r w:rsidRPr="00745692">
        <w:fldChar w:fldCharType="separate"/>
      </w:r>
      <w:r w:rsidRPr="00745692">
        <w:rPr>
          <w:rStyle w:val="Hyperlink"/>
          <w:rFonts w:ascii="Arial" w:hAnsi="Arial" w:cs="Arial"/>
          <w:color w:val="auto"/>
          <w:u w:val="none"/>
        </w:rPr>
        <w:t>Application of Partnership Working in a Practical Setting</w:t>
      </w:r>
      <w:r w:rsidRPr="00745692">
        <w:rPr>
          <w:rStyle w:val="Hyperlink"/>
          <w:rFonts w:ascii="Arial" w:hAnsi="Arial" w:cs="Arial"/>
          <w:webHidden/>
          <w:color w:val="auto"/>
          <w:u w:val="none"/>
        </w:rPr>
        <w:tab/>
      </w:r>
      <w:r w:rsidR="000E06C2">
        <w:rPr>
          <w:rStyle w:val="Hyperlink"/>
          <w:rFonts w:ascii="Arial" w:hAnsi="Arial" w:cs="Arial"/>
          <w:webHidden/>
          <w:color w:val="auto"/>
          <w:u w:val="none"/>
        </w:rPr>
        <w:t>5</w:t>
      </w:r>
    </w:p>
    <w:p w14:paraId="7ABF7729" w14:textId="1DBA9C7B" w:rsidR="00745692" w:rsidRPr="00745692" w:rsidRDefault="00745692" w:rsidP="000E06C2">
      <w:pPr>
        <w:pStyle w:val="TOC1"/>
      </w:pPr>
      <w:r w:rsidRPr="00745692">
        <w:fldChar w:fldCharType="end"/>
      </w:r>
      <w:hyperlink r:id="rId12" w:anchor="_Toc225073263" w:history="1">
        <w:r w:rsidRPr="00745692">
          <w:rPr>
            <w:rStyle w:val="Hyperlink"/>
            <w:rFonts w:ascii="Arial" w:hAnsi="Arial" w:cs="Arial"/>
            <w:color w:val="auto"/>
            <w:u w:val="none"/>
          </w:rPr>
          <w:t>Relevant Policy and Legislation in Relation to PCC and PW</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_Toc225073263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6</w:t>
        </w:r>
        <w:r w:rsidRPr="00745692">
          <w:rPr>
            <w:rStyle w:val="Hyperlink"/>
            <w:rFonts w:ascii="Arial" w:hAnsi="Arial" w:cs="Arial"/>
            <w:webHidden/>
            <w:color w:val="auto"/>
            <w:u w:val="none"/>
          </w:rPr>
          <w:fldChar w:fldCharType="end"/>
        </w:r>
      </w:hyperlink>
    </w:p>
    <w:p w14:paraId="1E4B4AE5" w14:textId="17803127" w:rsidR="00745692" w:rsidRPr="00745692" w:rsidRDefault="00745692" w:rsidP="000E06C2">
      <w:pPr>
        <w:pStyle w:val="TOC1"/>
      </w:pPr>
      <w:hyperlink r:id="rId13" w:anchor="_Toc225073264" w:history="1">
        <w:r w:rsidRPr="00745692">
          <w:rPr>
            <w:rStyle w:val="Hyperlink"/>
            <w:rFonts w:ascii="Arial" w:hAnsi="Arial" w:cs="Arial"/>
            <w:color w:val="auto"/>
            <w:u w:val="none"/>
          </w:rPr>
          <w:t>Recommendations for Future Development of PCC and PW in the UK</w:t>
        </w:r>
        <w:r w:rsidRPr="00745692">
          <w:rPr>
            <w:rStyle w:val="Hyperlink"/>
            <w:rFonts w:ascii="Arial" w:hAnsi="Arial" w:cs="Arial"/>
            <w:webHidden/>
            <w:color w:val="auto"/>
            <w:u w:val="none"/>
          </w:rPr>
          <w:tab/>
        </w:r>
        <w:r w:rsidR="000E06C2">
          <w:rPr>
            <w:rStyle w:val="Hyperlink"/>
            <w:rFonts w:ascii="Arial" w:hAnsi="Arial" w:cs="Arial"/>
            <w:webHidden/>
            <w:color w:val="auto"/>
            <w:u w:val="none"/>
          </w:rPr>
          <w:t>6</w:t>
        </w:r>
      </w:hyperlink>
    </w:p>
    <w:p w14:paraId="4984F55A" w14:textId="77777777" w:rsidR="00745692" w:rsidRPr="00745692" w:rsidRDefault="00745692" w:rsidP="000E06C2">
      <w:pPr>
        <w:pStyle w:val="TOC1"/>
      </w:pPr>
      <w:hyperlink r:id="rId14" w:anchor="_Toc225073265" w:history="1">
        <w:r w:rsidRPr="00745692">
          <w:rPr>
            <w:rStyle w:val="Hyperlink"/>
            <w:rFonts w:ascii="Arial" w:hAnsi="Arial" w:cs="Arial"/>
            <w:color w:val="auto"/>
            <w:u w:val="none"/>
          </w:rPr>
          <w:t>Conclusion</w:t>
        </w:r>
        <w:r w:rsidRPr="00745692">
          <w:rPr>
            <w:rStyle w:val="Hyperlink"/>
            <w:rFonts w:ascii="Arial" w:hAnsi="Arial" w:cs="Arial"/>
            <w:webHidden/>
            <w:color w:val="auto"/>
            <w:u w:val="none"/>
          </w:rPr>
          <w:tab/>
        </w:r>
        <w:r w:rsidRPr="00745692">
          <w:rPr>
            <w:rStyle w:val="Hyperlink"/>
            <w:rFonts w:ascii="Arial" w:hAnsi="Arial" w:cs="Arial"/>
            <w:webHidden/>
            <w:color w:val="auto"/>
            <w:u w:val="none"/>
          </w:rPr>
          <w:fldChar w:fldCharType="begin"/>
        </w:r>
        <w:r w:rsidRPr="00745692">
          <w:rPr>
            <w:rStyle w:val="Hyperlink"/>
            <w:rFonts w:ascii="Arial" w:hAnsi="Arial" w:cs="Arial"/>
            <w:webHidden/>
            <w:color w:val="auto"/>
            <w:u w:val="none"/>
          </w:rPr>
          <w:instrText xml:space="preserve"> PAGEREF _Toc225073265 \h </w:instrText>
        </w:r>
        <w:r w:rsidRPr="00745692">
          <w:rPr>
            <w:rStyle w:val="Hyperlink"/>
            <w:rFonts w:ascii="Arial" w:hAnsi="Arial" w:cs="Arial"/>
            <w:webHidden/>
            <w:color w:val="auto"/>
            <w:u w:val="none"/>
          </w:rPr>
        </w:r>
        <w:r w:rsidRPr="00745692">
          <w:rPr>
            <w:rStyle w:val="Hyperlink"/>
            <w:rFonts w:ascii="Arial" w:hAnsi="Arial" w:cs="Arial"/>
            <w:webHidden/>
            <w:color w:val="auto"/>
            <w:u w:val="none"/>
          </w:rPr>
          <w:fldChar w:fldCharType="separate"/>
        </w:r>
        <w:r w:rsidRPr="00745692">
          <w:rPr>
            <w:rStyle w:val="Hyperlink"/>
            <w:rFonts w:ascii="Arial" w:hAnsi="Arial" w:cs="Arial"/>
            <w:webHidden/>
            <w:color w:val="auto"/>
            <w:u w:val="none"/>
          </w:rPr>
          <w:t>7</w:t>
        </w:r>
        <w:r w:rsidRPr="00745692">
          <w:rPr>
            <w:rStyle w:val="Hyperlink"/>
            <w:rFonts w:ascii="Arial" w:hAnsi="Arial" w:cs="Arial"/>
            <w:webHidden/>
            <w:color w:val="auto"/>
            <w:u w:val="none"/>
          </w:rPr>
          <w:fldChar w:fldCharType="end"/>
        </w:r>
      </w:hyperlink>
    </w:p>
    <w:p w14:paraId="0CC56673" w14:textId="5993B563" w:rsidR="00745692" w:rsidRPr="00745692" w:rsidRDefault="00745692" w:rsidP="000E06C2">
      <w:pPr>
        <w:pStyle w:val="TOC1"/>
      </w:pPr>
      <w:hyperlink r:id="rId15" w:anchor="_Toc225073266" w:history="1">
        <w:r w:rsidRPr="00745692">
          <w:rPr>
            <w:rStyle w:val="Hyperlink"/>
            <w:rFonts w:ascii="Arial" w:hAnsi="Arial" w:cs="Arial"/>
            <w:color w:val="auto"/>
            <w:u w:val="none"/>
          </w:rPr>
          <w:t>Reference list</w:t>
        </w:r>
        <w:r w:rsidRPr="00745692">
          <w:rPr>
            <w:rStyle w:val="Hyperlink"/>
            <w:rFonts w:ascii="Arial" w:hAnsi="Arial" w:cs="Arial"/>
            <w:webHidden/>
            <w:color w:val="auto"/>
            <w:u w:val="none"/>
          </w:rPr>
          <w:tab/>
        </w:r>
        <w:r w:rsidR="000E06C2">
          <w:rPr>
            <w:rStyle w:val="Hyperlink"/>
            <w:rFonts w:ascii="Arial" w:hAnsi="Arial" w:cs="Arial"/>
            <w:webHidden/>
            <w:color w:val="auto"/>
            <w:u w:val="none"/>
          </w:rPr>
          <w:t>8</w:t>
        </w:r>
      </w:hyperlink>
    </w:p>
    <w:p w14:paraId="4ABDD10B" w14:textId="77777777" w:rsidR="00745692" w:rsidRPr="00745692" w:rsidRDefault="00745692" w:rsidP="00DF472F">
      <w:pPr>
        <w:rPr>
          <w:rFonts w:ascii="Arial" w:hAnsi="Arial" w:cs="Arial"/>
          <w:b/>
          <w:bCs/>
          <w:sz w:val="22"/>
          <w:szCs w:val="22"/>
          <w:u w:val="single"/>
        </w:rPr>
      </w:pPr>
    </w:p>
    <w:p w14:paraId="5429D426" w14:textId="64A851A0" w:rsidR="00DF472F" w:rsidRDefault="00DF472F" w:rsidP="00DF472F">
      <w:pPr>
        <w:rPr>
          <w:rFonts w:ascii="Arial" w:hAnsi="Arial" w:cs="Arial"/>
          <w:b/>
          <w:bCs/>
          <w:sz w:val="22"/>
          <w:szCs w:val="22"/>
        </w:rPr>
      </w:pPr>
      <w:r>
        <w:rPr>
          <w:rFonts w:ascii="Arial" w:hAnsi="Arial" w:cs="Arial"/>
          <w:b/>
          <w:bCs/>
          <w:sz w:val="22"/>
          <w:szCs w:val="22"/>
        </w:rPr>
        <w:br w:type="page"/>
      </w:r>
    </w:p>
    <w:p w14:paraId="5AABC3F1" w14:textId="41D64535" w:rsidR="00DF472F" w:rsidRPr="00DF472F" w:rsidRDefault="00DF472F" w:rsidP="00DF472F">
      <w:pPr>
        <w:rPr>
          <w:rFonts w:ascii="Arial" w:hAnsi="Arial" w:cs="Arial"/>
          <w:b/>
          <w:bCs/>
          <w:sz w:val="22"/>
          <w:szCs w:val="22"/>
        </w:rPr>
      </w:pPr>
      <w:r w:rsidRPr="00DF472F">
        <w:rPr>
          <w:rFonts w:ascii="Arial" w:hAnsi="Arial" w:cs="Arial"/>
          <w:b/>
          <w:bCs/>
          <w:sz w:val="22"/>
          <w:szCs w:val="22"/>
        </w:rPr>
        <w:lastRenderedPageBreak/>
        <w:t>Evaluation of Person-</w:t>
      </w:r>
      <w:proofErr w:type="spellStart"/>
      <w:r w:rsidRPr="00DF472F">
        <w:rPr>
          <w:rFonts w:ascii="Arial" w:hAnsi="Arial" w:cs="Arial"/>
          <w:b/>
          <w:bCs/>
          <w:sz w:val="22"/>
          <w:szCs w:val="22"/>
        </w:rPr>
        <w:t>Centered</w:t>
      </w:r>
      <w:proofErr w:type="spellEnd"/>
      <w:r w:rsidRPr="00DF472F">
        <w:rPr>
          <w:rFonts w:ascii="Arial" w:hAnsi="Arial" w:cs="Arial"/>
          <w:b/>
          <w:bCs/>
          <w:sz w:val="22"/>
          <w:szCs w:val="22"/>
        </w:rPr>
        <w:t xml:space="preserve"> Care and Partnership Working in Health and Social Care</w:t>
      </w:r>
    </w:p>
    <w:p w14:paraId="0A88D596"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Introduction</w:t>
      </w:r>
    </w:p>
    <w:p w14:paraId="1149C244" w14:textId="77777777" w:rsidR="00DF472F" w:rsidRPr="00DF472F" w:rsidRDefault="00DF472F" w:rsidP="00DF472F">
      <w:pPr>
        <w:rPr>
          <w:rFonts w:ascii="Arial" w:hAnsi="Arial" w:cs="Arial"/>
          <w:b/>
          <w:bCs/>
          <w:sz w:val="22"/>
          <w:szCs w:val="22"/>
          <w:u w:val="single"/>
        </w:rPr>
      </w:pPr>
    </w:p>
    <w:p w14:paraId="3E769796" w14:textId="77777777" w:rsidR="00DF472F" w:rsidRDefault="00DF472F" w:rsidP="00DF472F">
      <w:pPr>
        <w:rPr>
          <w:rFonts w:ascii="Arial" w:hAnsi="Arial" w:cs="Arial"/>
          <w:sz w:val="22"/>
          <w:szCs w:val="22"/>
        </w:rPr>
      </w:pPr>
      <w:r w:rsidRPr="00DF472F">
        <w:rPr>
          <w:rFonts w:ascii="Arial" w:hAnsi="Arial" w:cs="Arial"/>
          <w:sz w:val="22"/>
          <w:szCs w:val="22"/>
        </w:rPr>
        <w:t>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and Partnership Working (PW), are two paradigms that are revolutionizing the healthcare system as they focus on personalized care and cooperation in the work of professionals. PCC aims at involving patients in their own healthcare by giving them the ability to contribute and participate in the healthcare system through respecting their individual preferences, requirements, and values (</w:t>
      </w:r>
      <w:proofErr w:type="spellStart"/>
      <w:r w:rsidRPr="00DF472F">
        <w:rPr>
          <w:rFonts w:ascii="Arial" w:hAnsi="Arial" w:cs="Arial"/>
          <w:sz w:val="22"/>
          <w:szCs w:val="22"/>
        </w:rPr>
        <w:t>Wodchis</w:t>
      </w:r>
      <w:proofErr w:type="spellEnd"/>
      <w:r w:rsidRPr="00DF472F">
        <w:rPr>
          <w:rFonts w:ascii="Arial" w:hAnsi="Arial" w:cs="Arial"/>
          <w:sz w:val="22"/>
          <w:szCs w:val="22"/>
        </w:rPr>
        <w:t xml:space="preserve"> et al., 2015). This method will enhance patient autonomy as well as make sure that the care that is delivered is </w:t>
      </w:r>
      <w:proofErr w:type="gramStart"/>
      <w:r w:rsidRPr="00DF472F">
        <w:rPr>
          <w:rFonts w:ascii="Arial" w:hAnsi="Arial" w:cs="Arial"/>
          <w:sz w:val="22"/>
          <w:szCs w:val="22"/>
        </w:rPr>
        <w:t>person-</w:t>
      </w:r>
      <w:proofErr w:type="spellStart"/>
      <w:r w:rsidRPr="00DF472F">
        <w:rPr>
          <w:rFonts w:ascii="Arial" w:hAnsi="Arial" w:cs="Arial"/>
          <w:sz w:val="22"/>
          <w:szCs w:val="22"/>
        </w:rPr>
        <w:t>centered</w:t>
      </w:r>
      <w:proofErr w:type="spellEnd"/>
      <w:proofErr w:type="gramEnd"/>
      <w:r w:rsidRPr="00DF472F">
        <w:rPr>
          <w:rFonts w:ascii="Arial" w:hAnsi="Arial" w:cs="Arial"/>
          <w:sz w:val="22"/>
          <w:szCs w:val="22"/>
        </w:rPr>
        <w:t xml:space="preserve">. PW, in its turn, is a collaboration of health care providers and agencies that are required to make sure that the medical, emotional, and social needs of a patient are met in a coordinated way. Collectively, all these strategies are geared towards quality healthcare and patient outcomes. This report </w:t>
      </w:r>
      <w:proofErr w:type="spellStart"/>
      <w:r w:rsidRPr="00DF472F">
        <w:rPr>
          <w:rFonts w:ascii="Arial" w:hAnsi="Arial" w:cs="Arial"/>
          <w:sz w:val="22"/>
          <w:szCs w:val="22"/>
        </w:rPr>
        <w:t>analyzes</w:t>
      </w:r>
      <w:proofErr w:type="spellEnd"/>
      <w:r w:rsidRPr="00DF472F">
        <w:rPr>
          <w:rFonts w:ascii="Arial" w:hAnsi="Arial" w:cs="Arial"/>
          <w:sz w:val="22"/>
          <w:szCs w:val="22"/>
        </w:rPr>
        <w:t xml:space="preserve"> the use of PCC and PW in health and social care, the features of benefits, weaknesses, and challenges to their usage. It will examine the theoretical basis behind these practices, </w:t>
      </w:r>
      <w:proofErr w:type="spellStart"/>
      <w:r w:rsidRPr="00DF472F">
        <w:rPr>
          <w:rFonts w:ascii="Arial" w:hAnsi="Arial" w:cs="Arial"/>
          <w:sz w:val="22"/>
          <w:szCs w:val="22"/>
        </w:rPr>
        <w:t>analyze</w:t>
      </w:r>
      <w:proofErr w:type="spellEnd"/>
      <w:r w:rsidRPr="00DF472F">
        <w:rPr>
          <w:rFonts w:ascii="Arial" w:hAnsi="Arial" w:cs="Arial"/>
          <w:sz w:val="22"/>
          <w:szCs w:val="22"/>
        </w:rPr>
        <w:t xml:space="preserve"> their ethical basis and development, and consider the applicable policy and legislation. It will also give recommendations that will help to develop these practices further in the UK healthcare system in the future.</w:t>
      </w:r>
    </w:p>
    <w:p w14:paraId="2989D66F" w14:textId="77777777" w:rsidR="00DF472F" w:rsidRPr="00DF472F" w:rsidRDefault="00DF472F" w:rsidP="00DF472F">
      <w:pPr>
        <w:rPr>
          <w:rFonts w:ascii="Arial" w:hAnsi="Arial" w:cs="Arial"/>
          <w:sz w:val="22"/>
          <w:szCs w:val="22"/>
        </w:rPr>
      </w:pPr>
    </w:p>
    <w:p w14:paraId="66A222E4"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Defining Person-</w:t>
      </w:r>
      <w:proofErr w:type="spellStart"/>
      <w:r w:rsidRPr="00DF472F">
        <w:rPr>
          <w:rFonts w:ascii="Arial" w:hAnsi="Arial" w:cs="Arial"/>
          <w:b/>
          <w:bCs/>
          <w:sz w:val="22"/>
          <w:szCs w:val="22"/>
          <w:u w:val="single"/>
        </w:rPr>
        <w:t>Centered</w:t>
      </w:r>
      <w:proofErr w:type="spellEnd"/>
      <w:r w:rsidRPr="00DF472F">
        <w:rPr>
          <w:rFonts w:ascii="Arial" w:hAnsi="Arial" w:cs="Arial"/>
          <w:b/>
          <w:bCs/>
          <w:sz w:val="22"/>
          <w:szCs w:val="22"/>
          <w:u w:val="single"/>
        </w:rPr>
        <w:t xml:space="preserve"> Care (PCC)</w:t>
      </w:r>
    </w:p>
    <w:p w14:paraId="5BA81A20" w14:textId="77777777" w:rsidR="00DF472F" w:rsidRDefault="00DF472F" w:rsidP="00DF472F">
      <w:pPr>
        <w:rPr>
          <w:rFonts w:ascii="Arial" w:hAnsi="Arial" w:cs="Arial"/>
          <w:b/>
          <w:bCs/>
          <w:sz w:val="22"/>
          <w:szCs w:val="22"/>
          <w:u w:val="single"/>
        </w:rPr>
      </w:pPr>
    </w:p>
    <w:p w14:paraId="75217704" w14:textId="77777777" w:rsidR="00DF472F" w:rsidRPr="00DF472F" w:rsidRDefault="00DF472F" w:rsidP="00DF472F">
      <w:pPr>
        <w:rPr>
          <w:rFonts w:ascii="Arial" w:hAnsi="Arial" w:cs="Arial"/>
          <w:sz w:val="22"/>
          <w:szCs w:val="22"/>
        </w:rPr>
      </w:pPr>
      <w:r w:rsidRPr="00DF472F">
        <w:rPr>
          <w:rFonts w:ascii="Arial" w:hAnsi="Arial" w:cs="Arial"/>
          <w:sz w:val="22"/>
          <w:szCs w:val="22"/>
        </w:rPr>
        <w:t>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is the framework that puts emphasis on the active involvement of patients in their treatment choices. This practice acknowledges the fact that every patient is a person with different needs, preferences, and values and tries to consider them in a manner that respects his or her dignity and autonomy (Ham et al., 2013). PCC involves collaboration involving the practitioners and the patients they serve, and in that respect, the care provided by the practitioners is not dictated by a one-size-fits-all approach, but rather to the needs of their given patients. The most important advantage of PCC is improved patient satisfaction. By ensuring that patients feel heard and respected, their treatment plans will be adhered to, consequently resulting in better health outcomes. In addition, PCC enhances communication among medical workers and patients and makes the overall care process better. The second benefit is that it can help reduce healthcare disparities by addressing the cultural, emotional, and social needs of patients of different groups (Jesus et al., 2021).</w:t>
      </w:r>
    </w:p>
    <w:p w14:paraId="3D85001E" w14:textId="1FDFCDC4" w:rsidR="00DF472F" w:rsidRDefault="00DF472F" w:rsidP="00DF472F">
      <w:pPr>
        <w:rPr>
          <w:rFonts w:ascii="Arial" w:hAnsi="Arial" w:cs="Arial"/>
          <w:sz w:val="22"/>
          <w:szCs w:val="22"/>
        </w:rPr>
      </w:pPr>
      <w:r w:rsidRPr="00DF472F">
        <w:rPr>
          <w:rFonts w:ascii="Arial" w:hAnsi="Arial" w:cs="Arial"/>
          <w:sz w:val="22"/>
          <w:szCs w:val="22"/>
        </w:rPr>
        <w:t xml:space="preserve">However, the implementation of PCC has challenges as well. Among the obstacles are limitations of the resources as tailored care would require increased time, </w:t>
      </w:r>
      <w:proofErr w:type="spellStart"/>
      <w:r w:rsidRPr="00DF472F">
        <w:rPr>
          <w:rFonts w:ascii="Arial" w:hAnsi="Arial" w:cs="Arial"/>
          <w:sz w:val="22"/>
          <w:szCs w:val="22"/>
        </w:rPr>
        <w:t>labor</w:t>
      </w:r>
      <w:proofErr w:type="spellEnd"/>
      <w:r w:rsidRPr="00DF472F">
        <w:rPr>
          <w:rFonts w:ascii="Arial" w:hAnsi="Arial" w:cs="Arial"/>
          <w:sz w:val="22"/>
          <w:szCs w:val="22"/>
        </w:rPr>
        <w:t>, and resources, particularly in high- health care facilities. Furthermore, this has also created a gap in the use of PCC across different settings. For example, in crisis care or when patients undergo high-stress conditions, healthcare workers may not have time and other resources to engage patients in decision-making processes, and such circumstances can diminish that opportunity.</w:t>
      </w:r>
    </w:p>
    <w:p w14:paraId="1F6DE4B8" w14:textId="77777777" w:rsidR="00DF472F" w:rsidRDefault="00DF472F" w:rsidP="00DF472F">
      <w:pPr>
        <w:rPr>
          <w:rFonts w:ascii="Arial" w:hAnsi="Arial" w:cs="Arial"/>
          <w:sz w:val="22"/>
          <w:szCs w:val="22"/>
        </w:rPr>
      </w:pPr>
    </w:p>
    <w:p w14:paraId="00433438" w14:textId="77777777" w:rsidR="00DF472F" w:rsidRDefault="00DF472F" w:rsidP="00DF472F">
      <w:pPr>
        <w:rPr>
          <w:rFonts w:ascii="Arial" w:hAnsi="Arial" w:cs="Arial"/>
          <w:b/>
          <w:bCs/>
          <w:sz w:val="22"/>
          <w:szCs w:val="22"/>
        </w:rPr>
      </w:pPr>
    </w:p>
    <w:p w14:paraId="1CAE22C3" w14:textId="51B74E49" w:rsidR="00DF472F" w:rsidRPr="00DF472F" w:rsidRDefault="00DF472F" w:rsidP="00DF472F">
      <w:pPr>
        <w:rPr>
          <w:rFonts w:ascii="Arial" w:hAnsi="Arial" w:cs="Arial"/>
          <w:b/>
          <w:bCs/>
          <w:sz w:val="22"/>
          <w:szCs w:val="22"/>
          <w:u w:val="single"/>
        </w:rPr>
      </w:pPr>
      <w:r w:rsidRPr="00DF472F">
        <w:rPr>
          <w:rFonts w:ascii="Arial" w:hAnsi="Arial" w:cs="Arial"/>
          <w:b/>
          <w:bCs/>
          <w:sz w:val="22"/>
          <w:szCs w:val="22"/>
          <w:u w:val="single"/>
        </w:rPr>
        <w:lastRenderedPageBreak/>
        <w:t>Relevant Theory/Model Underpinning PCC</w:t>
      </w:r>
    </w:p>
    <w:p w14:paraId="251FD83C" w14:textId="77777777" w:rsidR="00DF472F" w:rsidRDefault="00DF472F" w:rsidP="00DF472F">
      <w:pPr>
        <w:rPr>
          <w:rFonts w:ascii="Arial" w:hAnsi="Arial" w:cs="Arial"/>
          <w:b/>
          <w:bCs/>
          <w:sz w:val="22"/>
          <w:szCs w:val="22"/>
        </w:rPr>
      </w:pPr>
    </w:p>
    <w:p w14:paraId="2FAD89B1" w14:textId="5F784C9C" w:rsidR="00DF472F" w:rsidRPr="00DF472F" w:rsidRDefault="00DF472F" w:rsidP="00DF472F">
      <w:pPr>
        <w:rPr>
          <w:rFonts w:ascii="Arial" w:hAnsi="Arial" w:cs="Arial"/>
          <w:b/>
          <w:bCs/>
          <w:sz w:val="22"/>
          <w:szCs w:val="22"/>
        </w:rPr>
      </w:pPr>
      <w:r w:rsidRPr="00DF472F">
        <w:rPr>
          <w:rFonts w:ascii="Arial" w:hAnsi="Arial" w:cs="Arial"/>
          <w:sz w:val="22"/>
          <w:szCs w:val="22"/>
        </w:rPr>
        <w:t>The Hierarchy of Needs developed by Maslow is one of the primary theories that guide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Maslow (1943) argues that human beings possess a set of needs that they must </w:t>
      </w:r>
      <w:proofErr w:type="spellStart"/>
      <w:r w:rsidRPr="00DF472F">
        <w:rPr>
          <w:rFonts w:ascii="Arial" w:hAnsi="Arial" w:cs="Arial"/>
          <w:sz w:val="22"/>
          <w:szCs w:val="22"/>
        </w:rPr>
        <w:t>fulfill</w:t>
      </w:r>
      <w:proofErr w:type="spellEnd"/>
      <w:r w:rsidRPr="00DF472F">
        <w:rPr>
          <w:rFonts w:ascii="Arial" w:hAnsi="Arial" w:cs="Arial"/>
          <w:sz w:val="22"/>
          <w:szCs w:val="22"/>
        </w:rPr>
        <w:t xml:space="preserve"> in a sequence. The first tier is the physiological needs (food and water), safety needs, the belongingness needs (relationships), esteem needs, and the self-actualization at the top of the pyramid. According to the Maslow model, individuals </w:t>
      </w:r>
      <w:proofErr w:type="gramStart"/>
      <w:r w:rsidRPr="00DF472F">
        <w:rPr>
          <w:rFonts w:ascii="Arial" w:hAnsi="Arial" w:cs="Arial"/>
          <w:sz w:val="22"/>
          <w:szCs w:val="22"/>
        </w:rPr>
        <w:t>are not capable of addressing</w:t>
      </w:r>
      <w:proofErr w:type="gramEnd"/>
      <w:r w:rsidRPr="00DF472F">
        <w:rPr>
          <w:rFonts w:ascii="Arial" w:hAnsi="Arial" w:cs="Arial"/>
          <w:sz w:val="22"/>
          <w:szCs w:val="22"/>
        </w:rPr>
        <w:t xml:space="preserve"> higher needs, such as self-actualization, before addressing lower needs (Boston</w:t>
      </w:r>
      <w:r w:rsidRPr="00DF472F">
        <w:rPr>
          <w:rFonts w:ascii="Cambria Math" w:hAnsi="Cambria Math" w:cs="Cambria Math"/>
          <w:sz w:val="22"/>
          <w:szCs w:val="22"/>
        </w:rPr>
        <w:t>‐</w:t>
      </w:r>
      <w:r w:rsidRPr="00DF472F">
        <w:rPr>
          <w:rFonts w:ascii="Arial" w:hAnsi="Arial" w:cs="Arial"/>
          <w:sz w:val="22"/>
          <w:szCs w:val="22"/>
        </w:rPr>
        <w:t>Leary et al., 2024, p.57).</w:t>
      </w:r>
    </w:p>
    <w:p w14:paraId="2F881C60" w14:textId="77777777" w:rsidR="00DF472F" w:rsidRPr="00DF472F" w:rsidRDefault="00DF472F" w:rsidP="00DF472F">
      <w:pPr>
        <w:rPr>
          <w:rFonts w:ascii="Arial" w:hAnsi="Arial" w:cs="Arial"/>
          <w:sz w:val="22"/>
          <w:szCs w:val="22"/>
        </w:rPr>
      </w:pPr>
      <w:r w:rsidRPr="00DF472F">
        <w:rPr>
          <w:rFonts w:ascii="Arial" w:hAnsi="Arial" w:cs="Arial"/>
          <w:sz w:val="22"/>
          <w:szCs w:val="22"/>
        </w:rPr>
        <w:t>The theory of Maslow aligns with PCC because it stipulates that the person should not be treated with care that only focuses on one aspect of their needs, such as their physical health. As an example, treating a sick person with a chronic condition is not sufficient in their care. Healthcare providers should meet emotional needs, support social interaction, and assist patients in gaining a sense of self-worth and dignity, also to provide genuinely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(Grover et al., 2022, p.1683). This holistic model makes sure patients get the care they require to reach their full potential, which is the ultimate objective of PCC.</w:t>
      </w:r>
    </w:p>
    <w:p w14:paraId="13B556E2" w14:textId="77777777" w:rsidR="00DF472F" w:rsidRDefault="00DF472F" w:rsidP="00DF472F">
      <w:pPr>
        <w:rPr>
          <w:rFonts w:ascii="Arial" w:hAnsi="Arial" w:cs="Arial"/>
          <w:sz w:val="22"/>
          <w:szCs w:val="22"/>
        </w:rPr>
      </w:pPr>
      <w:r w:rsidRPr="00DF472F">
        <w:rPr>
          <w:rFonts w:ascii="Arial" w:hAnsi="Arial" w:cs="Arial"/>
          <w:sz w:val="22"/>
          <w:szCs w:val="22"/>
        </w:rPr>
        <w:t>Although Maslow’s model offers a useful framework for the perception of human needs, it has its limitations. The theory presupposes that an individual should satisfy the fundamental needs and then proceed to the high levels, whereas in practice, some patients might rely on emotional support or communication interaction with others before their basic physical needs can be addressed to fullness. Moreover, it is culturally specific and might be inapplicable to people of varying backgrounds with divergent values or priorities (Niemela &amp; Kim, 2023).</w:t>
      </w:r>
    </w:p>
    <w:p w14:paraId="30F47E23" w14:textId="77777777" w:rsidR="00DF472F" w:rsidRPr="00DF472F" w:rsidRDefault="00DF472F" w:rsidP="00DF472F">
      <w:pPr>
        <w:rPr>
          <w:rFonts w:ascii="Arial" w:hAnsi="Arial" w:cs="Arial"/>
          <w:sz w:val="22"/>
          <w:szCs w:val="22"/>
        </w:rPr>
      </w:pPr>
    </w:p>
    <w:p w14:paraId="2ED2E4EF"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Ethical Fundamentals of Health and Social Care</w:t>
      </w:r>
    </w:p>
    <w:p w14:paraId="114D95C3" w14:textId="77777777" w:rsidR="00DF472F" w:rsidRPr="00DF472F" w:rsidRDefault="00DF472F" w:rsidP="00DF472F">
      <w:pPr>
        <w:rPr>
          <w:rFonts w:ascii="Arial" w:hAnsi="Arial" w:cs="Arial"/>
          <w:b/>
          <w:bCs/>
          <w:sz w:val="22"/>
          <w:szCs w:val="22"/>
          <w:u w:val="single"/>
        </w:rPr>
      </w:pPr>
    </w:p>
    <w:p w14:paraId="6BA56D94" w14:textId="77777777" w:rsidR="00DF472F" w:rsidRPr="00DF472F" w:rsidRDefault="00DF472F" w:rsidP="00DF472F">
      <w:pPr>
        <w:rPr>
          <w:rFonts w:ascii="Arial" w:hAnsi="Arial" w:cs="Arial"/>
          <w:sz w:val="22"/>
          <w:szCs w:val="22"/>
        </w:rPr>
      </w:pPr>
      <w:r w:rsidRPr="00DF472F">
        <w:rPr>
          <w:rFonts w:ascii="Arial" w:hAnsi="Arial" w:cs="Arial"/>
          <w:sz w:val="22"/>
          <w:szCs w:val="22"/>
        </w:rPr>
        <w:t>Ethics inform healthcare providers in providing care in a respectful, fair, and in the best interest of the patients. Four main principles of ethics that govern health and social care include autonomy, beneficence, non-maleficence, and justice. These values form the basis of making care patient-</w:t>
      </w:r>
      <w:proofErr w:type="spellStart"/>
      <w:r w:rsidRPr="00DF472F">
        <w:rPr>
          <w:rFonts w:ascii="Arial" w:hAnsi="Arial" w:cs="Arial"/>
          <w:sz w:val="22"/>
          <w:szCs w:val="22"/>
        </w:rPr>
        <w:t>centered</w:t>
      </w:r>
      <w:proofErr w:type="spellEnd"/>
      <w:r w:rsidRPr="00DF472F">
        <w:rPr>
          <w:rFonts w:ascii="Arial" w:hAnsi="Arial" w:cs="Arial"/>
          <w:sz w:val="22"/>
          <w:szCs w:val="22"/>
        </w:rPr>
        <w:t>, respectful of the rights of an individual, and a means of positive benefit.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is person-</w:t>
      </w:r>
      <w:proofErr w:type="spellStart"/>
      <w:r w:rsidRPr="00DF472F">
        <w:rPr>
          <w:rFonts w:ascii="Arial" w:hAnsi="Arial" w:cs="Arial"/>
          <w:sz w:val="22"/>
          <w:szCs w:val="22"/>
        </w:rPr>
        <w:t>centered</w:t>
      </w:r>
      <w:proofErr w:type="spellEnd"/>
      <w:r w:rsidRPr="00DF472F">
        <w:rPr>
          <w:rFonts w:ascii="Arial" w:hAnsi="Arial" w:cs="Arial"/>
          <w:sz w:val="22"/>
          <w:szCs w:val="22"/>
        </w:rPr>
        <w:t>, which identifies the right of the patient to make an informed choice regarding their care. In PCC, medical practitioners should make sure that patients have complete access to the information on available treatment options, and they are not forced to make any choice, but rather empower the patients, as it allows them to take charge of their healthcare process (Grover et al., 2022, p. 1685). In addition to this, beneficence calls upon healthcare practitioners to pursue the best interests of their patients so that they can ensure their interventions are aimed at maximizing well-being. This principle promotes medical services in PCC by urging healthcare professionals to focus beyond medical care and consider emotions, psychology, and social components of medical care (Chen et al., 2024, p.13).</w:t>
      </w:r>
    </w:p>
    <w:p w14:paraId="5FA0579A" w14:textId="4469AEEB" w:rsidR="00DF472F" w:rsidRDefault="00DF472F" w:rsidP="00DF472F">
      <w:pPr>
        <w:rPr>
          <w:rFonts w:ascii="Arial" w:hAnsi="Arial" w:cs="Arial"/>
          <w:sz w:val="22"/>
          <w:szCs w:val="22"/>
        </w:rPr>
      </w:pPr>
      <w:r w:rsidRPr="00DF472F">
        <w:rPr>
          <w:rFonts w:ascii="Arial" w:hAnsi="Arial" w:cs="Arial"/>
          <w:sz w:val="22"/>
          <w:szCs w:val="22"/>
        </w:rPr>
        <w:t xml:space="preserve">The principle of non-maleficence, or do no harm, prevents healthcare professionals from performing acts that might harm patients. This principle is relevant to PCC to provide care interventions safely and with minimal risks, especially when it concerns the emotional needs </w:t>
      </w:r>
      <w:r w:rsidRPr="00DF472F">
        <w:rPr>
          <w:rFonts w:ascii="Arial" w:hAnsi="Arial" w:cs="Arial"/>
          <w:sz w:val="22"/>
          <w:szCs w:val="22"/>
        </w:rPr>
        <w:lastRenderedPageBreak/>
        <w:t>of patients (Yu et al., 2023, p. 8). Justice, on the other hand, can be defined as the equitable allocation of resources and the provision of equal access to care by all individuals. Justice in PCC upholds inclusiveness and fairness by providing all patients with equal high-quality care and individualized care, despite factors like background or circumstance (Ham et al., 2013). Altogether, these principles of ethics make the implementation of PCC a well-founded process and guarantee that care is not only individualized but ethical, equitable, and patient-</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as well.</w:t>
      </w:r>
    </w:p>
    <w:p w14:paraId="3E2F0118" w14:textId="77777777" w:rsidR="00DF472F" w:rsidRDefault="00DF472F" w:rsidP="00DF472F">
      <w:pPr>
        <w:rPr>
          <w:rFonts w:ascii="Arial" w:hAnsi="Arial" w:cs="Arial"/>
          <w:sz w:val="22"/>
          <w:szCs w:val="22"/>
        </w:rPr>
      </w:pPr>
    </w:p>
    <w:p w14:paraId="26D834D8"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Evaluating Partnership Working (PW) in Health and Social Care</w:t>
      </w:r>
    </w:p>
    <w:p w14:paraId="15647377" w14:textId="77777777" w:rsidR="00DF472F" w:rsidRPr="00DF472F" w:rsidRDefault="00DF472F" w:rsidP="00DF472F">
      <w:pPr>
        <w:rPr>
          <w:rFonts w:ascii="Arial" w:hAnsi="Arial" w:cs="Arial"/>
          <w:b/>
          <w:bCs/>
          <w:sz w:val="22"/>
          <w:szCs w:val="22"/>
          <w:u w:val="single"/>
        </w:rPr>
      </w:pPr>
    </w:p>
    <w:p w14:paraId="4F700561" w14:textId="77777777" w:rsidR="00DF472F" w:rsidRPr="00DF472F" w:rsidRDefault="00DF472F" w:rsidP="00DF472F">
      <w:pPr>
        <w:rPr>
          <w:rFonts w:ascii="Arial" w:hAnsi="Arial" w:cs="Arial"/>
          <w:sz w:val="22"/>
          <w:szCs w:val="22"/>
        </w:rPr>
      </w:pPr>
      <w:r w:rsidRPr="00DF472F">
        <w:rPr>
          <w:rFonts w:ascii="Arial" w:hAnsi="Arial" w:cs="Arial"/>
          <w:sz w:val="22"/>
          <w:szCs w:val="22"/>
        </w:rPr>
        <w:t>Partnership Working (PW) is a type of collaboration that requires different healthcare professionals and agencies to meet the multiple needs of patients. Through the merging of the services, PW allows ensuring that the patients obtain holistic care that takes into consideration every dimension of their health. The method is especially useful with patients who experience complex or long-term health issues and need multi-disciplinary care.</w:t>
      </w:r>
    </w:p>
    <w:p w14:paraId="178B3BF3" w14:textId="77777777" w:rsidR="00DF472F" w:rsidRPr="00DF472F" w:rsidRDefault="00DF472F" w:rsidP="00DF472F">
      <w:pPr>
        <w:rPr>
          <w:rFonts w:ascii="Arial" w:hAnsi="Arial" w:cs="Arial"/>
          <w:sz w:val="22"/>
          <w:szCs w:val="22"/>
        </w:rPr>
      </w:pPr>
      <w:r w:rsidRPr="00DF472F">
        <w:rPr>
          <w:rFonts w:ascii="Arial" w:hAnsi="Arial" w:cs="Arial"/>
          <w:sz w:val="22"/>
          <w:szCs w:val="22"/>
        </w:rPr>
        <w:t>The main advantage of PW is the enhancement of patient outcomes. By ensuring that healthcare providers work together, they can offer more coordinated care to focus on meeting every need of the patient, not only in medical treatment but also in social services. For example, the incorporation of healthcare teams comprising doctors, nurses, social workers, and therapists can enhance the chronic health care delivery, with improved health outcomes and patient satisfaction (Leichsenring, 2004). The other notable advantage of using PW is the increased effectiveness of resources. By sharing information and coordinating the work, healthcare professionals can reduce the duplication of the services they provide, in addition to ensuring that resources on hand are used more efficiently. For example, through collaboration with social services, healthcare providers can also assist with the social determinants of health, such as housing and community support, which may have a profound impact on the health outcomes of patients (Khatri et al., 2023, p. 750).</w:t>
      </w:r>
    </w:p>
    <w:p w14:paraId="5387875B" w14:textId="77777777" w:rsidR="00DF472F" w:rsidRDefault="00DF472F" w:rsidP="00DF472F">
      <w:pPr>
        <w:rPr>
          <w:rFonts w:ascii="Arial" w:hAnsi="Arial" w:cs="Arial"/>
          <w:sz w:val="22"/>
          <w:szCs w:val="22"/>
        </w:rPr>
      </w:pPr>
      <w:r w:rsidRPr="00DF472F">
        <w:rPr>
          <w:rFonts w:ascii="Arial" w:hAnsi="Arial" w:cs="Arial"/>
          <w:sz w:val="22"/>
          <w:szCs w:val="22"/>
        </w:rPr>
        <w:t>Nevertheless, PW also has its obstacles. Communication is one of the critical obstacles to successful working in partnership. The priorities and mechanisms of working in different sectors might also create misunderstandings or a lag in patient care. Moreover, collaboration may be undermined by the absence of common information systems, as professionals may have difficulties accessing and sharing the data on patients. Nevertheless, the advantages of PW in offering more coordinated and comprehensive care can be seen despite these difficulties.</w:t>
      </w:r>
    </w:p>
    <w:p w14:paraId="23093223" w14:textId="77777777" w:rsidR="00DF472F" w:rsidRPr="00DF472F" w:rsidRDefault="00DF472F" w:rsidP="00DF472F">
      <w:pPr>
        <w:rPr>
          <w:rFonts w:ascii="Arial" w:hAnsi="Arial" w:cs="Arial"/>
          <w:sz w:val="22"/>
          <w:szCs w:val="22"/>
        </w:rPr>
      </w:pPr>
    </w:p>
    <w:p w14:paraId="1160A31A"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Application of Partnership Working in a Practical Setting</w:t>
      </w:r>
    </w:p>
    <w:p w14:paraId="3F34A46D" w14:textId="77777777" w:rsidR="00DF472F" w:rsidRPr="00DF472F" w:rsidRDefault="00DF472F" w:rsidP="00DF472F">
      <w:pPr>
        <w:rPr>
          <w:rFonts w:ascii="Arial" w:hAnsi="Arial" w:cs="Arial"/>
          <w:b/>
          <w:bCs/>
          <w:sz w:val="22"/>
          <w:szCs w:val="22"/>
          <w:u w:val="single"/>
        </w:rPr>
      </w:pPr>
    </w:p>
    <w:p w14:paraId="435DC548" w14:textId="77777777" w:rsidR="00DF472F" w:rsidRDefault="00DF472F" w:rsidP="00DF472F">
      <w:pPr>
        <w:rPr>
          <w:rFonts w:ascii="Arial" w:hAnsi="Arial" w:cs="Arial"/>
          <w:sz w:val="22"/>
          <w:szCs w:val="22"/>
        </w:rPr>
      </w:pPr>
      <w:r w:rsidRPr="00DF472F">
        <w:rPr>
          <w:rFonts w:ascii="Arial" w:hAnsi="Arial" w:cs="Arial"/>
          <w:sz w:val="22"/>
          <w:szCs w:val="22"/>
        </w:rPr>
        <w:t xml:space="preserve">Partnership working can also be seen as a good example of how local social services partner with </w:t>
      </w:r>
      <w:proofErr w:type="spellStart"/>
      <w:r w:rsidRPr="00DF472F">
        <w:rPr>
          <w:rFonts w:ascii="Arial" w:hAnsi="Arial" w:cs="Arial"/>
          <w:sz w:val="22"/>
          <w:szCs w:val="22"/>
        </w:rPr>
        <w:t>neighboring</w:t>
      </w:r>
      <w:proofErr w:type="spellEnd"/>
      <w:r w:rsidRPr="00DF472F">
        <w:rPr>
          <w:rFonts w:ascii="Arial" w:hAnsi="Arial" w:cs="Arial"/>
          <w:sz w:val="22"/>
          <w:szCs w:val="22"/>
        </w:rPr>
        <w:t xml:space="preserve"> health workers in treating the elderly with chronic illnesses. Within this type of collaboration, the medical professionals would then cooperate to create an integrated medical and social care plan to meet the medical and social needs of the patient (Hopkins, 2006). The community health workers would examine the physical health of the </w:t>
      </w:r>
      <w:r w:rsidRPr="00DF472F">
        <w:rPr>
          <w:rFonts w:ascii="Arial" w:hAnsi="Arial" w:cs="Arial"/>
          <w:sz w:val="22"/>
          <w:szCs w:val="22"/>
        </w:rPr>
        <w:lastRenderedPageBreak/>
        <w:t>patient and provide therapy, and the social workers would ensure that the patient has access to the resources required, such as home care and transport, and the activities in society. The interdisciplinary method leads to better patient outcomes because all aspects of patient health are considered. Treating the patient and meeting medical, social, and emotional needs helps medical staff to promote the quality of living and make sure that the needs of the patient are met in an efficient and timely way. In addition, partnership working also ensures care continuity where patients receive regular services, especially numerous services that lead to less discontinuity in service provision and quality health outcomes. However, communication in partnership working is essential in making it a success. The information must be shared among the professionals involved in the care of the patient, and they must work freely to ensure that the care plan is followed and modified where necessary (Glasby et al., 2006, p. 374). Without effective communication, the benefits of partnership work might be undermined by time loss, misunderstandings, or a lack of coordination of care.</w:t>
      </w:r>
    </w:p>
    <w:p w14:paraId="07559242" w14:textId="77777777" w:rsidR="00DF472F" w:rsidRPr="00DF472F" w:rsidRDefault="00DF472F" w:rsidP="00DF472F">
      <w:pPr>
        <w:rPr>
          <w:rFonts w:ascii="Arial" w:hAnsi="Arial" w:cs="Arial"/>
          <w:sz w:val="22"/>
          <w:szCs w:val="22"/>
        </w:rPr>
      </w:pPr>
    </w:p>
    <w:p w14:paraId="7F6634C4"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Relevant Policy and Legislation in Relation to PCC and PW</w:t>
      </w:r>
    </w:p>
    <w:p w14:paraId="384AAB92" w14:textId="77777777" w:rsidR="00DF472F" w:rsidRPr="00DF472F" w:rsidRDefault="00DF472F" w:rsidP="00DF472F">
      <w:pPr>
        <w:rPr>
          <w:rFonts w:ascii="Arial" w:hAnsi="Arial" w:cs="Arial"/>
          <w:b/>
          <w:bCs/>
          <w:sz w:val="22"/>
          <w:szCs w:val="22"/>
          <w:u w:val="single"/>
        </w:rPr>
      </w:pPr>
    </w:p>
    <w:p w14:paraId="0F034CB3" w14:textId="77777777" w:rsidR="00DF472F" w:rsidRDefault="00DF472F" w:rsidP="00DF472F">
      <w:pPr>
        <w:rPr>
          <w:rFonts w:ascii="Arial" w:hAnsi="Arial" w:cs="Arial"/>
          <w:sz w:val="22"/>
          <w:szCs w:val="22"/>
        </w:rPr>
      </w:pPr>
      <w:r w:rsidRPr="00DF472F">
        <w:rPr>
          <w:rFonts w:ascii="Arial" w:hAnsi="Arial" w:cs="Arial"/>
          <w:sz w:val="22"/>
          <w:szCs w:val="22"/>
        </w:rPr>
        <w:t>The practice of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and Partnership Working (PW) in the UK is subject to several legislations. In the framework of health and social care, the Care Act 2014 revives the significance of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approaches. It requires the local authorities to ensure that the care needs of the individuals are met and that the individuals are involved in the care planning process. The Care Act is aligned with PCC in the sense that accessible care is given within the context of the needs and preferences of an individual. Equality Act 2010 supports equality within the medical industry as it establishes that no citizen should be discriminated against based on their safeguarded peculiarities such as impairments, age, or gender (Coulter, 2011). This is critical in making healthcare a universal service that can be accessible to all individuals, irrespective of their status and condition in life. Quality and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are also promoted to individuals who make up the disadvantaged groups by the Equality Act (Department of Health and Social Care, 2023). Moreover, the Health and Care Act 2022 is also geared towards uniting services between the NHS and the local authorities. This act encourages teamwork across different categories by creating the Integrated Care Systems (ICS) (Department of Health, 2004). The Health and Care Act ensures that patients receive comprehensive, holistic care that is inclusive of the full range of their well-being and health.</w:t>
      </w:r>
    </w:p>
    <w:p w14:paraId="2915B80E" w14:textId="77777777" w:rsidR="00DF472F" w:rsidRPr="00DF472F" w:rsidRDefault="00DF472F" w:rsidP="00DF472F">
      <w:pPr>
        <w:rPr>
          <w:rFonts w:ascii="Arial" w:hAnsi="Arial" w:cs="Arial"/>
          <w:sz w:val="22"/>
          <w:szCs w:val="22"/>
        </w:rPr>
      </w:pPr>
    </w:p>
    <w:p w14:paraId="0CA22E7F"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Recommendations for Future Development of PCC and PW in the UK</w:t>
      </w:r>
    </w:p>
    <w:p w14:paraId="3A7B3741" w14:textId="77777777" w:rsidR="00DF472F" w:rsidRPr="00DF472F" w:rsidRDefault="00DF472F" w:rsidP="00DF472F">
      <w:pPr>
        <w:rPr>
          <w:rFonts w:ascii="Arial" w:hAnsi="Arial" w:cs="Arial"/>
          <w:b/>
          <w:bCs/>
          <w:sz w:val="22"/>
          <w:szCs w:val="22"/>
          <w:u w:val="single"/>
        </w:rPr>
      </w:pPr>
    </w:p>
    <w:p w14:paraId="44DE6BD8" w14:textId="77777777" w:rsidR="00DF472F" w:rsidRDefault="00DF472F" w:rsidP="00DF472F">
      <w:pPr>
        <w:rPr>
          <w:rFonts w:ascii="Arial" w:hAnsi="Arial" w:cs="Arial"/>
          <w:sz w:val="22"/>
          <w:szCs w:val="22"/>
        </w:rPr>
      </w:pPr>
      <w:r w:rsidRPr="00DF472F">
        <w:rPr>
          <w:rFonts w:ascii="Arial" w:hAnsi="Arial" w:cs="Arial"/>
          <w:sz w:val="22"/>
          <w:szCs w:val="22"/>
        </w:rPr>
        <w:t>To enhance the further evolution of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and Partnership Working (PW) in the UK, one can make </w:t>
      </w:r>
      <w:proofErr w:type="gramStart"/>
      <w:r w:rsidRPr="00DF472F">
        <w:rPr>
          <w:rFonts w:ascii="Arial" w:hAnsi="Arial" w:cs="Arial"/>
          <w:sz w:val="22"/>
          <w:szCs w:val="22"/>
        </w:rPr>
        <w:t>a number of</w:t>
      </w:r>
      <w:proofErr w:type="gramEnd"/>
      <w:r w:rsidRPr="00DF472F">
        <w:rPr>
          <w:rFonts w:ascii="Arial" w:hAnsi="Arial" w:cs="Arial"/>
          <w:sz w:val="22"/>
          <w:szCs w:val="22"/>
        </w:rPr>
        <w:t xml:space="preserve"> recommendations. Firstly, more training on the principles of PCC and the need to enhance communication and engage with patients should be provided to healthcare professionals. This will assist in making sure that every professional will be prepared to deliver individual care that considers the preferences and needs of the patient. Additionally, common information systems must be created to enable </w:t>
      </w:r>
      <w:r w:rsidRPr="00DF472F">
        <w:rPr>
          <w:rFonts w:ascii="Arial" w:hAnsi="Arial" w:cs="Arial"/>
          <w:sz w:val="22"/>
          <w:szCs w:val="22"/>
        </w:rPr>
        <w:lastRenderedPageBreak/>
        <w:t xml:space="preserve">various sectors involved in patient care to have enhanced interaction and cooperation (English, 2022). These systems would guarantee healthcare providers </w:t>
      </w:r>
      <w:proofErr w:type="gramStart"/>
      <w:r w:rsidRPr="00DF472F">
        <w:rPr>
          <w:rFonts w:ascii="Arial" w:hAnsi="Arial" w:cs="Arial"/>
          <w:sz w:val="22"/>
          <w:szCs w:val="22"/>
        </w:rPr>
        <w:t>have the ability to</w:t>
      </w:r>
      <w:proofErr w:type="gramEnd"/>
      <w:r w:rsidRPr="00DF472F">
        <w:rPr>
          <w:rFonts w:ascii="Arial" w:hAnsi="Arial" w:cs="Arial"/>
          <w:sz w:val="22"/>
          <w:szCs w:val="22"/>
        </w:rPr>
        <w:t xml:space="preserve"> exchange patient data efficiently and collaborate more efficiently to offer coordinated care. Moreover, policies and laws in healthcare must be revised and updated to make sure that they facilitate further evolution of PCC and PW (Parry and Sivertsen, 2022, p. 2220). These involve making sure that the current frameworks, like the Care Act 2014 and the Equality Act 2010, are properly enforced and the development of new policies to tackle the new healthcare dilemmas.</w:t>
      </w:r>
    </w:p>
    <w:p w14:paraId="358C9B0B" w14:textId="77777777" w:rsidR="00DF472F" w:rsidRPr="00DF472F" w:rsidRDefault="00DF472F" w:rsidP="00DF472F">
      <w:pPr>
        <w:rPr>
          <w:rFonts w:ascii="Arial" w:hAnsi="Arial" w:cs="Arial"/>
          <w:sz w:val="22"/>
          <w:szCs w:val="22"/>
        </w:rPr>
      </w:pPr>
    </w:p>
    <w:p w14:paraId="23DC0FAB" w14:textId="77777777" w:rsidR="00DF472F" w:rsidRDefault="00DF472F" w:rsidP="00DF472F">
      <w:pPr>
        <w:rPr>
          <w:rFonts w:ascii="Arial" w:hAnsi="Arial" w:cs="Arial"/>
          <w:b/>
          <w:bCs/>
          <w:sz w:val="22"/>
          <w:szCs w:val="22"/>
          <w:u w:val="single"/>
        </w:rPr>
      </w:pPr>
      <w:r w:rsidRPr="00DF472F">
        <w:rPr>
          <w:rFonts w:ascii="Arial" w:hAnsi="Arial" w:cs="Arial"/>
          <w:b/>
          <w:bCs/>
          <w:sz w:val="22"/>
          <w:szCs w:val="22"/>
          <w:u w:val="single"/>
        </w:rPr>
        <w:t>Conclusion</w:t>
      </w:r>
    </w:p>
    <w:p w14:paraId="10E6EA0B" w14:textId="77777777" w:rsidR="00DF472F" w:rsidRPr="00DF472F" w:rsidRDefault="00DF472F" w:rsidP="00DF472F">
      <w:pPr>
        <w:rPr>
          <w:rFonts w:ascii="Arial" w:hAnsi="Arial" w:cs="Arial"/>
          <w:b/>
          <w:bCs/>
          <w:sz w:val="22"/>
          <w:szCs w:val="22"/>
          <w:u w:val="single"/>
        </w:rPr>
      </w:pPr>
    </w:p>
    <w:p w14:paraId="4C51D090" w14:textId="77777777" w:rsidR="00DF472F" w:rsidRPr="00DF472F" w:rsidRDefault="00DF472F" w:rsidP="00DF472F">
      <w:pPr>
        <w:rPr>
          <w:rFonts w:ascii="Arial" w:hAnsi="Arial" w:cs="Arial"/>
          <w:sz w:val="22"/>
          <w:szCs w:val="22"/>
        </w:rPr>
      </w:pPr>
      <w:r w:rsidRPr="00DF472F">
        <w:rPr>
          <w:rFonts w:ascii="Arial" w:hAnsi="Arial" w:cs="Arial"/>
          <w:sz w:val="22"/>
          <w:szCs w:val="22"/>
        </w:rPr>
        <w:t>Generally, Person-</w:t>
      </w:r>
      <w:proofErr w:type="spellStart"/>
      <w:r w:rsidRPr="00DF472F">
        <w:rPr>
          <w:rFonts w:ascii="Arial" w:hAnsi="Arial" w:cs="Arial"/>
          <w:sz w:val="22"/>
          <w:szCs w:val="22"/>
        </w:rPr>
        <w:t>Centered</w:t>
      </w:r>
      <w:proofErr w:type="spellEnd"/>
      <w:r w:rsidRPr="00DF472F">
        <w:rPr>
          <w:rFonts w:ascii="Arial" w:hAnsi="Arial" w:cs="Arial"/>
          <w:sz w:val="22"/>
          <w:szCs w:val="22"/>
        </w:rPr>
        <w:t xml:space="preserve"> Care (PCC) and Partnership Working (PW) are essential to the achievements of contemporary healthcare systems. PCC also allows it to personalize care and make it unique to the requirements of the patient, which results in patient satisfaction and improved health outcomes. Partnership working enables the incorporation of services in various sectors, where the patients are provided with holistic care that covers all their health matters. Although the two approaches have their challenges, they have their advantages, which can be continued to improve the quality of care in the UK </w:t>
      </w:r>
      <w:proofErr w:type="gramStart"/>
      <w:r w:rsidRPr="00DF472F">
        <w:rPr>
          <w:rFonts w:ascii="Arial" w:hAnsi="Arial" w:cs="Arial"/>
          <w:sz w:val="22"/>
          <w:szCs w:val="22"/>
        </w:rPr>
        <w:t>as long as</w:t>
      </w:r>
      <w:proofErr w:type="gramEnd"/>
      <w:r w:rsidRPr="00DF472F">
        <w:rPr>
          <w:rFonts w:ascii="Arial" w:hAnsi="Arial" w:cs="Arial"/>
          <w:sz w:val="22"/>
          <w:szCs w:val="22"/>
        </w:rPr>
        <w:t xml:space="preserve"> they receive support, training, and policy formulation.</w:t>
      </w:r>
    </w:p>
    <w:p w14:paraId="2467CCBF" w14:textId="77777777" w:rsidR="00DF472F" w:rsidRDefault="00DF472F" w:rsidP="00DF472F">
      <w:pPr>
        <w:rPr>
          <w:rFonts w:ascii="Arial" w:hAnsi="Arial" w:cs="Arial"/>
          <w:sz w:val="22"/>
          <w:szCs w:val="22"/>
        </w:rPr>
      </w:pPr>
    </w:p>
    <w:p w14:paraId="20A3AEBA" w14:textId="77777777" w:rsidR="00745692" w:rsidRDefault="00745692" w:rsidP="00DF472F">
      <w:pPr>
        <w:rPr>
          <w:rFonts w:ascii="Arial" w:hAnsi="Arial" w:cs="Arial"/>
          <w:sz w:val="22"/>
          <w:szCs w:val="22"/>
        </w:rPr>
      </w:pPr>
    </w:p>
    <w:p w14:paraId="4B100694" w14:textId="77777777" w:rsidR="00745692" w:rsidRDefault="00745692" w:rsidP="00DF472F">
      <w:pPr>
        <w:rPr>
          <w:rFonts w:ascii="Arial" w:hAnsi="Arial" w:cs="Arial"/>
          <w:sz w:val="22"/>
          <w:szCs w:val="22"/>
        </w:rPr>
      </w:pPr>
    </w:p>
    <w:p w14:paraId="69F57571" w14:textId="77777777" w:rsidR="00745692" w:rsidRDefault="00745692" w:rsidP="00DF472F">
      <w:pPr>
        <w:rPr>
          <w:rFonts w:ascii="Arial" w:hAnsi="Arial" w:cs="Arial"/>
          <w:sz w:val="22"/>
          <w:szCs w:val="22"/>
        </w:rPr>
      </w:pPr>
    </w:p>
    <w:p w14:paraId="174E6489" w14:textId="77777777" w:rsidR="00745692" w:rsidRDefault="00745692" w:rsidP="00DF472F">
      <w:pPr>
        <w:rPr>
          <w:rFonts w:ascii="Arial" w:hAnsi="Arial" w:cs="Arial"/>
          <w:sz w:val="22"/>
          <w:szCs w:val="22"/>
        </w:rPr>
      </w:pPr>
    </w:p>
    <w:p w14:paraId="2CDDFA79" w14:textId="77777777" w:rsidR="00745692" w:rsidRDefault="00745692" w:rsidP="00DF472F">
      <w:pPr>
        <w:rPr>
          <w:rFonts w:ascii="Arial" w:hAnsi="Arial" w:cs="Arial"/>
          <w:sz w:val="22"/>
          <w:szCs w:val="22"/>
        </w:rPr>
      </w:pPr>
    </w:p>
    <w:p w14:paraId="30F15820" w14:textId="77777777" w:rsidR="00745692" w:rsidRDefault="00745692" w:rsidP="00DF472F">
      <w:pPr>
        <w:rPr>
          <w:rFonts w:ascii="Arial" w:hAnsi="Arial" w:cs="Arial"/>
          <w:sz w:val="22"/>
          <w:szCs w:val="22"/>
        </w:rPr>
      </w:pPr>
    </w:p>
    <w:p w14:paraId="532DE7E2" w14:textId="77777777" w:rsidR="00745692" w:rsidRDefault="00745692" w:rsidP="00DF472F">
      <w:pPr>
        <w:rPr>
          <w:rFonts w:ascii="Arial" w:hAnsi="Arial" w:cs="Arial"/>
          <w:sz w:val="22"/>
          <w:szCs w:val="22"/>
        </w:rPr>
      </w:pPr>
    </w:p>
    <w:p w14:paraId="77CBB37E" w14:textId="77777777" w:rsidR="00745692" w:rsidRDefault="00745692" w:rsidP="00DF472F">
      <w:pPr>
        <w:rPr>
          <w:rFonts w:ascii="Arial" w:hAnsi="Arial" w:cs="Arial"/>
          <w:sz w:val="22"/>
          <w:szCs w:val="22"/>
        </w:rPr>
      </w:pPr>
    </w:p>
    <w:p w14:paraId="2FED5473" w14:textId="77777777" w:rsidR="00745692" w:rsidRDefault="00745692" w:rsidP="00DF472F">
      <w:pPr>
        <w:rPr>
          <w:rFonts w:ascii="Arial" w:hAnsi="Arial" w:cs="Arial"/>
          <w:sz w:val="22"/>
          <w:szCs w:val="22"/>
        </w:rPr>
      </w:pPr>
    </w:p>
    <w:p w14:paraId="6D0D1C4A" w14:textId="77777777" w:rsidR="00745692" w:rsidRDefault="00745692" w:rsidP="00DF472F">
      <w:pPr>
        <w:rPr>
          <w:rFonts w:ascii="Arial" w:hAnsi="Arial" w:cs="Arial"/>
          <w:sz w:val="22"/>
          <w:szCs w:val="22"/>
        </w:rPr>
      </w:pPr>
    </w:p>
    <w:p w14:paraId="33B93CC7" w14:textId="77777777" w:rsidR="00745692" w:rsidRDefault="00745692" w:rsidP="00DF472F">
      <w:pPr>
        <w:rPr>
          <w:rFonts w:ascii="Arial" w:hAnsi="Arial" w:cs="Arial"/>
          <w:sz w:val="22"/>
          <w:szCs w:val="22"/>
        </w:rPr>
      </w:pPr>
    </w:p>
    <w:p w14:paraId="6E38C027" w14:textId="77777777" w:rsidR="00745692" w:rsidRDefault="00745692" w:rsidP="00DF472F">
      <w:pPr>
        <w:rPr>
          <w:rFonts w:ascii="Arial" w:hAnsi="Arial" w:cs="Arial"/>
          <w:sz w:val="22"/>
          <w:szCs w:val="22"/>
        </w:rPr>
      </w:pPr>
    </w:p>
    <w:p w14:paraId="6D6C2504" w14:textId="77777777" w:rsidR="00745692" w:rsidRDefault="00745692" w:rsidP="00DF472F">
      <w:pPr>
        <w:rPr>
          <w:rFonts w:ascii="Arial" w:hAnsi="Arial" w:cs="Arial"/>
          <w:sz w:val="22"/>
          <w:szCs w:val="22"/>
        </w:rPr>
      </w:pPr>
    </w:p>
    <w:p w14:paraId="50263F6E" w14:textId="77777777" w:rsidR="00745692" w:rsidRDefault="00745692" w:rsidP="00DF472F">
      <w:pPr>
        <w:rPr>
          <w:rFonts w:ascii="Arial" w:hAnsi="Arial" w:cs="Arial"/>
          <w:sz w:val="22"/>
          <w:szCs w:val="22"/>
        </w:rPr>
      </w:pPr>
    </w:p>
    <w:p w14:paraId="7BF5F6E4" w14:textId="77777777" w:rsidR="00745692" w:rsidRDefault="00745692" w:rsidP="00DF472F">
      <w:pPr>
        <w:rPr>
          <w:rFonts w:ascii="Arial" w:hAnsi="Arial" w:cs="Arial"/>
          <w:sz w:val="22"/>
          <w:szCs w:val="22"/>
        </w:rPr>
      </w:pPr>
    </w:p>
    <w:p w14:paraId="1D89D3CD" w14:textId="77777777" w:rsidR="00745692" w:rsidRDefault="00745692" w:rsidP="00DF472F">
      <w:pPr>
        <w:rPr>
          <w:rFonts w:ascii="Arial" w:hAnsi="Arial" w:cs="Arial"/>
          <w:sz w:val="22"/>
          <w:szCs w:val="22"/>
        </w:rPr>
      </w:pPr>
    </w:p>
    <w:p w14:paraId="298DC161" w14:textId="77777777" w:rsidR="00745692" w:rsidRDefault="00745692" w:rsidP="00745692">
      <w:pPr>
        <w:rPr>
          <w:rFonts w:ascii="Arial" w:hAnsi="Arial" w:cs="Arial"/>
          <w:b/>
          <w:bCs/>
          <w:sz w:val="22"/>
          <w:szCs w:val="22"/>
          <w:u w:val="single"/>
        </w:rPr>
      </w:pPr>
      <w:r w:rsidRPr="00745692">
        <w:rPr>
          <w:rFonts w:ascii="Arial" w:hAnsi="Arial" w:cs="Arial"/>
          <w:b/>
          <w:bCs/>
          <w:sz w:val="22"/>
          <w:szCs w:val="22"/>
          <w:u w:val="single"/>
        </w:rPr>
        <w:lastRenderedPageBreak/>
        <w:t>Reference list</w:t>
      </w:r>
    </w:p>
    <w:p w14:paraId="7CFA8017" w14:textId="77777777" w:rsidR="00745692" w:rsidRPr="00745692" w:rsidRDefault="00745692" w:rsidP="00745692">
      <w:pPr>
        <w:rPr>
          <w:rFonts w:ascii="Arial" w:hAnsi="Arial" w:cs="Arial"/>
          <w:b/>
          <w:bCs/>
          <w:sz w:val="22"/>
          <w:szCs w:val="22"/>
          <w:u w:val="single"/>
        </w:rPr>
      </w:pPr>
    </w:p>
    <w:p w14:paraId="57DE232A" w14:textId="77777777" w:rsidR="00745692" w:rsidRDefault="00745692" w:rsidP="00745692">
      <w:pPr>
        <w:rPr>
          <w:rFonts w:ascii="Arial" w:hAnsi="Arial" w:cs="Arial"/>
          <w:sz w:val="22"/>
          <w:szCs w:val="22"/>
        </w:rPr>
      </w:pPr>
      <w:r w:rsidRPr="00745692">
        <w:rPr>
          <w:rFonts w:ascii="Arial" w:hAnsi="Arial" w:cs="Arial"/>
          <w:sz w:val="22"/>
          <w:szCs w:val="22"/>
        </w:rPr>
        <w:t>Boston</w:t>
      </w:r>
      <w:r w:rsidRPr="00745692">
        <w:rPr>
          <w:rFonts w:ascii="Cambria Math" w:hAnsi="Cambria Math" w:cs="Cambria Math"/>
          <w:sz w:val="22"/>
          <w:szCs w:val="22"/>
        </w:rPr>
        <w:t>‐</w:t>
      </w:r>
      <w:r w:rsidRPr="00745692">
        <w:rPr>
          <w:rFonts w:ascii="Arial" w:hAnsi="Arial" w:cs="Arial"/>
          <w:sz w:val="22"/>
          <w:szCs w:val="22"/>
        </w:rPr>
        <w:t>Leary, K., Alexander, G.R. and Davis, S. (2024). Leveraging Maslow’s Hierarchy of Needs to Build Nursing’s More Inclusive Future. Nursing Administration Quarterly, pp.55–64.</w:t>
      </w:r>
    </w:p>
    <w:p w14:paraId="70983C51" w14:textId="656CD2CB" w:rsidR="00745692" w:rsidRDefault="000E06C2" w:rsidP="00745692">
      <w:pPr>
        <w:rPr>
          <w:rFonts w:ascii="Arial" w:hAnsi="Arial" w:cs="Arial"/>
          <w:i/>
          <w:iCs/>
          <w:sz w:val="22"/>
          <w:szCs w:val="22"/>
        </w:rPr>
      </w:pPr>
      <w:r w:rsidRPr="000E06C2">
        <w:rPr>
          <w:rFonts w:ascii="Arial" w:hAnsi="Arial" w:cs="Arial"/>
          <w:i/>
          <w:iCs/>
          <w:sz w:val="22"/>
          <w:szCs w:val="22"/>
        </w:rPr>
        <w:t>https://journals.lww.com/naqjournal/abstract/2024/01000/leveraging_maslow_s_hierarchy_of_needs_to_build.8.aspx</w:t>
      </w:r>
    </w:p>
    <w:p w14:paraId="436E03C8" w14:textId="77777777" w:rsidR="000E06C2" w:rsidRPr="00745692" w:rsidRDefault="000E06C2" w:rsidP="00745692">
      <w:pPr>
        <w:rPr>
          <w:rFonts w:ascii="Arial" w:hAnsi="Arial" w:cs="Arial"/>
          <w:sz w:val="22"/>
          <w:szCs w:val="22"/>
        </w:rPr>
      </w:pPr>
    </w:p>
    <w:p w14:paraId="4A19E0F9" w14:textId="4BE99385" w:rsidR="00745692" w:rsidRDefault="00745692" w:rsidP="00745692">
      <w:pPr>
        <w:rPr>
          <w:rFonts w:ascii="Arial" w:hAnsi="Arial" w:cs="Arial"/>
          <w:sz w:val="22"/>
          <w:szCs w:val="22"/>
        </w:rPr>
      </w:pPr>
      <w:r w:rsidRPr="00745692">
        <w:rPr>
          <w:rFonts w:ascii="Arial" w:hAnsi="Arial" w:cs="Arial"/>
          <w:sz w:val="22"/>
          <w:szCs w:val="22"/>
        </w:rPr>
        <w:t xml:space="preserve">Chen, M., Guan, Q. and Zhuang, J. (2024). Patient-centred lean healthcare management from a humanistic perspective. BMC Health Services Research </w:t>
      </w:r>
    </w:p>
    <w:p w14:paraId="0CD9003B" w14:textId="761DCB9F" w:rsidR="000E06C2" w:rsidRPr="000E06C2" w:rsidRDefault="000E06C2" w:rsidP="00745692">
      <w:pPr>
        <w:rPr>
          <w:rFonts w:ascii="Arial" w:hAnsi="Arial" w:cs="Arial"/>
          <w:i/>
          <w:iCs/>
          <w:sz w:val="22"/>
          <w:szCs w:val="22"/>
        </w:rPr>
      </w:pPr>
      <w:r w:rsidRPr="000E06C2">
        <w:rPr>
          <w:rFonts w:ascii="Arial" w:hAnsi="Arial" w:cs="Arial"/>
          <w:i/>
          <w:iCs/>
          <w:sz w:val="22"/>
          <w:szCs w:val="22"/>
        </w:rPr>
        <w:t>https://link.springer.com/article/10.1186/s12913-024-11755-w</w:t>
      </w:r>
    </w:p>
    <w:p w14:paraId="72D99C0B" w14:textId="77777777" w:rsidR="000E06C2" w:rsidRPr="00745692" w:rsidRDefault="000E06C2" w:rsidP="00745692">
      <w:pPr>
        <w:rPr>
          <w:rFonts w:ascii="Arial" w:hAnsi="Arial" w:cs="Arial"/>
          <w:sz w:val="22"/>
          <w:szCs w:val="22"/>
        </w:rPr>
      </w:pPr>
    </w:p>
    <w:p w14:paraId="5DD89622" w14:textId="351EF0F8" w:rsidR="00745692" w:rsidRDefault="00745692" w:rsidP="00745692">
      <w:pPr>
        <w:rPr>
          <w:rFonts w:ascii="Arial" w:hAnsi="Arial" w:cs="Arial"/>
          <w:sz w:val="22"/>
          <w:szCs w:val="22"/>
        </w:rPr>
      </w:pPr>
      <w:r w:rsidRPr="00745692">
        <w:rPr>
          <w:rFonts w:ascii="Arial" w:hAnsi="Arial" w:cs="Arial"/>
          <w:sz w:val="22"/>
          <w:szCs w:val="22"/>
        </w:rPr>
        <w:t xml:space="preserve">Coulter, A. (2011). (PDF) Engaging Patients in Health Care. [online] ResearchGate. </w:t>
      </w:r>
    </w:p>
    <w:p w14:paraId="56183A14" w14:textId="72283EF9" w:rsidR="000E06C2" w:rsidRPr="000E06C2" w:rsidRDefault="000E06C2" w:rsidP="00745692">
      <w:pPr>
        <w:rPr>
          <w:rFonts w:ascii="Arial" w:hAnsi="Arial" w:cs="Arial"/>
          <w:i/>
          <w:iCs/>
          <w:sz w:val="22"/>
          <w:szCs w:val="22"/>
        </w:rPr>
      </w:pPr>
      <w:r w:rsidRPr="000E06C2">
        <w:rPr>
          <w:rFonts w:ascii="Arial" w:hAnsi="Arial" w:cs="Arial"/>
          <w:i/>
          <w:iCs/>
          <w:sz w:val="22"/>
          <w:szCs w:val="22"/>
        </w:rPr>
        <w:t>https://www.researchgate.net/publication/230687397_Engaging_Patients_in_Health_Care</w:t>
      </w:r>
    </w:p>
    <w:p w14:paraId="0B5B7D09" w14:textId="77777777" w:rsidR="000E06C2" w:rsidRPr="00745692" w:rsidRDefault="000E06C2" w:rsidP="00745692">
      <w:pPr>
        <w:rPr>
          <w:rFonts w:ascii="Arial" w:hAnsi="Arial" w:cs="Arial"/>
          <w:sz w:val="22"/>
          <w:szCs w:val="22"/>
        </w:rPr>
      </w:pPr>
    </w:p>
    <w:p w14:paraId="590482D9" w14:textId="6F9E687D" w:rsidR="00745692" w:rsidRDefault="00745692" w:rsidP="00745692">
      <w:pPr>
        <w:rPr>
          <w:rFonts w:ascii="Arial" w:hAnsi="Arial" w:cs="Arial"/>
          <w:i/>
          <w:iCs/>
          <w:sz w:val="22"/>
          <w:szCs w:val="22"/>
        </w:rPr>
      </w:pPr>
      <w:r w:rsidRPr="00745692">
        <w:rPr>
          <w:rFonts w:ascii="Arial" w:hAnsi="Arial" w:cs="Arial"/>
          <w:sz w:val="22"/>
          <w:szCs w:val="22"/>
        </w:rPr>
        <w:t xml:space="preserve">Department of Health (2004). Chronic disease management: A compendium of information. </w:t>
      </w:r>
      <w:r w:rsidRPr="000E06C2">
        <w:rPr>
          <w:rFonts w:ascii="Arial" w:hAnsi="Arial" w:cs="Arial"/>
          <w:i/>
          <w:iCs/>
          <w:sz w:val="22"/>
          <w:szCs w:val="22"/>
        </w:rPr>
        <w:t xml:space="preserve">http://webarchive.nationalarchives.gov.uk/20130107105354/http://www.dh.gov.uk/prod_consum_dh/groups/dh_digitalassets/documents/digitalasset/dh_074612.pdf </w:t>
      </w:r>
    </w:p>
    <w:p w14:paraId="32FC19E3" w14:textId="77777777" w:rsidR="000E06C2" w:rsidRPr="000E06C2" w:rsidRDefault="000E06C2" w:rsidP="00745692">
      <w:pPr>
        <w:rPr>
          <w:rFonts w:ascii="Arial" w:hAnsi="Arial" w:cs="Arial"/>
          <w:i/>
          <w:iCs/>
          <w:sz w:val="22"/>
          <w:szCs w:val="22"/>
        </w:rPr>
      </w:pPr>
    </w:p>
    <w:p w14:paraId="0967E7EC" w14:textId="0719BBB0" w:rsidR="000E06C2" w:rsidRDefault="00745692" w:rsidP="00745692">
      <w:pPr>
        <w:rPr>
          <w:rFonts w:ascii="Arial" w:hAnsi="Arial" w:cs="Arial"/>
          <w:sz w:val="22"/>
          <w:szCs w:val="22"/>
        </w:rPr>
      </w:pPr>
      <w:r w:rsidRPr="00745692">
        <w:rPr>
          <w:rFonts w:ascii="Arial" w:hAnsi="Arial" w:cs="Arial"/>
          <w:sz w:val="22"/>
          <w:szCs w:val="22"/>
        </w:rPr>
        <w:t xml:space="preserve">Department of Health and Social Care (2023). National framework for NHS continuing healthcare and NHS-funded nursing care. [online] GOV.UK. Available at: </w:t>
      </w:r>
      <w:hyperlink r:id="rId16" w:history="1">
        <w:r w:rsidR="000E06C2" w:rsidRPr="000E06C2">
          <w:rPr>
            <w:rStyle w:val="Hyperlink"/>
            <w:rFonts w:ascii="Arial" w:hAnsi="Arial" w:cs="Arial"/>
            <w:i/>
            <w:iCs/>
            <w:color w:val="auto"/>
            <w:sz w:val="22"/>
            <w:szCs w:val="22"/>
            <w:u w:val="none"/>
          </w:rPr>
          <w:t>https://www.gov.uk/government/publications/national-framework-for-nhs-continuing-healthcare-and-nhs-funded-nursing-care</w:t>
        </w:r>
      </w:hyperlink>
    </w:p>
    <w:p w14:paraId="0007EE03" w14:textId="77777777" w:rsidR="000E06C2" w:rsidRPr="00745692" w:rsidRDefault="000E06C2" w:rsidP="00745692">
      <w:pPr>
        <w:rPr>
          <w:rFonts w:ascii="Arial" w:hAnsi="Arial" w:cs="Arial"/>
          <w:sz w:val="22"/>
          <w:szCs w:val="22"/>
        </w:rPr>
      </w:pPr>
    </w:p>
    <w:p w14:paraId="6F0482CF" w14:textId="5A39992B" w:rsidR="000E06C2" w:rsidRDefault="00745692" w:rsidP="00745692">
      <w:pPr>
        <w:rPr>
          <w:rFonts w:ascii="Arial" w:hAnsi="Arial" w:cs="Arial"/>
          <w:sz w:val="22"/>
          <w:szCs w:val="22"/>
        </w:rPr>
      </w:pPr>
      <w:r w:rsidRPr="00745692">
        <w:rPr>
          <w:rFonts w:ascii="Arial" w:hAnsi="Arial" w:cs="Arial"/>
          <w:sz w:val="22"/>
          <w:szCs w:val="22"/>
        </w:rPr>
        <w:t>English, K. (2022). Guidance on Providing Patient-</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Care. Seminars in Hearing, </w:t>
      </w:r>
    </w:p>
    <w:p w14:paraId="407DA11A" w14:textId="485B2591" w:rsidR="000E06C2" w:rsidRPr="000E06C2" w:rsidRDefault="000E06C2" w:rsidP="00745692">
      <w:pPr>
        <w:rPr>
          <w:rFonts w:ascii="Arial" w:hAnsi="Arial" w:cs="Arial"/>
          <w:i/>
          <w:iCs/>
          <w:sz w:val="22"/>
          <w:szCs w:val="22"/>
        </w:rPr>
      </w:pPr>
      <w:hyperlink r:id="rId17" w:history="1">
        <w:r w:rsidRPr="000E06C2">
          <w:rPr>
            <w:rStyle w:val="Hyperlink"/>
            <w:rFonts w:ascii="Arial" w:hAnsi="Arial" w:cs="Arial"/>
            <w:i/>
            <w:iCs/>
            <w:color w:val="auto"/>
            <w:sz w:val="22"/>
            <w:szCs w:val="22"/>
            <w:u w:val="none"/>
          </w:rPr>
          <w:t>https://www.thieme-connect.de/products/ejournals/abstract/10.1055/s-0042-1748834</w:t>
        </w:r>
      </w:hyperlink>
    </w:p>
    <w:p w14:paraId="2A33402D" w14:textId="77777777" w:rsidR="000E06C2" w:rsidRPr="000E06C2" w:rsidRDefault="000E06C2" w:rsidP="00745692">
      <w:pPr>
        <w:rPr>
          <w:rFonts w:ascii="Arial" w:hAnsi="Arial" w:cs="Arial"/>
          <w:i/>
          <w:iCs/>
          <w:sz w:val="22"/>
          <w:szCs w:val="22"/>
        </w:rPr>
      </w:pPr>
    </w:p>
    <w:p w14:paraId="0486B70D" w14:textId="0F668575" w:rsidR="00745692" w:rsidRDefault="00745692" w:rsidP="00745692">
      <w:pPr>
        <w:rPr>
          <w:rFonts w:ascii="Arial" w:hAnsi="Arial" w:cs="Arial"/>
          <w:sz w:val="22"/>
          <w:szCs w:val="22"/>
        </w:rPr>
      </w:pPr>
      <w:r w:rsidRPr="00745692">
        <w:rPr>
          <w:rFonts w:ascii="Arial" w:hAnsi="Arial" w:cs="Arial"/>
          <w:sz w:val="22"/>
          <w:szCs w:val="22"/>
        </w:rPr>
        <w:t>Glasby, J., Dickinson, H. and Peck, E. (2006). Guest editorial: Partnership working in health and social care. Health and Social Care in the Community, 14(5), pp.373–37</w:t>
      </w:r>
    </w:p>
    <w:p w14:paraId="733DBAC2" w14:textId="2F7E41AF" w:rsidR="000E06C2" w:rsidRPr="000E06C2" w:rsidRDefault="000E06C2" w:rsidP="00745692">
      <w:pPr>
        <w:rPr>
          <w:rFonts w:ascii="Arial" w:hAnsi="Arial" w:cs="Arial"/>
          <w:i/>
          <w:iCs/>
          <w:sz w:val="22"/>
          <w:szCs w:val="22"/>
        </w:rPr>
      </w:pPr>
      <w:r w:rsidRPr="000E06C2">
        <w:rPr>
          <w:rFonts w:ascii="Arial" w:hAnsi="Arial" w:cs="Arial"/>
          <w:i/>
          <w:iCs/>
          <w:sz w:val="22"/>
          <w:szCs w:val="22"/>
        </w:rPr>
        <w:t>https://onlinelibrary.wiley.com/doi/10.1111/j.1365-2524.2006.00656.x</w:t>
      </w:r>
    </w:p>
    <w:p w14:paraId="17C73FEA" w14:textId="77777777" w:rsidR="000E06C2" w:rsidRPr="00745692" w:rsidRDefault="000E06C2" w:rsidP="00745692">
      <w:pPr>
        <w:rPr>
          <w:rFonts w:ascii="Arial" w:hAnsi="Arial" w:cs="Arial"/>
          <w:sz w:val="22"/>
          <w:szCs w:val="22"/>
        </w:rPr>
      </w:pPr>
    </w:p>
    <w:p w14:paraId="3F2918A8" w14:textId="27187920" w:rsidR="00745692" w:rsidRDefault="00745692" w:rsidP="00745692">
      <w:pPr>
        <w:rPr>
          <w:rFonts w:ascii="Arial" w:hAnsi="Arial" w:cs="Arial"/>
          <w:sz w:val="22"/>
          <w:szCs w:val="22"/>
        </w:rPr>
      </w:pPr>
      <w:r w:rsidRPr="00745692">
        <w:rPr>
          <w:rFonts w:ascii="Arial" w:hAnsi="Arial" w:cs="Arial"/>
          <w:sz w:val="22"/>
          <w:szCs w:val="22"/>
        </w:rPr>
        <w:t>Grover, S., Fitzpatrick, A., Azim, F.T., Ariza-Vega, P., Bellwood, P., Burns, J., Burton, E., Fleig, L., Clemson, L., Hoppmann, C.A., Madden, K.M., Price, M., Langford, D. and Ashe, M.C. (2022). Defining and implementing patient-</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care: An umbrella review. Patient Education and </w:t>
      </w:r>
      <w:proofErr w:type="spellStart"/>
      <w:r w:rsidRPr="00745692">
        <w:rPr>
          <w:rFonts w:ascii="Arial" w:hAnsi="Arial" w:cs="Arial"/>
          <w:sz w:val="22"/>
          <w:szCs w:val="22"/>
        </w:rPr>
        <w:t>Counseling</w:t>
      </w:r>
      <w:proofErr w:type="spellEnd"/>
      <w:r w:rsidRPr="00745692">
        <w:rPr>
          <w:rFonts w:ascii="Arial" w:hAnsi="Arial" w:cs="Arial"/>
          <w:sz w:val="22"/>
          <w:szCs w:val="22"/>
        </w:rPr>
        <w:t xml:space="preserve">, [online] 105(7), pp.1679–1688. </w:t>
      </w:r>
    </w:p>
    <w:p w14:paraId="16C0195E" w14:textId="29C9F317" w:rsidR="000E06C2" w:rsidRPr="000E06C2" w:rsidRDefault="000E06C2" w:rsidP="00745692">
      <w:pPr>
        <w:rPr>
          <w:rFonts w:ascii="Arial" w:hAnsi="Arial" w:cs="Arial"/>
          <w:i/>
          <w:iCs/>
          <w:sz w:val="22"/>
          <w:szCs w:val="22"/>
        </w:rPr>
      </w:pPr>
      <w:r w:rsidRPr="000E06C2">
        <w:rPr>
          <w:rFonts w:ascii="Arial" w:hAnsi="Arial" w:cs="Arial"/>
          <w:i/>
          <w:iCs/>
          <w:sz w:val="22"/>
          <w:szCs w:val="22"/>
        </w:rPr>
        <w:t>https://www.sciencedirect.com/science/article/abs/pii/S0738399121007254?via%3Dihub</w:t>
      </w:r>
    </w:p>
    <w:p w14:paraId="26A3C1F2" w14:textId="3091F500" w:rsidR="00745692" w:rsidRDefault="00745692" w:rsidP="00745692">
      <w:pPr>
        <w:rPr>
          <w:rFonts w:ascii="Arial" w:hAnsi="Arial" w:cs="Arial"/>
          <w:i/>
          <w:iCs/>
          <w:sz w:val="22"/>
          <w:szCs w:val="22"/>
        </w:rPr>
      </w:pPr>
      <w:r w:rsidRPr="00745692">
        <w:rPr>
          <w:rFonts w:ascii="Arial" w:hAnsi="Arial" w:cs="Arial"/>
          <w:sz w:val="22"/>
          <w:szCs w:val="22"/>
        </w:rPr>
        <w:lastRenderedPageBreak/>
        <w:t xml:space="preserve">Ham, C., Heenan, D., Longley, M. and Steel, D.R. (2013). Integrated care in Northern Ireland, Scotland and Wales: Lessons for England. [online] Available at: </w:t>
      </w:r>
      <w:hyperlink r:id="rId18" w:history="1">
        <w:r w:rsidR="000E06C2" w:rsidRPr="000E06C2">
          <w:rPr>
            <w:rStyle w:val="Hyperlink"/>
            <w:rFonts w:ascii="Arial" w:hAnsi="Arial" w:cs="Arial"/>
            <w:i/>
            <w:iCs/>
            <w:color w:val="auto"/>
            <w:sz w:val="22"/>
            <w:szCs w:val="22"/>
            <w:u w:val="none"/>
          </w:rPr>
          <w:t>http://www.kingsfund.org.uk/sites/files/kf/field/field_publication_file/integrated-care-in-northern-ireland-scotland-and-wales-kingsfund-jul13.pdf</w:t>
        </w:r>
      </w:hyperlink>
      <w:r w:rsidR="000E06C2" w:rsidRPr="000E06C2">
        <w:rPr>
          <w:rFonts w:ascii="Arial" w:hAnsi="Arial" w:cs="Arial"/>
          <w:i/>
          <w:iCs/>
          <w:sz w:val="22"/>
          <w:szCs w:val="22"/>
        </w:rPr>
        <w:t>.</w:t>
      </w:r>
    </w:p>
    <w:p w14:paraId="765E4A32" w14:textId="77777777" w:rsidR="000E06C2" w:rsidRPr="00745692" w:rsidRDefault="000E06C2" w:rsidP="00745692">
      <w:pPr>
        <w:rPr>
          <w:rFonts w:ascii="Arial" w:hAnsi="Arial" w:cs="Arial"/>
          <w:sz w:val="22"/>
          <w:szCs w:val="22"/>
        </w:rPr>
      </w:pPr>
    </w:p>
    <w:p w14:paraId="73541D61" w14:textId="3D9B93AE" w:rsidR="00745692" w:rsidRPr="000E06C2" w:rsidRDefault="00745692" w:rsidP="00745692">
      <w:pPr>
        <w:rPr>
          <w:rFonts w:ascii="Arial" w:hAnsi="Arial" w:cs="Arial"/>
          <w:i/>
          <w:iCs/>
          <w:sz w:val="22"/>
          <w:szCs w:val="22"/>
        </w:rPr>
      </w:pPr>
      <w:r w:rsidRPr="00745692">
        <w:rPr>
          <w:rFonts w:ascii="Arial" w:hAnsi="Arial" w:cs="Arial"/>
          <w:sz w:val="22"/>
          <w:szCs w:val="22"/>
        </w:rPr>
        <w:t xml:space="preserve">Hopkins, D. (2006). Integrated Care - A Guide for Policymakers - ILCUK. </w:t>
      </w:r>
      <w:hyperlink r:id="rId19" w:history="1">
        <w:r w:rsidR="000E06C2" w:rsidRPr="000E06C2">
          <w:rPr>
            <w:rStyle w:val="Hyperlink"/>
            <w:rFonts w:ascii="Arial" w:hAnsi="Arial" w:cs="Arial"/>
            <w:i/>
            <w:iCs/>
            <w:color w:val="auto"/>
            <w:sz w:val="22"/>
            <w:szCs w:val="22"/>
            <w:u w:val="none"/>
          </w:rPr>
          <w:t>https://ilcuk.org.uk/integrated-care-a-guide-for-policymakers</w:t>
        </w:r>
      </w:hyperlink>
    </w:p>
    <w:p w14:paraId="7B3C53BA" w14:textId="77777777" w:rsidR="000E06C2" w:rsidRPr="00745692" w:rsidRDefault="000E06C2" w:rsidP="00745692">
      <w:pPr>
        <w:rPr>
          <w:rFonts w:ascii="Arial" w:hAnsi="Arial" w:cs="Arial"/>
          <w:sz w:val="22"/>
          <w:szCs w:val="22"/>
        </w:rPr>
      </w:pPr>
    </w:p>
    <w:p w14:paraId="7CF8027A" w14:textId="40814E7A" w:rsidR="00745692" w:rsidRDefault="00745692" w:rsidP="00745692">
      <w:pPr>
        <w:rPr>
          <w:rFonts w:ascii="Arial" w:hAnsi="Arial" w:cs="Arial"/>
          <w:sz w:val="22"/>
          <w:szCs w:val="22"/>
        </w:rPr>
      </w:pPr>
      <w:r w:rsidRPr="00745692">
        <w:rPr>
          <w:rFonts w:ascii="Arial" w:hAnsi="Arial" w:cs="Arial"/>
          <w:sz w:val="22"/>
          <w:szCs w:val="22"/>
        </w:rPr>
        <w:t>Jesus, T.S., Papadimitriou, C., Bright, F.A., Kayes, N.M., Pinho, C.S. and Cott, C.A. (2021). The Person-</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Rehabilitation Model: Framing the concept and practice of person-</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adult physical rehabilitation based on a scoping review and thematic analysis of the literature. Archives of Physical Medicine and Rehabilitation</w:t>
      </w:r>
      <w:r w:rsidR="000E06C2">
        <w:rPr>
          <w:rFonts w:ascii="Arial" w:hAnsi="Arial" w:cs="Arial"/>
          <w:sz w:val="22"/>
          <w:szCs w:val="22"/>
        </w:rPr>
        <w:t xml:space="preserve">. </w:t>
      </w:r>
    </w:p>
    <w:p w14:paraId="2CCC35B1" w14:textId="345AEB14" w:rsidR="000E06C2" w:rsidRPr="000E06C2" w:rsidRDefault="000E06C2" w:rsidP="00745692">
      <w:pPr>
        <w:rPr>
          <w:rFonts w:ascii="Arial" w:hAnsi="Arial" w:cs="Arial"/>
          <w:i/>
          <w:iCs/>
          <w:sz w:val="22"/>
          <w:szCs w:val="22"/>
        </w:rPr>
      </w:pPr>
      <w:r w:rsidRPr="000E06C2">
        <w:rPr>
          <w:rFonts w:ascii="Arial" w:hAnsi="Arial" w:cs="Arial"/>
          <w:i/>
          <w:iCs/>
          <w:sz w:val="22"/>
          <w:szCs w:val="22"/>
        </w:rPr>
        <w:t>https://www.archives-pmr.org/article/S0003-9993(21)00401-9/fulltext</w:t>
      </w:r>
    </w:p>
    <w:p w14:paraId="19D408A1" w14:textId="77777777" w:rsidR="000E06C2" w:rsidRPr="00745692" w:rsidRDefault="000E06C2" w:rsidP="00745692">
      <w:pPr>
        <w:rPr>
          <w:rFonts w:ascii="Arial" w:hAnsi="Arial" w:cs="Arial"/>
          <w:sz w:val="22"/>
          <w:szCs w:val="22"/>
        </w:rPr>
      </w:pPr>
    </w:p>
    <w:p w14:paraId="2423AF4F" w14:textId="6A4FADDF" w:rsidR="000E06C2" w:rsidRDefault="00745692" w:rsidP="00745692">
      <w:pPr>
        <w:rPr>
          <w:rFonts w:ascii="Arial" w:hAnsi="Arial" w:cs="Arial"/>
          <w:sz w:val="22"/>
          <w:szCs w:val="22"/>
        </w:rPr>
      </w:pPr>
      <w:r w:rsidRPr="00745692">
        <w:rPr>
          <w:rFonts w:ascii="Arial" w:hAnsi="Arial" w:cs="Arial"/>
          <w:sz w:val="22"/>
          <w:szCs w:val="22"/>
        </w:rPr>
        <w:t xml:space="preserve">Khatri, R., </w:t>
      </w:r>
      <w:proofErr w:type="spellStart"/>
      <w:r w:rsidRPr="00745692">
        <w:rPr>
          <w:rFonts w:ascii="Arial" w:hAnsi="Arial" w:cs="Arial"/>
          <w:sz w:val="22"/>
          <w:szCs w:val="22"/>
        </w:rPr>
        <w:t>Endalamaw</w:t>
      </w:r>
      <w:proofErr w:type="spellEnd"/>
      <w:r w:rsidRPr="00745692">
        <w:rPr>
          <w:rFonts w:ascii="Arial" w:hAnsi="Arial" w:cs="Arial"/>
          <w:sz w:val="22"/>
          <w:szCs w:val="22"/>
        </w:rPr>
        <w:t xml:space="preserve">, A., </w:t>
      </w:r>
      <w:proofErr w:type="spellStart"/>
      <w:r w:rsidRPr="00745692">
        <w:rPr>
          <w:rFonts w:ascii="Arial" w:hAnsi="Arial" w:cs="Arial"/>
          <w:sz w:val="22"/>
          <w:szCs w:val="22"/>
        </w:rPr>
        <w:t>Erku</w:t>
      </w:r>
      <w:proofErr w:type="spellEnd"/>
      <w:r w:rsidRPr="00745692">
        <w:rPr>
          <w:rFonts w:ascii="Arial" w:hAnsi="Arial" w:cs="Arial"/>
          <w:sz w:val="22"/>
          <w:szCs w:val="22"/>
        </w:rPr>
        <w:t xml:space="preserve">, D., </w:t>
      </w:r>
      <w:proofErr w:type="spellStart"/>
      <w:r w:rsidRPr="00745692">
        <w:rPr>
          <w:rFonts w:ascii="Arial" w:hAnsi="Arial" w:cs="Arial"/>
          <w:sz w:val="22"/>
          <w:szCs w:val="22"/>
        </w:rPr>
        <w:t>Wolka</w:t>
      </w:r>
      <w:proofErr w:type="spellEnd"/>
      <w:r w:rsidRPr="00745692">
        <w:rPr>
          <w:rFonts w:ascii="Arial" w:hAnsi="Arial" w:cs="Arial"/>
          <w:sz w:val="22"/>
          <w:szCs w:val="22"/>
        </w:rPr>
        <w:t>, E., Nigatu, F., Zewdie, A. and Assefa, Y. (2023). Continuity and care coordination of primary health care: A scoping review. BioMed Central Health Services Research</w:t>
      </w:r>
      <w:r w:rsidR="000E06C2">
        <w:rPr>
          <w:rFonts w:ascii="Arial" w:hAnsi="Arial" w:cs="Arial"/>
          <w:sz w:val="22"/>
          <w:szCs w:val="22"/>
        </w:rPr>
        <w:t>.</w:t>
      </w:r>
    </w:p>
    <w:p w14:paraId="3C91C9DC" w14:textId="29B2E2DB" w:rsidR="000E06C2" w:rsidRPr="000E06C2" w:rsidRDefault="000E06C2" w:rsidP="00745692">
      <w:pPr>
        <w:rPr>
          <w:rFonts w:ascii="Arial" w:hAnsi="Arial" w:cs="Arial"/>
          <w:i/>
          <w:iCs/>
          <w:sz w:val="22"/>
          <w:szCs w:val="22"/>
        </w:rPr>
      </w:pPr>
      <w:r w:rsidRPr="000E06C2">
        <w:rPr>
          <w:rFonts w:ascii="Arial" w:hAnsi="Arial" w:cs="Arial"/>
          <w:i/>
          <w:iCs/>
          <w:sz w:val="22"/>
          <w:szCs w:val="22"/>
        </w:rPr>
        <w:t>https://link.springer.com/article/10.1186/s12913-023-09718-8</w:t>
      </w:r>
    </w:p>
    <w:p w14:paraId="5AEFE0B7" w14:textId="77777777" w:rsidR="000E06C2" w:rsidRPr="00745692" w:rsidRDefault="000E06C2" w:rsidP="00745692">
      <w:pPr>
        <w:rPr>
          <w:rFonts w:ascii="Arial" w:hAnsi="Arial" w:cs="Arial"/>
          <w:sz w:val="22"/>
          <w:szCs w:val="22"/>
        </w:rPr>
      </w:pPr>
    </w:p>
    <w:p w14:paraId="50F719B3" w14:textId="52160036" w:rsidR="00745692" w:rsidRDefault="00745692" w:rsidP="00745692">
      <w:pPr>
        <w:rPr>
          <w:rFonts w:ascii="Arial" w:hAnsi="Arial" w:cs="Arial"/>
          <w:sz w:val="22"/>
          <w:szCs w:val="22"/>
        </w:rPr>
      </w:pPr>
      <w:r w:rsidRPr="00745692">
        <w:rPr>
          <w:rFonts w:ascii="Arial" w:hAnsi="Arial" w:cs="Arial"/>
          <w:sz w:val="22"/>
          <w:szCs w:val="22"/>
        </w:rPr>
        <w:t>Leichsenring, K. (2004). Developing integrated health and social care services for older persons in Europe. International Journal of Integrated Care</w:t>
      </w:r>
      <w:r w:rsidR="000E06C2">
        <w:rPr>
          <w:rFonts w:ascii="Arial" w:hAnsi="Arial" w:cs="Arial"/>
          <w:sz w:val="22"/>
          <w:szCs w:val="22"/>
        </w:rPr>
        <w:t>.</w:t>
      </w:r>
    </w:p>
    <w:p w14:paraId="4B855800" w14:textId="4CEC1048" w:rsidR="000E06C2" w:rsidRPr="000E06C2" w:rsidRDefault="000E06C2" w:rsidP="00745692">
      <w:pPr>
        <w:rPr>
          <w:rFonts w:ascii="Arial" w:hAnsi="Arial" w:cs="Arial"/>
          <w:i/>
          <w:iCs/>
          <w:sz w:val="22"/>
          <w:szCs w:val="22"/>
        </w:rPr>
      </w:pPr>
      <w:r w:rsidRPr="000E06C2">
        <w:rPr>
          <w:rFonts w:ascii="Arial" w:hAnsi="Arial" w:cs="Arial"/>
          <w:i/>
          <w:iCs/>
          <w:sz w:val="22"/>
          <w:szCs w:val="22"/>
        </w:rPr>
        <w:t>https://ijic.org/articles/URN:NBN:NL:UI:10-1-100349</w:t>
      </w:r>
    </w:p>
    <w:p w14:paraId="11B2EB04" w14:textId="77777777" w:rsidR="000E06C2" w:rsidRPr="00745692" w:rsidRDefault="000E06C2" w:rsidP="00745692">
      <w:pPr>
        <w:rPr>
          <w:rFonts w:ascii="Arial" w:hAnsi="Arial" w:cs="Arial"/>
          <w:sz w:val="22"/>
          <w:szCs w:val="22"/>
        </w:rPr>
      </w:pPr>
    </w:p>
    <w:p w14:paraId="143D5721" w14:textId="77777777" w:rsidR="000E06C2" w:rsidRDefault="00745692" w:rsidP="00745692">
      <w:pPr>
        <w:rPr>
          <w:rFonts w:ascii="Arial" w:hAnsi="Arial" w:cs="Arial"/>
          <w:sz w:val="22"/>
          <w:szCs w:val="22"/>
        </w:rPr>
      </w:pPr>
      <w:r w:rsidRPr="00745692">
        <w:rPr>
          <w:rFonts w:ascii="Arial" w:hAnsi="Arial" w:cs="Arial"/>
          <w:sz w:val="22"/>
          <w:szCs w:val="22"/>
        </w:rPr>
        <w:t>Niemela, P. and Kim, S. (2023). Maslow’s Hierarchy of Needs. Springer eBooks, pp.4154–4157.</w:t>
      </w:r>
    </w:p>
    <w:p w14:paraId="32A1D845" w14:textId="6F4F3C9F" w:rsidR="00745692" w:rsidRPr="000E06C2" w:rsidRDefault="00745692" w:rsidP="00745692">
      <w:pPr>
        <w:rPr>
          <w:rFonts w:ascii="Arial" w:hAnsi="Arial" w:cs="Arial"/>
          <w:i/>
          <w:iCs/>
          <w:sz w:val="22"/>
          <w:szCs w:val="22"/>
        </w:rPr>
      </w:pPr>
      <w:r w:rsidRPr="00745692">
        <w:rPr>
          <w:rFonts w:ascii="Arial" w:hAnsi="Arial" w:cs="Arial"/>
          <w:sz w:val="22"/>
          <w:szCs w:val="22"/>
        </w:rPr>
        <w:t xml:space="preserve"> </w:t>
      </w:r>
      <w:r w:rsidR="000E06C2" w:rsidRPr="000E06C2">
        <w:rPr>
          <w:rFonts w:ascii="Arial" w:hAnsi="Arial" w:cs="Arial"/>
          <w:i/>
          <w:iCs/>
          <w:sz w:val="22"/>
          <w:szCs w:val="22"/>
        </w:rPr>
        <w:t>https://link.springer.com/rwe/10.1007/978-3-031-17299-1_1737</w:t>
      </w:r>
    </w:p>
    <w:p w14:paraId="3BDEC8C5" w14:textId="77777777" w:rsidR="000E06C2" w:rsidRPr="00745692" w:rsidRDefault="000E06C2" w:rsidP="00745692">
      <w:pPr>
        <w:rPr>
          <w:rFonts w:ascii="Arial" w:hAnsi="Arial" w:cs="Arial"/>
          <w:sz w:val="22"/>
          <w:szCs w:val="22"/>
        </w:rPr>
      </w:pPr>
    </w:p>
    <w:p w14:paraId="17441A08" w14:textId="77777777" w:rsidR="000E06C2" w:rsidRDefault="00745692" w:rsidP="00745692">
      <w:pPr>
        <w:rPr>
          <w:rFonts w:ascii="Arial" w:hAnsi="Arial" w:cs="Arial"/>
          <w:sz w:val="22"/>
          <w:szCs w:val="22"/>
        </w:rPr>
      </w:pPr>
      <w:r w:rsidRPr="00745692">
        <w:rPr>
          <w:rFonts w:ascii="Arial" w:hAnsi="Arial" w:cs="Arial"/>
          <w:sz w:val="22"/>
          <w:szCs w:val="22"/>
        </w:rPr>
        <w:t xml:space="preserve">Parry, Y. and Sivertsen, N. (2022). Social Inclusion and the Role of the Health Care System. Handbook of Social Inclusion, [online] pp.2215–2231. </w:t>
      </w:r>
    </w:p>
    <w:p w14:paraId="75A7040A" w14:textId="34E7799F" w:rsidR="000E06C2" w:rsidRDefault="000E06C2" w:rsidP="00745692">
      <w:pPr>
        <w:rPr>
          <w:rFonts w:ascii="Arial" w:hAnsi="Arial" w:cs="Arial"/>
          <w:i/>
          <w:iCs/>
          <w:sz w:val="22"/>
          <w:szCs w:val="22"/>
        </w:rPr>
      </w:pPr>
      <w:hyperlink r:id="rId20" w:history="1">
        <w:r w:rsidRPr="00AD79FB">
          <w:rPr>
            <w:rStyle w:val="Hyperlink"/>
            <w:rFonts w:ascii="Arial" w:hAnsi="Arial" w:cs="Arial"/>
            <w:i/>
            <w:iCs/>
            <w:sz w:val="22"/>
            <w:szCs w:val="22"/>
          </w:rPr>
          <w:t>https://link.springer.com/rwe/10.1007/978-3-030-89594-5_131</w:t>
        </w:r>
      </w:hyperlink>
    </w:p>
    <w:p w14:paraId="3D1B4E70" w14:textId="77777777" w:rsidR="000E06C2" w:rsidRPr="000E06C2" w:rsidRDefault="000E06C2" w:rsidP="00745692">
      <w:pPr>
        <w:rPr>
          <w:rFonts w:ascii="Arial" w:hAnsi="Arial" w:cs="Arial"/>
          <w:i/>
          <w:iCs/>
          <w:sz w:val="22"/>
          <w:szCs w:val="22"/>
        </w:rPr>
      </w:pPr>
    </w:p>
    <w:p w14:paraId="49D6577D" w14:textId="46AB9BA3" w:rsidR="00745692" w:rsidRDefault="00745692" w:rsidP="00745692">
      <w:pPr>
        <w:rPr>
          <w:rFonts w:ascii="Arial" w:hAnsi="Arial" w:cs="Arial"/>
          <w:sz w:val="22"/>
          <w:szCs w:val="22"/>
        </w:rPr>
      </w:pPr>
      <w:proofErr w:type="spellStart"/>
      <w:r w:rsidRPr="00745692">
        <w:rPr>
          <w:rFonts w:ascii="Arial" w:hAnsi="Arial" w:cs="Arial"/>
          <w:sz w:val="22"/>
          <w:szCs w:val="22"/>
        </w:rPr>
        <w:t>Wodchis</w:t>
      </w:r>
      <w:proofErr w:type="spellEnd"/>
      <w:r w:rsidRPr="00745692">
        <w:rPr>
          <w:rFonts w:ascii="Arial" w:hAnsi="Arial" w:cs="Arial"/>
          <w:sz w:val="22"/>
          <w:szCs w:val="22"/>
        </w:rPr>
        <w:t>, W.P., Dixon, A., Anderson, G.M. and Goodwin, N. (2015). Integrating care for older people with complex needs: key insights and lessons from a seven-country cross-case analysis. International Journal of Integrated Care</w:t>
      </w:r>
      <w:r w:rsidR="000E06C2">
        <w:rPr>
          <w:rFonts w:ascii="Arial" w:hAnsi="Arial" w:cs="Arial"/>
          <w:sz w:val="22"/>
          <w:szCs w:val="22"/>
        </w:rPr>
        <w:t>.</w:t>
      </w:r>
    </w:p>
    <w:p w14:paraId="541E5F72" w14:textId="4FEE9717" w:rsidR="000E06C2" w:rsidRPr="000E06C2" w:rsidRDefault="000E06C2" w:rsidP="00745692">
      <w:pPr>
        <w:rPr>
          <w:rFonts w:ascii="Arial" w:hAnsi="Arial" w:cs="Arial"/>
          <w:i/>
          <w:iCs/>
          <w:sz w:val="22"/>
          <w:szCs w:val="22"/>
        </w:rPr>
      </w:pPr>
      <w:r w:rsidRPr="000E06C2">
        <w:rPr>
          <w:rFonts w:ascii="Arial" w:hAnsi="Arial" w:cs="Arial"/>
          <w:i/>
          <w:iCs/>
          <w:sz w:val="22"/>
          <w:szCs w:val="22"/>
        </w:rPr>
        <w:t>https://ijic.org/articles/URN:NBN:NL:UI:10-1-114826</w:t>
      </w:r>
    </w:p>
    <w:p w14:paraId="3E16C4DF" w14:textId="77777777" w:rsidR="000E06C2" w:rsidRPr="00745692" w:rsidRDefault="000E06C2" w:rsidP="00745692">
      <w:pPr>
        <w:rPr>
          <w:rFonts w:ascii="Arial" w:hAnsi="Arial" w:cs="Arial"/>
          <w:sz w:val="22"/>
          <w:szCs w:val="22"/>
        </w:rPr>
      </w:pPr>
    </w:p>
    <w:p w14:paraId="4F68B150" w14:textId="54336596" w:rsidR="00745692" w:rsidRDefault="00745692" w:rsidP="00745692">
      <w:pPr>
        <w:rPr>
          <w:rFonts w:ascii="Arial" w:hAnsi="Arial" w:cs="Arial"/>
          <w:sz w:val="22"/>
          <w:szCs w:val="22"/>
        </w:rPr>
      </w:pPr>
      <w:r w:rsidRPr="00745692">
        <w:rPr>
          <w:rFonts w:ascii="Arial" w:hAnsi="Arial" w:cs="Arial"/>
          <w:sz w:val="22"/>
          <w:szCs w:val="22"/>
        </w:rPr>
        <w:lastRenderedPageBreak/>
        <w:t>Yu, C., Xian, Y., Jing, T., Bai, M., Li, X., Li, J., Liang, H., Yu, G. and Zhang, Z. (2023). More patient-</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care, better healthcare: the association between patient-</w:t>
      </w:r>
      <w:proofErr w:type="spellStart"/>
      <w:r w:rsidRPr="00745692">
        <w:rPr>
          <w:rFonts w:ascii="Arial" w:hAnsi="Arial" w:cs="Arial"/>
          <w:sz w:val="22"/>
          <w:szCs w:val="22"/>
        </w:rPr>
        <w:t>centered</w:t>
      </w:r>
      <w:proofErr w:type="spellEnd"/>
      <w:r w:rsidRPr="00745692">
        <w:rPr>
          <w:rFonts w:ascii="Arial" w:hAnsi="Arial" w:cs="Arial"/>
          <w:sz w:val="22"/>
          <w:szCs w:val="22"/>
        </w:rPr>
        <w:t xml:space="preserve"> care and healthcare outcomes in inpatients. Frontiers in Public Health</w:t>
      </w:r>
      <w:r w:rsidR="000E06C2">
        <w:rPr>
          <w:rFonts w:ascii="Arial" w:hAnsi="Arial" w:cs="Arial"/>
          <w:sz w:val="22"/>
          <w:szCs w:val="22"/>
        </w:rPr>
        <w:t>.</w:t>
      </w:r>
    </w:p>
    <w:p w14:paraId="1FA2B06C" w14:textId="4C04E780" w:rsidR="000E06C2" w:rsidRPr="000E06C2" w:rsidRDefault="000E06C2" w:rsidP="00745692">
      <w:pPr>
        <w:rPr>
          <w:rFonts w:ascii="Arial" w:hAnsi="Arial" w:cs="Arial"/>
          <w:i/>
          <w:iCs/>
          <w:sz w:val="22"/>
          <w:szCs w:val="22"/>
        </w:rPr>
      </w:pPr>
      <w:r w:rsidRPr="000E06C2">
        <w:rPr>
          <w:rFonts w:ascii="Arial" w:hAnsi="Arial" w:cs="Arial"/>
          <w:i/>
          <w:iCs/>
          <w:sz w:val="22"/>
          <w:szCs w:val="22"/>
        </w:rPr>
        <w:t>https://www.frontiersin.org/journals/public-health/articles/10.3389/fpubh.2023.1148277/full</w:t>
      </w:r>
    </w:p>
    <w:sectPr w:rsidR="000E06C2" w:rsidRPr="000E06C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A0B56" w14:textId="77777777" w:rsidR="00113E63" w:rsidRDefault="00113E63" w:rsidP="000E06C2">
      <w:pPr>
        <w:spacing w:after="0" w:line="240" w:lineRule="auto"/>
      </w:pPr>
      <w:r>
        <w:separator/>
      </w:r>
    </w:p>
  </w:endnote>
  <w:endnote w:type="continuationSeparator" w:id="0">
    <w:p w14:paraId="439C0C8B" w14:textId="77777777" w:rsidR="00113E63" w:rsidRDefault="00113E63" w:rsidP="000E0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824711"/>
      <w:docPartObj>
        <w:docPartGallery w:val="Page Numbers (Bottom of Page)"/>
        <w:docPartUnique/>
      </w:docPartObj>
    </w:sdtPr>
    <w:sdtEndPr>
      <w:rPr>
        <w:noProof/>
      </w:rPr>
    </w:sdtEndPr>
    <w:sdtContent>
      <w:p w14:paraId="1F83D494" w14:textId="62FF23C1" w:rsidR="000E06C2" w:rsidRDefault="000E0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FB4B28" w14:textId="77777777" w:rsidR="000E06C2" w:rsidRDefault="000E0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9E9E" w14:textId="77777777" w:rsidR="00113E63" w:rsidRDefault="00113E63" w:rsidP="000E06C2">
      <w:pPr>
        <w:spacing w:after="0" w:line="240" w:lineRule="auto"/>
      </w:pPr>
      <w:r>
        <w:separator/>
      </w:r>
    </w:p>
  </w:footnote>
  <w:footnote w:type="continuationSeparator" w:id="0">
    <w:p w14:paraId="0AFEF2BB" w14:textId="77777777" w:rsidR="00113E63" w:rsidRDefault="00113E63" w:rsidP="000E06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2F"/>
    <w:rsid w:val="000E06C2"/>
    <w:rsid w:val="00113E63"/>
    <w:rsid w:val="00745692"/>
    <w:rsid w:val="00CB712F"/>
    <w:rsid w:val="00DF4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D18B"/>
  <w15:chartTrackingRefBased/>
  <w15:docId w15:val="{05DFE0BD-47E3-487D-AEF6-21F59833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72F"/>
  </w:style>
  <w:style w:type="paragraph" w:styleId="Heading1">
    <w:name w:val="heading 1"/>
    <w:basedOn w:val="Normal"/>
    <w:next w:val="Normal"/>
    <w:link w:val="Heading1Char"/>
    <w:uiPriority w:val="9"/>
    <w:qFormat/>
    <w:rsid w:val="00DF4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4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72F"/>
    <w:rPr>
      <w:rFonts w:eastAsiaTheme="majorEastAsia" w:cstheme="majorBidi"/>
      <w:color w:val="272727" w:themeColor="text1" w:themeTint="D8"/>
    </w:rPr>
  </w:style>
  <w:style w:type="paragraph" w:styleId="Title">
    <w:name w:val="Title"/>
    <w:basedOn w:val="Normal"/>
    <w:next w:val="Normal"/>
    <w:link w:val="TitleChar"/>
    <w:uiPriority w:val="10"/>
    <w:qFormat/>
    <w:rsid w:val="00DF4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72F"/>
    <w:pPr>
      <w:spacing w:before="160"/>
      <w:jc w:val="center"/>
    </w:pPr>
    <w:rPr>
      <w:i/>
      <w:iCs/>
      <w:color w:val="404040" w:themeColor="text1" w:themeTint="BF"/>
    </w:rPr>
  </w:style>
  <w:style w:type="character" w:customStyle="1" w:styleId="QuoteChar">
    <w:name w:val="Quote Char"/>
    <w:basedOn w:val="DefaultParagraphFont"/>
    <w:link w:val="Quote"/>
    <w:uiPriority w:val="29"/>
    <w:rsid w:val="00DF472F"/>
    <w:rPr>
      <w:i/>
      <w:iCs/>
      <w:color w:val="404040" w:themeColor="text1" w:themeTint="BF"/>
    </w:rPr>
  </w:style>
  <w:style w:type="paragraph" w:styleId="ListParagraph">
    <w:name w:val="List Paragraph"/>
    <w:basedOn w:val="Normal"/>
    <w:uiPriority w:val="34"/>
    <w:qFormat/>
    <w:rsid w:val="00DF472F"/>
    <w:pPr>
      <w:ind w:left="720"/>
      <w:contextualSpacing/>
    </w:pPr>
  </w:style>
  <w:style w:type="character" w:styleId="IntenseEmphasis">
    <w:name w:val="Intense Emphasis"/>
    <w:basedOn w:val="DefaultParagraphFont"/>
    <w:uiPriority w:val="21"/>
    <w:qFormat/>
    <w:rsid w:val="00DF472F"/>
    <w:rPr>
      <w:i/>
      <w:iCs/>
      <w:color w:val="0F4761" w:themeColor="accent1" w:themeShade="BF"/>
    </w:rPr>
  </w:style>
  <w:style w:type="paragraph" w:styleId="IntenseQuote">
    <w:name w:val="Intense Quote"/>
    <w:basedOn w:val="Normal"/>
    <w:next w:val="Normal"/>
    <w:link w:val="IntenseQuoteChar"/>
    <w:uiPriority w:val="30"/>
    <w:qFormat/>
    <w:rsid w:val="00DF4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72F"/>
    <w:rPr>
      <w:i/>
      <w:iCs/>
      <w:color w:val="0F4761" w:themeColor="accent1" w:themeShade="BF"/>
    </w:rPr>
  </w:style>
  <w:style w:type="character" w:styleId="IntenseReference">
    <w:name w:val="Intense Reference"/>
    <w:basedOn w:val="DefaultParagraphFont"/>
    <w:uiPriority w:val="32"/>
    <w:qFormat/>
    <w:rsid w:val="00DF472F"/>
    <w:rPr>
      <w:b/>
      <w:bCs/>
      <w:smallCaps/>
      <w:color w:val="0F4761" w:themeColor="accent1" w:themeShade="BF"/>
      <w:spacing w:val="5"/>
    </w:rPr>
  </w:style>
  <w:style w:type="character" w:styleId="Hyperlink">
    <w:name w:val="Hyperlink"/>
    <w:basedOn w:val="DefaultParagraphFont"/>
    <w:uiPriority w:val="99"/>
    <w:unhideWhenUsed/>
    <w:rsid w:val="00DF472F"/>
    <w:rPr>
      <w:rFonts w:ascii="Times New Roman" w:hAnsi="Times New Roman" w:cs="Times New Roman" w:hint="default"/>
      <w:color w:val="0563C1"/>
      <w:u w:val="single"/>
    </w:rPr>
  </w:style>
  <w:style w:type="paragraph" w:styleId="TOC1">
    <w:name w:val="toc 1"/>
    <w:basedOn w:val="Normal"/>
    <w:next w:val="Normal"/>
    <w:autoRedefine/>
    <w:uiPriority w:val="39"/>
    <w:unhideWhenUsed/>
    <w:rsid w:val="000E06C2"/>
    <w:pPr>
      <w:tabs>
        <w:tab w:val="right" w:leader="dot" w:pos="9350"/>
      </w:tabs>
      <w:spacing w:after="0" w:line="360" w:lineRule="auto"/>
    </w:pPr>
    <w:rPr>
      <w:rFonts w:ascii="Arial" w:eastAsiaTheme="majorEastAsia" w:hAnsi="Arial" w:cs="Arial"/>
      <w:noProof/>
      <w:sz w:val="22"/>
      <w:szCs w:val="22"/>
      <w:lang w:val="en-US"/>
      <w14:ligatures w14:val="none"/>
    </w:rPr>
  </w:style>
  <w:style w:type="character" w:styleId="UnresolvedMention">
    <w:name w:val="Unresolved Mention"/>
    <w:basedOn w:val="DefaultParagraphFont"/>
    <w:uiPriority w:val="99"/>
    <w:semiHidden/>
    <w:unhideWhenUsed/>
    <w:rsid w:val="00DF472F"/>
    <w:rPr>
      <w:color w:val="605E5C"/>
      <w:shd w:val="clear" w:color="auto" w:fill="E1DFDD"/>
    </w:rPr>
  </w:style>
  <w:style w:type="table" w:styleId="TableGrid">
    <w:name w:val="Table Grid"/>
    <w:basedOn w:val="TableNormal"/>
    <w:uiPriority w:val="39"/>
    <w:rsid w:val="00745692"/>
    <w:pPr>
      <w:spacing w:after="0" w:line="240" w:lineRule="auto"/>
    </w:pPr>
    <w:rPr>
      <w:rFonts w:ascii="Calibri" w:eastAsia="Times New Roman"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6C2"/>
  </w:style>
  <w:style w:type="paragraph" w:styleId="Footer">
    <w:name w:val="footer"/>
    <w:basedOn w:val="Normal"/>
    <w:link w:val="FooterChar"/>
    <w:uiPriority w:val="99"/>
    <w:unhideWhenUsed/>
    <w:rsid w:val="000E0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6C2"/>
  </w:style>
  <w:style w:type="character" w:styleId="FollowedHyperlink">
    <w:name w:val="FollowedHyperlink"/>
    <w:basedOn w:val="DefaultParagraphFont"/>
    <w:uiPriority w:val="99"/>
    <w:semiHidden/>
    <w:unhideWhenUsed/>
    <w:rsid w:val="000E06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arry\Downloads\BMHP5016%20A.docx" TargetMode="External"/><Relationship Id="rId13" Type="http://schemas.openxmlformats.org/officeDocument/2006/relationships/hyperlink" Target="file:///C:\Users\Harry\Downloads\BMHP5016%20A.docx" TargetMode="External"/><Relationship Id="rId18" Type="http://schemas.openxmlformats.org/officeDocument/2006/relationships/hyperlink" Target="http://www.kingsfund.org.uk/sites/files/kf/field/field_publication_file/integrated-care-in-northern-ireland-scotland-and-wales-kingsfund-jul13.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file:///C:\Users\Harry\Downloads\BMHP5016%20A.docx" TargetMode="External"/><Relationship Id="rId12" Type="http://schemas.openxmlformats.org/officeDocument/2006/relationships/hyperlink" Target="file:///C:\Users\Harry\Downloads\BMHP5016%20A.docx" TargetMode="External"/><Relationship Id="rId17" Type="http://schemas.openxmlformats.org/officeDocument/2006/relationships/hyperlink" Target="https://www.thieme-connect.de/products/ejournals/abstract/10.1055/s-0042-1748834" TargetMode="External"/><Relationship Id="rId2" Type="http://schemas.openxmlformats.org/officeDocument/2006/relationships/settings" Target="settings.xml"/><Relationship Id="rId16" Type="http://schemas.openxmlformats.org/officeDocument/2006/relationships/hyperlink" Target="https://www.gov.uk/government/publications/national-framework-for-nhs-continuing-healthcare-and-nhs-funded-nursing-care" TargetMode="External"/><Relationship Id="rId20" Type="http://schemas.openxmlformats.org/officeDocument/2006/relationships/hyperlink" Target="https://link.springer.com/rwe/10.1007/978-3-030-89594-5_131" TargetMode="External"/><Relationship Id="rId1" Type="http://schemas.openxmlformats.org/officeDocument/2006/relationships/styles" Target="styles.xml"/><Relationship Id="rId6" Type="http://schemas.openxmlformats.org/officeDocument/2006/relationships/hyperlink" Target="file:///C:\Users\Harry\Downloads\BMHP5016%20A.docx" TargetMode="External"/><Relationship Id="rId11" Type="http://schemas.openxmlformats.org/officeDocument/2006/relationships/hyperlink" Target="file:///C:\Users\Harry\Downloads\BMHP5016%20A.docx" TargetMode="External"/><Relationship Id="rId5" Type="http://schemas.openxmlformats.org/officeDocument/2006/relationships/endnotes" Target="endnotes.xml"/><Relationship Id="rId15" Type="http://schemas.openxmlformats.org/officeDocument/2006/relationships/hyperlink" Target="file:///C:\Users\Harry\Downloads\BMHP5016%20A.docx" TargetMode="External"/><Relationship Id="rId23" Type="http://schemas.openxmlformats.org/officeDocument/2006/relationships/theme" Target="theme/theme1.xml"/><Relationship Id="rId10" Type="http://schemas.openxmlformats.org/officeDocument/2006/relationships/hyperlink" Target="file:///C:\Users\Harry\Downloads\BMHP5016%20A.docx" TargetMode="External"/><Relationship Id="rId19" Type="http://schemas.openxmlformats.org/officeDocument/2006/relationships/hyperlink" Target="https://ilcuk.org.uk/integrated-care-a-guide-for-policymakers" TargetMode="External"/><Relationship Id="rId4" Type="http://schemas.openxmlformats.org/officeDocument/2006/relationships/footnotes" Target="footnotes.xml"/><Relationship Id="rId9" Type="http://schemas.openxmlformats.org/officeDocument/2006/relationships/hyperlink" Target="file:///C:\Users\Harry\Downloads\BMHP5016%20A.docx" TargetMode="External"/><Relationship Id="rId14" Type="http://schemas.openxmlformats.org/officeDocument/2006/relationships/hyperlink" Target="file:///C:\Users\Harry\Downloads\BMHP5016%20A.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10</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Lookman</dc:creator>
  <cp:keywords/>
  <dc:description/>
  <cp:lastModifiedBy>Haroon Lookman</cp:lastModifiedBy>
  <cp:revision>1</cp:revision>
  <dcterms:created xsi:type="dcterms:W3CDTF">2026-03-28T16:39:00Z</dcterms:created>
  <dcterms:modified xsi:type="dcterms:W3CDTF">2026-03-28T20:14:00Z</dcterms:modified>
</cp:coreProperties>
</file>