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68B092" w14:textId="5A753A5D" w:rsidR="00863291" w:rsidRDefault="00863291" w:rsidP="00863291">
      <w:pPr>
        <w:pStyle w:val="AssignHeader"/>
      </w:pPr>
      <w:r>
        <w:t xml:space="preserve">ECAD7003 – Part A </w:t>
      </w:r>
    </w:p>
    <w:p w14:paraId="48471BA1" w14:textId="77777777" w:rsidR="00863291" w:rsidRPr="00863291" w:rsidRDefault="00863291" w:rsidP="00863291">
      <w:pPr>
        <w:rPr>
          <w:lang w:val="en-GB" w:eastAsia="en-US"/>
        </w:rPr>
      </w:pPr>
    </w:p>
    <w:p w14:paraId="471C1218" w14:textId="77777777" w:rsidR="00863291" w:rsidRPr="00863291" w:rsidRDefault="00863291" w:rsidP="00863291">
      <w:pPr>
        <w:pStyle w:val="AssignBody"/>
        <w:rPr>
          <w:rFonts w:cs="Arial"/>
          <w:b/>
        </w:rPr>
      </w:pPr>
      <w:proofErr w:type="spellStart"/>
      <w:r w:rsidRPr="00863291">
        <w:rPr>
          <w:rFonts w:cs="Arial"/>
          <w:b/>
        </w:rPr>
        <w:t>Rhestr</w:t>
      </w:r>
      <w:proofErr w:type="spellEnd"/>
      <w:r w:rsidRPr="00863291">
        <w:rPr>
          <w:rFonts w:cs="Arial"/>
          <w:b/>
        </w:rPr>
        <w:t xml:space="preserve"> </w:t>
      </w:r>
      <w:proofErr w:type="spellStart"/>
      <w:r w:rsidRPr="00863291">
        <w:rPr>
          <w:rFonts w:cs="Arial"/>
          <w:b/>
        </w:rPr>
        <w:t>gyfeirnodi</w:t>
      </w:r>
      <w:proofErr w:type="spellEnd"/>
      <w:r w:rsidRPr="00863291">
        <w:rPr>
          <w:rFonts w:cs="Arial"/>
          <w:b/>
        </w:rPr>
        <w:t xml:space="preserve"> / Reference list:</w:t>
      </w:r>
    </w:p>
    <w:p w14:paraId="6E301ED7" w14:textId="77777777" w:rsidR="00863291" w:rsidRPr="00863291" w:rsidRDefault="00863291" w:rsidP="00863291">
      <w:pPr>
        <w:pStyle w:val="Bibliography"/>
        <w:ind w:left="0" w:firstLine="0"/>
        <w:rPr>
          <w:rFonts w:ascii="Arial" w:hAnsi="Arial" w:cs="Arial"/>
        </w:rPr>
      </w:pPr>
    </w:p>
    <w:p w14:paraId="3719969A" w14:textId="115B148D" w:rsidR="0000202F" w:rsidRPr="00863291" w:rsidRDefault="00000000">
      <w:pPr>
        <w:pStyle w:val="Bibliography"/>
        <w:rPr>
          <w:rFonts w:ascii="Arial" w:hAnsi="Arial" w:cs="Arial"/>
        </w:rPr>
      </w:pPr>
      <w:r w:rsidRPr="00863291">
        <w:rPr>
          <w:rFonts w:ascii="Arial" w:hAnsi="Arial" w:cs="Arial"/>
        </w:rPr>
        <w:t xml:space="preserve">Berchicci, M., Pontifex, M. B., Drollette, E. S., Pesce, C., Hillman, C. H., &amp; Di Russo, F. (2015). From cognitive motor preparation to visual processing: The benefits of childhood fitness to brain health. </w:t>
      </w:r>
      <w:r w:rsidRPr="00863291">
        <w:rPr>
          <w:rFonts w:ascii="Arial" w:hAnsi="Arial" w:cs="Arial"/>
          <w:i/>
          <w:iCs/>
        </w:rPr>
        <w:t>Neuroscience</w:t>
      </w:r>
      <w:r w:rsidRPr="00863291">
        <w:rPr>
          <w:rFonts w:ascii="Arial" w:hAnsi="Arial" w:cs="Arial"/>
        </w:rPr>
        <w:t xml:space="preserve">, </w:t>
      </w:r>
      <w:r w:rsidRPr="00863291">
        <w:rPr>
          <w:rFonts w:ascii="Arial" w:hAnsi="Arial" w:cs="Arial"/>
          <w:i/>
          <w:iCs/>
        </w:rPr>
        <w:t>298</w:t>
      </w:r>
      <w:r w:rsidRPr="00863291">
        <w:rPr>
          <w:rFonts w:ascii="Arial" w:hAnsi="Arial" w:cs="Arial"/>
        </w:rPr>
        <w:t>, 211–219. https://doi.org/10.1016/j.neuroscience.2015.04.028</w:t>
      </w:r>
    </w:p>
    <w:p w14:paraId="6BB36689" w14:textId="77777777" w:rsidR="0000202F" w:rsidRPr="00863291" w:rsidRDefault="00000000">
      <w:pPr>
        <w:pStyle w:val="Bibliography"/>
        <w:rPr>
          <w:rFonts w:ascii="Arial" w:hAnsi="Arial" w:cs="Arial"/>
        </w:rPr>
      </w:pPr>
      <w:r w:rsidRPr="00863291">
        <w:rPr>
          <w:rFonts w:ascii="Arial" w:hAnsi="Arial" w:cs="Arial"/>
        </w:rPr>
        <w:t xml:space="preserve">Bikeability. (2023, April 5). </w:t>
      </w:r>
      <w:r w:rsidRPr="00863291">
        <w:rPr>
          <w:rFonts w:ascii="Arial" w:hAnsi="Arial" w:cs="Arial"/>
          <w:i/>
          <w:iCs/>
        </w:rPr>
        <w:t>About Get Cycle Training - Cycling Skills | Bikeability</w:t>
      </w:r>
      <w:r w:rsidRPr="00863291">
        <w:rPr>
          <w:rFonts w:ascii="Arial" w:hAnsi="Arial" w:cs="Arial"/>
        </w:rPr>
        <w:t>. Retrieved April 6, 2023, from https://www.bikeability.org.uk/get-cycling/</w:t>
      </w:r>
    </w:p>
    <w:p w14:paraId="5C7198BE" w14:textId="77777777" w:rsidR="0000202F" w:rsidRPr="00863291" w:rsidRDefault="00000000">
      <w:pPr>
        <w:pStyle w:val="Bibliography"/>
        <w:rPr>
          <w:rFonts w:ascii="Arial" w:hAnsi="Arial" w:cs="Arial"/>
        </w:rPr>
      </w:pPr>
      <w:r w:rsidRPr="00863291">
        <w:rPr>
          <w:rFonts w:ascii="Arial" w:hAnsi="Arial" w:cs="Arial"/>
        </w:rPr>
        <w:t xml:space="preserve">Bull, F., Al-Ansari, S. S., Biddle, S. J. H., Borodulin, K., Buman, M. P., Cardon, G., Carty, C., Chaput, J., Chastin, S. F. M., Chou, R., Dempsey, P. C., DiPietro, L., Ekelund, U., Firth, J., Friedenreich, C. M., Garcia, L. M. T., Gichu, M., Jago, R., Katzmarzyk, P. T., . . . Willumsen, J. F. (2020). World Health Organization 2020 guidelines on physical activity and sedentary behaviour. </w:t>
      </w:r>
      <w:r w:rsidRPr="00863291">
        <w:rPr>
          <w:rFonts w:ascii="Arial" w:hAnsi="Arial" w:cs="Arial"/>
          <w:i/>
          <w:iCs/>
        </w:rPr>
        <w:t>British Journal of Sports Medicine</w:t>
      </w:r>
      <w:r w:rsidRPr="00863291">
        <w:rPr>
          <w:rFonts w:ascii="Arial" w:hAnsi="Arial" w:cs="Arial"/>
        </w:rPr>
        <w:t xml:space="preserve">, </w:t>
      </w:r>
      <w:r w:rsidRPr="00863291">
        <w:rPr>
          <w:rFonts w:ascii="Arial" w:hAnsi="Arial" w:cs="Arial"/>
          <w:i/>
          <w:iCs/>
        </w:rPr>
        <w:t>54</w:t>
      </w:r>
      <w:r w:rsidRPr="00863291">
        <w:rPr>
          <w:rFonts w:ascii="Arial" w:hAnsi="Arial" w:cs="Arial"/>
        </w:rPr>
        <w:t>(24), 1451–1462. https://doi.org/10.1136/bjsports-2020-102955</w:t>
      </w:r>
    </w:p>
    <w:p w14:paraId="0CFD9E59" w14:textId="77777777" w:rsidR="0000202F" w:rsidRPr="00863291" w:rsidRDefault="00000000">
      <w:pPr>
        <w:pStyle w:val="Bibliography"/>
        <w:rPr>
          <w:rFonts w:ascii="Arial" w:hAnsi="Arial" w:cs="Arial"/>
        </w:rPr>
      </w:pPr>
      <w:r w:rsidRPr="00863291">
        <w:rPr>
          <w:rFonts w:ascii="Arial" w:hAnsi="Arial" w:cs="Arial"/>
        </w:rPr>
        <w:t xml:space="preserve">Donaldson, G. (2015). Successful Futures. In </w:t>
      </w:r>
      <w:r w:rsidRPr="00863291">
        <w:rPr>
          <w:rFonts w:ascii="Arial" w:hAnsi="Arial" w:cs="Arial"/>
          <w:i/>
          <w:iCs/>
        </w:rPr>
        <w:t>Welsh Government</w:t>
      </w:r>
      <w:r w:rsidRPr="00863291">
        <w:rPr>
          <w:rFonts w:ascii="Arial" w:hAnsi="Arial" w:cs="Arial"/>
        </w:rPr>
        <w:t>. Retrieved April 5, 2023, from https://www.gov.wales/sites/default/files/publications/2018-03/successful-futures.pdf</w:t>
      </w:r>
    </w:p>
    <w:p w14:paraId="78B07054" w14:textId="77777777" w:rsidR="0000202F" w:rsidRPr="00863291" w:rsidRDefault="00000000">
      <w:pPr>
        <w:pStyle w:val="Bibliography"/>
        <w:rPr>
          <w:rFonts w:ascii="Arial" w:hAnsi="Arial" w:cs="Arial"/>
        </w:rPr>
      </w:pPr>
      <w:r w:rsidRPr="00863291">
        <w:rPr>
          <w:rFonts w:ascii="Arial" w:hAnsi="Arial" w:cs="Arial"/>
        </w:rPr>
        <w:t xml:space="preserve">Goodman, A., Van Sluijs, E. M. F., &amp; Ogilvie, D. (2016). Impact of offering cycle training in schools upon cycling behaviour: a natural experimental study. </w:t>
      </w:r>
      <w:r w:rsidRPr="00863291">
        <w:rPr>
          <w:rFonts w:ascii="Arial" w:hAnsi="Arial" w:cs="Arial"/>
          <w:i/>
          <w:iCs/>
        </w:rPr>
        <w:t>International Journal of Behavioral Nutrition and Physical Activity</w:t>
      </w:r>
      <w:r w:rsidRPr="00863291">
        <w:rPr>
          <w:rFonts w:ascii="Arial" w:hAnsi="Arial" w:cs="Arial"/>
        </w:rPr>
        <w:t xml:space="preserve">, </w:t>
      </w:r>
      <w:r w:rsidRPr="00863291">
        <w:rPr>
          <w:rFonts w:ascii="Arial" w:hAnsi="Arial" w:cs="Arial"/>
          <w:i/>
          <w:iCs/>
        </w:rPr>
        <w:t>13</w:t>
      </w:r>
      <w:r w:rsidRPr="00863291">
        <w:rPr>
          <w:rFonts w:ascii="Arial" w:hAnsi="Arial" w:cs="Arial"/>
        </w:rPr>
        <w:t>(1). https://doi.org/10.1186/s12966-016-0356-z</w:t>
      </w:r>
    </w:p>
    <w:p w14:paraId="23D248F8" w14:textId="77777777" w:rsidR="0000202F" w:rsidRPr="00863291" w:rsidRDefault="00000000">
      <w:pPr>
        <w:pStyle w:val="Bibliography"/>
        <w:rPr>
          <w:rFonts w:ascii="Arial" w:hAnsi="Arial" w:cs="Arial"/>
        </w:rPr>
      </w:pPr>
      <w:r w:rsidRPr="00863291">
        <w:rPr>
          <w:rFonts w:ascii="Arial" w:hAnsi="Arial" w:cs="Arial"/>
        </w:rPr>
        <w:lastRenderedPageBreak/>
        <w:t xml:space="preserve">HWB. (2020). </w:t>
      </w:r>
      <w:r w:rsidRPr="00863291">
        <w:rPr>
          <w:rFonts w:ascii="Arial" w:hAnsi="Arial" w:cs="Arial"/>
          <w:i/>
          <w:iCs/>
        </w:rPr>
        <w:t>Developing a vision for curriculum design - Hwb</w:t>
      </w:r>
      <w:r w:rsidRPr="00863291">
        <w:rPr>
          <w:rFonts w:ascii="Arial" w:hAnsi="Arial" w:cs="Arial"/>
        </w:rPr>
        <w:t>. Retrieved April 3, 2023, from https://hwb.gov.wales/curriculum-for-wales/designing-your-curriculum/developing-a-vision-for-curriculum-design</w:t>
      </w:r>
    </w:p>
    <w:p w14:paraId="55460EB6" w14:textId="77777777" w:rsidR="0000202F" w:rsidRPr="00863291" w:rsidRDefault="00000000">
      <w:pPr>
        <w:pStyle w:val="Bibliography"/>
        <w:rPr>
          <w:rFonts w:ascii="Arial" w:hAnsi="Arial" w:cs="Arial"/>
        </w:rPr>
      </w:pPr>
      <w:r w:rsidRPr="00863291">
        <w:rPr>
          <w:rFonts w:ascii="Arial" w:hAnsi="Arial" w:cs="Arial"/>
        </w:rPr>
        <w:t xml:space="preserve">Jalali-Farahani, S., Amiri, P., Karimi, M., Vahedi-Notash, G., Amirshekari, G., &amp; Azizi, F. (2018). Perceived social support and health-related quality of life (HRQoL) in Tehranian adults: Tehran lipid and glucose study. </w:t>
      </w:r>
      <w:r w:rsidRPr="00863291">
        <w:rPr>
          <w:rFonts w:ascii="Arial" w:hAnsi="Arial" w:cs="Arial"/>
          <w:i/>
          <w:iCs/>
        </w:rPr>
        <w:t>Health and Quality of Life Outcomes</w:t>
      </w:r>
      <w:r w:rsidRPr="00863291">
        <w:rPr>
          <w:rFonts w:ascii="Arial" w:hAnsi="Arial" w:cs="Arial"/>
        </w:rPr>
        <w:t xml:space="preserve">, </w:t>
      </w:r>
      <w:r w:rsidRPr="00863291">
        <w:rPr>
          <w:rFonts w:ascii="Arial" w:hAnsi="Arial" w:cs="Arial"/>
          <w:i/>
          <w:iCs/>
        </w:rPr>
        <w:t>16</w:t>
      </w:r>
      <w:r w:rsidRPr="00863291">
        <w:rPr>
          <w:rFonts w:ascii="Arial" w:hAnsi="Arial" w:cs="Arial"/>
        </w:rPr>
        <w:t>(1). https://doi.org/10.1186/s12955-018-0914-y</w:t>
      </w:r>
    </w:p>
    <w:p w14:paraId="7BAF33EE" w14:textId="77777777" w:rsidR="0000202F" w:rsidRPr="00863291" w:rsidRDefault="00000000">
      <w:pPr>
        <w:pStyle w:val="Bibliography"/>
        <w:rPr>
          <w:rFonts w:ascii="Arial" w:hAnsi="Arial" w:cs="Arial"/>
        </w:rPr>
      </w:pPr>
      <w:r w:rsidRPr="00863291">
        <w:rPr>
          <w:rFonts w:ascii="Arial" w:hAnsi="Arial" w:cs="Arial"/>
        </w:rPr>
        <w:t xml:space="preserve">JohnsonRebecca, FrearsonMichael, &amp; HewsonPaul. (2016). Can bicycle training for children increase active travel? </w:t>
      </w:r>
      <w:r w:rsidRPr="00863291">
        <w:rPr>
          <w:rFonts w:ascii="Arial" w:hAnsi="Arial" w:cs="Arial"/>
          <w:i/>
          <w:iCs/>
        </w:rPr>
        <w:t>Proceedings of the Institution of Civil Engineers</w:t>
      </w:r>
      <w:r w:rsidRPr="00863291">
        <w:rPr>
          <w:rFonts w:ascii="Arial" w:hAnsi="Arial" w:cs="Arial"/>
        </w:rPr>
        <w:t xml:space="preserve">, </w:t>
      </w:r>
      <w:r w:rsidRPr="00863291">
        <w:rPr>
          <w:rFonts w:ascii="Arial" w:hAnsi="Arial" w:cs="Arial"/>
          <w:i/>
          <w:iCs/>
        </w:rPr>
        <w:t>169</w:t>
      </w:r>
      <w:r w:rsidRPr="00863291">
        <w:rPr>
          <w:rFonts w:ascii="Arial" w:hAnsi="Arial" w:cs="Arial"/>
        </w:rPr>
        <w:t>(2), 49–57. https://doi.org/10.1680/ensu.14.00067</w:t>
      </w:r>
    </w:p>
    <w:p w14:paraId="0B682D2C" w14:textId="77777777" w:rsidR="0000202F" w:rsidRPr="00863291" w:rsidRDefault="00000000">
      <w:pPr>
        <w:pStyle w:val="Bibliography"/>
        <w:rPr>
          <w:rFonts w:ascii="Arial" w:hAnsi="Arial" w:cs="Arial"/>
        </w:rPr>
      </w:pPr>
      <w:r w:rsidRPr="00863291">
        <w:rPr>
          <w:rFonts w:ascii="Arial" w:hAnsi="Arial" w:cs="Arial"/>
        </w:rPr>
        <w:t xml:space="preserve">Mullan, E., &amp; Jones, P. (2020). </w:t>
      </w:r>
      <w:r w:rsidRPr="00863291">
        <w:rPr>
          <w:rFonts w:ascii="Arial" w:hAnsi="Arial" w:cs="Arial"/>
          <w:i/>
          <w:iCs/>
        </w:rPr>
        <w:t>The impact of cycling skills training on children’s cycling skills, confidence and behaviour</w:t>
      </w:r>
      <w:r w:rsidRPr="00863291">
        <w:rPr>
          <w:rFonts w:ascii="Arial" w:hAnsi="Arial" w:cs="Arial"/>
        </w:rPr>
        <w:t>.</w:t>
      </w:r>
    </w:p>
    <w:p w14:paraId="3699A044" w14:textId="77777777" w:rsidR="0000202F" w:rsidRPr="00863291" w:rsidRDefault="00000000">
      <w:pPr>
        <w:pStyle w:val="Bibliography"/>
        <w:rPr>
          <w:rFonts w:ascii="Arial" w:hAnsi="Arial" w:cs="Arial"/>
        </w:rPr>
      </w:pPr>
      <w:r w:rsidRPr="00863291">
        <w:rPr>
          <w:rFonts w:ascii="Arial" w:hAnsi="Arial" w:cs="Arial"/>
        </w:rPr>
        <w:t xml:space="preserve">Stark, J., Meschik, M., Singleton, P. A., &amp; Schützhofer, B. (2018). Active school travel, attitudes and psychological well-being of children. </w:t>
      </w:r>
      <w:r w:rsidRPr="00863291">
        <w:rPr>
          <w:rFonts w:ascii="Arial" w:hAnsi="Arial" w:cs="Arial"/>
          <w:i/>
          <w:iCs/>
        </w:rPr>
        <w:t>Transportation Research Part F-traffic Psychology and Behaviour</w:t>
      </w:r>
      <w:r w:rsidRPr="00863291">
        <w:rPr>
          <w:rFonts w:ascii="Arial" w:hAnsi="Arial" w:cs="Arial"/>
        </w:rPr>
        <w:t xml:space="preserve">, </w:t>
      </w:r>
      <w:r w:rsidRPr="00863291">
        <w:rPr>
          <w:rFonts w:ascii="Arial" w:hAnsi="Arial" w:cs="Arial"/>
          <w:i/>
          <w:iCs/>
        </w:rPr>
        <w:t>56</w:t>
      </w:r>
      <w:r w:rsidRPr="00863291">
        <w:rPr>
          <w:rFonts w:ascii="Arial" w:hAnsi="Arial" w:cs="Arial"/>
        </w:rPr>
        <w:t>, 453–465. https://doi.org/10.1016/j.trf.2018.05.007</w:t>
      </w:r>
    </w:p>
    <w:p w14:paraId="3EA61BC8" w14:textId="77777777" w:rsidR="0000202F" w:rsidRPr="00863291" w:rsidRDefault="00000000">
      <w:pPr>
        <w:pStyle w:val="Bibliography"/>
        <w:rPr>
          <w:rFonts w:ascii="Arial" w:hAnsi="Arial" w:cs="Arial"/>
        </w:rPr>
      </w:pPr>
      <w:r w:rsidRPr="00863291">
        <w:rPr>
          <w:rFonts w:ascii="Arial" w:hAnsi="Arial" w:cs="Arial"/>
        </w:rPr>
        <w:t xml:space="preserve">Telama, R., Yang, X., Leskinen, E., Kankaanpää, A., Hirvensalo, M., Tammelin, T., Viikari, J., &amp; Raitakari, O. T. (2014). Tracking of Physical Activity from Early Childhood through Youth into Adulthood. </w:t>
      </w:r>
      <w:r w:rsidRPr="00863291">
        <w:rPr>
          <w:rFonts w:ascii="Arial" w:hAnsi="Arial" w:cs="Arial"/>
          <w:i/>
          <w:iCs/>
        </w:rPr>
        <w:t>Medicine and Science in Sports and Exercise</w:t>
      </w:r>
      <w:r w:rsidRPr="00863291">
        <w:rPr>
          <w:rFonts w:ascii="Arial" w:hAnsi="Arial" w:cs="Arial"/>
        </w:rPr>
        <w:t xml:space="preserve">, </w:t>
      </w:r>
      <w:r w:rsidRPr="00863291">
        <w:rPr>
          <w:rFonts w:ascii="Arial" w:hAnsi="Arial" w:cs="Arial"/>
          <w:i/>
          <w:iCs/>
        </w:rPr>
        <w:t>46</w:t>
      </w:r>
      <w:r w:rsidRPr="00863291">
        <w:rPr>
          <w:rFonts w:ascii="Arial" w:hAnsi="Arial" w:cs="Arial"/>
        </w:rPr>
        <w:t>(5), 955–962. https://doi.org/10.1249/mss.0000000000000181</w:t>
      </w:r>
    </w:p>
    <w:p w14:paraId="0584A1A6" w14:textId="77777777" w:rsidR="0000202F" w:rsidRPr="00863291" w:rsidRDefault="00000000">
      <w:pPr>
        <w:pStyle w:val="Bibliography"/>
        <w:rPr>
          <w:rFonts w:ascii="Arial" w:hAnsi="Arial" w:cs="Arial"/>
        </w:rPr>
      </w:pPr>
      <w:r w:rsidRPr="00863291">
        <w:rPr>
          <w:rFonts w:ascii="Arial" w:hAnsi="Arial" w:cs="Arial"/>
        </w:rPr>
        <w:t xml:space="preserve">Welsh Government. (2019). </w:t>
      </w:r>
      <w:r w:rsidRPr="00863291">
        <w:rPr>
          <w:rFonts w:ascii="Arial" w:hAnsi="Arial" w:cs="Arial"/>
          <w:i/>
          <w:iCs/>
        </w:rPr>
        <w:t>Physical Activity of Children and Young People</w:t>
      </w:r>
      <w:r w:rsidRPr="00863291">
        <w:rPr>
          <w:rFonts w:ascii="Arial" w:hAnsi="Arial" w:cs="Arial"/>
        </w:rPr>
        <w:t>. Retrieved April 5, 2023, from https://senedd.wales/laid%20documents/cr-ld12369/cr-ld12369-e.pdf</w:t>
      </w:r>
    </w:p>
    <w:p w14:paraId="4C3A168D" w14:textId="77777777" w:rsidR="0000202F" w:rsidRPr="00863291" w:rsidRDefault="00000000">
      <w:pPr>
        <w:pStyle w:val="Bibliography"/>
        <w:rPr>
          <w:rFonts w:ascii="Arial" w:hAnsi="Arial" w:cs="Arial"/>
        </w:rPr>
      </w:pPr>
      <w:r w:rsidRPr="00863291">
        <w:rPr>
          <w:rFonts w:ascii="Arial" w:hAnsi="Arial" w:cs="Arial"/>
        </w:rPr>
        <w:lastRenderedPageBreak/>
        <w:t xml:space="preserve">Welsh Government. (2021). </w:t>
      </w:r>
      <w:r w:rsidRPr="00863291">
        <w:rPr>
          <w:rFonts w:ascii="Arial" w:hAnsi="Arial" w:cs="Arial"/>
          <w:i/>
          <w:iCs/>
        </w:rPr>
        <w:t>Active Travel Act Guidance</w:t>
      </w:r>
      <w:r w:rsidRPr="00863291">
        <w:rPr>
          <w:rFonts w:ascii="Arial" w:hAnsi="Arial" w:cs="Arial"/>
        </w:rPr>
        <w:t>. Retrieved April 1, 2023, from https://www.gov.wales/sites/default/files/publications/2022-01/active-travel-act-guidance.pdf</w:t>
      </w:r>
    </w:p>
    <w:p w14:paraId="6B7FF05E" w14:textId="77777777" w:rsidR="0000202F" w:rsidRPr="00863291" w:rsidRDefault="00000000">
      <w:pPr>
        <w:pStyle w:val="Bibliography"/>
        <w:rPr>
          <w:rFonts w:ascii="Arial" w:hAnsi="Arial" w:cs="Arial"/>
        </w:rPr>
      </w:pPr>
      <w:r w:rsidRPr="00863291">
        <w:rPr>
          <w:rFonts w:ascii="Arial" w:hAnsi="Arial" w:cs="Arial"/>
        </w:rPr>
        <w:t xml:space="preserve">Welsh Government. (2022). </w:t>
      </w:r>
      <w:r w:rsidRPr="00863291">
        <w:rPr>
          <w:rFonts w:ascii="Arial" w:hAnsi="Arial" w:cs="Arial"/>
          <w:i/>
          <w:iCs/>
        </w:rPr>
        <w:t>Ynystawe Primary School</w:t>
      </w:r>
      <w:r w:rsidRPr="00863291">
        <w:rPr>
          <w:rFonts w:ascii="Arial" w:hAnsi="Arial" w:cs="Arial"/>
        </w:rPr>
        <w:t>. My Local School. Retrieved April 2, 2023, from https://mylocalschool.gov.wales/School/6702071?lang=en</w:t>
      </w:r>
    </w:p>
    <w:p w14:paraId="26353B7D" w14:textId="77777777" w:rsidR="0000202F" w:rsidRPr="00863291" w:rsidRDefault="00000000">
      <w:pPr>
        <w:pStyle w:val="Bibliography"/>
        <w:rPr>
          <w:rFonts w:ascii="Arial" w:hAnsi="Arial" w:cs="Arial"/>
        </w:rPr>
      </w:pPr>
      <w:r w:rsidRPr="00863291">
        <w:rPr>
          <w:rFonts w:ascii="Arial" w:hAnsi="Arial" w:cs="Arial"/>
        </w:rPr>
        <w:t xml:space="preserve">Westman, J., Olsson, L. E., Gärling, T., &amp; Friman, M. (2017). Children’s travel to school: satisfaction, current mood, and cognitive performance. </w:t>
      </w:r>
      <w:r w:rsidRPr="00863291">
        <w:rPr>
          <w:rFonts w:ascii="Arial" w:hAnsi="Arial" w:cs="Arial"/>
          <w:i/>
          <w:iCs/>
        </w:rPr>
        <w:t>Transportation</w:t>
      </w:r>
      <w:r w:rsidRPr="00863291">
        <w:rPr>
          <w:rFonts w:ascii="Arial" w:hAnsi="Arial" w:cs="Arial"/>
        </w:rPr>
        <w:t xml:space="preserve">, </w:t>
      </w:r>
      <w:r w:rsidRPr="00863291">
        <w:rPr>
          <w:rFonts w:ascii="Arial" w:hAnsi="Arial" w:cs="Arial"/>
          <w:i/>
          <w:iCs/>
        </w:rPr>
        <w:t>44</w:t>
      </w:r>
      <w:r w:rsidRPr="00863291">
        <w:rPr>
          <w:rFonts w:ascii="Arial" w:hAnsi="Arial" w:cs="Arial"/>
        </w:rPr>
        <w:t>(6), 1365–1382. https://doi.org/10.1007/s11116-016-9705-7</w:t>
      </w:r>
    </w:p>
    <w:sectPr w:rsidR="0000202F" w:rsidRPr="00863291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F6B829" w14:textId="77777777" w:rsidR="0002327F" w:rsidRDefault="0002327F">
      <w:pPr>
        <w:spacing w:line="240" w:lineRule="auto"/>
      </w:pPr>
      <w:r>
        <w:separator/>
      </w:r>
    </w:p>
  </w:endnote>
  <w:endnote w:type="continuationSeparator" w:id="0">
    <w:p w14:paraId="6945B9F4" w14:textId="77777777" w:rsidR="0002327F" w:rsidRDefault="0002327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D2862E" w14:textId="7333A89F" w:rsidR="00FD027A" w:rsidRDefault="00FD027A">
    <w:pPr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67BE47" w14:textId="77777777" w:rsidR="0002327F" w:rsidRDefault="0002327F">
      <w:pPr>
        <w:spacing w:line="240" w:lineRule="auto"/>
      </w:pPr>
      <w:r>
        <w:separator/>
      </w:r>
    </w:p>
  </w:footnote>
  <w:footnote w:type="continuationSeparator" w:id="0">
    <w:p w14:paraId="6ADACBA0" w14:textId="77777777" w:rsidR="0002327F" w:rsidRDefault="0002327F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E65C43" w14:textId="26592861" w:rsidR="00FD027A" w:rsidRPr="00863291" w:rsidRDefault="00863291" w:rsidP="00863291">
    <w:pPr>
      <w:pStyle w:val="Header"/>
      <w:rPr>
        <w:lang w:val="en-GB"/>
      </w:rPr>
    </w:pPr>
    <w:r>
      <w:rPr>
        <w:lang w:val="en-GB"/>
      </w:rPr>
      <w:t>ECAD7003</w:t>
    </w:r>
    <w:r>
      <w:rPr>
        <w:lang w:val="en-GB"/>
      </w:rPr>
      <w:tab/>
    </w:r>
    <w:r>
      <w:rPr>
        <w:lang w:val="en-GB"/>
      </w:rPr>
      <w:tab/>
    </w:r>
    <w:r>
      <w:rPr>
        <w:lang w:val="en-GB"/>
      </w:rPr>
      <w:tab/>
    </w:r>
    <w:r>
      <w:rPr>
        <w:lang w:val="en-GB"/>
      </w:rPr>
      <w:tab/>
    </w:r>
    <w:r>
      <w:rPr>
        <w:lang w:val="en-GB"/>
      </w:rPr>
      <w:tab/>
    </w:r>
    <w:r>
      <w:rPr>
        <w:lang w:val="en-GB"/>
      </w:rPr>
      <w:tab/>
    </w:r>
    <w:r>
      <w:rPr>
        <w:lang w:val="en-GB"/>
      </w:rPr>
      <w:tab/>
    </w:r>
    <w:r>
      <w:rPr>
        <w:lang w:val="en-GB"/>
      </w:rPr>
      <w:tab/>
    </w:r>
    <w:r>
      <w:rPr>
        <w:lang w:val="en-GB"/>
      </w:rPr>
      <w:tab/>
      <w:t>2200203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2430AF"/>
    <w:multiLevelType w:val="hybridMultilevel"/>
    <w:tmpl w:val="D69A8A36"/>
    <w:lvl w:ilvl="0" w:tplc="D7AA5822">
      <w:start w:val="1"/>
      <w:numFmt w:val="bullet"/>
      <w:pStyle w:val="ListBullet"/>
      <w:lvlText w:val="●"/>
      <w:lvlJc w:val="left"/>
      <w:pPr>
        <w:ind w:left="720" w:hanging="360"/>
      </w:pPr>
    </w:lvl>
    <w:lvl w:ilvl="1" w:tplc="71F64D74">
      <w:start w:val="1"/>
      <w:numFmt w:val="bullet"/>
      <w:lvlText w:val="○"/>
      <w:lvlJc w:val="left"/>
      <w:pPr>
        <w:ind w:left="1440" w:hanging="360"/>
      </w:pPr>
    </w:lvl>
    <w:lvl w:ilvl="2" w:tplc="BA20E348">
      <w:start w:val="1"/>
      <w:numFmt w:val="bullet"/>
      <w:lvlText w:val="■"/>
      <w:lvlJc w:val="left"/>
      <w:pPr>
        <w:ind w:left="2160" w:hanging="360"/>
      </w:pPr>
    </w:lvl>
    <w:lvl w:ilvl="3" w:tplc="E5B295A6">
      <w:start w:val="1"/>
      <w:numFmt w:val="bullet"/>
      <w:lvlText w:val="●"/>
      <w:lvlJc w:val="left"/>
      <w:pPr>
        <w:ind w:left="2880" w:hanging="360"/>
      </w:pPr>
    </w:lvl>
    <w:lvl w:ilvl="4" w:tplc="AC20E2A0">
      <w:start w:val="1"/>
      <w:numFmt w:val="bullet"/>
      <w:lvlText w:val="○"/>
      <w:lvlJc w:val="left"/>
      <w:pPr>
        <w:ind w:left="3600" w:hanging="360"/>
      </w:pPr>
    </w:lvl>
    <w:lvl w:ilvl="5" w:tplc="BB3A204E">
      <w:start w:val="1"/>
      <w:numFmt w:val="bullet"/>
      <w:lvlText w:val="■"/>
      <w:lvlJc w:val="left"/>
      <w:pPr>
        <w:ind w:left="4320" w:hanging="360"/>
      </w:pPr>
    </w:lvl>
    <w:lvl w:ilvl="6" w:tplc="A510C2F2">
      <w:start w:val="1"/>
      <w:numFmt w:val="bullet"/>
      <w:lvlText w:val="●"/>
      <w:lvlJc w:val="left"/>
      <w:pPr>
        <w:ind w:left="5040" w:hanging="360"/>
      </w:pPr>
    </w:lvl>
    <w:lvl w:ilvl="7" w:tplc="36D02FBC">
      <w:start w:val="1"/>
      <w:numFmt w:val="bullet"/>
      <w:lvlText w:val="●"/>
      <w:lvlJc w:val="left"/>
      <w:pPr>
        <w:ind w:left="5760" w:hanging="360"/>
      </w:pPr>
    </w:lvl>
    <w:lvl w:ilvl="8" w:tplc="93D01F50">
      <w:start w:val="1"/>
      <w:numFmt w:val="bullet"/>
      <w:lvlText w:val="●"/>
      <w:lvlJc w:val="left"/>
      <w:pPr>
        <w:ind w:left="6480" w:hanging="360"/>
      </w:pPr>
    </w:lvl>
  </w:abstractNum>
  <w:num w:numId="1" w16cid:durableId="1953592140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4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D027A"/>
    <w:rsid w:val="0000202F"/>
    <w:rsid w:val="0002327F"/>
    <w:rsid w:val="000A150F"/>
    <w:rsid w:val="00287DD9"/>
    <w:rsid w:val="00351121"/>
    <w:rsid w:val="00781B41"/>
    <w:rsid w:val="00863291"/>
    <w:rsid w:val="00FD02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46753B"/>
  <w15:docId w15:val="{3D28F9DE-1CC2-3549-AAD2-DBD64B807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480" w:lineRule="auto"/>
      <w:ind w:firstLine="720"/>
    </w:pPr>
    <w:rPr>
      <w:sz w:val="24"/>
      <w:szCs w:val="24"/>
    </w:rPr>
  </w:style>
  <w:style w:type="paragraph" w:styleId="Heading1">
    <w:name w:val="heading 1"/>
    <w:basedOn w:val="Normal"/>
    <w:next w:val="Normal"/>
    <w:uiPriority w:val="9"/>
    <w:qFormat/>
    <w:pPr>
      <w:ind w:firstLine="0"/>
      <w:jc w:val="center"/>
      <w:outlineLvl w:val="0"/>
    </w:pPr>
    <w:rPr>
      <w:b/>
      <w:bCs/>
    </w:rPr>
  </w:style>
  <w:style w:type="paragraph" w:styleId="Heading2">
    <w:name w:val="heading 2"/>
    <w:basedOn w:val="Normal"/>
    <w:next w:val="Normal"/>
    <w:uiPriority w:val="9"/>
    <w:unhideWhenUsed/>
    <w:qFormat/>
    <w:pPr>
      <w:ind w:firstLine="0"/>
      <w:outlineLvl w:val="1"/>
    </w:pPr>
    <w:rPr>
      <w:b/>
      <w:bCs/>
    </w:rPr>
  </w:style>
  <w:style w:type="paragraph" w:styleId="Heading3">
    <w:name w:val="heading 3"/>
    <w:basedOn w:val="Normal"/>
    <w:next w:val="Normal"/>
    <w:uiPriority w:val="9"/>
    <w:unhideWhenUsed/>
    <w:qFormat/>
    <w:pPr>
      <w:ind w:firstLine="0"/>
      <w:outlineLvl w:val="2"/>
    </w:pPr>
    <w:rPr>
      <w:b/>
      <w:bCs/>
      <w:i/>
      <w:iCs/>
    </w:rPr>
  </w:style>
  <w:style w:type="paragraph" w:styleId="Heading4">
    <w:name w:val="heading 4"/>
    <w:basedOn w:val="Normal"/>
    <w:next w:val="Normal"/>
    <w:uiPriority w:val="9"/>
    <w:unhideWhenUsed/>
    <w:qFormat/>
    <w:pPr>
      <w:outlineLvl w:val="3"/>
    </w:pPr>
    <w:rPr>
      <w:b/>
      <w:bCs/>
    </w:rPr>
  </w:style>
  <w:style w:type="paragraph" w:styleId="Heading5">
    <w:name w:val="heading 5"/>
    <w:basedOn w:val="Normal"/>
    <w:next w:val="Normal"/>
    <w:uiPriority w:val="9"/>
    <w:unhideWhenUsed/>
    <w:qFormat/>
    <w:pPr>
      <w:outlineLvl w:val="4"/>
    </w:pPr>
    <w:rPr>
      <w:b/>
      <w:bCs/>
      <w:i/>
      <w:iCs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outlineLvl w:val="5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ind w:firstLine="0"/>
      <w:jc w:val="center"/>
    </w:pPr>
  </w:style>
  <w:style w:type="paragraph" w:customStyle="1" w:styleId="Strong1">
    <w:name w:val="Strong1"/>
    <w:basedOn w:val="Normal"/>
    <w:next w:val="Normal"/>
    <w:qFormat/>
    <w:rPr>
      <w:b/>
      <w:bCs/>
    </w:rPr>
  </w:style>
  <w:style w:type="paragraph" w:styleId="ListParagraph">
    <w:name w:val="List Paragraph"/>
    <w:basedOn w:val="Normal"/>
  </w:style>
  <w:style w:type="character" w:styleId="Hyperlink">
    <w:name w:val="Hyperlink"/>
    <w:uiPriority w:val="99"/>
    <w:unhideWhenUsed/>
    <w:rPr>
      <w:color w:val="1F80E8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paragraph" w:styleId="Bibliography">
    <w:name w:val="Bibliography"/>
    <w:basedOn w:val="Normal"/>
    <w:pPr>
      <w:ind w:left="720" w:hanging="720"/>
    </w:pPr>
  </w:style>
  <w:style w:type="paragraph" w:customStyle="1" w:styleId="BibliographyAnnotation">
    <w:name w:val="Bibliography Annotation"/>
    <w:basedOn w:val="Normal"/>
    <w:pPr>
      <w:ind w:left="720"/>
    </w:pPr>
  </w:style>
  <w:style w:type="paragraph" w:customStyle="1" w:styleId="BibliographyAnnotationFirstLine">
    <w:name w:val="Bibliography Annotation First Line"/>
    <w:basedOn w:val="BibliographyAnnotation"/>
    <w:next w:val="BibliographyAnnotation"/>
    <w:pPr>
      <w:ind w:firstLine="0"/>
    </w:pPr>
  </w:style>
  <w:style w:type="paragraph" w:customStyle="1" w:styleId="BibliographyAnnotationMultiLine">
    <w:name w:val="Bibliography Annotation Multi Line"/>
    <w:basedOn w:val="BibliographyAnnotation"/>
  </w:style>
  <w:style w:type="paragraph" w:customStyle="1" w:styleId="BibliographyAnnotationMultiLineFirstLine">
    <w:name w:val="Bibliography Annotation Multi Line First Line"/>
    <w:basedOn w:val="BibliographyAnnotationFirstLine"/>
    <w:next w:val="BibliographyAnnotationMultiLine"/>
  </w:style>
  <w:style w:type="paragraph" w:styleId="Header">
    <w:name w:val="header"/>
    <w:basedOn w:val="Normal"/>
    <w:pPr>
      <w:spacing w:line="240" w:lineRule="auto"/>
      <w:ind w:firstLine="0"/>
    </w:pPr>
  </w:style>
  <w:style w:type="paragraph" w:styleId="ListBullet">
    <w:name w:val="List Bullet"/>
    <w:basedOn w:val="Normal"/>
    <w:pPr>
      <w:numPr>
        <w:numId w:val="1"/>
      </w:numPr>
      <w:ind w:left="108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863291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3291"/>
    <w:rPr>
      <w:sz w:val="24"/>
      <w:szCs w:val="24"/>
    </w:rPr>
  </w:style>
  <w:style w:type="paragraph" w:customStyle="1" w:styleId="AssignBody">
    <w:name w:val="AssignBody"/>
    <w:basedOn w:val="Normal"/>
    <w:link w:val="AssignBodyChar"/>
    <w:qFormat/>
    <w:rsid w:val="00863291"/>
    <w:pPr>
      <w:spacing w:line="360" w:lineRule="auto"/>
      <w:ind w:firstLine="0"/>
    </w:pPr>
    <w:rPr>
      <w:rFonts w:ascii="Arial" w:eastAsiaTheme="minorHAnsi" w:hAnsi="Arial" w:cstheme="minorBidi"/>
      <w:sz w:val="22"/>
      <w:szCs w:val="22"/>
      <w:lang w:val="en-GB" w:eastAsia="en-US"/>
    </w:rPr>
  </w:style>
  <w:style w:type="character" w:customStyle="1" w:styleId="AssignBodyChar">
    <w:name w:val="AssignBody Char"/>
    <w:basedOn w:val="DefaultParagraphFont"/>
    <w:link w:val="AssignBody"/>
    <w:rsid w:val="00863291"/>
    <w:rPr>
      <w:rFonts w:ascii="Arial" w:eastAsiaTheme="minorHAnsi" w:hAnsi="Arial" w:cstheme="minorBidi"/>
      <w:sz w:val="22"/>
      <w:szCs w:val="22"/>
      <w:lang w:val="en-GB" w:eastAsia="en-US"/>
    </w:rPr>
  </w:style>
  <w:style w:type="paragraph" w:customStyle="1" w:styleId="AssignHeader">
    <w:name w:val="AssignHeader"/>
    <w:basedOn w:val="Normal"/>
    <w:next w:val="Normal"/>
    <w:link w:val="AssignHeaderChar"/>
    <w:qFormat/>
    <w:rsid w:val="00863291"/>
    <w:pPr>
      <w:spacing w:line="360" w:lineRule="auto"/>
      <w:ind w:firstLine="0"/>
      <w:jc w:val="center"/>
    </w:pPr>
    <w:rPr>
      <w:rFonts w:ascii="Arial" w:eastAsiaTheme="minorHAnsi" w:hAnsi="Arial" w:cstheme="minorBidi"/>
      <w:b/>
      <w:sz w:val="36"/>
      <w:szCs w:val="22"/>
      <w:u w:val="single"/>
      <w:lang w:val="en-GB" w:eastAsia="en-US"/>
    </w:rPr>
  </w:style>
  <w:style w:type="character" w:customStyle="1" w:styleId="AssignHeaderChar">
    <w:name w:val="AssignHeader Char"/>
    <w:basedOn w:val="DefaultParagraphFont"/>
    <w:link w:val="AssignHeader"/>
    <w:rsid w:val="00863291"/>
    <w:rPr>
      <w:rFonts w:ascii="Arial" w:eastAsiaTheme="minorHAnsi" w:hAnsi="Arial" w:cstheme="minorBidi"/>
      <w:b/>
      <w:sz w:val="36"/>
      <w:szCs w:val="22"/>
      <w:u w:val="single"/>
      <w:lang w:val="en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536</Words>
  <Characters>3058</Characters>
  <Application>Microsoft Office Word</Application>
  <DocSecurity>0</DocSecurity>
  <Lines>25</Lines>
  <Paragraphs>7</Paragraphs>
  <ScaleCrop>false</ScaleCrop>
  <Company/>
  <LinksUpToDate>false</LinksUpToDate>
  <CharactersWithSpaces>3587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HUSSAIN M. (1909023)</cp:lastModifiedBy>
  <cp:revision>2</cp:revision>
  <dcterms:created xsi:type="dcterms:W3CDTF">2023-04-16T21:59:00Z</dcterms:created>
  <dcterms:modified xsi:type="dcterms:W3CDTF">2023-04-16T21:59:00Z</dcterms:modified>
</cp:coreProperties>
</file>