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6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07"/>
        <w:gridCol w:w="1713"/>
        <w:gridCol w:w="687"/>
        <w:gridCol w:w="2420"/>
      </w:tblGrid>
      <w:tr w:rsidR="00340C4A" w:rsidRPr="00EB4C96" w14:paraId="3DBF9E1B" w14:textId="77777777" w:rsidTr="00132DBC">
        <w:trPr>
          <w:trHeight w:val="415"/>
          <w:jc w:val="center"/>
        </w:trPr>
        <w:tc>
          <w:tcPr>
            <w:tcW w:w="5807" w:type="dxa"/>
            <w:vMerge w:val="restart"/>
            <w:tcBorders>
              <w:top w:val="single" w:sz="4" w:space="0" w:color="auto"/>
              <w:left w:val="single" w:sz="4" w:space="0" w:color="auto"/>
              <w:right w:val="single" w:sz="4" w:space="0" w:color="auto"/>
            </w:tcBorders>
            <w:shd w:val="clear" w:color="auto" w:fill="auto"/>
          </w:tcPr>
          <w:p w14:paraId="11D60580"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p>
          <w:p w14:paraId="5A9DA88F"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r w:rsidRPr="00EB4C96">
              <w:rPr>
                <w:rFonts w:ascii="Arial" w:hAnsi="Arial" w:cs="Arial"/>
                <w:noProof/>
                <w:sz w:val="24"/>
                <w:szCs w:val="24"/>
                <w:lang w:eastAsia="en-GB"/>
              </w:rPr>
              <w:drawing>
                <wp:inline distT="0" distB="0" distL="0" distR="0" wp14:anchorId="3DB9BD54" wp14:editId="19A115C3">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B4C96">
              <w:rPr>
                <w:rFonts w:ascii="Arial" w:eastAsia="Times New Roman" w:hAnsi="Arial" w:cs="Arial"/>
                <w:b/>
                <w:sz w:val="24"/>
                <w:szCs w:val="24"/>
                <w:lang w:val="en-AU"/>
              </w:rPr>
              <w:br/>
            </w:r>
          </w:p>
          <w:p w14:paraId="7313265C" w14:textId="7B1E5336" w:rsidR="00340C4A" w:rsidRPr="00EB4C96" w:rsidRDefault="00444241" w:rsidP="00444241">
            <w:pPr>
              <w:spacing w:line="360" w:lineRule="auto"/>
              <w:jc w:val="both"/>
              <w:rPr>
                <w:rFonts w:ascii="Arial" w:eastAsia="Times New Roman" w:hAnsi="Arial" w:cs="Arial"/>
                <w:b/>
                <w:sz w:val="24"/>
                <w:szCs w:val="24"/>
                <w:lang w:val="en-AU"/>
              </w:rPr>
            </w:pPr>
            <w:r w:rsidRPr="00444241">
              <w:rPr>
                <w:rFonts w:ascii="Arial" w:hAnsi="Arial" w:cs="Arial"/>
                <w:b/>
                <w:bCs/>
                <w:sz w:val="24"/>
                <w:szCs w:val="24"/>
              </w:rPr>
              <w:t xml:space="preserve">Research Project Proposal – Analyse the impacts of </w:t>
            </w:r>
            <w:r>
              <w:rPr>
                <w:rFonts w:ascii="Arial" w:hAnsi="Arial" w:cs="Arial"/>
                <w:b/>
                <w:bCs/>
                <w:sz w:val="24"/>
                <w:szCs w:val="24"/>
              </w:rPr>
              <w:t>socio-economic</w:t>
            </w:r>
            <w:r w:rsidRPr="00444241">
              <w:rPr>
                <w:rFonts w:ascii="Arial" w:hAnsi="Arial" w:cs="Arial"/>
                <w:b/>
                <w:bCs/>
                <w:sz w:val="24"/>
                <w:szCs w:val="24"/>
              </w:rPr>
              <w:t xml:space="preserve"> force on employees’ performance management and monitoring in different work modes: Hospitality HR’s perspective</w:t>
            </w:r>
          </w:p>
        </w:tc>
        <w:tc>
          <w:tcPr>
            <w:tcW w:w="1713" w:type="dxa"/>
            <w:tcBorders>
              <w:top w:val="single" w:sz="4" w:space="0" w:color="auto"/>
              <w:left w:val="single" w:sz="4" w:space="0" w:color="auto"/>
              <w:bottom w:val="nil"/>
              <w:right w:val="nil"/>
            </w:tcBorders>
            <w:shd w:val="clear" w:color="auto" w:fill="auto"/>
            <w:vAlign w:val="center"/>
          </w:tcPr>
          <w:p w14:paraId="40B37E73" w14:textId="77777777" w:rsidR="00340C4A" w:rsidRPr="00EB4C96" w:rsidRDefault="00340C4A" w:rsidP="00EB4C96">
            <w:pPr>
              <w:keepNext/>
              <w:spacing w:before="120" w:after="0" w:line="360" w:lineRule="auto"/>
              <w:jc w:val="both"/>
              <w:rPr>
                <w:rFonts w:ascii="Arial" w:eastAsia="Times New Roman" w:hAnsi="Arial" w:cs="Arial"/>
                <w:b/>
                <w:bCs/>
                <w:sz w:val="24"/>
                <w:szCs w:val="24"/>
                <w:lang w:val="en-AU"/>
              </w:rPr>
            </w:pPr>
            <w:r w:rsidRPr="00EB4C96">
              <w:rPr>
                <w:rFonts w:ascii="Arial" w:eastAsia="Times New Roman" w:hAnsi="Arial" w:cs="Arial"/>
                <w:b/>
                <w:bCs/>
                <w:sz w:val="24"/>
                <w:szCs w:val="24"/>
              </w:rPr>
              <w:t>Student No:</w:t>
            </w:r>
          </w:p>
        </w:tc>
        <w:tc>
          <w:tcPr>
            <w:tcW w:w="3107" w:type="dxa"/>
            <w:gridSpan w:val="2"/>
            <w:tcBorders>
              <w:top w:val="single" w:sz="4" w:space="0" w:color="auto"/>
              <w:left w:val="nil"/>
              <w:bottom w:val="dashed" w:sz="4" w:space="0" w:color="auto"/>
              <w:right w:val="single" w:sz="4" w:space="0" w:color="auto"/>
            </w:tcBorders>
            <w:shd w:val="clear" w:color="auto" w:fill="auto"/>
            <w:vAlign w:val="center"/>
          </w:tcPr>
          <w:p w14:paraId="4106D253"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r w:rsidRPr="00EB4C96">
              <w:rPr>
                <w:rFonts w:ascii="Arial" w:eastAsia="Times New Roman" w:hAnsi="Arial" w:cs="Arial"/>
                <w:b/>
                <w:sz w:val="24"/>
                <w:szCs w:val="24"/>
                <w:lang w:val="en-AU"/>
              </w:rPr>
              <w:t>2240761</w:t>
            </w:r>
          </w:p>
        </w:tc>
      </w:tr>
      <w:tr w:rsidR="00340C4A" w:rsidRPr="00EB4C96" w14:paraId="7AF7C785" w14:textId="77777777" w:rsidTr="00132DBC">
        <w:trPr>
          <w:trHeight w:val="465"/>
          <w:jc w:val="center"/>
        </w:trPr>
        <w:tc>
          <w:tcPr>
            <w:tcW w:w="5807" w:type="dxa"/>
            <w:vMerge/>
            <w:tcBorders>
              <w:left w:val="single" w:sz="4" w:space="0" w:color="auto"/>
              <w:right w:val="single" w:sz="4" w:space="0" w:color="auto"/>
            </w:tcBorders>
            <w:shd w:val="clear" w:color="auto" w:fill="auto"/>
          </w:tcPr>
          <w:p w14:paraId="7B21577C"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p>
        </w:tc>
        <w:tc>
          <w:tcPr>
            <w:tcW w:w="1713" w:type="dxa"/>
            <w:tcBorders>
              <w:top w:val="nil"/>
              <w:left w:val="single" w:sz="4" w:space="0" w:color="auto"/>
              <w:bottom w:val="nil"/>
              <w:right w:val="nil"/>
            </w:tcBorders>
            <w:shd w:val="clear" w:color="auto" w:fill="auto"/>
            <w:vAlign w:val="center"/>
          </w:tcPr>
          <w:p w14:paraId="49261C8B" w14:textId="77777777" w:rsidR="00340C4A" w:rsidRPr="00EB4C96" w:rsidRDefault="00340C4A" w:rsidP="00EB4C96">
            <w:pPr>
              <w:keepNext/>
              <w:spacing w:after="0" w:line="360" w:lineRule="auto"/>
              <w:jc w:val="both"/>
              <w:rPr>
                <w:rFonts w:ascii="Arial" w:eastAsia="Times New Roman" w:hAnsi="Arial" w:cs="Arial"/>
                <w:sz w:val="24"/>
                <w:szCs w:val="24"/>
                <w:lang w:val="en-AU"/>
              </w:rPr>
            </w:pPr>
          </w:p>
          <w:p w14:paraId="5621DAEF" w14:textId="77777777" w:rsidR="00340C4A" w:rsidRPr="00EB4C96" w:rsidRDefault="00340C4A" w:rsidP="00EB4C96">
            <w:pPr>
              <w:keepNext/>
              <w:spacing w:after="0" w:line="360" w:lineRule="auto"/>
              <w:jc w:val="both"/>
              <w:rPr>
                <w:rFonts w:ascii="Arial" w:eastAsia="Times New Roman" w:hAnsi="Arial" w:cs="Arial"/>
                <w:sz w:val="24"/>
                <w:szCs w:val="24"/>
                <w:lang w:val="en-AU"/>
              </w:rPr>
            </w:pPr>
            <w:r w:rsidRPr="00EB4C96">
              <w:rPr>
                <w:rFonts w:ascii="Arial" w:eastAsia="Times New Roman" w:hAnsi="Arial" w:cs="Arial"/>
                <w:sz w:val="24"/>
                <w:szCs w:val="24"/>
                <w:lang w:val="en-AU"/>
              </w:rPr>
              <w:t>Module Title:</w:t>
            </w:r>
          </w:p>
        </w:tc>
        <w:tc>
          <w:tcPr>
            <w:tcW w:w="3107" w:type="dxa"/>
            <w:gridSpan w:val="2"/>
            <w:tcBorders>
              <w:top w:val="dashed" w:sz="4" w:space="0" w:color="auto"/>
              <w:left w:val="nil"/>
              <w:bottom w:val="dashed" w:sz="4" w:space="0" w:color="auto"/>
              <w:right w:val="single" w:sz="4" w:space="0" w:color="auto"/>
            </w:tcBorders>
            <w:shd w:val="clear" w:color="auto" w:fill="auto"/>
            <w:vAlign w:val="center"/>
          </w:tcPr>
          <w:p w14:paraId="6BD8E5E1" w14:textId="7ACF357C" w:rsidR="00340C4A" w:rsidRPr="00EB4C96" w:rsidRDefault="00132DBC" w:rsidP="00EB4C96">
            <w:pPr>
              <w:keepNext/>
              <w:spacing w:after="0" w:line="360" w:lineRule="auto"/>
              <w:jc w:val="both"/>
              <w:rPr>
                <w:rFonts w:ascii="Arial" w:eastAsia="Times New Roman" w:hAnsi="Arial" w:cs="Arial"/>
                <w:b/>
                <w:sz w:val="24"/>
                <w:szCs w:val="24"/>
                <w:lang w:val="en-AU"/>
              </w:rPr>
            </w:pPr>
            <w:r w:rsidRPr="00132DBC">
              <w:rPr>
                <w:rFonts w:ascii="Arial" w:eastAsia="Times New Roman" w:hAnsi="Arial" w:cs="Arial"/>
                <w:b/>
                <w:sz w:val="24"/>
                <w:szCs w:val="24"/>
                <w:lang w:val="en-AU"/>
              </w:rPr>
              <w:t>Personnel Resourcing and Development</w:t>
            </w:r>
          </w:p>
        </w:tc>
      </w:tr>
      <w:tr w:rsidR="00340C4A" w:rsidRPr="00EB4C96" w14:paraId="576DF5F9" w14:textId="77777777" w:rsidTr="00132DBC">
        <w:trPr>
          <w:trHeight w:val="465"/>
          <w:jc w:val="center"/>
        </w:trPr>
        <w:tc>
          <w:tcPr>
            <w:tcW w:w="5807" w:type="dxa"/>
            <w:vMerge/>
            <w:tcBorders>
              <w:left w:val="single" w:sz="4" w:space="0" w:color="auto"/>
              <w:right w:val="single" w:sz="4" w:space="0" w:color="auto"/>
            </w:tcBorders>
            <w:shd w:val="clear" w:color="auto" w:fill="auto"/>
          </w:tcPr>
          <w:p w14:paraId="0EAE30FB"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p>
        </w:tc>
        <w:tc>
          <w:tcPr>
            <w:tcW w:w="1713" w:type="dxa"/>
            <w:tcBorders>
              <w:top w:val="nil"/>
              <w:left w:val="single" w:sz="4" w:space="0" w:color="auto"/>
              <w:bottom w:val="nil"/>
              <w:right w:val="nil"/>
            </w:tcBorders>
            <w:shd w:val="clear" w:color="auto" w:fill="auto"/>
            <w:vAlign w:val="center"/>
          </w:tcPr>
          <w:p w14:paraId="4B99C3CE" w14:textId="77777777" w:rsidR="00340C4A" w:rsidRPr="00EB4C96" w:rsidRDefault="00340C4A" w:rsidP="00EB4C96">
            <w:pPr>
              <w:keepNext/>
              <w:spacing w:after="0" w:line="360" w:lineRule="auto"/>
              <w:jc w:val="both"/>
              <w:rPr>
                <w:rFonts w:ascii="Arial" w:eastAsia="Times New Roman" w:hAnsi="Arial" w:cs="Arial"/>
                <w:sz w:val="24"/>
                <w:szCs w:val="24"/>
                <w:lang w:val="en-AU"/>
              </w:rPr>
            </w:pPr>
            <w:r w:rsidRPr="00EB4C96">
              <w:rPr>
                <w:rFonts w:ascii="Arial" w:eastAsia="Times New Roman" w:hAnsi="Arial" w:cs="Arial"/>
                <w:sz w:val="24"/>
                <w:szCs w:val="24"/>
                <w:lang w:val="en-AU"/>
              </w:rPr>
              <w:t>Module Code:</w:t>
            </w:r>
          </w:p>
        </w:tc>
        <w:tc>
          <w:tcPr>
            <w:tcW w:w="3107" w:type="dxa"/>
            <w:gridSpan w:val="2"/>
            <w:tcBorders>
              <w:top w:val="dashed" w:sz="4" w:space="0" w:color="auto"/>
              <w:left w:val="nil"/>
              <w:bottom w:val="dashed" w:sz="4" w:space="0" w:color="auto"/>
              <w:right w:val="single" w:sz="4" w:space="0" w:color="auto"/>
            </w:tcBorders>
            <w:shd w:val="clear" w:color="auto" w:fill="auto"/>
            <w:vAlign w:val="center"/>
          </w:tcPr>
          <w:p w14:paraId="64F99FA2" w14:textId="78027660" w:rsidR="00340C4A" w:rsidRPr="00EB4C96" w:rsidRDefault="00340C4A" w:rsidP="00EB4C96">
            <w:pPr>
              <w:keepNext/>
              <w:spacing w:after="0" w:line="360" w:lineRule="auto"/>
              <w:jc w:val="both"/>
              <w:rPr>
                <w:rFonts w:ascii="Arial" w:eastAsia="Times New Roman" w:hAnsi="Arial" w:cs="Arial"/>
                <w:b/>
                <w:sz w:val="24"/>
                <w:szCs w:val="24"/>
                <w:lang w:val="en-AU"/>
              </w:rPr>
            </w:pPr>
            <w:r w:rsidRPr="00EB4C96">
              <w:rPr>
                <w:rFonts w:ascii="Arial" w:eastAsia="Times New Roman" w:hAnsi="Arial" w:cs="Arial"/>
                <w:b/>
                <w:sz w:val="24"/>
                <w:szCs w:val="24"/>
                <w:lang w:val="en-AU"/>
              </w:rPr>
              <w:t>BMIH</w:t>
            </w:r>
            <w:r w:rsidR="008B3DE6" w:rsidRPr="00EB4C96">
              <w:rPr>
                <w:rFonts w:ascii="Arial" w:eastAsia="Times New Roman" w:hAnsi="Arial" w:cs="Arial"/>
                <w:b/>
                <w:sz w:val="24"/>
                <w:szCs w:val="24"/>
                <w:lang w:val="en-AU"/>
              </w:rPr>
              <w:t>500</w:t>
            </w:r>
            <w:r w:rsidR="00B71C4E" w:rsidRPr="00EB4C96">
              <w:rPr>
                <w:rFonts w:ascii="Arial" w:eastAsia="Times New Roman" w:hAnsi="Arial" w:cs="Arial"/>
                <w:b/>
                <w:sz w:val="24"/>
                <w:szCs w:val="24"/>
                <w:lang w:val="en-AU"/>
              </w:rPr>
              <w:t>3</w:t>
            </w:r>
          </w:p>
        </w:tc>
      </w:tr>
      <w:tr w:rsidR="00340C4A" w:rsidRPr="00EB4C96" w14:paraId="6F94AF3C" w14:textId="77777777" w:rsidTr="00132DBC">
        <w:trPr>
          <w:trHeight w:val="465"/>
          <w:jc w:val="center"/>
        </w:trPr>
        <w:tc>
          <w:tcPr>
            <w:tcW w:w="5807" w:type="dxa"/>
            <w:vMerge/>
            <w:tcBorders>
              <w:left w:val="single" w:sz="4" w:space="0" w:color="auto"/>
              <w:right w:val="single" w:sz="4" w:space="0" w:color="auto"/>
            </w:tcBorders>
            <w:shd w:val="clear" w:color="auto" w:fill="auto"/>
          </w:tcPr>
          <w:p w14:paraId="30822F6B"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p>
        </w:tc>
        <w:tc>
          <w:tcPr>
            <w:tcW w:w="1713" w:type="dxa"/>
            <w:tcBorders>
              <w:top w:val="nil"/>
              <w:left w:val="single" w:sz="4" w:space="0" w:color="auto"/>
              <w:bottom w:val="nil"/>
              <w:right w:val="nil"/>
            </w:tcBorders>
            <w:shd w:val="clear" w:color="auto" w:fill="auto"/>
            <w:vAlign w:val="center"/>
          </w:tcPr>
          <w:p w14:paraId="0D61ED2C" w14:textId="77777777" w:rsidR="00340C4A" w:rsidRPr="00EB4C96" w:rsidRDefault="00340C4A" w:rsidP="00EB4C96">
            <w:pPr>
              <w:keepNext/>
              <w:spacing w:after="0" w:line="360" w:lineRule="auto"/>
              <w:jc w:val="both"/>
              <w:rPr>
                <w:rFonts w:ascii="Arial" w:eastAsia="Times New Roman" w:hAnsi="Arial" w:cs="Arial"/>
                <w:sz w:val="24"/>
                <w:szCs w:val="24"/>
                <w:lang w:val="en-AU"/>
              </w:rPr>
            </w:pPr>
            <w:r w:rsidRPr="00EB4C96">
              <w:rPr>
                <w:rFonts w:ascii="Arial" w:eastAsia="Times New Roman" w:hAnsi="Arial" w:cs="Arial"/>
                <w:sz w:val="24"/>
                <w:szCs w:val="24"/>
                <w:lang w:val="en-AU"/>
              </w:rPr>
              <w:t>Lecturer:</w:t>
            </w:r>
          </w:p>
        </w:tc>
        <w:tc>
          <w:tcPr>
            <w:tcW w:w="3107" w:type="dxa"/>
            <w:gridSpan w:val="2"/>
            <w:tcBorders>
              <w:top w:val="dashed" w:sz="4" w:space="0" w:color="auto"/>
              <w:left w:val="nil"/>
              <w:bottom w:val="dashed" w:sz="4" w:space="0" w:color="auto"/>
              <w:right w:val="single" w:sz="4" w:space="0" w:color="auto"/>
            </w:tcBorders>
            <w:shd w:val="clear" w:color="auto" w:fill="auto"/>
            <w:vAlign w:val="center"/>
          </w:tcPr>
          <w:p w14:paraId="00D46789" w14:textId="5A921806" w:rsidR="00340C4A" w:rsidRPr="00EB4C96" w:rsidRDefault="00132DBC" w:rsidP="00EB4C96">
            <w:pPr>
              <w:keepNext/>
              <w:spacing w:after="0" w:line="360" w:lineRule="auto"/>
              <w:jc w:val="both"/>
              <w:rPr>
                <w:rFonts w:ascii="Arial" w:eastAsia="Times New Roman" w:hAnsi="Arial" w:cs="Arial"/>
                <w:b/>
                <w:sz w:val="24"/>
                <w:szCs w:val="24"/>
                <w:lang w:val="en-AU"/>
              </w:rPr>
            </w:pPr>
            <w:r w:rsidRPr="00132DBC">
              <w:rPr>
                <w:rFonts w:ascii="Arial" w:eastAsia="Times New Roman" w:hAnsi="Arial" w:cs="Arial"/>
                <w:b/>
                <w:sz w:val="24"/>
                <w:szCs w:val="24"/>
                <w:lang w:val="en-AU"/>
              </w:rPr>
              <w:t>Scott James</w:t>
            </w:r>
          </w:p>
        </w:tc>
      </w:tr>
      <w:tr w:rsidR="008C00AC" w:rsidRPr="00EB4C96" w14:paraId="282E5400" w14:textId="77777777" w:rsidTr="00132DBC">
        <w:trPr>
          <w:trHeight w:val="465"/>
          <w:jc w:val="center"/>
        </w:trPr>
        <w:tc>
          <w:tcPr>
            <w:tcW w:w="5807" w:type="dxa"/>
            <w:vMerge/>
            <w:tcBorders>
              <w:left w:val="single" w:sz="4" w:space="0" w:color="auto"/>
              <w:right w:val="single" w:sz="4" w:space="0" w:color="auto"/>
            </w:tcBorders>
            <w:shd w:val="clear" w:color="auto" w:fill="auto"/>
          </w:tcPr>
          <w:p w14:paraId="308F1AEF" w14:textId="77777777" w:rsidR="008C00AC" w:rsidRPr="00EB4C96" w:rsidRDefault="008C00AC" w:rsidP="00EB4C96">
            <w:pPr>
              <w:keepNext/>
              <w:spacing w:after="0" w:line="360" w:lineRule="auto"/>
              <w:jc w:val="both"/>
              <w:rPr>
                <w:rFonts w:ascii="Arial" w:eastAsia="Times New Roman" w:hAnsi="Arial" w:cs="Arial"/>
                <w:b/>
                <w:sz w:val="24"/>
                <w:szCs w:val="24"/>
                <w:lang w:val="en-AU"/>
              </w:rPr>
            </w:pPr>
          </w:p>
        </w:tc>
        <w:tc>
          <w:tcPr>
            <w:tcW w:w="1713" w:type="dxa"/>
            <w:tcBorders>
              <w:top w:val="nil"/>
              <w:left w:val="single" w:sz="4" w:space="0" w:color="auto"/>
              <w:bottom w:val="nil"/>
              <w:right w:val="nil"/>
            </w:tcBorders>
            <w:shd w:val="clear" w:color="auto" w:fill="auto"/>
            <w:vAlign w:val="center"/>
          </w:tcPr>
          <w:p w14:paraId="7D091A43" w14:textId="389EE1FD" w:rsidR="008C00AC" w:rsidRPr="00EB4C96" w:rsidRDefault="008C00AC" w:rsidP="00EB4C96">
            <w:pPr>
              <w:keepNext/>
              <w:spacing w:after="0" w:line="360" w:lineRule="auto"/>
              <w:jc w:val="both"/>
              <w:rPr>
                <w:rFonts w:ascii="Arial" w:eastAsia="Times New Roman" w:hAnsi="Arial" w:cs="Arial"/>
                <w:sz w:val="24"/>
                <w:szCs w:val="24"/>
                <w:lang w:val="en-AU"/>
              </w:rPr>
            </w:pPr>
            <w:r w:rsidRPr="00EB4C96">
              <w:rPr>
                <w:rFonts w:ascii="Arial" w:eastAsia="Times New Roman" w:hAnsi="Arial" w:cs="Arial"/>
                <w:sz w:val="24"/>
                <w:szCs w:val="24"/>
                <w:lang w:val="en-AU"/>
              </w:rPr>
              <w:t>Words:</w:t>
            </w:r>
          </w:p>
        </w:tc>
        <w:tc>
          <w:tcPr>
            <w:tcW w:w="3107" w:type="dxa"/>
            <w:gridSpan w:val="2"/>
            <w:tcBorders>
              <w:top w:val="dashed" w:sz="4" w:space="0" w:color="auto"/>
              <w:left w:val="nil"/>
              <w:bottom w:val="dashed" w:sz="4" w:space="0" w:color="auto"/>
              <w:right w:val="single" w:sz="4" w:space="0" w:color="auto"/>
            </w:tcBorders>
            <w:shd w:val="clear" w:color="auto" w:fill="auto"/>
            <w:vAlign w:val="center"/>
          </w:tcPr>
          <w:p w14:paraId="61417B91" w14:textId="7A55157C" w:rsidR="008C00AC" w:rsidRPr="00EB4C96" w:rsidRDefault="00444241" w:rsidP="00EB4C96">
            <w:pPr>
              <w:keepNext/>
              <w:spacing w:after="0" w:line="360" w:lineRule="auto"/>
              <w:jc w:val="both"/>
              <w:rPr>
                <w:rFonts w:ascii="Arial" w:eastAsia="Times New Roman" w:hAnsi="Arial" w:cs="Arial"/>
                <w:b/>
                <w:sz w:val="24"/>
                <w:szCs w:val="24"/>
                <w:lang w:val="en-AU"/>
              </w:rPr>
            </w:pPr>
            <w:r>
              <w:rPr>
                <w:rFonts w:ascii="Arial" w:eastAsia="Times New Roman" w:hAnsi="Arial" w:cs="Arial"/>
                <w:b/>
                <w:sz w:val="24"/>
                <w:szCs w:val="24"/>
                <w:lang w:val="en-AU"/>
              </w:rPr>
              <w:t>1944</w:t>
            </w:r>
          </w:p>
        </w:tc>
      </w:tr>
      <w:tr w:rsidR="00340C4A" w:rsidRPr="00EB4C96" w14:paraId="48B40893" w14:textId="77777777" w:rsidTr="00132DBC">
        <w:trPr>
          <w:trHeight w:val="19"/>
          <w:jc w:val="center"/>
        </w:trPr>
        <w:tc>
          <w:tcPr>
            <w:tcW w:w="5807" w:type="dxa"/>
            <w:vMerge/>
            <w:tcBorders>
              <w:left w:val="single" w:sz="4" w:space="0" w:color="auto"/>
              <w:bottom w:val="single" w:sz="4" w:space="0" w:color="auto"/>
              <w:right w:val="single" w:sz="4" w:space="0" w:color="auto"/>
            </w:tcBorders>
            <w:shd w:val="clear" w:color="auto" w:fill="auto"/>
          </w:tcPr>
          <w:p w14:paraId="3613810B"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p>
        </w:tc>
        <w:tc>
          <w:tcPr>
            <w:tcW w:w="2400" w:type="dxa"/>
            <w:gridSpan w:val="2"/>
            <w:tcBorders>
              <w:top w:val="nil"/>
              <w:left w:val="single" w:sz="4" w:space="0" w:color="auto"/>
              <w:bottom w:val="single" w:sz="4" w:space="0" w:color="auto"/>
              <w:right w:val="nil"/>
            </w:tcBorders>
            <w:shd w:val="clear" w:color="auto" w:fill="auto"/>
            <w:vAlign w:val="center"/>
          </w:tcPr>
          <w:p w14:paraId="254A45C2" w14:textId="77777777" w:rsidR="00340C4A" w:rsidRPr="00EB4C96" w:rsidRDefault="00340C4A" w:rsidP="00EB4C96">
            <w:pPr>
              <w:keepNext/>
              <w:spacing w:after="0" w:line="360" w:lineRule="auto"/>
              <w:jc w:val="both"/>
              <w:rPr>
                <w:rFonts w:ascii="Arial" w:eastAsia="Times New Roman" w:hAnsi="Arial" w:cs="Arial"/>
                <w:bCs/>
                <w:sz w:val="24"/>
                <w:szCs w:val="24"/>
                <w:lang w:val="en-AU"/>
              </w:rPr>
            </w:pPr>
          </w:p>
        </w:tc>
        <w:tc>
          <w:tcPr>
            <w:tcW w:w="2420" w:type="dxa"/>
            <w:tcBorders>
              <w:top w:val="dashed" w:sz="4" w:space="0" w:color="auto"/>
              <w:left w:val="nil"/>
              <w:bottom w:val="single" w:sz="4" w:space="0" w:color="auto"/>
              <w:right w:val="single" w:sz="4" w:space="0" w:color="auto"/>
            </w:tcBorders>
            <w:shd w:val="clear" w:color="auto" w:fill="auto"/>
            <w:vAlign w:val="center"/>
          </w:tcPr>
          <w:p w14:paraId="2D62F73F" w14:textId="77777777" w:rsidR="00340C4A" w:rsidRPr="00EB4C96" w:rsidRDefault="00340C4A" w:rsidP="00EB4C96">
            <w:pPr>
              <w:keepNext/>
              <w:spacing w:after="0" w:line="360" w:lineRule="auto"/>
              <w:jc w:val="both"/>
              <w:rPr>
                <w:rFonts w:ascii="Arial" w:eastAsia="Times New Roman" w:hAnsi="Arial" w:cs="Arial"/>
                <w:b/>
                <w:sz w:val="24"/>
                <w:szCs w:val="24"/>
                <w:lang w:val="en-AU"/>
              </w:rPr>
            </w:pPr>
          </w:p>
        </w:tc>
      </w:tr>
    </w:tbl>
    <w:p w14:paraId="0BB464B4" w14:textId="0B119DFA" w:rsidR="00EB4C96" w:rsidRPr="00EB4C96" w:rsidRDefault="00EB4C96" w:rsidP="00EB4C96">
      <w:pPr>
        <w:spacing w:line="360" w:lineRule="auto"/>
        <w:jc w:val="both"/>
        <w:rPr>
          <w:rFonts w:ascii="Arial" w:hAnsi="Arial" w:cs="Arial"/>
          <w:sz w:val="24"/>
          <w:szCs w:val="24"/>
        </w:rPr>
      </w:pPr>
    </w:p>
    <w:p w14:paraId="3DE64069"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br w:type="page"/>
      </w:r>
    </w:p>
    <w:sdt>
      <w:sdtPr>
        <w:id w:val="7491987"/>
        <w:docPartObj>
          <w:docPartGallery w:val="Table of Contents"/>
          <w:docPartUnique/>
        </w:docPartObj>
      </w:sdtPr>
      <w:sdtEndPr>
        <w:rPr>
          <w:rFonts w:ascii="Arial" w:hAnsi="Arial" w:cs="Arial"/>
          <w:b/>
          <w:bCs/>
          <w:sz w:val="24"/>
          <w:szCs w:val="24"/>
        </w:rPr>
      </w:sdtEndPr>
      <w:sdtContent>
        <w:p w14:paraId="469DAE04" w14:textId="47AAD84E" w:rsidR="00367CBB" w:rsidRPr="002E63AC" w:rsidRDefault="00367CBB" w:rsidP="002E63AC">
          <w:pPr>
            <w:spacing w:line="360" w:lineRule="auto"/>
            <w:jc w:val="both"/>
            <w:rPr>
              <w:rFonts w:ascii="Arial" w:hAnsi="Arial" w:cs="Arial"/>
              <w:b/>
              <w:bCs/>
              <w:sz w:val="24"/>
              <w:szCs w:val="24"/>
            </w:rPr>
          </w:pPr>
          <w:r w:rsidRPr="002E63AC">
            <w:rPr>
              <w:rFonts w:ascii="Arial" w:hAnsi="Arial" w:cs="Arial"/>
              <w:b/>
              <w:bCs/>
              <w:sz w:val="24"/>
              <w:szCs w:val="24"/>
            </w:rPr>
            <w:t>Contents</w:t>
          </w:r>
        </w:p>
        <w:p w14:paraId="24A69CE2" w14:textId="4BB56EE3" w:rsidR="002E63AC" w:rsidRPr="002E63AC" w:rsidRDefault="00367CBB"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r w:rsidRPr="002E63AC">
            <w:rPr>
              <w:rFonts w:ascii="Arial" w:hAnsi="Arial" w:cs="Arial"/>
              <w:sz w:val="24"/>
              <w:szCs w:val="24"/>
            </w:rPr>
            <w:fldChar w:fldCharType="begin"/>
          </w:r>
          <w:r w:rsidRPr="002E63AC">
            <w:rPr>
              <w:rFonts w:ascii="Arial" w:hAnsi="Arial" w:cs="Arial"/>
              <w:sz w:val="24"/>
              <w:szCs w:val="24"/>
            </w:rPr>
            <w:instrText xml:space="preserve"> TOC \o "1-3" \h \z \u </w:instrText>
          </w:r>
          <w:r w:rsidRPr="002E63AC">
            <w:rPr>
              <w:rFonts w:ascii="Arial" w:hAnsi="Arial" w:cs="Arial"/>
              <w:sz w:val="24"/>
              <w:szCs w:val="24"/>
            </w:rPr>
            <w:fldChar w:fldCharType="separate"/>
          </w:r>
          <w:hyperlink w:anchor="_Toc168297067" w:history="1">
            <w:r w:rsidR="002E63AC" w:rsidRPr="002E63AC">
              <w:rPr>
                <w:rStyle w:val="Hyperlink"/>
                <w:rFonts w:ascii="Arial" w:hAnsi="Arial" w:cs="Arial"/>
                <w:noProof/>
                <w:sz w:val="24"/>
                <w:szCs w:val="24"/>
              </w:rPr>
              <w:t>Introduction</w:t>
            </w:r>
            <w:r w:rsidR="002E63AC" w:rsidRPr="002E63AC">
              <w:rPr>
                <w:rFonts w:ascii="Arial" w:hAnsi="Arial" w:cs="Arial"/>
                <w:noProof/>
                <w:webHidden/>
                <w:sz w:val="24"/>
                <w:szCs w:val="24"/>
              </w:rPr>
              <w:tab/>
            </w:r>
            <w:r w:rsidR="002E63AC" w:rsidRPr="002E63AC">
              <w:rPr>
                <w:rFonts w:ascii="Arial" w:hAnsi="Arial" w:cs="Arial"/>
                <w:noProof/>
                <w:webHidden/>
                <w:sz w:val="24"/>
                <w:szCs w:val="24"/>
              </w:rPr>
              <w:fldChar w:fldCharType="begin"/>
            </w:r>
            <w:r w:rsidR="002E63AC" w:rsidRPr="002E63AC">
              <w:rPr>
                <w:rFonts w:ascii="Arial" w:hAnsi="Arial" w:cs="Arial"/>
                <w:noProof/>
                <w:webHidden/>
                <w:sz w:val="24"/>
                <w:szCs w:val="24"/>
              </w:rPr>
              <w:instrText xml:space="preserve"> PAGEREF _Toc168297067 \h </w:instrText>
            </w:r>
            <w:r w:rsidR="002E63AC" w:rsidRPr="002E63AC">
              <w:rPr>
                <w:rFonts w:ascii="Arial" w:hAnsi="Arial" w:cs="Arial"/>
                <w:noProof/>
                <w:webHidden/>
                <w:sz w:val="24"/>
                <w:szCs w:val="24"/>
              </w:rPr>
            </w:r>
            <w:r w:rsidR="002E63AC" w:rsidRPr="002E63AC">
              <w:rPr>
                <w:rFonts w:ascii="Arial" w:hAnsi="Arial" w:cs="Arial"/>
                <w:noProof/>
                <w:webHidden/>
                <w:sz w:val="24"/>
                <w:szCs w:val="24"/>
              </w:rPr>
              <w:fldChar w:fldCharType="separate"/>
            </w:r>
            <w:r w:rsidR="002E63AC" w:rsidRPr="002E63AC">
              <w:rPr>
                <w:rFonts w:ascii="Arial" w:hAnsi="Arial" w:cs="Arial"/>
                <w:noProof/>
                <w:webHidden/>
                <w:sz w:val="24"/>
                <w:szCs w:val="24"/>
              </w:rPr>
              <w:t>3</w:t>
            </w:r>
            <w:r w:rsidR="002E63AC" w:rsidRPr="002E63AC">
              <w:rPr>
                <w:rFonts w:ascii="Arial" w:hAnsi="Arial" w:cs="Arial"/>
                <w:noProof/>
                <w:webHidden/>
                <w:sz w:val="24"/>
                <w:szCs w:val="24"/>
              </w:rPr>
              <w:fldChar w:fldCharType="end"/>
            </w:r>
          </w:hyperlink>
        </w:p>
        <w:p w14:paraId="26DD5BED" w14:textId="53542C8D" w:rsidR="002E63AC" w:rsidRPr="002E63AC" w:rsidRDefault="002E63AC"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hyperlink w:anchor="_Toc168297068" w:history="1">
            <w:r w:rsidRPr="002E63AC">
              <w:rPr>
                <w:rStyle w:val="Hyperlink"/>
                <w:rFonts w:ascii="Arial" w:hAnsi="Arial" w:cs="Arial"/>
                <w:noProof/>
                <w:sz w:val="24"/>
                <w:szCs w:val="24"/>
              </w:rPr>
              <w:t>Impact of socio-economic factors on employee performance management and monitoring</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_Toc168297068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3</w:t>
            </w:r>
            <w:r w:rsidRPr="002E63AC">
              <w:rPr>
                <w:rFonts w:ascii="Arial" w:hAnsi="Arial" w:cs="Arial"/>
                <w:noProof/>
                <w:webHidden/>
                <w:sz w:val="24"/>
                <w:szCs w:val="24"/>
              </w:rPr>
              <w:fldChar w:fldCharType="end"/>
            </w:r>
          </w:hyperlink>
        </w:p>
        <w:p w14:paraId="151C5410" w14:textId="2C83BD97" w:rsidR="002E63AC" w:rsidRPr="002E63AC" w:rsidRDefault="002E63AC"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hyperlink w:anchor="_Toc168297069" w:history="1">
            <w:r w:rsidRPr="002E63AC">
              <w:rPr>
                <w:rStyle w:val="Hyperlink"/>
                <w:rFonts w:ascii="Arial" w:hAnsi="Arial" w:cs="Arial"/>
                <w:noProof/>
                <w:sz w:val="24"/>
                <w:szCs w:val="24"/>
              </w:rPr>
              <w:t>Industry examples</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_Toc168297069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4</w:t>
            </w:r>
            <w:r w:rsidRPr="002E63AC">
              <w:rPr>
                <w:rFonts w:ascii="Arial" w:hAnsi="Arial" w:cs="Arial"/>
                <w:noProof/>
                <w:webHidden/>
                <w:sz w:val="24"/>
                <w:szCs w:val="24"/>
              </w:rPr>
              <w:fldChar w:fldCharType="end"/>
            </w:r>
          </w:hyperlink>
        </w:p>
        <w:p w14:paraId="7AD1AFCB" w14:textId="33345612" w:rsidR="002E63AC" w:rsidRPr="002E63AC" w:rsidRDefault="002E63AC"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hyperlink w:anchor="_Toc168297070" w:history="1">
            <w:r w:rsidRPr="002E63AC">
              <w:rPr>
                <w:rStyle w:val="Hyperlink"/>
                <w:rFonts w:ascii="Arial" w:hAnsi="Arial" w:cs="Arial"/>
                <w:noProof/>
                <w:sz w:val="24"/>
                <w:szCs w:val="24"/>
              </w:rPr>
              <w:t>Potential solutions</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_Toc168297070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5</w:t>
            </w:r>
            <w:r w:rsidRPr="002E63AC">
              <w:rPr>
                <w:rFonts w:ascii="Arial" w:hAnsi="Arial" w:cs="Arial"/>
                <w:noProof/>
                <w:webHidden/>
                <w:sz w:val="24"/>
                <w:szCs w:val="24"/>
              </w:rPr>
              <w:fldChar w:fldCharType="end"/>
            </w:r>
          </w:hyperlink>
        </w:p>
        <w:p w14:paraId="5951F19C" w14:textId="02661710" w:rsidR="002E63AC" w:rsidRPr="002E63AC" w:rsidRDefault="002E63AC"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hyperlink w:anchor="_Toc168297071" w:history="1">
            <w:r w:rsidRPr="002E63AC">
              <w:rPr>
                <w:rStyle w:val="Hyperlink"/>
                <w:rFonts w:ascii="Arial" w:hAnsi="Arial" w:cs="Arial"/>
                <w:noProof/>
                <w:sz w:val="24"/>
                <w:szCs w:val="24"/>
              </w:rPr>
              <w:t>Evaluation and Recommendations</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_Toc168297071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6</w:t>
            </w:r>
            <w:r w:rsidRPr="002E63AC">
              <w:rPr>
                <w:rFonts w:ascii="Arial" w:hAnsi="Arial" w:cs="Arial"/>
                <w:noProof/>
                <w:webHidden/>
                <w:sz w:val="24"/>
                <w:szCs w:val="24"/>
              </w:rPr>
              <w:fldChar w:fldCharType="end"/>
            </w:r>
          </w:hyperlink>
        </w:p>
        <w:p w14:paraId="37AED90C" w14:textId="5F412A16" w:rsidR="002E63AC" w:rsidRPr="002E63AC" w:rsidRDefault="002E63AC" w:rsidP="002E63AC">
          <w:pPr>
            <w:pStyle w:val="TOC2"/>
            <w:tabs>
              <w:tab w:val="right" w:leader="dot" w:pos="9736"/>
            </w:tabs>
            <w:spacing w:line="360" w:lineRule="auto"/>
            <w:jc w:val="both"/>
            <w:rPr>
              <w:rFonts w:ascii="Arial" w:eastAsiaTheme="minorEastAsia" w:hAnsi="Arial" w:cs="Arial"/>
              <w:noProof/>
              <w:kern w:val="2"/>
              <w:sz w:val="24"/>
              <w:szCs w:val="24"/>
              <w:lang w:eastAsia="en-GB"/>
            </w:rPr>
          </w:pPr>
          <w:hyperlink w:anchor="_Toc168297072" w:history="1">
            <w:r w:rsidRPr="002E63AC">
              <w:rPr>
                <w:rStyle w:val="Hyperlink"/>
                <w:rFonts w:ascii="Arial" w:hAnsi="Arial" w:cs="Arial"/>
                <w:noProof/>
                <w:sz w:val="24"/>
                <w:szCs w:val="24"/>
              </w:rPr>
              <w:t>Evaluation</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_Toc168297072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6</w:t>
            </w:r>
            <w:r w:rsidRPr="002E63AC">
              <w:rPr>
                <w:rFonts w:ascii="Arial" w:hAnsi="Arial" w:cs="Arial"/>
                <w:noProof/>
                <w:webHidden/>
                <w:sz w:val="24"/>
                <w:szCs w:val="24"/>
              </w:rPr>
              <w:fldChar w:fldCharType="end"/>
            </w:r>
          </w:hyperlink>
        </w:p>
        <w:p w14:paraId="49C96000" w14:textId="48FAE0DB" w:rsidR="002E63AC" w:rsidRPr="002E63AC" w:rsidRDefault="002E63AC" w:rsidP="002E63AC">
          <w:pPr>
            <w:pStyle w:val="TOC2"/>
            <w:tabs>
              <w:tab w:val="right" w:leader="dot" w:pos="9736"/>
            </w:tabs>
            <w:spacing w:line="360" w:lineRule="auto"/>
            <w:jc w:val="both"/>
            <w:rPr>
              <w:rFonts w:ascii="Arial" w:eastAsiaTheme="minorEastAsia" w:hAnsi="Arial" w:cs="Arial"/>
              <w:noProof/>
              <w:kern w:val="2"/>
              <w:sz w:val="24"/>
              <w:szCs w:val="24"/>
              <w:lang w:eastAsia="en-GB"/>
            </w:rPr>
          </w:pPr>
          <w:hyperlink w:anchor="_Toc168297073" w:history="1">
            <w:r w:rsidRPr="002E63AC">
              <w:rPr>
                <w:rStyle w:val="Hyperlink"/>
                <w:rFonts w:ascii="Arial" w:hAnsi="Arial" w:cs="Arial"/>
                <w:noProof/>
                <w:sz w:val="24"/>
                <w:szCs w:val="24"/>
              </w:rPr>
              <w:t>Implications and Recommendations</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_Toc168297073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7</w:t>
            </w:r>
            <w:r w:rsidRPr="002E63AC">
              <w:rPr>
                <w:rFonts w:ascii="Arial" w:hAnsi="Arial" w:cs="Arial"/>
                <w:noProof/>
                <w:webHidden/>
                <w:sz w:val="24"/>
                <w:szCs w:val="24"/>
              </w:rPr>
              <w:fldChar w:fldCharType="end"/>
            </w:r>
          </w:hyperlink>
        </w:p>
        <w:p w14:paraId="4D74B425" w14:textId="78A0E095" w:rsidR="002E63AC" w:rsidRPr="002E63AC" w:rsidRDefault="002E63AC"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hyperlink w:anchor="_Toc168297074" w:history="1">
            <w:r w:rsidRPr="002E63AC">
              <w:rPr>
                <w:rStyle w:val="Hyperlink"/>
                <w:rFonts w:ascii="Arial" w:hAnsi="Arial" w:cs="Arial"/>
                <w:noProof/>
                <w:sz w:val="24"/>
                <w:szCs w:val="24"/>
              </w:rPr>
              <w:t>Conclusion</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_Toc168297074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9</w:t>
            </w:r>
            <w:r w:rsidRPr="002E63AC">
              <w:rPr>
                <w:rFonts w:ascii="Arial" w:hAnsi="Arial" w:cs="Arial"/>
                <w:noProof/>
                <w:webHidden/>
                <w:sz w:val="24"/>
                <w:szCs w:val="24"/>
              </w:rPr>
              <w:fldChar w:fldCharType="end"/>
            </w:r>
          </w:hyperlink>
        </w:p>
        <w:p w14:paraId="112FC89C" w14:textId="02C024AF" w:rsidR="002E63AC" w:rsidRPr="002E63AC" w:rsidRDefault="002E63AC" w:rsidP="002E63AC">
          <w:pPr>
            <w:pStyle w:val="TOC1"/>
            <w:tabs>
              <w:tab w:val="right" w:leader="dot" w:pos="9736"/>
            </w:tabs>
            <w:spacing w:line="360" w:lineRule="auto"/>
            <w:jc w:val="both"/>
            <w:rPr>
              <w:rFonts w:ascii="Arial" w:eastAsiaTheme="minorEastAsia" w:hAnsi="Arial" w:cs="Arial"/>
              <w:noProof/>
              <w:kern w:val="2"/>
              <w:sz w:val="24"/>
              <w:szCs w:val="24"/>
              <w:lang w:eastAsia="en-GB"/>
            </w:rPr>
          </w:pPr>
          <w:hyperlink w:anchor="_Toc168297075" w:history="1">
            <w:r w:rsidRPr="002E63AC">
              <w:rPr>
                <w:rStyle w:val="Hyperlink"/>
                <w:rFonts w:ascii="Arial" w:hAnsi="Arial" w:cs="Arial"/>
                <w:noProof/>
                <w:sz w:val="24"/>
                <w:szCs w:val="24"/>
              </w:rPr>
              <w:t>Reference</w:t>
            </w:r>
            <w:r w:rsidRPr="002E63AC">
              <w:rPr>
                <w:rFonts w:ascii="Arial" w:hAnsi="Arial" w:cs="Arial"/>
                <w:noProof/>
                <w:webHidden/>
                <w:sz w:val="24"/>
                <w:szCs w:val="24"/>
              </w:rPr>
              <w:tab/>
            </w:r>
            <w:r w:rsidRPr="002E63AC">
              <w:rPr>
                <w:rFonts w:ascii="Arial" w:hAnsi="Arial" w:cs="Arial"/>
                <w:noProof/>
                <w:webHidden/>
                <w:sz w:val="24"/>
                <w:szCs w:val="24"/>
              </w:rPr>
              <w:fldChar w:fldCharType="begin"/>
            </w:r>
            <w:r w:rsidRPr="002E63AC">
              <w:rPr>
                <w:rFonts w:ascii="Arial" w:hAnsi="Arial" w:cs="Arial"/>
                <w:noProof/>
                <w:webHidden/>
                <w:sz w:val="24"/>
                <w:szCs w:val="24"/>
              </w:rPr>
              <w:instrText xml:space="preserve"> PAGEREF _Toc168297075 \h </w:instrText>
            </w:r>
            <w:r w:rsidRPr="002E63AC">
              <w:rPr>
                <w:rFonts w:ascii="Arial" w:hAnsi="Arial" w:cs="Arial"/>
                <w:noProof/>
                <w:webHidden/>
                <w:sz w:val="24"/>
                <w:szCs w:val="24"/>
              </w:rPr>
            </w:r>
            <w:r w:rsidRPr="002E63AC">
              <w:rPr>
                <w:rFonts w:ascii="Arial" w:hAnsi="Arial" w:cs="Arial"/>
                <w:noProof/>
                <w:webHidden/>
                <w:sz w:val="24"/>
                <w:szCs w:val="24"/>
              </w:rPr>
              <w:fldChar w:fldCharType="separate"/>
            </w:r>
            <w:r w:rsidRPr="002E63AC">
              <w:rPr>
                <w:rFonts w:ascii="Arial" w:hAnsi="Arial" w:cs="Arial"/>
                <w:noProof/>
                <w:webHidden/>
                <w:sz w:val="24"/>
                <w:szCs w:val="24"/>
              </w:rPr>
              <w:t>10</w:t>
            </w:r>
            <w:r w:rsidRPr="002E63AC">
              <w:rPr>
                <w:rFonts w:ascii="Arial" w:hAnsi="Arial" w:cs="Arial"/>
                <w:noProof/>
                <w:webHidden/>
                <w:sz w:val="24"/>
                <w:szCs w:val="24"/>
              </w:rPr>
              <w:fldChar w:fldCharType="end"/>
            </w:r>
          </w:hyperlink>
        </w:p>
        <w:p w14:paraId="2A29A09A" w14:textId="712FC1FD" w:rsidR="00367CBB" w:rsidRPr="00367CBB" w:rsidRDefault="00367CBB" w:rsidP="002E63AC">
          <w:pPr>
            <w:spacing w:line="360" w:lineRule="auto"/>
            <w:jc w:val="both"/>
            <w:rPr>
              <w:rFonts w:ascii="Arial" w:hAnsi="Arial" w:cs="Arial"/>
              <w:sz w:val="24"/>
              <w:szCs w:val="24"/>
            </w:rPr>
          </w:pPr>
          <w:r w:rsidRPr="002E63AC">
            <w:rPr>
              <w:rFonts w:ascii="Arial" w:hAnsi="Arial" w:cs="Arial"/>
              <w:b/>
              <w:bCs/>
              <w:sz w:val="24"/>
              <w:szCs w:val="24"/>
            </w:rPr>
            <w:fldChar w:fldCharType="end"/>
          </w:r>
        </w:p>
      </w:sdtContent>
    </w:sdt>
    <w:p w14:paraId="3C4A57A8" w14:textId="4541C5A6"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br w:type="page"/>
      </w:r>
    </w:p>
    <w:p w14:paraId="2C6385EE" w14:textId="77777777" w:rsidR="000F6127" w:rsidRDefault="000F6127" w:rsidP="000F6127">
      <w:pPr>
        <w:pStyle w:val="Heading1"/>
      </w:pPr>
      <w:bookmarkStart w:id="0" w:name="_Toc168297067"/>
      <w:r>
        <w:lastRenderedPageBreak/>
        <w:t>Introduction</w:t>
      </w:r>
      <w:bookmarkEnd w:id="0"/>
    </w:p>
    <w:p w14:paraId="06DA4BB5" w14:textId="266035B8"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The hospitality industry is constantly at a crossroads or is in a state of transition. As socio-economic landscapes evolve, a critical challenge </w:t>
      </w:r>
      <w:r w:rsidR="00597BB9" w:rsidRPr="00EB4C96">
        <w:rPr>
          <w:rFonts w:ascii="Arial" w:hAnsi="Arial" w:cs="Arial"/>
          <w:sz w:val="24"/>
          <w:szCs w:val="24"/>
        </w:rPr>
        <w:t>emerges</w:t>
      </w:r>
      <w:r w:rsidRPr="00EB4C96">
        <w:rPr>
          <w:rFonts w:ascii="Arial" w:hAnsi="Arial" w:cs="Arial"/>
          <w:sz w:val="24"/>
          <w:szCs w:val="24"/>
        </w:rPr>
        <w:t xml:space="preserve"> modifying the conventional approaches to performance management </w:t>
      </w:r>
      <w:r w:rsidR="008126FB">
        <w:rPr>
          <w:rFonts w:ascii="Arial" w:hAnsi="Arial" w:cs="Arial"/>
          <w:sz w:val="24"/>
          <w:szCs w:val="24"/>
        </w:rPr>
        <w:t>and</w:t>
      </w:r>
      <w:r w:rsidRPr="00EB4C96">
        <w:rPr>
          <w:rFonts w:ascii="Arial" w:hAnsi="Arial" w:cs="Arial"/>
          <w:sz w:val="24"/>
          <w:szCs w:val="24"/>
        </w:rPr>
        <w:t xml:space="preserve"> using monitoring of employees to suit modern employees and business climate. This proposal will thus seek to fill a gap in promoting a more suitable performance management system for modern hospitality </w:t>
      </w:r>
      <w:r w:rsidR="00597BB9">
        <w:rPr>
          <w:rFonts w:ascii="Arial" w:hAnsi="Arial" w:cs="Arial"/>
          <w:sz w:val="24"/>
          <w:szCs w:val="24"/>
        </w:rPr>
        <w:t>o</w:t>
      </w:r>
      <w:r w:rsidRPr="00EB4C96">
        <w:rPr>
          <w:rFonts w:ascii="Arial" w:hAnsi="Arial" w:cs="Arial"/>
          <w:sz w:val="24"/>
          <w:szCs w:val="24"/>
        </w:rPr>
        <w:t>rgani</w:t>
      </w:r>
      <w:r w:rsidR="00555E5C">
        <w:rPr>
          <w:rFonts w:ascii="Arial" w:hAnsi="Arial" w:cs="Arial"/>
          <w:sz w:val="24"/>
          <w:szCs w:val="24"/>
        </w:rPr>
        <w:t>s</w:t>
      </w:r>
      <w:r w:rsidRPr="00EB4C96">
        <w:rPr>
          <w:rFonts w:ascii="Arial" w:hAnsi="Arial" w:cs="Arial"/>
          <w:sz w:val="24"/>
          <w:szCs w:val="24"/>
        </w:rPr>
        <w:t>ations. It will suggest the recommendations for Easy Hotel regarding the key directions to improve performance management and guarantee the company’s effective functioning in a challenging socio-economic environment.</w:t>
      </w:r>
    </w:p>
    <w:p w14:paraId="63D979A0" w14:textId="4F7D5BBB" w:rsidR="00EB4C96" w:rsidRDefault="00EB4C96" w:rsidP="00EB4C96">
      <w:pPr>
        <w:spacing w:line="360" w:lineRule="auto"/>
        <w:jc w:val="both"/>
        <w:rPr>
          <w:rFonts w:ascii="Arial" w:hAnsi="Arial" w:cs="Arial"/>
          <w:sz w:val="24"/>
          <w:szCs w:val="24"/>
        </w:rPr>
      </w:pPr>
      <w:r w:rsidRPr="00EB4C96">
        <w:rPr>
          <w:rFonts w:ascii="Arial" w:hAnsi="Arial" w:cs="Arial"/>
          <w:color w:val="000000" w:themeColor="text1"/>
          <w:sz w:val="24"/>
          <w:szCs w:val="24"/>
        </w:rPr>
        <w:t xml:space="preserve">EasyGroup’s hotel chain identified as </w:t>
      </w:r>
      <w:proofErr w:type="spellStart"/>
      <w:r w:rsidRPr="00EB4C96">
        <w:rPr>
          <w:rFonts w:ascii="Arial" w:hAnsi="Arial" w:cs="Arial"/>
          <w:color w:val="000000" w:themeColor="text1"/>
          <w:sz w:val="24"/>
          <w:szCs w:val="24"/>
        </w:rPr>
        <w:t>EasyHotel</w:t>
      </w:r>
      <w:proofErr w:type="spellEnd"/>
      <w:r w:rsidRPr="00EB4C96">
        <w:rPr>
          <w:rFonts w:ascii="Arial" w:hAnsi="Arial" w:cs="Arial"/>
          <w:color w:val="000000" w:themeColor="text1"/>
          <w:sz w:val="24"/>
          <w:szCs w:val="24"/>
        </w:rPr>
        <w:t xml:space="preserve"> was established in 1995 and has had a lot of success in providing no-nonsense bare bones, and cheap services (</w:t>
      </w:r>
      <w:proofErr w:type="spellStart"/>
      <w:r w:rsidRPr="00EB4C96">
        <w:rPr>
          <w:rFonts w:ascii="Arial" w:hAnsi="Arial" w:cs="Arial"/>
          <w:color w:val="000000" w:themeColor="text1"/>
          <w:sz w:val="24"/>
          <w:szCs w:val="24"/>
        </w:rPr>
        <w:t>EasyHotel</w:t>
      </w:r>
      <w:proofErr w:type="spellEnd"/>
      <w:r w:rsidRPr="00EB4C96">
        <w:rPr>
          <w:rFonts w:ascii="Arial" w:hAnsi="Arial" w:cs="Arial"/>
          <w:color w:val="000000" w:themeColor="text1"/>
          <w:sz w:val="24"/>
          <w:szCs w:val="24"/>
        </w:rPr>
        <w:t xml:space="preserve">, 2019). </w:t>
      </w:r>
      <w:r w:rsidRPr="00EB4C96">
        <w:rPr>
          <w:rFonts w:ascii="Arial" w:hAnsi="Arial" w:cs="Arial"/>
          <w:sz w:val="24"/>
          <w:szCs w:val="24"/>
        </w:rPr>
        <w:t xml:space="preserve">Due to their core competitiveness, efficient operation management, and lean staff structure; they have become one of the most representative enterprises in the low-end hotel market. However, this success story has gotten new risks. Today's working environment may be described as a situation with a high level of employee turnover and intensification of competition for personnel (Bruce Tracey, 2014). Also, more </w:t>
      </w:r>
      <w:r w:rsidR="005E7F11" w:rsidRPr="00EB4C96">
        <w:rPr>
          <w:rFonts w:ascii="Arial" w:hAnsi="Arial" w:cs="Arial"/>
          <w:sz w:val="24"/>
          <w:szCs w:val="24"/>
        </w:rPr>
        <w:t>social,</w:t>
      </w:r>
      <w:r w:rsidRPr="00EB4C96">
        <w:rPr>
          <w:rFonts w:ascii="Arial" w:hAnsi="Arial" w:cs="Arial"/>
          <w:sz w:val="24"/>
          <w:szCs w:val="24"/>
        </w:rPr>
        <w:t xml:space="preserve"> and economic aspects, for example, skills scarcity and rising concerns about the life-changing balance push to redefine conventional employment patterns. This report will identify how and to what extent socio-economic forces influence work models at Easy Hotel and suggestions and findings will be indicated</w:t>
      </w:r>
      <w:r w:rsidR="001B09A2">
        <w:rPr>
          <w:rFonts w:ascii="Arial" w:hAnsi="Arial" w:cs="Arial"/>
          <w:sz w:val="24"/>
          <w:szCs w:val="24"/>
        </w:rPr>
        <w:t>.</w:t>
      </w:r>
      <w:r w:rsidRPr="00EB4C96">
        <w:rPr>
          <w:rFonts w:ascii="Arial" w:hAnsi="Arial" w:cs="Arial"/>
          <w:sz w:val="24"/>
          <w:szCs w:val="24"/>
        </w:rPr>
        <w:t xml:space="preserve"> </w:t>
      </w:r>
    </w:p>
    <w:p w14:paraId="2F385CE1" w14:textId="77777777" w:rsidR="00AD635C" w:rsidRDefault="00AD635C" w:rsidP="00AD635C">
      <w:pPr>
        <w:pStyle w:val="Heading1"/>
      </w:pPr>
      <w:bookmarkStart w:id="1" w:name="_Toc167407699"/>
      <w:bookmarkStart w:id="2" w:name="_Toc168297068"/>
      <w:r>
        <w:t>Impact of socio-economic factors on employee performance management and monitoring</w:t>
      </w:r>
      <w:bookmarkEnd w:id="1"/>
      <w:bookmarkEnd w:id="2"/>
    </w:p>
    <w:p w14:paraId="06B2F667" w14:textId="04AD9CEE" w:rsidR="00EB4C96" w:rsidRPr="00EB4C96" w:rsidRDefault="00EB4C96" w:rsidP="00EB4C96">
      <w:pPr>
        <w:spacing w:line="360" w:lineRule="auto"/>
        <w:jc w:val="both"/>
        <w:rPr>
          <w:rFonts w:ascii="Arial" w:hAnsi="Arial" w:cs="Arial"/>
          <w:color w:val="FF0000"/>
          <w:sz w:val="24"/>
          <w:szCs w:val="24"/>
        </w:rPr>
      </w:pPr>
      <w:r w:rsidRPr="00EB4C96">
        <w:rPr>
          <w:rFonts w:ascii="Arial" w:hAnsi="Arial" w:cs="Arial"/>
          <w:sz w:val="24"/>
          <w:szCs w:val="24"/>
        </w:rPr>
        <w:t xml:space="preserve">The interrelation between socioeconomic factors, work arrangements, and performance </w:t>
      </w:r>
      <w:r w:rsidRPr="00EB4C96">
        <w:rPr>
          <w:rFonts w:ascii="Arial" w:hAnsi="Arial" w:cs="Arial"/>
          <w:color w:val="000000" w:themeColor="text1"/>
          <w:sz w:val="24"/>
          <w:szCs w:val="24"/>
        </w:rPr>
        <w:t xml:space="preserve">in the context of the hospitality industry has become more popular among researchers. One published research by Davidson et al. (2011) focuses on the connection between social class background and career selection in the hospitality industry. They established that poor attitudes towards the industry's image and low levels of wages and promotions lead to high turnover rates among employees. This imparts the need to have performance management frameworks, which tackle issues to do with the employee's welfare as well as coming up with a clear career ladder, especially during a time when there is stiff competition for talent in the job market. Campos-Soria et al. (2015) discuss the income inequality problem in the </w:t>
      </w:r>
      <w:r w:rsidRPr="00EB4C96">
        <w:rPr>
          <w:rFonts w:ascii="Arial" w:hAnsi="Arial" w:cs="Arial"/>
          <w:color w:val="000000" w:themeColor="text1"/>
          <w:sz w:val="24"/>
          <w:szCs w:val="24"/>
        </w:rPr>
        <w:lastRenderedPageBreak/>
        <w:t>hospitality industry. For instance, they observed that the income level of most hospitality industry workers is subsistence because many of them are found in the lowest pay scale. This makes it probable that these checking practices should be more stringent to warrant optimal working in organi</w:t>
      </w:r>
      <w:r w:rsidR="00555E5C">
        <w:rPr>
          <w:rFonts w:ascii="Arial" w:hAnsi="Arial" w:cs="Arial"/>
          <w:color w:val="000000" w:themeColor="text1"/>
          <w:sz w:val="24"/>
          <w:szCs w:val="24"/>
        </w:rPr>
        <w:t>s</w:t>
      </w:r>
      <w:r w:rsidRPr="00EB4C96">
        <w:rPr>
          <w:rFonts w:ascii="Arial" w:hAnsi="Arial" w:cs="Arial"/>
          <w:color w:val="000000" w:themeColor="text1"/>
          <w:sz w:val="24"/>
          <w:szCs w:val="24"/>
        </w:rPr>
        <w:t xml:space="preserve">ations especially when the economy is in a downturn. However, such practices could be useless </w:t>
      </w:r>
      <w:r w:rsidRPr="00EB4C96">
        <w:rPr>
          <w:rFonts w:ascii="Arial" w:hAnsi="Arial" w:cs="Arial"/>
          <w:sz w:val="24"/>
          <w:szCs w:val="24"/>
        </w:rPr>
        <w:t>if the problem of employees' health and motivation is not solved at all.</w:t>
      </w:r>
    </w:p>
    <w:p w14:paraId="0BEB3602" w14:textId="378675BA" w:rsidR="00EB4C96" w:rsidRPr="00EB4C96" w:rsidRDefault="00EB4C96" w:rsidP="00EB4C96">
      <w:pPr>
        <w:spacing w:line="360" w:lineRule="auto"/>
        <w:jc w:val="both"/>
        <w:rPr>
          <w:rFonts w:ascii="Arial" w:hAnsi="Arial" w:cs="Arial"/>
          <w:sz w:val="24"/>
          <w:szCs w:val="24"/>
        </w:rPr>
      </w:pPr>
      <w:r w:rsidRPr="00EB4C96">
        <w:rPr>
          <w:rFonts w:ascii="Arial" w:hAnsi="Arial" w:cs="Arial"/>
          <w:color w:val="000000" w:themeColor="text1"/>
          <w:sz w:val="24"/>
          <w:szCs w:val="24"/>
        </w:rPr>
        <w:t xml:space="preserve">A study conducted by Koenig and Petrick (2020) </w:t>
      </w:r>
      <w:r w:rsidR="008126FB">
        <w:rPr>
          <w:rFonts w:ascii="Arial" w:hAnsi="Arial" w:cs="Arial"/>
          <w:color w:val="000000" w:themeColor="text1"/>
          <w:sz w:val="24"/>
          <w:szCs w:val="24"/>
        </w:rPr>
        <w:t>attempts</w:t>
      </w:r>
      <w:r w:rsidRPr="00EB4C96">
        <w:rPr>
          <w:rFonts w:ascii="Arial" w:hAnsi="Arial" w:cs="Arial"/>
          <w:color w:val="000000" w:themeColor="text1"/>
          <w:sz w:val="24"/>
          <w:szCs w:val="24"/>
        </w:rPr>
        <w:t xml:space="preserve"> to analy</w:t>
      </w:r>
      <w:r w:rsidR="001B09A2">
        <w:rPr>
          <w:rFonts w:ascii="Arial" w:hAnsi="Arial" w:cs="Arial"/>
          <w:color w:val="000000" w:themeColor="text1"/>
          <w:sz w:val="24"/>
          <w:szCs w:val="24"/>
        </w:rPr>
        <w:t>s</w:t>
      </w:r>
      <w:r w:rsidRPr="00EB4C96">
        <w:rPr>
          <w:rFonts w:ascii="Arial" w:hAnsi="Arial" w:cs="Arial"/>
          <w:color w:val="000000" w:themeColor="text1"/>
          <w:sz w:val="24"/>
          <w:szCs w:val="24"/>
        </w:rPr>
        <w:t xml:space="preserve">e the rising trend of remote working schedules across companies in different industries. Based on their results, they argue that though working from home is beneficial as it is flexible and boosts productivity, it complicates employee evaluations. The performance of the parameters becomes </w:t>
      </w:r>
      <w:r w:rsidR="001B09A2" w:rsidRPr="00EB4C96">
        <w:rPr>
          <w:rFonts w:ascii="Arial" w:hAnsi="Arial" w:cs="Arial"/>
          <w:color w:val="000000" w:themeColor="text1"/>
          <w:sz w:val="24"/>
          <w:szCs w:val="24"/>
        </w:rPr>
        <w:t>clearer,</w:t>
      </w:r>
      <w:r w:rsidRPr="00EB4C96">
        <w:rPr>
          <w:rFonts w:ascii="Arial" w:hAnsi="Arial" w:cs="Arial"/>
          <w:color w:val="000000" w:themeColor="text1"/>
          <w:sz w:val="24"/>
          <w:szCs w:val="24"/>
        </w:rPr>
        <w:t xml:space="preserve"> and the usage of the remote monitoring instruments is optimal. </w:t>
      </w:r>
      <w:proofErr w:type="spellStart"/>
      <w:r w:rsidRPr="00EB4C96">
        <w:rPr>
          <w:rFonts w:ascii="Arial" w:hAnsi="Arial" w:cs="Arial"/>
          <w:color w:val="000000" w:themeColor="text1"/>
          <w:sz w:val="24"/>
          <w:szCs w:val="24"/>
        </w:rPr>
        <w:t>Kagioglou</w:t>
      </w:r>
      <w:proofErr w:type="spellEnd"/>
      <w:r w:rsidRPr="00EB4C96">
        <w:rPr>
          <w:rFonts w:ascii="Arial" w:hAnsi="Arial" w:cs="Arial"/>
          <w:color w:val="000000" w:themeColor="text1"/>
          <w:sz w:val="24"/>
          <w:szCs w:val="24"/>
        </w:rPr>
        <w:t xml:space="preserve"> et al. (2021) have analy</w:t>
      </w:r>
      <w:r w:rsidR="001B09A2">
        <w:rPr>
          <w:rFonts w:ascii="Arial" w:hAnsi="Arial" w:cs="Arial"/>
          <w:color w:val="000000" w:themeColor="text1"/>
          <w:sz w:val="24"/>
          <w:szCs w:val="24"/>
        </w:rPr>
        <w:t>s</w:t>
      </w:r>
      <w:r w:rsidRPr="00EB4C96">
        <w:rPr>
          <w:rFonts w:ascii="Arial" w:hAnsi="Arial" w:cs="Arial"/>
          <w:color w:val="000000" w:themeColor="text1"/>
          <w:sz w:val="24"/>
          <w:szCs w:val="24"/>
        </w:rPr>
        <w:t xml:space="preserve">ed the requirement of the competencies-based performance management system in the hospitality industry. They </w:t>
      </w:r>
      <w:r w:rsidRPr="00EB4C96">
        <w:rPr>
          <w:rFonts w:ascii="Arial" w:hAnsi="Arial" w:cs="Arial"/>
          <w:sz w:val="24"/>
          <w:szCs w:val="24"/>
        </w:rPr>
        <w:t xml:space="preserve">have stated that this might be because </w:t>
      </w:r>
      <w:r w:rsidR="000F6127">
        <w:rPr>
          <w:rFonts w:ascii="Arial" w:hAnsi="Arial" w:cs="Arial"/>
          <w:sz w:val="24"/>
          <w:szCs w:val="24"/>
        </w:rPr>
        <w:t>o</w:t>
      </w:r>
      <w:r w:rsidRPr="00EB4C96">
        <w:rPr>
          <w:rFonts w:ascii="Arial" w:hAnsi="Arial" w:cs="Arial"/>
          <w:sz w:val="24"/>
          <w:szCs w:val="24"/>
        </w:rPr>
        <w:t>ld-fashioned methodologies confined to outputs may not be sufficient to measure all the attributes central to effectiveness. Employee competencies must be consequently trained and improved through organi</w:t>
      </w:r>
      <w:r w:rsidR="00555E5C">
        <w:rPr>
          <w:rFonts w:ascii="Arial" w:hAnsi="Arial" w:cs="Arial"/>
          <w:sz w:val="24"/>
          <w:szCs w:val="24"/>
        </w:rPr>
        <w:t>s</w:t>
      </w:r>
      <w:r w:rsidRPr="00EB4C96">
        <w:rPr>
          <w:rFonts w:ascii="Arial" w:hAnsi="Arial" w:cs="Arial"/>
          <w:sz w:val="24"/>
          <w:szCs w:val="24"/>
        </w:rPr>
        <w:t>ational training programs (Cappelli and Tavis, 2016). The competencies development is significant when it is integrated with the performance evaluations.</w:t>
      </w:r>
    </w:p>
    <w:p w14:paraId="73A7CA5C" w14:textId="4B35A577" w:rsidR="008F7FBF" w:rsidRDefault="008F7FBF" w:rsidP="008F7FBF">
      <w:pPr>
        <w:pStyle w:val="Heading1"/>
      </w:pPr>
      <w:bookmarkStart w:id="3" w:name="_Toc168297069"/>
      <w:r>
        <w:t>Industry examples</w:t>
      </w:r>
      <w:bookmarkEnd w:id="3"/>
    </w:p>
    <w:p w14:paraId="28B24A11" w14:textId="07521978" w:rsidR="00EB4C96" w:rsidRPr="00EB4C96" w:rsidRDefault="000F6127" w:rsidP="00EB4C96">
      <w:pPr>
        <w:spacing w:line="360" w:lineRule="auto"/>
        <w:jc w:val="both"/>
        <w:rPr>
          <w:rFonts w:ascii="Arial" w:hAnsi="Arial" w:cs="Arial"/>
          <w:sz w:val="24"/>
          <w:szCs w:val="24"/>
        </w:rPr>
      </w:pPr>
      <w:r>
        <w:rPr>
          <w:rFonts w:ascii="Arial" w:hAnsi="Arial" w:cs="Arial"/>
          <w:sz w:val="24"/>
          <w:szCs w:val="24"/>
        </w:rPr>
        <w:t>The</w:t>
      </w:r>
      <w:r w:rsidR="00EB4C96" w:rsidRPr="00EB4C96">
        <w:rPr>
          <w:rFonts w:ascii="Arial" w:hAnsi="Arial" w:cs="Arial"/>
          <w:sz w:val="24"/>
          <w:szCs w:val="24"/>
        </w:rPr>
        <w:t xml:space="preserve"> </w:t>
      </w:r>
      <w:r>
        <w:rPr>
          <w:rFonts w:ascii="Arial" w:hAnsi="Arial" w:cs="Arial"/>
          <w:sz w:val="24"/>
          <w:szCs w:val="24"/>
        </w:rPr>
        <w:t xml:space="preserve">following </w:t>
      </w:r>
      <w:r w:rsidR="00EB4C96" w:rsidRPr="00EB4C96">
        <w:rPr>
          <w:rFonts w:ascii="Arial" w:hAnsi="Arial" w:cs="Arial"/>
          <w:sz w:val="24"/>
          <w:szCs w:val="24"/>
        </w:rPr>
        <w:t>examples demonstrate how many large hotel companies adjust their monitoring approach according to work states, thus underlining the importance of the coherent combination of quantitative and qualitative evaluations for a comprehensive understanding of the employees’ performance.</w:t>
      </w:r>
    </w:p>
    <w:p w14:paraId="5AD02A0B" w14:textId="77777777" w:rsidR="00EB4C96" w:rsidRPr="00EB4C96" w:rsidRDefault="00EB4C96" w:rsidP="00EB4C96">
      <w:pPr>
        <w:spacing w:line="360" w:lineRule="auto"/>
        <w:jc w:val="both"/>
        <w:rPr>
          <w:rFonts w:ascii="Arial" w:hAnsi="Arial" w:cs="Arial"/>
          <w:b/>
          <w:sz w:val="24"/>
          <w:szCs w:val="24"/>
        </w:rPr>
      </w:pPr>
      <w:r w:rsidRPr="00EB4C96">
        <w:rPr>
          <w:rFonts w:ascii="Arial" w:hAnsi="Arial" w:cs="Arial"/>
          <w:b/>
          <w:sz w:val="24"/>
          <w:szCs w:val="24"/>
        </w:rPr>
        <w:t>Marriott International:</w:t>
      </w:r>
    </w:p>
    <w:p w14:paraId="7EE9C6DA"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The classic approaches such as supervisors’ direct observations and guest feedback questionnaires continue to represent essential tools for assessing the performance of the housekeeping, front desk, and restaurant </w:t>
      </w:r>
      <w:r w:rsidRPr="00EB4C96">
        <w:rPr>
          <w:rFonts w:ascii="Arial" w:hAnsi="Arial" w:cs="Arial"/>
          <w:color w:val="000000" w:themeColor="text1"/>
          <w:sz w:val="24"/>
          <w:szCs w:val="24"/>
        </w:rPr>
        <w:t xml:space="preserve">employees (Chen et al., 2011). Marriott's ''Work Anywhere'' program uses project management software for the managers working in geographically distributed teams (e.g., reservations). These tools help monitor the progress of tasks that are carried out, frequency of communication, and together with deadlines, all these give a view of employee performance (Den Hartog et al., 2014). Hybrid roles at Marriott consist of on-site training, but the constant video </w:t>
      </w:r>
      <w:r w:rsidRPr="00EB4C96">
        <w:rPr>
          <w:rFonts w:ascii="Arial" w:hAnsi="Arial" w:cs="Arial"/>
          <w:sz w:val="24"/>
          <w:szCs w:val="24"/>
        </w:rPr>
        <w:t xml:space="preserve">conferencing of employees is also used. </w:t>
      </w:r>
      <w:r w:rsidRPr="00EB4C96">
        <w:rPr>
          <w:rFonts w:ascii="Arial" w:hAnsi="Arial" w:cs="Arial"/>
          <w:sz w:val="24"/>
          <w:szCs w:val="24"/>
        </w:rPr>
        <w:lastRenderedPageBreak/>
        <w:t>Appraisals include objective results from the software that was used in the respective area, as well as written and oral feedback from the supervisors concerning interpersonal skills.</w:t>
      </w:r>
    </w:p>
    <w:p w14:paraId="697E97BF" w14:textId="77777777" w:rsidR="00EB4C96" w:rsidRPr="00EB4C96" w:rsidRDefault="00EB4C96" w:rsidP="00EB4C96">
      <w:pPr>
        <w:spacing w:line="360" w:lineRule="auto"/>
        <w:jc w:val="both"/>
        <w:rPr>
          <w:rFonts w:ascii="Arial" w:hAnsi="Arial" w:cs="Arial"/>
          <w:b/>
          <w:color w:val="000000" w:themeColor="text1"/>
          <w:sz w:val="24"/>
          <w:szCs w:val="24"/>
        </w:rPr>
      </w:pPr>
      <w:r w:rsidRPr="00EB4C96">
        <w:rPr>
          <w:rFonts w:ascii="Arial" w:hAnsi="Arial" w:cs="Arial"/>
          <w:b/>
          <w:color w:val="000000" w:themeColor="text1"/>
          <w:sz w:val="24"/>
          <w:szCs w:val="24"/>
        </w:rPr>
        <w:t>IHG Hotels and Resorts:</w:t>
      </w:r>
    </w:p>
    <w:p w14:paraId="389072A6" w14:textId="1645A26D" w:rsidR="00EB4C96" w:rsidRPr="00EB4C96" w:rsidRDefault="00EB4C96" w:rsidP="00EB4C96">
      <w:pPr>
        <w:spacing w:line="360" w:lineRule="auto"/>
        <w:jc w:val="both"/>
        <w:rPr>
          <w:rFonts w:ascii="Arial" w:hAnsi="Arial" w:cs="Arial"/>
          <w:color w:val="000000" w:themeColor="text1"/>
          <w:sz w:val="24"/>
          <w:szCs w:val="24"/>
        </w:rPr>
      </w:pPr>
      <w:r w:rsidRPr="00EB4C96">
        <w:rPr>
          <w:rFonts w:ascii="Arial" w:hAnsi="Arial" w:cs="Arial"/>
          <w:color w:val="000000" w:themeColor="text1"/>
          <w:sz w:val="24"/>
          <w:szCs w:val="24"/>
        </w:rPr>
        <w:t>IHG's basic focus is on the ability to engage the guests through weekly mystery shopper programs and guest satisfaction surveys to track the delivery of services by the company's employees posted on-site (Jovana Lončar and Miroslav Knežević, 2023). For the remote functions, IHG uses online courses with quizzes to determine the training effectiveness, knowledge, and skills. It can also involve time-tracking tools for detailed tasks performed in the organi</w:t>
      </w:r>
      <w:r w:rsidR="00555E5C">
        <w:rPr>
          <w:rFonts w:ascii="Arial" w:hAnsi="Arial" w:cs="Arial"/>
          <w:color w:val="000000" w:themeColor="text1"/>
          <w:sz w:val="24"/>
          <w:szCs w:val="24"/>
        </w:rPr>
        <w:t>s</w:t>
      </w:r>
      <w:r w:rsidRPr="00EB4C96">
        <w:rPr>
          <w:rFonts w:ascii="Arial" w:hAnsi="Arial" w:cs="Arial"/>
          <w:color w:val="000000" w:themeColor="text1"/>
          <w:sz w:val="24"/>
          <w:szCs w:val="24"/>
        </w:rPr>
        <w:t>ation or firm. Another thing is that in IHG, performance check-ins are done on a daily, weekly, monthly, or yearly basis either through video calls or online surveys (Kwan et al., 2024). This check-in revolves around goals established, and interactions with peers as well as compliance with the values of the company, ensuring a comprehensive view of the employee’s performance in both work modes.</w:t>
      </w:r>
    </w:p>
    <w:p w14:paraId="188B123D" w14:textId="77777777" w:rsidR="00EB4C96" w:rsidRPr="00EB4C96" w:rsidRDefault="00EB4C96" w:rsidP="00EB4C96">
      <w:pPr>
        <w:spacing w:line="360" w:lineRule="auto"/>
        <w:jc w:val="both"/>
        <w:rPr>
          <w:rFonts w:ascii="Arial" w:hAnsi="Arial" w:cs="Arial"/>
          <w:b/>
          <w:sz w:val="24"/>
          <w:szCs w:val="24"/>
        </w:rPr>
      </w:pPr>
      <w:r w:rsidRPr="00EB4C96">
        <w:rPr>
          <w:rFonts w:ascii="Arial" w:hAnsi="Arial" w:cs="Arial"/>
          <w:b/>
          <w:sz w:val="24"/>
          <w:szCs w:val="24"/>
        </w:rPr>
        <w:t>Radisson Hotel Group:</w:t>
      </w:r>
    </w:p>
    <w:p w14:paraId="2A477006"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The major sources of information being used by Radisson to evaluate guest service delivery and the performance of on-site staff are the guest feedback survey and self-evaluation by the employees. Employees of Radisson’s remote teams might use corporate communication platforms equipped with analytical functions necessary to assess the volume of messages exchanged and the rate of response, as well as the efficiency of the team’s work (Radisson Hotels, 2017). The structure of feedback is conducted with the help of a mobile application where the employee can provide feedback for the colleagues and receive feedback in return irrespective of the work mode. This creates more responsibility as well as reveals people’s capacities for different tasks.</w:t>
      </w:r>
    </w:p>
    <w:p w14:paraId="11A1630F" w14:textId="77777777" w:rsidR="00EB4C96" w:rsidRPr="00EB4C96" w:rsidRDefault="00EB4C96" w:rsidP="00AD635C">
      <w:pPr>
        <w:pStyle w:val="Heading1"/>
      </w:pPr>
      <w:bookmarkStart w:id="4" w:name="_Toc167407703"/>
      <w:bookmarkStart w:id="5" w:name="_Toc168297070"/>
      <w:r w:rsidRPr="00EB4C96">
        <w:t>Potential solutions</w:t>
      </w:r>
      <w:bookmarkEnd w:id="4"/>
      <w:bookmarkEnd w:id="5"/>
    </w:p>
    <w:p w14:paraId="7761F7DC"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The dynamics of the work environment in the hospitality sub-sector require the application of relevant strategies in boosting performance management across multiple systems (Verma et al., 2020). Here are some potential approaches to consider: </w:t>
      </w:r>
    </w:p>
    <w:p w14:paraId="046EA2B8" w14:textId="0326501F" w:rsidR="00EB4C96" w:rsidRPr="00EB4C96" w:rsidRDefault="00EB4C96" w:rsidP="00EB4C96">
      <w:pPr>
        <w:spacing w:line="360" w:lineRule="auto"/>
        <w:jc w:val="both"/>
        <w:rPr>
          <w:rFonts w:ascii="Arial" w:hAnsi="Arial" w:cs="Arial"/>
          <w:sz w:val="24"/>
          <w:szCs w:val="24"/>
        </w:rPr>
      </w:pPr>
      <w:r w:rsidRPr="00EB4C96">
        <w:rPr>
          <w:rFonts w:ascii="Arial" w:hAnsi="Arial" w:cs="Arial"/>
          <w:b/>
          <w:sz w:val="24"/>
          <w:szCs w:val="24"/>
        </w:rPr>
        <w:t>Technology-Enabled Monitoring:</w:t>
      </w:r>
      <w:r w:rsidRPr="00EB4C96">
        <w:rPr>
          <w:rFonts w:ascii="Arial" w:hAnsi="Arial" w:cs="Arial"/>
          <w:sz w:val="24"/>
          <w:szCs w:val="24"/>
        </w:rPr>
        <w:t xml:space="preserve"> Exploit technological devices for the new paradigms of work. While project management software captures the achievement of activities and communication, </w:t>
      </w:r>
      <w:r w:rsidR="000F6127" w:rsidRPr="00EB4C96">
        <w:rPr>
          <w:rFonts w:ascii="Arial" w:hAnsi="Arial" w:cs="Arial"/>
          <w:sz w:val="24"/>
          <w:szCs w:val="24"/>
        </w:rPr>
        <w:t>time,</w:t>
      </w:r>
      <w:r w:rsidRPr="00EB4C96">
        <w:rPr>
          <w:rFonts w:ascii="Arial" w:hAnsi="Arial" w:cs="Arial"/>
          <w:sz w:val="24"/>
          <w:szCs w:val="24"/>
        </w:rPr>
        <w:t xml:space="preserve"> and attendance tools capture productivity (Folan and Browne, 2015). </w:t>
      </w:r>
      <w:r w:rsidRPr="00EB4C96">
        <w:rPr>
          <w:rFonts w:ascii="Arial" w:hAnsi="Arial" w:cs="Arial"/>
          <w:sz w:val="24"/>
          <w:szCs w:val="24"/>
        </w:rPr>
        <w:lastRenderedPageBreak/>
        <w:t xml:space="preserve">Courses delivered through the internet accompanied by </w:t>
      </w:r>
      <w:proofErr w:type="gramStart"/>
      <w:r w:rsidRPr="00EB4C96">
        <w:rPr>
          <w:rFonts w:ascii="Arial" w:hAnsi="Arial" w:cs="Arial"/>
          <w:sz w:val="24"/>
          <w:szCs w:val="24"/>
        </w:rPr>
        <w:t>particular tests</w:t>
      </w:r>
      <w:proofErr w:type="gramEnd"/>
      <w:r w:rsidRPr="00EB4C96">
        <w:rPr>
          <w:rFonts w:ascii="Arial" w:hAnsi="Arial" w:cs="Arial"/>
          <w:sz w:val="24"/>
          <w:szCs w:val="24"/>
        </w:rPr>
        <w:t xml:space="preserve"> and quizzes can track the skill progress. But at the same time, it is also important to see, that between implementing methods of collecting data and preserving the rights of the employees.</w:t>
      </w:r>
    </w:p>
    <w:p w14:paraId="2365209F"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b/>
          <w:sz w:val="24"/>
          <w:szCs w:val="24"/>
        </w:rPr>
        <w:t>Hybrid Performance Reviews:</w:t>
      </w:r>
      <w:r w:rsidRPr="00EB4C96">
        <w:rPr>
          <w:rFonts w:ascii="Arial" w:hAnsi="Arial" w:cs="Arial"/>
          <w:sz w:val="24"/>
          <w:szCs w:val="24"/>
        </w:rPr>
        <w:t xml:space="preserve"> It requires the incorporation of on-site observation and actual quotations from the guests alongside results obtained from performance management software (Gerrish, 2015). Collectively, these outcomes give an integrated perspective of employees’ performance in various work modes.</w:t>
      </w:r>
    </w:p>
    <w:p w14:paraId="79A13AF1" w14:textId="39F0211F" w:rsidR="00EB4C96" w:rsidRPr="00EB4C96" w:rsidRDefault="00EB4C96" w:rsidP="00EB4C96">
      <w:pPr>
        <w:spacing w:line="360" w:lineRule="auto"/>
        <w:jc w:val="both"/>
        <w:rPr>
          <w:rFonts w:ascii="Arial" w:hAnsi="Arial" w:cs="Arial"/>
          <w:sz w:val="24"/>
          <w:szCs w:val="24"/>
        </w:rPr>
      </w:pPr>
      <w:r w:rsidRPr="00EB4C96">
        <w:rPr>
          <w:rFonts w:ascii="Arial" w:hAnsi="Arial" w:cs="Arial"/>
          <w:b/>
          <w:sz w:val="24"/>
          <w:szCs w:val="24"/>
        </w:rPr>
        <w:t>Focus on Skill Development:</w:t>
      </w:r>
      <w:r w:rsidRPr="00EB4C96">
        <w:rPr>
          <w:rFonts w:ascii="Arial" w:hAnsi="Arial" w:cs="Arial"/>
          <w:sz w:val="24"/>
          <w:szCs w:val="24"/>
        </w:rPr>
        <w:t xml:space="preserve"> The following are recommendations for the management of human resources in workforce organi</w:t>
      </w:r>
      <w:r w:rsidR="00555E5C">
        <w:rPr>
          <w:rFonts w:ascii="Arial" w:hAnsi="Arial" w:cs="Arial"/>
          <w:sz w:val="24"/>
          <w:szCs w:val="24"/>
        </w:rPr>
        <w:t>s</w:t>
      </w:r>
      <w:r w:rsidRPr="00EB4C96">
        <w:rPr>
          <w:rFonts w:ascii="Arial" w:hAnsi="Arial" w:cs="Arial"/>
          <w:sz w:val="24"/>
          <w:szCs w:val="24"/>
        </w:rPr>
        <w:t xml:space="preserve">ations. </w:t>
      </w:r>
      <w:proofErr w:type="spellStart"/>
      <w:r w:rsidRPr="00EB4C96">
        <w:rPr>
          <w:rFonts w:ascii="Arial" w:hAnsi="Arial" w:cs="Arial"/>
          <w:sz w:val="24"/>
          <w:szCs w:val="24"/>
        </w:rPr>
        <w:t>Easyhotel</w:t>
      </w:r>
      <w:proofErr w:type="spellEnd"/>
      <w:r w:rsidRPr="00EB4C96">
        <w:rPr>
          <w:rFonts w:ascii="Arial" w:hAnsi="Arial" w:cs="Arial"/>
          <w:sz w:val="24"/>
          <w:szCs w:val="24"/>
        </w:rPr>
        <w:t xml:space="preserve"> should adopt competency-based performance management systems. Seamlessly link the provided skill development opportunities to the performance reviews, with an aim on flexibility and staff development to enable employees to succeed in today's volatile world.</w:t>
      </w:r>
    </w:p>
    <w:p w14:paraId="395F1ED2"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b/>
          <w:sz w:val="24"/>
          <w:szCs w:val="24"/>
        </w:rPr>
        <w:t>Regular Feedback and Communication</w:t>
      </w:r>
      <w:r w:rsidRPr="00EB4C96">
        <w:rPr>
          <w:rFonts w:ascii="Arial" w:hAnsi="Arial" w:cs="Arial"/>
          <w:sz w:val="24"/>
          <w:szCs w:val="24"/>
        </w:rPr>
        <w:t>: Remind workers on the remote working schedule to check on their team through video conferencing or an instant message or receive feedback from online polls (Herington et al., 2013). Appoint a culture of regular positive feedback by using peer-to-peer recognition methods. This promotes interactivity as well as creating responsibility across the work modes.</w:t>
      </w:r>
    </w:p>
    <w:p w14:paraId="112E2E17" w14:textId="2F95A0E1" w:rsidR="00EB4C96" w:rsidRPr="00EB4C96" w:rsidRDefault="00EB4C96" w:rsidP="00EB4C96">
      <w:pPr>
        <w:spacing w:line="360" w:lineRule="auto"/>
        <w:jc w:val="both"/>
        <w:rPr>
          <w:rFonts w:ascii="Arial" w:hAnsi="Arial" w:cs="Arial"/>
          <w:sz w:val="24"/>
          <w:szCs w:val="24"/>
        </w:rPr>
      </w:pPr>
      <w:r w:rsidRPr="00EB4C96">
        <w:rPr>
          <w:rFonts w:ascii="Arial" w:hAnsi="Arial" w:cs="Arial"/>
          <w:b/>
          <w:sz w:val="24"/>
          <w:szCs w:val="24"/>
        </w:rPr>
        <w:t xml:space="preserve">Transparency and Flexibility: </w:t>
      </w:r>
      <w:r w:rsidRPr="00EB4C96">
        <w:rPr>
          <w:rFonts w:ascii="Arial" w:hAnsi="Arial" w:cs="Arial"/>
          <w:sz w:val="24"/>
          <w:szCs w:val="24"/>
        </w:rPr>
        <w:t>Clear and delineated communication processes should be implemented while performance targets for the different work modes subjected should be clearly stated. Promote flexibility at the workplace and where possible adopt compressed work weeks (</w:t>
      </w:r>
      <w:proofErr w:type="spellStart"/>
      <w:r w:rsidRPr="00EB4C96">
        <w:rPr>
          <w:rFonts w:ascii="Arial" w:hAnsi="Arial" w:cs="Arial"/>
          <w:sz w:val="24"/>
          <w:szCs w:val="24"/>
        </w:rPr>
        <w:t>Kagioglou</w:t>
      </w:r>
      <w:proofErr w:type="spellEnd"/>
      <w:r w:rsidRPr="00EB4C96">
        <w:rPr>
          <w:rFonts w:ascii="Arial" w:hAnsi="Arial" w:cs="Arial"/>
          <w:sz w:val="24"/>
          <w:szCs w:val="24"/>
        </w:rPr>
        <w:t xml:space="preserve"> et al., 2021). This flexibility can be advantageous to both the employer and the employee organi</w:t>
      </w:r>
      <w:r w:rsidR="00555E5C">
        <w:rPr>
          <w:rFonts w:ascii="Arial" w:hAnsi="Arial" w:cs="Arial"/>
          <w:sz w:val="24"/>
          <w:szCs w:val="24"/>
        </w:rPr>
        <w:t>s</w:t>
      </w:r>
      <w:r w:rsidRPr="00EB4C96">
        <w:rPr>
          <w:rFonts w:ascii="Arial" w:hAnsi="Arial" w:cs="Arial"/>
          <w:sz w:val="24"/>
          <w:szCs w:val="24"/>
        </w:rPr>
        <w:t>ation since the freedom to work at flexible hours may increase employees’ well-being and motivation thus improving their productivity.</w:t>
      </w:r>
    </w:p>
    <w:p w14:paraId="3F528E6F" w14:textId="0619A656" w:rsidR="00EB4C96" w:rsidRPr="00EB4C96" w:rsidRDefault="00EB4C96" w:rsidP="00EB4C96">
      <w:pPr>
        <w:pStyle w:val="Heading1"/>
      </w:pPr>
      <w:bookmarkStart w:id="6" w:name="_Toc167407704"/>
      <w:bookmarkStart w:id="7" w:name="_Toc168297071"/>
      <w:r w:rsidRPr="00EB4C96">
        <w:t xml:space="preserve">Evaluation and </w:t>
      </w:r>
      <w:r w:rsidR="00AA151B">
        <w:t>R</w:t>
      </w:r>
      <w:r w:rsidRPr="00EB4C96">
        <w:t>ecommendations</w:t>
      </w:r>
      <w:bookmarkEnd w:id="6"/>
      <w:bookmarkEnd w:id="7"/>
    </w:p>
    <w:p w14:paraId="5D2F2113" w14:textId="77777777" w:rsidR="00EB4C96" w:rsidRPr="00EB4C96" w:rsidRDefault="00EB4C96" w:rsidP="00EB4C96">
      <w:pPr>
        <w:pStyle w:val="Heading2"/>
      </w:pPr>
      <w:bookmarkStart w:id="8" w:name="_Toc167407705"/>
      <w:bookmarkStart w:id="9" w:name="_Toc168297072"/>
      <w:r w:rsidRPr="00EB4C96">
        <w:t>Evaluation</w:t>
      </w:r>
      <w:bookmarkEnd w:id="8"/>
      <w:bookmarkEnd w:id="9"/>
      <w:r w:rsidRPr="00EB4C96">
        <w:t xml:space="preserve"> </w:t>
      </w:r>
    </w:p>
    <w:p w14:paraId="7414AD31" w14:textId="4E828D4B"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This paper sought to analy</w:t>
      </w:r>
      <w:r w:rsidR="00555E5C">
        <w:rPr>
          <w:rFonts w:ascii="Arial" w:hAnsi="Arial" w:cs="Arial"/>
          <w:sz w:val="24"/>
          <w:szCs w:val="24"/>
        </w:rPr>
        <w:t>s</w:t>
      </w:r>
      <w:r w:rsidRPr="00EB4C96">
        <w:rPr>
          <w:rFonts w:ascii="Arial" w:hAnsi="Arial" w:cs="Arial"/>
          <w:sz w:val="24"/>
          <w:szCs w:val="24"/>
        </w:rPr>
        <w:t xml:space="preserve">e the various factors in the external environment affecting </w:t>
      </w:r>
      <w:proofErr w:type="spellStart"/>
      <w:r w:rsidRPr="00EB4C96">
        <w:rPr>
          <w:rFonts w:ascii="Arial" w:hAnsi="Arial" w:cs="Arial"/>
          <w:sz w:val="24"/>
          <w:szCs w:val="24"/>
        </w:rPr>
        <w:t>easyHotel</w:t>
      </w:r>
      <w:proofErr w:type="spellEnd"/>
      <w:r w:rsidRPr="00EB4C96">
        <w:rPr>
          <w:rFonts w:ascii="Arial" w:hAnsi="Arial" w:cs="Arial"/>
          <w:sz w:val="24"/>
          <w:szCs w:val="24"/>
        </w:rPr>
        <w:t xml:space="preserve"> especially the socio-economic conditions and the issue of managing workers far away. The analysis led to the discovery of interesting findings. Knowledge about the socio-economic environment makes it possible for </w:t>
      </w:r>
      <w:proofErr w:type="spellStart"/>
      <w:r w:rsidRPr="00EB4C96">
        <w:rPr>
          <w:rFonts w:ascii="Arial" w:hAnsi="Arial" w:cs="Arial"/>
          <w:sz w:val="24"/>
          <w:szCs w:val="24"/>
        </w:rPr>
        <w:t>easyHotel</w:t>
      </w:r>
      <w:proofErr w:type="spellEnd"/>
      <w:r w:rsidRPr="00EB4C96">
        <w:rPr>
          <w:rFonts w:ascii="Arial" w:hAnsi="Arial" w:cs="Arial"/>
          <w:sz w:val="24"/>
          <w:szCs w:val="24"/>
        </w:rPr>
        <w:t xml:space="preserve"> to capture the market segments </w:t>
      </w:r>
      <w:r w:rsidR="008126FB">
        <w:rPr>
          <w:rFonts w:ascii="Arial" w:hAnsi="Arial" w:cs="Arial"/>
          <w:sz w:val="24"/>
          <w:szCs w:val="24"/>
        </w:rPr>
        <w:t>travelling</w:t>
      </w:r>
      <w:r w:rsidRPr="00EB4C96">
        <w:rPr>
          <w:rFonts w:ascii="Arial" w:hAnsi="Arial" w:cs="Arial"/>
          <w:sz w:val="24"/>
          <w:szCs w:val="24"/>
        </w:rPr>
        <w:t xml:space="preserve"> on the low bud that include the young people as well as the aged people and </w:t>
      </w:r>
      <w:r w:rsidRPr="00EB4C96">
        <w:rPr>
          <w:rFonts w:ascii="Arial" w:hAnsi="Arial" w:cs="Arial"/>
          <w:sz w:val="24"/>
          <w:szCs w:val="24"/>
        </w:rPr>
        <w:lastRenderedPageBreak/>
        <w:t xml:space="preserve">growing out of the working from home concept, they can address the issue by converting some of the rooms to working stations. The need for frequent and timely communication and the need for clear and concise instructions for workers were outlined as best practices for remote working. To this end, a performance management process model was proposed in the next recommendation. </w:t>
      </w:r>
      <w:r w:rsidR="000F6127" w:rsidRPr="00EB4C96">
        <w:rPr>
          <w:rFonts w:ascii="Arial" w:hAnsi="Arial" w:cs="Arial"/>
          <w:sz w:val="24"/>
          <w:szCs w:val="24"/>
        </w:rPr>
        <w:t>Therefore,</w:t>
      </w:r>
      <w:r w:rsidRPr="00EB4C96">
        <w:rPr>
          <w:rFonts w:ascii="Arial" w:hAnsi="Arial" w:cs="Arial"/>
          <w:sz w:val="24"/>
          <w:szCs w:val="24"/>
        </w:rPr>
        <w:t xml:space="preserve"> the structure of this model involves check-ins, peer recognition, and development planning. Here follows how easily Hotels can maximize these suggestions to tap into current trends, manage the productivity of remote employees, and sustain success in future trends in the hospitality industry.</w:t>
      </w:r>
    </w:p>
    <w:p w14:paraId="31DED850" w14:textId="77777777" w:rsidR="000F6127" w:rsidRDefault="000F6127" w:rsidP="00EB4C96">
      <w:pPr>
        <w:pStyle w:val="Heading2"/>
        <w:spacing w:line="360" w:lineRule="auto"/>
        <w:jc w:val="both"/>
        <w:rPr>
          <w:rFonts w:ascii="Arial" w:hAnsi="Arial" w:cs="Arial"/>
          <w:sz w:val="24"/>
          <w:szCs w:val="24"/>
        </w:rPr>
      </w:pPr>
      <w:bookmarkStart w:id="10" w:name="_Toc167407706"/>
    </w:p>
    <w:p w14:paraId="6F39BEC5" w14:textId="4246D179" w:rsidR="00EB4C96" w:rsidRPr="00941D52" w:rsidRDefault="00EB4C96" w:rsidP="00941D52">
      <w:pPr>
        <w:pStyle w:val="Heading2"/>
      </w:pPr>
      <w:bookmarkStart w:id="11" w:name="_Toc168297073"/>
      <w:r w:rsidRPr="00941D52">
        <w:t>Implications and Recommendations</w:t>
      </w:r>
      <w:bookmarkEnd w:id="10"/>
      <w:bookmarkEnd w:id="11"/>
    </w:p>
    <w:p w14:paraId="1558736C"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Here's a recommendation for an effective performance management process model that can be implemented by </w:t>
      </w:r>
      <w:proofErr w:type="spellStart"/>
      <w:r w:rsidRPr="00EB4C96">
        <w:rPr>
          <w:rFonts w:ascii="Arial" w:hAnsi="Arial" w:cs="Arial"/>
          <w:sz w:val="24"/>
          <w:szCs w:val="24"/>
        </w:rPr>
        <w:t>easyHotel</w:t>
      </w:r>
      <w:proofErr w:type="spellEnd"/>
      <w:r w:rsidRPr="00EB4C96">
        <w:rPr>
          <w:rFonts w:ascii="Arial" w:hAnsi="Arial" w:cs="Arial"/>
          <w:sz w:val="24"/>
          <w:szCs w:val="24"/>
        </w:rPr>
        <w:t>:</w:t>
      </w:r>
    </w:p>
    <w:p w14:paraId="7D50A06A" w14:textId="77777777" w:rsidR="00EB4C96" w:rsidRPr="00EB4C96" w:rsidRDefault="00EB4C96" w:rsidP="00555E5C">
      <w:pPr>
        <w:keepNext/>
        <w:spacing w:line="360" w:lineRule="auto"/>
        <w:jc w:val="center"/>
        <w:rPr>
          <w:rFonts w:ascii="Arial" w:hAnsi="Arial" w:cs="Arial"/>
          <w:sz w:val="24"/>
          <w:szCs w:val="24"/>
        </w:rPr>
      </w:pPr>
      <w:r w:rsidRPr="00EB4C96">
        <w:rPr>
          <w:rFonts w:ascii="Arial" w:hAnsi="Arial" w:cs="Arial"/>
          <w:noProof/>
          <w:sz w:val="24"/>
          <w:szCs w:val="24"/>
        </w:rPr>
        <w:drawing>
          <wp:inline distT="0" distB="0" distL="0" distR="0" wp14:anchorId="5D5F2C89" wp14:editId="7CCAA800">
            <wp:extent cx="2771238" cy="2562225"/>
            <wp:effectExtent l="0" t="0" r="0" b="0"/>
            <wp:docPr id="1027" name="Picture 3" descr="A diagram of performance managemen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7" name="Picture 3" descr="A diagram of performance management&#10;&#10;Description automatically generated"/>
                    <pic:cNvPicPr/>
                  </pic:nvPicPr>
                  <pic:blipFill>
                    <a:blip r:embed="rId7" cstate="print"/>
                    <a:srcRect/>
                    <a:stretch/>
                  </pic:blipFill>
                  <pic:spPr>
                    <a:xfrm>
                      <a:off x="0" y="0"/>
                      <a:ext cx="2771238" cy="2562225"/>
                    </a:xfrm>
                    <a:prstGeom prst="rect">
                      <a:avLst/>
                    </a:prstGeom>
                  </pic:spPr>
                </pic:pic>
              </a:graphicData>
            </a:graphic>
          </wp:inline>
        </w:drawing>
      </w:r>
    </w:p>
    <w:p w14:paraId="0A23E07C" w14:textId="3C8ADB0B" w:rsidR="00EB4C96" w:rsidRPr="00555E5C" w:rsidRDefault="00EB4C96" w:rsidP="00555E5C">
      <w:pPr>
        <w:pStyle w:val="Caption"/>
        <w:spacing w:line="360" w:lineRule="auto"/>
        <w:jc w:val="center"/>
        <w:rPr>
          <w:rFonts w:cs="Arial"/>
          <w:b w:val="0"/>
          <w:bCs w:val="0"/>
          <w:sz w:val="24"/>
          <w:szCs w:val="24"/>
        </w:rPr>
      </w:pPr>
      <w:bookmarkStart w:id="12" w:name="_Toc167402145"/>
      <w:r w:rsidRPr="00555E5C">
        <w:rPr>
          <w:rFonts w:cs="Arial"/>
          <w:b w:val="0"/>
          <w:bCs w:val="0"/>
          <w:color w:val="auto"/>
          <w:sz w:val="24"/>
          <w:szCs w:val="24"/>
        </w:rPr>
        <w:t xml:space="preserve">Figure </w:t>
      </w:r>
      <w:r w:rsidRPr="00555E5C">
        <w:rPr>
          <w:rFonts w:cs="Arial"/>
          <w:b w:val="0"/>
          <w:bCs w:val="0"/>
          <w:color w:val="auto"/>
          <w:sz w:val="24"/>
          <w:szCs w:val="24"/>
        </w:rPr>
        <w:fldChar w:fldCharType="begin"/>
      </w:r>
      <w:r w:rsidRPr="00555E5C">
        <w:rPr>
          <w:rFonts w:cs="Arial"/>
          <w:b w:val="0"/>
          <w:bCs w:val="0"/>
          <w:color w:val="auto"/>
          <w:sz w:val="24"/>
          <w:szCs w:val="24"/>
        </w:rPr>
        <w:instrText xml:space="preserve"> SEQ Figure \* ARABIC </w:instrText>
      </w:r>
      <w:r w:rsidRPr="00555E5C">
        <w:rPr>
          <w:rFonts w:cs="Arial"/>
          <w:b w:val="0"/>
          <w:bCs w:val="0"/>
          <w:color w:val="auto"/>
          <w:sz w:val="24"/>
          <w:szCs w:val="24"/>
        </w:rPr>
        <w:fldChar w:fldCharType="separate"/>
      </w:r>
      <w:r w:rsidRPr="00555E5C">
        <w:rPr>
          <w:rFonts w:cs="Arial"/>
          <w:b w:val="0"/>
          <w:bCs w:val="0"/>
          <w:noProof/>
          <w:color w:val="auto"/>
          <w:sz w:val="24"/>
          <w:szCs w:val="24"/>
        </w:rPr>
        <w:t>1</w:t>
      </w:r>
      <w:r w:rsidRPr="00555E5C">
        <w:rPr>
          <w:rFonts w:cs="Arial"/>
          <w:b w:val="0"/>
          <w:bCs w:val="0"/>
          <w:color w:val="auto"/>
          <w:sz w:val="24"/>
          <w:szCs w:val="24"/>
        </w:rPr>
        <w:fldChar w:fldCharType="end"/>
      </w:r>
      <w:r w:rsidRPr="00555E5C">
        <w:rPr>
          <w:rFonts w:cs="Arial"/>
          <w:b w:val="0"/>
          <w:bCs w:val="0"/>
          <w:color w:val="auto"/>
          <w:sz w:val="24"/>
          <w:szCs w:val="24"/>
        </w:rPr>
        <w:t>: Effective Performance Management Model</w:t>
      </w:r>
      <w:bookmarkEnd w:id="12"/>
      <w:r w:rsidR="00555E5C">
        <w:rPr>
          <w:rFonts w:cs="Arial"/>
          <w:b w:val="0"/>
          <w:bCs w:val="0"/>
          <w:sz w:val="24"/>
          <w:szCs w:val="24"/>
        </w:rPr>
        <w:br/>
      </w:r>
      <w:r w:rsidRPr="00555E5C">
        <w:rPr>
          <w:rFonts w:cs="Arial"/>
          <w:b w:val="0"/>
          <w:bCs w:val="0"/>
          <w:color w:val="000000" w:themeColor="text1"/>
          <w:sz w:val="24"/>
          <w:szCs w:val="24"/>
        </w:rPr>
        <w:t>Source: (Biron et al., 2011)</w:t>
      </w:r>
    </w:p>
    <w:p w14:paraId="1D67A2C1" w14:textId="77777777" w:rsidR="00EB4C96" w:rsidRPr="00EB4C96" w:rsidRDefault="00EB4C96" w:rsidP="00EB4C96">
      <w:pPr>
        <w:spacing w:line="360" w:lineRule="auto"/>
        <w:jc w:val="both"/>
        <w:rPr>
          <w:rFonts w:ascii="Arial" w:hAnsi="Arial" w:cs="Arial"/>
          <w:b/>
          <w:sz w:val="24"/>
          <w:szCs w:val="24"/>
        </w:rPr>
      </w:pPr>
      <w:r w:rsidRPr="00EB4C96">
        <w:rPr>
          <w:rFonts w:ascii="Arial" w:hAnsi="Arial" w:cs="Arial"/>
          <w:b/>
          <w:sz w:val="24"/>
          <w:szCs w:val="24"/>
        </w:rPr>
        <w:t>Goal Setting and Planning (Beginning of Review Period):</w:t>
      </w:r>
    </w:p>
    <w:p w14:paraId="2BDB9850" w14:textId="36397639"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Individual goals that are further aligned with IDPs and departmental/ organi</w:t>
      </w:r>
      <w:r w:rsidR="00555E5C">
        <w:rPr>
          <w:rFonts w:ascii="Arial" w:hAnsi="Arial" w:cs="Arial"/>
          <w:sz w:val="24"/>
          <w:szCs w:val="24"/>
        </w:rPr>
        <w:t>s</w:t>
      </w:r>
      <w:r w:rsidRPr="00EB4C96">
        <w:rPr>
          <w:rFonts w:ascii="Arial" w:hAnsi="Arial" w:cs="Arial"/>
          <w:sz w:val="24"/>
          <w:szCs w:val="24"/>
        </w:rPr>
        <w:t xml:space="preserve">ational strategic objectives are SMART. Market niches can be established with promotional campaigns that address certain segments and needs for example cut-price solutions for young people or pensioners (Sakka et al., 2022). Products and services should change to reflect consumer preferences, for instance, incorporating offices for rent for those who work from home, if this </w:t>
      </w:r>
      <w:r w:rsidRPr="00EB4C96">
        <w:rPr>
          <w:rFonts w:ascii="Arial" w:hAnsi="Arial" w:cs="Arial"/>
          <w:sz w:val="24"/>
          <w:szCs w:val="24"/>
        </w:rPr>
        <w:lastRenderedPageBreak/>
        <w:t>becomes a permanent option. The following appointment tips will help you during the review period for one-on-one meetings.</w:t>
      </w:r>
    </w:p>
    <w:p w14:paraId="226EF281" w14:textId="77777777" w:rsidR="00EB4C96" w:rsidRPr="00EB4C96" w:rsidRDefault="00EB4C96" w:rsidP="00EB4C96">
      <w:pPr>
        <w:spacing w:line="360" w:lineRule="auto"/>
        <w:jc w:val="both"/>
        <w:rPr>
          <w:rFonts w:ascii="Arial" w:hAnsi="Arial" w:cs="Arial"/>
          <w:b/>
          <w:sz w:val="24"/>
          <w:szCs w:val="24"/>
        </w:rPr>
      </w:pPr>
      <w:r w:rsidRPr="00EB4C96">
        <w:rPr>
          <w:rFonts w:ascii="Arial" w:hAnsi="Arial" w:cs="Arial"/>
          <w:b/>
          <w:sz w:val="24"/>
          <w:szCs w:val="24"/>
        </w:rPr>
        <w:t>Continuous Feedback and Development (Throughout Review Period):</w:t>
      </w:r>
    </w:p>
    <w:p w14:paraId="155A169B" w14:textId="173AC7E5"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Implement the possibilities of feedback by utili</w:t>
      </w:r>
      <w:r w:rsidR="00555E5C">
        <w:rPr>
          <w:rFonts w:ascii="Arial" w:hAnsi="Arial" w:cs="Arial"/>
          <w:sz w:val="24"/>
          <w:szCs w:val="24"/>
        </w:rPr>
        <w:t>s</w:t>
      </w:r>
      <w:r w:rsidRPr="00EB4C96">
        <w:rPr>
          <w:rFonts w:ascii="Arial" w:hAnsi="Arial" w:cs="Arial"/>
          <w:sz w:val="24"/>
          <w:szCs w:val="24"/>
        </w:rPr>
        <w:t>ing tools that involve people in your organi</w:t>
      </w:r>
      <w:r w:rsidR="00555E5C">
        <w:rPr>
          <w:rFonts w:ascii="Arial" w:hAnsi="Arial" w:cs="Arial"/>
          <w:sz w:val="24"/>
          <w:szCs w:val="24"/>
        </w:rPr>
        <w:t>s</w:t>
      </w:r>
      <w:r w:rsidRPr="00EB4C96">
        <w:rPr>
          <w:rFonts w:ascii="Arial" w:hAnsi="Arial" w:cs="Arial"/>
          <w:sz w:val="24"/>
          <w:szCs w:val="24"/>
        </w:rPr>
        <w:t>ation with a focus on improving work outcomes. Compliance with a blend of formative and summative assessment processes to offer constructive comments on performance and career progress in between set intervals. Use a platform whereby your fellows can be rewarded for good performance to enhance on the part of the team's performance and spirit.</w:t>
      </w:r>
    </w:p>
    <w:p w14:paraId="3C2206AF" w14:textId="77777777" w:rsidR="00EB4C96" w:rsidRPr="00EB4C96" w:rsidRDefault="00EB4C96" w:rsidP="00555E5C">
      <w:pPr>
        <w:keepNext/>
        <w:spacing w:line="360" w:lineRule="auto"/>
        <w:jc w:val="center"/>
        <w:rPr>
          <w:rFonts w:ascii="Arial" w:hAnsi="Arial" w:cs="Arial"/>
          <w:sz w:val="24"/>
          <w:szCs w:val="24"/>
        </w:rPr>
      </w:pPr>
      <w:r w:rsidRPr="00EB4C96">
        <w:rPr>
          <w:rFonts w:ascii="Arial" w:hAnsi="Arial" w:cs="Arial"/>
          <w:noProof/>
          <w:sz w:val="24"/>
          <w:szCs w:val="24"/>
        </w:rPr>
        <w:drawing>
          <wp:inline distT="0" distB="0" distL="0" distR="0" wp14:anchorId="52FF6E69" wp14:editId="059C049C">
            <wp:extent cx="2676525" cy="2390775"/>
            <wp:effectExtent l="0" t="0" r="9525" b="9525"/>
            <wp:docPr id="1028" name="Picture 4" descr="A diagram of a sandwic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8" name="Picture 4" descr="A diagram of a sandwich&#10;&#10;Description automatically generated"/>
                    <pic:cNvPicPr/>
                  </pic:nvPicPr>
                  <pic:blipFill>
                    <a:blip r:embed="rId8" cstate="print"/>
                    <a:srcRect/>
                    <a:stretch/>
                  </pic:blipFill>
                  <pic:spPr>
                    <a:xfrm>
                      <a:off x="0" y="0"/>
                      <a:ext cx="2676525" cy="2390775"/>
                    </a:xfrm>
                    <a:prstGeom prst="rect">
                      <a:avLst/>
                    </a:prstGeom>
                  </pic:spPr>
                </pic:pic>
              </a:graphicData>
            </a:graphic>
          </wp:inline>
        </w:drawing>
      </w:r>
    </w:p>
    <w:p w14:paraId="143F9171" w14:textId="2C3E8AA1" w:rsidR="00EB4C96" w:rsidRPr="00555E5C" w:rsidRDefault="00EB4C96" w:rsidP="00555E5C">
      <w:pPr>
        <w:pStyle w:val="Caption"/>
        <w:spacing w:line="360" w:lineRule="auto"/>
        <w:jc w:val="center"/>
        <w:rPr>
          <w:rFonts w:cs="Arial"/>
          <w:b w:val="0"/>
          <w:bCs w:val="0"/>
          <w:color w:val="auto"/>
          <w:sz w:val="24"/>
          <w:szCs w:val="24"/>
        </w:rPr>
      </w:pPr>
      <w:bookmarkStart w:id="13" w:name="_Toc167402146"/>
      <w:r w:rsidRPr="00555E5C">
        <w:rPr>
          <w:rFonts w:cs="Arial"/>
          <w:b w:val="0"/>
          <w:bCs w:val="0"/>
          <w:color w:val="auto"/>
          <w:sz w:val="24"/>
          <w:szCs w:val="24"/>
        </w:rPr>
        <w:t xml:space="preserve">Figure </w:t>
      </w:r>
      <w:r w:rsidRPr="00555E5C">
        <w:rPr>
          <w:rFonts w:cs="Arial"/>
          <w:b w:val="0"/>
          <w:bCs w:val="0"/>
          <w:color w:val="auto"/>
          <w:sz w:val="24"/>
          <w:szCs w:val="24"/>
        </w:rPr>
        <w:fldChar w:fldCharType="begin"/>
      </w:r>
      <w:r w:rsidRPr="00555E5C">
        <w:rPr>
          <w:rFonts w:cs="Arial"/>
          <w:b w:val="0"/>
          <w:bCs w:val="0"/>
          <w:color w:val="auto"/>
          <w:sz w:val="24"/>
          <w:szCs w:val="24"/>
        </w:rPr>
        <w:instrText xml:space="preserve"> SEQ Figure \* ARABIC </w:instrText>
      </w:r>
      <w:r w:rsidRPr="00555E5C">
        <w:rPr>
          <w:rFonts w:cs="Arial"/>
          <w:b w:val="0"/>
          <w:bCs w:val="0"/>
          <w:color w:val="auto"/>
          <w:sz w:val="24"/>
          <w:szCs w:val="24"/>
        </w:rPr>
        <w:fldChar w:fldCharType="separate"/>
      </w:r>
      <w:r w:rsidRPr="00555E5C">
        <w:rPr>
          <w:rFonts w:cs="Arial"/>
          <w:b w:val="0"/>
          <w:bCs w:val="0"/>
          <w:noProof/>
          <w:color w:val="auto"/>
          <w:sz w:val="24"/>
          <w:szCs w:val="24"/>
        </w:rPr>
        <w:t>2</w:t>
      </w:r>
      <w:r w:rsidRPr="00555E5C">
        <w:rPr>
          <w:rFonts w:cs="Arial"/>
          <w:b w:val="0"/>
          <w:bCs w:val="0"/>
          <w:color w:val="auto"/>
          <w:sz w:val="24"/>
          <w:szCs w:val="24"/>
        </w:rPr>
        <w:fldChar w:fldCharType="end"/>
      </w:r>
      <w:r w:rsidRPr="00555E5C">
        <w:rPr>
          <w:rFonts w:cs="Arial"/>
          <w:b w:val="0"/>
          <w:bCs w:val="0"/>
          <w:color w:val="auto"/>
          <w:sz w:val="24"/>
          <w:szCs w:val="24"/>
        </w:rPr>
        <w:t>: Sandwich feedback</w:t>
      </w:r>
      <w:bookmarkEnd w:id="13"/>
      <w:r w:rsidR="00555E5C">
        <w:rPr>
          <w:rFonts w:cs="Arial"/>
          <w:b w:val="0"/>
          <w:bCs w:val="0"/>
          <w:color w:val="auto"/>
          <w:sz w:val="24"/>
          <w:szCs w:val="24"/>
        </w:rPr>
        <w:br/>
      </w:r>
      <w:r w:rsidRPr="00555E5C">
        <w:rPr>
          <w:rFonts w:cs="Arial"/>
          <w:b w:val="0"/>
          <w:bCs w:val="0"/>
          <w:color w:val="auto"/>
          <w:sz w:val="24"/>
          <w:szCs w:val="24"/>
        </w:rPr>
        <w:t>Source: (</w:t>
      </w:r>
      <w:proofErr w:type="spellStart"/>
      <w:r w:rsidRPr="00555E5C">
        <w:rPr>
          <w:rFonts w:cs="Arial"/>
          <w:b w:val="0"/>
          <w:bCs w:val="0"/>
          <w:color w:val="auto"/>
          <w:sz w:val="24"/>
          <w:szCs w:val="24"/>
        </w:rPr>
        <w:t>Toytok</w:t>
      </w:r>
      <w:proofErr w:type="spellEnd"/>
      <w:r w:rsidRPr="00555E5C">
        <w:rPr>
          <w:rFonts w:cs="Arial"/>
          <w:b w:val="0"/>
          <w:bCs w:val="0"/>
          <w:color w:val="auto"/>
          <w:sz w:val="24"/>
          <w:szCs w:val="24"/>
        </w:rPr>
        <w:t xml:space="preserve"> and Yavuz, 2018)</w:t>
      </w:r>
    </w:p>
    <w:p w14:paraId="65BB5752" w14:textId="77777777" w:rsidR="00EB4C96" w:rsidRPr="00EB4C96" w:rsidRDefault="00EB4C96" w:rsidP="00EB4C96">
      <w:pPr>
        <w:spacing w:line="360" w:lineRule="auto"/>
        <w:jc w:val="both"/>
        <w:rPr>
          <w:rFonts w:ascii="Arial" w:hAnsi="Arial" w:cs="Arial"/>
          <w:b/>
          <w:sz w:val="24"/>
          <w:szCs w:val="24"/>
        </w:rPr>
      </w:pPr>
      <w:r w:rsidRPr="00EB4C96">
        <w:rPr>
          <w:rFonts w:ascii="Arial" w:hAnsi="Arial" w:cs="Arial"/>
          <w:b/>
          <w:sz w:val="24"/>
          <w:szCs w:val="24"/>
        </w:rPr>
        <w:t>Performance Review and Development Planning (End of Review Period):</w:t>
      </w:r>
    </w:p>
    <w:p w14:paraId="5F11C0A1" w14:textId="7920BD4F" w:rsidR="00EB4C96" w:rsidRPr="00EB4C96" w:rsidRDefault="00EB4C96" w:rsidP="00EB4C96">
      <w:pPr>
        <w:spacing w:line="360" w:lineRule="auto"/>
        <w:jc w:val="both"/>
        <w:rPr>
          <w:rFonts w:ascii="Arial" w:hAnsi="Arial" w:cs="Arial"/>
          <w:sz w:val="24"/>
          <w:szCs w:val="24"/>
        </w:rPr>
      </w:pPr>
      <w:proofErr w:type="spellStart"/>
      <w:r w:rsidRPr="00EB4C96">
        <w:rPr>
          <w:rFonts w:ascii="Arial" w:hAnsi="Arial" w:cs="Arial"/>
          <w:sz w:val="24"/>
          <w:szCs w:val="24"/>
        </w:rPr>
        <w:t>Easyhotel</w:t>
      </w:r>
      <w:proofErr w:type="spellEnd"/>
      <w:r w:rsidRPr="00EB4C96">
        <w:rPr>
          <w:rFonts w:ascii="Arial" w:hAnsi="Arial" w:cs="Arial"/>
          <w:sz w:val="24"/>
          <w:szCs w:val="24"/>
        </w:rPr>
        <w:t xml:space="preserve"> can ensure to undertaking of an assessment of the output and results against </w:t>
      </w:r>
      <w:r w:rsidRPr="00EB4C96">
        <w:rPr>
          <w:rFonts w:ascii="Arial" w:hAnsi="Arial" w:cs="Arial"/>
          <w:color w:val="000000" w:themeColor="text1"/>
          <w:sz w:val="24"/>
          <w:szCs w:val="24"/>
        </w:rPr>
        <w:t xml:space="preserve">laid down objectives and regular assessment. Assessment should fill the criteria of performance assessment. Develop a partnership for coming up with the development plan concerning areas of strength, weakness, opportunity, and training that can be provided to fill the existing gap (Qiu and Wei, 2017). Develop </w:t>
      </w:r>
      <w:r w:rsidRPr="00EB4C96">
        <w:rPr>
          <w:rFonts w:ascii="Arial" w:hAnsi="Arial" w:cs="Arial"/>
          <w:sz w:val="24"/>
          <w:szCs w:val="24"/>
        </w:rPr>
        <w:t xml:space="preserve">a communication strategy that should utilize video conferencing, instant messaging, and surveys to ensure the employees working in remote locations </w:t>
      </w:r>
      <w:r w:rsidR="000F6127" w:rsidRPr="00EB4C96">
        <w:rPr>
          <w:rFonts w:ascii="Arial" w:hAnsi="Arial" w:cs="Arial"/>
          <w:sz w:val="24"/>
          <w:szCs w:val="24"/>
        </w:rPr>
        <w:t>relate to</w:t>
      </w:r>
      <w:r w:rsidRPr="00EB4C96">
        <w:rPr>
          <w:rFonts w:ascii="Arial" w:hAnsi="Arial" w:cs="Arial"/>
          <w:sz w:val="24"/>
          <w:szCs w:val="24"/>
        </w:rPr>
        <w:t xml:space="preserve"> the rest of the team. Identify other resources that can be used or tools that exist largely for a business that employs remote staff in the hospitality business. </w:t>
      </w:r>
    </w:p>
    <w:p w14:paraId="4717DCB8" w14:textId="77777777" w:rsidR="00EB4C96" w:rsidRPr="00EB4C96" w:rsidRDefault="00EB4C96" w:rsidP="00EB4C96">
      <w:pPr>
        <w:spacing w:line="360" w:lineRule="auto"/>
        <w:jc w:val="both"/>
        <w:rPr>
          <w:rFonts w:ascii="Arial" w:hAnsi="Arial" w:cs="Arial"/>
          <w:b/>
          <w:sz w:val="24"/>
          <w:szCs w:val="24"/>
        </w:rPr>
      </w:pPr>
      <w:r w:rsidRPr="00EB4C96">
        <w:rPr>
          <w:rFonts w:ascii="Arial" w:hAnsi="Arial" w:cs="Arial"/>
          <w:b/>
          <w:sz w:val="24"/>
          <w:szCs w:val="24"/>
        </w:rPr>
        <w:t>Communication and Transparency:</w:t>
      </w:r>
    </w:p>
    <w:p w14:paraId="797B5ED3" w14:textId="6D8EA04A"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lastRenderedPageBreak/>
        <w:t xml:space="preserve">The strategy entails being specific when passing communication throughout the process, as well as any anticipation, analysis, and advancement. For this reason, the </w:t>
      </w:r>
      <w:r w:rsidR="008126FB">
        <w:rPr>
          <w:rFonts w:ascii="Arial" w:hAnsi="Arial" w:cs="Arial"/>
          <w:sz w:val="24"/>
          <w:szCs w:val="24"/>
        </w:rPr>
        <w:t>behaviourist</w:t>
      </w:r>
      <w:r w:rsidRPr="00EB4C96">
        <w:rPr>
          <w:rFonts w:ascii="Arial" w:hAnsi="Arial" w:cs="Arial"/>
          <w:sz w:val="24"/>
          <w:szCs w:val="24"/>
        </w:rPr>
        <w:t xml:space="preserve"> approach can be promoted during performance reviews by encouraging the employer and employee to engage in two-way communication about roles, goals, and an employee's learning requirements.</w:t>
      </w:r>
    </w:p>
    <w:p w14:paraId="30454C50" w14:textId="77777777" w:rsidR="00EB4C96" w:rsidRPr="00EB4C96" w:rsidRDefault="00EB4C96" w:rsidP="00555E5C">
      <w:pPr>
        <w:pStyle w:val="Heading1"/>
      </w:pPr>
      <w:bookmarkStart w:id="14" w:name="_Toc167407707"/>
      <w:bookmarkStart w:id="15" w:name="_Toc168297074"/>
      <w:r w:rsidRPr="00555E5C">
        <w:t>Conclusion</w:t>
      </w:r>
      <w:bookmarkEnd w:id="14"/>
      <w:bookmarkEnd w:id="15"/>
    </w:p>
    <w:p w14:paraId="6D8D5FA4"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Knowing social and economic processes allows them to attract cost-conscious tourists and mitigate the effects of the shift towards remote employment by providing co-working areas. It is essential to explain how interpersonal communication and feedback influence remote personnel's performance, advocating for the model that includes daily-to-weekly staff interactions, weekly celebrations, and monthly personnel progress meetings. If applied, these improvements concerning </w:t>
      </w:r>
      <w:proofErr w:type="spellStart"/>
      <w:r w:rsidRPr="00EB4C96">
        <w:rPr>
          <w:rFonts w:ascii="Arial" w:hAnsi="Arial" w:cs="Arial"/>
          <w:sz w:val="24"/>
          <w:szCs w:val="24"/>
        </w:rPr>
        <w:t>easyHotel</w:t>
      </w:r>
      <w:proofErr w:type="spellEnd"/>
      <w:r w:rsidRPr="00EB4C96">
        <w:rPr>
          <w:rFonts w:ascii="Arial" w:hAnsi="Arial" w:cs="Arial"/>
          <w:sz w:val="24"/>
          <w:szCs w:val="24"/>
        </w:rPr>
        <w:t xml:space="preserve"> will enable it to leverage trends, manage its workforce, and profit in the long run.</w:t>
      </w:r>
    </w:p>
    <w:p w14:paraId="639B1AD3" w14:textId="77777777" w:rsidR="00EB4C96" w:rsidRPr="00EB4C96" w:rsidRDefault="00EB4C96" w:rsidP="00EB4C96">
      <w:pPr>
        <w:spacing w:line="360" w:lineRule="auto"/>
        <w:jc w:val="both"/>
        <w:rPr>
          <w:rFonts w:ascii="Arial" w:eastAsia="SimSun" w:hAnsi="Arial" w:cs="Arial"/>
          <w:b/>
          <w:bCs/>
          <w:color w:val="365F91"/>
          <w:sz w:val="24"/>
          <w:szCs w:val="24"/>
        </w:rPr>
      </w:pPr>
      <w:r w:rsidRPr="00EB4C96">
        <w:rPr>
          <w:rFonts w:ascii="Arial" w:hAnsi="Arial" w:cs="Arial"/>
          <w:sz w:val="24"/>
          <w:szCs w:val="24"/>
        </w:rPr>
        <w:br w:type="page"/>
      </w:r>
    </w:p>
    <w:p w14:paraId="5061016B" w14:textId="77777777" w:rsidR="00EB4C96" w:rsidRPr="00EB4C96" w:rsidRDefault="00EB4C96" w:rsidP="00555E5C">
      <w:pPr>
        <w:pStyle w:val="Heading1"/>
      </w:pPr>
      <w:bookmarkStart w:id="16" w:name="_Toc167407708"/>
      <w:bookmarkStart w:id="17" w:name="_Toc168297075"/>
      <w:r w:rsidRPr="00555E5C">
        <w:lastRenderedPageBreak/>
        <w:t>Reference</w:t>
      </w:r>
      <w:bookmarkEnd w:id="16"/>
      <w:bookmarkEnd w:id="17"/>
    </w:p>
    <w:p w14:paraId="34804DDF"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Biron, M., Farndale, E., &amp; Paauwe, J. (2011). Performance management effectiveness: lessons from world-leading firms. The International Journal of Human Resource Management, 22(6), 1294–1311. https://doi.org/10.1080/09585192.2011.559100</w:t>
      </w:r>
    </w:p>
    <w:p w14:paraId="39384259"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Bruce Tracey, J. (2014). A review of human resources management research. </w:t>
      </w:r>
      <w:r w:rsidRPr="00EB4C96">
        <w:rPr>
          <w:rFonts w:ascii="Arial" w:hAnsi="Arial" w:cs="Arial"/>
          <w:i/>
          <w:iCs/>
          <w:sz w:val="24"/>
          <w:szCs w:val="24"/>
        </w:rPr>
        <w:t>International Journal of Contemporary Hospitality Management</w:t>
      </w:r>
      <w:r w:rsidRPr="00EB4C96">
        <w:rPr>
          <w:rFonts w:ascii="Arial" w:hAnsi="Arial" w:cs="Arial"/>
          <w:sz w:val="24"/>
          <w:szCs w:val="24"/>
        </w:rPr>
        <w:t xml:space="preserve">, </w:t>
      </w:r>
      <w:r w:rsidRPr="00EB4C96">
        <w:rPr>
          <w:rFonts w:ascii="Arial" w:hAnsi="Arial" w:cs="Arial"/>
          <w:i/>
          <w:iCs/>
          <w:sz w:val="24"/>
          <w:szCs w:val="24"/>
        </w:rPr>
        <w:t>26</w:t>
      </w:r>
      <w:r w:rsidRPr="00EB4C96">
        <w:rPr>
          <w:rFonts w:ascii="Arial" w:hAnsi="Arial" w:cs="Arial"/>
          <w:sz w:val="24"/>
          <w:szCs w:val="24"/>
        </w:rPr>
        <w:t>(5), 679–705. https://doi.org/10.1108/ijchm-02-2014-0056</w:t>
      </w:r>
    </w:p>
    <w:p w14:paraId="3E561E1C" w14:textId="362B2631"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Campos-Soria, J. A., García-Pozo, A., and Sánchez-Ollero, J. L. (2015). Gender wage inequality and </w:t>
      </w:r>
      <w:r w:rsidR="008126FB">
        <w:rPr>
          <w:rFonts w:ascii="Arial" w:hAnsi="Arial" w:cs="Arial"/>
          <w:sz w:val="24"/>
          <w:szCs w:val="24"/>
        </w:rPr>
        <w:t>labour</w:t>
      </w:r>
      <w:r w:rsidRPr="00EB4C96">
        <w:rPr>
          <w:rFonts w:ascii="Arial" w:hAnsi="Arial" w:cs="Arial"/>
          <w:sz w:val="24"/>
          <w:szCs w:val="24"/>
        </w:rPr>
        <w:t xml:space="preserve"> mobility in the hospitality sector. </w:t>
      </w:r>
      <w:r w:rsidRPr="00EB4C96">
        <w:rPr>
          <w:rFonts w:ascii="Arial" w:hAnsi="Arial" w:cs="Arial"/>
          <w:i/>
          <w:iCs/>
          <w:sz w:val="24"/>
          <w:szCs w:val="24"/>
        </w:rPr>
        <w:t>International Journal of Hospitality Management</w:t>
      </w:r>
      <w:r w:rsidRPr="00EB4C96">
        <w:rPr>
          <w:rFonts w:ascii="Arial" w:hAnsi="Arial" w:cs="Arial"/>
          <w:sz w:val="24"/>
          <w:szCs w:val="24"/>
        </w:rPr>
        <w:t xml:space="preserve">, </w:t>
      </w:r>
      <w:r w:rsidRPr="00EB4C96">
        <w:rPr>
          <w:rFonts w:ascii="Arial" w:hAnsi="Arial" w:cs="Arial"/>
          <w:i/>
          <w:iCs/>
          <w:sz w:val="24"/>
          <w:szCs w:val="24"/>
        </w:rPr>
        <w:t>49</w:t>
      </w:r>
      <w:r w:rsidRPr="00EB4C96">
        <w:rPr>
          <w:rFonts w:ascii="Arial" w:hAnsi="Arial" w:cs="Arial"/>
          <w:sz w:val="24"/>
          <w:szCs w:val="24"/>
        </w:rPr>
        <w:t>(6), 73–82. https://doi.org/10.1016/j.ijhm.2015.05.009</w:t>
      </w:r>
    </w:p>
    <w:p w14:paraId="08CDE07B"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Cappelli, P., and Tavis, A. (2016). </w:t>
      </w:r>
      <w:r w:rsidRPr="00EB4C96">
        <w:rPr>
          <w:rFonts w:ascii="Arial" w:hAnsi="Arial" w:cs="Arial"/>
          <w:i/>
          <w:iCs/>
          <w:sz w:val="24"/>
          <w:szCs w:val="24"/>
        </w:rPr>
        <w:t>The focus is shifting from accountability to learning</w:t>
      </w:r>
      <w:r w:rsidRPr="00EB4C96">
        <w:rPr>
          <w:rFonts w:ascii="Arial" w:hAnsi="Arial" w:cs="Arial"/>
          <w:sz w:val="24"/>
          <w:szCs w:val="24"/>
        </w:rPr>
        <w:t>. https://prod-edxapp.edx-cdn.org/assets/courseware/v1/0d740b595eaebef7a8cdd812f86f6760/asset-v1:WhartonOnlineProfessionalEd+MGMT1x+4T2017+type@asset+block/Performance-Appraisal-HBR.pdf</w:t>
      </w:r>
    </w:p>
    <w:p w14:paraId="5D298D06"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Chen, Y.-C., Wang, W.-C., and Chu, Y.-C. (2011). A Case Study on the Business Performance Management of Hilton Hotels Corporation. </w:t>
      </w:r>
      <w:r w:rsidRPr="00EB4C96">
        <w:rPr>
          <w:rFonts w:ascii="Arial" w:hAnsi="Arial" w:cs="Arial"/>
          <w:i/>
          <w:iCs/>
          <w:sz w:val="24"/>
          <w:szCs w:val="24"/>
        </w:rPr>
        <w:t>International Business Research</w:t>
      </w:r>
      <w:r w:rsidRPr="00EB4C96">
        <w:rPr>
          <w:rFonts w:ascii="Arial" w:hAnsi="Arial" w:cs="Arial"/>
          <w:sz w:val="24"/>
          <w:szCs w:val="24"/>
        </w:rPr>
        <w:t xml:space="preserve">, </w:t>
      </w:r>
      <w:r w:rsidRPr="00EB4C96">
        <w:rPr>
          <w:rFonts w:ascii="Arial" w:hAnsi="Arial" w:cs="Arial"/>
          <w:i/>
          <w:iCs/>
          <w:sz w:val="24"/>
          <w:szCs w:val="24"/>
        </w:rPr>
        <w:t>4</w:t>
      </w:r>
      <w:r w:rsidRPr="00EB4C96">
        <w:rPr>
          <w:rFonts w:ascii="Arial" w:hAnsi="Arial" w:cs="Arial"/>
          <w:sz w:val="24"/>
          <w:szCs w:val="24"/>
        </w:rPr>
        <w:t>(2). https://doi.org/10.5539/ibr.v4n2p213</w:t>
      </w:r>
    </w:p>
    <w:p w14:paraId="1E13FDD1"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Davidson C.G., McPhail, R., and Barry, S. (2011). Hospitality HRM: past, present and the future. </w:t>
      </w:r>
      <w:r w:rsidRPr="00EB4C96">
        <w:rPr>
          <w:rFonts w:ascii="Arial" w:hAnsi="Arial" w:cs="Arial"/>
          <w:i/>
          <w:iCs/>
          <w:sz w:val="24"/>
          <w:szCs w:val="24"/>
        </w:rPr>
        <w:t>International Journal of Contemporary Hospitality Management</w:t>
      </w:r>
      <w:r w:rsidRPr="00EB4C96">
        <w:rPr>
          <w:rFonts w:ascii="Arial" w:hAnsi="Arial" w:cs="Arial"/>
          <w:sz w:val="24"/>
          <w:szCs w:val="24"/>
        </w:rPr>
        <w:t xml:space="preserve">, </w:t>
      </w:r>
      <w:r w:rsidRPr="00EB4C96">
        <w:rPr>
          <w:rFonts w:ascii="Arial" w:hAnsi="Arial" w:cs="Arial"/>
          <w:i/>
          <w:iCs/>
          <w:sz w:val="24"/>
          <w:szCs w:val="24"/>
        </w:rPr>
        <w:t>23</w:t>
      </w:r>
      <w:r w:rsidRPr="00EB4C96">
        <w:rPr>
          <w:rFonts w:ascii="Arial" w:hAnsi="Arial" w:cs="Arial"/>
          <w:sz w:val="24"/>
          <w:szCs w:val="24"/>
        </w:rPr>
        <w:t>(4), 498–516. https://doi.org/10.1108/09596111111130001</w:t>
      </w:r>
    </w:p>
    <w:p w14:paraId="7FFCFE35"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Den Hartog, D. N., </w:t>
      </w:r>
      <w:proofErr w:type="spellStart"/>
      <w:r w:rsidRPr="00EB4C96">
        <w:rPr>
          <w:rFonts w:ascii="Arial" w:hAnsi="Arial" w:cs="Arial"/>
          <w:sz w:val="24"/>
          <w:szCs w:val="24"/>
        </w:rPr>
        <w:t>Boselie</w:t>
      </w:r>
      <w:proofErr w:type="spellEnd"/>
      <w:r w:rsidRPr="00EB4C96">
        <w:rPr>
          <w:rFonts w:ascii="Arial" w:hAnsi="Arial" w:cs="Arial"/>
          <w:sz w:val="24"/>
          <w:szCs w:val="24"/>
        </w:rPr>
        <w:t xml:space="preserve">, P., and Paauwe, J. (2014). Performance Management: A Model and Research Agenda. </w:t>
      </w:r>
      <w:r w:rsidRPr="00EB4C96">
        <w:rPr>
          <w:rFonts w:ascii="Arial" w:hAnsi="Arial" w:cs="Arial"/>
          <w:i/>
          <w:iCs/>
          <w:sz w:val="24"/>
          <w:szCs w:val="24"/>
        </w:rPr>
        <w:t>Applied Psychology</w:t>
      </w:r>
      <w:r w:rsidRPr="00EB4C96">
        <w:rPr>
          <w:rFonts w:ascii="Arial" w:hAnsi="Arial" w:cs="Arial"/>
          <w:sz w:val="24"/>
          <w:szCs w:val="24"/>
        </w:rPr>
        <w:t xml:space="preserve">, </w:t>
      </w:r>
      <w:r w:rsidRPr="00EB4C96">
        <w:rPr>
          <w:rFonts w:ascii="Arial" w:hAnsi="Arial" w:cs="Arial"/>
          <w:i/>
          <w:iCs/>
          <w:sz w:val="24"/>
          <w:szCs w:val="24"/>
        </w:rPr>
        <w:t>53</w:t>
      </w:r>
      <w:r w:rsidRPr="00EB4C96">
        <w:rPr>
          <w:rFonts w:ascii="Arial" w:hAnsi="Arial" w:cs="Arial"/>
          <w:sz w:val="24"/>
          <w:szCs w:val="24"/>
        </w:rPr>
        <w:t>(4), 556–569. https://doi.org/10.1111/j.1464-0597.2004.00188.x</w:t>
      </w:r>
    </w:p>
    <w:p w14:paraId="27B13BCE" w14:textId="77777777" w:rsidR="00EB4C96" w:rsidRPr="00EB4C96" w:rsidRDefault="00EB4C96" w:rsidP="00EB4C96">
      <w:pPr>
        <w:spacing w:line="360" w:lineRule="auto"/>
        <w:jc w:val="both"/>
        <w:rPr>
          <w:rFonts w:ascii="Arial" w:hAnsi="Arial" w:cs="Arial"/>
          <w:sz w:val="24"/>
          <w:szCs w:val="24"/>
        </w:rPr>
      </w:pPr>
      <w:proofErr w:type="spellStart"/>
      <w:r w:rsidRPr="00EB4C96">
        <w:rPr>
          <w:rFonts w:ascii="Arial" w:hAnsi="Arial" w:cs="Arial"/>
          <w:sz w:val="24"/>
          <w:szCs w:val="24"/>
        </w:rPr>
        <w:t>EasyHotel</w:t>
      </w:r>
      <w:proofErr w:type="spellEnd"/>
      <w:r w:rsidRPr="00EB4C96">
        <w:rPr>
          <w:rFonts w:ascii="Arial" w:hAnsi="Arial" w:cs="Arial"/>
          <w:sz w:val="24"/>
          <w:szCs w:val="24"/>
        </w:rPr>
        <w:t xml:space="preserve">. (2019). </w:t>
      </w:r>
      <w:proofErr w:type="spellStart"/>
      <w:r w:rsidRPr="00EB4C96">
        <w:rPr>
          <w:rFonts w:ascii="Arial" w:hAnsi="Arial" w:cs="Arial"/>
          <w:i/>
          <w:iCs/>
          <w:sz w:val="24"/>
          <w:szCs w:val="24"/>
        </w:rPr>
        <w:t>easyHotel</w:t>
      </w:r>
      <w:proofErr w:type="spellEnd"/>
      <w:r w:rsidRPr="00EB4C96">
        <w:rPr>
          <w:rFonts w:ascii="Arial" w:hAnsi="Arial" w:cs="Arial"/>
          <w:i/>
          <w:iCs/>
          <w:sz w:val="24"/>
          <w:szCs w:val="24"/>
        </w:rPr>
        <w:t xml:space="preserve"> | Super Budget Hotel Rooms in 40 Worldwide Locations</w:t>
      </w:r>
      <w:r w:rsidRPr="00EB4C96">
        <w:rPr>
          <w:rFonts w:ascii="Arial" w:hAnsi="Arial" w:cs="Arial"/>
          <w:sz w:val="24"/>
          <w:szCs w:val="24"/>
        </w:rPr>
        <w:t xml:space="preserve">. </w:t>
      </w:r>
      <w:proofErr w:type="spellStart"/>
      <w:r w:rsidRPr="00EB4C96">
        <w:rPr>
          <w:rFonts w:ascii="Arial" w:hAnsi="Arial" w:cs="Arial"/>
          <w:sz w:val="24"/>
          <w:szCs w:val="24"/>
        </w:rPr>
        <w:t>EasyHotel</w:t>
      </w:r>
      <w:proofErr w:type="spellEnd"/>
      <w:r w:rsidRPr="00EB4C96">
        <w:rPr>
          <w:rFonts w:ascii="Arial" w:hAnsi="Arial" w:cs="Arial"/>
          <w:sz w:val="24"/>
          <w:szCs w:val="24"/>
        </w:rPr>
        <w:t>. https://www.easyhotel.com/</w:t>
      </w:r>
    </w:p>
    <w:p w14:paraId="55500DC0"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Folan, P., and Browne, J. (2005). A review of performance measurement: Towards performance management. </w:t>
      </w:r>
      <w:r w:rsidRPr="00EB4C96">
        <w:rPr>
          <w:rFonts w:ascii="Arial" w:hAnsi="Arial" w:cs="Arial"/>
          <w:i/>
          <w:iCs/>
          <w:sz w:val="24"/>
          <w:szCs w:val="24"/>
        </w:rPr>
        <w:t>Computers in Industry</w:t>
      </w:r>
      <w:r w:rsidRPr="00EB4C96">
        <w:rPr>
          <w:rFonts w:ascii="Arial" w:hAnsi="Arial" w:cs="Arial"/>
          <w:sz w:val="24"/>
          <w:szCs w:val="24"/>
        </w:rPr>
        <w:t xml:space="preserve">, </w:t>
      </w:r>
      <w:r w:rsidRPr="00EB4C96">
        <w:rPr>
          <w:rFonts w:ascii="Arial" w:hAnsi="Arial" w:cs="Arial"/>
          <w:i/>
          <w:iCs/>
          <w:sz w:val="24"/>
          <w:szCs w:val="24"/>
        </w:rPr>
        <w:t>56</w:t>
      </w:r>
      <w:r w:rsidRPr="00EB4C96">
        <w:rPr>
          <w:rFonts w:ascii="Arial" w:hAnsi="Arial" w:cs="Arial"/>
          <w:sz w:val="24"/>
          <w:szCs w:val="24"/>
        </w:rPr>
        <w:t>(7), 663–680. https://doi.org/10.1016/j.compind.2005.03.001</w:t>
      </w:r>
    </w:p>
    <w:p w14:paraId="7B2C5643" w14:textId="4BF8168B"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lastRenderedPageBreak/>
        <w:t>Gerrish, E. (2015). The Impact of Performance Management on Performance in Public Organi</w:t>
      </w:r>
      <w:r w:rsidR="00555E5C">
        <w:rPr>
          <w:rFonts w:ascii="Arial" w:hAnsi="Arial" w:cs="Arial"/>
          <w:sz w:val="24"/>
          <w:szCs w:val="24"/>
        </w:rPr>
        <w:t>s</w:t>
      </w:r>
      <w:r w:rsidRPr="00EB4C96">
        <w:rPr>
          <w:rFonts w:ascii="Arial" w:hAnsi="Arial" w:cs="Arial"/>
          <w:sz w:val="24"/>
          <w:szCs w:val="24"/>
        </w:rPr>
        <w:t xml:space="preserve">ations: A Meta-Analysis. </w:t>
      </w:r>
      <w:r w:rsidRPr="00EB4C96">
        <w:rPr>
          <w:rFonts w:ascii="Arial" w:hAnsi="Arial" w:cs="Arial"/>
          <w:i/>
          <w:iCs/>
          <w:sz w:val="24"/>
          <w:szCs w:val="24"/>
        </w:rPr>
        <w:t>Public Administration Review</w:t>
      </w:r>
      <w:r w:rsidRPr="00EB4C96">
        <w:rPr>
          <w:rFonts w:ascii="Arial" w:hAnsi="Arial" w:cs="Arial"/>
          <w:sz w:val="24"/>
          <w:szCs w:val="24"/>
        </w:rPr>
        <w:t xml:space="preserve">, </w:t>
      </w:r>
      <w:r w:rsidRPr="00EB4C96">
        <w:rPr>
          <w:rFonts w:ascii="Arial" w:hAnsi="Arial" w:cs="Arial"/>
          <w:i/>
          <w:iCs/>
          <w:sz w:val="24"/>
          <w:szCs w:val="24"/>
        </w:rPr>
        <w:t>76</w:t>
      </w:r>
      <w:r w:rsidRPr="00EB4C96">
        <w:rPr>
          <w:rFonts w:ascii="Arial" w:hAnsi="Arial" w:cs="Arial"/>
          <w:sz w:val="24"/>
          <w:szCs w:val="24"/>
        </w:rPr>
        <w:t>(1), 48–66. https://doi.org/10.1111/puar.12433</w:t>
      </w:r>
    </w:p>
    <w:p w14:paraId="6EF64E89"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Herington, C., McPhail, R., and </w:t>
      </w:r>
      <w:proofErr w:type="spellStart"/>
      <w:r w:rsidRPr="00EB4C96">
        <w:rPr>
          <w:rFonts w:ascii="Arial" w:hAnsi="Arial" w:cs="Arial"/>
          <w:sz w:val="24"/>
          <w:szCs w:val="24"/>
        </w:rPr>
        <w:t>Guilding</w:t>
      </w:r>
      <w:proofErr w:type="spellEnd"/>
      <w:r w:rsidRPr="00EB4C96">
        <w:rPr>
          <w:rFonts w:ascii="Arial" w:hAnsi="Arial" w:cs="Arial"/>
          <w:sz w:val="24"/>
          <w:szCs w:val="24"/>
        </w:rPr>
        <w:t xml:space="preserve">, C. (2013). The evolving nature of hotel HR performance measurement systems and challenges arising: An exploratory study. </w:t>
      </w:r>
      <w:r w:rsidRPr="00EB4C96">
        <w:rPr>
          <w:rFonts w:ascii="Arial" w:hAnsi="Arial" w:cs="Arial"/>
          <w:i/>
          <w:iCs/>
          <w:sz w:val="24"/>
          <w:szCs w:val="24"/>
        </w:rPr>
        <w:t>Journal of Hospitality and Tourism Management</w:t>
      </w:r>
      <w:r w:rsidRPr="00EB4C96">
        <w:rPr>
          <w:rFonts w:ascii="Arial" w:hAnsi="Arial" w:cs="Arial"/>
          <w:sz w:val="24"/>
          <w:szCs w:val="24"/>
        </w:rPr>
        <w:t xml:space="preserve">, </w:t>
      </w:r>
      <w:r w:rsidRPr="00EB4C96">
        <w:rPr>
          <w:rFonts w:ascii="Arial" w:hAnsi="Arial" w:cs="Arial"/>
          <w:i/>
          <w:iCs/>
          <w:sz w:val="24"/>
          <w:szCs w:val="24"/>
        </w:rPr>
        <w:t>20</w:t>
      </w:r>
      <w:r w:rsidRPr="00EB4C96">
        <w:rPr>
          <w:rFonts w:ascii="Arial" w:hAnsi="Arial" w:cs="Arial"/>
          <w:sz w:val="24"/>
          <w:szCs w:val="24"/>
        </w:rPr>
        <w:t>(6), 68–75. https://doi.org/10.1016/j.jhtm.2013.06.002</w:t>
      </w:r>
    </w:p>
    <w:p w14:paraId="7A2FC3E5"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Jovana Lončar, and Miroslav Knežević. (2023). The influence of a hotel room </w:t>
      </w:r>
      <w:proofErr w:type="gramStart"/>
      <w:r w:rsidRPr="00EB4C96">
        <w:rPr>
          <w:rFonts w:ascii="Arial" w:hAnsi="Arial" w:cs="Arial"/>
          <w:sz w:val="24"/>
          <w:szCs w:val="24"/>
        </w:rPr>
        <w:t>experience</w:t>
      </w:r>
      <w:proofErr w:type="gramEnd"/>
      <w:r w:rsidRPr="00EB4C96">
        <w:rPr>
          <w:rFonts w:ascii="Arial" w:hAnsi="Arial" w:cs="Arial"/>
          <w:sz w:val="24"/>
          <w:szCs w:val="24"/>
        </w:rPr>
        <w:t xml:space="preserve"> and loyalty recognition of guests by employees on overall guest satisfaction in IHG hotels. </w:t>
      </w:r>
      <w:proofErr w:type="spellStart"/>
      <w:r w:rsidRPr="00EB4C96">
        <w:rPr>
          <w:rFonts w:ascii="Arial" w:hAnsi="Arial" w:cs="Arial"/>
          <w:i/>
          <w:iCs/>
          <w:sz w:val="24"/>
          <w:szCs w:val="24"/>
        </w:rPr>
        <w:t>Turističko</w:t>
      </w:r>
      <w:proofErr w:type="spellEnd"/>
      <w:r w:rsidRPr="00EB4C96">
        <w:rPr>
          <w:rFonts w:ascii="Arial" w:hAnsi="Arial" w:cs="Arial"/>
          <w:i/>
          <w:iCs/>
          <w:sz w:val="24"/>
          <w:szCs w:val="24"/>
        </w:rPr>
        <w:t xml:space="preserve"> </w:t>
      </w:r>
      <w:proofErr w:type="spellStart"/>
      <w:r w:rsidRPr="00EB4C96">
        <w:rPr>
          <w:rFonts w:ascii="Arial" w:hAnsi="Arial" w:cs="Arial"/>
          <w:i/>
          <w:iCs/>
          <w:sz w:val="24"/>
          <w:szCs w:val="24"/>
        </w:rPr>
        <w:t>Poslovanje</w:t>
      </w:r>
      <w:proofErr w:type="spellEnd"/>
      <w:r w:rsidRPr="00EB4C96">
        <w:rPr>
          <w:rFonts w:ascii="Arial" w:hAnsi="Arial" w:cs="Arial"/>
          <w:sz w:val="24"/>
          <w:szCs w:val="24"/>
        </w:rPr>
        <w:t xml:space="preserve">, </w:t>
      </w:r>
      <w:r w:rsidRPr="00EB4C96">
        <w:rPr>
          <w:rFonts w:ascii="Arial" w:hAnsi="Arial" w:cs="Arial"/>
          <w:i/>
          <w:iCs/>
          <w:sz w:val="24"/>
          <w:szCs w:val="24"/>
        </w:rPr>
        <w:t>3</w:t>
      </w:r>
      <w:r w:rsidRPr="00EB4C96">
        <w:rPr>
          <w:rFonts w:ascii="Arial" w:hAnsi="Arial" w:cs="Arial"/>
          <w:sz w:val="24"/>
          <w:szCs w:val="24"/>
        </w:rPr>
        <w:t>(31), 33–38. https://doi.org/10.5937/turpos0-44443</w:t>
      </w:r>
    </w:p>
    <w:p w14:paraId="157B1836" w14:textId="77777777" w:rsidR="00EB4C96" w:rsidRPr="00EB4C96" w:rsidRDefault="00EB4C96" w:rsidP="00EB4C96">
      <w:pPr>
        <w:spacing w:line="360" w:lineRule="auto"/>
        <w:jc w:val="both"/>
        <w:rPr>
          <w:rFonts w:ascii="Arial" w:hAnsi="Arial" w:cs="Arial"/>
          <w:sz w:val="24"/>
          <w:szCs w:val="24"/>
        </w:rPr>
      </w:pPr>
      <w:proofErr w:type="spellStart"/>
      <w:r w:rsidRPr="00EB4C96">
        <w:rPr>
          <w:rFonts w:ascii="Arial" w:hAnsi="Arial" w:cs="Arial"/>
          <w:sz w:val="24"/>
          <w:szCs w:val="24"/>
        </w:rPr>
        <w:t>Kagioglou</w:t>
      </w:r>
      <w:proofErr w:type="spellEnd"/>
      <w:r w:rsidRPr="00EB4C96">
        <w:rPr>
          <w:rFonts w:ascii="Arial" w:hAnsi="Arial" w:cs="Arial"/>
          <w:sz w:val="24"/>
          <w:szCs w:val="24"/>
        </w:rPr>
        <w:t xml:space="preserve">, M., Cooper, R., and Aouad, G. (2021). Performance management in construction: a conceptual framework. </w:t>
      </w:r>
      <w:r w:rsidRPr="00EB4C96">
        <w:rPr>
          <w:rFonts w:ascii="Arial" w:hAnsi="Arial" w:cs="Arial"/>
          <w:i/>
          <w:iCs/>
          <w:sz w:val="24"/>
          <w:szCs w:val="24"/>
        </w:rPr>
        <w:t>Construction Management and Economics</w:t>
      </w:r>
      <w:r w:rsidRPr="00EB4C96">
        <w:rPr>
          <w:rFonts w:ascii="Arial" w:hAnsi="Arial" w:cs="Arial"/>
          <w:sz w:val="24"/>
          <w:szCs w:val="24"/>
        </w:rPr>
        <w:t xml:space="preserve">, </w:t>
      </w:r>
      <w:r w:rsidRPr="00EB4C96">
        <w:rPr>
          <w:rFonts w:ascii="Arial" w:hAnsi="Arial" w:cs="Arial"/>
          <w:i/>
          <w:iCs/>
          <w:sz w:val="24"/>
          <w:szCs w:val="24"/>
        </w:rPr>
        <w:t>19</w:t>
      </w:r>
      <w:r w:rsidRPr="00EB4C96">
        <w:rPr>
          <w:rFonts w:ascii="Arial" w:hAnsi="Arial" w:cs="Arial"/>
          <w:sz w:val="24"/>
          <w:szCs w:val="24"/>
        </w:rPr>
        <w:t>(1), 85–95. https://doi.org/10.1080/01446190010003425</w:t>
      </w:r>
    </w:p>
    <w:p w14:paraId="2E5C9860"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Koenig, N., and, and Petrick, J. F. (2020). The Impact of Socio-Economic Changes in Tourism on the Business Specialization of Travel Agencies. </w:t>
      </w:r>
      <w:r w:rsidRPr="00EB4C96">
        <w:rPr>
          <w:rFonts w:ascii="Arial" w:hAnsi="Arial" w:cs="Arial"/>
          <w:i/>
          <w:iCs/>
          <w:sz w:val="24"/>
          <w:szCs w:val="24"/>
        </w:rPr>
        <w:t>WSEAS TRANSACTIONS on BUSINESS and ECONOMICS</w:t>
      </w:r>
      <w:r w:rsidRPr="00EB4C96">
        <w:rPr>
          <w:rFonts w:ascii="Arial" w:hAnsi="Arial" w:cs="Arial"/>
          <w:sz w:val="24"/>
          <w:szCs w:val="24"/>
        </w:rPr>
        <w:t xml:space="preserve">, </w:t>
      </w:r>
      <w:r w:rsidRPr="00EB4C96">
        <w:rPr>
          <w:rFonts w:ascii="Arial" w:hAnsi="Arial" w:cs="Arial"/>
          <w:i/>
          <w:iCs/>
          <w:sz w:val="24"/>
          <w:szCs w:val="24"/>
        </w:rPr>
        <w:t>17</w:t>
      </w:r>
      <w:r w:rsidRPr="00EB4C96">
        <w:rPr>
          <w:rFonts w:ascii="Arial" w:hAnsi="Arial" w:cs="Arial"/>
          <w:sz w:val="24"/>
          <w:szCs w:val="24"/>
        </w:rPr>
        <w:t>(6). https://doi.org/10.37394/23207.2020.17.35</w:t>
      </w:r>
    </w:p>
    <w:p w14:paraId="314E5CAA"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Kwan, D. M., </w:t>
      </w:r>
      <w:proofErr w:type="spellStart"/>
      <w:r w:rsidRPr="00EB4C96">
        <w:rPr>
          <w:rFonts w:ascii="Arial" w:hAnsi="Arial" w:cs="Arial"/>
          <w:sz w:val="24"/>
          <w:szCs w:val="24"/>
        </w:rPr>
        <w:t>Minghui</w:t>
      </w:r>
      <w:proofErr w:type="spellEnd"/>
      <w:r w:rsidRPr="00EB4C96">
        <w:rPr>
          <w:rFonts w:ascii="Arial" w:hAnsi="Arial" w:cs="Arial"/>
          <w:sz w:val="24"/>
          <w:szCs w:val="24"/>
        </w:rPr>
        <w:t xml:space="preserve">, D. L., Xinyu, L., and Tong, L. (2024). BUILDING GUEST’S BRAND LOVE THROUGH INCREDIBLE PRODUCTS, HEARTWARMING SERVICES, AND GLAMOROUS ATMOSPHERE: A CASE STUDY OF INTERCONTINENTAL ZHUHAI HOTEL (IHG). </w:t>
      </w:r>
      <w:r w:rsidRPr="00EB4C96">
        <w:rPr>
          <w:rFonts w:ascii="Arial" w:hAnsi="Arial" w:cs="Arial"/>
          <w:i/>
          <w:iCs/>
          <w:sz w:val="24"/>
          <w:szCs w:val="24"/>
        </w:rPr>
        <w:t>Gulf Journal of Advance Business Research</w:t>
      </w:r>
      <w:r w:rsidRPr="00EB4C96">
        <w:rPr>
          <w:rFonts w:ascii="Arial" w:hAnsi="Arial" w:cs="Arial"/>
          <w:sz w:val="24"/>
          <w:szCs w:val="24"/>
        </w:rPr>
        <w:t xml:space="preserve">, </w:t>
      </w:r>
      <w:r w:rsidRPr="00EB4C96">
        <w:rPr>
          <w:rFonts w:ascii="Arial" w:hAnsi="Arial" w:cs="Arial"/>
          <w:i/>
          <w:iCs/>
          <w:sz w:val="24"/>
          <w:szCs w:val="24"/>
        </w:rPr>
        <w:t>2</w:t>
      </w:r>
      <w:r w:rsidRPr="00EB4C96">
        <w:rPr>
          <w:rFonts w:ascii="Arial" w:hAnsi="Arial" w:cs="Arial"/>
          <w:sz w:val="24"/>
          <w:szCs w:val="24"/>
        </w:rPr>
        <w:t>(1), 47–54. https://fegulf.com/index.php/gjabr/article/view/29</w:t>
      </w:r>
    </w:p>
    <w:p w14:paraId="2645ABAB"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Qiu, S., and Wei, L. (2017). SWOT Analysis and Competition Approaches of Hotels in Guangzhou. </w:t>
      </w:r>
      <w:r w:rsidRPr="00EB4C96">
        <w:rPr>
          <w:rFonts w:ascii="Arial" w:hAnsi="Arial" w:cs="Arial"/>
          <w:i/>
          <w:iCs/>
          <w:sz w:val="24"/>
          <w:szCs w:val="24"/>
        </w:rPr>
        <w:t>IOSR Journal of Business and Management</w:t>
      </w:r>
      <w:r w:rsidRPr="00EB4C96">
        <w:rPr>
          <w:rFonts w:ascii="Arial" w:hAnsi="Arial" w:cs="Arial"/>
          <w:sz w:val="24"/>
          <w:szCs w:val="24"/>
        </w:rPr>
        <w:t xml:space="preserve">, </w:t>
      </w:r>
      <w:r w:rsidRPr="00EB4C96">
        <w:rPr>
          <w:rFonts w:ascii="Arial" w:hAnsi="Arial" w:cs="Arial"/>
          <w:i/>
          <w:iCs/>
          <w:sz w:val="24"/>
          <w:szCs w:val="24"/>
        </w:rPr>
        <w:t>19</w:t>
      </w:r>
      <w:r w:rsidRPr="00EB4C96">
        <w:rPr>
          <w:rFonts w:ascii="Arial" w:hAnsi="Arial" w:cs="Arial"/>
          <w:sz w:val="24"/>
          <w:szCs w:val="24"/>
        </w:rPr>
        <w:t>(01), 19–25. https://doi.org/10.9790/487x-1901021925</w:t>
      </w:r>
    </w:p>
    <w:p w14:paraId="59D784A7"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Radisson Hotels. (2017). </w:t>
      </w:r>
      <w:r w:rsidRPr="00EB4C96">
        <w:rPr>
          <w:rFonts w:ascii="Arial" w:hAnsi="Arial" w:cs="Arial"/>
          <w:i/>
          <w:iCs/>
          <w:sz w:val="24"/>
          <w:szCs w:val="24"/>
        </w:rPr>
        <w:t>Radisson Hotels Official Site</w:t>
      </w:r>
      <w:r w:rsidRPr="00EB4C96">
        <w:rPr>
          <w:rFonts w:ascii="Arial" w:hAnsi="Arial" w:cs="Arial"/>
          <w:sz w:val="24"/>
          <w:szCs w:val="24"/>
        </w:rPr>
        <w:t>. Radissonhotels.com. https://www.radissonhotels.com/en-us/</w:t>
      </w:r>
    </w:p>
    <w:p w14:paraId="3C08EA16" w14:textId="77777777"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Sakka, F., </w:t>
      </w:r>
      <w:proofErr w:type="gramStart"/>
      <w:r w:rsidRPr="00EB4C96">
        <w:rPr>
          <w:rFonts w:ascii="Arial" w:hAnsi="Arial" w:cs="Arial"/>
          <w:sz w:val="24"/>
          <w:szCs w:val="24"/>
        </w:rPr>
        <w:t>Mohammed ,</w:t>
      </w:r>
      <w:proofErr w:type="gramEnd"/>
      <w:r w:rsidRPr="00EB4C96">
        <w:rPr>
          <w:rFonts w:ascii="Arial" w:hAnsi="Arial" w:cs="Arial"/>
          <w:sz w:val="24"/>
          <w:szCs w:val="24"/>
        </w:rPr>
        <w:t xml:space="preserve"> H., and </w:t>
      </w:r>
      <w:proofErr w:type="spellStart"/>
      <w:r w:rsidRPr="00EB4C96">
        <w:rPr>
          <w:rFonts w:ascii="Arial" w:hAnsi="Arial" w:cs="Arial"/>
          <w:sz w:val="24"/>
          <w:szCs w:val="24"/>
        </w:rPr>
        <w:t>Maknouzi</w:t>
      </w:r>
      <w:proofErr w:type="spellEnd"/>
      <w:r w:rsidRPr="00EB4C96">
        <w:rPr>
          <w:rFonts w:ascii="Arial" w:hAnsi="Arial" w:cs="Arial"/>
          <w:sz w:val="24"/>
          <w:szCs w:val="24"/>
        </w:rPr>
        <w:t xml:space="preserve">, M. (2022). HUMAN RESOURCE MANAGEMENT IN THE ERA OF ARTIFICIAL INTELLIGENCE: FUTURE HR WORK PRACTICES, ANTICIPATED SKILL SET, FINANCIAL AND LEGAL IMPLICATIONS. </w:t>
      </w:r>
      <w:r w:rsidRPr="00EB4C96">
        <w:rPr>
          <w:rFonts w:ascii="Arial" w:hAnsi="Arial" w:cs="Arial"/>
          <w:i/>
          <w:iCs/>
          <w:sz w:val="24"/>
          <w:szCs w:val="24"/>
        </w:rPr>
        <w:t>Academy of Strategic Management Journal</w:t>
      </w:r>
      <w:r w:rsidRPr="00EB4C96">
        <w:rPr>
          <w:rFonts w:ascii="Arial" w:hAnsi="Arial" w:cs="Arial"/>
          <w:sz w:val="24"/>
          <w:szCs w:val="24"/>
        </w:rPr>
        <w:t xml:space="preserve">, </w:t>
      </w:r>
      <w:r w:rsidRPr="00EB4C96">
        <w:rPr>
          <w:rFonts w:ascii="Arial" w:hAnsi="Arial" w:cs="Arial"/>
          <w:i/>
          <w:iCs/>
          <w:sz w:val="24"/>
          <w:szCs w:val="24"/>
        </w:rPr>
        <w:t>21</w:t>
      </w:r>
      <w:r w:rsidRPr="00EB4C96">
        <w:rPr>
          <w:rFonts w:ascii="Arial" w:hAnsi="Arial" w:cs="Arial"/>
          <w:sz w:val="24"/>
          <w:szCs w:val="24"/>
        </w:rPr>
        <w:t>(1).</w:t>
      </w:r>
    </w:p>
    <w:p w14:paraId="3D092BA7" w14:textId="6EFBB9CE" w:rsidR="00EB4C96" w:rsidRPr="00EB4C96" w:rsidRDefault="00EB4C96" w:rsidP="00EB4C96">
      <w:pPr>
        <w:spacing w:line="360" w:lineRule="auto"/>
        <w:jc w:val="both"/>
        <w:rPr>
          <w:rFonts w:ascii="Arial" w:hAnsi="Arial" w:cs="Arial"/>
          <w:sz w:val="24"/>
          <w:szCs w:val="24"/>
        </w:rPr>
      </w:pPr>
      <w:proofErr w:type="spellStart"/>
      <w:r w:rsidRPr="00EB4C96">
        <w:rPr>
          <w:rFonts w:ascii="Arial" w:hAnsi="Arial" w:cs="Arial"/>
          <w:sz w:val="24"/>
          <w:szCs w:val="24"/>
        </w:rPr>
        <w:lastRenderedPageBreak/>
        <w:t>Toytok</w:t>
      </w:r>
      <w:proofErr w:type="spellEnd"/>
      <w:r w:rsidRPr="00EB4C96">
        <w:rPr>
          <w:rFonts w:ascii="Arial" w:hAnsi="Arial" w:cs="Arial"/>
          <w:sz w:val="24"/>
          <w:szCs w:val="24"/>
        </w:rPr>
        <w:t>, E. H., and Yavuz, M. (2018). The Relationship Between Performance Management Practices and Organi</w:t>
      </w:r>
      <w:r w:rsidR="00555E5C">
        <w:rPr>
          <w:rFonts w:ascii="Arial" w:hAnsi="Arial" w:cs="Arial"/>
          <w:sz w:val="24"/>
          <w:szCs w:val="24"/>
        </w:rPr>
        <w:t>s</w:t>
      </w:r>
      <w:r w:rsidRPr="00EB4C96">
        <w:rPr>
          <w:rFonts w:ascii="Arial" w:hAnsi="Arial" w:cs="Arial"/>
          <w:sz w:val="24"/>
          <w:szCs w:val="24"/>
        </w:rPr>
        <w:t xml:space="preserve">ational Deviations in Schools. </w:t>
      </w:r>
      <w:r w:rsidRPr="00EB4C96">
        <w:rPr>
          <w:rFonts w:ascii="Arial" w:hAnsi="Arial" w:cs="Arial"/>
          <w:i/>
          <w:iCs/>
          <w:sz w:val="24"/>
          <w:szCs w:val="24"/>
        </w:rPr>
        <w:t>Journal of Education and Training Studies</w:t>
      </w:r>
      <w:r w:rsidRPr="00EB4C96">
        <w:rPr>
          <w:rFonts w:ascii="Arial" w:hAnsi="Arial" w:cs="Arial"/>
          <w:sz w:val="24"/>
          <w:szCs w:val="24"/>
        </w:rPr>
        <w:t xml:space="preserve">, </w:t>
      </w:r>
      <w:r w:rsidRPr="00EB4C96">
        <w:rPr>
          <w:rFonts w:ascii="Arial" w:hAnsi="Arial" w:cs="Arial"/>
          <w:i/>
          <w:iCs/>
          <w:sz w:val="24"/>
          <w:szCs w:val="24"/>
        </w:rPr>
        <w:t>6</w:t>
      </w:r>
      <w:r w:rsidRPr="00EB4C96">
        <w:rPr>
          <w:rFonts w:ascii="Arial" w:hAnsi="Arial" w:cs="Arial"/>
          <w:sz w:val="24"/>
          <w:szCs w:val="24"/>
        </w:rPr>
        <w:t>(11a), 111. https://doi.org/10.11114/jets.v6i11a.3807</w:t>
      </w:r>
    </w:p>
    <w:p w14:paraId="23DC8175" w14:textId="3064E664" w:rsidR="00EB4C96" w:rsidRPr="00EB4C96" w:rsidRDefault="00EB4C96" w:rsidP="00EB4C96">
      <w:pPr>
        <w:spacing w:line="360" w:lineRule="auto"/>
        <w:jc w:val="both"/>
        <w:rPr>
          <w:rFonts w:ascii="Arial" w:hAnsi="Arial" w:cs="Arial"/>
          <w:sz w:val="24"/>
          <w:szCs w:val="24"/>
        </w:rPr>
      </w:pPr>
      <w:r w:rsidRPr="00EB4C96">
        <w:rPr>
          <w:rFonts w:ascii="Arial" w:hAnsi="Arial" w:cs="Arial"/>
          <w:sz w:val="24"/>
          <w:szCs w:val="24"/>
        </w:rPr>
        <w:t xml:space="preserve">Verma, A., Bansal, M., and Verma, J. (2020). Industry 4.0: reshaping the future of HR. </w:t>
      </w:r>
      <w:r w:rsidRPr="00EB4C96">
        <w:rPr>
          <w:rFonts w:ascii="Arial" w:hAnsi="Arial" w:cs="Arial"/>
          <w:i/>
          <w:iCs/>
          <w:sz w:val="24"/>
          <w:szCs w:val="24"/>
        </w:rPr>
        <w:t>STRATEGIC DIRECTION</w:t>
      </w:r>
      <w:r w:rsidRPr="00EB4C96">
        <w:rPr>
          <w:rFonts w:ascii="Arial" w:hAnsi="Arial" w:cs="Arial"/>
          <w:sz w:val="24"/>
          <w:szCs w:val="24"/>
        </w:rPr>
        <w:t xml:space="preserve">, </w:t>
      </w:r>
      <w:r w:rsidRPr="00EB4C96">
        <w:rPr>
          <w:rFonts w:ascii="Arial" w:hAnsi="Arial" w:cs="Arial"/>
          <w:i/>
          <w:iCs/>
          <w:sz w:val="24"/>
          <w:szCs w:val="24"/>
        </w:rPr>
        <w:t>36</w:t>
      </w:r>
      <w:r w:rsidRPr="00EB4C96">
        <w:rPr>
          <w:rFonts w:ascii="Arial" w:hAnsi="Arial" w:cs="Arial"/>
          <w:sz w:val="24"/>
          <w:szCs w:val="24"/>
        </w:rPr>
        <w:t>(5).</w:t>
      </w:r>
    </w:p>
    <w:p w14:paraId="0748526A" w14:textId="77777777" w:rsidR="00E128C3" w:rsidRPr="00EB4C96" w:rsidRDefault="00E128C3" w:rsidP="00EB4C96">
      <w:pPr>
        <w:spacing w:line="360" w:lineRule="auto"/>
        <w:jc w:val="both"/>
        <w:rPr>
          <w:rFonts w:ascii="Arial" w:hAnsi="Arial" w:cs="Arial"/>
          <w:sz w:val="24"/>
          <w:szCs w:val="24"/>
        </w:rPr>
      </w:pPr>
    </w:p>
    <w:sectPr w:rsidR="00E128C3" w:rsidRPr="00EB4C96" w:rsidSect="007337AF">
      <w:pgSz w:w="11906" w:h="16838" w:code="9"/>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6D2E83"/>
    <w:multiLevelType w:val="hybridMultilevel"/>
    <w:tmpl w:val="4A946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4012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3D3"/>
    <w:rsid w:val="00004C51"/>
    <w:rsid w:val="000230C6"/>
    <w:rsid w:val="0008221E"/>
    <w:rsid w:val="00093316"/>
    <w:rsid w:val="000C16A4"/>
    <w:rsid w:val="000F6127"/>
    <w:rsid w:val="001227E0"/>
    <w:rsid w:val="00132DBC"/>
    <w:rsid w:val="00173896"/>
    <w:rsid w:val="00174A91"/>
    <w:rsid w:val="001774C5"/>
    <w:rsid w:val="001B09A2"/>
    <w:rsid w:val="00227C75"/>
    <w:rsid w:val="002719CA"/>
    <w:rsid w:val="002B28BA"/>
    <w:rsid w:val="002E63AC"/>
    <w:rsid w:val="00332444"/>
    <w:rsid w:val="00333453"/>
    <w:rsid w:val="00340C4A"/>
    <w:rsid w:val="00367CBB"/>
    <w:rsid w:val="003A10AA"/>
    <w:rsid w:val="003B2937"/>
    <w:rsid w:val="00424960"/>
    <w:rsid w:val="00444241"/>
    <w:rsid w:val="004502B6"/>
    <w:rsid w:val="00492CD8"/>
    <w:rsid w:val="00496A80"/>
    <w:rsid w:val="004A47B6"/>
    <w:rsid w:val="004C477E"/>
    <w:rsid w:val="004C5AD3"/>
    <w:rsid w:val="004F40AB"/>
    <w:rsid w:val="0053612E"/>
    <w:rsid w:val="005412D5"/>
    <w:rsid w:val="00555E5C"/>
    <w:rsid w:val="005939D4"/>
    <w:rsid w:val="00597BB9"/>
    <w:rsid w:val="005C70E8"/>
    <w:rsid w:val="005E7F11"/>
    <w:rsid w:val="005F64C6"/>
    <w:rsid w:val="006522CD"/>
    <w:rsid w:val="00661472"/>
    <w:rsid w:val="006A767A"/>
    <w:rsid w:val="006D7787"/>
    <w:rsid w:val="006E4294"/>
    <w:rsid w:val="006E50B1"/>
    <w:rsid w:val="006E7EB4"/>
    <w:rsid w:val="007337AF"/>
    <w:rsid w:val="00762D89"/>
    <w:rsid w:val="007A443A"/>
    <w:rsid w:val="007B5C90"/>
    <w:rsid w:val="007C180E"/>
    <w:rsid w:val="007C646A"/>
    <w:rsid w:val="008126FB"/>
    <w:rsid w:val="00876D76"/>
    <w:rsid w:val="008901F2"/>
    <w:rsid w:val="00896B70"/>
    <w:rsid w:val="008B3DE6"/>
    <w:rsid w:val="008B7AE3"/>
    <w:rsid w:val="008C00AC"/>
    <w:rsid w:val="008F7FBF"/>
    <w:rsid w:val="00941D52"/>
    <w:rsid w:val="0098582A"/>
    <w:rsid w:val="009B0445"/>
    <w:rsid w:val="009D7CB5"/>
    <w:rsid w:val="00A07FE3"/>
    <w:rsid w:val="00A16090"/>
    <w:rsid w:val="00A33EC2"/>
    <w:rsid w:val="00A8587D"/>
    <w:rsid w:val="00AA151B"/>
    <w:rsid w:val="00AA1753"/>
    <w:rsid w:val="00AC7C7C"/>
    <w:rsid w:val="00AD635C"/>
    <w:rsid w:val="00B06D4E"/>
    <w:rsid w:val="00B33EF4"/>
    <w:rsid w:val="00B71C4E"/>
    <w:rsid w:val="00BE7E23"/>
    <w:rsid w:val="00C20BA8"/>
    <w:rsid w:val="00CD6762"/>
    <w:rsid w:val="00D0629F"/>
    <w:rsid w:val="00D31A25"/>
    <w:rsid w:val="00D31C31"/>
    <w:rsid w:val="00D519E3"/>
    <w:rsid w:val="00DA63D3"/>
    <w:rsid w:val="00DA79DA"/>
    <w:rsid w:val="00DD63A6"/>
    <w:rsid w:val="00E128C3"/>
    <w:rsid w:val="00E2256C"/>
    <w:rsid w:val="00E41AA2"/>
    <w:rsid w:val="00E706B1"/>
    <w:rsid w:val="00E859C1"/>
    <w:rsid w:val="00EB4C96"/>
    <w:rsid w:val="00EF24FF"/>
    <w:rsid w:val="00EF3FC2"/>
    <w:rsid w:val="00EF6F1A"/>
    <w:rsid w:val="00F740C0"/>
    <w:rsid w:val="00F8273D"/>
    <w:rsid w:val="00FA4D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E219F"/>
  <w15:chartTrackingRefBased/>
  <w15:docId w15:val="{250ABFD8-B13D-4AEF-9AAF-E14700ABA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6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6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3D3"/>
    <w:rPr>
      <w:rFonts w:eastAsiaTheme="majorEastAsia" w:cstheme="majorBidi"/>
      <w:color w:val="272727" w:themeColor="text1" w:themeTint="D8"/>
    </w:rPr>
  </w:style>
  <w:style w:type="paragraph" w:styleId="Title">
    <w:name w:val="Title"/>
    <w:basedOn w:val="Normal"/>
    <w:next w:val="Normal"/>
    <w:link w:val="TitleChar"/>
    <w:uiPriority w:val="10"/>
    <w:qFormat/>
    <w:rsid w:val="00DA6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3D3"/>
    <w:pPr>
      <w:spacing w:before="160"/>
      <w:jc w:val="center"/>
    </w:pPr>
    <w:rPr>
      <w:i/>
      <w:iCs/>
      <w:color w:val="404040" w:themeColor="text1" w:themeTint="BF"/>
    </w:rPr>
  </w:style>
  <w:style w:type="character" w:customStyle="1" w:styleId="QuoteChar">
    <w:name w:val="Quote Char"/>
    <w:basedOn w:val="DefaultParagraphFont"/>
    <w:link w:val="Quote"/>
    <w:uiPriority w:val="29"/>
    <w:rsid w:val="00DA63D3"/>
    <w:rPr>
      <w:i/>
      <w:iCs/>
      <w:color w:val="404040" w:themeColor="text1" w:themeTint="BF"/>
    </w:rPr>
  </w:style>
  <w:style w:type="paragraph" w:styleId="ListParagraph">
    <w:name w:val="List Paragraph"/>
    <w:basedOn w:val="Normal"/>
    <w:uiPriority w:val="34"/>
    <w:qFormat/>
    <w:rsid w:val="00DA63D3"/>
    <w:pPr>
      <w:ind w:left="720"/>
      <w:contextualSpacing/>
    </w:pPr>
  </w:style>
  <w:style w:type="character" w:styleId="IntenseEmphasis">
    <w:name w:val="Intense Emphasis"/>
    <w:basedOn w:val="DefaultParagraphFont"/>
    <w:uiPriority w:val="21"/>
    <w:qFormat/>
    <w:rsid w:val="00DA63D3"/>
    <w:rPr>
      <w:i/>
      <w:iCs/>
      <w:color w:val="0F4761" w:themeColor="accent1" w:themeShade="BF"/>
    </w:rPr>
  </w:style>
  <w:style w:type="paragraph" w:styleId="IntenseQuote">
    <w:name w:val="Intense Quote"/>
    <w:basedOn w:val="Normal"/>
    <w:next w:val="Normal"/>
    <w:link w:val="IntenseQuoteChar"/>
    <w:uiPriority w:val="30"/>
    <w:qFormat/>
    <w:rsid w:val="00DA6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3D3"/>
    <w:rPr>
      <w:i/>
      <w:iCs/>
      <w:color w:val="0F4761" w:themeColor="accent1" w:themeShade="BF"/>
    </w:rPr>
  </w:style>
  <w:style w:type="character" w:styleId="IntenseReference">
    <w:name w:val="Intense Reference"/>
    <w:basedOn w:val="DefaultParagraphFont"/>
    <w:uiPriority w:val="32"/>
    <w:qFormat/>
    <w:rsid w:val="00DA63D3"/>
    <w:rPr>
      <w:b/>
      <w:bCs/>
      <w:smallCaps/>
      <w:color w:val="0F4761" w:themeColor="accent1" w:themeShade="BF"/>
      <w:spacing w:val="5"/>
    </w:rPr>
  </w:style>
  <w:style w:type="paragraph" w:styleId="TOCHeading">
    <w:name w:val="TOC Heading"/>
    <w:basedOn w:val="Heading1"/>
    <w:next w:val="Normal"/>
    <w:uiPriority w:val="39"/>
    <w:unhideWhenUsed/>
    <w:qFormat/>
    <w:rsid w:val="004502B6"/>
    <w:pPr>
      <w:spacing w:before="240" w:after="0"/>
      <w:outlineLvl w:val="9"/>
    </w:pPr>
    <w:rPr>
      <w:sz w:val="32"/>
      <w:szCs w:val="32"/>
      <w:lang w:eastAsia="en-GB"/>
      <w14:ligatures w14:val="none"/>
    </w:rPr>
  </w:style>
  <w:style w:type="paragraph" w:styleId="TOC2">
    <w:name w:val="toc 2"/>
    <w:basedOn w:val="Normal"/>
    <w:next w:val="Normal"/>
    <w:autoRedefine/>
    <w:uiPriority w:val="39"/>
    <w:unhideWhenUsed/>
    <w:rsid w:val="004502B6"/>
    <w:pPr>
      <w:spacing w:after="100"/>
      <w:ind w:left="220"/>
    </w:pPr>
  </w:style>
  <w:style w:type="character" w:styleId="Hyperlink">
    <w:name w:val="Hyperlink"/>
    <w:basedOn w:val="DefaultParagraphFont"/>
    <w:uiPriority w:val="99"/>
    <w:unhideWhenUsed/>
    <w:rsid w:val="004502B6"/>
    <w:rPr>
      <w:color w:val="467886" w:themeColor="hyperlink"/>
      <w:u w:val="single"/>
    </w:rPr>
  </w:style>
  <w:style w:type="paragraph" w:styleId="TOC1">
    <w:name w:val="toc 1"/>
    <w:basedOn w:val="Normal"/>
    <w:next w:val="Normal"/>
    <w:autoRedefine/>
    <w:uiPriority w:val="39"/>
    <w:unhideWhenUsed/>
    <w:rsid w:val="002B28BA"/>
    <w:pPr>
      <w:spacing w:after="100"/>
    </w:pPr>
  </w:style>
  <w:style w:type="paragraph" w:styleId="Caption">
    <w:name w:val="caption"/>
    <w:basedOn w:val="Normal"/>
    <w:next w:val="Normal"/>
    <w:uiPriority w:val="35"/>
    <w:qFormat/>
    <w:rsid w:val="007337AF"/>
    <w:pPr>
      <w:spacing w:after="200" w:line="240" w:lineRule="auto"/>
      <w:jc w:val="both"/>
    </w:pPr>
    <w:rPr>
      <w:rFonts w:ascii="Arial" w:eastAsia="Calibri" w:hAnsi="Arial" w:cs="SimSun"/>
      <w:b/>
      <w:bCs/>
      <w:color w:val="4F81BD"/>
      <w:sz w:val="18"/>
      <w:szCs w:val="18"/>
      <w:lang w:val="en-US"/>
      <w14:ligatures w14:val="none"/>
    </w:rPr>
  </w:style>
  <w:style w:type="paragraph" w:styleId="TOC3">
    <w:name w:val="toc 3"/>
    <w:basedOn w:val="Normal"/>
    <w:next w:val="Normal"/>
    <w:autoRedefine/>
    <w:uiPriority w:val="39"/>
    <w:unhideWhenUsed/>
    <w:rsid w:val="007337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1607C-C7A2-4F85-9E2C-864C7BB54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12</Pages>
  <Words>2514</Words>
  <Characters>15857</Characters>
  <Application>Microsoft Office Word</Application>
  <DocSecurity>0</DocSecurity>
  <Lines>283</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Daniel Mihalcea (2240761)</cp:lastModifiedBy>
  <cp:revision>94</cp:revision>
  <dcterms:created xsi:type="dcterms:W3CDTF">2024-05-06T10:33:00Z</dcterms:created>
  <dcterms:modified xsi:type="dcterms:W3CDTF">2024-06-03T07:51:00Z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5bdcdc8461b36487787e4a1431bda49fd8e9ae84ae10f55706dda09579dd9b7c</vt:lpwstr>
  </property>
</Properties>
</file>