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20480284"/>
        <w:docPartObj>
          <w:docPartGallery w:val="Cover Pages"/>
          <w:docPartUnique/>
        </w:docPartObj>
      </w:sdtPr>
      <w:sdtContent>
        <w:p w14:paraId="2531D34E" w14:textId="5A4357F3" w:rsidR="00610072" w:rsidRDefault="00610072">
          <w:r>
            <w:rPr>
              <w:noProof/>
            </w:rPr>
            <mc:AlternateContent>
              <mc:Choice Requires="wpg">
                <w:drawing>
                  <wp:anchor distT="0" distB="0" distL="114300" distR="114300" simplePos="0" relativeHeight="251659264" behindDoc="0" locked="0" layoutInCell="1" allowOverlap="1" wp14:anchorId="006B0804" wp14:editId="46F217A7">
                    <wp:simplePos x="0" y="0"/>
                    <wp:positionH relativeFrom="page">
                      <wp:posOffset>4206240</wp:posOffset>
                    </wp:positionH>
                    <wp:positionV relativeFrom="page">
                      <wp:align>top</wp:align>
                    </wp:positionV>
                    <wp:extent cx="3351530" cy="10058400"/>
                    <wp:effectExtent l="0" t="0" r="1270" b="0"/>
                    <wp:wrapNone/>
                    <wp:docPr id="453" name="Group 252"/>
                    <wp:cNvGraphicFramePr/>
                    <a:graphic xmlns:a="http://schemas.openxmlformats.org/drawingml/2006/main">
                      <a:graphicData uri="http://schemas.microsoft.com/office/word/2010/wordprocessingGroup">
                        <wpg:wgp>
                          <wpg:cNvGrpSpPr/>
                          <wpg:grpSpPr>
                            <a:xfrm>
                              <a:off x="0" y="0"/>
                              <a:ext cx="335153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44"/>
                                      <w:szCs w:val="44"/>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71A70F8F" w14:textId="66BCB3EC" w:rsidR="00610072" w:rsidRPr="00610072" w:rsidRDefault="00610072">
                                      <w:pPr>
                                        <w:pStyle w:val="NoSpacing"/>
                                        <w:rPr>
                                          <w:color w:val="FFFFFF" w:themeColor="background1"/>
                                          <w:sz w:val="44"/>
                                          <w:szCs w:val="44"/>
                                        </w:rPr>
                                      </w:pPr>
                                      <w:r w:rsidRPr="00610072">
                                        <w:rPr>
                                          <w:color w:val="FFFFFF" w:themeColor="background1"/>
                                          <w:sz w:val="44"/>
                                          <w:szCs w:val="44"/>
                                        </w:rPr>
                                        <w:t>Health, Wellbeing and Sustainable Development</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1456F0BE" w14:textId="77777777" w:rsidR="00610072" w:rsidRPr="00610072" w:rsidRDefault="00610072" w:rsidP="00610072">
                                  <w:pPr>
                                    <w:pStyle w:val="NoSpacing"/>
                                    <w:spacing w:before="80" w:after="40" w:line="360" w:lineRule="auto"/>
                                    <w:rPr>
                                      <w:b/>
                                      <w:bCs/>
                                      <w:caps/>
                                      <w:color w:val="A02B93" w:themeColor="accent5"/>
                                      <w:sz w:val="28"/>
                                      <w:szCs w:val="28"/>
                                    </w:rPr>
                                  </w:pPr>
                                  <w:r w:rsidRPr="00610072">
                                    <w:rPr>
                                      <w:b/>
                                      <w:bCs/>
                                      <w:caps/>
                                      <w:color w:val="A02B93" w:themeColor="accent5"/>
                                      <w:sz w:val="28"/>
                                      <w:szCs w:val="28"/>
                                    </w:rPr>
                                    <w:t>Ume Zainab Shah</w:t>
                                  </w:r>
                                </w:p>
                                <w:p w14:paraId="665E5D3F" w14:textId="77777777" w:rsidR="00610072" w:rsidRPr="00610072" w:rsidRDefault="00610072" w:rsidP="00610072">
                                  <w:pPr>
                                    <w:pStyle w:val="NoSpacing"/>
                                    <w:spacing w:before="80" w:after="40" w:line="360" w:lineRule="auto"/>
                                    <w:rPr>
                                      <w:caps/>
                                      <w:color w:val="000000" w:themeColor="text1"/>
                                      <w:sz w:val="28"/>
                                      <w:szCs w:val="28"/>
                                    </w:rPr>
                                  </w:pPr>
                                  <w:r w:rsidRPr="00610072">
                                    <w:rPr>
                                      <w:caps/>
                                      <w:color w:val="000000" w:themeColor="text1"/>
                                      <w:sz w:val="28"/>
                                      <w:szCs w:val="28"/>
                                    </w:rPr>
                                    <w:t>Student No. 2127507</w:t>
                                  </w:r>
                                </w:p>
                                <w:p w14:paraId="6D352197" w14:textId="19861E5C" w:rsidR="00610072" w:rsidRPr="003C0B02" w:rsidRDefault="00610072" w:rsidP="003C0B02">
                                  <w:pPr>
                                    <w:pStyle w:val="NoSpacing"/>
                                    <w:rPr>
                                      <w:color w:val="FFFFFF" w:themeColor="background1"/>
                                      <w:sz w:val="26"/>
                                      <w:szCs w:val="26"/>
                                      <w:lang w:val="en-GB"/>
                                    </w:rPr>
                                  </w:pPr>
                                  <w:r w:rsidRPr="00610072">
                                    <w:rPr>
                                      <w:color w:val="FFFFFF" w:themeColor="background1"/>
                                      <w:sz w:val="26"/>
                                      <w:szCs w:val="26"/>
                                    </w:rPr>
                                    <w:t xml:space="preserve">Lecturer: </w:t>
                                  </w:r>
                                  <w:r w:rsidR="003C0B02">
                                    <w:rPr>
                                      <w:color w:val="FFFFFF" w:themeColor="background1"/>
                                      <w:sz w:val="26"/>
                                      <w:szCs w:val="26"/>
                                    </w:rPr>
                                    <w:t xml:space="preserve"> </w:t>
                                  </w:r>
                                  <w:r w:rsidR="003C0B02" w:rsidRPr="003C0B02">
                                    <w:rPr>
                                      <w:color w:val="FFFFFF" w:themeColor="background1"/>
                                      <w:sz w:val="26"/>
                                      <w:szCs w:val="26"/>
                                    </w:rPr>
                                    <w:t>Parese Ahmed</w:t>
                                  </w: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006B0804" id="Group 252" o:spid="_x0000_s1026" style="position:absolute;margin-left:331.2pt;margin-top:0;width:263.9pt;height:11in;z-index:251659264;mso-height-percent:1000;mso-position-horizontal-relative:page;mso-position-vertical:top;mso-position-vertical-relative:page;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44"/>
                                <w:szCs w:val="44"/>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71A70F8F" w14:textId="66BCB3EC" w:rsidR="00610072" w:rsidRPr="00610072" w:rsidRDefault="00610072">
                                <w:pPr>
                                  <w:pStyle w:val="NoSpacing"/>
                                  <w:rPr>
                                    <w:color w:val="FFFFFF" w:themeColor="background1"/>
                                    <w:sz w:val="44"/>
                                    <w:szCs w:val="44"/>
                                  </w:rPr>
                                </w:pPr>
                                <w:r w:rsidRPr="00610072">
                                  <w:rPr>
                                    <w:color w:val="FFFFFF" w:themeColor="background1"/>
                                    <w:sz w:val="44"/>
                                    <w:szCs w:val="44"/>
                                  </w:rPr>
                                  <w:t>Health, Wellbeing and Sustainable Development</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1456F0BE" w14:textId="77777777" w:rsidR="00610072" w:rsidRPr="00610072" w:rsidRDefault="00610072" w:rsidP="00610072">
                            <w:pPr>
                              <w:pStyle w:val="NoSpacing"/>
                              <w:spacing w:before="80" w:after="40" w:line="360" w:lineRule="auto"/>
                              <w:rPr>
                                <w:b/>
                                <w:bCs/>
                                <w:caps/>
                                <w:color w:val="A02B93" w:themeColor="accent5"/>
                                <w:sz w:val="28"/>
                                <w:szCs w:val="28"/>
                              </w:rPr>
                            </w:pPr>
                            <w:r w:rsidRPr="00610072">
                              <w:rPr>
                                <w:b/>
                                <w:bCs/>
                                <w:caps/>
                                <w:color w:val="A02B93" w:themeColor="accent5"/>
                                <w:sz w:val="28"/>
                                <w:szCs w:val="28"/>
                              </w:rPr>
                              <w:t>Ume Zainab Shah</w:t>
                            </w:r>
                          </w:p>
                          <w:p w14:paraId="665E5D3F" w14:textId="77777777" w:rsidR="00610072" w:rsidRPr="00610072" w:rsidRDefault="00610072" w:rsidP="00610072">
                            <w:pPr>
                              <w:pStyle w:val="NoSpacing"/>
                              <w:spacing w:before="80" w:after="40" w:line="360" w:lineRule="auto"/>
                              <w:rPr>
                                <w:caps/>
                                <w:color w:val="000000" w:themeColor="text1"/>
                                <w:sz w:val="28"/>
                                <w:szCs w:val="28"/>
                              </w:rPr>
                            </w:pPr>
                            <w:r w:rsidRPr="00610072">
                              <w:rPr>
                                <w:caps/>
                                <w:color w:val="000000" w:themeColor="text1"/>
                                <w:sz w:val="28"/>
                                <w:szCs w:val="28"/>
                              </w:rPr>
                              <w:t>Student No. 2127507</w:t>
                            </w:r>
                          </w:p>
                          <w:p w14:paraId="6D352197" w14:textId="19861E5C" w:rsidR="00610072" w:rsidRPr="003C0B02" w:rsidRDefault="00610072" w:rsidP="003C0B02">
                            <w:pPr>
                              <w:pStyle w:val="NoSpacing"/>
                              <w:rPr>
                                <w:color w:val="FFFFFF" w:themeColor="background1"/>
                                <w:sz w:val="26"/>
                                <w:szCs w:val="26"/>
                                <w:lang w:val="en-GB"/>
                              </w:rPr>
                            </w:pPr>
                            <w:r w:rsidRPr="00610072">
                              <w:rPr>
                                <w:color w:val="FFFFFF" w:themeColor="background1"/>
                                <w:sz w:val="26"/>
                                <w:szCs w:val="26"/>
                              </w:rPr>
                              <w:t xml:space="preserve">Lecturer: </w:t>
                            </w:r>
                            <w:r w:rsidR="003C0B02">
                              <w:rPr>
                                <w:color w:val="FFFFFF" w:themeColor="background1"/>
                                <w:sz w:val="26"/>
                                <w:szCs w:val="26"/>
                              </w:rPr>
                              <w:t xml:space="preserve"> </w:t>
                            </w:r>
                            <w:r w:rsidR="003C0B02" w:rsidRPr="003C0B02">
                              <w:rPr>
                                <w:color w:val="FFFFFF" w:themeColor="background1"/>
                                <w:sz w:val="26"/>
                                <w:szCs w:val="26"/>
                              </w:rPr>
                              <w:t>Parese Ahmed</w:t>
                            </w: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39EDB83F" wp14:editId="6FC21892">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p w14:paraId="54686052" w14:textId="30447F65" w:rsidR="00610072" w:rsidRPr="00610072" w:rsidRDefault="00000000">
                                <w:pPr>
                                  <w:pStyle w:val="NoSpacing"/>
                                  <w:jc w:val="right"/>
                                  <w:rPr>
                                    <w:color w:val="FFFFFF" w:themeColor="background1"/>
                                    <w:sz w:val="40"/>
                                    <w:szCs w:val="40"/>
                                  </w:rPr>
                                </w:pPr>
                                <w:sdt>
                                  <w:sdtPr>
                                    <w:rPr>
                                      <w:rFonts w:cs="Arial"/>
                                      <w:b/>
                                      <w:bCs/>
                                      <w:sz w:val="40"/>
                                      <w:szCs w:val="40"/>
                                    </w:rPr>
                                    <w:alias w:val="Title"/>
                                    <w:id w:val="-1704864950"/>
                                    <w:dataBinding w:prefixMappings="xmlns:ns0='http://schemas.openxmlformats.org/package/2006/metadata/core-properties' xmlns:ns1='http://purl.org/dc/elements/1.1/'" w:xpath="/ns0:coreProperties[1]/ns1:title[1]" w:storeItemID="{6C3C8BC8-F283-45AE-878A-BAB7291924A1}"/>
                                    <w:text/>
                                  </w:sdtPr>
                                  <w:sdtContent>
                                    <w:r w:rsidR="00610072" w:rsidRPr="00610072">
                                      <w:rPr>
                                        <w:rFonts w:cs="Arial"/>
                                        <w:b/>
                                        <w:bCs/>
                                        <w:sz w:val="40"/>
                                        <w:szCs w:val="40"/>
                                      </w:rPr>
                                      <w:t>Component 2: Written Assignment (Report)</w:t>
                                    </w:r>
                                  </w:sdtContent>
                                </w:sdt>
                                <w:r w:rsidR="00610072">
                                  <w:rPr>
                                    <w:rFonts w:cs="Arial"/>
                                    <w:b/>
                                    <w:bCs/>
                                    <w:sz w:val="40"/>
                                    <w:szCs w:val="40"/>
                                  </w:rPr>
                                  <w:t xml:space="preserve"> </w:t>
                                </w:r>
                                <w:r w:rsidR="00610072" w:rsidRPr="00610072">
                                  <w:rPr>
                                    <w:rFonts w:cs="Arial"/>
                                    <w:b/>
                                    <w:bCs/>
                                    <w:sz w:val="40"/>
                                    <w:szCs w:val="40"/>
                                    <w:lang w:val="en-GB"/>
                                  </w:rPr>
                                  <w:t>BMHP6030</w:t>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9EDB83F"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p w14:paraId="54686052" w14:textId="30447F65" w:rsidR="00610072" w:rsidRPr="00610072" w:rsidRDefault="00000000">
                          <w:pPr>
                            <w:pStyle w:val="NoSpacing"/>
                            <w:jc w:val="right"/>
                            <w:rPr>
                              <w:color w:val="FFFFFF" w:themeColor="background1"/>
                              <w:sz w:val="40"/>
                              <w:szCs w:val="40"/>
                            </w:rPr>
                          </w:pPr>
                          <w:sdt>
                            <w:sdtPr>
                              <w:rPr>
                                <w:rFonts w:cs="Arial"/>
                                <w:b/>
                                <w:bCs/>
                                <w:sz w:val="40"/>
                                <w:szCs w:val="40"/>
                              </w:rPr>
                              <w:alias w:val="Title"/>
                              <w:id w:val="-1704864950"/>
                              <w:dataBinding w:prefixMappings="xmlns:ns0='http://schemas.openxmlformats.org/package/2006/metadata/core-properties' xmlns:ns1='http://purl.org/dc/elements/1.1/'" w:xpath="/ns0:coreProperties[1]/ns1:title[1]" w:storeItemID="{6C3C8BC8-F283-45AE-878A-BAB7291924A1}"/>
                              <w:text/>
                            </w:sdtPr>
                            <w:sdtContent>
                              <w:r w:rsidR="00610072" w:rsidRPr="00610072">
                                <w:rPr>
                                  <w:rFonts w:cs="Arial"/>
                                  <w:b/>
                                  <w:bCs/>
                                  <w:sz w:val="40"/>
                                  <w:szCs w:val="40"/>
                                </w:rPr>
                                <w:t>Component 2: Written Assignment (Report)</w:t>
                              </w:r>
                            </w:sdtContent>
                          </w:sdt>
                          <w:r w:rsidR="00610072">
                            <w:rPr>
                              <w:rFonts w:cs="Arial"/>
                              <w:b/>
                              <w:bCs/>
                              <w:sz w:val="40"/>
                              <w:szCs w:val="40"/>
                            </w:rPr>
                            <w:t xml:space="preserve"> </w:t>
                          </w:r>
                          <w:r w:rsidR="00610072" w:rsidRPr="00610072">
                            <w:rPr>
                              <w:rFonts w:cs="Arial"/>
                              <w:b/>
                              <w:bCs/>
                              <w:sz w:val="40"/>
                              <w:szCs w:val="40"/>
                              <w:lang w:val="en-GB"/>
                            </w:rPr>
                            <w:t>BMHP6030</w:t>
                          </w:r>
                        </w:p>
                      </w:txbxContent>
                    </v:textbox>
                    <w10:wrap anchorx="page" anchory="page"/>
                  </v:rect>
                </w:pict>
              </mc:Fallback>
            </mc:AlternateContent>
          </w:r>
        </w:p>
        <w:p w14:paraId="27E75B52" w14:textId="7CCDCD0B" w:rsidR="00610072" w:rsidRDefault="00866166">
          <w:r w:rsidRPr="004730E1">
            <w:rPr>
              <w:noProof/>
            </w:rPr>
            <w:drawing>
              <wp:anchor distT="0" distB="0" distL="114300" distR="114300" simplePos="0" relativeHeight="251663360" behindDoc="1" locked="0" layoutInCell="1" allowOverlap="1" wp14:anchorId="7E400951" wp14:editId="5E6B0064">
                <wp:simplePos x="0" y="0"/>
                <wp:positionH relativeFrom="page">
                  <wp:align>right</wp:align>
                </wp:positionH>
                <wp:positionV relativeFrom="paragraph">
                  <wp:posOffset>2578735</wp:posOffset>
                </wp:positionV>
                <wp:extent cx="3192780" cy="3192780"/>
                <wp:effectExtent l="0" t="0" r="7620" b="7620"/>
                <wp:wrapTight wrapText="bothSides">
                  <wp:wrapPolygon edited="0">
                    <wp:start x="0" y="0"/>
                    <wp:lineTo x="0" y="21523"/>
                    <wp:lineTo x="21523" y="21523"/>
                    <wp:lineTo x="21523" y="0"/>
                    <wp:lineTo x="0" y="0"/>
                  </wp:wrapPolygon>
                </wp:wrapTight>
                <wp:docPr id="744199697" name="Picture 1" descr="The image depicts a vibrant, circular diagram with a heart symbol, featuring a spectrum of colors, and includes a stylized representation of a healthy lifestyle and a figure engaging in physical activ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199697" name="Picture 1" descr="The image depicts a vibrant, circular diagram with a heart symbol, featuring a spectrum of colors, and includes a stylized representation of a healthy lifestyle and a figure engaging in physical activity.&#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92780" cy="3192780"/>
                        </a:xfrm>
                        <a:prstGeom prst="rect">
                          <a:avLst/>
                        </a:prstGeom>
                      </pic:spPr>
                    </pic:pic>
                  </a:graphicData>
                </a:graphic>
                <wp14:sizeRelH relativeFrom="margin">
                  <wp14:pctWidth>0</wp14:pctWidth>
                </wp14:sizeRelH>
                <wp14:sizeRelV relativeFrom="margin">
                  <wp14:pctHeight>0</wp14:pctHeight>
                </wp14:sizeRelV>
              </wp:anchor>
            </w:drawing>
          </w:r>
          <w:r w:rsidR="00610072">
            <w:br w:type="page"/>
          </w:r>
        </w:p>
      </w:sdtContent>
    </w:sdt>
    <w:sdt>
      <w:sdtPr>
        <w:rPr>
          <w:rFonts w:asciiTheme="minorHAnsi" w:eastAsiaTheme="minorHAnsi" w:hAnsiTheme="minorHAnsi" w:cstheme="minorBidi"/>
          <w:color w:val="auto"/>
          <w:kern w:val="2"/>
          <w:sz w:val="24"/>
          <w:szCs w:val="24"/>
          <w:lang w:val="en-GB"/>
          <w14:ligatures w14:val="standardContextual"/>
        </w:rPr>
        <w:id w:val="-1447842631"/>
        <w:docPartObj>
          <w:docPartGallery w:val="Table of Contents"/>
          <w:docPartUnique/>
        </w:docPartObj>
      </w:sdtPr>
      <w:sdtEndPr>
        <w:rPr>
          <w:b/>
          <w:bCs/>
          <w:noProof/>
        </w:rPr>
      </w:sdtEndPr>
      <w:sdtContent>
        <w:p w14:paraId="043B8356" w14:textId="2DA95979" w:rsidR="0066461A" w:rsidRDefault="0066461A" w:rsidP="0066461A">
          <w:pPr>
            <w:pStyle w:val="TOCHeading"/>
            <w:spacing w:line="360" w:lineRule="auto"/>
          </w:pPr>
          <w:r>
            <w:t>Contents</w:t>
          </w:r>
        </w:p>
        <w:p w14:paraId="1B18F9F1" w14:textId="1A004F97" w:rsidR="0066461A" w:rsidRDefault="0066461A" w:rsidP="0066461A">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224413400" w:history="1">
            <w:r w:rsidRPr="007109EA">
              <w:rPr>
                <w:rStyle w:val="Hyperlink"/>
                <w:noProof/>
              </w:rPr>
              <w:t>Introduction</w:t>
            </w:r>
            <w:r>
              <w:rPr>
                <w:noProof/>
                <w:webHidden/>
              </w:rPr>
              <w:tab/>
            </w:r>
            <w:r>
              <w:rPr>
                <w:noProof/>
                <w:webHidden/>
              </w:rPr>
              <w:fldChar w:fldCharType="begin"/>
            </w:r>
            <w:r>
              <w:rPr>
                <w:noProof/>
                <w:webHidden/>
              </w:rPr>
              <w:instrText xml:space="preserve"> PAGEREF _Toc224413400 \h </w:instrText>
            </w:r>
            <w:r>
              <w:rPr>
                <w:noProof/>
                <w:webHidden/>
              </w:rPr>
            </w:r>
            <w:r>
              <w:rPr>
                <w:noProof/>
                <w:webHidden/>
              </w:rPr>
              <w:fldChar w:fldCharType="separate"/>
            </w:r>
            <w:r>
              <w:rPr>
                <w:noProof/>
                <w:webHidden/>
              </w:rPr>
              <w:t>2</w:t>
            </w:r>
            <w:r>
              <w:rPr>
                <w:noProof/>
                <w:webHidden/>
              </w:rPr>
              <w:fldChar w:fldCharType="end"/>
            </w:r>
          </w:hyperlink>
        </w:p>
        <w:p w14:paraId="2839516B" w14:textId="4CCF8457" w:rsidR="0066461A" w:rsidRDefault="0066461A" w:rsidP="0066461A">
          <w:pPr>
            <w:pStyle w:val="TOC1"/>
            <w:tabs>
              <w:tab w:val="right" w:leader="dot" w:pos="9016"/>
            </w:tabs>
            <w:spacing w:line="360" w:lineRule="auto"/>
            <w:rPr>
              <w:rFonts w:eastAsiaTheme="minorEastAsia"/>
              <w:noProof/>
              <w:lang w:eastAsia="en-GB"/>
            </w:rPr>
          </w:pPr>
          <w:hyperlink w:anchor="_Toc224413401" w:history="1">
            <w:r w:rsidRPr="007109EA">
              <w:rPr>
                <w:rStyle w:val="Hyperlink"/>
                <w:noProof/>
              </w:rPr>
              <w:t>Overview of Sustainable Development Goals (SDG 3 and SDG 10)</w:t>
            </w:r>
            <w:r>
              <w:rPr>
                <w:noProof/>
                <w:webHidden/>
              </w:rPr>
              <w:tab/>
            </w:r>
            <w:r>
              <w:rPr>
                <w:noProof/>
                <w:webHidden/>
              </w:rPr>
              <w:fldChar w:fldCharType="begin"/>
            </w:r>
            <w:r>
              <w:rPr>
                <w:noProof/>
                <w:webHidden/>
              </w:rPr>
              <w:instrText xml:space="preserve"> PAGEREF _Toc224413401 \h </w:instrText>
            </w:r>
            <w:r>
              <w:rPr>
                <w:noProof/>
                <w:webHidden/>
              </w:rPr>
            </w:r>
            <w:r>
              <w:rPr>
                <w:noProof/>
                <w:webHidden/>
              </w:rPr>
              <w:fldChar w:fldCharType="separate"/>
            </w:r>
            <w:r>
              <w:rPr>
                <w:noProof/>
                <w:webHidden/>
              </w:rPr>
              <w:t>3</w:t>
            </w:r>
            <w:r>
              <w:rPr>
                <w:noProof/>
                <w:webHidden/>
              </w:rPr>
              <w:fldChar w:fldCharType="end"/>
            </w:r>
          </w:hyperlink>
        </w:p>
        <w:p w14:paraId="39F5388F" w14:textId="4CBC2983" w:rsidR="0066461A" w:rsidRDefault="0066461A" w:rsidP="0066461A">
          <w:pPr>
            <w:pStyle w:val="TOC2"/>
            <w:tabs>
              <w:tab w:val="right" w:leader="dot" w:pos="9016"/>
            </w:tabs>
            <w:spacing w:line="360" w:lineRule="auto"/>
            <w:rPr>
              <w:rFonts w:eastAsiaTheme="minorEastAsia"/>
              <w:noProof/>
              <w:lang w:eastAsia="en-GB"/>
            </w:rPr>
          </w:pPr>
          <w:hyperlink w:anchor="_Toc224413402" w:history="1">
            <w:r w:rsidRPr="007109EA">
              <w:rPr>
                <w:rStyle w:val="Hyperlink"/>
                <w:noProof/>
              </w:rPr>
              <w:t>SDG 3 – Good Health and Wellbeing</w:t>
            </w:r>
            <w:r>
              <w:rPr>
                <w:noProof/>
                <w:webHidden/>
              </w:rPr>
              <w:tab/>
            </w:r>
            <w:r>
              <w:rPr>
                <w:noProof/>
                <w:webHidden/>
              </w:rPr>
              <w:fldChar w:fldCharType="begin"/>
            </w:r>
            <w:r>
              <w:rPr>
                <w:noProof/>
                <w:webHidden/>
              </w:rPr>
              <w:instrText xml:space="preserve"> PAGEREF _Toc224413402 \h </w:instrText>
            </w:r>
            <w:r>
              <w:rPr>
                <w:noProof/>
                <w:webHidden/>
              </w:rPr>
            </w:r>
            <w:r>
              <w:rPr>
                <w:noProof/>
                <w:webHidden/>
              </w:rPr>
              <w:fldChar w:fldCharType="separate"/>
            </w:r>
            <w:r>
              <w:rPr>
                <w:noProof/>
                <w:webHidden/>
              </w:rPr>
              <w:t>3</w:t>
            </w:r>
            <w:r>
              <w:rPr>
                <w:noProof/>
                <w:webHidden/>
              </w:rPr>
              <w:fldChar w:fldCharType="end"/>
            </w:r>
          </w:hyperlink>
        </w:p>
        <w:p w14:paraId="0F8792C1" w14:textId="0C80075B" w:rsidR="0066461A" w:rsidRDefault="0066461A" w:rsidP="0066461A">
          <w:pPr>
            <w:pStyle w:val="TOC2"/>
            <w:tabs>
              <w:tab w:val="right" w:leader="dot" w:pos="9016"/>
            </w:tabs>
            <w:spacing w:line="360" w:lineRule="auto"/>
            <w:rPr>
              <w:rFonts w:eastAsiaTheme="minorEastAsia"/>
              <w:noProof/>
              <w:lang w:eastAsia="en-GB"/>
            </w:rPr>
          </w:pPr>
          <w:hyperlink w:anchor="_Toc224413403" w:history="1">
            <w:r w:rsidRPr="007109EA">
              <w:rPr>
                <w:rStyle w:val="Hyperlink"/>
                <w:noProof/>
              </w:rPr>
              <w:t>SDG 10 – Reduced Inequalities</w:t>
            </w:r>
            <w:r>
              <w:rPr>
                <w:noProof/>
                <w:webHidden/>
              </w:rPr>
              <w:tab/>
            </w:r>
            <w:r>
              <w:rPr>
                <w:noProof/>
                <w:webHidden/>
              </w:rPr>
              <w:fldChar w:fldCharType="begin"/>
            </w:r>
            <w:r>
              <w:rPr>
                <w:noProof/>
                <w:webHidden/>
              </w:rPr>
              <w:instrText xml:space="preserve"> PAGEREF _Toc224413403 \h </w:instrText>
            </w:r>
            <w:r>
              <w:rPr>
                <w:noProof/>
                <w:webHidden/>
              </w:rPr>
            </w:r>
            <w:r>
              <w:rPr>
                <w:noProof/>
                <w:webHidden/>
              </w:rPr>
              <w:fldChar w:fldCharType="separate"/>
            </w:r>
            <w:r>
              <w:rPr>
                <w:noProof/>
                <w:webHidden/>
              </w:rPr>
              <w:t>4</w:t>
            </w:r>
            <w:r>
              <w:rPr>
                <w:noProof/>
                <w:webHidden/>
              </w:rPr>
              <w:fldChar w:fldCharType="end"/>
            </w:r>
          </w:hyperlink>
        </w:p>
        <w:p w14:paraId="5F15B08E" w14:textId="6C40C9C4" w:rsidR="0066461A" w:rsidRDefault="0066461A" w:rsidP="0066461A">
          <w:pPr>
            <w:pStyle w:val="TOC1"/>
            <w:tabs>
              <w:tab w:val="right" w:leader="dot" w:pos="9016"/>
            </w:tabs>
            <w:spacing w:line="360" w:lineRule="auto"/>
            <w:rPr>
              <w:rFonts w:eastAsiaTheme="minorEastAsia"/>
              <w:noProof/>
              <w:lang w:eastAsia="en-GB"/>
            </w:rPr>
          </w:pPr>
          <w:hyperlink w:anchor="_Toc224413404" w:history="1">
            <w:r w:rsidRPr="007109EA">
              <w:rPr>
                <w:rStyle w:val="Hyperlink"/>
                <w:noProof/>
              </w:rPr>
              <w:t>Impact of SDGs on Citizens’ Health and Wellbeing</w:t>
            </w:r>
            <w:r>
              <w:rPr>
                <w:noProof/>
                <w:webHidden/>
              </w:rPr>
              <w:tab/>
            </w:r>
            <w:r>
              <w:rPr>
                <w:noProof/>
                <w:webHidden/>
              </w:rPr>
              <w:fldChar w:fldCharType="begin"/>
            </w:r>
            <w:r>
              <w:rPr>
                <w:noProof/>
                <w:webHidden/>
              </w:rPr>
              <w:instrText xml:space="preserve"> PAGEREF _Toc224413404 \h </w:instrText>
            </w:r>
            <w:r>
              <w:rPr>
                <w:noProof/>
                <w:webHidden/>
              </w:rPr>
            </w:r>
            <w:r>
              <w:rPr>
                <w:noProof/>
                <w:webHidden/>
              </w:rPr>
              <w:fldChar w:fldCharType="separate"/>
            </w:r>
            <w:r>
              <w:rPr>
                <w:noProof/>
                <w:webHidden/>
              </w:rPr>
              <w:t>5</w:t>
            </w:r>
            <w:r>
              <w:rPr>
                <w:noProof/>
                <w:webHidden/>
              </w:rPr>
              <w:fldChar w:fldCharType="end"/>
            </w:r>
          </w:hyperlink>
        </w:p>
        <w:p w14:paraId="5E232B80" w14:textId="0AC45F3A" w:rsidR="0066461A" w:rsidRDefault="0066461A" w:rsidP="0066461A">
          <w:pPr>
            <w:pStyle w:val="TOC1"/>
            <w:tabs>
              <w:tab w:val="right" w:leader="dot" w:pos="9016"/>
            </w:tabs>
            <w:spacing w:line="360" w:lineRule="auto"/>
            <w:rPr>
              <w:rFonts w:eastAsiaTheme="minorEastAsia"/>
              <w:noProof/>
              <w:lang w:eastAsia="en-GB"/>
            </w:rPr>
          </w:pPr>
          <w:hyperlink w:anchor="_Toc224413405" w:history="1">
            <w:r w:rsidRPr="007109EA">
              <w:rPr>
                <w:rStyle w:val="Hyperlink"/>
                <w:noProof/>
              </w:rPr>
              <w:t>Evaluation of National Health and Wellbeing Initiatives</w:t>
            </w:r>
            <w:r>
              <w:rPr>
                <w:noProof/>
                <w:webHidden/>
              </w:rPr>
              <w:tab/>
            </w:r>
            <w:r>
              <w:rPr>
                <w:noProof/>
                <w:webHidden/>
              </w:rPr>
              <w:fldChar w:fldCharType="begin"/>
            </w:r>
            <w:r>
              <w:rPr>
                <w:noProof/>
                <w:webHidden/>
              </w:rPr>
              <w:instrText xml:space="preserve"> PAGEREF _Toc224413405 \h </w:instrText>
            </w:r>
            <w:r>
              <w:rPr>
                <w:noProof/>
                <w:webHidden/>
              </w:rPr>
            </w:r>
            <w:r>
              <w:rPr>
                <w:noProof/>
                <w:webHidden/>
              </w:rPr>
              <w:fldChar w:fldCharType="separate"/>
            </w:r>
            <w:r>
              <w:rPr>
                <w:noProof/>
                <w:webHidden/>
              </w:rPr>
              <w:t>6</w:t>
            </w:r>
            <w:r>
              <w:rPr>
                <w:noProof/>
                <w:webHidden/>
              </w:rPr>
              <w:fldChar w:fldCharType="end"/>
            </w:r>
          </w:hyperlink>
        </w:p>
        <w:p w14:paraId="0648A745" w14:textId="6D05638E" w:rsidR="0066461A" w:rsidRDefault="0066461A" w:rsidP="0066461A">
          <w:pPr>
            <w:pStyle w:val="TOC1"/>
            <w:tabs>
              <w:tab w:val="right" w:leader="dot" w:pos="9016"/>
            </w:tabs>
            <w:spacing w:line="360" w:lineRule="auto"/>
            <w:rPr>
              <w:rFonts w:eastAsiaTheme="minorEastAsia"/>
              <w:noProof/>
              <w:lang w:eastAsia="en-GB"/>
            </w:rPr>
          </w:pPr>
          <w:hyperlink w:anchor="_Toc224413406" w:history="1">
            <w:r w:rsidRPr="007109EA">
              <w:rPr>
                <w:rStyle w:val="Hyperlink"/>
                <w:noProof/>
              </w:rPr>
              <w:t>Evaluation of Local Health and Wellbeing Initiatives</w:t>
            </w:r>
            <w:r>
              <w:rPr>
                <w:noProof/>
                <w:webHidden/>
              </w:rPr>
              <w:tab/>
            </w:r>
            <w:r>
              <w:rPr>
                <w:noProof/>
                <w:webHidden/>
              </w:rPr>
              <w:fldChar w:fldCharType="begin"/>
            </w:r>
            <w:r>
              <w:rPr>
                <w:noProof/>
                <w:webHidden/>
              </w:rPr>
              <w:instrText xml:space="preserve"> PAGEREF _Toc224413406 \h </w:instrText>
            </w:r>
            <w:r>
              <w:rPr>
                <w:noProof/>
                <w:webHidden/>
              </w:rPr>
            </w:r>
            <w:r>
              <w:rPr>
                <w:noProof/>
                <w:webHidden/>
              </w:rPr>
              <w:fldChar w:fldCharType="separate"/>
            </w:r>
            <w:r>
              <w:rPr>
                <w:noProof/>
                <w:webHidden/>
              </w:rPr>
              <w:t>7</w:t>
            </w:r>
            <w:r>
              <w:rPr>
                <w:noProof/>
                <w:webHidden/>
              </w:rPr>
              <w:fldChar w:fldCharType="end"/>
            </w:r>
          </w:hyperlink>
        </w:p>
        <w:p w14:paraId="2C45A668" w14:textId="7D5AFE79" w:rsidR="0066461A" w:rsidRDefault="0066461A" w:rsidP="0066461A">
          <w:pPr>
            <w:pStyle w:val="TOC1"/>
            <w:tabs>
              <w:tab w:val="right" w:leader="dot" w:pos="9016"/>
            </w:tabs>
            <w:spacing w:line="360" w:lineRule="auto"/>
            <w:rPr>
              <w:rFonts w:eastAsiaTheme="minorEastAsia"/>
              <w:noProof/>
              <w:lang w:eastAsia="en-GB"/>
            </w:rPr>
          </w:pPr>
          <w:hyperlink w:anchor="_Toc224413407" w:history="1">
            <w:r w:rsidRPr="007109EA">
              <w:rPr>
                <w:rStyle w:val="Hyperlink"/>
                <w:noProof/>
              </w:rPr>
              <w:t>Recommendations for Improvement</w:t>
            </w:r>
            <w:r>
              <w:rPr>
                <w:noProof/>
                <w:webHidden/>
              </w:rPr>
              <w:tab/>
            </w:r>
            <w:r>
              <w:rPr>
                <w:noProof/>
                <w:webHidden/>
              </w:rPr>
              <w:fldChar w:fldCharType="begin"/>
            </w:r>
            <w:r>
              <w:rPr>
                <w:noProof/>
                <w:webHidden/>
              </w:rPr>
              <w:instrText xml:space="preserve"> PAGEREF _Toc224413407 \h </w:instrText>
            </w:r>
            <w:r>
              <w:rPr>
                <w:noProof/>
                <w:webHidden/>
              </w:rPr>
            </w:r>
            <w:r>
              <w:rPr>
                <w:noProof/>
                <w:webHidden/>
              </w:rPr>
              <w:fldChar w:fldCharType="separate"/>
            </w:r>
            <w:r>
              <w:rPr>
                <w:noProof/>
                <w:webHidden/>
              </w:rPr>
              <w:t>8</w:t>
            </w:r>
            <w:r>
              <w:rPr>
                <w:noProof/>
                <w:webHidden/>
              </w:rPr>
              <w:fldChar w:fldCharType="end"/>
            </w:r>
          </w:hyperlink>
        </w:p>
        <w:p w14:paraId="070DC14C" w14:textId="315FEA65" w:rsidR="0066461A" w:rsidRDefault="0066461A" w:rsidP="0066461A">
          <w:pPr>
            <w:pStyle w:val="TOC1"/>
            <w:tabs>
              <w:tab w:val="right" w:leader="dot" w:pos="9016"/>
            </w:tabs>
            <w:spacing w:line="360" w:lineRule="auto"/>
            <w:rPr>
              <w:rFonts w:eastAsiaTheme="minorEastAsia"/>
              <w:noProof/>
              <w:lang w:eastAsia="en-GB"/>
            </w:rPr>
          </w:pPr>
          <w:hyperlink w:anchor="_Toc224413408" w:history="1">
            <w:r w:rsidRPr="007109EA">
              <w:rPr>
                <w:rStyle w:val="Hyperlink"/>
                <w:noProof/>
              </w:rPr>
              <w:t>Conclusion</w:t>
            </w:r>
            <w:r>
              <w:rPr>
                <w:noProof/>
                <w:webHidden/>
              </w:rPr>
              <w:tab/>
            </w:r>
            <w:r>
              <w:rPr>
                <w:noProof/>
                <w:webHidden/>
              </w:rPr>
              <w:fldChar w:fldCharType="begin"/>
            </w:r>
            <w:r>
              <w:rPr>
                <w:noProof/>
                <w:webHidden/>
              </w:rPr>
              <w:instrText xml:space="preserve"> PAGEREF _Toc224413408 \h </w:instrText>
            </w:r>
            <w:r>
              <w:rPr>
                <w:noProof/>
                <w:webHidden/>
              </w:rPr>
            </w:r>
            <w:r>
              <w:rPr>
                <w:noProof/>
                <w:webHidden/>
              </w:rPr>
              <w:fldChar w:fldCharType="separate"/>
            </w:r>
            <w:r>
              <w:rPr>
                <w:noProof/>
                <w:webHidden/>
              </w:rPr>
              <w:t>9</w:t>
            </w:r>
            <w:r>
              <w:rPr>
                <w:noProof/>
                <w:webHidden/>
              </w:rPr>
              <w:fldChar w:fldCharType="end"/>
            </w:r>
          </w:hyperlink>
        </w:p>
        <w:p w14:paraId="35BD2819" w14:textId="4365F45E" w:rsidR="0066461A" w:rsidRDefault="0066461A" w:rsidP="0066461A">
          <w:pPr>
            <w:pStyle w:val="TOC1"/>
            <w:tabs>
              <w:tab w:val="right" w:leader="dot" w:pos="9016"/>
            </w:tabs>
            <w:spacing w:line="360" w:lineRule="auto"/>
            <w:rPr>
              <w:rFonts w:eastAsiaTheme="minorEastAsia"/>
              <w:noProof/>
              <w:lang w:eastAsia="en-GB"/>
            </w:rPr>
          </w:pPr>
          <w:hyperlink w:anchor="_Toc224413409" w:history="1">
            <w:r w:rsidRPr="007109EA">
              <w:rPr>
                <w:rStyle w:val="Hyperlink"/>
                <w:noProof/>
              </w:rPr>
              <w:t>Refrence LIst</w:t>
            </w:r>
            <w:r>
              <w:rPr>
                <w:noProof/>
                <w:webHidden/>
              </w:rPr>
              <w:tab/>
            </w:r>
            <w:r>
              <w:rPr>
                <w:noProof/>
                <w:webHidden/>
              </w:rPr>
              <w:fldChar w:fldCharType="begin"/>
            </w:r>
            <w:r>
              <w:rPr>
                <w:noProof/>
                <w:webHidden/>
              </w:rPr>
              <w:instrText xml:space="preserve"> PAGEREF _Toc224413409 \h </w:instrText>
            </w:r>
            <w:r>
              <w:rPr>
                <w:noProof/>
                <w:webHidden/>
              </w:rPr>
            </w:r>
            <w:r>
              <w:rPr>
                <w:noProof/>
                <w:webHidden/>
              </w:rPr>
              <w:fldChar w:fldCharType="separate"/>
            </w:r>
            <w:r>
              <w:rPr>
                <w:noProof/>
                <w:webHidden/>
              </w:rPr>
              <w:t>11</w:t>
            </w:r>
            <w:r>
              <w:rPr>
                <w:noProof/>
                <w:webHidden/>
              </w:rPr>
              <w:fldChar w:fldCharType="end"/>
            </w:r>
          </w:hyperlink>
        </w:p>
        <w:p w14:paraId="7A2A307D" w14:textId="395C86BA" w:rsidR="0066461A" w:rsidRDefault="0066461A" w:rsidP="0066461A">
          <w:pPr>
            <w:spacing w:line="360" w:lineRule="auto"/>
          </w:pPr>
          <w:r>
            <w:rPr>
              <w:b/>
              <w:bCs/>
              <w:noProof/>
            </w:rPr>
            <w:fldChar w:fldCharType="end"/>
          </w:r>
        </w:p>
      </w:sdtContent>
    </w:sdt>
    <w:p w14:paraId="51A363E1" w14:textId="77777777" w:rsidR="0066461A" w:rsidRDefault="0066461A">
      <w:pPr>
        <w:rPr>
          <w:rFonts w:asciiTheme="majorHAnsi" w:eastAsiaTheme="majorEastAsia" w:hAnsiTheme="majorHAnsi" w:cstheme="majorBidi"/>
          <w:color w:val="0F4761" w:themeColor="accent1" w:themeShade="BF"/>
          <w:sz w:val="40"/>
          <w:szCs w:val="40"/>
        </w:rPr>
      </w:pPr>
      <w:r>
        <w:br w:type="page"/>
      </w:r>
    </w:p>
    <w:p w14:paraId="355D80B5" w14:textId="1F6A71FB" w:rsidR="00552DB0" w:rsidRPr="00552DB0" w:rsidRDefault="00552DB0" w:rsidP="00552DB0">
      <w:pPr>
        <w:pStyle w:val="Heading1"/>
      </w:pPr>
      <w:bookmarkStart w:id="0" w:name="_Toc224413400"/>
      <w:r w:rsidRPr="00552DB0">
        <w:lastRenderedPageBreak/>
        <w:t>Introduction</w:t>
      </w:r>
      <w:bookmarkEnd w:id="0"/>
      <w:r w:rsidRPr="00552DB0">
        <w:t xml:space="preserve"> </w:t>
      </w:r>
    </w:p>
    <w:p w14:paraId="5F1F8116" w14:textId="77777777" w:rsidR="00552DB0" w:rsidRPr="00552DB0" w:rsidRDefault="00552DB0" w:rsidP="00552DB0">
      <w:pPr>
        <w:spacing w:line="360" w:lineRule="auto"/>
        <w:jc w:val="both"/>
        <w:rPr>
          <w:rFonts w:ascii="Arial" w:hAnsi="Arial"/>
        </w:rPr>
      </w:pPr>
      <w:r w:rsidRPr="00552DB0">
        <w:rPr>
          <w:rFonts w:ascii="Arial" w:hAnsi="Arial"/>
        </w:rPr>
        <w:t>Health and wellbeing are essential aspects of people’s quality of life and refer to the physical, mental and social conditions that allow individuals to live healthy and productive lives. In health and social care, wellbeing is closely linked to social, economic and environmental conditions such as education, income, housing and access to healthcare services. Sustainable development refers to improving people’s lives while protecting resources for future generations and ensuring long-term social, economic and environmental stability (Scharlemann et al., 2024).</w:t>
      </w:r>
    </w:p>
    <w:p w14:paraId="129EA862" w14:textId="77777777" w:rsidR="003D55AA" w:rsidRDefault="00552DB0" w:rsidP="00552DB0">
      <w:pPr>
        <w:spacing w:line="360" w:lineRule="auto"/>
        <w:jc w:val="both"/>
        <w:rPr>
          <w:rFonts w:ascii="Arial" w:hAnsi="Arial"/>
        </w:rPr>
      </w:pPr>
      <w:r w:rsidRPr="00552DB0">
        <w:rPr>
          <w:rFonts w:ascii="Arial" w:hAnsi="Arial"/>
        </w:rPr>
        <w:t>The Sustainable Development Goals (SDGs) were introduced by the United Nations in 2015 as a global framework of 17 goals designed to address major global challenges such as poverty, inequality, climate change and health by 2030.</w:t>
      </w:r>
    </w:p>
    <w:p w14:paraId="054C2811" w14:textId="141B5FEA" w:rsidR="003D55AA" w:rsidRDefault="003D55AA" w:rsidP="003D55AA">
      <w:pPr>
        <w:keepNext/>
        <w:spacing w:line="360" w:lineRule="auto"/>
        <w:jc w:val="both"/>
      </w:pPr>
      <w:r>
        <w:t xml:space="preserve">             </w:t>
      </w:r>
      <w:r>
        <w:rPr>
          <w:noProof/>
        </w:rPr>
        <w:drawing>
          <wp:inline distT="0" distB="0" distL="0" distR="0" wp14:anchorId="19BDFE05" wp14:editId="03B01E39">
            <wp:extent cx="4731327" cy="3869561"/>
            <wp:effectExtent l="0" t="0" r="0" b="0"/>
            <wp:docPr id="113096872" name="Picture 6" descr="Sustainable Development Goals: 17 Goal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ustainable Development Goals: 17 Goal Icon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38827" cy="3875695"/>
                    </a:xfrm>
                    <a:prstGeom prst="rect">
                      <a:avLst/>
                    </a:prstGeom>
                    <a:noFill/>
                    <a:ln>
                      <a:noFill/>
                    </a:ln>
                  </pic:spPr>
                </pic:pic>
              </a:graphicData>
            </a:graphic>
          </wp:inline>
        </w:drawing>
      </w:r>
    </w:p>
    <w:p w14:paraId="55A9CBD9" w14:textId="28881CC1" w:rsidR="003D55AA" w:rsidRDefault="003D55AA" w:rsidP="003D55AA">
      <w:pPr>
        <w:pStyle w:val="Caption"/>
        <w:jc w:val="both"/>
      </w:pPr>
      <w:r w:rsidRPr="00A05967">
        <w:t xml:space="preserve">Figure </w:t>
      </w:r>
      <w:r w:rsidR="00F17FC8">
        <w:t>1</w:t>
      </w:r>
      <w:r w:rsidRPr="00A05967">
        <w:t>: The 17 Sustainable Development Goals (SDGs), including SDG 3: Good Health and Wellbeing and SDG 10: Reduced Inequalities (United Nations, 2023).</w:t>
      </w:r>
    </w:p>
    <w:p w14:paraId="56A800F5" w14:textId="3A3E5B95" w:rsidR="00552DB0" w:rsidRPr="00552DB0" w:rsidRDefault="00552DB0" w:rsidP="00552DB0">
      <w:pPr>
        <w:spacing w:line="360" w:lineRule="auto"/>
        <w:jc w:val="both"/>
        <w:rPr>
          <w:rFonts w:ascii="Arial" w:hAnsi="Arial"/>
        </w:rPr>
      </w:pPr>
      <w:r w:rsidRPr="00552DB0">
        <w:rPr>
          <w:rFonts w:ascii="Arial" w:hAnsi="Arial"/>
        </w:rPr>
        <w:t xml:space="preserve"> These goals guide governments and organisations in developing policies and initiatives that support sustainable and equitable development (Kroll, Warchold and Pradhan, 2023). One of the most important goals for health systems is SDG 3: Good </w:t>
      </w:r>
      <w:r w:rsidRPr="00552DB0">
        <w:rPr>
          <w:rFonts w:ascii="Arial" w:hAnsi="Arial"/>
        </w:rPr>
        <w:lastRenderedPageBreak/>
        <w:t>Health and Wellbeing, which focuses on improving population health, preventing diseases and ensuring access to healthcare for all (United Nations, 2023).</w:t>
      </w:r>
    </w:p>
    <w:p w14:paraId="06399A4A" w14:textId="77777777" w:rsidR="00552DB0" w:rsidRDefault="00552DB0" w:rsidP="00552DB0">
      <w:pPr>
        <w:spacing w:line="360" w:lineRule="auto"/>
        <w:jc w:val="both"/>
        <w:rPr>
          <w:rFonts w:ascii="Arial" w:hAnsi="Arial"/>
        </w:rPr>
      </w:pPr>
      <w:r w:rsidRPr="00552DB0">
        <w:rPr>
          <w:rFonts w:ascii="Arial" w:hAnsi="Arial"/>
        </w:rPr>
        <w:t>This report will analyse the impact of SDG 3 and SDG 10: Reduced Inequalities on citizens’ health and wellbeing. It will also evaluate national and local health initiatives and discuss how they contribute to improving health outcomes.</w:t>
      </w:r>
    </w:p>
    <w:p w14:paraId="6F51D92E" w14:textId="126ECA2D" w:rsidR="00552DB0" w:rsidRPr="00552DB0" w:rsidRDefault="00552DB0" w:rsidP="00552DB0">
      <w:pPr>
        <w:pStyle w:val="Heading1"/>
      </w:pPr>
      <w:bookmarkStart w:id="1" w:name="_Toc224413401"/>
      <w:r w:rsidRPr="00552DB0">
        <w:t>Overview of Sustainable Development Goals (SDG 3 and SDG 10)</w:t>
      </w:r>
      <w:bookmarkEnd w:id="1"/>
    </w:p>
    <w:p w14:paraId="3205BAF7" w14:textId="1B078E7E" w:rsidR="00552DB0" w:rsidRPr="00552DB0" w:rsidRDefault="00552DB0" w:rsidP="00552DB0">
      <w:pPr>
        <w:pStyle w:val="Heading2"/>
      </w:pPr>
      <w:bookmarkStart w:id="2" w:name="_Toc224413402"/>
      <w:r w:rsidRPr="00552DB0">
        <w:t>SDG 3 – Good Health and Wellbeing</w:t>
      </w:r>
      <w:bookmarkEnd w:id="2"/>
      <w:r w:rsidRPr="00552DB0">
        <w:t xml:space="preserve"> </w:t>
      </w:r>
    </w:p>
    <w:p w14:paraId="20E255F2" w14:textId="77777777" w:rsidR="00552DB0" w:rsidRPr="00552DB0" w:rsidRDefault="00552DB0" w:rsidP="00552DB0">
      <w:pPr>
        <w:spacing w:line="360" w:lineRule="auto"/>
        <w:jc w:val="both"/>
        <w:rPr>
          <w:rFonts w:ascii="Arial" w:hAnsi="Arial"/>
        </w:rPr>
      </w:pPr>
      <w:r w:rsidRPr="00552DB0">
        <w:rPr>
          <w:rFonts w:ascii="Arial" w:hAnsi="Arial"/>
        </w:rPr>
        <w:t>Sustainable Development Goal 3 (SDG 3) focuses on ensuring healthy lives and promoting wellbeing for people of all ages. It is one of the most important goals within the United Nations Sustainable Development Goals framework because health is closely connected with economic development, social stability and overall quality of life. SDG 3 encourages governments and health organisations to strengthen healthcare systems, improve disease prevention and increase access to essential health services (Kroll, Warchold and Pradhan, 2023).</w:t>
      </w:r>
    </w:p>
    <w:p w14:paraId="2607F1F1" w14:textId="77777777" w:rsidR="00552DB0" w:rsidRPr="00552DB0" w:rsidRDefault="00552DB0" w:rsidP="00552DB0">
      <w:pPr>
        <w:spacing w:line="360" w:lineRule="auto"/>
        <w:jc w:val="both"/>
        <w:rPr>
          <w:rFonts w:ascii="Arial" w:hAnsi="Arial"/>
        </w:rPr>
      </w:pPr>
      <w:r w:rsidRPr="00552DB0">
        <w:rPr>
          <w:rFonts w:ascii="Arial" w:hAnsi="Arial"/>
        </w:rPr>
        <w:t>A key priority of SDG 3 is reducing the global burden of diseases. This includes preventing communicable diseases such as HIV/AIDS and tuberculosis as well as non-communicable diseases such as heart disease, diabetes and cancer. Another important target is improving mental health by increasing access to mental health services and reducing stigma associated with mental illness. Mental health is now recognised as an essential component of overall wellbeing and public health policies (Scharlemann et al., 2024).</w:t>
      </w:r>
    </w:p>
    <w:p w14:paraId="19D979E7" w14:textId="77777777" w:rsidR="00552DB0" w:rsidRPr="00552DB0" w:rsidRDefault="00552DB0" w:rsidP="00552DB0">
      <w:pPr>
        <w:spacing w:line="360" w:lineRule="auto"/>
        <w:jc w:val="both"/>
        <w:rPr>
          <w:rFonts w:ascii="Arial" w:hAnsi="Arial"/>
        </w:rPr>
      </w:pPr>
      <w:r w:rsidRPr="00552DB0">
        <w:rPr>
          <w:rFonts w:ascii="Arial" w:hAnsi="Arial"/>
        </w:rPr>
        <w:t>SDG 3 also promotes universal health coverage (UHC), which means that all individuals should have access to affordable, high-quality healthcare without experiencing financial hardship. Achieving this goal can significantly improve citizens’ health outcomes, reduce mortality rates and increase life expectancy. Therefore, SDG 3 plays a crucial role in improving global and national health systems and ensuring healthier populations (World Health Organization, 2023).</w:t>
      </w:r>
    </w:p>
    <w:p w14:paraId="4726541B" w14:textId="5741F0C3" w:rsidR="00552DB0" w:rsidRPr="00552DB0" w:rsidRDefault="00552DB0" w:rsidP="00552DB0">
      <w:pPr>
        <w:spacing w:line="360" w:lineRule="auto"/>
        <w:jc w:val="both"/>
        <w:rPr>
          <w:rFonts w:ascii="Arial" w:hAnsi="Arial"/>
        </w:rPr>
      </w:pPr>
    </w:p>
    <w:p w14:paraId="24756AB3" w14:textId="18CAC3FA" w:rsidR="00552DB0" w:rsidRPr="00552DB0" w:rsidRDefault="00552DB0" w:rsidP="00552DB0">
      <w:pPr>
        <w:pStyle w:val="Heading2"/>
      </w:pPr>
      <w:bookmarkStart w:id="3" w:name="_Toc224413403"/>
      <w:r w:rsidRPr="00552DB0">
        <w:lastRenderedPageBreak/>
        <w:t>SDG 10 – Reduced Inequalities</w:t>
      </w:r>
      <w:bookmarkEnd w:id="3"/>
      <w:r w:rsidRPr="00552DB0">
        <w:t xml:space="preserve"> </w:t>
      </w:r>
    </w:p>
    <w:p w14:paraId="478B152A" w14:textId="77777777" w:rsidR="00552DB0" w:rsidRPr="00552DB0" w:rsidRDefault="00552DB0" w:rsidP="00552DB0">
      <w:pPr>
        <w:spacing w:line="360" w:lineRule="auto"/>
        <w:jc w:val="both"/>
        <w:rPr>
          <w:rFonts w:ascii="Arial" w:hAnsi="Arial"/>
        </w:rPr>
      </w:pPr>
      <w:r w:rsidRPr="00552DB0">
        <w:rPr>
          <w:rFonts w:ascii="Arial" w:hAnsi="Arial"/>
        </w:rPr>
        <w:t>Sustainable Development Goal 10 focuses on reducing inequalities within and between countries. This goal aims to ensure that everyone has equal opportunities to access economic resources, education, employment and healthcare services. Inequality is a major factor influencing health outcomes, as disadvantaged groups often face barriers to healthcare and experience poorer health conditions compared with more advantaged populations (United Nations, 2023).</w:t>
      </w:r>
    </w:p>
    <w:p w14:paraId="02674906" w14:textId="77777777" w:rsidR="003D55AA" w:rsidRDefault="00552DB0" w:rsidP="00552DB0">
      <w:pPr>
        <w:spacing w:line="360" w:lineRule="auto"/>
        <w:jc w:val="both"/>
        <w:rPr>
          <w:rFonts w:ascii="Arial" w:hAnsi="Arial"/>
        </w:rPr>
      </w:pPr>
      <w:r w:rsidRPr="00552DB0">
        <w:rPr>
          <w:rFonts w:ascii="Arial" w:hAnsi="Arial"/>
        </w:rPr>
        <w:t xml:space="preserve">Health inequalities are often linked to social determinants of health, such as income, education, housing and employment. </w:t>
      </w:r>
    </w:p>
    <w:p w14:paraId="7F16CFF7" w14:textId="77777777" w:rsidR="00F17FC8" w:rsidRDefault="003D55AA" w:rsidP="00F17FC8">
      <w:pPr>
        <w:keepNext/>
        <w:spacing w:line="360" w:lineRule="auto"/>
        <w:jc w:val="both"/>
      </w:pPr>
      <w:r>
        <w:rPr>
          <w:noProof/>
        </w:rPr>
        <w:drawing>
          <wp:inline distT="0" distB="0" distL="0" distR="0" wp14:anchorId="1B4C14D0" wp14:editId="3CFAC9B3">
            <wp:extent cx="4580952" cy="2752381"/>
            <wp:effectExtent l="0" t="0" r="0" b="0"/>
            <wp:docPr id="939009397" name="Picture 1" descr="The diagram illustrates a comparison of life expectancy in England, showing a decline in years as deprivation levels increase, with men and women experiencing different rates of dec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009397" name="Picture 1" descr="The diagram illustrates a comparison of life expectancy in England, showing a decline in years as deprivation levels increase, with men and women experiencing different rates of decline.&#10;&#10;AI-generated content may be incorrect."/>
                    <pic:cNvPicPr/>
                  </pic:nvPicPr>
                  <pic:blipFill>
                    <a:blip r:embed="rId11"/>
                    <a:stretch>
                      <a:fillRect/>
                    </a:stretch>
                  </pic:blipFill>
                  <pic:spPr>
                    <a:xfrm>
                      <a:off x="0" y="0"/>
                      <a:ext cx="4580952" cy="2752381"/>
                    </a:xfrm>
                    <a:prstGeom prst="rect">
                      <a:avLst/>
                    </a:prstGeom>
                  </pic:spPr>
                </pic:pic>
              </a:graphicData>
            </a:graphic>
          </wp:inline>
        </w:drawing>
      </w:r>
    </w:p>
    <w:p w14:paraId="20D091AA" w14:textId="1E4DD0DA" w:rsidR="003D55AA" w:rsidRDefault="00F17FC8" w:rsidP="00F17FC8">
      <w:pPr>
        <w:pStyle w:val="Caption"/>
        <w:jc w:val="both"/>
        <w:rPr>
          <w:rFonts w:ascii="Arial" w:hAnsi="Arial"/>
        </w:rPr>
      </w:pPr>
      <w:r w:rsidRPr="00A568D0">
        <w:t>Figure 2:</w:t>
      </w:r>
      <w:r>
        <w:t xml:space="preserve"> </w:t>
      </w:r>
      <w:r w:rsidRPr="00A568D0">
        <w:t>Life expectancy differences by deprivation level in England</w:t>
      </w:r>
    </w:p>
    <w:p w14:paraId="3DB7D8AE" w14:textId="3E3560D5" w:rsidR="00552DB0" w:rsidRPr="00552DB0" w:rsidRDefault="00552DB0" w:rsidP="00552DB0">
      <w:pPr>
        <w:spacing w:line="360" w:lineRule="auto"/>
        <w:jc w:val="both"/>
        <w:rPr>
          <w:rFonts w:ascii="Arial" w:hAnsi="Arial"/>
        </w:rPr>
      </w:pPr>
      <w:r w:rsidRPr="00552DB0">
        <w:rPr>
          <w:rFonts w:ascii="Arial" w:hAnsi="Arial"/>
        </w:rPr>
        <w:t>People living in poverty are more likely to experience chronic illnesses, limited access to healthcare services and lower life expectancy. Similarly, individuals with lower levels of education may have less awareness of health risks and prevention strategies, which can negatively affect their wellbeing (Marmot et al., 2020).</w:t>
      </w:r>
    </w:p>
    <w:p w14:paraId="51005EAE" w14:textId="77777777" w:rsidR="00552DB0" w:rsidRDefault="00552DB0" w:rsidP="00552DB0">
      <w:pPr>
        <w:spacing w:line="360" w:lineRule="auto"/>
        <w:jc w:val="both"/>
        <w:rPr>
          <w:rFonts w:ascii="Arial" w:hAnsi="Arial"/>
        </w:rPr>
      </w:pPr>
      <w:r w:rsidRPr="00552DB0">
        <w:rPr>
          <w:rFonts w:ascii="Arial" w:hAnsi="Arial"/>
        </w:rPr>
        <w:t xml:space="preserve">Reducing inequalities is therefore essential for improving population health and achieving sustainable development. Policies that promote fair access to healthcare, education and employment can help reduce health disparities and improve overall wellbeing. For example, programmes that support disadvantaged communities, improve healthcare access and address social inequalities can lead to better health outcomes and stronger, more inclusive societies (Kroll, Warchold and Pradhan, 2023). </w:t>
      </w:r>
      <w:r w:rsidRPr="00552DB0">
        <w:rPr>
          <w:rFonts w:ascii="Arial" w:hAnsi="Arial"/>
        </w:rPr>
        <w:lastRenderedPageBreak/>
        <w:t>Consequently, SDG 10 is closely connected to SDG 3 because reducing inequality can significantly enhance health and wellbeing for all citizens.</w:t>
      </w:r>
    </w:p>
    <w:p w14:paraId="0B5DF543" w14:textId="5C4B5A81" w:rsidR="005E3CB3" w:rsidRPr="005E3CB3" w:rsidRDefault="005E3CB3" w:rsidP="005E3CB3">
      <w:pPr>
        <w:pStyle w:val="Heading1"/>
      </w:pPr>
      <w:bookmarkStart w:id="4" w:name="_Toc224413404"/>
      <w:r w:rsidRPr="005E3CB3">
        <w:t>Impact of SDGs on Citizens’ Health and Wellbeing</w:t>
      </w:r>
      <w:bookmarkEnd w:id="4"/>
      <w:r w:rsidRPr="005E3CB3">
        <w:t xml:space="preserve"> </w:t>
      </w:r>
    </w:p>
    <w:p w14:paraId="2E96CD6E" w14:textId="77777777" w:rsidR="005E3CB3" w:rsidRPr="005E3CB3" w:rsidRDefault="005E3CB3" w:rsidP="005E3CB3">
      <w:pPr>
        <w:spacing w:line="360" w:lineRule="auto"/>
        <w:jc w:val="both"/>
        <w:rPr>
          <w:rFonts w:ascii="Arial" w:hAnsi="Arial"/>
        </w:rPr>
      </w:pPr>
      <w:r w:rsidRPr="005E3CB3">
        <w:rPr>
          <w:rFonts w:ascii="Arial" w:hAnsi="Arial"/>
        </w:rPr>
        <w:t>The Sustainable Development Goals (SDGs) play an important role in improving citizens’ health and wellbeing by guiding governments and organisations to address key health challenges and social inequalities. In particular, SDG 3 focuses on improving physical and mental health, increasing access to healthcare services, and preventing diseases. These goals help countries develop policies that promote healthier lifestyles and strengthen health systems (Kroll, Warchold and Pradhan, 2023).</w:t>
      </w:r>
    </w:p>
    <w:p w14:paraId="6A53B060" w14:textId="77777777" w:rsidR="005E3CB3" w:rsidRPr="005E3CB3" w:rsidRDefault="005E3CB3" w:rsidP="005E3CB3">
      <w:pPr>
        <w:spacing w:line="360" w:lineRule="auto"/>
        <w:jc w:val="both"/>
        <w:rPr>
          <w:rFonts w:ascii="Arial" w:hAnsi="Arial"/>
        </w:rPr>
      </w:pPr>
      <w:r w:rsidRPr="005E3CB3">
        <w:rPr>
          <w:rFonts w:ascii="Arial" w:hAnsi="Arial"/>
        </w:rPr>
        <w:t>SDGs contribute to improving physical health by encouraging prevention and treatment of diseases. Public health strategies under SDG 3 focus on reducing non-communicable diseases such as heart disease, diabetes and cancer, which are major causes of death worldwide. Health promotion activities such as vaccination programmes, smoking cessation campaigns and healthy lifestyle education can reduce disease risk and improve population health outcomes (World Health Organization, 2023).</w:t>
      </w:r>
    </w:p>
    <w:p w14:paraId="27A254A7" w14:textId="77777777" w:rsidR="005E3CB3" w:rsidRPr="005E3CB3" w:rsidRDefault="005E3CB3" w:rsidP="005E3CB3">
      <w:pPr>
        <w:spacing w:line="360" w:lineRule="auto"/>
        <w:jc w:val="both"/>
        <w:rPr>
          <w:rFonts w:ascii="Arial" w:hAnsi="Arial"/>
        </w:rPr>
      </w:pPr>
      <w:r w:rsidRPr="005E3CB3">
        <w:rPr>
          <w:rFonts w:ascii="Arial" w:hAnsi="Arial"/>
        </w:rPr>
        <w:t>The SDGs also recognise the importance of mental health as part of overall wellbeing. Mental health services, community support programmes and awareness campaigns are increasingly promoted to reduce stigma and improve access to treatment. Improving mental health support can enhance quality of life, productivity and social wellbeing (Scharlemann et al., 2024).</w:t>
      </w:r>
    </w:p>
    <w:p w14:paraId="19965539" w14:textId="77777777" w:rsidR="005E3CB3" w:rsidRPr="005E3CB3" w:rsidRDefault="005E3CB3" w:rsidP="005E3CB3">
      <w:pPr>
        <w:spacing w:line="360" w:lineRule="auto"/>
        <w:jc w:val="both"/>
        <w:rPr>
          <w:rFonts w:ascii="Arial" w:hAnsi="Arial"/>
        </w:rPr>
      </w:pPr>
      <w:r w:rsidRPr="005E3CB3">
        <w:rPr>
          <w:rFonts w:ascii="Arial" w:hAnsi="Arial"/>
        </w:rPr>
        <w:t>Another major focus of the SDGs is improving access to healthcare. Universal health coverage aims to ensure that individuals can receive essential health services without financial hardship. Expanding healthcare services, strengthening healthcare systems and investing in medical infrastructure help improve healthcare access for vulnerable populations (United Nations, 2023).</w:t>
      </w:r>
    </w:p>
    <w:p w14:paraId="37503B48" w14:textId="77777777" w:rsidR="005E3CB3" w:rsidRPr="005E3CB3" w:rsidRDefault="005E3CB3" w:rsidP="005E3CB3">
      <w:pPr>
        <w:spacing w:line="360" w:lineRule="auto"/>
        <w:jc w:val="both"/>
        <w:rPr>
          <w:rFonts w:ascii="Arial" w:hAnsi="Arial"/>
        </w:rPr>
      </w:pPr>
      <w:r w:rsidRPr="005E3CB3">
        <w:rPr>
          <w:rFonts w:ascii="Arial" w:hAnsi="Arial"/>
        </w:rPr>
        <w:t xml:space="preserve">In addition, the SDGs highlight the importance of addressing health inequalities. Social determinants of health such as income, housing, employment and education strongly influence health outcomes. Individuals living in poverty or disadvantaged communities often experience poorer health and limited access to healthcare services. Addressing </w:t>
      </w:r>
      <w:r w:rsidRPr="005E3CB3">
        <w:rPr>
          <w:rFonts w:ascii="Arial" w:hAnsi="Arial"/>
        </w:rPr>
        <w:lastRenderedPageBreak/>
        <w:t>these social factors through health policies, public health campaigns and community programmes can reduce inequalities and improve overall wellbeing (Marmot et al., 2020).</w:t>
      </w:r>
    </w:p>
    <w:p w14:paraId="775798D4" w14:textId="408F7D61" w:rsidR="00544E49" w:rsidRPr="00544E49" w:rsidRDefault="00544E49" w:rsidP="00544E49">
      <w:pPr>
        <w:pStyle w:val="Heading1"/>
      </w:pPr>
      <w:bookmarkStart w:id="5" w:name="_Toc224413405"/>
      <w:r w:rsidRPr="00544E49">
        <w:t>Evaluation of National Health and Wellbeing Initiatives</w:t>
      </w:r>
      <w:bookmarkEnd w:id="5"/>
      <w:r w:rsidRPr="00544E49">
        <w:t xml:space="preserve"> </w:t>
      </w:r>
    </w:p>
    <w:p w14:paraId="52F475A2" w14:textId="483A9438" w:rsidR="00CB71B1" w:rsidRDefault="00544E49" w:rsidP="00544E49">
      <w:pPr>
        <w:spacing w:line="360" w:lineRule="auto"/>
        <w:jc w:val="both"/>
        <w:rPr>
          <w:rFonts w:ascii="Arial" w:hAnsi="Arial"/>
        </w:rPr>
      </w:pPr>
      <w:r w:rsidRPr="00544E49">
        <w:rPr>
          <w:rFonts w:ascii="Arial" w:hAnsi="Arial"/>
        </w:rPr>
        <w:t>The United Kingdom has introduced several national health initiatives that support the achievement of Sustainable Development Goals, particularly SDG 3 (Good Health and Wellbeing) and SDG 10 (Reduced Inequalities). These initiatives aim to improve population health, prevent diseases and reduce health inequalities across different social groups</w:t>
      </w:r>
      <w:r w:rsidR="00F12E53">
        <w:rPr>
          <w:rFonts w:ascii="Arial" w:hAnsi="Arial"/>
        </w:rPr>
        <w:t xml:space="preserve"> </w:t>
      </w:r>
      <w:r w:rsidR="00F12E53" w:rsidRPr="00F12E53">
        <w:rPr>
          <w:rFonts w:ascii="Arial" w:hAnsi="Arial"/>
        </w:rPr>
        <w:t>(Department of Health and Social Care, 2022; World Health Organization, 2021).</w:t>
      </w:r>
      <w:r w:rsidRPr="00544E49">
        <w:rPr>
          <w:rFonts w:ascii="Arial" w:hAnsi="Arial"/>
        </w:rPr>
        <w:t xml:space="preserve"> </w:t>
      </w:r>
    </w:p>
    <w:p w14:paraId="4E657DA5" w14:textId="760CE4F7" w:rsidR="00CB71B1" w:rsidRPr="00CB71B1" w:rsidRDefault="00CB71B1" w:rsidP="00CB71B1">
      <w:pPr>
        <w:pStyle w:val="Caption"/>
        <w:keepNext/>
        <w:rPr>
          <w:sz w:val="20"/>
          <w:szCs w:val="20"/>
        </w:rPr>
      </w:pPr>
      <w:r w:rsidRPr="00CB71B1">
        <w:rPr>
          <w:sz w:val="20"/>
          <w:szCs w:val="20"/>
        </w:rPr>
        <w:t xml:space="preserve">Table </w:t>
      </w:r>
      <w:r w:rsidRPr="00CB71B1">
        <w:rPr>
          <w:sz w:val="20"/>
          <w:szCs w:val="20"/>
        </w:rPr>
        <w:fldChar w:fldCharType="begin"/>
      </w:r>
      <w:r w:rsidRPr="00CB71B1">
        <w:rPr>
          <w:sz w:val="20"/>
          <w:szCs w:val="20"/>
        </w:rPr>
        <w:instrText xml:space="preserve"> SEQ Table \* ARABIC </w:instrText>
      </w:r>
      <w:r w:rsidRPr="00CB71B1">
        <w:rPr>
          <w:sz w:val="20"/>
          <w:szCs w:val="20"/>
        </w:rPr>
        <w:fldChar w:fldCharType="separate"/>
      </w:r>
      <w:r w:rsidR="003D55AA">
        <w:rPr>
          <w:noProof/>
          <w:sz w:val="20"/>
          <w:szCs w:val="20"/>
        </w:rPr>
        <w:t>2</w:t>
      </w:r>
      <w:r w:rsidRPr="00CB71B1">
        <w:rPr>
          <w:sz w:val="20"/>
          <w:szCs w:val="20"/>
        </w:rPr>
        <w:fldChar w:fldCharType="end"/>
      </w:r>
      <w:r w:rsidRPr="00CB71B1">
        <w:rPr>
          <w:sz w:val="20"/>
          <w:szCs w:val="20"/>
        </w:rPr>
        <w:t>:Key National Health Initiatives Supporting SDG 3 (Good Health and Wellbeing) in the UK. Source: Author’s summary based on NHS England (2019); UK Health Security Agency (2023); Action on Smoking and Health (2022).</w:t>
      </w:r>
    </w:p>
    <w:tbl>
      <w:tblPr>
        <w:tblStyle w:val="GridTable4-Accent4"/>
        <w:tblW w:w="0" w:type="auto"/>
        <w:tblLook w:val="04A0" w:firstRow="1" w:lastRow="0" w:firstColumn="1" w:lastColumn="0" w:noHBand="0" w:noVBand="1"/>
      </w:tblPr>
      <w:tblGrid>
        <w:gridCol w:w="3278"/>
        <w:gridCol w:w="2977"/>
        <w:gridCol w:w="2761"/>
      </w:tblGrid>
      <w:tr w:rsidR="00CB71B1" w:rsidRPr="00CB71B1" w14:paraId="0DBC6122" w14:textId="77777777" w:rsidTr="00CB71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D62AA0" w14:textId="77777777" w:rsidR="00CB71B1" w:rsidRPr="00CB71B1" w:rsidRDefault="00CB71B1" w:rsidP="00CB71B1">
            <w:pPr>
              <w:spacing w:after="160" w:line="360" w:lineRule="auto"/>
              <w:jc w:val="both"/>
              <w:rPr>
                <w:rFonts w:ascii="Arial" w:hAnsi="Arial"/>
              </w:rPr>
            </w:pPr>
            <w:r w:rsidRPr="00CB71B1">
              <w:rPr>
                <w:rFonts w:ascii="Arial" w:hAnsi="Arial"/>
              </w:rPr>
              <w:t>Initiative</w:t>
            </w:r>
          </w:p>
        </w:tc>
        <w:tc>
          <w:tcPr>
            <w:tcW w:w="0" w:type="auto"/>
            <w:hideMark/>
          </w:tcPr>
          <w:p w14:paraId="602DEB41" w14:textId="77777777" w:rsidR="00CB71B1" w:rsidRPr="00CB71B1" w:rsidRDefault="00CB71B1" w:rsidP="00CB71B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CB71B1">
              <w:rPr>
                <w:rFonts w:ascii="Arial" w:hAnsi="Arial"/>
              </w:rPr>
              <w:t>Organisation</w:t>
            </w:r>
          </w:p>
        </w:tc>
        <w:tc>
          <w:tcPr>
            <w:tcW w:w="0" w:type="auto"/>
            <w:hideMark/>
          </w:tcPr>
          <w:p w14:paraId="5CA7001E" w14:textId="77777777" w:rsidR="00CB71B1" w:rsidRPr="00CB71B1" w:rsidRDefault="00CB71B1" w:rsidP="00CB71B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CB71B1">
              <w:rPr>
                <w:rFonts w:ascii="Arial" w:hAnsi="Arial"/>
              </w:rPr>
              <w:t>Purpose</w:t>
            </w:r>
          </w:p>
        </w:tc>
      </w:tr>
      <w:tr w:rsidR="00CB71B1" w:rsidRPr="00CB71B1" w14:paraId="334B0554" w14:textId="77777777" w:rsidTr="00CB71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E70DDA" w14:textId="77777777" w:rsidR="00CB71B1" w:rsidRPr="00CB71B1" w:rsidRDefault="00CB71B1" w:rsidP="00CB71B1">
            <w:pPr>
              <w:spacing w:after="160" w:line="360" w:lineRule="auto"/>
              <w:jc w:val="both"/>
              <w:rPr>
                <w:rFonts w:ascii="Arial" w:hAnsi="Arial"/>
              </w:rPr>
            </w:pPr>
            <w:r w:rsidRPr="00CB71B1">
              <w:rPr>
                <w:rFonts w:ascii="Arial" w:hAnsi="Arial"/>
              </w:rPr>
              <w:t>Change4Life</w:t>
            </w:r>
          </w:p>
        </w:tc>
        <w:tc>
          <w:tcPr>
            <w:tcW w:w="0" w:type="auto"/>
            <w:hideMark/>
          </w:tcPr>
          <w:p w14:paraId="510B1606" w14:textId="77777777" w:rsidR="00CB71B1" w:rsidRPr="00CB71B1" w:rsidRDefault="00CB71B1" w:rsidP="00CB71B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CB71B1">
              <w:rPr>
                <w:rFonts w:ascii="Arial" w:hAnsi="Arial"/>
              </w:rPr>
              <w:t>NHS</w:t>
            </w:r>
          </w:p>
        </w:tc>
        <w:tc>
          <w:tcPr>
            <w:tcW w:w="0" w:type="auto"/>
            <w:hideMark/>
          </w:tcPr>
          <w:p w14:paraId="3158B601" w14:textId="77777777" w:rsidR="00CB71B1" w:rsidRPr="00CB71B1" w:rsidRDefault="00CB71B1" w:rsidP="00CB71B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CB71B1">
              <w:rPr>
                <w:rFonts w:ascii="Arial" w:hAnsi="Arial"/>
              </w:rPr>
              <w:t>Promote healthy lifestyle</w:t>
            </w:r>
          </w:p>
        </w:tc>
      </w:tr>
      <w:tr w:rsidR="00CB71B1" w:rsidRPr="00CB71B1" w14:paraId="61B794A5" w14:textId="77777777" w:rsidTr="00CB71B1">
        <w:tc>
          <w:tcPr>
            <w:cnfStyle w:val="001000000000" w:firstRow="0" w:lastRow="0" w:firstColumn="1" w:lastColumn="0" w:oddVBand="0" w:evenVBand="0" w:oddHBand="0" w:evenHBand="0" w:firstRowFirstColumn="0" w:firstRowLastColumn="0" w:lastRowFirstColumn="0" w:lastRowLastColumn="0"/>
            <w:tcW w:w="0" w:type="auto"/>
            <w:hideMark/>
          </w:tcPr>
          <w:p w14:paraId="60182D7F" w14:textId="77777777" w:rsidR="00CB71B1" w:rsidRPr="00CB71B1" w:rsidRDefault="00CB71B1" w:rsidP="00CB71B1">
            <w:pPr>
              <w:spacing w:after="160" w:line="360" w:lineRule="auto"/>
              <w:jc w:val="both"/>
              <w:rPr>
                <w:rFonts w:ascii="Arial" w:hAnsi="Arial"/>
              </w:rPr>
            </w:pPr>
            <w:r w:rsidRPr="00CB71B1">
              <w:rPr>
                <w:rFonts w:ascii="Arial" w:hAnsi="Arial"/>
              </w:rPr>
              <w:t>Smoking cessation services</w:t>
            </w:r>
          </w:p>
        </w:tc>
        <w:tc>
          <w:tcPr>
            <w:tcW w:w="0" w:type="auto"/>
            <w:hideMark/>
          </w:tcPr>
          <w:p w14:paraId="1A965401" w14:textId="77777777" w:rsidR="00CB71B1" w:rsidRPr="00CB71B1" w:rsidRDefault="00CB71B1" w:rsidP="00CB71B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CB71B1">
              <w:rPr>
                <w:rFonts w:ascii="Arial" w:hAnsi="Arial"/>
              </w:rPr>
              <w:t>Local authorities</w:t>
            </w:r>
          </w:p>
        </w:tc>
        <w:tc>
          <w:tcPr>
            <w:tcW w:w="0" w:type="auto"/>
            <w:hideMark/>
          </w:tcPr>
          <w:p w14:paraId="14216F4D" w14:textId="77777777" w:rsidR="00CB71B1" w:rsidRPr="00CB71B1" w:rsidRDefault="00CB71B1" w:rsidP="00CB71B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CB71B1">
              <w:rPr>
                <w:rFonts w:ascii="Arial" w:hAnsi="Arial"/>
              </w:rPr>
              <w:t>Help people quit smoking</w:t>
            </w:r>
          </w:p>
        </w:tc>
      </w:tr>
      <w:tr w:rsidR="00CB71B1" w:rsidRPr="00CB71B1" w14:paraId="455E9E40" w14:textId="77777777" w:rsidTr="00CB71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CE5635" w14:textId="77777777" w:rsidR="00CB71B1" w:rsidRPr="00CB71B1" w:rsidRDefault="00CB71B1" w:rsidP="00CB71B1">
            <w:pPr>
              <w:spacing w:after="160" w:line="360" w:lineRule="auto"/>
              <w:jc w:val="both"/>
              <w:rPr>
                <w:rFonts w:ascii="Arial" w:hAnsi="Arial"/>
              </w:rPr>
            </w:pPr>
            <w:r w:rsidRPr="00CB71B1">
              <w:rPr>
                <w:rFonts w:ascii="Arial" w:hAnsi="Arial"/>
              </w:rPr>
              <w:t>UKHSA strategy</w:t>
            </w:r>
          </w:p>
        </w:tc>
        <w:tc>
          <w:tcPr>
            <w:tcW w:w="0" w:type="auto"/>
            <w:hideMark/>
          </w:tcPr>
          <w:p w14:paraId="38CE080B" w14:textId="77777777" w:rsidR="00CB71B1" w:rsidRPr="00CB71B1" w:rsidRDefault="00CB71B1" w:rsidP="00CB71B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CB71B1">
              <w:rPr>
                <w:rFonts w:ascii="Arial" w:hAnsi="Arial"/>
              </w:rPr>
              <w:t>UK Health Security Agency</w:t>
            </w:r>
          </w:p>
        </w:tc>
        <w:tc>
          <w:tcPr>
            <w:tcW w:w="0" w:type="auto"/>
            <w:hideMark/>
          </w:tcPr>
          <w:p w14:paraId="53177133" w14:textId="77777777" w:rsidR="00CB71B1" w:rsidRPr="00CB71B1" w:rsidRDefault="00CB71B1" w:rsidP="00CB71B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CB71B1">
              <w:rPr>
                <w:rFonts w:ascii="Arial" w:hAnsi="Arial"/>
              </w:rPr>
              <w:t>Protect public health</w:t>
            </w:r>
          </w:p>
        </w:tc>
      </w:tr>
    </w:tbl>
    <w:p w14:paraId="768EFDBE" w14:textId="61BE0C8D" w:rsidR="00544E49" w:rsidRPr="00544E49" w:rsidRDefault="00544E49" w:rsidP="00544E49">
      <w:pPr>
        <w:spacing w:line="360" w:lineRule="auto"/>
        <w:jc w:val="both"/>
        <w:rPr>
          <w:rFonts w:ascii="Arial" w:hAnsi="Arial"/>
        </w:rPr>
      </w:pPr>
      <w:r w:rsidRPr="00544E49">
        <w:rPr>
          <w:rFonts w:ascii="Arial" w:hAnsi="Arial"/>
        </w:rPr>
        <w:t>Government policies and national health organisations play an important role in promoting public health and ensuring access to healthcare services.</w:t>
      </w:r>
    </w:p>
    <w:p w14:paraId="66A949A6" w14:textId="77777777" w:rsidR="00544E49" w:rsidRPr="00544E49" w:rsidRDefault="00544E49" w:rsidP="00544E49">
      <w:pPr>
        <w:spacing w:line="360" w:lineRule="auto"/>
        <w:jc w:val="both"/>
        <w:rPr>
          <w:rFonts w:ascii="Arial" w:hAnsi="Arial"/>
        </w:rPr>
      </w:pPr>
      <w:r w:rsidRPr="00544E49">
        <w:rPr>
          <w:rFonts w:ascii="Arial" w:hAnsi="Arial"/>
        </w:rPr>
        <w:t xml:space="preserve">One important initiative is NHS public health campaigns, such as Change4Life, Better Health and smoking cessation programmes. These campaigns aim to encourage healthier lifestyles by promoting balanced diets, physical activity and reduced smoking and alcohol consumption. Public health campaigns are important because they raise awareness and help people make informed health choices. Evidence suggests that such campaigns can contribute to behaviour change and disease prevention, particularly in relation to obesity and cardiovascular diseases (Public Health England, </w:t>
      </w:r>
      <w:r w:rsidRPr="00544E49">
        <w:rPr>
          <w:rFonts w:ascii="Arial" w:hAnsi="Arial"/>
        </w:rPr>
        <w:lastRenderedPageBreak/>
        <w:t>2021). However, one limitation is that behaviour change campaigns may not reach all population groups equally, especially those facing social or economic barriers.</w:t>
      </w:r>
    </w:p>
    <w:p w14:paraId="077B473D" w14:textId="77777777" w:rsidR="00544E49" w:rsidRPr="00544E49" w:rsidRDefault="00544E49" w:rsidP="00544E49">
      <w:pPr>
        <w:spacing w:line="360" w:lineRule="auto"/>
        <w:jc w:val="both"/>
        <w:rPr>
          <w:rFonts w:ascii="Arial" w:hAnsi="Arial"/>
        </w:rPr>
      </w:pPr>
      <w:r w:rsidRPr="00544E49">
        <w:rPr>
          <w:rFonts w:ascii="Arial" w:hAnsi="Arial"/>
        </w:rPr>
        <w:t>Another key national organisation supporting SDG 3 is the UK Health Security Agency (UKHSA). This organisation focuses on protecting public health by preventing infectious diseases, managing health emergencies and improving national health security. During the COVID-19 pandemic, the agency played a critical role in monitoring infection rates, supporting vaccination programmes and providing public health guidance (UK Health Security Agency, 2023). While the agency has strengthened the UK’s public health response, challenges remain in ensuring long-term preparedness for future health threats.</w:t>
      </w:r>
    </w:p>
    <w:p w14:paraId="1F68B226" w14:textId="3E215F85" w:rsidR="00544E49" w:rsidRDefault="00544E49" w:rsidP="00544E49">
      <w:pPr>
        <w:spacing w:line="360" w:lineRule="auto"/>
        <w:jc w:val="both"/>
        <w:rPr>
          <w:rFonts w:ascii="Arial" w:hAnsi="Arial"/>
        </w:rPr>
      </w:pPr>
      <w:r w:rsidRPr="00544E49">
        <w:rPr>
          <w:rFonts w:ascii="Arial" w:hAnsi="Arial"/>
        </w:rPr>
        <w:t>National strategies addressing obesity and mental health also contribute to improving wellbeing. The UK government’s obesity strategy aims to reduce obesity levels through policies such as food labelling, restrictions on unhealthy food advertising and promotion of physical activity. Similarly, the NHS Long Term Plan prioritises improved access to mental health services and early intervention programmes (NHS England, 20</w:t>
      </w:r>
      <w:r w:rsidR="00EB01FD">
        <w:rPr>
          <w:rFonts w:ascii="Arial" w:hAnsi="Arial"/>
        </w:rPr>
        <w:t>19</w:t>
      </w:r>
      <w:r w:rsidRPr="00544E49">
        <w:rPr>
          <w:rFonts w:ascii="Arial" w:hAnsi="Arial"/>
        </w:rPr>
        <w:t>). These policies have improved awareness and access to services; however, health inequalities remain a significant challenge. People living in deprived areas continue to experience higher levels of obesity, mental health problems and limited access to healthcare services (Marmot et al., 2020). Therefore, although national initiatives have improved population health, stronger actions are still needed to reduce inequalities and ensure equal access to healthcare.</w:t>
      </w:r>
    </w:p>
    <w:p w14:paraId="2944667F" w14:textId="3473111E" w:rsidR="0031101E" w:rsidRPr="0031101E" w:rsidRDefault="0031101E" w:rsidP="0031101E">
      <w:pPr>
        <w:pStyle w:val="Heading1"/>
      </w:pPr>
      <w:bookmarkStart w:id="6" w:name="_Toc224413406"/>
      <w:r w:rsidRPr="0031101E">
        <w:t>Evaluation of Local Health and Wellbeing Initiatives</w:t>
      </w:r>
      <w:bookmarkEnd w:id="6"/>
    </w:p>
    <w:p w14:paraId="401CEC4E" w14:textId="77777777" w:rsidR="0031101E" w:rsidRPr="0031101E" w:rsidRDefault="0031101E" w:rsidP="0031101E">
      <w:pPr>
        <w:spacing w:line="360" w:lineRule="auto"/>
        <w:jc w:val="both"/>
        <w:rPr>
          <w:rFonts w:ascii="Arial" w:hAnsi="Arial"/>
        </w:rPr>
      </w:pPr>
      <w:r w:rsidRPr="0031101E">
        <w:rPr>
          <w:rFonts w:ascii="Arial" w:hAnsi="Arial"/>
        </w:rPr>
        <w:t>Local health and wellbeing initiatives play an important role in improving public health at the community level. These programmes are usually organised by local authorities, community organisations and health services to address specific health needs within local populations. Many of these initiatives support the aims of SDG 3 (Good Health and Wellbeing) by focusing on prevention, health promotion and reducing health inequalities (Kroll, Warchold and Pradhan, 2023).</w:t>
      </w:r>
    </w:p>
    <w:p w14:paraId="30A241D5" w14:textId="77777777" w:rsidR="0031101E" w:rsidRPr="0031101E" w:rsidRDefault="0031101E" w:rsidP="0031101E">
      <w:pPr>
        <w:spacing w:line="360" w:lineRule="auto"/>
        <w:jc w:val="both"/>
        <w:rPr>
          <w:rFonts w:ascii="Arial" w:hAnsi="Arial"/>
        </w:rPr>
      </w:pPr>
      <w:r w:rsidRPr="0031101E">
        <w:rPr>
          <w:rFonts w:ascii="Arial" w:hAnsi="Arial"/>
        </w:rPr>
        <w:t xml:space="preserve">One example of local initiatives is community fitness programmes, which encourage people to participate in physical activity through organised activities such as walking groups, exercise classes and sports events. These programmes help improve physical </w:t>
      </w:r>
      <w:r w:rsidRPr="0031101E">
        <w:rPr>
          <w:rFonts w:ascii="Arial" w:hAnsi="Arial"/>
        </w:rPr>
        <w:lastRenderedPageBreak/>
        <w:t>health, reduce obesity and support mental wellbeing by promoting active lifestyles and social interaction. Research shows that regular physical activity programmes can significantly reduce the risk of chronic diseases and improve overall quality of life (World Health Organization, 2023).</w:t>
      </w:r>
    </w:p>
    <w:p w14:paraId="5BC44585" w14:textId="77777777" w:rsidR="0031101E" w:rsidRPr="0031101E" w:rsidRDefault="0031101E" w:rsidP="0031101E">
      <w:pPr>
        <w:spacing w:line="360" w:lineRule="auto"/>
        <w:jc w:val="both"/>
        <w:rPr>
          <w:rFonts w:ascii="Arial" w:hAnsi="Arial"/>
        </w:rPr>
      </w:pPr>
      <w:r w:rsidRPr="0031101E">
        <w:rPr>
          <w:rFonts w:ascii="Arial" w:hAnsi="Arial"/>
        </w:rPr>
        <w:t>Another important initiative is smoking cessation services provided by local councils and healthcare providers. These services offer counselling, behavioural support and nicotine replacement therapies to help individuals stop smoking. Smoking cessation programmes are effective in reducing tobacco use and preventing diseases such as lung cancer and cardiovascular conditions. However, their success often depends on continued funding and engagement with vulnerable groups (Action on Smoking and Health, 2022).</w:t>
      </w:r>
    </w:p>
    <w:p w14:paraId="13ABE18D" w14:textId="77777777" w:rsidR="0031101E" w:rsidRPr="0031101E" w:rsidRDefault="0031101E" w:rsidP="0031101E">
      <w:pPr>
        <w:spacing w:line="360" w:lineRule="auto"/>
        <w:jc w:val="both"/>
        <w:rPr>
          <w:rFonts w:ascii="Arial" w:hAnsi="Arial"/>
        </w:rPr>
      </w:pPr>
      <w:r w:rsidRPr="0031101E">
        <w:rPr>
          <w:rFonts w:ascii="Arial" w:hAnsi="Arial"/>
        </w:rPr>
        <w:t>Local communities also benefit from mental health support groups, which provide safe spaces for individuals to discuss mental health challenges and receive emotional support. These programmes can reduce stigma and improve access to mental health services, particularly for individuals who may not seek formal medical treatment (Scharlemann et al., 2024).</w:t>
      </w:r>
    </w:p>
    <w:p w14:paraId="43F896B8" w14:textId="77777777" w:rsidR="0031101E" w:rsidRPr="0031101E" w:rsidRDefault="0031101E" w:rsidP="0031101E">
      <w:pPr>
        <w:spacing w:line="360" w:lineRule="auto"/>
        <w:jc w:val="both"/>
        <w:rPr>
          <w:rFonts w:ascii="Arial" w:hAnsi="Arial"/>
        </w:rPr>
      </w:pPr>
      <w:r w:rsidRPr="0031101E">
        <w:rPr>
          <w:rFonts w:ascii="Arial" w:hAnsi="Arial"/>
        </w:rPr>
        <w:t>Despite their benefits, local health initiatives face several challenges. Limited funding, workforce shortages and unequal access to services can reduce their effectiveness. Additionally, individuals from disadvantaged backgrounds may still face barriers to participation due to financial, social or cultural factors. Therefore, while local initiatives can improve community wellbeing, stronger collaboration between local authorities, healthcare providers and community organisations is needed to maximise their impact.</w:t>
      </w:r>
    </w:p>
    <w:p w14:paraId="5F422B0F" w14:textId="4AE9522D" w:rsidR="0046277A" w:rsidRPr="0046277A" w:rsidRDefault="0046277A" w:rsidP="0046277A">
      <w:pPr>
        <w:pStyle w:val="Heading1"/>
      </w:pPr>
      <w:bookmarkStart w:id="7" w:name="_Toc224413407"/>
      <w:r w:rsidRPr="0046277A">
        <w:t>Recommendations for Improvement</w:t>
      </w:r>
      <w:bookmarkEnd w:id="7"/>
      <w:r w:rsidRPr="0046277A">
        <w:t xml:space="preserve"> </w:t>
      </w:r>
    </w:p>
    <w:p w14:paraId="087AC135" w14:textId="77777777" w:rsidR="0046277A" w:rsidRPr="0046277A" w:rsidRDefault="0046277A" w:rsidP="0046277A">
      <w:pPr>
        <w:spacing w:line="360" w:lineRule="auto"/>
        <w:jc w:val="both"/>
        <w:rPr>
          <w:rFonts w:ascii="Arial" w:hAnsi="Arial"/>
        </w:rPr>
      </w:pPr>
      <w:r w:rsidRPr="0046277A">
        <w:rPr>
          <w:rFonts w:ascii="Arial" w:hAnsi="Arial"/>
        </w:rPr>
        <w:t>To further improve health and wellbeing outcomes, several evidence-based recommendations can be considered. First, strengthening public health education is essential to help individuals make informed health decisions. Health promotion campaigns that provide clear information about nutrition, physical activity, smoking and mental health can improve public awareness and encourage healthier behaviours. Studies suggest that education-based interventions can reduce risk factors for chronic diseases and improve long-term health outcomes (World Health Organization, 2023).</w:t>
      </w:r>
    </w:p>
    <w:p w14:paraId="6852D12A" w14:textId="77777777" w:rsidR="0046277A" w:rsidRPr="0046277A" w:rsidRDefault="0046277A" w:rsidP="0046277A">
      <w:pPr>
        <w:spacing w:line="360" w:lineRule="auto"/>
        <w:jc w:val="both"/>
        <w:rPr>
          <w:rFonts w:ascii="Arial" w:hAnsi="Arial"/>
        </w:rPr>
      </w:pPr>
      <w:r w:rsidRPr="0046277A">
        <w:rPr>
          <w:rFonts w:ascii="Arial" w:hAnsi="Arial"/>
        </w:rPr>
        <w:lastRenderedPageBreak/>
        <w:t>Second, increasing funding for prevention programmes is important for reducing the burden on healthcare systems. Preventive initiatives such as community fitness programmes, smoking cessation services and early health screening can reduce the prevalence of non-communicable diseases and improve population health (Kroll, Warchold and Pradhan, 2023). Investing in prevention can also reduce healthcare costs in the long term.</w:t>
      </w:r>
    </w:p>
    <w:p w14:paraId="4C2F19F7" w14:textId="77777777" w:rsidR="0046277A" w:rsidRPr="0046277A" w:rsidRDefault="0046277A" w:rsidP="0046277A">
      <w:pPr>
        <w:spacing w:line="360" w:lineRule="auto"/>
        <w:jc w:val="both"/>
        <w:rPr>
          <w:rFonts w:ascii="Arial" w:hAnsi="Arial"/>
        </w:rPr>
      </w:pPr>
      <w:r w:rsidRPr="0046277A">
        <w:rPr>
          <w:rFonts w:ascii="Arial" w:hAnsi="Arial"/>
        </w:rPr>
        <w:t>Another important recommendation is the use of digital health technologies, including telehealth, wearable health devices and artificial intelligence (AI). These technologies can improve healthcare accessibility, particularly for people living in remote or underserved communities. Digital health systems can also support early diagnosis, remote monitoring and personalised treatment (Scharlemann et al., 2024).</w:t>
      </w:r>
    </w:p>
    <w:p w14:paraId="4603ED2D" w14:textId="77777777" w:rsidR="0046277A" w:rsidRPr="0046277A" w:rsidRDefault="0046277A" w:rsidP="0046277A">
      <w:pPr>
        <w:spacing w:line="360" w:lineRule="auto"/>
        <w:jc w:val="both"/>
        <w:rPr>
          <w:rFonts w:ascii="Arial" w:hAnsi="Arial"/>
        </w:rPr>
      </w:pPr>
      <w:r w:rsidRPr="0046277A">
        <w:rPr>
          <w:rFonts w:ascii="Arial" w:hAnsi="Arial"/>
        </w:rPr>
        <w:t>Finally, stronger collaboration between healthcare organisations, local authorities and community groups is necessary to address health inequalities. Coordinated efforts can improve service delivery, share resources and ensure that health initiatives effectively meet the needs of diverse populations.</w:t>
      </w:r>
    </w:p>
    <w:p w14:paraId="257C901B" w14:textId="306E2E63" w:rsidR="00D8705E" w:rsidRPr="00D8705E" w:rsidRDefault="00D8705E" w:rsidP="00D8705E">
      <w:pPr>
        <w:pStyle w:val="Heading1"/>
      </w:pPr>
      <w:bookmarkStart w:id="8" w:name="_Toc224413408"/>
      <w:r w:rsidRPr="00D8705E">
        <w:t>Conclusion</w:t>
      </w:r>
      <w:bookmarkEnd w:id="8"/>
      <w:r w:rsidRPr="00D8705E">
        <w:t xml:space="preserve"> </w:t>
      </w:r>
    </w:p>
    <w:p w14:paraId="36B10FBC" w14:textId="085CF0F5" w:rsidR="00D8705E" w:rsidRPr="00D8705E" w:rsidRDefault="00D8705E" w:rsidP="00D8705E">
      <w:pPr>
        <w:spacing w:line="360" w:lineRule="auto"/>
        <w:jc w:val="both"/>
        <w:rPr>
          <w:rFonts w:ascii="Arial" w:hAnsi="Arial"/>
        </w:rPr>
      </w:pPr>
      <w:r w:rsidRPr="00D8705E">
        <w:rPr>
          <w:rFonts w:ascii="Arial" w:hAnsi="Arial"/>
        </w:rPr>
        <w:t xml:space="preserve">In conclusion, the Sustainable Development Goals (SDGs) play a crucial role in improving global health and wellbeing. In particular, SDG 3: Good Health and Wellbeing </w:t>
      </w:r>
      <w:r w:rsidR="000579FE" w:rsidRPr="00D8705E">
        <w:rPr>
          <w:rFonts w:ascii="Arial" w:hAnsi="Arial"/>
        </w:rPr>
        <w:t>focus</w:t>
      </w:r>
      <w:r w:rsidRPr="00D8705E">
        <w:rPr>
          <w:rFonts w:ascii="Arial" w:hAnsi="Arial"/>
        </w:rPr>
        <w:t xml:space="preserve"> on promoting healthy lives, preventing diseases and improving access to healthcare services. Achieving this goal is essential for strengthening health systems and improving quality of life for individuals and communities. In addition, SDG 10: Reduced Inequalities highlights the importance of addressing social and economic factors that influence health outcomes.</w:t>
      </w:r>
    </w:p>
    <w:p w14:paraId="41B5746A" w14:textId="77777777" w:rsidR="00D8705E" w:rsidRPr="00D8705E" w:rsidRDefault="00D8705E" w:rsidP="00D8705E">
      <w:pPr>
        <w:spacing w:line="360" w:lineRule="auto"/>
        <w:jc w:val="both"/>
        <w:rPr>
          <w:rFonts w:ascii="Arial" w:hAnsi="Arial"/>
        </w:rPr>
      </w:pPr>
      <w:r w:rsidRPr="00D8705E">
        <w:rPr>
          <w:rFonts w:ascii="Arial" w:hAnsi="Arial"/>
        </w:rPr>
        <w:t>National initiatives in the United Kingdom, such as NHS health campaigns, obesity strategies and mental health policies, have helped improve public health and raise awareness about healthy lifestyles. At the same time, local health programmes, including community fitness activities, smoking cessation services and mental health support groups, provide practical support for communities and help address local health needs.</w:t>
      </w:r>
    </w:p>
    <w:p w14:paraId="693FED88" w14:textId="77777777" w:rsidR="00D8705E" w:rsidRPr="00D8705E" w:rsidRDefault="00D8705E" w:rsidP="00D8705E">
      <w:pPr>
        <w:spacing w:line="360" w:lineRule="auto"/>
        <w:jc w:val="both"/>
        <w:rPr>
          <w:rFonts w:ascii="Arial" w:hAnsi="Arial"/>
        </w:rPr>
      </w:pPr>
      <w:r w:rsidRPr="00D8705E">
        <w:rPr>
          <w:rFonts w:ascii="Arial" w:hAnsi="Arial"/>
        </w:rPr>
        <w:t xml:space="preserve">However, despite these efforts, health inequalities and limited access to services still exist. Therefore, continued improvements, stronger collaboration and investment in </w:t>
      </w:r>
      <w:r w:rsidRPr="00D8705E">
        <w:rPr>
          <w:rFonts w:ascii="Arial" w:hAnsi="Arial"/>
        </w:rPr>
        <w:lastRenderedPageBreak/>
        <w:t>prevention programmes are necessary to ensure better health outcomes for all citizens.</w:t>
      </w:r>
    </w:p>
    <w:p w14:paraId="74BA5837" w14:textId="77777777" w:rsidR="00552DB0" w:rsidRPr="00552DB0" w:rsidRDefault="00552DB0" w:rsidP="00552DB0">
      <w:pPr>
        <w:spacing w:line="360" w:lineRule="auto"/>
        <w:jc w:val="both"/>
        <w:rPr>
          <w:rFonts w:ascii="Arial" w:hAnsi="Arial"/>
        </w:rPr>
      </w:pPr>
    </w:p>
    <w:p w14:paraId="5A544FD0" w14:textId="77777777" w:rsidR="00552DB0" w:rsidRDefault="00552DB0" w:rsidP="00552DB0">
      <w:pPr>
        <w:spacing w:line="360" w:lineRule="auto"/>
        <w:jc w:val="both"/>
        <w:rPr>
          <w:rFonts w:ascii="Arial" w:hAnsi="Arial"/>
        </w:rPr>
      </w:pPr>
    </w:p>
    <w:p w14:paraId="4C3290F8" w14:textId="77777777" w:rsidR="00552DB0" w:rsidRPr="00552DB0" w:rsidRDefault="00552DB0" w:rsidP="00552DB0">
      <w:pPr>
        <w:spacing w:line="360" w:lineRule="auto"/>
        <w:jc w:val="both"/>
        <w:rPr>
          <w:rFonts w:ascii="Arial" w:hAnsi="Arial"/>
        </w:rPr>
      </w:pPr>
    </w:p>
    <w:p w14:paraId="7EB17475" w14:textId="51A0F4E2" w:rsidR="00446667" w:rsidRDefault="00446667">
      <w:pPr>
        <w:rPr>
          <w:rFonts w:ascii="Arial" w:hAnsi="Arial"/>
        </w:rPr>
      </w:pPr>
      <w:r>
        <w:rPr>
          <w:rFonts w:ascii="Arial" w:hAnsi="Arial"/>
        </w:rPr>
        <w:br w:type="page"/>
      </w:r>
    </w:p>
    <w:p w14:paraId="7B7E512F" w14:textId="507F141F" w:rsidR="00446667" w:rsidRDefault="00446667" w:rsidP="00446667">
      <w:pPr>
        <w:pStyle w:val="Heading1"/>
      </w:pPr>
      <w:bookmarkStart w:id="9" w:name="_Toc224413409"/>
      <w:proofErr w:type="spellStart"/>
      <w:r>
        <w:lastRenderedPageBreak/>
        <w:t>Refrence</w:t>
      </w:r>
      <w:proofErr w:type="spellEnd"/>
      <w:r>
        <w:t xml:space="preserve"> </w:t>
      </w:r>
      <w:proofErr w:type="spellStart"/>
      <w:r>
        <w:t>LIst</w:t>
      </w:r>
      <w:bookmarkEnd w:id="9"/>
      <w:proofErr w:type="spellEnd"/>
    </w:p>
    <w:p w14:paraId="1A89C804" w14:textId="77777777" w:rsidR="00F17FC8" w:rsidRPr="00F17FC8" w:rsidRDefault="00F17FC8" w:rsidP="00F17FC8">
      <w:pPr>
        <w:spacing w:line="360" w:lineRule="auto"/>
        <w:rPr>
          <w:rFonts w:ascii="Arial" w:hAnsi="Arial"/>
        </w:rPr>
      </w:pPr>
      <w:r w:rsidRPr="00F17FC8">
        <w:rPr>
          <w:rFonts w:ascii="Arial" w:hAnsi="Arial"/>
        </w:rPr>
        <w:t xml:space="preserve">Action on Smoking and Health (2022) </w:t>
      </w:r>
      <w:r w:rsidRPr="00F17FC8">
        <w:rPr>
          <w:rFonts w:ascii="Arial" w:hAnsi="Arial"/>
          <w:i/>
          <w:iCs/>
        </w:rPr>
        <w:t>New paths and pathways: tobacco control and stop smoking services in English local authorities in 2022.</w:t>
      </w:r>
      <w:r w:rsidRPr="00F17FC8">
        <w:rPr>
          <w:rFonts w:ascii="Arial" w:hAnsi="Arial"/>
        </w:rPr>
        <w:t xml:space="preserve"> London: ASH. Available at: </w:t>
      </w:r>
      <w:hyperlink r:id="rId12" w:tgtFrame="_new" w:history="1">
        <w:r w:rsidRPr="00F17FC8">
          <w:rPr>
            <w:rStyle w:val="Hyperlink"/>
            <w:rFonts w:ascii="Arial" w:hAnsi="Arial"/>
          </w:rPr>
          <w:t>https://ash.org.uk/resources/view/new-paths-and-pathways-tobacco-control-and-stop-smoking-services-in-english-local-authorities-in-2022</w:t>
        </w:r>
      </w:hyperlink>
      <w:r w:rsidRPr="00F17FC8">
        <w:rPr>
          <w:rFonts w:ascii="Arial" w:hAnsi="Arial"/>
        </w:rPr>
        <w:t xml:space="preserve"> (Accessed: 7 March 2026).</w:t>
      </w:r>
    </w:p>
    <w:p w14:paraId="32CB0AA9" w14:textId="77777777" w:rsidR="00F17FC8" w:rsidRPr="00F17FC8" w:rsidRDefault="00F17FC8" w:rsidP="00F17FC8">
      <w:pPr>
        <w:spacing w:line="360" w:lineRule="auto"/>
        <w:rPr>
          <w:rFonts w:ascii="Arial" w:hAnsi="Arial"/>
        </w:rPr>
      </w:pPr>
      <w:r w:rsidRPr="00F17FC8">
        <w:rPr>
          <w:rFonts w:ascii="Arial" w:hAnsi="Arial"/>
        </w:rPr>
        <w:t xml:space="preserve">Department of Health and Social Care (2022) </w:t>
      </w:r>
      <w:r w:rsidRPr="00F17FC8">
        <w:rPr>
          <w:rFonts w:ascii="Arial" w:hAnsi="Arial"/>
          <w:i/>
          <w:iCs/>
        </w:rPr>
        <w:t>Implementing the Sustainable Development Goals.</w:t>
      </w:r>
      <w:r w:rsidRPr="00F17FC8">
        <w:rPr>
          <w:rFonts w:ascii="Arial" w:hAnsi="Arial"/>
        </w:rPr>
        <w:t xml:space="preserve"> Available at: </w:t>
      </w:r>
      <w:hyperlink r:id="rId13" w:tgtFrame="_new" w:history="1">
        <w:r w:rsidRPr="00F17FC8">
          <w:rPr>
            <w:rStyle w:val="Hyperlink"/>
            <w:rFonts w:ascii="Arial" w:hAnsi="Arial"/>
          </w:rPr>
          <w:t>https://www.gov.uk/government/publications/implementing-the-sustainable-development-goals/implementing-the-sustainable-development-goals--2</w:t>
        </w:r>
      </w:hyperlink>
      <w:r w:rsidRPr="00F17FC8">
        <w:rPr>
          <w:rFonts w:ascii="Arial" w:hAnsi="Arial"/>
        </w:rPr>
        <w:t xml:space="preserve"> (Accessed: 5 March 2026).</w:t>
      </w:r>
    </w:p>
    <w:p w14:paraId="3264BAA1" w14:textId="77777777" w:rsidR="00F17FC8" w:rsidRPr="00F17FC8" w:rsidRDefault="00F17FC8" w:rsidP="00F17FC8">
      <w:pPr>
        <w:spacing w:line="360" w:lineRule="auto"/>
        <w:rPr>
          <w:rFonts w:ascii="Arial" w:hAnsi="Arial"/>
        </w:rPr>
      </w:pPr>
      <w:r w:rsidRPr="00F17FC8">
        <w:rPr>
          <w:rFonts w:ascii="Arial" w:hAnsi="Arial"/>
        </w:rPr>
        <w:t xml:space="preserve">Kroll, C., Warchold, A. and Pradhan, P. (2023) ‘Sustainable Development Goals support good health and well-being: an ecological systems perspective’, </w:t>
      </w:r>
      <w:r w:rsidRPr="00F17FC8">
        <w:rPr>
          <w:rFonts w:ascii="Arial" w:hAnsi="Arial"/>
          <w:i/>
          <w:iCs/>
        </w:rPr>
        <w:t>BMC Public Health</w:t>
      </w:r>
      <w:r w:rsidRPr="00F17FC8">
        <w:rPr>
          <w:rFonts w:ascii="Arial" w:hAnsi="Arial"/>
        </w:rPr>
        <w:t xml:space="preserve">, 23. Available at: </w:t>
      </w:r>
      <w:hyperlink r:id="rId14" w:tgtFrame="_new" w:history="1">
        <w:r w:rsidRPr="00F17FC8">
          <w:rPr>
            <w:rStyle w:val="Hyperlink"/>
            <w:rFonts w:ascii="Arial" w:hAnsi="Arial"/>
          </w:rPr>
          <w:t>https://pmc.ncbi.nlm.nih.gov/articles/PMC10777740/</w:t>
        </w:r>
      </w:hyperlink>
      <w:r w:rsidRPr="00F17FC8">
        <w:rPr>
          <w:rFonts w:ascii="Arial" w:hAnsi="Arial"/>
        </w:rPr>
        <w:t xml:space="preserve"> (Accessed: 9 March 2026).</w:t>
      </w:r>
    </w:p>
    <w:p w14:paraId="5D588608" w14:textId="77777777" w:rsidR="00F17FC8" w:rsidRPr="00F17FC8" w:rsidRDefault="00F17FC8" w:rsidP="00F17FC8">
      <w:pPr>
        <w:spacing w:line="360" w:lineRule="auto"/>
        <w:rPr>
          <w:rFonts w:ascii="Arial" w:hAnsi="Arial"/>
        </w:rPr>
      </w:pPr>
      <w:r w:rsidRPr="00F17FC8">
        <w:rPr>
          <w:rFonts w:ascii="Arial" w:hAnsi="Arial"/>
        </w:rPr>
        <w:t xml:space="preserve">Marmot, M. et al. (2020) </w:t>
      </w:r>
      <w:r w:rsidRPr="00F17FC8">
        <w:rPr>
          <w:rFonts w:ascii="Arial" w:hAnsi="Arial"/>
          <w:i/>
          <w:iCs/>
        </w:rPr>
        <w:t>Health Equity in England: The Marmot Review 10 Years On.</w:t>
      </w:r>
      <w:r w:rsidRPr="00F17FC8">
        <w:rPr>
          <w:rFonts w:ascii="Arial" w:hAnsi="Arial"/>
        </w:rPr>
        <w:t xml:space="preserve"> London: Institute of Health Equity. Available at: </w:t>
      </w:r>
      <w:hyperlink r:id="rId15" w:tgtFrame="_new" w:history="1">
        <w:r w:rsidRPr="00F17FC8">
          <w:rPr>
            <w:rStyle w:val="Hyperlink"/>
            <w:rFonts w:ascii="Arial" w:hAnsi="Arial"/>
          </w:rPr>
          <w:t>https://www.instituteofhealthequity.org/resources-reports/marmot-review-10-years-on/the-marmot-review-10-years-on-full-report.pdf</w:t>
        </w:r>
      </w:hyperlink>
      <w:r w:rsidRPr="00F17FC8">
        <w:rPr>
          <w:rFonts w:ascii="Arial" w:hAnsi="Arial"/>
        </w:rPr>
        <w:t xml:space="preserve"> (Accessed: 6 March 2026).</w:t>
      </w:r>
    </w:p>
    <w:p w14:paraId="281ACF0D" w14:textId="77777777" w:rsidR="00F17FC8" w:rsidRPr="00F17FC8" w:rsidRDefault="00F17FC8" w:rsidP="00F17FC8">
      <w:pPr>
        <w:spacing w:line="360" w:lineRule="auto"/>
        <w:rPr>
          <w:rFonts w:ascii="Arial" w:hAnsi="Arial"/>
        </w:rPr>
      </w:pPr>
      <w:r w:rsidRPr="00F17FC8">
        <w:rPr>
          <w:rFonts w:ascii="Arial" w:hAnsi="Arial"/>
        </w:rPr>
        <w:t xml:space="preserve">NHS England (2019) </w:t>
      </w:r>
      <w:r w:rsidRPr="00F17FC8">
        <w:rPr>
          <w:rFonts w:ascii="Arial" w:hAnsi="Arial"/>
          <w:i/>
          <w:iCs/>
        </w:rPr>
        <w:t>NHS Mental Health Implementation Plan 2019/20–2023/24.</w:t>
      </w:r>
      <w:r w:rsidRPr="00F17FC8">
        <w:rPr>
          <w:rFonts w:ascii="Arial" w:hAnsi="Arial"/>
        </w:rPr>
        <w:t xml:space="preserve"> London: NHS England. Available at: </w:t>
      </w:r>
      <w:hyperlink r:id="rId16" w:tgtFrame="_new" w:history="1">
        <w:r w:rsidRPr="00F17FC8">
          <w:rPr>
            <w:rStyle w:val="Hyperlink"/>
            <w:rFonts w:ascii="Arial" w:hAnsi="Arial"/>
          </w:rPr>
          <w:t>https://www.england.nhs.uk/wp-content/uploads/2022/07/nhs-mental-health-implementation-plan-2019-20-2023-24.pdf</w:t>
        </w:r>
      </w:hyperlink>
      <w:r w:rsidRPr="00F17FC8">
        <w:rPr>
          <w:rFonts w:ascii="Arial" w:hAnsi="Arial"/>
        </w:rPr>
        <w:t xml:space="preserve"> (Accessed: 10 March 2026).</w:t>
      </w:r>
    </w:p>
    <w:p w14:paraId="27860003" w14:textId="77777777" w:rsidR="00F17FC8" w:rsidRPr="00F17FC8" w:rsidRDefault="00F17FC8" w:rsidP="00F17FC8">
      <w:pPr>
        <w:spacing w:line="360" w:lineRule="auto"/>
        <w:rPr>
          <w:rFonts w:ascii="Arial" w:hAnsi="Arial"/>
        </w:rPr>
      </w:pPr>
      <w:r w:rsidRPr="00F17FC8">
        <w:rPr>
          <w:rFonts w:ascii="Arial" w:hAnsi="Arial"/>
        </w:rPr>
        <w:t xml:space="preserve">Public Health England (2021) </w:t>
      </w:r>
      <w:r w:rsidRPr="00F17FC8">
        <w:rPr>
          <w:rFonts w:ascii="Arial" w:hAnsi="Arial"/>
          <w:i/>
          <w:iCs/>
        </w:rPr>
        <w:t>NHS weight loss plan: Better Health campaign evaluation.</w:t>
      </w:r>
      <w:r w:rsidRPr="00F17FC8">
        <w:rPr>
          <w:rFonts w:ascii="Arial" w:hAnsi="Arial"/>
        </w:rPr>
        <w:t xml:space="preserve"> London: Public Health England. Available at: </w:t>
      </w:r>
      <w:hyperlink r:id="rId17" w:tgtFrame="_new" w:history="1">
        <w:r w:rsidRPr="00F17FC8">
          <w:rPr>
            <w:rStyle w:val="Hyperlink"/>
            <w:rFonts w:ascii="Arial" w:hAnsi="Arial"/>
          </w:rPr>
          <w:t>https://www.gov.uk/government/publications/nhs-weight-loss-plan-better-health-campaign-evaluation</w:t>
        </w:r>
      </w:hyperlink>
      <w:r w:rsidRPr="00F17FC8">
        <w:rPr>
          <w:rFonts w:ascii="Arial" w:hAnsi="Arial"/>
        </w:rPr>
        <w:t xml:space="preserve"> (Accessed: 8 March 2026).</w:t>
      </w:r>
    </w:p>
    <w:p w14:paraId="5ABB4835" w14:textId="77777777" w:rsidR="00F17FC8" w:rsidRPr="00F17FC8" w:rsidRDefault="00F17FC8" w:rsidP="00F17FC8">
      <w:pPr>
        <w:spacing w:line="360" w:lineRule="auto"/>
        <w:rPr>
          <w:rFonts w:ascii="Arial" w:hAnsi="Arial"/>
        </w:rPr>
      </w:pPr>
      <w:r w:rsidRPr="00F17FC8">
        <w:rPr>
          <w:rFonts w:ascii="Arial" w:hAnsi="Arial"/>
        </w:rPr>
        <w:t xml:space="preserve">Henrysson, M., Bali Swain, R., Swain, A. and Fuso Nerini, F. (2024) </w:t>
      </w:r>
      <w:r w:rsidRPr="00F17FC8">
        <w:rPr>
          <w:rFonts w:ascii="Arial" w:hAnsi="Arial"/>
          <w:i/>
          <w:iCs/>
        </w:rPr>
        <w:t>Sustainable Development Goals and wellbeing for resilient societies: shocks and recovery.</w:t>
      </w:r>
      <w:r w:rsidRPr="00F17FC8">
        <w:rPr>
          <w:rFonts w:ascii="Arial" w:hAnsi="Arial"/>
        </w:rPr>
        <w:t xml:space="preserve"> </w:t>
      </w:r>
      <w:r w:rsidRPr="00F17FC8">
        <w:rPr>
          <w:rFonts w:ascii="Arial" w:hAnsi="Arial"/>
          <w:i/>
          <w:iCs/>
        </w:rPr>
        <w:t>Humanities and Social Sciences Communications</w:t>
      </w:r>
      <w:r w:rsidRPr="00F17FC8">
        <w:rPr>
          <w:rFonts w:ascii="Arial" w:hAnsi="Arial"/>
        </w:rPr>
        <w:t xml:space="preserve">, 11, 1513. Available at: </w:t>
      </w:r>
      <w:hyperlink r:id="rId18" w:tgtFrame="_new" w:history="1">
        <w:r w:rsidRPr="00F17FC8">
          <w:rPr>
            <w:rStyle w:val="Hyperlink"/>
            <w:rFonts w:ascii="Arial" w:hAnsi="Arial"/>
          </w:rPr>
          <w:t>https://www.nature.com/articles/s41599-024-03973-8</w:t>
        </w:r>
      </w:hyperlink>
      <w:r w:rsidRPr="00F17FC8">
        <w:rPr>
          <w:rFonts w:ascii="Arial" w:hAnsi="Arial"/>
        </w:rPr>
        <w:t xml:space="preserve"> (Accessed: 11 March 2026).</w:t>
      </w:r>
    </w:p>
    <w:p w14:paraId="5DCE0047" w14:textId="77777777" w:rsidR="00F17FC8" w:rsidRPr="00F17FC8" w:rsidRDefault="00F17FC8" w:rsidP="00F17FC8">
      <w:pPr>
        <w:spacing w:line="360" w:lineRule="auto"/>
        <w:rPr>
          <w:rFonts w:ascii="Arial" w:hAnsi="Arial"/>
        </w:rPr>
      </w:pPr>
      <w:r w:rsidRPr="00F17FC8">
        <w:rPr>
          <w:rFonts w:ascii="Arial" w:hAnsi="Arial"/>
        </w:rPr>
        <w:lastRenderedPageBreak/>
        <w:t xml:space="preserve">UK Health Security Agency (2023) </w:t>
      </w:r>
      <w:r w:rsidRPr="00F17FC8">
        <w:rPr>
          <w:rFonts w:ascii="Arial" w:hAnsi="Arial"/>
          <w:i/>
          <w:iCs/>
        </w:rPr>
        <w:t>UKHSA Strategic Plan 2023–2026.</w:t>
      </w:r>
      <w:r w:rsidRPr="00F17FC8">
        <w:rPr>
          <w:rFonts w:ascii="Arial" w:hAnsi="Arial"/>
        </w:rPr>
        <w:t xml:space="preserve"> London: UKHSA. Available at: </w:t>
      </w:r>
      <w:hyperlink r:id="rId19" w:tgtFrame="_new" w:history="1">
        <w:r w:rsidRPr="00F17FC8">
          <w:rPr>
            <w:rStyle w:val="Hyperlink"/>
            <w:rFonts w:ascii="Arial" w:hAnsi="Arial"/>
          </w:rPr>
          <w:t>https://www.gov.uk/government/publications/ukhsa-strategic-plan-2023-to-2026</w:t>
        </w:r>
      </w:hyperlink>
      <w:r w:rsidRPr="00F17FC8">
        <w:rPr>
          <w:rFonts w:ascii="Arial" w:hAnsi="Arial"/>
        </w:rPr>
        <w:t xml:space="preserve"> (Accessed: 5 March 2026).</w:t>
      </w:r>
    </w:p>
    <w:p w14:paraId="42ED9AA1" w14:textId="77777777" w:rsidR="00F17FC8" w:rsidRPr="00F17FC8" w:rsidRDefault="00F17FC8" w:rsidP="00F17FC8">
      <w:pPr>
        <w:spacing w:line="360" w:lineRule="auto"/>
        <w:rPr>
          <w:rFonts w:ascii="Arial" w:hAnsi="Arial"/>
        </w:rPr>
      </w:pPr>
      <w:r w:rsidRPr="00F17FC8">
        <w:rPr>
          <w:rFonts w:ascii="Arial" w:hAnsi="Arial"/>
        </w:rPr>
        <w:t xml:space="preserve">United Nations (2023) </w:t>
      </w:r>
      <w:r w:rsidRPr="00F17FC8">
        <w:rPr>
          <w:rFonts w:ascii="Arial" w:hAnsi="Arial"/>
          <w:i/>
          <w:iCs/>
        </w:rPr>
        <w:t>The Sustainable Development Goals Report 2023.</w:t>
      </w:r>
      <w:r w:rsidRPr="00F17FC8">
        <w:rPr>
          <w:rFonts w:ascii="Arial" w:hAnsi="Arial"/>
        </w:rPr>
        <w:t xml:space="preserve"> New York: United Nations. Available at: </w:t>
      </w:r>
      <w:hyperlink r:id="rId20" w:tgtFrame="_new" w:history="1">
        <w:r w:rsidRPr="00F17FC8">
          <w:rPr>
            <w:rStyle w:val="Hyperlink"/>
            <w:rFonts w:ascii="Arial" w:hAnsi="Arial"/>
          </w:rPr>
          <w:t>https://unstats.un.org/sdgs/report/2023/</w:t>
        </w:r>
      </w:hyperlink>
      <w:r w:rsidRPr="00F17FC8">
        <w:rPr>
          <w:rFonts w:ascii="Arial" w:hAnsi="Arial"/>
        </w:rPr>
        <w:t xml:space="preserve"> (Accessed: 9 March 2026).</w:t>
      </w:r>
    </w:p>
    <w:p w14:paraId="3051EF7A" w14:textId="77777777" w:rsidR="00F17FC8" w:rsidRPr="00F17FC8" w:rsidRDefault="00F17FC8" w:rsidP="00F17FC8">
      <w:pPr>
        <w:spacing w:line="360" w:lineRule="auto"/>
        <w:rPr>
          <w:rFonts w:ascii="Arial" w:hAnsi="Arial"/>
        </w:rPr>
      </w:pPr>
      <w:r w:rsidRPr="00F17FC8">
        <w:rPr>
          <w:rFonts w:ascii="Arial" w:hAnsi="Arial"/>
        </w:rPr>
        <w:t xml:space="preserve">World Health Organization (2023) </w:t>
      </w:r>
      <w:r w:rsidRPr="00F17FC8">
        <w:rPr>
          <w:rFonts w:ascii="Arial" w:hAnsi="Arial"/>
          <w:i/>
          <w:iCs/>
        </w:rPr>
        <w:t>Global Health Observatory Data Repository.</w:t>
      </w:r>
      <w:r w:rsidRPr="00F17FC8">
        <w:rPr>
          <w:rFonts w:ascii="Arial" w:hAnsi="Arial"/>
        </w:rPr>
        <w:t xml:space="preserve"> Geneva: WHO. Available at: </w:t>
      </w:r>
      <w:hyperlink r:id="rId21" w:tgtFrame="_new" w:history="1">
        <w:r w:rsidRPr="00F17FC8">
          <w:rPr>
            <w:rStyle w:val="Hyperlink"/>
            <w:rFonts w:ascii="Arial" w:hAnsi="Arial"/>
          </w:rPr>
          <w:t>https://www.who.int/data/gho</w:t>
        </w:r>
      </w:hyperlink>
      <w:r w:rsidRPr="00F17FC8">
        <w:rPr>
          <w:rFonts w:ascii="Arial" w:hAnsi="Arial"/>
        </w:rPr>
        <w:t xml:space="preserve"> (Accessed: 6 March 2026).</w:t>
      </w:r>
    </w:p>
    <w:p w14:paraId="525CDEC1" w14:textId="77777777" w:rsidR="00F17FC8" w:rsidRPr="00F17FC8" w:rsidRDefault="00F17FC8" w:rsidP="00F17FC8">
      <w:pPr>
        <w:spacing w:line="360" w:lineRule="auto"/>
        <w:rPr>
          <w:rFonts w:ascii="Arial" w:hAnsi="Arial"/>
        </w:rPr>
      </w:pPr>
      <w:r w:rsidRPr="00F17FC8">
        <w:rPr>
          <w:rFonts w:ascii="Arial" w:hAnsi="Arial"/>
        </w:rPr>
        <w:t xml:space="preserve">World Health Organization (2021) </w:t>
      </w:r>
      <w:r w:rsidRPr="00F17FC8">
        <w:rPr>
          <w:rFonts w:ascii="Arial" w:hAnsi="Arial"/>
          <w:i/>
          <w:iCs/>
        </w:rPr>
        <w:t>Health and well-being in the Sustainable Development Goals.</w:t>
      </w:r>
      <w:r w:rsidRPr="00F17FC8">
        <w:rPr>
          <w:rFonts w:ascii="Arial" w:hAnsi="Arial"/>
        </w:rPr>
        <w:t xml:space="preserve"> Available at: </w:t>
      </w:r>
      <w:hyperlink r:id="rId22" w:tgtFrame="_new" w:history="1">
        <w:r w:rsidRPr="00F17FC8">
          <w:rPr>
            <w:rStyle w:val="Hyperlink"/>
            <w:rFonts w:ascii="Arial" w:hAnsi="Arial"/>
          </w:rPr>
          <w:t>https://www.who.int/europe/publications/i/item/WHO-EURO-2019-2451-42206-58206</w:t>
        </w:r>
      </w:hyperlink>
      <w:r w:rsidRPr="00F17FC8">
        <w:rPr>
          <w:rFonts w:ascii="Arial" w:hAnsi="Arial"/>
        </w:rPr>
        <w:t xml:space="preserve"> (Accessed: 8 March 2026).</w:t>
      </w:r>
    </w:p>
    <w:p w14:paraId="25702B6A" w14:textId="43367094" w:rsidR="00F12E53" w:rsidRDefault="00F12E53" w:rsidP="00446667"/>
    <w:p w14:paraId="56997A8F" w14:textId="6181D85A" w:rsidR="00446667" w:rsidRPr="006C629D" w:rsidRDefault="00446667" w:rsidP="00446667"/>
    <w:p w14:paraId="26DF6203" w14:textId="77777777" w:rsidR="00BA1F67" w:rsidRPr="00552DB0" w:rsidRDefault="00BA1F67" w:rsidP="00552DB0">
      <w:pPr>
        <w:spacing w:line="360" w:lineRule="auto"/>
        <w:jc w:val="both"/>
        <w:rPr>
          <w:rFonts w:ascii="Arial" w:hAnsi="Arial"/>
        </w:rPr>
      </w:pPr>
    </w:p>
    <w:sectPr w:rsidR="00BA1F67" w:rsidRPr="00552DB0" w:rsidSect="00610072">
      <w:footerReference w:type="default" r:id="rId23"/>
      <w:footerReference w:type="firs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6BC782" w14:textId="77777777" w:rsidR="00DE1E17" w:rsidRDefault="00DE1E17" w:rsidP="00610072">
      <w:pPr>
        <w:spacing w:after="0" w:line="240" w:lineRule="auto"/>
      </w:pPr>
      <w:r>
        <w:separator/>
      </w:r>
    </w:p>
  </w:endnote>
  <w:endnote w:type="continuationSeparator" w:id="0">
    <w:p w14:paraId="4EA01638" w14:textId="77777777" w:rsidR="00DE1E17" w:rsidRDefault="00DE1E17" w:rsidP="006100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563539"/>
      <w:docPartObj>
        <w:docPartGallery w:val="Page Numbers (Bottom of Page)"/>
        <w:docPartUnique/>
      </w:docPartObj>
    </w:sdtPr>
    <w:sdtEndPr>
      <w:rPr>
        <w:noProof/>
      </w:rPr>
    </w:sdtEndPr>
    <w:sdtContent>
      <w:p w14:paraId="4CF2362F" w14:textId="6B99B92F" w:rsidR="00610072" w:rsidRDefault="006100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695B75" w14:textId="77777777" w:rsidR="00610072" w:rsidRDefault="006100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89D0D2" w14:textId="731F660D" w:rsidR="00610072" w:rsidRDefault="00610072">
    <w:pPr>
      <w:pStyle w:val="Footer"/>
      <w:jc w:val="center"/>
    </w:pPr>
  </w:p>
  <w:p w14:paraId="379A5A5F" w14:textId="77777777" w:rsidR="00610072" w:rsidRDefault="006100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C3F18C" w14:textId="77777777" w:rsidR="00DE1E17" w:rsidRDefault="00DE1E17" w:rsidP="00610072">
      <w:pPr>
        <w:spacing w:after="0" w:line="240" w:lineRule="auto"/>
      </w:pPr>
      <w:r>
        <w:separator/>
      </w:r>
    </w:p>
  </w:footnote>
  <w:footnote w:type="continuationSeparator" w:id="0">
    <w:p w14:paraId="76E06D8A" w14:textId="77777777" w:rsidR="00DE1E17" w:rsidRDefault="00DE1E17" w:rsidP="006100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72D"/>
    <w:rsid w:val="000579FE"/>
    <w:rsid w:val="001C3598"/>
    <w:rsid w:val="00224B58"/>
    <w:rsid w:val="002A28D8"/>
    <w:rsid w:val="003076FD"/>
    <w:rsid w:val="0031101E"/>
    <w:rsid w:val="003301AE"/>
    <w:rsid w:val="003C0B02"/>
    <w:rsid w:val="003D55AA"/>
    <w:rsid w:val="00446667"/>
    <w:rsid w:val="0046277A"/>
    <w:rsid w:val="00544E49"/>
    <w:rsid w:val="00552DB0"/>
    <w:rsid w:val="005648A8"/>
    <w:rsid w:val="005D0E34"/>
    <w:rsid w:val="005E3CB3"/>
    <w:rsid w:val="00610072"/>
    <w:rsid w:val="0066461A"/>
    <w:rsid w:val="00746D22"/>
    <w:rsid w:val="00795773"/>
    <w:rsid w:val="00866166"/>
    <w:rsid w:val="00877274"/>
    <w:rsid w:val="0088372C"/>
    <w:rsid w:val="00975691"/>
    <w:rsid w:val="00BA1F67"/>
    <w:rsid w:val="00BC2589"/>
    <w:rsid w:val="00CB5E4F"/>
    <w:rsid w:val="00CB71B1"/>
    <w:rsid w:val="00CC072D"/>
    <w:rsid w:val="00D25F90"/>
    <w:rsid w:val="00D8705E"/>
    <w:rsid w:val="00DE1E17"/>
    <w:rsid w:val="00EB01FD"/>
    <w:rsid w:val="00F12E53"/>
    <w:rsid w:val="00F17FC8"/>
    <w:rsid w:val="00F84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5D89A"/>
  <w15:chartTrackingRefBased/>
  <w15:docId w15:val="{279F8EC9-E500-4019-AE83-E9CC03D01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07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C07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07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07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07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07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07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07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07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07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C07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07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07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07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07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07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07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072D"/>
    <w:rPr>
      <w:rFonts w:eastAsiaTheme="majorEastAsia" w:cstheme="majorBidi"/>
      <w:color w:val="272727" w:themeColor="text1" w:themeTint="D8"/>
    </w:rPr>
  </w:style>
  <w:style w:type="paragraph" w:styleId="Title">
    <w:name w:val="Title"/>
    <w:basedOn w:val="Normal"/>
    <w:next w:val="Normal"/>
    <w:link w:val="TitleChar"/>
    <w:uiPriority w:val="10"/>
    <w:qFormat/>
    <w:rsid w:val="00CC07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07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07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07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072D"/>
    <w:pPr>
      <w:spacing w:before="160"/>
      <w:jc w:val="center"/>
    </w:pPr>
    <w:rPr>
      <w:i/>
      <w:iCs/>
      <w:color w:val="404040" w:themeColor="text1" w:themeTint="BF"/>
    </w:rPr>
  </w:style>
  <w:style w:type="character" w:customStyle="1" w:styleId="QuoteChar">
    <w:name w:val="Quote Char"/>
    <w:basedOn w:val="DefaultParagraphFont"/>
    <w:link w:val="Quote"/>
    <w:uiPriority w:val="29"/>
    <w:rsid w:val="00CC072D"/>
    <w:rPr>
      <w:i/>
      <w:iCs/>
      <w:color w:val="404040" w:themeColor="text1" w:themeTint="BF"/>
    </w:rPr>
  </w:style>
  <w:style w:type="paragraph" w:styleId="ListParagraph">
    <w:name w:val="List Paragraph"/>
    <w:basedOn w:val="Normal"/>
    <w:uiPriority w:val="34"/>
    <w:qFormat/>
    <w:rsid w:val="00CC072D"/>
    <w:pPr>
      <w:ind w:left="720"/>
      <w:contextualSpacing/>
    </w:pPr>
  </w:style>
  <w:style w:type="character" w:styleId="IntenseEmphasis">
    <w:name w:val="Intense Emphasis"/>
    <w:basedOn w:val="DefaultParagraphFont"/>
    <w:uiPriority w:val="21"/>
    <w:qFormat/>
    <w:rsid w:val="00CC072D"/>
    <w:rPr>
      <w:i/>
      <w:iCs/>
      <w:color w:val="0F4761" w:themeColor="accent1" w:themeShade="BF"/>
    </w:rPr>
  </w:style>
  <w:style w:type="paragraph" w:styleId="IntenseQuote">
    <w:name w:val="Intense Quote"/>
    <w:basedOn w:val="Normal"/>
    <w:next w:val="Normal"/>
    <w:link w:val="IntenseQuoteChar"/>
    <w:uiPriority w:val="30"/>
    <w:qFormat/>
    <w:rsid w:val="00CC07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072D"/>
    <w:rPr>
      <w:i/>
      <w:iCs/>
      <w:color w:val="0F4761" w:themeColor="accent1" w:themeShade="BF"/>
    </w:rPr>
  </w:style>
  <w:style w:type="character" w:styleId="IntenseReference">
    <w:name w:val="Intense Reference"/>
    <w:basedOn w:val="DefaultParagraphFont"/>
    <w:uiPriority w:val="32"/>
    <w:qFormat/>
    <w:rsid w:val="00CC072D"/>
    <w:rPr>
      <w:b/>
      <w:bCs/>
      <w:smallCaps/>
      <w:color w:val="0F4761" w:themeColor="accent1" w:themeShade="BF"/>
      <w:spacing w:val="5"/>
    </w:rPr>
  </w:style>
  <w:style w:type="paragraph" w:styleId="NoSpacing">
    <w:name w:val="No Spacing"/>
    <w:link w:val="NoSpacingChar"/>
    <w:uiPriority w:val="1"/>
    <w:qFormat/>
    <w:rsid w:val="0061007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10072"/>
    <w:rPr>
      <w:rFonts w:eastAsiaTheme="minorEastAsia"/>
      <w:kern w:val="0"/>
      <w:sz w:val="22"/>
      <w:szCs w:val="22"/>
      <w:lang w:val="en-US"/>
      <w14:ligatures w14:val="none"/>
    </w:rPr>
  </w:style>
  <w:style w:type="paragraph" w:styleId="Header">
    <w:name w:val="header"/>
    <w:basedOn w:val="Normal"/>
    <w:link w:val="HeaderChar"/>
    <w:uiPriority w:val="99"/>
    <w:unhideWhenUsed/>
    <w:rsid w:val="006100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0072"/>
  </w:style>
  <w:style w:type="paragraph" w:styleId="Footer">
    <w:name w:val="footer"/>
    <w:basedOn w:val="Normal"/>
    <w:link w:val="FooterChar"/>
    <w:uiPriority w:val="99"/>
    <w:unhideWhenUsed/>
    <w:rsid w:val="006100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072"/>
  </w:style>
  <w:style w:type="character" w:styleId="Hyperlink">
    <w:name w:val="Hyperlink"/>
    <w:basedOn w:val="DefaultParagraphFont"/>
    <w:uiPriority w:val="99"/>
    <w:unhideWhenUsed/>
    <w:rsid w:val="00446667"/>
    <w:rPr>
      <w:color w:val="467886" w:themeColor="hyperlink"/>
      <w:u w:val="single"/>
    </w:rPr>
  </w:style>
  <w:style w:type="character" w:styleId="FollowedHyperlink">
    <w:name w:val="FollowedHyperlink"/>
    <w:basedOn w:val="DefaultParagraphFont"/>
    <w:uiPriority w:val="99"/>
    <w:semiHidden/>
    <w:unhideWhenUsed/>
    <w:rsid w:val="00795773"/>
    <w:rPr>
      <w:color w:val="96607D" w:themeColor="followedHyperlink"/>
      <w:u w:val="single"/>
    </w:rPr>
  </w:style>
  <w:style w:type="character" w:styleId="UnresolvedMention">
    <w:name w:val="Unresolved Mention"/>
    <w:basedOn w:val="DefaultParagraphFont"/>
    <w:uiPriority w:val="99"/>
    <w:semiHidden/>
    <w:unhideWhenUsed/>
    <w:rsid w:val="00795773"/>
    <w:rPr>
      <w:color w:val="605E5C"/>
      <w:shd w:val="clear" w:color="auto" w:fill="E1DFDD"/>
    </w:rPr>
  </w:style>
  <w:style w:type="table" w:styleId="GridTable4-Accent4">
    <w:name w:val="Grid Table 4 Accent 4"/>
    <w:basedOn w:val="TableNormal"/>
    <w:uiPriority w:val="49"/>
    <w:rsid w:val="00CB71B1"/>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Caption">
    <w:name w:val="caption"/>
    <w:basedOn w:val="Normal"/>
    <w:next w:val="Normal"/>
    <w:uiPriority w:val="35"/>
    <w:unhideWhenUsed/>
    <w:qFormat/>
    <w:rsid w:val="00CB71B1"/>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66461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6461A"/>
    <w:pPr>
      <w:spacing w:after="100"/>
    </w:pPr>
  </w:style>
  <w:style w:type="paragraph" w:styleId="TOC2">
    <w:name w:val="toc 2"/>
    <w:basedOn w:val="Normal"/>
    <w:next w:val="Normal"/>
    <w:autoRedefine/>
    <w:uiPriority w:val="39"/>
    <w:unhideWhenUsed/>
    <w:rsid w:val="0066461A"/>
    <w:pPr>
      <w:spacing w:after="100"/>
      <w:ind w:left="240"/>
    </w:pPr>
  </w:style>
  <w:style w:type="paragraph" w:styleId="NormalWeb">
    <w:name w:val="Normal (Web)"/>
    <w:basedOn w:val="Normal"/>
    <w:uiPriority w:val="99"/>
    <w:semiHidden/>
    <w:unhideWhenUsed/>
    <w:rsid w:val="003C0B02"/>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www.gov.uk/government/publications/implementing-the-sustainable-development-goals/implementing-the-sustainable-development-goals--2" TargetMode="External"/><Relationship Id="rId18" Type="http://schemas.openxmlformats.org/officeDocument/2006/relationships/hyperlink" Target="https://www.nature.com/articles/s41599-024-03973-8"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who.int/data/gho" TargetMode="External"/><Relationship Id="rId7" Type="http://schemas.openxmlformats.org/officeDocument/2006/relationships/endnotes" Target="endnotes.xml"/><Relationship Id="rId12" Type="http://schemas.openxmlformats.org/officeDocument/2006/relationships/hyperlink" Target="https://ash.org.uk/resources/view/new-paths-and-pathways-tobacco-control-and-stop-smoking-services-in-english-local-authorities-in-2022" TargetMode="External"/><Relationship Id="rId17" Type="http://schemas.openxmlformats.org/officeDocument/2006/relationships/hyperlink" Target="https://www.gov.uk/government/publications/nhs-weight-loss-plan-better-health-campaign-evaluation"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england.nhs.uk/wp-content/uploads/2022/07/nhs-mental-health-implementation-plan-2019-20-2023-24.pdf" TargetMode="External"/><Relationship Id="rId20" Type="http://schemas.openxmlformats.org/officeDocument/2006/relationships/hyperlink" Target="https://unstats.un.org/sdgs/report/20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instituteofhealthequity.org/resources-reports/marmot-review-10-years-on/the-marmot-review-10-years-on-full-report.pdf" TargetMode="External"/><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gov.uk/government/publications/ukhsa-strategic-plan-2023-to-2026"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pmc.ncbi.nlm.nih.gov/articles/PMC10777740/" TargetMode="External"/><Relationship Id="rId22" Type="http://schemas.openxmlformats.org/officeDocument/2006/relationships/hyperlink" Target="https://www.who.int/europe/publications/i/item/WHO-EURO-2019-2451-42206-582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Health, Wellbeing and Sustainable Development</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756B57-B0BD-44EC-880C-43F8FD94C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3114</Words>
  <Characters>17753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Component 2: Written Assignment (Report)</vt:lpstr>
    </vt:vector>
  </TitlesOfParts>
  <Company/>
  <LinksUpToDate>false</LinksUpToDate>
  <CharactersWithSpaces>20826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Written Assignment (Report)</dc:title>
  <dc:subject/>
  <dc:creator>Iftekhar Rashid</dc:creator>
  <cp:keywords/>
  <dc:description/>
  <cp:lastModifiedBy>Iftekhar Rashid</cp:lastModifiedBy>
  <cp:revision>20</cp:revision>
  <cp:lastPrinted>2026-03-16T22:43:00Z</cp:lastPrinted>
  <dcterms:created xsi:type="dcterms:W3CDTF">2026-03-14T00:53:00Z</dcterms:created>
  <dcterms:modified xsi:type="dcterms:W3CDTF">2026-03-16T22:43:00Z</dcterms:modified>
</cp:coreProperties>
</file>