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5DB0634" w:rsidR="00530E16" w:rsidRDefault="004468F8">
                            <w:pPr>
                              <w:spacing w:before="120" w:line="277" w:lineRule="auto"/>
                              <w:textDirection w:val="btLr"/>
                            </w:pPr>
                            <w:r>
                              <w:rPr>
                                <w:color w:val="404040"/>
                                <w:sz w:val="36"/>
                              </w:rPr>
                              <w:t xml:space="preserve">Student name: </w:t>
                            </w:r>
                            <w:r w:rsidR="00493587">
                              <w:rPr>
                                <w:color w:val="404040"/>
                                <w:sz w:val="36"/>
                              </w:rPr>
                              <w:t>Kolawole Anthony</w:t>
                            </w:r>
                          </w:p>
                          <w:p w14:paraId="07714B75" w14:textId="4FAE8819" w:rsidR="00530E16" w:rsidRDefault="004468F8">
                            <w:pPr>
                              <w:spacing w:before="120" w:line="277" w:lineRule="auto"/>
                              <w:textDirection w:val="btLr"/>
                            </w:pPr>
                            <w:r>
                              <w:rPr>
                                <w:color w:val="404040"/>
                                <w:sz w:val="36"/>
                              </w:rPr>
                              <w:t>Student ID:</w:t>
                            </w:r>
                            <w:r w:rsidR="00493587">
                              <w:rPr>
                                <w:color w:val="404040"/>
                                <w:sz w:val="36"/>
                              </w:rPr>
                              <w:t xml:space="preserve"> 2538396</w:t>
                            </w:r>
                          </w:p>
                          <w:p w14:paraId="20688A91" w14:textId="65846875" w:rsidR="00530E16" w:rsidRDefault="004468F8">
                            <w:pPr>
                              <w:spacing w:before="120" w:line="277" w:lineRule="auto"/>
                              <w:textDirection w:val="btLr"/>
                            </w:pPr>
                            <w:r>
                              <w:rPr>
                                <w:color w:val="404040"/>
                                <w:sz w:val="36"/>
                              </w:rPr>
                              <w:t xml:space="preserve">Lecturer’s Name: </w:t>
                            </w:r>
                            <w:r w:rsidR="00493587">
                              <w:rPr>
                                <w:color w:val="404040"/>
                                <w:sz w:val="36"/>
                              </w:rPr>
                              <w:t>AMITAVE BANIK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5DB0634" w:rsidR="00530E16" w:rsidRDefault="004468F8">
                      <w:pPr>
                        <w:spacing w:before="120" w:line="277" w:lineRule="auto"/>
                        <w:textDirection w:val="btLr"/>
                      </w:pPr>
                      <w:r>
                        <w:rPr>
                          <w:color w:val="404040"/>
                          <w:sz w:val="36"/>
                        </w:rPr>
                        <w:t xml:space="preserve">Student name: </w:t>
                      </w:r>
                      <w:r w:rsidR="00493587">
                        <w:rPr>
                          <w:color w:val="404040"/>
                          <w:sz w:val="36"/>
                        </w:rPr>
                        <w:t>Kolawole Anthony</w:t>
                      </w:r>
                    </w:p>
                    <w:p w14:paraId="07714B75" w14:textId="4FAE8819" w:rsidR="00530E16" w:rsidRDefault="004468F8">
                      <w:pPr>
                        <w:spacing w:before="120" w:line="277" w:lineRule="auto"/>
                        <w:textDirection w:val="btLr"/>
                      </w:pPr>
                      <w:r>
                        <w:rPr>
                          <w:color w:val="404040"/>
                          <w:sz w:val="36"/>
                        </w:rPr>
                        <w:t>Student ID:</w:t>
                      </w:r>
                      <w:r w:rsidR="00493587">
                        <w:rPr>
                          <w:color w:val="404040"/>
                          <w:sz w:val="36"/>
                        </w:rPr>
                        <w:t xml:space="preserve"> 2538396</w:t>
                      </w:r>
                    </w:p>
                    <w:p w14:paraId="20688A91" w14:textId="65846875" w:rsidR="00530E16" w:rsidRDefault="004468F8">
                      <w:pPr>
                        <w:spacing w:before="120" w:line="277" w:lineRule="auto"/>
                        <w:textDirection w:val="btLr"/>
                      </w:pPr>
                      <w:r>
                        <w:rPr>
                          <w:color w:val="404040"/>
                          <w:sz w:val="36"/>
                        </w:rPr>
                        <w:t xml:space="preserve">Lecturer’s Name: </w:t>
                      </w:r>
                      <w:r w:rsidR="00493587">
                        <w:rPr>
                          <w:color w:val="404040"/>
                          <w:sz w:val="36"/>
                        </w:rPr>
                        <w:t>AMITAVE BANIK</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600AC64B"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sidR="00707759">
              <w:rPr>
                <w:noProof/>
                <w:webHidden/>
              </w:rPr>
              <w:t>2</w:t>
            </w:r>
            <w:r>
              <w:rPr>
                <w:noProof/>
                <w:webHidden/>
              </w:rPr>
              <w:fldChar w:fldCharType="end"/>
            </w:r>
          </w:hyperlink>
        </w:p>
        <w:p w14:paraId="5EC7ED8B" w14:textId="2B3212E0"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sidR="00707759">
              <w:rPr>
                <w:noProof/>
                <w:webHidden/>
              </w:rPr>
              <w:t>2</w:t>
            </w:r>
            <w:r>
              <w:rPr>
                <w:noProof/>
                <w:webHidden/>
              </w:rPr>
              <w:fldChar w:fldCharType="end"/>
            </w:r>
          </w:hyperlink>
        </w:p>
        <w:p w14:paraId="36F0D0DA" w14:textId="57D9B7F5"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sidR="00707759">
              <w:rPr>
                <w:noProof/>
                <w:webHidden/>
              </w:rPr>
              <w:t>2</w:t>
            </w:r>
            <w:r>
              <w:rPr>
                <w:noProof/>
                <w:webHidden/>
              </w:rPr>
              <w:fldChar w:fldCharType="end"/>
            </w:r>
          </w:hyperlink>
        </w:p>
        <w:p w14:paraId="4F890F7D" w14:textId="749EA038"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sidR="00707759">
              <w:rPr>
                <w:noProof/>
                <w:webHidden/>
              </w:rPr>
              <w:t>2</w:t>
            </w:r>
            <w:r>
              <w:rPr>
                <w:noProof/>
                <w:webHidden/>
              </w:rPr>
              <w:fldChar w:fldCharType="end"/>
            </w:r>
          </w:hyperlink>
        </w:p>
        <w:p w14:paraId="58241583" w14:textId="0878BE2F"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sidR="00707759">
              <w:rPr>
                <w:noProof/>
                <w:webHidden/>
              </w:rPr>
              <w:t>3</w:t>
            </w:r>
            <w:r>
              <w:rPr>
                <w:noProof/>
                <w:webHidden/>
              </w:rPr>
              <w:fldChar w:fldCharType="end"/>
            </w:r>
          </w:hyperlink>
        </w:p>
        <w:p w14:paraId="7B5A1A07" w14:textId="6FD34E93"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sidR="00707759">
              <w:rPr>
                <w:noProof/>
                <w:webHidden/>
              </w:rPr>
              <w:t>3</w:t>
            </w:r>
            <w:r>
              <w:rPr>
                <w:noProof/>
                <w:webHidden/>
              </w:rPr>
              <w:fldChar w:fldCharType="end"/>
            </w:r>
          </w:hyperlink>
        </w:p>
        <w:p w14:paraId="4AA57DC5" w14:textId="79451949"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sidR="00707759">
              <w:rPr>
                <w:noProof/>
                <w:webHidden/>
              </w:rPr>
              <w:t>3</w:t>
            </w:r>
            <w:r>
              <w:rPr>
                <w:noProof/>
                <w:webHidden/>
              </w:rPr>
              <w:fldChar w:fldCharType="end"/>
            </w:r>
          </w:hyperlink>
        </w:p>
        <w:p w14:paraId="49D6D8E4" w14:textId="75BC7E71"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sidR="00707759">
              <w:rPr>
                <w:noProof/>
                <w:webHidden/>
              </w:rPr>
              <w:t>3</w:t>
            </w:r>
            <w:r>
              <w:rPr>
                <w:noProof/>
                <w:webHidden/>
              </w:rPr>
              <w:fldChar w:fldCharType="end"/>
            </w:r>
          </w:hyperlink>
        </w:p>
        <w:p w14:paraId="524B7300" w14:textId="712E459F"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sidR="00707759">
              <w:rPr>
                <w:noProof/>
                <w:webHidden/>
              </w:rPr>
              <w:t>3</w:t>
            </w:r>
            <w:r>
              <w:rPr>
                <w:noProof/>
                <w:webHidden/>
              </w:rPr>
              <w:fldChar w:fldCharType="end"/>
            </w:r>
          </w:hyperlink>
        </w:p>
        <w:p w14:paraId="3387AE7A" w14:textId="6B48D8A1"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sidR="00707759">
              <w:rPr>
                <w:noProof/>
                <w:webHidden/>
              </w:rPr>
              <w:t>4</w:t>
            </w:r>
            <w:r>
              <w:rPr>
                <w:noProof/>
                <w:webHidden/>
              </w:rPr>
              <w:fldChar w:fldCharType="end"/>
            </w:r>
          </w:hyperlink>
        </w:p>
        <w:p w14:paraId="773D523D" w14:textId="42FE297E"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sidR="00707759">
              <w:rPr>
                <w:noProof/>
                <w:webHidden/>
              </w:rPr>
              <w:t>5</w:t>
            </w:r>
            <w:r>
              <w:rPr>
                <w:noProof/>
                <w:webHidden/>
              </w:rPr>
              <w:fldChar w:fldCharType="end"/>
            </w:r>
          </w:hyperlink>
        </w:p>
        <w:p w14:paraId="0688D8C9" w14:textId="112463DA"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sidR="00707759">
              <w:rPr>
                <w:noProof/>
                <w:webHidden/>
              </w:rPr>
              <w:t>6</w:t>
            </w:r>
            <w:r>
              <w:rPr>
                <w:noProof/>
                <w:webHidden/>
              </w:rPr>
              <w:fldChar w:fldCharType="end"/>
            </w:r>
          </w:hyperlink>
        </w:p>
        <w:p w14:paraId="4AF15CC7" w14:textId="2EF6A450"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sidR="00707759">
              <w:rPr>
                <w:noProof/>
                <w:webHidden/>
              </w:rPr>
              <w:t>7</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0" w:name="_Toc203606109"/>
      <w:r>
        <w:lastRenderedPageBreak/>
        <w:t>Section 1: Introducing the Research Paper and Topic Development</w:t>
      </w:r>
      <w:bookmarkEnd w:id="0"/>
    </w:p>
    <w:p w14:paraId="48E16877" w14:textId="5003F67A" w:rsidR="00530E16" w:rsidRPr="00493587" w:rsidRDefault="00210D5A" w:rsidP="00E10231">
      <w:pPr>
        <w:spacing w:line="360" w:lineRule="auto"/>
        <w:jc w:val="both"/>
        <w:rPr>
          <w:rFonts w:asciiTheme="majorHAnsi" w:hAnsiTheme="majorHAnsi"/>
          <w:color w:val="0F4761" w:themeColor="accent1" w:themeShade="BF"/>
          <w:sz w:val="32"/>
          <w:szCs w:val="32"/>
        </w:rPr>
      </w:pPr>
      <w:bookmarkStart w:id="1" w:name="_Toc203606110"/>
      <w:r w:rsidRPr="00493587">
        <w:rPr>
          <w:rFonts w:asciiTheme="majorHAnsi" w:hAnsiTheme="majorHAnsi"/>
          <w:color w:val="0F4761" w:themeColor="accent1" w:themeShade="BF"/>
          <w:sz w:val="32"/>
          <w:szCs w:val="32"/>
        </w:rPr>
        <w:t>1.1 Paper</w:t>
      </w:r>
      <w:r w:rsidR="004468F8" w:rsidRPr="00493587">
        <w:rPr>
          <w:rFonts w:asciiTheme="majorHAnsi" w:hAnsiTheme="majorHAnsi"/>
          <w:color w:val="0F4761" w:themeColor="accent1" w:themeShade="BF"/>
          <w:sz w:val="32"/>
          <w:szCs w:val="32"/>
        </w:rPr>
        <w:t xml:space="preserve"> Details (Title, Author(s) and Year of Publication)</w:t>
      </w:r>
      <w:bookmarkEnd w:id="1"/>
    </w:p>
    <w:p w14:paraId="5BFBD1D0" w14:textId="77777777" w:rsidR="00AC3656" w:rsidRPr="00AC3656" w:rsidRDefault="00AC3656" w:rsidP="00AC3656">
      <w:pPr>
        <w:spacing w:line="360" w:lineRule="auto"/>
        <w:jc w:val="both"/>
        <w:rPr>
          <w:rFonts w:ascii="Arial" w:eastAsia="Arial" w:hAnsi="Arial" w:cs="Arial"/>
          <w:sz w:val="22"/>
          <w:szCs w:val="22"/>
        </w:rPr>
      </w:pPr>
      <w:r w:rsidRPr="00AC3656">
        <w:rPr>
          <w:rFonts w:ascii="Arial" w:eastAsia="Arial" w:hAnsi="Arial" w:cs="Arial"/>
          <w:sz w:val="22"/>
          <w:szCs w:val="22"/>
        </w:rPr>
        <w:t xml:space="preserve">This report looks at the research paper </w:t>
      </w:r>
      <w:r w:rsidRPr="00AC3656">
        <w:rPr>
          <w:rFonts w:ascii="Arial" w:eastAsia="Arial" w:hAnsi="Arial" w:cs="Arial"/>
          <w:i/>
          <w:iCs/>
          <w:sz w:val="22"/>
          <w:szCs w:val="22"/>
        </w:rPr>
        <w:t>A cross-sectional study of discipline-based self-perceived digital literacy competencies of nursing students</w:t>
      </w:r>
      <w:r w:rsidRPr="00AC3656">
        <w:rPr>
          <w:rFonts w:ascii="Arial" w:eastAsia="Arial" w:hAnsi="Arial" w:cs="Arial"/>
          <w:sz w:val="22"/>
          <w:szCs w:val="22"/>
        </w:rPr>
        <w:t xml:space="preserve">. The paper was written by Konstantina Martzoukou, Errol Sadullah Luders, Jane Mair, Petros Kostagiolas, Neil Johnson, Fiona Work and Crystal Fulton and was published in the </w:t>
      </w:r>
      <w:r w:rsidRPr="00AC3656">
        <w:rPr>
          <w:rFonts w:ascii="Arial" w:eastAsia="Arial" w:hAnsi="Arial" w:cs="Arial"/>
          <w:i/>
          <w:iCs/>
          <w:sz w:val="22"/>
          <w:szCs w:val="22"/>
        </w:rPr>
        <w:t>Journal of Advanced Nursing</w:t>
      </w:r>
      <w:r w:rsidRPr="00AC3656">
        <w:rPr>
          <w:rFonts w:ascii="Arial" w:eastAsia="Arial" w:hAnsi="Arial" w:cs="Arial"/>
          <w:sz w:val="22"/>
          <w:szCs w:val="22"/>
        </w:rPr>
        <w:t xml:space="preserve"> in 2024 (Martzoukou et al., 2024).</w:t>
      </w:r>
    </w:p>
    <w:p w14:paraId="3635A443" w14:textId="54191883" w:rsidR="00530E16" w:rsidRDefault="00E10231">
      <w:pPr>
        <w:pStyle w:val="Heading2"/>
        <w:jc w:val="both"/>
      </w:pPr>
      <w:bookmarkStart w:id="2" w:name="_Toc203606111"/>
      <w:r>
        <w:t>1.2 Main</w:t>
      </w:r>
      <w:r w:rsidR="004468F8">
        <w:t xml:space="preserve"> Topic or Problem Explored in the Paper</w:t>
      </w:r>
      <w:bookmarkEnd w:id="2"/>
    </w:p>
    <w:p w14:paraId="763C7385" w14:textId="251168CC" w:rsidR="00AC3656" w:rsidRPr="00AC3656" w:rsidRDefault="00AC3656" w:rsidP="00AC3656">
      <w:pPr>
        <w:spacing w:line="360" w:lineRule="auto"/>
        <w:jc w:val="both"/>
        <w:rPr>
          <w:rFonts w:ascii="Arial" w:eastAsia="Arial" w:hAnsi="Arial" w:cs="Arial"/>
          <w:sz w:val="22"/>
          <w:szCs w:val="22"/>
        </w:rPr>
      </w:pPr>
      <w:r w:rsidRPr="00AC3656">
        <w:rPr>
          <w:rFonts w:ascii="Arial" w:eastAsia="Arial" w:hAnsi="Arial" w:cs="Arial"/>
          <w:sz w:val="22"/>
          <w:szCs w:val="22"/>
        </w:rPr>
        <w:t>The paper is about the digital skills of nursing students</w:t>
      </w:r>
      <w:r>
        <w:rPr>
          <w:rFonts w:ascii="Arial" w:eastAsia="Arial" w:hAnsi="Arial" w:cs="Arial"/>
          <w:sz w:val="22"/>
          <w:szCs w:val="22"/>
        </w:rPr>
        <w:t xml:space="preserve"> in the United Kingdom </w:t>
      </w:r>
      <w:r w:rsidRPr="00AC3656">
        <w:rPr>
          <w:rFonts w:ascii="Arial" w:eastAsia="Arial" w:hAnsi="Arial" w:cs="Arial"/>
          <w:sz w:val="22"/>
          <w:szCs w:val="22"/>
        </w:rPr>
        <w:t>and how confident they feel when using different types of technology. Digital literacy is not just about knowing how to use a computer. It also includes being able to find reliable information, carry out research online, communicate professionally and use digital systems for study and future nursing practice.</w:t>
      </w:r>
    </w:p>
    <w:p w14:paraId="0828ACD5" w14:textId="2E870959" w:rsidR="00AC3656" w:rsidRPr="00AC3656" w:rsidRDefault="00AC3656" w:rsidP="00AC3656">
      <w:pPr>
        <w:spacing w:line="360" w:lineRule="auto"/>
        <w:jc w:val="both"/>
        <w:rPr>
          <w:rFonts w:ascii="Arial" w:eastAsia="Arial" w:hAnsi="Arial" w:cs="Arial"/>
          <w:sz w:val="22"/>
          <w:szCs w:val="22"/>
        </w:rPr>
      </w:pPr>
      <w:r w:rsidRPr="00AC3656">
        <w:rPr>
          <w:rFonts w:ascii="Arial" w:eastAsia="Arial" w:hAnsi="Arial" w:cs="Arial"/>
          <w:sz w:val="22"/>
          <w:szCs w:val="22"/>
        </w:rPr>
        <w:t>The researchers wanted to find out whether nursing students had the digital skills they would need to work in a healthcare environment that is becoming more</w:t>
      </w:r>
      <w:r>
        <w:rPr>
          <w:rFonts w:ascii="Arial" w:eastAsia="Arial" w:hAnsi="Arial" w:cs="Arial"/>
          <w:sz w:val="22"/>
          <w:szCs w:val="22"/>
        </w:rPr>
        <w:t xml:space="preserve"> </w:t>
      </w:r>
      <w:r w:rsidRPr="00AC3656">
        <w:rPr>
          <w:rFonts w:ascii="Arial" w:eastAsia="Arial" w:hAnsi="Arial" w:cs="Arial"/>
          <w:sz w:val="22"/>
          <w:szCs w:val="22"/>
        </w:rPr>
        <w:t>technology</w:t>
      </w:r>
      <w:r>
        <w:rPr>
          <w:rFonts w:ascii="Arial" w:eastAsia="Arial" w:hAnsi="Arial" w:cs="Arial"/>
          <w:sz w:val="22"/>
          <w:szCs w:val="22"/>
        </w:rPr>
        <w:t>-centric</w:t>
      </w:r>
      <w:r w:rsidRPr="00AC3656">
        <w:rPr>
          <w:rFonts w:ascii="Arial" w:eastAsia="Arial" w:hAnsi="Arial" w:cs="Arial"/>
          <w:sz w:val="22"/>
          <w:szCs w:val="22"/>
        </w:rPr>
        <w:t>. The study found that students were more confident with general</w:t>
      </w:r>
      <w:r>
        <w:rPr>
          <w:rFonts w:ascii="Arial" w:eastAsia="Arial" w:hAnsi="Arial" w:cs="Arial"/>
          <w:sz w:val="22"/>
          <w:szCs w:val="22"/>
        </w:rPr>
        <w:t xml:space="preserve"> </w:t>
      </w:r>
      <w:r w:rsidRPr="00AC3656">
        <w:rPr>
          <w:rFonts w:ascii="Arial" w:eastAsia="Arial" w:hAnsi="Arial" w:cs="Arial"/>
          <w:sz w:val="22"/>
          <w:szCs w:val="22"/>
        </w:rPr>
        <w:t>ICT skills, digital communication and everyday use of technology. However, they were less confident in areas such as information literacy, digital research and digital innovation (Martzoukou et al., 2024). This shows that being comfortable with technology</w:t>
      </w:r>
      <w:r>
        <w:rPr>
          <w:rFonts w:ascii="Arial" w:eastAsia="Arial" w:hAnsi="Arial" w:cs="Arial"/>
          <w:sz w:val="22"/>
          <w:szCs w:val="22"/>
        </w:rPr>
        <w:t xml:space="preserve"> that’s used in normal life </w:t>
      </w:r>
      <w:r w:rsidRPr="00AC3656">
        <w:rPr>
          <w:rFonts w:ascii="Arial" w:eastAsia="Arial" w:hAnsi="Arial" w:cs="Arial"/>
          <w:sz w:val="22"/>
          <w:szCs w:val="22"/>
        </w:rPr>
        <w:t>does not necessarily mean that a person has the digital skills needed for professional nursing practice.</w:t>
      </w:r>
    </w:p>
    <w:p w14:paraId="6D821233" w14:textId="62E0F415" w:rsidR="00530E16" w:rsidRDefault="00E10231">
      <w:pPr>
        <w:pStyle w:val="Heading2"/>
        <w:jc w:val="both"/>
      </w:pPr>
      <w:bookmarkStart w:id="3" w:name="_Toc203606112"/>
      <w:r>
        <w:t>1.3 Who</w:t>
      </w:r>
      <w:r w:rsidR="004468F8">
        <w:t xml:space="preserve"> Is the Research About?</w:t>
      </w:r>
      <w:bookmarkEnd w:id="3"/>
    </w:p>
    <w:p w14:paraId="7AFA6046" w14:textId="235F4398" w:rsidR="00AC3656" w:rsidRDefault="00AC3656">
      <w:pPr>
        <w:spacing w:line="360" w:lineRule="auto"/>
        <w:jc w:val="both"/>
        <w:rPr>
          <w:rFonts w:ascii="Arial" w:eastAsia="Arial" w:hAnsi="Arial" w:cs="Arial"/>
          <w:sz w:val="22"/>
          <w:szCs w:val="22"/>
        </w:rPr>
      </w:pPr>
      <w:r w:rsidRPr="00AC3656">
        <w:rPr>
          <w:rFonts w:ascii="Arial" w:eastAsia="Arial" w:hAnsi="Arial" w:cs="Arial"/>
          <w:sz w:val="22"/>
          <w:szCs w:val="22"/>
        </w:rPr>
        <w:t>The study focused on nursing students at one university in Scotland. Students studying nursing, midwifery and paramedic courses were invited to take part, although most of the participants were nursing students. In total, 182 students completed the survey. Most were undergraduate students and the majority were on pre-registration courses. The researchers also included students from different age groups so they could see whether age or course type made any difference to how confident students felt about their digital skills (Martzoukou et al., 2024).</w:t>
      </w:r>
    </w:p>
    <w:p w14:paraId="5FF24788" w14:textId="77777777" w:rsidR="00AC3656" w:rsidRPr="00AC3656" w:rsidRDefault="00AC3656">
      <w:pPr>
        <w:spacing w:line="360" w:lineRule="auto"/>
        <w:jc w:val="both"/>
        <w:rPr>
          <w:rFonts w:ascii="Arial" w:eastAsia="Arial" w:hAnsi="Arial" w:cs="Arial"/>
          <w:sz w:val="22"/>
          <w:szCs w:val="22"/>
        </w:rPr>
      </w:pPr>
    </w:p>
    <w:p w14:paraId="06A36977" w14:textId="174ECD6F" w:rsidR="00530E16" w:rsidRDefault="00E10231">
      <w:pPr>
        <w:pStyle w:val="Heading2"/>
        <w:jc w:val="both"/>
      </w:pPr>
      <w:bookmarkStart w:id="4" w:name="_Toc203606113"/>
      <w:r>
        <w:lastRenderedPageBreak/>
        <w:t>1.4 Why</w:t>
      </w:r>
      <w:r w:rsidR="004468F8">
        <w:t xml:space="preserve"> Is This Topic Important in UK Health and Social Care?</w:t>
      </w:r>
      <w:bookmarkEnd w:id="4"/>
    </w:p>
    <w:p w14:paraId="4B971CDC" w14:textId="1B69F531" w:rsidR="00AC3656" w:rsidRPr="00AC3656" w:rsidRDefault="00AC3656" w:rsidP="00AC3656">
      <w:pPr>
        <w:spacing w:line="360" w:lineRule="auto"/>
        <w:jc w:val="both"/>
        <w:rPr>
          <w:rFonts w:ascii="Arial" w:eastAsia="Arial" w:hAnsi="Arial" w:cs="Arial"/>
          <w:sz w:val="22"/>
          <w:szCs w:val="22"/>
        </w:rPr>
      </w:pPr>
      <w:r w:rsidRPr="00AC3656">
        <w:rPr>
          <w:rFonts w:ascii="Arial" w:eastAsia="Arial" w:hAnsi="Arial" w:cs="Arial"/>
          <w:sz w:val="22"/>
          <w:szCs w:val="22"/>
        </w:rPr>
        <w:t xml:space="preserve">This topic is important because digital technology is now used in many areas of health and social care in the UK. Nurses regularly use electronic patient records, online information and digital communication systems as part of their work. </w:t>
      </w:r>
      <w:r>
        <w:rPr>
          <w:rFonts w:ascii="Arial" w:eastAsia="Arial" w:hAnsi="Arial" w:cs="Arial"/>
          <w:sz w:val="22"/>
          <w:szCs w:val="22"/>
        </w:rPr>
        <w:t xml:space="preserve">In view of this, </w:t>
      </w:r>
      <w:r w:rsidRPr="00AC3656">
        <w:rPr>
          <w:rFonts w:ascii="Arial" w:eastAsia="Arial" w:hAnsi="Arial" w:cs="Arial"/>
          <w:sz w:val="22"/>
          <w:szCs w:val="22"/>
        </w:rPr>
        <w:t xml:space="preserve">nursing students need to develop the digital skills </w:t>
      </w:r>
      <w:r w:rsidR="003A3305">
        <w:rPr>
          <w:rFonts w:ascii="Arial" w:eastAsia="Arial" w:hAnsi="Arial" w:cs="Arial"/>
          <w:sz w:val="22"/>
          <w:szCs w:val="22"/>
        </w:rPr>
        <w:t xml:space="preserve">that would be required when </w:t>
      </w:r>
      <w:r w:rsidRPr="00AC3656">
        <w:rPr>
          <w:rFonts w:ascii="Arial" w:eastAsia="Arial" w:hAnsi="Arial" w:cs="Arial"/>
          <w:sz w:val="22"/>
          <w:szCs w:val="22"/>
        </w:rPr>
        <w:t>they begin professional practice. The Nursing and Midwifery Council also expects nursing students to develop digital and technological skills during their training (Nursing and Midwifery Council, 2023).</w:t>
      </w:r>
    </w:p>
    <w:p w14:paraId="7F3AFB36" w14:textId="07223289" w:rsidR="00AC3656" w:rsidRPr="00AC3656" w:rsidRDefault="00AC3656" w:rsidP="00AC3656">
      <w:pPr>
        <w:spacing w:line="360" w:lineRule="auto"/>
        <w:jc w:val="both"/>
        <w:rPr>
          <w:rFonts w:ascii="Arial" w:eastAsia="Arial" w:hAnsi="Arial" w:cs="Arial"/>
          <w:sz w:val="22"/>
          <w:szCs w:val="22"/>
        </w:rPr>
      </w:pPr>
      <w:r w:rsidRPr="00AC3656">
        <w:rPr>
          <w:rFonts w:ascii="Arial" w:eastAsia="Arial" w:hAnsi="Arial" w:cs="Arial"/>
          <w:sz w:val="22"/>
          <w:szCs w:val="22"/>
        </w:rPr>
        <w:t>The NHS also recognises that technology, data and artificial intelligence will continue to change the way healthcare is delivered, which means that healthcare staff will need to keep developing their digital skills (NHS England, 2023). Research also shows that nursing education needs to prepare students for a healthcare system that is becoming more digital (Booth et al., 2021; Nes et al., 2021).</w:t>
      </w:r>
      <w:r w:rsidR="003A3305">
        <w:rPr>
          <w:rFonts w:ascii="Arial" w:eastAsia="Arial" w:hAnsi="Arial" w:cs="Arial"/>
          <w:sz w:val="22"/>
          <w:szCs w:val="22"/>
        </w:rPr>
        <w:t xml:space="preserve"> Having a robust competence assessment and management system that identifies </w:t>
      </w:r>
      <w:r w:rsidRPr="00AC3656">
        <w:rPr>
          <w:rFonts w:ascii="Arial" w:eastAsia="Arial" w:hAnsi="Arial" w:cs="Arial"/>
          <w:sz w:val="22"/>
          <w:szCs w:val="22"/>
        </w:rPr>
        <w:t>areas where students are less confident can therefore help universities provide the right support and better prepare them for their future work.</w:t>
      </w:r>
    </w:p>
    <w:p w14:paraId="6EDF5A18" w14:textId="77777777" w:rsidR="004468F8" w:rsidRDefault="004468F8">
      <w:pPr>
        <w:spacing w:line="360" w:lineRule="auto"/>
        <w:jc w:val="both"/>
        <w:rPr>
          <w:rFonts w:ascii="Arial" w:eastAsia="Arial" w:hAnsi="Arial" w:cs="Arial"/>
          <w:sz w:val="22"/>
          <w:szCs w:val="22"/>
        </w:rPr>
      </w:pPr>
    </w:p>
    <w:p w14:paraId="09904574" w14:textId="77777777" w:rsidR="004468F8" w:rsidRPr="004468F8" w:rsidRDefault="004468F8">
      <w:pPr>
        <w:pStyle w:val="Heading1"/>
        <w:jc w:val="both"/>
      </w:pPr>
      <w:bookmarkStart w:id="5" w:name="_Toc203606114"/>
      <w:r>
        <w:t>Section 2: Understanding the Purpose and Research Question</w:t>
      </w:r>
      <w:bookmarkEnd w:id="5"/>
    </w:p>
    <w:p w14:paraId="6F7529E4" w14:textId="04CF172D" w:rsidR="004468F8" w:rsidRDefault="00210D5A">
      <w:pPr>
        <w:pStyle w:val="Heading2"/>
        <w:jc w:val="both"/>
      </w:pPr>
      <w:bookmarkStart w:id="6" w:name="_Toc203606115"/>
      <w:r>
        <w:t>2.1 Research</w:t>
      </w:r>
      <w:r w:rsidR="004468F8">
        <w:t xml:space="preserve"> Question(s) or Objectives</w:t>
      </w:r>
      <w:bookmarkEnd w:id="6"/>
    </w:p>
    <w:p w14:paraId="29FCC7F1" w14:textId="5BADCA26" w:rsidR="003A3305" w:rsidRPr="003A3305" w:rsidRDefault="003A3305">
      <w:pPr>
        <w:spacing w:line="360" w:lineRule="auto"/>
        <w:jc w:val="both"/>
        <w:rPr>
          <w:rFonts w:ascii="Arial" w:eastAsia="Arial" w:hAnsi="Arial" w:cs="Arial"/>
          <w:sz w:val="22"/>
          <w:szCs w:val="22"/>
        </w:rPr>
      </w:pPr>
      <w:r w:rsidRPr="003A3305">
        <w:rPr>
          <w:rFonts w:ascii="Arial" w:eastAsia="Arial" w:hAnsi="Arial" w:cs="Arial"/>
          <w:sz w:val="22"/>
          <w:szCs w:val="22"/>
        </w:rPr>
        <w:t>The wider research project had a number of objectives, but this paper mainly focused on two of them. First, the researchers wanted to adapt an existing digital skills survey so that it was more relevant to nursing and other related health courses. Second, they wanted to use the survey to find out how students rated their own digital skills and whether there were any differences based on age or whether they were studying on a pre-registration or post-registration course (Martzoukou et al., 2024).</w:t>
      </w:r>
    </w:p>
    <w:p w14:paraId="63BD9E0B" w14:textId="6908EB4B" w:rsidR="004468F8" w:rsidRPr="00583CAE" w:rsidRDefault="004468F8" w:rsidP="00583CAE">
      <w:pPr>
        <w:pStyle w:val="Heading1"/>
        <w:jc w:val="both"/>
      </w:pPr>
      <w:bookmarkStart w:id="7" w:name="_Toc203606116"/>
      <w:r>
        <w:t>Section 3: Understanding the Research Methods</w:t>
      </w:r>
      <w:bookmarkEnd w:id="7"/>
    </w:p>
    <w:p w14:paraId="7C64E5FB" w14:textId="25122959" w:rsidR="004468F8" w:rsidRDefault="00E10231">
      <w:pPr>
        <w:pStyle w:val="Heading2"/>
        <w:jc w:val="both"/>
      </w:pPr>
      <w:bookmarkStart w:id="8" w:name="_Toc203606117"/>
      <w:r>
        <w:t>3.1 Overview</w:t>
      </w:r>
      <w:r w:rsidR="004468F8">
        <w:t xml:space="preserve"> of Quantitative, Qualitative, and Mixed-Methods Research</w:t>
      </w:r>
      <w:bookmarkEnd w:id="8"/>
    </w:p>
    <w:p w14:paraId="7D9669E7" w14:textId="5671CC06" w:rsidR="003A3305" w:rsidRPr="003A3305" w:rsidRDefault="003A3305" w:rsidP="003A3305">
      <w:pPr>
        <w:spacing w:line="360" w:lineRule="auto"/>
        <w:jc w:val="both"/>
        <w:rPr>
          <w:rFonts w:ascii="Arial" w:eastAsia="Arial" w:hAnsi="Arial" w:cs="Arial"/>
          <w:sz w:val="22"/>
          <w:szCs w:val="22"/>
        </w:rPr>
      </w:pPr>
      <w:r w:rsidRPr="003A3305">
        <w:rPr>
          <w:rFonts w:ascii="Arial" w:eastAsia="Arial" w:hAnsi="Arial" w:cs="Arial"/>
          <w:sz w:val="22"/>
          <w:szCs w:val="22"/>
        </w:rPr>
        <w:t>Quantitative research is based mainly on information that can be measured using numbers. It is useful when researchers want to compare groups, measure results or look for patterns in the information th</w:t>
      </w:r>
      <w:r>
        <w:rPr>
          <w:rFonts w:ascii="Arial" w:eastAsia="Arial" w:hAnsi="Arial" w:cs="Arial"/>
          <w:sz w:val="22"/>
          <w:szCs w:val="22"/>
        </w:rPr>
        <w:t>at is</w:t>
      </w:r>
      <w:r w:rsidRPr="003A3305">
        <w:rPr>
          <w:rFonts w:ascii="Arial" w:eastAsia="Arial" w:hAnsi="Arial" w:cs="Arial"/>
          <w:sz w:val="22"/>
          <w:szCs w:val="22"/>
        </w:rPr>
        <w:t xml:space="preserve"> collect</w:t>
      </w:r>
      <w:r>
        <w:rPr>
          <w:rFonts w:ascii="Arial" w:eastAsia="Arial" w:hAnsi="Arial" w:cs="Arial"/>
          <w:sz w:val="22"/>
          <w:szCs w:val="22"/>
        </w:rPr>
        <w:t>ed</w:t>
      </w:r>
      <w:r w:rsidRPr="003A3305">
        <w:rPr>
          <w:rFonts w:ascii="Arial" w:eastAsia="Arial" w:hAnsi="Arial" w:cs="Arial"/>
          <w:sz w:val="22"/>
          <w:szCs w:val="22"/>
        </w:rPr>
        <w:t xml:space="preserve">. Surveys using questionnaires with numerical rating scales </w:t>
      </w:r>
      <w:r w:rsidRPr="003A3305">
        <w:rPr>
          <w:rFonts w:ascii="Arial" w:eastAsia="Arial" w:hAnsi="Arial" w:cs="Arial"/>
          <w:sz w:val="22"/>
          <w:szCs w:val="22"/>
        </w:rPr>
        <w:lastRenderedPageBreak/>
        <w:t>are commonly used in quantitative research, and the results can then be analysed statistically (Ponto, 2015).</w:t>
      </w:r>
      <w:r>
        <w:rPr>
          <w:rFonts w:ascii="Arial" w:eastAsia="Arial" w:hAnsi="Arial" w:cs="Arial"/>
          <w:sz w:val="22"/>
          <w:szCs w:val="22"/>
        </w:rPr>
        <w:t xml:space="preserve"> </w:t>
      </w:r>
      <w:r w:rsidR="00E9656D" w:rsidRPr="00E9656D">
        <w:rPr>
          <w:rFonts w:ascii="Arial" w:eastAsia="Arial" w:hAnsi="Arial" w:cs="Arial"/>
          <w:sz w:val="22"/>
          <w:szCs w:val="22"/>
        </w:rPr>
        <w:t xml:space="preserve">For example, a researcher could use a questionnaire to measure how confident nursing students feel about using digital technology and compare the results across different age </w:t>
      </w:r>
      <w:r w:rsidR="00E9656D" w:rsidRPr="00E9656D">
        <w:rPr>
          <w:rFonts w:ascii="Arial" w:eastAsia="Arial" w:hAnsi="Arial" w:cs="Arial"/>
          <w:sz w:val="22"/>
          <w:szCs w:val="22"/>
        </w:rPr>
        <w:t>groups.</w:t>
      </w:r>
    </w:p>
    <w:p w14:paraId="42AD0FF7" w14:textId="199593A2" w:rsidR="00E9656D" w:rsidRDefault="003A3305" w:rsidP="003A3305">
      <w:pPr>
        <w:spacing w:line="360" w:lineRule="auto"/>
        <w:jc w:val="both"/>
        <w:rPr>
          <w:rFonts w:ascii="Arial" w:eastAsia="Arial" w:hAnsi="Arial" w:cs="Arial"/>
          <w:sz w:val="22"/>
          <w:szCs w:val="22"/>
        </w:rPr>
      </w:pPr>
      <w:r w:rsidRPr="003A3305">
        <w:rPr>
          <w:rFonts w:ascii="Arial" w:eastAsia="Arial" w:hAnsi="Arial" w:cs="Arial"/>
          <w:sz w:val="22"/>
          <w:szCs w:val="22"/>
        </w:rPr>
        <w:t xml:space="preserve">Qualitative research focuses more on people's views, experiences and opinions. It usually collects information in the form of words rather than numbers. Interviews, focus groups and open-ended questions are common ways of collecting qualitative information. Researchers can then look for common ideas or themes in the answers. </w:t>
      </w:r>
      <w:r w:rsidR="00E9656D" w:rsidRPr="00E9656D">
        <w:rPr>
          <w:rFonts w:ascii="Arial" w:eastAsia="Arial" w:hAnsi="Arial" w:cs="Arial"/>
          <w:sz w:val="22"/>
          <w:szCs w:val="22"/>
        </w:rPr>
        <w:t>Researchers can then identify common patterns or themes within the information collected. This process is known as thematic analysis (Braun and Clarke, 2021)</w:t>
      </w:r>
      <w:r w:rsidRPr="003A3305">
        <w:rPr>
          <w:rFonts w:ascii="Arial" w:eastAsia="Arial" w:hAnsi="Arial" w:cs="Arial"/>
          <w:sz w:val="22"/>
          <w:szCs w:val="22"/>
        </w:rPr>
        <w:t xml:space="preserve">. </w:t>
      </w:r>
      <w:r w:rsidR="00E9656D" w:rsidRPr="00E9656D">
        <w:rPr>
          <w:rFonts w:ascii="Arial" w:eastAsia="Arial" w:hAnsi="Arial" w:cs="Arial"/>
          <w:sz w:val="22"/>
          <w:szCs w:val="22"/>
        </w:rPr>
        <w:t>For example, interviews could be used to explore how care home residents experience loneliness and what support they feel would help them.</w:t>
      </w:r>
    </w:p>
    <w:p w14:paraId="0A35D099" w14:textId="14374B27" w:rsidR="003A3305" w:rsidRPr="003A3305" w:rsidRDefault="003A3305" w:rsidP="003A3305">
      <w:pPr>
        <w:spacing w:line="360" w:lineRule="auto"/>
        <w:jc w:val="both"/>
        <w:rPr>
          <w:rFonts w:ascii="Arial" w:eastAsia="Arial" w:hAnsi="Arial" w:cs="Arial"/>
          <w:sz w:val="22"/>
          <w:szCs w:val="22"/>
        </w:rPr>
      </w:pPr>
      <w:r w:rsidRPr="003A3305">
        <w:rPr>
          <w:rFonts w:ascii="Arial" w:eastAsia="Arial" w:hAnsi="Arial" w:cs="Arial"/>
          <w:sz w:val="22"/>
          <w:szCs w:val="22"/>
        </w:rPr>
        <w:t xml:space="preserve">Mixed-methods research combines both quantitative and qualitative research in the same study. </w:t>
      </w:r>
      <w:r w:rsidR="00E9656D" w:rsidRPr="00E9656D">
        <w:rPr>
          <w:rFonts w:ascii="Arial" w:eastAsia="Arial" w:hAnsi="Arial" w:cs="Arial"/>
          <w:sz w:val="22"/>
          <w:szCs w:val="22"/>
        </w:rPr>
        <w:t>This means that researchers can use numerical data together with people’s views and experiences to gain a fuller understanding of the issue being studied (Wasti et al., 2022).</w:t>
      </w:r>
      <w:r w:rsidR="00E9656D">
        <w:rPr>
          <w:rFonts w:ascii="Arial" w:eastAsia="Arial" w:hAnsi="Arial" w:cs="Arial"/>
          <w:sz w:val="22"/>
          <w:szCs w:val="22"/>
        </w:rPr>
        <w:t xml:space="preserve"> </w:t>
      </w:r>
      <w:r w:rsidRPr="003A3305">
        <w:rPr>
          <w:rFonts w:ascii="Arial" w:eastAsia="Arial" w:hAnsi="Arial" w:cs="Arial"/>
          <w:sz w:val="22"/>
          <w:szCs w:val="22"/>
        </w:rPr>
        <w:t>For example, a researcher could use a questionnaire to measure staff wellbeing and then carry out interviews to understand the reasons behind some of the answers.</w:t>
      </w:r>
    </w:p>
    <w:p w14:paraId="67A9437E" w14:textId="4A59F5C3" w:rsidR="004468F8" w:rsidRPr="003A3305" w:rsidRDefault="004468F8">
      <w:pPr>
        <w:spacing w:line="360" w:lineRule="auto"/>
        <w:jc w:val="both"/>
        <w:rPr>
          <w:rFonts w:ascii="Arial" w:eastAsia="Arial" w:hAnsi="Arial" w:cs="Arial"/>
          <w:sz w:val="22"/>
          <w:szCs w:val="22"/>
        </w:rPr>
      </w:pPr>
    </w:p>
    <w:p w14:paraId="638F19CE" w14:textId="7F9093E6" w:rsidR="004468F8" w:rsidRDefault="00E10231">
      <w:pPr>
        <w:pStyle w:val="Heading2"/>
        <w:jc w:val="both"/>
      </w:pPr>
      <w:bookmarkStart w:id="9" w:name="_Toc203606118"/>
      <w:r>
        <w:t>3.2 Research</w:t>
      </w:r>
      <w:r w:rsidR="004468F8">
        <w:t xml:space="preserve"> Methodology Used in Your Chosen Paper and Why</w:t>
      </w:r>
      <w:bookmarkEnd w:id="9"/>
    </w:p>
    <w:p w14:paraId="6929550E" w14:textId="25CD235C" w:rsidR="00460CAF" w:rsidRPr="00460CAF" w:rsidRDefault="00460CAF" w:rsidP="00460CAF">
      <w:pPr>
        <w:spacing w:line="360" w:lineRule="auto"/>
        <w:jc w:val="both"/>
        <w:rPr>
          <w:rFonts w:ascii="Arial" w:eastAsia="Arial" w:hAnsi="Arial" w:cs="Arial"/>
          <w:sz w:val="22"/>
          <w:szCs w:val="22"/>
        </w:rPr>
      </w:pPr>
      <w:r w:rsidRPr="00460CAF">
        <w:rPr>
          <w:rFonts w:ascii="Arial" w:eastAsia="Arial" w:hAnsi="Arial" w:cs="Arial"/>
          <w:sz w:val="22"/>
          <w:szCs w:val="22"/>
        </w:rPr>
        <w:t xml:space="preserve">Martzoukou et al. (2024) adopted a cross-sectional quantitative research design, gathering survey data between November and December 2021. The study </w:t>
      </w:r>
      <w:r>
        <w:rPr>
          <w:rFonts w:ascii="Arial" w:eastAsia="Arial" w:hAnsi="Arial" w:cs="Arial"/>
          <w:sz w:val="22"/>
          <w:szCs w:val="22"/>
        </w:rPr>
        <w:t>was carried out</w:t>
      </w:r>
      <w:r w:rsidRPr="00460CAF">
        <w:rPr>
          <w:rFonts w:ascii="Arial" w:eastAsia="Arial" w:hAnsi="Arial" w:cs="Arial"/>
          <w:sz w:val="22"/>
          <w:szCs w:val="22"/>
        </w:rPr>
        <w:t xml:space="preserve"> in two distinct phases. First, the authors consulted five academic staff members and an undergraduate nursing student to adapt an existing digital competence framework into a context</w:t>
      </w:r>
      <w:r>
        <w:rPr>
          <w:rFonts w:ascii="Arial" w:eastAsia="Arial" w:hAnsi="Arial" w:cs="Arial"/>
          <w:sz w:val="22"/>
          <w:szCs w:val="22"/>
        </w:rPr>
        <w:t xml:space="preserve"> aligned to health and social care</w:t>
      </w:r>
      <w:r w:rsidRPr="00460CAF">
        <w:rPr>
          <w:rFonts w:ascii="Arial" w:eastAsia="Arial" w:hAnsi="Arial" w:cs="Arial"/>
          <w:sz w:val="22"/>
          <w:szCs w:val="22"/>
        </w:rPr>
        <w:t>. This step ensured the questions reflected practical nursing, midwifery, and paramedic tasks, such as navigating health databases, critically appraising evidence, and using healthcare applications.</w:t>
      </w:r>
    </w:p>
    <w:p w14:paraId="71B0E814" w14:textId="1D6C0F2B" w:rsidR="00460CAF" w:rsidRPr="00460CAF" w:rsidRDefault="00460CAF" w:rsidP="00460CAF">
      <w:pPr>
        <w:spacing w:line="360" w:lineRule="auto"/>
        <w:jc w:val="both"/>
        <w:rPr>
          <w:rFonts w:ascii="Arial" w:eastAsia="Arial" w:hAnsi="Arial" w:cs="Arial"/>
          <w:sz w:val="22"/>
          <w:szCs w:val="22"/>
        </w:rPr>
      </w:pPr>
      <w:r w:rsidRPr="00460CAF">
        <w:rPr>
          <w:rFonts w:ascii="Arial" w:eastAsia="Arial" w:hAnsi="Arial" w:cs="Arial"/>
          <w:sz w:val="22"/>
          <w:szCs w:val="22"/>
        </w:rPr>
        <w:t xml:space="preserve">In the second phase, the survey was emailed to approximately 1,200 students across the school, </w:t>
      </w:r>
      <w:r>
        <w:rPr>
          <w:rFonts w:ascii="Arial" w:eastAsia="Arial" w:hAnsi="Arial" w:cs="Arial"/>
          <w:sz w:val="22"/>
          <w:szCs w:val="22"/>
        </w:rPr>
        <w:t xml:space="preserve">which led to </w:t>
      </w:r>
      <w:r w:rsidRPr="00460CAF">
        <w:rPr>
          <w:rFonts w:ascii="Arial" w:eastAsia="Arial" w:hAnsi="Arial" w:cs="Arial"/>
          <w:sz w:val="22"/>
          <w:szCs w:val="22"/>
        </w:rPr>
        <w:t>182 voluntary responses</w:t>
      </w:r>
      <w:r>
        <w:rPr>
          <w:rFonts w:ascii="Arial" w:eastAsia="Arial" w:hAnsi="Arial" w:cs="Arial"/>
          <w:sz w:val="22"/>
          <w:szCs w:val="22"/>
        </w:rPr>
        <w:t xml:space="preserve"> (15% response rate).</w:t>
      </w:r>
      <w:r w:rsidRPr="00460CAF">
        <w:rPr>
          <w:rFonts w:ascii="Arial" w:eastAsia="Arial" w:hAnsi="Arial" w:cs="Arial"/>
          <w:sz w:val="22"/>
          <w:szCs w:val="22"/>
        </w:rPr>
        <w:t xml:space="preserve"> Using a five-point self-assessment scale ranging from novice to expert, the questionnaire evaluated </w:t>
      </w:r>
      <w:r>
        <w:rPr>
          <w:rFonts w:ascii="Arial" w:eastAsia="Arial" w:hAnsi="Arial" w:cs="Arial"/>
          <w:sz w:val="22"/>
          <w:szCs w:val="22"/>
        </w:rPr>
        <w:t xml:space="preserve">the </w:t>
      </w:r>
      <w:r w:rsidR="00784498">
        <w:rPr>
          <w:rFonts w:ascii="Arial" w:eastAsia="Arial" w:hAnsi="Arial" w:cs="Arial"/>
          <w:sz w:val="22"/>
          <w:szCs w:val="22"/>
        </w:rPr>
        <w:t xml:space="preserve">core </w:t>
      </w:r>
      <w:r w:rsidRPr="00460CAF">
        <w:rPr>
          <w:rFonts w:ascii="Arial" w:eastAsia="Arial" w:hAnsi="Arial" w:cs="Arial"/>
          <w:sz w:val="22"/>
          <w:szCs w:val="22"/>
        </w:rPr>
        <w:t>domains</w:t>
      </w:r>
      <w:r w:rsidR="00784498">
        <w:rPr>
          <w:rFonts w:ascii="Arial" w:eastAsia="Arial" w:hAnsi="Arial" w:cs="Arial"/>
          <w:sz w:val="22"/>
          <w:szCs w:val="22"/>
        </w:rPr>
        <w:t xml:space="preserve"> i.e. </w:t>
      </w:r>
      <w:r w:rsidRPr="00460CAF">
        <w:rPr>
          <w:rFonts w:ascii="Arial" w:eastAsia="Arial" w:hAnsi="Arial" w:cs="Arial"/>
          <w:sz w:val="22"/>
          <w:szCs w:val="22"/>
        </w:rPr>
        <w:t>ICT proficiency, information literacy, digital creation, communication, and digital wellbeing.</w:t>
      </w:r>
    </w:p>
    <w:p w14:paraId="2AC439FC" w14:textId="77777777" w:rsidR="00460CAF" w:rsidRPr="00460CAF" w:rsidRDefault="00460CAF" w:rsidP="00460CAF">
      <w:pPr>
        <w:spacing w:line="360" w:lineRule="auto"/>
        <w:jc w:val="both"/>
        <w:rPr>
          <w:rFonts w:ascii="Arial" w:eastAsia="Arial" w:hAnsi="Arial" w:cs="Arial"/>
          <w:sz w:val="22"/>
          <w:szCs w:val="22"/>
        </w:rPr>
      </w:pPr>
      <w:r w:rsidRPr="00460CAF">
        <w:rPr>
          <w:rFonts w:ascii="Arial" w:eastAsia="Arial" w:hAnsi="Arial" w:cs="Arial"/>
          <w:sz w:val="22"/>
          <w:szCs w:val="22"/>
        </w:rPr>
        <w:t xml:space="preserve">Although predominantly quantitative, the design included a minor qualitative component. Open-ended questions invited students to explain how they acquired digital skills, kept them updated, and used them to navigate study challenges. These qualitative responses were </w:t>
      </w:r>
      <w:r w:rsidRPr="00460CAF">
        <w:rPr>
          <w:rFonts w:ascii="Arial" w:eastAsia="Arial" w:hAnsi="Arial" w:cs="Arial"/>
          <w:sz w:val="22"/>
          <w:szCs w:val="22"/>
        </w:rPr>
        <w:lastRenderedPageBreak/>
        <w:t>evaluated using thematic analysis. Recognizing this qualitative element provides helpful context, even though the paper primarily reports on the quantitative findings.</w:t>
      </w:r>
    </w:p>
    <w:p w14:paraId="44F12F9F" w14:textId="1EB87EFF" w:rsidR="00460CAF" w:rsidRPr="00460CAF" w:rsidRDefault="00460CAF" w:rsidP="00460CAF">
      <w:pPr>
        <w:spacing w:line="360" w:lineRule="auto"/>
        <w:jc w:val="both"/>
        <w:rPr>
          <w:rFonts w:ascii="Arial" w:eastAsia="Arial" w:hAnsi="Arial" w:cs="Arial"/>
          <w:sz w:val="22"/>
          <w:szCs w:val="22"/>
        </w:rPr>
      </w:pPr>
      <w:r w:rsidRPr="00460CAF">
        <w:rPr>
          <w:rFonts w:ascii="Arial" w:eastAsia="Arial" w:hAnsi="Arial" w:cs="Arial"/>
          <w:sz w:val="22"/>
          <w:szCs w:val="22"/>
        </w:rPr>
        <w:t xml:space="preserve">A survey methodology was well-suited to this study, as it enabled the researchers to measure multiple competencies across a large cohort and compare responses across different ages and degree programs. This approach aligns with broader literature; for example, Brown et al. (2020) and Lokmic-Tomkins et al. (2022) both utilized student surveys to examine self-reported digital literacy and health readiness. Ethical standards were maintained </w:t>
      </w:r>
      <w:r w:rsidR="00784498" w:rsidRPr="00460CAF">
        <w:rPr>
          <w:rFonts w:ascii="Arial" w:eastAsia="Arial" w:hAnsi="Arial" w:cs="Arial"/>
          <w:sz w:val="22"/>
          <w:szCs w:val="22"/>
        </w:rPr>
        <w:t>throughout</w:t>
      </w:r>
      <w:r w:rsidRPr="00460CAF">
        <w:rPr>
          <w:rFonts w:ascii="Arial" w:eastAsia="Arial" w:hAnsi="Arial" w:cs="Arial"/>
          <w:sz w:val="22"/>
          <w:szCs w:val="22"/>
        </w:rPr>
        <w:t xml:space="preserve"> the study</w:t>
      </w:r>
      <w:r w:rsidR="00784498">
        <w:rPr>
          <w:rFonts w:ascii="Arial" w:eastAsia="Arial" w:hAnsi="Arial" w:cs="Arial"/>
          <w:sz w:val="22"/>
          <w:szCs w:val="22"/>
        </w:rPr>
        <w:t xml:space="preserve"> which received </w:t>
      </w:r>
      <w:r w:rsidRPr="00460CAF">
        <w:rPr>
          <w:rFonts w:ascii="Arial" w:eastAsia="Arial" w:hAnsi="Arial" w:cs="Arial"/>
          <w:sz w:val="22"/>
          <w:szCs w:val="22"/>
        </w:rPr>
        <w:t>university ethics approval, ensured anonymity using a GDPR-compliant platform, and clearly informed participants of their right to withdraw.</w:t>
      </w:r>
    </w:p>
    <w:p w14:paraId="6107BBE3" w14:textId="77777777" w:rsidR="00784498" w:rsidRDefault="00784498">
      <w:pPr>
        <w:pStyle w:val="Heading2"/>
        <w:jc w:val="both"/>
      </w:pPr>
      <w:bookmarkStart w:id="10" w:name="_Toc203606119"/>
    </w:p>
    <w:p w14:paraId="6B925483" w14:textId="26ECAF24" w:rsidR="004468F8" w:rsidRDefault="004468F8">
      <w:pPr>
        <w:pStyle w:val="Heading2"/>
        <w:jc w:val="both"/>
      </w:pPr>
      <w:r>
        <w:t>3.3 Primary and Secondary Data: Definitions, Differences, and Application to Your Paper</w:t>
      </w:r>
      <w:bookmarkEnd w:id="10"/>
    </w:p>
    <w:p w14:paraId="534A7BFC" w14:textId="77777777" w:rsidR="00784498" w:rsidRPr="00784498" w:rsidRDefault="00784498" w:rsidP="00784498">
      <w:pPr>
        <w:spacing w:line="360" w:lineRule="auto"/>
        <w:jc w:val="both"/>
        <w:rPr>
          <w:rFonts w:ascii="Arial" w:eastAsia="Arial" w:hAnsi="Arial" w:cs="Arial"/>
          <w:sz w:val="22"/>
          <w:szCs w:val="22"/>
        </w:rPr>
      </w:pPr>
      <w:r w:rsidRPr="00784498">
        <w:rPr>
          <w:rFonts w:ascii="Arial" w:eastAsia="Arial" w:hAnsi="Arial" w:cs="Arial"/>
          <w:sz w:val="22"/>
          <w:szCs w:val="22"/>
        </w:rPr>
        <w:t>Primary data is information collected directly for a particular research study, while secondary data is information that already exists and was originally collected for a different purpose (Saunders et al., 2019). In the study by Martzoukou et al. (2024), most of the information came from primary data collected through the online survey. Academic literature and existing digital capability frameworks were also used, but mainly to help develop the questionnaire rather than as the main source of data.</w:t>
      </w:r>
    </w:p>
    <w:p w14:paraId="6B83432B" w14:textId="77777777" w:rsidR="00784498" w:rsidRPr="00784498" w:rsidRDefault="00784498" w:rsidP="00784498">
      <w:pPr>
        <w:spacing w:line="360" w:lineRule="auto"/>
        <w:jc w:val="both"/>
        <w:rPr>
          <w:rFonts w:ascii="Arial" w:eastAsia="Arial" w:hAnsi="Arial" w:cs="Arial"/>
          <w:sz w:val="22"/>
          <w:szCs w:val="22"/>
        </w:rPr>
      </w:pPr>
      <w:r w:rsidRPr="00784498">
        <w:rPr>
          <w:rFonts w:ascii="Arial" w:eastAsia="Arial" w:hAnsi="Arial" w:cs="Arial"/>
          <w:sz w:val="22"/>
          <w:szCs w:val="22"/>
        </w:rPr>
        <w:t>The quantitative data was analysed using IBM SPSS Statistics version 28. The researchers used descriptive statistics such as frequencies, percentages, means, medians and modes to present the results. Cronbach’s alpha was also used to check the consistency of the questionnaire. Because the data did not follow a normal distribution, the researchers used non-parametric tests, including the Mann–Whitney U test and the Kruskal–Wallis test, to look for significant differences between groups. The open-ended responses were analysed manually using thematic analysis (Kiger and Varpio, 2020).</w:t>
      </w:r>
    </w:p>
    <w:p w14:paraId="25B4B38C" w14:textId="7AD87172" w:rsidR="00784498" w:rsidRPr="00784498" w:rsidRDefault="00784498" w:rsidP="00784498">
      <w:pPr>
        <w:spacing w:line="360" w:lineRule="auto"/>
        <w:jc w:val="both"/>
        <w:rPr>
          <w:rFonts w:ascii="Arial" w:eastAsia="Arial" w:hAnsi="Arial" w:cs="Arial"/>
          <w:sz w:val="22"/>
          <w:szCs w:val="22"/>
        </w:rPr>
      </w:pPr>
      <w:r w:rsidRPr="00784498">
        <w:rPr>
          <w:rFonts w:ascii="Arial" w:eastAsia="Arial" w:hAnsi="Arial" w:cs="Arial"/>
          <w:sz w:val="22"/>
          <w:szCs w:val="22"/>
        </w:rPr>
        <w:t xml:space="preserve">This approach allowed the researchers to use numerical results while also considering the students’ own views and experiences. However, there were some limitations. The research was carried out in only one </w:t>
      </w:r>
      <w:r w:rsidRPr="00784498">
        <w:rPr>
          <w:rFonts w:ascii="Arial" w:eastAsia="Arial" w:hAnsi="Arial" w:cs="Arial"/>
          <w:sz w:val="22"/>
          <w:szCs w:val="22"/>
        </w:rPr>
        <w:t>institution,</w:t>
      </w:r>
      <w:r w:rsidRPr="00784498">
        <w:rPr>
          <w:rFonts w:ascii="Arial" w:eastAsia="Arial" w:hAnsi="Arial" w:cs="Arial"/>
          <w:sz w:val="22"/>
          <w:szCs w:val="22"/>
        </w:rPr>
        <w:t xml:space="preserve"> and the response rate was around 15%, which means the findings may not represent all nursing students in the UK. The study also measured how students rated their own digital skills rather than testing their actual ability, which the authors also recognised as a limitation.</w:t>
      </w:r>
    </w:p>
    <w:p w14:paraId="5B6A4187" w14:textId="77777777" w:rsidR="00784498" w:rsidRDefault="00784498" w:rsidP="00E10231">
      <w:pPr>
        <w:spacing w:line="360" w:lineRule="auto"/>
        <w:jc w:val="both"/>
        <w:rPr>
          <w:rFonts w:ascii="Arial" w:eastAsia="Arial" w:hAnsi="Arial" w:cs="Arial"/>
          <w:sz w:val="22"/>
          <w:szCs w:val="22"/>
        </w:rPr>
      </w:pPr>
    </w:p>
    <w:p w14:paraId="5625A96E" w14:textId="77777777" w:rsidR="00530E16" w:rsidRDefault="004468F8">
      <w:pPr>
        <w:pStyle w:val="Heading1"/>
        <w:jc w:val="both"/>
      </w:pPr>
      <w:bookmarkStart w:id="11" w:name="_Toc203606120"/>
      <w:r>
        <w:lastRenderedPageBreak/>
        <w:t>Section 4: Conclusion</w:t>
      </w:r>
      <w:bookmarkEnd w:id="11"/>
    </w:p>
    <w:p w14:paraId="58B7B43E" w14:textId="77777777" w:rsidR="00583CAE" w:rsidRPr="00583CAE" w:rsidRDefault="00583CAE" w:rsidP="00583CAE">
      <w:pPr>
        <w:spacing w:line="360" w:lineRule="auto"/>
        <w:jc w:val="both"/>
        <w:rPr>
          <w:rFonts w:ascii="Arial" w:eastAsia="Arial" w:hAnsi="Arial" w:cs="Arial"/>
          <w:sz w:val="22"/>
          <w:szCs w:val="22"/>
        </w:rPr>
      </w:pPr>
      <w:r w:rsidRPr="00583CAE">
        <w:rPr>
          <w:rFonts w:ascii="Arial" w:eastAsia="Arial" w:hAnsi="Arial" w:cs="Arial"/>
          <w:sz w:val="22"/>
          <w:szCs w:val="22"/>
        </w:rPr>
        <w:t>This report looked at the study by Martzoukou et al. (2024) on how nursing students see their own digital skills. This is an important subject in UK health and social care because healthcare staff now need to use digital systems, record information and handle data safely. The study found that although students were confident using everyday technology, there were still gaps in areas such as information literacy, digital research and digital innovation. This shows that being comfortable with technology in everyday life does not always mean that someone has the digital skills needed in a healthcare setting (Booth et al., 2021; Nes et al., 2021).</w:t>
      </w:r>
    </w:p>
    <w:p w14:paraId="1A8A8CB6" w14:textId="4BD70CE1" w:rsidR="00583CAE" w:rsidRPr="00583CAE" w:rsidRDefault="00583CAE" w:rsidP="00583CAE">
      <w:pPr>
        <w:spacing w:line="360" w:lineRule="auto"/>
        <w:jc w:val="both"/>
        <w:rPr>
          <w:rFonts w:ascii="Arial" w:eastAsia="Arial" w:hAnsi="Arial" w:cs="Arial"/>
          <w:sz w:val="22"/>
          <w:szCs w:val="22"/>
        </w:rPr>
      </w:pPr>
      <w:r w:rsidRPr="00583CAE">
        <w:rPr>
          <w:rFonts w:ascii="Arial" w:eastAsia="Arial" w:hAnsi="Arial" w:cs="Arial"/>
          <w:sz w:val="22"/>
          <w:szCs w:val="22"/>
        </w:rPr>
        <w:t xml:space="preserve">The study mainly used a cross-sectional quantitative research design. Primary data was collected directly from students through an online </w:t>
      </w:r>
      <w:r w:rsidRPr="00583CAE">
        <w:rPr>
          <w:rFonts w:ascii="Arial" w:eastAsia="Arial" w:hAnsi="Arial" w:cs="Arial"/>
          <w:sz w:val="22"/>
          <w:szCs w:val="22"/>
        </w:rPr>
        <w:t>survey,</w:t>
      </w:r>
      <w:r w:rsidRPr="00583CAE">
        <w:rPr>
          <w:rFonts w:ascii="Arial" w:eastAsia="Arial" w:hAnsi="Arial" w:cs="Arial"/>
          <w:sz w:val="22"/>
          <w:szCs w:val="22"/>
        </w:rPr>
        <w:t xml:space="preserve"> and the results were analysed using statistics. The researchers also included a small qualitative element by asking some open-ended questions so that students could explain their experiences in their own words.</w:t>
      </w:r>
    </w:p>
    <w:p w14:paraId="5044E1F5" w14:textId="77777777" w:rsidR="00583CAE" w:rsidRPr="00583CAE" w:rsidRDefault="00583CAE" w:rsidP="00583CAE">
      <w:pPr>
        <w:spacing w:line="360" w:lineRule="auto"/>
        <w:jc w:val="both"/>
        <w:rPr>
          <w:rFonts w:ascii="Arial" w:eastAsia="Arial" w:hAnsi="Arial" w:cs="Arial"/>
          <w:sz w:val="22"/>
          <w:szCs w:val="22"/>
        </w:rPr>
      </w:pPr>
      <w:r w:rsidRPr="00583CAE">
        <w:rPr>
          <w:rFonts w:ascii="Arial" w:eastAsia="Arial" w:hAnsi="Arial" w:cs="Arial"/>
          <w:sz w:val="22"/>
          <w:szCs w:val="22"/>
        </w:rPr>
        <w:t>Working through this paper has helped me understand research methods more clearly. I now understand why researchers need to choose a method that suits what they are trying to find out. I also have a better understanding of the difference between primary and secondary data. I have also learned that just because research has been published does not mean I should simply accept the findings without looking at how the study was carried out. It is important to consider things such as the sample size, response rate and limitations of the research.</w:t>
      </w:r>
    </w:p>
    <w:p w14:paraId="7D9D448C" w14:textId="77777777" w:rsidR="00583CAE" w:rsidRPr="00583CAE" w:rsidRDefault="00583CAE" w:rsidP="00583CAE">
      <w:pPr>
        <w:spacing w:line="360" w:lineRule="auto"/>
        <w:jc w:val="both"/>
        <w:rPr>
          <w:rFonts w:ascii="Arial" w:eastAsia="Arial" w:hAnsi="Arial" w:cs="Arial"/>
          <w:sz w:val="22"/>
          <w:szCs w:val="22"/>
        </w:rPr>
      </w:pPr>
      <w:r w:rsidRPr="00583CAE">
        <w:rPr>
          <w:rFonts w:ascii="Arial" w:eastAsia="Arial" w:hAnsi="Arial" w:cs="Arial"/>
          <w:sz w:val="22"/>
          <w:szCs w:val="22"/>
        </w:rPr>
        <w:t>These research skills will help me with future academic work and also in health and social care practice, where decisions should be based on reliable evidence rather than personal opinion or assumptions.</w:t>
      </w:r>
    </w:p>
    <w:p w14:paraId="5860754A" w14:textId="03D742DF" w:rsidR="004468F8" w:rsidRDefault="004468F8">
      <w:pPr>
        <w:spacing w:line="360" w:lineRule="auto"/>
        <w:jc w:val="both"/>
        <w:rPr>
          <w:rFonts w:ascii="Arial" w:eastAsia="Arial" w:hAnsi="Arial" w:cs="Arial"/>
          <w:sz w:val="22"/>
          <w:szCs w:val="22"/>
        </w:rPr>
      </w:pPr>
    </w:p>
    <w:p w14:paraId="4D3039B5" w14:textId="77777777" w:rsidR="000E3FC8" w:rsidRDefault="000E3FC8">
      <w:pPr>
        <w:spacing w:line="360" w:lineRule="auto"/>
        <w:jc w:val="both"/>
        <w:rPr>
          <w:rFonts w:ascii="Arial" w:eastAsia="Arial" w:hAnsi="Arial" w:cs="Arial"/>
          <w:sz w:val="22"/>
          <w:szCs w:val="22"/>
        </w:rPr>
      </w:pPr>
    </w:p>
    <w:p w14:paraId="26065292" w14:textId="77777777" w:rsidR="000E3FC8" w:rsidRDefault="000E3FC8">
      <w:pPr>
        <w:spacing w:line="360" w:lineRule="auto"/>
        <w:jc w:val="both"/>
        <w:rPr>
          <w:rFonts w:ascii="Arial" w:eastAsia="Arial" w:hAnsi="Arial" w:cs="Arial"/>
          <w:sz w:val="22"/>
          <w:szCs w:val="22"/>
        </w:rPr>
      </w:pPr>
    </w:p>
    <w:p w14:paraId="19C527CE" w14:textId="77777777" w:rsidR="000E3FC8" w:rsidRDefault="000E3FC8">
      <w:pPr>
        <w:spacing w:line="360" w:lineRule="auto"/>
        <w:jc w:val="both"/>
        <w:rPr>
          <w:rFonts w:ascii="Arial" w:eastAsia="Arial" w:hAnsi="Arial" w:cs="Arial"/>
          <w:sz w:val="22"/>
          <w:szCs w:val="22"/>
        </w:rPr>
      </w:pPr>
    </w:p>
    <w:p w14:paraId="013575CC" w14:textId="77777777" w:rsidR="000E3FC8" w:rsidRDefault="000E3FC8">
      <w:pPr>
        <w:spacing w:line="360" w:lineRule="auto"/>
        <w:jc w:val="both"/>
        <w:rPr>
          <w:rFonts w:ascii="Arial" w:eastAsia="Arial" w:hAnsi="Arial" w:cs="Arial"/>
          <w:sz w:val="22"/>
          <w:szCs w:val="22"/>
        </w:rPr>
      </w:pPr>
    </w:p>
    <w:p w14:paraId="0815B132" w14:textId="77777777" w:rsidR="000E3FC8" w:rsidRDefault="000E3FC8">
      <w:pPr>
        <w:spacing w:line="360" w:lineRule="auto"/>
        <w:jc w:val="both"/>
        <w:rPr>
          <w:rFonts w:ascii="Arial" w:eastAsia="Arial" w:hAnsi="Arial" w:cs="Arial"/>
          <w:sz w:val="22"/>
          <w:szCs w:val="22"/>
        </w:rPr>
      </w:pPr>
    </w:p>
    <w:p w14:paraId="6C65E05C" w14:textId="77777777" w:rsidR="000E3FC8" w:rsidRDefault="000E3FC8">
      <w:pPr>
        <w:spacing w:line="360" w:lineRule="auto"/>
        <w:jc w:val="both"/>
        <w:rPr>
          <w:rFonts w:ascii="Arial" w:eastAsia="Arial" w:hAnsi="Arial" w:cs="Arial"/>
          <w:sz w:val="22"/>
          <w:szCs w:val="22"/>
        </w:rPr>
      </w:pPr>
    </w:p>
    <w:p w14:paraId="6ABB3AD8" w14:textId="77777777" w:rsidR="000E3FC8" w:rsidRPr="00583CAE" w:rsidRDefault="000E3FC8">
      <w:pPr>
        <w:spacing w:line="360" w:lineRule="auto"/>
        <w:jc w:val="both"/>
        <w:rPr>
          <w:rFonts w:ascii="Arial" w:eastAsia="Arial" w:hAnsi="Arial" w:cs="Arial"/>
          <w:sz w:val="22"/>
          <w:szCs w:val="22"/>
        </w:rPr>
      </w:pPr>
    </w:p>
    <w:p w14:paraId="6D3FD30A" w14:textId="77777777" w:rsidR="00530E16" w:rsidRDefault="004468F8">
      <w:pPr>
        <w:pStyle w:val="Heading1"/>
      </w:pPr>
      <w:bookmarkStart w:id="12" w:name="_Toc203606121"/>
      <w:r>
        <w:lastRenderedPageBreak/>
        <w:t>References</w:t>
      </w:r>
      <w:bookmarkEnd w:id="12"/>
    </w:p>
    <w:p w14:paraId="2220B29E"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Booth, R.G., Strudwick, G., McBride, S., O'Connor, S. and Solano López, A.L. (2021) ‘How the nursing profession should adapt for a digital future’, </w:t>
      </w:r>
      <w:r w:rsidRPr="000E3FC8">
        <w:rPr>
          <w:rFonts w:ascii="Arial" w:eastAsia="Arial" w:hAnsi="Arial" w:cs="Arial"/>
          <w:i/>
          <w:iCs/>
          <w:sz w:val="22"/>
          <w:szCs w:val="22"/>
        </w:rPr>
        <w:t>BMJ</w:t>
      </w:r>
      <w:r w:rsidRPr="000E3FC8">
        <w:rPr>
          <w:rFonts w:ascii="Arial" w:eastAsia="Arial" w:hAnsi="Arial" w:cs="Arial"/>
          <w:sz w:val="22"/>
          <w:szCs w:val="22"/>
        </w:rPr>
        <w:t>, 373, n1190. doi: 10.1136/bmj.n1190.</w:t>
      </w:r>
    </w:p>
    <w:p w14:paraId="5B710D32"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Braun, V. and Clarke, V. (2021) ‘One size </w:t>
      </w:r>
      <w:proofErr w:type="gramStart"/>
      <w:r w:rsidRPr="000E3FC8">
        <w:rPr>
          <w:rFonts w:ascii="Arial" w:eastAsia="Arial" w:hAnsi="Arial" w:cs="Arial"/>
          <w:sz w:val="22"/>
          <w:szCs w:val="22"/>
        </w:rPr>
        <w:t>fits</w:t>
      </w:r>
      <w:proofErr w:type="gramEnd"/>
      <w:r w:rsidRPr="000E3FC8">
        <w:rPr>
          <w:rFonts w:ascii="Arial" w:eastAsia="Arial" w:hAnsi="Arial" w:cs="Arial"/>
          <w:sz w:val="22"/>
          <w:szCs w:val="22"/>
        </w:rPr>
        <w:t xml:space="preserve"> all? What counts as quality practice in (reflexive) thematic analysis?’, </w:t>
      </w:r>
      <w:r w:rsidRPr="000E3FC8">
        <w:rPr>
          <w:rFonts w:ascii="Arial" w:eastAsia="Arial" w:hAnsi="Arial" w:cs="Arial"/>
          <w:i/>
          <w:iCs/>
          <w:sz w:val="22"/>
          <w:szCs w:val="22"/>
        </w:rPr>
        <w:t>Qualitative Research in Psychology</w:t>
      </w:r>
      <w:r w:rsidRPr="000E3FC8">
        <w:rPr>
          <w:rFonts w:ascii="Arial" w:eastAsia="Arial" w:hAnsi="Arial" w:cs="Arial"/>
          <w:sz w:val="22"/>
          <w:szCs w:val="22"/>
        </w:rPr>
        <w:t>, 18(3), pp. 328–352. doi: 10.1080/14780887.2020.1769238.</w:t>
      </w:r>
    </w:p>
    <w:p w14:paraId="1B14210A"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Brown, J., Morgan, A., Mason, J., Pope, N. and Bosco, A.M. (2020) ‘Student nurses' digital literacy levels: Lessons for curricula’, </w:t>
      </w:r>
      <w:r w:rsidRPr="000E3FC8">
        <w:rPr>
          <w:rFonts w:ascii="Arial" w:eastAsia="Arial" w:hAnsi="Arial" w:cs="Arial"/>
          <w:i/>
          <w:iCs/>
          <w:sz w:val="22"/>
          <w:szCs w:val="22"/>
        </w:rPr>
        <w:t>CIN: Computers, Informatics, Nursing</w:t>
      </w:r>
      <w:r w:rsidRPr="000E3FC8">
        <w:rPr>
          <w:rFonts w:ascii="Arial" w:eastAsia="Arial" w:hAnsi="Arial" w:cs="Arial"/>
          <w:sz w:val="22"/>
          <w:szCs w:val="22"/>
        </w:rPr>
        <w:t>, 38(9), pp. 451–458. doi: 10.1097/CIN.0000000000000615.</w:t>
      </w:r>
    </w:p>
    <w:p w14:paraId="6E44495B"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Kiger, M.E. and Varpio, L. (2020) ‘Thematic analysis of qualitative data: AMEE Guide No. 131’, </w:t>
      </w:r>
      <w:r w:rsidRPr="000E3FC8">
        <w:rPr>
          <w:rFonts w:ascii="Arial" w:eastAsia="Arial" w:hAnsi="Arial" w:cs="Arial"/>
          <w:i/>
          <w:iCs/>
          <w:sz w:val="22"/>
          <w:szCs w:val="22"/>
        </w:rPr>
        <w:t>Medical Teacher</w:t>
      </w:r>
      <w:r w:rsidRPr="000E3FC8">
        <w:rPr>
          <w:rFonts w:ascii="Arial" w:eastAsia="Arial" w:hAnsi="Arial" w:cs="Arial"/>
          <w:sz w:val="22"/>
          <w:szCs w:val="22"/>
        </w:rPr>
        <w:t>, 42(8), pp. 846–854. doi: 10.1080/0142159X.2020.1755030.</w:t>
      </w:r>
    </w:p>
    <w:p w14:paraId="4CBF2843"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Lokmic-Tomkins, Z., Choo, D., Foley, P., Dix, S., Wong, P. and Brand, G. (2022) ‘Pre-registration nursing students' perceptions of their baseline digital literacy and what it means for education: A prospective cohort survey study’, </w:t>
      </w:r>
      <w:r w:rsidRPr="000E3FC8">
        <w:rPr>
          <w:rFonts w:ascii="Arial" w:eastAsia="Arial" w:hAnsi="Arial" w:cs="Arial"/>
          <w:i/>
          <w:iCs/>
          <w:sz w:val="22"/>
          <w:szCs w:val="22"/>
        </w:rPr>
        <w:t>Nurse Education Today</w:t>
      </w:r>
      <w:r w:rsidRPr="000E3FC8">
        <w:rPr>
          <w:rFonts w:ascii="Arial" w:eastAsia="Arial" w:hAnsi="Arial" w:cs="Arial"/>
          <w:sz w:val="22"/>
          <w:szCs w:val="22"/>
        </w:rPr>
        <w:t>, 111, 105308. doi: 10.1016/j.nedt.2022.105308.</w:t>
      </w:r>
    </w:p>
    <w:p w14:paraId="5C786416"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Martzoukou, K., Luders, E.S., Mair, J., Kostagiolas, P., Johnson, N., Work, F. and Fulton, C. (2024) ‘A cross-sectional study of discipline-based self-perceived digital literacy competencies of nursing students’, </w:t>
      </w:r>
      <w:r w:rsidRPr="000E3FC8">
        <w:rPr>
          <w:rFonts w:ascii="Arial" w:eastAsia="Arial" w:hAnsi="Arial" w:cs="Arial"/>
          <w:i/>
          <w:iCs/>
          <w:sz w:val="22"/>
          <w:szCs w:val="22"/>
        </w:rPr>
        <w:t>Journal of Advanced Nursing</w:t>
      </w:r>
      <w:r w:rsidRPr="000E3FC8">
        <w:rPr>
          <w:rFonts w:ascii="Arial" w:eastAsia="Arial" w:hAnsi="Arial" w:cs="Arial"/>
          <w:sz w:val="22"/>
          <w:szCs w:val="22"/>
        </w:rPr>
        <w:t>, 80, pp. 656–672. doi: 10.1111/jan.15801.</w:t>
      </w:r>
    </w:p>
    <w:p w14:paraId="11A4805A"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Nes, A.A.G., Steindal, S.A., Larsen, M.H., Heer, H.C., Lærum-Onsager, E. and Gjevjon, E.R. (2021) ‘Technological literacy in nursing education: A scoping review’, </w:t>
      </w:r>
      <w:r w:rsidRPr="000E3FC8">
        <w:rPr>
          <w:rFonts w:ascii="Arial" w:eastAsia="Arial" w:hAnsi="Arial" w:cs="Arial"/>
          <w:i/>
          <w:iCs/>
          <w:sz w:val="22"/>
          <w:szCs w:val="22"/>
        </w:rPr>
        <w:t>Journal of Professional Nursing</w:t>
      </w:r>
      <w:r w:rsidRPr="000E3FC8">
        <w:rPr>
          <w:rFonts w:ascii="Arial" w:eastAsia="Arial" w:hAnsi="Arial" w:cs="Arial"/>
          <w:sz w:val="22"/>
          <w:szCs w:val="22"/>
        </w:rPr>
        <w:t xml:space="preserve">, 37(2), pp. 320–334. doi: 10.1016/j.profnurs.2021.01.008. </w:t>
      </w:r>
    </w:p>
    <w:p w14:paraId="6EDCC6CC"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NHS England (2023) </w:t>
      </w:r>
      <w:r w:rsidRPr="000E3FC8">
        <w:rPr>
          <w:rFonts w:ascii="Arial" w:eastAsia="Arial" w:hAnsi="Arial" w:cs="Arial"/>
          <w:i/>
          <w:iCs/>
          <w:sz w:val="22"/>
          <w:szCs w:val="22"/>
        </w:rPr>
        <w:t>NHS Long Term Workforce Plan</w:t>
      </w:r>
      <w:r w:rsidRPr="000E3FC8">
        <w:rPr>
          <w:rFonts w:ascii="Arial" w:eastAsia="Arial" w:hAnsi="Arial" w:cs="Arial"/>
          <w:sz w:val="22"/>
          <w:szCs w:val="22"/>
        </w:rPr>
        <w:t>. London: NHS England.</w:t>
      </w:r>
    </w:p>
    <w:p w14:paraId="26C3729A"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Nursing and Midwifery Council (2023) </w:t>
      </w:r>
      <w:r w:rsidRPr="000E3FC8">
        <w:rPr>
          <w:rFonts w:ascii="Arial" w:eastAsia="Arial" w:hAnsi="Arial" w:cs="Arial"/>
          <w:i/>
          <w:iCs/>
          <w:sz w:val="22"/>
          <w:szCs w:val="22"/>
        </w:rPr>
        <w:t>Standards for pre-registration nursing programmes</w:t>
      </w:r>
      <w:r w:rsidRPr="000E3FC8">
        <w:rPr>
          <w:rFonts w:ascii="Arial" w:eastAsia="Arial" w:hAnsi="Arial" w:cs="Arial"/>
          <w:sz w:val="22"/>
          <w:szCs w:val="22"/>
        </w:rPr>
        <w:t>. London: Nursing and Midwifery Council.</w:t>
      </w:r>
    </w:p>
    <w:p w14:paraId="33104667"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Ponto, J. (2015) ‘Understanding and evaluating survey research’, </w:t>
      </w:r>
      <w:r w:rsidRPr="000E3FC8">
        <w:rPr>
          <w:rFonts w:ascii="Arial" w:eastAsia="Arial" w:hAnsi="Arial" w:cs="Arial"/>
          <w:i/>
          <w:iCs/>
          <w:sz w:val="22"/>
          <w:szCs w:val="22"/>
        </w:rPr>
        <w:t>Journal of the Advanced Practitioner in Oncology</w:t>
      </w:r>
      <w:r w:rsidRPr="000E3FC8">
        <w:rPr>
          <w:rFonts w:ascii="Arial" w:eastAsia="Arial" w:hAnsi="Arial" w:cs="Arial"/>
          <w:sz w:val="22"/>
          <w:szCs w:val="22"/>
        </w:rPr>
        <w:t>, 6(2), pp. 168–171.</w:t>
      </w:r>
    </w:p>
    <w:p w14:paraId="1269A9B3"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t xml:space="preserve">Saunders, M.N.K., Lewis, P. and Thornhill, A. (2019) </w:t>
      </w:r>
      <w:r w:rsidRPr="000E3FC8">
        <w:rPr>
          <w:rFonts w:ascii="Arial" w:eastAsia="Arial" w:hAnsi="Arial" w:cs="Arial"/>
          <w:i/>
          <w:iCs/>
          <w:sz w:val="22"/>
          <w:szCs w:val="22"/>
        </w:rPr>
        <w:t>Research Methods for Business Students</w:t>
      </w:r>
      <w:r w:rsidRPr="000E3FC8">
        <w:rPr>
          <w:rFonts w:ascii="Arial" w:eastAsia="Arial" w:hAnsi="Arial" w:cs="Arial"/>
          <w:sz w:val="22"/>
          <w:szCs w:val="22"/>
        </w:rPr>
        <w:t>. 8th edn. Harlow: Pearson.</w:t>
      </w:r>
    </w:p>
    <w:p w14:paraId="7A9FE80E" w14:textId="77777777" w:rsidR="000E3FC8" w:rsidRPr="000E3FC8" w:rsidRDefault="000E3FC8" w:rsidP="000E3FC8">
      <w:pPr>
        <w:spacing w:line="360" w:lineRule="auto"/>
        <w:rPr>
          <w:rFonts w:ascii="Arial" w:eastAsia="Arial" w:hAnsi="Arial" w:cs="Arial"/>
          <w:sz w:val="22"/>
          <w:szCs w:val="22"/>
        </w:rPr>
      </w:pPr>
      <w:r w:rsidRPr="000E3FC8">
        <w:rPr>
          <w:rFonts w:ascii="Arial" w:eastAsia="Arial" w:hAnsi="Arial" w:cs="Arial"/>
          <w:sz w:val="22"/>
          <w:szCs w:val="22"/>
        </w:rPr>
        <w:lastRenderedPageBreak/>
        <w:t xml:space="preserve">Wasti, S.P., </w:t>
      </w:r>
      <w:proofErr w:type="spellStart"/>
      <w:r w:rsidRPr="000E3FC8">
        <w:rPr>
          <w:rFonts w:ascii="Arial" w:eastAsia="Arial" w:hAnsi="Arial" w:cs="Arial"/>
          <w:sz w:val="22"/>
          <w:szCs w:val="22"/>
        </w:rPr>
        <w:t>Simkhada</w:t>
      </w:r>
      <w:proofErr w:type="spellEnd"/>
      <w:r w:rsidRPr="000E3FC8">
        <w:rPr>
          <w:rFonts w:ascii="Arial" w:eastAsia="Arial" w:hAnsi="Arial" w:cs="Arial"/>
          <w:sz w:val="22"/>
          <w:szCs w:val="22"/>
        </w:rPr>
        <w:t xml:space="preserve">, P., van </w:t>
      </w:r>
      <w:proofErr w:type="spellStart"/>
      <w:r w:rsidRPr="000E3FC8">
        <w:rPr>
          <w:rFonts w:ascii="Arial" w:eastAsia="Arial" w:hAnsi="Arial" w:cs="Arial"/>
          <w:sz w:val="22"/>
          <w:szCs w:val="22"/>
        </w:rPr>
        <w:t>Teijlingen</w:t>
      </w:r>
      <w:proofErr w:type="spellEnd"/>
      <w:r w:rsidRPr="000E3FC8">
        <w:rPr>
          <w:rFonts w:ascii="Arial" w:eastAsia="Arial" w:hAnsi="Arial" w:cs="Arial"/>
          <w:sz w:val="22"/>
          <w:szCs w:val="22"/>
        </w:rPr>
        <w:t xml:space="preserve">, E.R., </w:t>
      </w:r>
      <w:proofErr w:type="spellStart"/>
      <w:r w:rsidRPr="000E3FC8">
        <w:rPr>
          <w:rFonts w:ascii="Arial" w:eastAsia="Arial" w:hAnsi="Arial" w:cs="Arial"/>
          <w:sz w:val="22"/>
          <w:szCs w:val="22"/>
        </w:rPr>
        <w:t>Sathian</w:t>
      </w:r>
      <w:proofErr w:type="spellEnd"/>
      <w:r w:rsidRPr="000E3FC8">
        <w:rPr>
          <w:rFonts w:ascii="Arial" w:eastAsia="Arial" w:hAnsi="Arial" w:cs="Arial"/>
          <w:sz w:val="22"/>
          <w:szCs w:val="22"/>
        </w:rPr>
        <w:t xml:space="preserve">, B. and Banerjee, I. (2022) ‘The growing importance of mixed-methods research in health’, </w:t>
      </w:r>
      <w:r w:rsidRPr="000E3FC8">
        <w:rPr>
          <w:rFonts w:ascii="Arial" w:eastAsia="Arial" w:hAnsi="Arial" w:cs="Arial"/>
          <w:i/>
          <w:iCs/>
          <w:sz w:val="22"/>
          <w:szCs w:val="22"/>
        </w:rPr>
        <w:t>Nepal Journal of Epidemiology</w:t>
      </w:r>
      <w:r w:rsidRPr="000E3FC8">
        <w:rPr>
          <w:rFonts w:ascii="Arial" w:eastAsia="Arial" w:hAnsi="Arial" w:cs="Arial"/>
          <w:sz w:val="22"/>
          <w:szCs w:val="22"/>
        </w:rPr>
        <w:t>, 12(1), pp. 1175–1178. doi: 10.3126/nje.v12i1.43633.</w:t>
      </w:r>
    </w:p>
    <w:p w14:paraId="4CA0BD59" w14:textId="77777777" w:rsidR="00583CAE" w:rsidRDefault="00583CAE">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81932" w14:textId="77777777" w:rsidR="005E2A60" w:rsidRDefault="005E2A60" w:rsidP="002A1842">
      <w:pPr>
        <w:spacing w:after="0" w:line="240" w:lineRule="auto"/>
      </w:pPr>
      <w:r>
        <w:separator/>
      </w:r>
    </w:p>
  </w:endnote>
  <w:endnote w:type="continuationSeparator" w:id="0">
    <w:p w14:paraId="0AC67D75" w14:textId="77777777" w:rsidR="005E2A60" w:rsidRDefault="005E2A6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92DA7" w14:textId="77777777" w:rsidR="005E2A60" w:rsidRDefault="005E2A60" w:rsidP="002A1842">
      <w:pPr>
        <w:spacing w:after="0" w:line="240" w:lineRule="auto"/>
      </w:pPr>
      <w:r>
        <w:separator/>
      </w:r>
    </w:p>
  </w:footnote>
  <w:footnote w:type="continuationSeparator" w:id="0">
    <w:p w14:paraId="4BCC0216" w14:textId="77777777" w:rsidR="005E2A60" w:rsidRDefault="005E2A6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E3FC8"/>
    <w:rsid w:val="00172AD1"/>
    <w:rsid w:val="001813E7"/>
    <w:rsid w:val="00210D5A"/>
    <w:rsid w:val="002A1842"/>
    <w:rsid w:val="002A46BB"/>
    <w:rsid w:val="003A3305"/>
    <w:rsid w:val="004468F8"/>
    <w:rsid w:val="00460CAF"/>
    <w:rsid w:val="00493587"/>
    <w:rsid w:val="00516457"/>
    <w:rsid w:val="00530E16"/>
    <w:rsid w:val="00583CAE"/>
    <w:rsid w:val="005E2A60"/>
    <w:rsid w:val="00707759"/>
    <w:rsid w:val="00722EFE"/>
    <w:rsid w:val="00784498"/>
    <w:rsid w:val="007A2630"/>
    <w:rsid w:val="00A75B15"/>
    <w:rsid w:val="00AC3656"/>
    <w:rsid w:val="00AE06EA"/>
    <w:rsid w:val="00C87E2E"/>
    <w:rsid w:val="00CF650B"/>
    <w:rsid w:val="00D6196A"/>
    <w:rsid w:val="00E10231"/>
    <w:rsid w:val="00E9656D"/>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Pages>
  <Words>2410</Words>
  <Characters>12778</Characters>
  <Application>Microsoft Office Word</Application>
  <DocSecurity>0</DocSecurity>
  <Lines>319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Kolawole Anthony</cp:lastModifiedBy>
  <cp:revision>5</cp:revision>
  <dcterms:created xsi:type="dcterms:W3CDTF">2026-08-18T00:50:00Z</dcterms:created>
  <dcterms:modified xsi:type="dcterms:W3CDTF">2026-08-18T01:04:00Z</dcterms:modified>
</cp:coreProperties>
</file>