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F3AB56" w14:textId="77777777" w:rsidR="00D20F17" w:rsidRPr="00A63A42" w:rsidRDefault="00D20F17" w:rsidP="00D20F17">
      <w:pPr>
        <w:spacing w:line="360" w:lineRule="auto"/>
        <w:jc w:val="center"/>
        <w:rPr>
          <w:rFonts w:ascii="Times New Roman" w:hAnsi="Times New Roman" w:cs="Times New Roman"/>
          <w:sz w:val="24"/>
          <w:szCs w:val="24"/>
        </w:rPr>
      </w:pPr>
    </w:p>
    <w:p w14:paraId="2000F87B" w14:textId="77777777" w:rsidR="00D20F17" w:rsidRDefault="00D20F17" w:rsidP="00D20F17">
      <w:pPr>
        <w:spacing w:line="360" w:lineRule="auto"/>
        <w:rPr>
          <w:rFonts w:ascii="Times New Roman" w:hAnsi="Times New Roman" w:cs="Times New Roman"/>
          <w:sz w:val="24"/>
          <w:szCs w:val="24"/>
        </w:rPr>
      </w:pPr>
    </w:p>
    <w:p w14:paraId="6049526F" w14:textId="77777777" w:rsidR="00D20F17" w:rsidRDefault="00D20F17" w:rsidP="00D20F17">
      <w:pPr>
        <w:spacing w:line="360" w:lineRule="auto"/>
        <w:jc w:val="center"/>
        <w:rPr>
          <w:rFonts w:ascii="Times New Roman" w:hAnsi="Times New Roman" w:cs="Times New Roman"/>
          <w:sz w:val="24"/>
          <w:szCs w:val="24"/>
        </w:rPr>
      </w:pPr>
    </w:p>
    <w:p w14:paraId="77EC5EA9" w14:textId="77777777" w:rsidR="00D20F17" w:rsidRDefault="00D20F17" w:rsidP="00D20F17">
      <w:pPr>
        <w:spacing w:line="360" w:lineRule="auto"/>
        <w:jc w:val="center"/>
        <w:rPr>
          <w:rFonts w:ascii="Times New Roman" w:hAnsi="Times New Roman" w:cs="Times New Roman"/>
          <w:sz w:val="24"/>
          <w:szCs w:val="24"/>
        </w:rPr>
      </w:pPr>
    </w:p>
    <w:p w14:paraId="41F880A4" w14:textId="77777777" w:rsidR="00D20F17" w:rsidRDefault="00D20F17" w:rsidP="00D20F17">
      <w:pPr>
        <w:spacing w:line="360" w:lineRule="auto"/>
        <w:jc w:val="center"/>
        <w:rPr>
          <w:rFonts w:ascii="Times New Roman" w:hAnsi="Times New Roman" w:cs="Times New Roman"/>
          <w:sz w:val="24"/>
          <w:szCs w:val="24"/>
        </w:rPr>
      </w:pPr>
    </w:p>
    <w:p w14:paraId="756BE82B" w14:textId="77777777" w:rsidR="00D20F17" w:rsidRDefault="00D20F17" w:rsidP="00D20F17">
      <w:pPr>
        <w:spacing w:line="360" w:lineRule="auto"/>
        <w:jc w:val="center"/>
        <w:rPr>
          <w:rFonts w:ascii="Times New Roman" w:hAnsi="Times New Roman" w:cs="Times New Roman"/>
          <w:sz w:val="24"/>
          <w:szCs w:val="24"/>
        </w:rPr>
      </w:pPr>
    </w:p>
    <w:p w14:paraId="47B6BC98" w14:textId="77777777" w:rsidR="00D20F17" w:rsidRPr="000D7496" w:rsidRDefault="00D20F17" w:rsidP="00D20F17">
      <w:pPr>
        <w:spacing w:line="360" w:lineRule="auto"/>
        <w:jc w:val="center"/>
        <w:rPr>
          <w:rFonts w:ascii="Times New Roman" w:hAnsi="Times New Roman" w:cs="Times New Roman"/>
          <w:sz w:val="52"/>
          <w:szCs w:val="52"/>
        </w:rPr>
      </w:pPr>
      <w:r w:rsidRPr="000D7496">
        <w:rPr>
          <w:rFonts w:ascii="Times New Roman" w:hAnsi="Times New Roman" w:cs="Times New Roman"/>
          <w:sz w:val="52"/>
          <w:szCs w:val="52"/>
        </w:rPr>
        <w:t>Artur Hermann – HPCA7023 – Essay 1</w:t>
      </w:r>
    </w:p>
    <w:p w14:paraId="486E008A" w14:textId="77777777" w:rsidR="00D20F17" w:rsidRDefault="00D20F17" w:rsidP="00D20F17">
      <w:pPr>
        <w:spacing w:line="360" w:lineRule="auto"/>
        <w:jc w:val="center"/>
        <w:rPr>
          <w:rFonts w:ascii="Times New Roman" w:hAnsi="Times New Roman" w:cs="Times New Roman"/>
          <w:sz w:val="24"/>
          <w:szCs w:val="24"/>
        </w:rPr>
      </w:pPr>
    </w:p>
    <w:p w14:paraId="3F17887F" w14:textId="77777777" w:rsidR="00D20F17" w:rsidRDefault="00D20F17" w:rsidP="00D20F17">
      <w:pPr>
        <w:spacing w:line="360" w:lineRule="auto"/>
        <w:jc w:val="center"/>
        <w:rPr>
          <w:rFonts w:ascii="Times New Roman" w:hAnsi="Times New Roman" w:cs="Times New Roman"/>
          <w:sz w:val="24"/>
          <w:szCs w:val="24"/>
        </w:rPr>
      </w:pPr>
    </w:p>
    <w:p w14:paraId="04DC4C3A" w14:textId="77777777" w:rsidR="00D20F17" w:rsidRDefault="00D20F17" w:rsidP="00D20F17">
      <w:pPr>
        <w:spacing w:line="360" w:lineRule="auto"/>
        <w:jc w:val="center"/>
        <w:rPr>
          <w:rFonts w:ascii="Times New Roman" w:hAnsi="Times New Roman" w:cs="Times New Roman"/>
          <w:sz w:val="24"/>
          <w:szCs w:val="24"/>
        </w:rPr>
      </w:pPr>
    </w:p>
    <w:p w14:paraId="1265099E" w14:textId="77777777" w:rsidR="00D20F17" w:rsidRDefault="00D20F17" w:rsidP="00D20F17">
      <w:pPr>
        <w:spacing w:line="360" w:lineRule="auto"/>
        <w:jc w:val="center"/>
        <w:rPr>
          <w:rFonts w:ascii="Times New Roman" w:hAnsi="Times New Roman" w:cs="Times New Roman"/>
          <w:sz w:val="24"/>
          <w:szCs w:val="24"/>
        </w:rPr>
      </w:pPr>
    </w:p>
    <w:p w14:paraId="492E9CE2" w14:textId="77777777" w:rsidR="00D20F17" w:rsidRDefault="00D20F17" w:rsidP="00D20F17">
      <w:pPr>
        <w:spacing w:line="360" w:lineRule="auto"/>
        <w:jc w:val="center"/>
        <w:rPr>
          <w:rFonts w:ascii="Times New Roman" w:hAnsi="Times New Roman" w:cs="Times New Roman"/>
          <w:sz w:val="24"/>
          <w:szCs w:val="24"/>
        </w:rPr>
      </w:pPr>
    </w:p>
    <w:p w14:paraId="1C456392" w14:textId="77777777" w:rsidR="00D20F17" w:rsidRDefault="00D20F17" w:rsidP="00D20F17">
      <w:pPr>
        <w:spacing w:line="360" w:lineRule="auto"/>
        <w:jc w:val="center"/>
        <w:rPr>
          <w:rFonts w:ascii="Times New Roman" w:hAnsi="Times New Roman" w:cs="Times New Roman"/>
          <w:sz w:val="24"/>
          <w:szCs w:val="24"/>
        </w:rPr>
      </w:pPr>
    </w:p>
    <w:p w14:paraId="2D0986DF" w14:textId="77777777" w:rsidR="00D20F17" w:rsidRDefault="00D20F17" w:rsidP="00D20F17">
      <w:pPr>
        <w:spacing w:line="360" w:lineRule="auto"/>
        <w:jc w:val="center"/>
        <w:rPr>
          <w:rFonts w:ascii="Times New Roman" w:hAnsi="Times New Roman" w:cs="Times New Roman"/>
          <w:sz w:val="24"/>
          <w:szCs w:val="24"/>
        </w:rPr>
      </w:pPr>
    </w:p>
    <w:p w14:paraId="6187E0A4" w14:textId="77777777" w:rsidR="00D20F17" w:rsidRDefault="00D20F17" w:rsidP="00D20F17">
      <w:pPr>
        <w:spacing w:line="360" w:lineRule="auto"/>
        <w:jc w:val="center"/>
        <w:rPr>
          <w:rFonts w:ascii="Times New Roman" w:hAnsi="Times New Roman" w:cs="Times New Roman"/>
          <w:sz w:val="24"/>
          <w:szCs w:val="24"/>
        </w:rPr>
      </w:pPr>
    </w:p>
    <w:p w14:paraId="34C1E64B" w14:textId="77777777" w:rsidR="00D20F17" w:rsidRDefault="00D20F17" w:rsidP="00D20F17">
      <w:pPr>
        <w:spacing w:line="360" w:lineRule="auto"/>
        <w:jc w:val="center"/>
        <w:rPr>
          <w:rFonts w:ascii="Times New Roman" w:hAnsi="Times New Roman" w:cs="Times New Roman"/>
          <w:sz w:val="24"/>
          <w:szCs w:val="24"/>
        </w:rPr>
      </w:pPr>
    </w:p>
    <w:p w14:paraId="0DACA89C" w14:textId="77777777" w:rsidR="00D20F17" w:rsidRDefault="00D20F17" w:rsidP="00D20F17">
      <w:pPr>
        <w:spacing w:line="360" w:lineRule="auto"/>
        <w:jc w:val="center"/>
        <w:rPr>
          <w:rFonts w:ascii="Times New Roman" w:hAnsi="Times New Roman" w:cs="Times New Roman"/>
          <w:sz w:val="24"/>
          <w:szCs w:val="24"/>
        </w:rPr>
      </w:pPr>
    </w:p>
    <w:p w14:paraId="33CD2896" w14:textId="77777777" w:rsidR="00D20F17" w:rsidRDefault="00D20F17" w:rsidP="00D20F17">
      <w:pPr>
        <w:spacing w:line="360" w:lineRule="auto"/>
        <w:jc w:val="center"/>
        <w:rPr>
          <w:rFonts w:ascii="Times New Roman" w:hAnsi="Times New Roman" w:cs="Times New Roman"/>
          <w:sz w:val="24"/>
          <w:szCs w:val="24"/>
        </w:rPr>
      </w:pPr>
    </w:p>
    <w:p w14:paraId="609ADA02" w14:textId="77777777" w:rsidR="00D20F17" w:rsidRDefault="00D20F17" w:rsidP="00D20F17">
      <w:pPr>
        <w:spacing w:line="360" w:lineRule="auto"/>
        <w:jc w:val="center"/>
        <w:rPr>
          <w:rFonts w:ascii="Times New Roman" w:hAnsi="Times New Roman" w:cs="Times New Roman"/>
          <w:sz w:val="24"/>
          <w:szCs w:val="24"/>
        </w:rPr>
      </w:pPr>
    </w:p>
    <w:p w14:paraId="2FAA5E90" w14:textId="77777777" w:rsidR="00D20F17" w:rsidRPr="00A63A42" w:rsidRDefault="00D20F17" w:rsidP="00D20F17">
      <w:pPr>
        <w:spacing w:line="360" w:lineRule="auto"/>
        <w:jc w:val="center"/>
        <w:rPr>
          <w:rFonts w:ascii="Times New Roman" w:hAnsi="Times New Roman" w:cs="Times New Roman"/>
          <w:sz w:val="24"/>
          <w:szCs w:val="24"/>
        </w:rPr>
      </w:pPr>
    </w:p>
    <w:p w14:paraId="35FA7A01" w14:textId="77777777" w:rsidR="00D20F17" w:rsidRPr="00A63A42" w:rsidRDefault="00D20F17" w:rsidP="00D20F17">
      <w:pPr>
        <w:spacing w:line="360" w:lineRule="auto"/>
        <w:jc w:val="center"/>
        <w:rPr>
          <w:rFonts w:ascii="Times New Roman" w:hAnsi="Times New Roman" w:cs="Times New Roman"/>
          <w:sz w:val="24"/>
          <w:szCs w:val="24"/>
        </w:rPr>
      </w:pPr>
    </w:p>
    <w:p w14:paraId="26ED7EAA" w14:textId="77777777" w:rsidR="00BF2812" w:rsidRDefault="00BF2812" w:rsidP="00BF2812">
      <w:pPr>
        <w:spacing w:line="480" w:lineRule="auto"/>
        <w:rPr>
          <w:rFonts w:ascii="Times New Roman" w:hAnsi="Times New Roman" w:cs="Times New Roman"/>
          <w:sz w:val="24"/>
          <w:szCs w:val="24"/>
        </w:rPr>
      </w:pPr>
    </w:p>
    <w:p w14:paraId="2D0E4EA8" w14:textId="0F86E3C7" w:rsidR="00D20F17" w:rsidRPr="00BF2812" w:rsidRDefault="00D20F17" w:rsidP="00BF2812">
      <w:pPr>
        <w:spacing w:line="480" w:lineRule="auto"/>
        <w:ind w:firstLine="720"/>
        <w:rPr>
          <w:rFonts w:ascii="Times New Roman" w:hAnsi="Times New Roman" w:cs="Times New Roman"/>
          <w:sz w:val="24"/>
          <w:szCs w:val="24"/>
        </w:rPr>
      </w:pPr>
      <w:r w:rsidRPr="00BF2812">
        <w:rPr>
          <w:rFonts w:ascii="Times New Roman" w:hAnsi="Times New Roman" w:cs="Times New Roman"/>
          <w:sz w:val="24"/>
          <w:szCs w:val="24"/>
        </w:rPr>
        <w:lastRenderedPageBreak/>
        <w:t>Today's human perception about the world and the environment around  it is more remote than ever; it reflects a materialistic obsession, ignoring the required essential relation between nature and mankind (</w:t>
      </w:r>
      <w:proofErr w:type="spellStart"/>
      <w:r w:rsidRPr="00BF2812">
        <w:rPr>
          <w:rFonts w:ascii="Times New Roman" w:hAnsi="Times New Roman" w:cs="Times New Roman"/>
          <w:sz w:val="24"/>
          <w:szCs w:val="24"/>
        </w:rPr>
        <w:t>Kesebir</w:t>
      </w:r>
      <w:proofErr w:type="spellEnd"/>
      <w:r w:rsidRPr="00BF2812">
        <w:rPr>
          <w:rFonts w:ascii="Times New Roman" w:hAnsi="Times New Roman" w:cs="Times New Roman"/>
          <w:sz w:val="24"/>
          <w:szCs w:val="24"/>
        </w:rPr>
        <w:t xml:space="preserve">, </w:t>
      </w:r>
      <w:proofErr w:type="spellStart"/>
      <w:r w:rsidRPr="00BF2812">
        <w:rPr>
          <w:rFonts w:ascii="Times New Roman" w:hAnsi="Times New Roman" w:cs="Times New Roman"/>
          <w:sz w:val="24"/>
          <w:szCs w:val="24"/>
        </w:rPr>
        <w:t>Kesebir</w:t>
      </w:r>
      <w:proofErr w:type="spellEnd"/>
      <w:r w:rsidRPr="00BF2812">
        <w:rPr>
          <w:rFonts w:ascii="Times New Roman" w:hAnsi="Times New Roman" w:cs="Times New Roman"/>
          <w:sz w:val="24"/>
          <w:szCs w:val="24"/>
        </w:rPr>
        <w:t xml:space="preserve">, 2017). The link between humankind and nature got squandered in the rise of technological development, focusing on the next generation of subject or standards. </w:t>
      </w:r>
      <w:r w:rsidRPr="00BF2812">
        <w:rPr>
          <w:rFonts w:ascii="Times New Roman" w:hAnsi="Times New Roman" w:cs="Times New Roman"/>
          <w:sz w:val="24"/>
          <w:szCs w:val="24"/>
        </w:rPr>
        <w:t>Fail to remember</w:t>
      </w:r>
      <w:r w:rsidRPr="00BF2812">
        <w:rPr>
          <w:rFonts w:ascii="Times New Roman" w:hAnsi="Times New Roman" w:cs="Times New Roman"/>
          <w:sz w:val="24"/>
          <w:szCs w:val="24"/>
        </w:rPr>
        <w:t xml:space="preserve"> something so essential</w:t>
      </w:r>
      <w:r w:rsidRPr="00BF2812">
        <w:rPr>
          <w:rFonts w:ascii="Times New Roman" w:hAnsi="Times New Roman" w:cs="Times New Roman"/>
          <w:sz w:val="24"/>
          <w:szCs w:val="24"/>
        </w:rPr>
        <w:t>,</w:t>
      </w:r>
      <w:r w:rsidRPr="00BF2812">
        <w:rPr>
          <w:rFonts w:ascii="Times New Roman" w:hAnsi="Times New Roman" w:cs="Times New Roman"/>
          <w:sz w:val="24"/>
          <w:szCs w:val="24"/>
        </w:rPr>
        <w:t xml:space="preserve"> can only be seen as a result of ignorance and negligence </w:t>
      </w:r>
      <w:r w:rsidRPr="00BF2812">
        <w:rPr>
          <w:rFonts w:ascii="Times New Roman" w:hAnsi="Times New Roman" w:cs="Times New Roman"/>
          <w:sz w:val="24"/>
          <w:szCs w:val="24"/>
        </w:rPr>
        <w:t xml:space="preserve">to </w:t>
      </w:r>
      <w:r w:rsidRPr="00BF2812">
        <w:rPr>
          <w:rFonts w:ascii="Times New Roman" w:hAnsi="Times New Roman" w:cs="Times New Roman"/>
          <w:sz w:val="24"/>
          <w:szCs w:val="24"/>
        </w:rPr>
        <w:t>the subject</w:t>
      </w:r>
      <w:r w:rsidRPr="00BF2812">
        <w:rPr>
          <w:rFonts w:ascii="Times New Roman" w:hAnsi="Times New Roman" w:cs="Times New Roman"/>
          <w:sz w:val="24"/>
          <w:szCs w:val="24"/>
        </w:rPr>
        <w:t xml:space="preserve">. </w:t>
      </w:r>
      <w:r w:rsidRPr="00BF2812">
        <w:rPr>
          <w:rFonts w:ascii="Times New Roman" w:hAnsi="Times New Roman" w:cs="Times New Roman"/>
          <w:sz w:val="24"/>
          <w:szCs w:val="24"/>
        </w:rPr>
        <w:t>The opportunity of the connection between nature and humans has been displayed in several methods and areas, requiring supported through different principles of different backgrounds to connect every species on this planet. Therefore the final goal is the realisation between all living beings, that conclude the connection is that  everyone is  as "ONE." This essay compares and contrasts  Robin Wall Kimmerer's paper "</w:t>
      </w:r>
      <w:r w:rsidRPr="00BF2812">
        <w:rPr>
          <w:rFonts w:ascii="Times New Roman" w:hAnsi="Times New Roman" w:cs="Times New Roman"/>
          <w:i/>
          <w:iCs/>
          <w:sz w:val="24"/>
          <w:szCs w:val="24"/>
        </w:rPr>
        <w:t>Weaving Traditional Ecological Knowledge into Biological Education: A Call to Action</w:t>
      </w:r>
      <w:r w:rsidRPr="00BF2812">
        <w:rPr>
          <w:rFonts w:ascii="Times New Roman" w:hAnsi="Times New Roman" w:cs="Times New Roman"/>
          <w:sz w:val="24"/>
          <w:szCs w:val="24"/>
        </w:rPr>
        <w:t xml:space="preserve">", published by the Oxford University Press in 2002, with Mark A. </w:t>
      </w:r>
      <w:proofErr w:type="spellStart"/>
      <w:r w:rsidRPr="00BF2812">
        <w:rPr>
          <w:rFonts w:ascii="Times New Roman" w:hAnsi="Times New Roman" w:cs="Times New Roman"/>
          <w:sz w:val="24"/>
          <w:szCs w:val="24"/>
        </w:rPr>
        <w:t>Schroll's</w:t>
      </w:r>
      <w:proofErr w:type="spellEnd"/>
      <w:r w:rsidRPr="00BF2812">
        <w:rPr>
          <w:rFonts w:ascii="Times New Roman" w:hAnsi="Times New Roman" w:cs="Times New Roman"/>
          <w:b/>
          <w:bCs/>
          <w:sz w:val="24"/>
          <w:szCs w:val="24"/>
        </w:rPr>
        <w:t xml:space="preserve"> </w:t>
      </w:r>
      <w:r w:rsidRPr="00BF2812">
        <w:rPr>
          <w:rFonts w:ascii="Times New Roman" w:hAnsi="Times New Roman" w:cs="Times New Roman"/>
          <w:sz w:val="24"/>
          <w:szCs w:val="24"/>
        </w:rPr>
        <w:t>"</w:t>
      </w:r>
      <w:r w:rsidRPr="00BF2812">
        <w:rPr>
          <w:rFonts w:ascii="Times New Roman" w:hAnsi="Times New Roman" w:cs="Times New Roman"/>
          <w:i/>
          <w:iCs/>
          <w:sz w:val="24"/>
          <w:szCs w:val="24"/>
        </w:rPr>
        <w:t>From ecopsychology to transpersonal ecosophy: Shamanism, psychedelics and transpersonal psychology</w:t>
      </w:r>
      <w:r w:rsidRPr="00BF2812">
        <w:rPr>
          <w:rFonts w:ascii="Times New Roman" w:hAnsi="Times New Roman" w:cs="Times New Roman"/>
          <w:sz w:val="24"/>
          <w:szCs w:val="24"/>
        </w:rPr>
        <w:t>", published in 2013 by the European Journal of Ecopsychology. The purpose of this essay is the reflection and understanding of the subject Ecology linked to the naturally given opportunities through the psychological and physiological capacity in each individual. Describing and analysing both methods and their approach with the reflection of pro and cons of each subject, including the nature of approach.</w:t>
      </w:r>
    </w:p>
    <w:p w14:paraId="18EC4199" w14:textId="77777777" w:rsidR="00D20F17" w:rsidRPr="00BF2812" w:rsidRDefault="00D20F17" w:rsidP="00D20F17">
      <w:pPr>
        <w:spacing w:line="480" w:lineRule="auto"/>
        <w:rPr>
          <w:rFonts w:ascii="Times New Roman" w:hAnsi="Times New Roman" w:cs="Times New Roman"/>
          <w:sz w:val="24"/>
          <w:szCs w:val="24"/>
        </w:rPr>
      </w:pPr>
      <w:r w:rsidRPr="00BF2812">
        <w:rPr>
          <w:rFonts w:ascii="Times New Roman" w:hAnsi="Times New Roman" w:cs="Times New Roman"/>
          <w:sz w:val="24"/>
          <w:szCs w:val="24"/>
        </w:rPr>
        <w:t>The forgotten connection between humankind and nature directs human beings away from the origin of life, contributing help through psychedelics and higher awareness, that require human accountability.</w:t>
      </w:r>
    </w:p>
    <w:p w14:paraId="3A9D57C2" w14:textId="77777777" w:rsidR="00D20F17" w:rsidRPr="00BF2812" w:rsidRDefault="00D20F17" w:rsidP="00D20F17">
      <w:pPr>
        <w:spacing w:line="480" w:lineRule="auto"/>
        <w:rPr>
          <w:rFonts w:ascii="Times New Roman" w:hAnsi="Times New Roman" w:cs="Times New Roman"/>
          <w:sz w:val="24"/>
          <w:szCs w:val="24"/>
        </w:rPr>
      </w:pPr>
    </w:p>
    <w:p w14:paraId="413C8AC3" w14:textId="288DCBD1" w:rsidR="00D20F17" w:rsidRPr="00BF2812" w:rsidRDefault="00D20F17" w:rsidP="002F0B1A">
      <w:pPr>
        <w:spacing w:line="480" w:lineRule="auto"/>
        <w:ind w:firstLine="720"/>
        <w:rPr>
          <w:rFonts w:ascii="Times New Roman" w:hAnsi="Times New Roman" w:cs="Times New Roman"/>
          <w:sz w:val="24"/>
          <w:szCs w:val="24"/>
        </w:rPr>
      </w:pPr>
      <w:r w:rsidRPr="00BF2812">
        <w:rPr>
          <w:rFonts w:ascii="Times New Roman" w:hAnsi="Times New Roman" w:cs="Times New Roman"/>
          <w:sz w:val="24"/>
          <w:szCs w:val="24"/>
        </w:rPr>
        <w:t xml:space="preserve">Both papers reflect a lack of, and misinterpretation of, science between humankind, Nature and all living species on earth from different viewpoints and sources of background. </w:t>
      </w:r>
      <w:r w:rsidRPr="00BF2812">
        <w:rPr>
          <w:rFonts w:ascii="Times New Roman" w:hAnsi="Times New Roman" w:cs="Times New Roman"/>
          <w:sz w:val="24"/>
          <w:szCs w:val="24"/>
        </w:rPr>
        <w:lastRenderedPageBreak/>
        <w:t>Kimmerer displays this indication through the provided knowledge by the American Native Indians.</w:t>
      </w:r>
      <w:r w:rsidR="00C410D6" w:rsidRPr="00BF2812">
        <w:rPr>
          <w:rFonts w:ascii="Times New Roman" w:hAnsi="Times New Roman" w:cs="Times New Roman"/>
          <w:sz w:val="24"/>
          <w:szCs w:val="24"/>
        </w:rPr>
        <w:t xml:space="preserve"> </w:t>
      </w:r>
      <w:r w:rsidRPr="00BF2812">
        <w:rPr>
          <w:rFonts w:ascii="Times New Roman" w:hAnsi="Times New Roman" w:cs="Times New Roman"/>
          <w:sz w:val="24"/>
          <w:szCs w:val="24"/>
        </w:rPr>
        <w:t xml:space="preserve">Native Indians  are inheritors and practitioners of unique cultures, relating to nature and animals from a much deeper point than the conventional world population. According to the </w:t>
      </w:r>
      <w:hyperlink r:id="rId5" w:history="1">
        <w:r w:rsidRPr="00BF2812">
          <w:rPr>
            <w:rFonts w:ascii="Times New Roman" w:hAnsi="Times New Roman" w:cs="Times New Roman"/>
            <w:sz w:val="24"/>
            <w:szCs w:val="24"/>
          </w:rPr>
          <w:t>United Nations Development Programme</w:t>
        </w:r>
      </w:hyperlink>
      <w:r w:rsidRPr="00BF2812">
        <w:rPr>
          <w:rFonts w:ascii="Times New Roman" w:hAnsi="Times New Roman" w:cs="Times New Roman"/>
          <w:sz w:val="24"/>
          <w:szCs w:val="24"/>
        </w:rPr>
        <w:t xml:space="preserve">, it is estimated that around 370-500 million indigenous are spread in nineteen countries around the globe( UNDP, 2020). Over seventeen million indigenous depend on nature for their livelihoods, shown knowledge is originated though a millennia of interaction of and within nature, on an oral tradition </w:t>
      </w:r>
      <w:r w:rsidR="00C410D6" w:rsidRPr="00BF2812">
        <w:rPr>
          <w:rFonts w:ascii="Times New Roman" w:hAnsi="Times New Roman" w:cs="Times New Roman"/>
          <w:sz w:val="24"/>
          <w:szCs w:val="24"/>
        </w:rPr>
        <w:t>source</w:t>
      </w:r>
      <w:r w:rsidRPr="00BF2812">
        <w:rPr>
          <w:rFonts w:ascii="Times New Roman" w:hAnsi="Times New Roman" w:cs="Times New Roman"/>
          <w:sz w:val="24"/>
          <w:szCs w:val="24"/>
        </w:rPr>
        <w:t xml:space="preserve"> (Mauro, Hardison, 2000). The indigenous population's main principle is the protection and balance between human beings and nature , termed as "Traditional ecological knowledge (TEK), " including the empirical and metaphorical elements. Displaying TEK in contrast to the standard scientific ecological knowledge (SEK)</w:t>
      </w:r>
      <w:r w:rsidR="00C410D6" w:rsidRPr="00BF2812">
        <w:rPr>
          <w:rFonts w:ascii="Times New Roman" w:hAnsi="Times New Roman" w:cs="Times New Roman"/>
          <w:sz w:val="24"/>
          <w:szCs w:val="24"/>
        </w:rPr>
        <w:t xml:space="preserve">, it </w:t>
      </w:r>
      <w:r w:rsidRPr="00BF2812">
        <w:rPr>
          <w:rFonts w:ascii="Times New Roman" w:hAnsi="Times New Roman" w:cs="Times New Roman"/>
          <w:sz w:val="24"/>
          <w:szCs w:val="24"/>
        </w:rPr>
        <w:t xml:space="preserve">indicates the interaction and inclusion of an equal approach between human and non-human on an </w:t>
      </w:r>
      <w:r w:rsidR="00CB5801" w:rsidRPr="00BF2812">
        <w:rPr>
          <w:rFonts w:ascii="Times New Roman" w:hAnsi="Times New Roman" w:cs="Times New Roman"/>
          <w:sz w:val="24"/>
          <w:szCs w:val="24"/>
        </w:rPr>
        <w:t>objective l</w:t>
      </w:r>
      <w:r w:rsidRPr="00BF2812">
        <w:rPr>
          <w:rFonts w:ascii="Times New Roman" w:hAnsi="Times New Roman" w:cs="Times New Roman"/>
          <w:sz w:val="24"/>
          <w:szCs w:val="24"/>
        </w:rPr>
        <w:t xml:space="preserve">evel. Furthermore, TEK has equal recognition in the scientific world (UNEP, 1998) and has been termed as "intellectual twin to science" (De Loria, 1995). The International Union Conservation of Nature (Miller, 1986) recognized TEK as beneficial evidence to scientifical and environmental applications of; biological insights, reserve design  management, development planning, environmental assessment, resource management, conservation education and commodity development" (Martinez, 1994; Kimmerer, 2000; Ford, 2001).  Additionally, Kimmerer displays through previous study the concern about the operations of the difference in both divisions (Science and  Humanities), referring to other research work which concluded; science and humanities are essential “one” subject that allows sciences to solve a diversity of problems rather than separated disciplines (Kessler, Booth 1998; </w:t>
      </w:r>
      <w:proofErr w:type="spellStart"/>
      <w:r w:rsidRPr="00BF2812">
        <w:rPr>
          <w:rFonts w:ascii="Times New Roman" w:hAnsi="Times New Roman" w:cs="Times New Roman"/>
          <w:sz w:val="24"/>
          <w:szCs w:val="24"/>
        </w:rPr>
        <w:t>Bekoff</w:t>
      </w:r>
      <w:proofErr w:type="spellEnd"/>
      <w:r w:rsidRPr="00BF2812">
        <w:rPr>
          <w:rFonts w:ascii="Times New Roman" w:hAnsi="Times New Roman" w:cs="Times New Roman"/>
          <w:sz w:val="24"/>
          <w:szCs w:val="24"/>
        </w:rPr>
        <w:t xml:space="preserve"> 2000). "Integrative thinking" is required to fulfil the given potential, supporting this claim with the meeting in 2000 of the American Institute of Biological Sciences, where eight of the most prominent biologists confirmed that there is no difference in these two disciplines,</w:t>
      </w:r>
      <w:r w:rsidR="00C410D6" w:rsidRPr="00BF2812">
        <w:rPr>
          <w:rFonts w:ascii="Times New Roman" w:hAnsi="Times New Roman" w:cs="Times New Roman"/>
          <w:sz w:val="24"/>
          <w:szCs w:val="24"/>
        </w:rPr>
        <w:t xml:space="preserve"> </w:t>
      </w:r>
      <w:r w:rsidRPr="00BF2812">
        <w:rPr>
          <w:rFonts w:ascii="Times New Roman" w:hAnsi="Times New Roman" w:cs="Times New Roman"/>
          <w:sz w:val="24"/>
          <w:szCs w:val="24"/>
        </w:rPr>
        <w:t xml:space="preserve">"just a </w:t>
      </w:r>
      <w:r w:rsidRPr="00BF2812">
        <w:rPr>
          <w:rFonts w:ascii="Times New Roman" w:hAnsi="Times New Roman" w:cs="Times New Roman"/>
          <w:sz w:val="24"/>
          <w:szCs w:val="24"/>
        </w:rPr>
        <w:lastRenderedPageBreak/>
        <w:t xml:space="preserve">broad domain of poorly understood material phenomena awaiting cooperative investigation from both sides" (Ben-Ari 2000). However,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takes his approach through the recognition and willingness in individuals to expand the human awareness of a higher level through examples of Shamanism practice and psychedelics.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focuses on ecopsychology and the transformation for a deeper relation, referring it to "transpersonal ecosophy"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2013). Ecopsychology (EP) is referred to the approach of studies in relation to nature and mankind, including  both sides as a unit, focusing on the balance between the planet earth, including all physical and nonphysical qualities (</w:t>
      </w:r>
      <w:proofErr w:type="spellStart"/>
      <w:r w:rsidRPr="00BF2812">
        <w:rPr>
          <w:rFonts w:ascii="Times New Roman" w:hAnsi="Times New Roman" w:cs="Times New Roman"/>
          <w:sz w:val="24"/>
          <w:szCs w:val="24"/>
        </w:rPr>
        <w:t>Cambray</w:t>
      </w:r>
      <w:proofErr w:type="spellEnd"/>
      <w:r w:rsidRPr="00BF2812">
        <w:rPr>
          <w:rFonts w:ascii="Times New Roman" w:hAnsi="Times New Roman" w:cs="Times New Roman"/>
          <w:sz w:val="24"/>
          <w:szCs w:val="24"/>
        </w:rPr>
        <w:t xml:space="preserve">, 2017). Following the principles of the planet's physiological and natural environment, aiming to develop ways and lifestyles for a greater and balanced connection between humans and nature. Transpersonal psychology (TP) in contrast, defines the human being as not just a single unity of flesh and blood that's is evolved over the evolution on this planet; it contains timeless wisdom linked to western psychology, spiritual aspects and the approach of the higher level of awareness, that includes the link between human and nature (Lombard, 2017).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takes shamanism to practice in his paper as an example of the level of awareness required to understand the natural purpose. "Shamanism" is one of the oldest practices of connection for nature and humans; it could be seen as a spiritual method rather than a religion. It includes the awareness of spirits in nature and the communication between humans and these entities for a better and safer environment (Winkelman, 2018). The difference between EP and TP is the consciousness aspect of </w:t>
      </w:r>
      <w:r w:rsidR="002F0B1A" w:rsidRPr="00BF2812">
        <w:rPr>
          <w:rFonts w:ascii="Times New Roman" w:hAnsi="Times New Roman" w:cs="Times New Roman"/>
          <w:sz w:val="24"/>
          <w:szCs w:val="24"/>
        </w:rPr>
        <w:t>the</w:t>
      </w:r>
      <w:r w:rsidRPr="00BF2812">
        <w:rPr>
          <w:rFonts w:ascii="Times New Roman" w:hAnsi="Times New Roman" w:cs="Times New Roman"/>
          <w:sz w:val="24"/>
          <w:szCs w:val="24"/>
        </w:rPr>
        <w:t xml:space="preserve"> relationship between humans and nature. Taking all these aspects into account,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reflects and associate these methodologies with the term "transpersonal ecosophy (TE)", summarising all aspect</w:t>
      </w:r>
      <w:r w:rsidR="002F0B1A" w:rsidRPr="00BF2812">
        <w:rPr>
          <w:rFonts w:ascii="Times New Roman" w:hAnsi="Times New Roman" w:cs="Times New Roman"/>
          <w:sz w:val="24"/>
          <w:szCs w:val="24"/>
        </w:rPr>
        <w:t>s</w:t>
      </w:r>
      <w:r w:rsidRPr="00BF2812">
        <w:rPr>
          <w:rFonts w:ascii="Times New Roman" w:hAnsi="Times New Roman" w:cs="Times New Roman"/>
          <w:sz w:val="24"/>
          <w:szCs w:val="24"/>
        </w:rPr>
        <w:t xml:space="preserve"> in one subject. TE describes a construct of individuals with the awareness of understanding the personal position in this world, involving all factors of nature and the environment, with humankind's existence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Furthermore, both direct towards the lacking opportunity </w:t>
      </w:r>
      <w:r w:rsidRPr="00BF2812">
        <w:rPr>
          <w:rFonts w:ascii="Times New Roman" w:hAnsi="Times New Roman" w:cs="Times New Roman"/>
          <w:sz w:val="24"/>
          <w:szCs w:val="24"/>
        </w:rPr>
        <w:lastRenderedPageBreak/>
        <w:t xml:space="preserve">for science and education to </w:t>
      </w:r>
      <w:proofErr w:type="spellStart"/>
      <w:r w:rsidRPr="00BF2812">
        <w:rPr>
          <w:rFonts w:ascii="Times New Roman" w:hAnsi="Times New Roman" w:cs="Times New Roman"/>
          <w:sz w:val="24"/>
          <w:szCs w:val="24"/>
        </w:rPr>
        <w:t>fulfill</w:t>
      </w:r>
      <w:proofErr w:type="spellEnd"/>
      <w:r w:rsidRPr="00BF2812">
        <w:rPr>
          <w:rFonts w:ascii="Times New Roman" w:hAnsi="Times New Roman" w:cs="Times New Roman"/>
          <w:sz w:val="24"/>
          <w:szCs w:val="24"/>
        </w:rPr>
        <w:t xml:space="preserve"> the missing knowledge and reflect the consequences and required aspiration to reach this state. Kimmerer reflects today's biological science and the wrong approach expecting to evolve with principles focusing on "raw material of evolution," ignoring the variety and diversity that includes spiritual aspects in nature as a whole. According to Kimmerer's (2002) research, TEK in contrast to SEK offers a better interaction with nature and all species related to humankind, which allows a better insight for natural circles on this planet. Additionally, it offers science cross-validation of scientific hypotheses that predict certain natural patterns and occurrences (</w:t>
      </w:r>
      <w:proofErr w:type="spellStart"/>
      <w:r w:rsidRPr="00BF2812">
        <w:rPr>
          <w:rFonts w:ascii="Times New Roman" w:hAnsi="Times New Roman" w:cs="Times New Roman"/>
          <w:sz w:val="24"/>
          <w:szCs w:val="24"/>
        </w:rPr>
        <w:t>Blaschke</w:t>
      </w:r>
      <w:proofErr w:type="spellEnd"/>
      <w:r w:rsidRPr="00BF2812">
        <w:rPr>
          <w:rFonts w:ascii="Times New Roman" w:hAnsi="Times New Roman" w:cs="Times New Roman"/>
          <w:sz w:val="24"/>
          <w:szCs w:val="24"/>
        </w:rPr>
        <w:t>, 2013).</w:t>
      </w:r>
      <w:r w:rsidR="002D571B" w:rsidRPr="00BF2812">
        <w:rPr>
          <w:rFonts w:ascii="Times New Roman" w:hAnsi="Times New Roman" w:cs="Times New Roman"/>
          <w:sz w:val="24"/>
          <w:szCs w:val="24"/>
        </w:rPr>
        <w:t xml:space="preserve"> </w:t>
      </w:r>
      <w:r w:rsidR="002F0B1A" w:rsidRPr="00BF2812">
        <w:rPr>
          <w:rFonts w:ascii="Times New Roman" w:hAnsi="Times New Roman" w:cs="Times New Roman"/>
          <w:sz w:val="24"/>
          <w:szCs w:val="24"/>
        </w:rPr>
        <w:t xml:space="preserve">Pointing out and reflecting on the danger in </w:t>
      </w:r>
      <w:proofErr w:type="spellStart"/>
      <w:r w:rsidR="002F0B1A" w:rsidRPr="00BF2812">
        <w:rPr>
          <w:rFonts w:ascii="Times New Roman" w:hAnsi="Times New Roman" w:cs="Times New Roman"/>
          <w:sz w:val="24"/>
          <w:szCs w:val="24"/>
        </w:rPr>
        <w:t>Schroll's</w:t>
      </w:r>
      <w:proofErr w:type="spellEnd"/>
      <w:r w:rsidR="002F0B1A" w:rsidRPr="00BF2812">
        <w:rPr>
          <w:rFonts w:ascii="Times New Roman" w:hAnsi="Times New Roman" w:cs="Times New Roman"/>
          <w:sz w:val="24"/>
          <w:szCs w:val="24"/>
        </w:rPr>
        <w:t xml:space="preserve"> article, that is, the pursuit of technological advancement and its consequences</w:t>
      </w:r>
      <w:r w:rsidR="002F0B1A" w:rsidRPr="00BF2812">
        <w:rPr>
          <w:rFonts w:ascii="Times New Roman" w:hAnsi="Times New Roman" w:cs="Times New Roman"/>
          <w:sz w:val="24"/>
          <w:szCs w:val="24"/>
        </w:rPr>
        <w:t xml:space="preserve"> for humankind. Mirroring </w:t>
      </w:r>
      <w:r w:rsidR="002D571B" w:rsidRPr="00BF2812">
        <w:rPr>
          <w:rFonts w:ascii="Times New Roman" w:hAnsi="Times New Roman" w:cs="Times New Roman"/>
          <w:sz w:val="24"/>
          <w:szCs w:val="24"/>
        </w:rPr>
        <w:t xml:space="preserve">the already taken </w:t>
      </w:r>
      <w:r w:rsidR="002F0B1A" w:rsidRPr="00BF2812">
        <w:rPr>
          <w:rFonts w:ascii="Times New Roman" w:hAnsi="Times New Roman" w:cs="Times New Roman"/>
          <w:sz w:val="24"/>
          <w:szCs w:val="24"/>
        </w:rPr>
        <w:t xml:space="preserve"> psychological and physiological separation of connection with nature</w:t>
      </w:r>
      <w:r w:rsidR="002D571B" w:rsidRPr="00BF2812">
        <w:rPr>
          <w:rFonts w:ascii="Times New Roman" w:hAnsi="Times New Roman" w:cs="Times New Roman"/>
          <w:sz w:val="24"/>
          <w:szCs w:val="24"/>
        </w:rPr>
        <w:t xml:space="preserve">, leading </w:t>
      </w:r>
      <w:r w:rsidR="002F0B1A" w:rsidRPr="00BF2812">
        <w:rPr>
          <w:rFonts w:ascii="Times New Roman" w:hAnsi="Times New Roman" w:cs="Times New Roman"/>
          <w:sz w:val="24"/>
          <w:szCs w:val="24"/>
        </w:rPr>
        <w:t>a dark path for humanity.</w:t>
      </w:r>
      <w:r w:rsidR="002F0B1A" w:rsidRPr="00BF2812">
        <w:rPr>
          <w:rFonts w:ascii="Times New Roman" w:hAnsi="Times New Roman" w:cs="Times New Roman"/>
          <w:sz w:val="24"/>
          <w:szCs w:val="24"/>
        </w:rPr>
        <w:t xml:space="preserve"> </w:t>
      </w:r>
      <w:r w:rsidRPr="00BF2812">
        <w:rPr>
          <w:rFonts w:ascii="Times New Roman" w:hAnsi="Times New Roman" w:cs="Times New Roman"/>
          <w:sz w:val="24"/>
          <w:szCs w:val="24"/>
        </w:rPr>
        <w:t xml:space="preserve">Inspired by Peter </w:t>
      </w:r>
      <w:proofErr w:type="spellStart"/>
      <w:r w:rsidRPr="00BF2812">
        <w:rPr>
          <w:rFonts w:ascii="Times New Roman" w:hAnsi="Times New Roman" w:cs="Times New Roman"/>
          <w:sz w:val="24"/>
          <w:szCs w:val="24"/>
        </w:rPr>
        <w:t>Sinfield's</w:t>
      </w:r>
      <w:proofErr w:type="spellEnd"/>
      <w:r w:rsidRPr="00BF2812">
        <w:rPr>
          <w:rFonts w:ascii="Times New Roman" w:hAnsi="Times New Roman" w:cs="Times New Roman"/>
          <w:sz w:val="24"/>
          <w:szCs w:val="24"/>
        </w:rPr>
        <w:t xml:space="preserve"> paper in 1969,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describes this attitude in individuals as a "schizoid person" that defines an individual's characteristics and the disconnection from nature. Referring for support mentioned level of needed awareness, through Maslow's work on the approach of an universal value between humankind rather than a personal need in each individual.  The term "Transhumanistic (TH)" was born and found its place into science, linked to a meeting in 1996 with the title "Humanistic Theology". Since then, Maslow used TH to define the name behind the power of the interaction in humanities and transpersonal psychology in individuals (Maslow, 1968). </w:t>
      </w:r>
    </w:p>
    <w:p w14:paraId="4AA43A26" w14:textId="77777777" w:rsidR="00D20F17" w:rsidRPr="00BF2812" w:rsidRDefault="00D20F17" w:rsidP="00D20F17">
      <w:pPr>
        <w:spacing w:before="240" w:line="480" w:lineRule="auto"/>
        <w:rPr>
          <w:rFonts w:ascii="Times New Roman" w:hAnsi="Times New Roman" w:cs="Times New Roman"/>
          <w:sz w:val="24"/>
          <w:szCs w:val="24"/>
        </w:rPr>
      </w:pPr>
      <w:r w:rsidRPr="00BF2812">
        <w:rPr>
          <w:rFonts w:ascii="Times New Roman" w:hAnsi="Times New Roman" w:cs="Times New Roman"/>
          <w:sz w:val="24"/>
          <w:szCs w:val="24"/>
        </w:rPr>
        <w:t xml:space="preserve">Summarised, today's scientific approach in the ecological and humanistic line display missing links and knowledge. Kimmerer draws attention towards the indigenous population and TEK, which is equal to SEK. Integrative thinking is required to fulfil the scientific purpose. On the other hand,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focuses on the lack of consciousness in individuals that results in disconnection with nature. The Shamanistic approach and the definitions of certain aspects, </w:t>
      </w:r>
      <w:r w:rsidRPr="00BF2812">
        <w:rPr>
          <w:rFonts w:ascii="Times New Roman" w:hAnsi="Times New Roman" w:cs="Times New Roman"/>
          <w:sz w:val="24"/>
          <w:szCs w:val="24"/>
        </w:rPr>
        <w:lastRenderedPageBreak/>
        <w:t>displaying the foundation behind ecopsychology and the transformation from both divisions to transpersonal ecosophy.</w:t>
      </w:r>
    </w:p>
    <w:p w14:paraId="19579F72" w14:textId="77777777" w:rsidR="00D20F17" w:rsidRPr="00BF2812" w:rsidRDefault="00D20F17" w:rsidP="00D20F17">
      <w:pPr>
        <w:spacing w:before="240" w:line="480" w:lineRule="auto"/>
        <w:rPr>
          <w:rFonts w:ascii="Times New Roman" w:hAnsi="Times New Roman" w:cs="Times New Roman"/>
          <w:sz w:val="24"/>
          <w:szCs w:val="24"/>
        </w:rPr>
      </w:pPr>
    </w:p>
    <w:p w14:paraId="5912A8F0" w14:textId="77777777" w:rsidR="00BF2812" w:rsidRDefault="00D20F17" w:rsidP="00BF2812">
      <w:pPr>
        <w:spacing w:before="240" w:line="480" w:lineRule="auto"/>
        <w:ind w:firstLine="720"/>
        <w:rPr>
          <w:rFonts w:ascii="Times New Roman" w:hAnsi="Times New Roman" w:cs="Times New Roman"/>
          <w:sz w:val="24"/>
          <w:szCs w:val="24"/>
        </w:rPr>
      </w:pPr>
      <w:r w:rsidRPr="00BF2812">
        <w:rPr>
          <w:rFonts w:ascii="Times New Roman" w:hAnsi="Times New Roman" w:cs="Times New Roman"/>
          <w:sz w:val="24"/>
          <w:szCs w:val="24"/>
        </w:rPr>
        <w:t xml:space="preserve">Examining the author's approaches to the scientific world, it is clearly directed through two different reflections for science's current consultation. Kimmerer sets his reflection through a required update of the current academic knowledge, whereby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focuses on the threat through technocracy and the importance of certain psychedelics usage for the mental aspect in individuals. Kimmerer's method and TEK promotion are displayed through the native population in America that have an oral tradition passed by knowledge technic about nature. That concludes with no external support dependency on subjects or drugs. The whole concept is based on the natural core that always was and always will exist between human beings. The aim of this method is the recognition of that responsibility by humankind. TEK originates from the most diverse botanical places on this planet through a constant relationship of aware indigenous people and nature itself</w:t>
      </w:r>
      <w:r w:rsidR="002D571B" w:rsidRPr="00BF2812">
        <w:rPr>
          <w:rFonts w:ascii="Times New Roman" w:hAnsi="Times New Roman" w:cs="Times New Roman"/>
          <w:sz w:val="24"/>
          <w:szCs w:val="24"/>
        </w:rPr>
        <w:t xml:space="preserve"> </w:t>
      </w:r>
      <w:r w:rsidR="002D571B" w:rsidRPr="00BF2812">
        <w:rPr>
          <w:rFonts w:ascii="Times New Roman" w:hAnsi="Times New Roman" w:cs="Times New Roman"/>
          <w:sz w:val="24"/>
          <w:szCs w:val="24"/>
        </w:rPr>
        <w:t>(</w:t>
      </w:r>
      <w:proofErr w:type="spellStart"/>
      <w:r w:rsidR="002D571B" w:rsidRPr="00BF2812">
        <w:rPr>
          <w:rFonts w:ascii="Times New Roman" w:hAnsi="Times New Roman" w:cs="Times New Roman"/>
          <w:sz w:val="24"/>
          <w:szCs w:val="24"/>
        </w:rPr>
        <w:t>Durning</w:t>
      </w:r>
      <w:proofErr w:type="spellEnd"/>
      <w:r w:rsidR="002D571B" w:rsidRPr="00BF2812">
        <w:rPr>
          <w:rFonts w:ascii="Times New Roman" w:hAnsi="Times New Roman" w:cs="Times New Roman"/>
          <w:sz w:val="24"/>
          <w:szCs w:val="24"/>
        </w:rPr>
        <w:t>, 1992)</w:t>
      </w:r>
      <w:r w:rsidRPr="00BF2812">
        <w:rPr>
          <w:rFonts w:ascii="Times New Roman" w:hAnsi="Times New Roman" w:cs="Times New Roman"/>
          <w:sz w:val="24"/>
          <w:szCs w:val="24"/>
        </w:rPr>
        <w:t xml:space="preserve">. Kimmerer calls out stakeholders, educational facilities and policymakers, with the argument and importance for this subject. They are taking up the already recognized scientific success through TEK in pharmaceutical research laboratory and agricultural experiment stations around the globe (Kimmerer, 2013). Furthermore, the suppression of native people in the educational system and their knowledge displays another point of limitation in science. According to Kimmerer (2013), native Americans are the most underrepresented group in America, resulting in  the fact of being rarely present in today's science. Kimmerer attempts to counts on the authorities in the field of science, education and policy to allow TEK to update the current level of knowledge in the scientific world. Whereas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promotes the required recognition towards nature through a certain level of awareness that has to be </w:t>
      </w:r>
      <w:r w:rsidRPr="00BF2812">
        <w:rPr>
          <w:rFonts w:ascii="Times New Roman" w:hAnsi="Times New Roman" w:cs="Times New Roman"/>
          <w:sz w:val="24"/>
          <w:szCs w:val="24"/>
        </w:rPr>
        <w:lastRenderedPageBreak/>
        <w:t xml:space="preserve">reached in individual, taking "Shamanism" as an example.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demonstrates the uniqueness of the necessary consciousness through Shamanism, explaining that only a few individuals on this planet can connect and understand the connection of humans and nature in such a deep level of perception. The ability to connect voluntarily with nature on that level of perception, is according to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(2013), impossible. A conventional individual mindset is disconnected from natural facts of reality, an “internal pollution”, referring to the inner world of each individual, reflects the external struggle in nature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2013). Arguing about the given potential through psychedelics (LSD, Psilocybin) and the effect on the chemical communication of MAO Inhibitors in an human’s brain, referring to the research of "Stanislav </w:t>
      </w:r>
      <w:proofErr w:type="spellStart"/>
      <w:r w:rsidRPr="00BF2812">
        <w:rPr>
          <w:rFonts w:ascii="Times New Roman" w:hAnsi="Times New Roman" w:cs="Times New Roman"/>
          <w:sz w:val="24"/>
          <w:szCs w:val="24"/>
        </w:rPr>
        <w:t>Grof</w:t>
      </w:r>
      <w:proofErr w:type="spellEnd"/>
      <w:r w:rsidRPr="00BF2812">
        <w:rPr>
          <w:rFonts w:ascii="Times New Roman" w:hAnsi="Times New Roman" w:cs="Times New Roman"/>
          <w:sz w:val="24"/>
          <w:szCs w:val="24"/>
        </w:rPr>
        <w:t xml:space="preserve">." </w:t>
      </w:r>
      <w:proofErr w:type="spellStart"/>
      <w:r w:rsidRPr="00BF2812">
        <w:rPr>
          <w:rFonts w:ascii="Times New Roman" w:hAnsi="Times New Roman" w:cs="Times New Roman"/>
          <w:sz w:val="24"/>
          <w:szCs w:val="24"/>
        </w:rPr>
        <w:t>Grof</w:t>
      </w:r>
      <w:proofErr w:type="spellEnd"/>
      <w:r w:rsidRPr="00BF2812">
        <w:rPr>
          <w:rFonts w:ascii="Times New Roman" w:hAnsi="Times New Roman" w:cs="Times New Roman"/>
          <w:sz w:val="24"/>
          <w:szCs w:val="24"/>
        </w:rPr>
        <w:t xml:space="preserve"> itself, according to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is a pioneer in the field of subject, an analytical scholar in psychological responses of </w:t>
      </w:r>
      <w:r w:rsidRPr="00BF2812">
        <w:rPr>
          <w:rFonts w:ascii="Times New Roman" w:hAnsi="Times New Roman" w:cs="Times New Roman"/>
          <w:i/>
          <w:iCs/>
          <w:sz w:val="24"/>
          <w:szCs w:val="24"/>
        </w:rPr>
        <w:t>physio</w:t>
      </w:r>
      <w:r w:rsidRPr="00BF2812">
        <w:rPr>
          <w:rFonts w:ascii="Times New Roman" w:hAnsi="Times New Roman" w:cs="Times New Roman"/>
          <w:sz w:val="24"/>
          <w:szCs w:val="24"/>
        </w:rPr>
        <w:t xml:space="preserve">logical, </w:t>
      </w:r>
      <w:r w:rsidRPr="00BF2812">
        <w:rPr>
          <w:rFonts w:ascii="Times New Roman" w:hAnsi="Times New Roman" w:cs="Times New Roman"/>
          <w:i/>
          <w:iCs/>
          <w:sz w:val="24"/>
          <w:szCs w:val="24"/>
        </w:rPr>
        <w:t>psycho</w:t>
      </w:r>
      <w:r w:rsidRPr="00BF2812">
        <w:rPr>
          <w:rFonts w:ascii="Times New Roman" w:hAnsi="Times New Roman" w:cs="Times New Roman"/>
          <w:sz w:val="24"/>
          <w:szCs w:val="24"/>
        </w:rPr>
        <w:t xml:space="preserve">logical nature, exploring the superior reality.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refers to </w:t>
      </w:r>
      <w:proofErr w:type="spellStart"/>
      <w:r w:rsidRPr="00BF2812">
        <w:rPr>
          <w:rFonts w:ascii="Times New Roman" w:hAnsi="Times New Roman" w:cs="Times New Roman"/>
          <w:sz w:val="24"/>
          <w:szCs w:val="24"/>
        </w:rPr>
        <w:t>Grof's</w:t>
      </w:r>
      <w:proofErr w:type="spellEnd"/>
      <w:r w:rsidRPr="00BF2812">
        <w:rPr>
          <w:rFonts w:ascii="Times New Roman" w:hAnsi="Times New Roman" w:cs="Times New Roman"/>
          <w:sz w:val="24"/>
          <w:szCs w:val="24"/>
        </w:rPr>
        <w:t xml:space="preserve"> personal experiences, documented in a paper in 2008, describing both methods, mentioning the time and amount of energy, psychoanalysis can take to conclude and understand certain aspect in this world. Additionally, comparing and reflecting the differences between both methods (LSD vs. Psychoanalysis), </w:t>
      </w:r>
      <w:proofErr w:type="spellStart"/>
      <w:r w:rsidRPr="00BF2812">
        <w:rPr>
          <w:rFonts w:ascii="Times New Roman" w:hAnsi="Times New Roman" w:cs="Times New Roman"/>
          <w:sz w:val="24"/>
          <w:szCs w:val="24"/>
        </w:rPr>
        <w:t>Grof</w:t>
      </w:r>
      <w:proofErr w:type="spellEnd"/>
      <w:r w:rsidRPr="00BF2812">
        <w:rPr>
          <w:rFonts w:ascii="Times New Roman" w:hAnsi="Times New Roman" w:cs="Times New Roman"/>
          <w:sz w:val="24"/>
          <w:szCs w:val="24"/>
        </w:rPr>
        <w:t xml:space="preserve"> concludes the short efficiency and the unique insight to a different realm. The significance for </w:t>
      </w:r>
      <w:proofErr w:type="spellStart"/>
      <w:r w:rsidRPr="00BF2812">
        <w:rPr>
          <w:rFonts w:ascii="Times New Roman" w:hAnsi="Times New Roman" w:cs="Times New Roman"/>
          <w:sz w:val="24"/>
          <w:szCs w:val="24"/>
        </w:rPr>
        <w:t>Grof</w:t>
      </w:r>
      <w:proofErr w:type="spellEnd"/>
      <w:r w:rsidRPr="00BF2812">
        <w:rPr>
          <w:rFonts w:ascii="Times New Roman" w:hAnsi="Times New Roman" w:cs="Times New Roman"/>
          <w:sz w:val="24"/>
          <w:szCs w:val="24"/>
        </w:rPr>
        <w:t xml:space="preserve"> is inviolable, as he quotes as follows; "Whereas, when I had my first LSD session, I was one kind of person in the morning and a whole different kind of person in the evening, and there was no question that this change was the result of the experience." Further, </w:t>
      </w:r>
      <w:proofErr w:type="spellStart"/>
      <w:r w:rsidRPr="00BF2812">
        <w:rPr>
          <w:rFonts w:ascii="Times New Roman" w:hAnsi="Times New Roman" w:cs="Times New Roman"/>
          <w:sz w:val="24"/>
          <w:szCs w:val="24"/>
        </w:rPr>
        <w:t>Grof</w:t>
      </w:r>
      <w:proofErr w:type="spellEnd"/>
      <w:r w:rsidRPr="00BF2812">
        <w:rPr>
          <w:rFonts w:ascii="Times New Roman" w:hAnsi="Times New Roman" w:cs="Times New Roman"/>
          <w:sz w:val="24"/>
          <w:szCs w:val="24"/>
        </w:rPr>
        <w:t xml:space="preserve"> comes to the conclusion that individually does not have a "fixed" identity, everything on this planet and the cosmos is a broad field of cosmic energy (</w:t>
      </w:r>
      <w:proofErr w:type="spellStart"/>
      <w:r w:rsidRPr="00BF2812">
        <w:rPr>
          <w:rFonts w:ascii="Times New Roman" w:hAnsi="Times New Roman" w:cs="Times New Roman"/>
          <w:sz w:val="24"/>
          <w:szCs w:val="24"/>
        </w:rPr>
        <w:t>Grof</w:t>
      </w:r>
      <w:proofErr w:type="spellEnd"/>
      <w:r w:rsidRPr="00BF2812">
        <w:rPr>
          <w:rFonts w:ascii="Times New Roman" w:hAnsi="Times New Roman" w:cs="Times New Roman"/>
          <w:sz w:val="24"/>
          <w:szCs w:val="24"/>
        </w:rPr>
        <w:t xml:space="preserve"> et al., 2008). In short,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believes that the higher layer of reality that represents nature's inclusion on this planet can't be accessed by a society with an internal disease, referred to “inner pollution”. Displaying the authors' concerns, it is interesting to see the viewpoint and direction of the supported opinion and the obstacles for the subject. Kimmerer directs his </w:t>
      </w:r>
      <w:r w:rsidRPr="00BF2812">
        <w:rPr>
          <w:rFonts w:ascii="Times New Roman" w:hAnsi="Times New Roman" w:cs="Times New Roman"/>
          <w:sz w:val="24"/>
          <w:szCs w:val="24"/>
        </w:rPr>
        <w:lastRenderedPageBreak/>
        <w:t>opinion and problem towards the educational system in this world, examining the American attitude in the direction of native people, referring the challenge in the suppression of relevant knowledge (Kimmerer, 2002). This reflection of the subject exemplifies the already known persistence in science, which includes new knowledge, in particular the Data is hard to prove or to measure in a traditional scientific way. This form of challenges are not only occurring in scientific relation with the ecological and the biological characteristics in individuals; it has been also mirrored in a variety of approaches, containing the lack of physical and mental facts, medical approaches around all over the world (</w:t>
      </w:r>
      <w:proofErr w:type="spellStart"/>
      <w:r w:rsidRPr="00BF2812">
        <w:rPr>
          <w:rFonts w:ascii="Times New Roman" w:hAnsi="Times New Roman" w:cs="Times New Roman"/>
          <w:sz w:val="24"/>
          <w:szCs w:val="24"/>
        </w:rPr>
        <w:t>Boiger</w:t>
      </w:r>
      <w:proofErr w:type="spellEnd"/>
      <w:r w:rsidRPr="00BF2812">
        <w:rPr>
          <w:rFonts w:ascii="Times New Roman" w:hAnsi="Times New Roman" w:cs="Times New Roman"/>
          <w:sz w:val="24"/>
          <w:szCs w:val="24"/>
        </w:rPr>
        <w:t xml:space="preserve">, Mesquita, Uchida, &amp; Barrett, 2013;). Overall, it is clear that to date, science is divided into different views and theories about the validity of methods, sabotaging the potential and insight of results, by ignoring native knowledge (van </w:t>
      </w:r>
      <w:proofErr w:type="spellStart"/>
      <w:r w:rsidRPr="00BF2812">
        <w:rPr>
          <w:rFonts w:ascii="Times New Roman" w:hAnsi="Times New Roman" w:cs="Times New Roman"/>
          <w:sz w:val="24"/>
          <w:szCs w:val="24"/>
        </w:rPr>
        <w:t>Zanten</w:t>
      </w:r>
      <w:proofErr w:type="spellEnd"/>
      <w:r w:rsidRPr="00BF2812">
        <w:rPr>
          <w:rFonts w:ascii="Times New Roman" w:hAnsi="Times New Roman" w:cs="Times New Roman"/>
          <w:sz w:val="24"/>
          <w:szCs w:val="24"/>
        </w:rPr>
        <w:t xml:space="preserve">, Marta, et al. 2008). In comparison,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identifies the dilemma in the technological rise with the ideological system, referring to this stance "technocracy." Technocracy represents the area of different expertise from various backgrounds representing a subject holding a political and influential office. In his research,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refers to the work of Roszak (1969) and </w:t>
      </w:r>
      <w:proofErr w:type="spellStart"/>
      <w:r w:rsidRPr="00BF2812">
        <w:rPr>
          <w:rFonts w:ascii="Times New Roman" w:hAnsi="Times New Roman" w:cs="Times New Roman"/>
          <w:sz w:val="24"/>
          <w:szCs w:val="24"/>
        </w:rPr>
        <w:t>Drengson</w:t>
      </w:r>
      <w:proofErr w:type="spellEnd"/>
      <w:r w:rsidRPr="00BF2812">
        <w:rPr>
          <w:rFonts w:ascii="Times New Roman" w:hAnsi="Times New Roman" w:cs="Times New Roman"/>
          <w:sz w:val="24"/>
          <w:szCs w:val="24"/>
        </w:rPr>
        <w:t xml:space="preserve"> (2011), from which he assumes the conclusion ; today's science does not represent the facts and knowledge that is provided thru different sources and backgrounds. The potential is suppressed by authorities that only replicate growth and prosperity according to technological and scientific standards and benefits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2013). Analysing the dependency of use for the method, TEK requires now external components; the subject's core is the mental recognition for the relationship between humans and animals. The background of TEK is not only accessible for America's native individuals, it occurs all over the world independent of ethnicity or landscape. Furthermore, TEK emerged from a long intimacy and devotion to homeland and retains the opportunity to repeat the same effect on human beings and nature any time place on earth (Kimmerer, 2000). The spiritual component between human and nature is essential to reach this state. </w:t>
      </w:r>
    </w:p>
    <w:p w14:paraId="4C51E71D" w14:textId="77777777" w:rsidR="00BF2812" w:rsidRDefault="00BF2812" w:rsidP="00BF2812">
      <w:pPr>
        <w:spacing w:before="240" w:line="480" w:lineRule="auto"/>
        <w:rPr>
          <w:rFonts w:ascii="Times New Roman" w:hAnsi="Times New Roman" w:cs="Times New Roman"/>
          <w:sz w:val="24"/>
          <w:szCs w:val="24"/>
        </w:rPr>
      </w:pPr>
    </w:p>
    <w:p w14:paraId="5F8ED631" w14:textId="3BE7F294" w:rsidR="00BF2812" w:rsidRDefault="00D20F17" w:rsidP="00BF2812">
      <w:pPr>
        <w:spacing w:before="240" w:line="480" w:lineRule="auto"/>
        <w:rPr>
          <w:rFonts w:ascii="Times New Roman" w:hAnsi="Times New Roman" w:cs="Times New Roman"/>
          <w:sz w:val="24"/>
          <w:szCs w:val="24"/>
        </w:rPr>
      </w:pPr>
      <w:r w:rsidRPr="00BF2812">
        <w:rPr>
          <w:rFonts w:ascii="Times New Roman" w:hAnsi="Times New Roman" w:cs="Times New Roman"/>
          <w:sz w:val="24"/>
          <w:szCs w:val="24"/>
        </w:rPr>
        <w:t xml:space="preserve">TEK is a rational and reliable knowledge, established through generations of intimate contact by indigenous population for the inhabited land, advantages of method are the verbal aspect, allowing a simple and direct manner of expanding or recording knowledge. Whereas, </w:t>
      </w:r>
      <w:proofErr w:type="spellStart"/>
      <w:r w:rsidRPr="00BF2812">
        <w:rPr>
          <w:rFonts w:ascii="Times New Roman" w:hAnsi="Times New Roman" w:cs="Times New Roman"/>
          <w:sz w:val="24"/>
          <w:szCs w:val="24"/>
        </w:rPr>
        <w:t>Schroll's</w:t>
      </w:r>
      <w:proofErr w:type="spellEnd"/>
      <w:r w:rsidRPr="00BF2812">
        <w:rPr>
          <w:rFonts w:ascii="Times New Roman" w:hAnsi="Times New Roman" w:cs="Times New Roman"/>
          <w:sz w:val="24"/>
          <w:szCs w:val="24"/>
        </w:rPr>
        <w:t xml:space="preserve"> view and approach are set on a different opinion and solution to fulfil the neglected ecological potential. </w:t>
      </w:r>
      <w:proofErr w:type="spellStart"/>
      <w:r w:rsidRPr="00BF2812">
        <w:rPr>
          <w:rFonts w:ascii="Times New Roman" w:hAnsi="Times New Roman" w:cs="Times New Roman"/>
          <w:sz w:val="24"/>
          <w:szCs w:val="24"/>
        </w:rPr>
        <w:t>Schroll's</w:t>
      </w:r>
      <w:proofErr w:type="spellEnd"/>
      <w:r w:rsidRPr="00BF2812">
        <w:rPr>
          <w:rFonts w:ascii="Times New Roman" w:hAnsi="Times New Roman" w:cs="Times New Roman"/>
          <w:sz w:val="24"/>
          <w:szCs w:val="24"/>
        </w:rPr>
        <w:t xml:space="preserve"> research about the subject "transpersonal ecosophy" leads to the conclusion; the present consciousness of the mankind, is divided, the majority is blind for the natural form of responsibility, in some research also termed  as “Schizoid personality”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2008; 2009). Therefore a request for external supportive components (LSD, Psilocybin) seems from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to be legitimate, especially with the non-addictive components. Based on the research from different scientists in that still barely known field (Luke, 2011; </w:t>
      </w:r>
      <w:proofErr w:type="spellStart"/>
      <w:r w:rsidRPr="00BF2812">
        <w:rPr>
          <w:rFonts w:ascii="Times New Roman" w:hAnsi="Times New Roman" w:cs="Times New Roman"/>
          <w:sz w:val="24"/>
          <w:szCs w:val="24"/>
        </w:rPr>
        <w:t>Metzner</w:t>
      </w:r>
      <w:proofErr w:type="spellEnd"/>
      <w:r w:rsidRPr="00BF2812">
        <w:rPr>
          <w:rFonts w:ascii="Times New Roman" w:hAnsi="Times New Roman" w:cs="Times New Roman"/>
          <w:sz w:val="24"/>
          <w:szCs w:val="24"/>
        </w:rPr>
        <w:t xml:space="preserve">, 2004),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assumes the psychedelic potential is the only way to experience and protect the planet's human-nature relationship. Considering the potential push-back from science itself, for the limitation of proof and existence for this type of subject, another element is even of more priority.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refers not only to particular organisations allied to education, but also mentioning the whole world's population, describing this form of occurrence as a "collective shadow". Calling for the “waking up” moment to fulfil this challenging times for the good of the collective consciousness (Kremer &amp; Rothberg, 1999). In short, both authors advocate the concern for a modern scientific model regarding nature and the relationship between all living beings on this planet. Kimmerer's approach of the method is a verbal technique passed on by authorised native individuals. </w:t>
      </w:r>
      <w:proofErr w:type="spellStart"/>
      <w:r w:rsidRPr="00BF2812">
        <w:rPr>
          <w:rFonts w:ascii="Times New Roman" w:hAnsi="Times New Roman" w:cs="Times New Roman"/>
          <w:sz w:val="24"/>
          <w:szCs w:val="24"/>
        </w:rPr>
        <w:t>Schroll</w:t>
      </w:r>
      <w:proofErr w:type="spellEnd"/>
      <w:r w:rsidRPr="00BF2812">
        <w:rPr>
          <w:rFonts w:ascii="Times New Roman" w:hAnsi="Times New Roman" w:cs="Times New Roman"/>
          <w:sz w:val="24"/>
          <w:szCs w:val="24"/>
        </w:rPr>
        <w:t xml:space="preserve"> doubts the potential in the collective of human kind and recommends the usage and approach through psychedelics.</w:t>
      </w:r>
    </w:p>
    <w:p w14:paraId="3CADC5E1" w14:textId="77777777" w:rsidR="00BF2812" w:rsidRDefault="00BF2812" w:rsidP="00BF2812">
      <w:pPr>
        <w:spacing w:before="240" w:line="480" w:lineRule="auto"/>
        <w:rPr>
          <w:rFonts w:ascii="Times New Roman" w:hAnsi="Times New Roman" w:cs="Times New Roman"/>
          <w:sz w:val="24"/>
          <w:szCs w:val="24"/>
        </w:rPr>
      </w:pPr>
    </w:p>
    <w:p w14:paraId="54BC18A5" w14:textId="7D1C2B15" w:rsidR="00BF2812" w:rsidRDefault="00D20F17" w:rsidP="00BF2812">
      <w:pPr>
        <w:spacing w:before="240" w:line="480" w:lineRule="auto"/>
        <w:rPr>
          <w:rFonts w:ascii="Times New Roman" w:hAnsi="Times New Roman" w:cs="Times New Roman"/>
          <w:b/>
          <w:bCs/>
          <w:i/>
          <w:iCs/>
          <w:sz w:val="24"/>
          <w:szCs w:val="24"/>
        </w:rPr>
      </w:pPr>
      <w:r w:rsidRPr="00BF2812">
        <w:rPr>
          <w:rFonts w:ascii="Times New Roman" w:hAnsi="Times New Roman" w:cs="Times New Roman"/>
          <w:b/>
          <w:bCs/>
          <w:i/>
          <w:iCs/>
          <w:sz w:val="24"/>
          <w:szCs w:val="24"/>
        </w:rPr>
        <w:lastRenderedPageBreak/>
        <w:t>Conclusion</w:t>
      </w:r>
      <w:r w:rsidR="00BF2812" w:rsidRPr="00BF2812">
        <w:rPr>
          <w:rFonts w:ascii="Times New Roman" w:hAnsi="Times New Roman" w:cs="Times New Roman"/>
          <w:b/>
          <w:bCs/>
          <w:i/>
          <w:iCs/>
          <w:sz w:val="24"/>
          <w:szCs w:val="24"/>
        </w:rPr>
        <w:t>:</w:t>
      </w:r>
      <w:r w:rsidR="00BF2812">
        <w:rPr>
          <w:rFonts w:ascii="Times New Roman" w:hAnsi="Times New Roman" w:cs="Times New Roman"/>
          <w:b/>
          <w:bCs/>
          <w:i/>
          <w:iCs/>
          <w:sz w:val="24"/>
          <w:szCs w:val="24"/>
        </w:rPr>
        <w:t xml:space="preserve"> </w:t>
      </w:r>
    </w:p>
    <w:p w14:paraId="7FFA5882" w14:textId="505D0374" w:rsidR="00D20F17" w:rsidRPr="00BF2812" w:rsidRDefault="00BF2812" w:rsidP="00BF2812">
      <w:pPr>
        <w:spacing w:before="240" w:line="480" w:lineRule="auto"/>
        <w:ind w:firstLine="720"/>
        <w:rPr>
          <w:rFonts w:ascii="Times New Roman" w:hAnsi="Times New Roman" w:cs="Times New Roman"/>
          <w:sz w:val="24"/>
          <w:szCs w:val="24"/>
        </w:rPr>
      </w:pPr>
      <w:r w:rsidRPr="00BF2812">
        <w:rPr>
          <w:rFonts w:ascii="Times New Roman" w:hAnsi="Times New Roman" w:cs="Times New Roman"/>
          <w:sz w:val="24"/>
          <w:szCs w:val="24"/>
        </w:rPr>
        <w:t>K</w:t>
      </w:r>
      <w:r w:rsidR="00D20F17" w:rsidRPr="00BF2812">
        <w:rPr>
          <w:rFonts w:ascii="Times New Roman" w:hAnsi="Times New Roman" w:cs="Times New Roman"/>
          <w:sz w:val="24"/>
          <w:szCs w:val="24"/>
        </w:rPr>
        <w:t xml:space="preserve">immerer's and </w:t>
      </w:r>
      <w:proofErr w:type="spellStart"/>
      <w:r w:rsidR="00D20F17" w:rsidRPr="00BF2812">
        <w:rPr>
          <w:rFonts w:ascii="Times New Roman" w:hAnsi="Times New Roman" w:cs="Times New Roman"/>
          <w:sz w:val="24"/>
          <w:szCs w:val="24"/>
        </w:rPr>
        <w:t>Schroll's</w:t>
      </w:r>
      <w:proofErr w:type="spellEnd"/>
      <w:r w:rsidR="00D20F17" w:rsidRPr="00BF2812">
        <w:rPr>
          <w:rFonts w:ascii="Times New Roman" w:hAnsi="Times New Roman" w:cs="Times New Roman"/>
          <w:b/>
          <w:bCs/>
          <w:sz w:val="24"/>
          <w:szCs w:val="24"/>
        </w:rPr>
        <w:t xml:space="preserve">, </w:t>
      </w:r>
      <w:r w:rsidR="00D20F17" w:rsidRPr="00BF2812">
        <w:rPr>
          <w:rFonts w:ascii="Times New Roman" w:hAnsi="Times New Roman" w:cs="Times New Roman"/>
          <w:sz w:val="24"/>
          <w:szCs w:val="24"/>
        </w:rPr>
        <w:t>both priorities the importance of the relationship between mankind and nature, in their papers. Taking two different attempts with the same foundation to provide the required act of humankind. Kimmerer points out the TEK principles as something that is accessible for each individual, non-special requires are expected, the logical perception of the relation between nature and humankind, is a way of thinking and perceiving. Defining and concluding this attitude as "</w:t>
      </w:r>
      <w:r w:rsidR="00D20F17" w:rsidRPr="00BF2812">
        <w:rPr>
          <w:rFonts w:ascii="Times New Roman" w:hAnsi="Times New Roman" w:cs="Times New Roman"/>
          <w:i/>
          <w:iCs/>
          <w:sz w:val="24"/>
          <w:szCs w:val="24"/>
        </w:rPr>
        <w:t>Integrative thinking</w:t>
      </w:r>
      <w:r w:rsidR="00D20F17" w:rsidRPr="00BF2812">
        <w:rPr>
          <w:rFonts w:ascii="Times New Roman" w:hAnsi="Times New Roman" w:cs="Times New Roman"/>
          <w:sz w:val="24"/>
          <w:szCs w:val="24"/>
        </w:rPr>
        <w:t>",  is the leader for the necessary solution.</w:t>
      </w:r>
      <w:r>
        <w:rPr>
          <w:rFonts w:ascii="Times New Roman" w:hAnsi="Times New Roman" w:cs="Times New Roman"/>
          <w:sz w:val="24"/>
          <w:szCs w:val="24"/>
        </w:rPr>
        <w:t xml:space="preserve"> </w:t>
      </w:r>
      <w:r w:rsidR="00D20F17" w:rsidRPr="00BF2812">
        <w:rPr>
          <w:rFonts w:ascii="Times New Roman" w:hAnsi="Times New Roman" w:cs="Times New Roman"/>
          <w:sz w:val="24"/>
          <w:szCs w:val="24"/>
        </w:rPr>
        <w:t xml:space="preserve">Whereas </w:t>
      </w:r>
      <w:proofErr w:type="spellStart"/>
      <w:r w:rsidR="00D20F17" w:rsidRPr="00BF2812">
        <w:rPr>
          <w:rFonts w:ascii="Times New Roman" w:hAnsi="Times New Roman" w:cs="Times New Roman"/>
          <w:sz w:val="24"/>
          <w:szCs w:val="24"/>
        </w:rPr>
        <w:t>Schrolls</w:t>
      </w:r>
      <w:proofErr w:type="spellEnd"/>
      <w:r w:rsidR="00D20F17" w:rsidRPr="00BF2812">
        <w:rPr>
          <w:rFonts w:ascii="Times New Roman" w:hAnsi="Times New Roman" w:cs="Times New Roman"/>
          <w:sz w:val="24"/>
          <w:szCs w:val="24"/>
        </w:rPr>
        <w:t xml:space="preserve">, direction is towards the misinterpretation of subject and terms, linked to the unawareness of important facts in </w:t>
      </w:r>
      <w:r w:rsidR="00D20F17" w:rsidRPr="00BF2812">
        <w:rPr>
          <w:rFonts w:ascii="Times New Roman" w:hAnsi="Times New Roman" w:cs="Times New Roman"/>
          <w:i/>
          <w:iCs/>
          <w:sz w:val="24"/>
          <w:szCs w:val="24"/>
        </w:rPr>
        <w:t>psychol</w:t>
      </w:r>
      <w:r w:rsidR="00D20F17" w:rsidRPr="00BF2812">
        <w:rPr>
          <w:rFonts w:ascii="Times New Roman" w:hAnsi="Times New Roman" w:cs="Times New Roman"/>
          <w:sz w:val="24"/>
          <w:szCs w:val="24"/>
        </w:rPr>
        <w:t xml:space="preserve">ogical and </w:t>
      </w:r>
      <w:r w:rsidR="00D20F17" w:rsidRPr="00BF2812">
        <w:rPr>
          <w:rFonts w:ascii="Times New Roman" w:hAnsi="Times New Roman" w:cs="Times New Roman"/>
          <w:i/>
          <w:iCs/>
          <w:sz w:val="24"/>
          <w:szCs w:val="24"/>
        </w:rPr>
        <w:t>psyche</w:t>
      </w:r>
      <w:r w:rsidR="00D20F17" w:rsidRPr="00BF2812">
        <w:rPr>
          <w:rFonts w:ascii="Times New Roman" w:hAnsi="Times New Roman" w:cs="Times New Roman"/>
          <w:sz w:val="24"/>
          <w:szCs w:val="24"/>
        </w:rPr>
        <w:t>delics research. Pointing out the necessary transformation from “e</w:t>
      </w:r>
      <w:r w:rsidR="00D20F17" w:rsidRPr="00BF2812">
        <w:rPr>
          <w:rFonts w:ascii="Times New Roman" w:hAnsi="Times New Roman" w:cs="Times New Roman"/>
          <w:i/>
          <w:iCs/>
          <w:sz w:val="24"/>
          <w:szCs w:val="24"/>
        </w:rPr>
        <w:t>copsychology</w:t>
      </w:r>
      <w:r w:rsidR="00D20F17" w:rsidRPr="00BF2812">
        <w:rPr>
          <w:rFonts w:ascii="Times New Roman" w:hAnsi="Times New Roman" w:cs="Times New Roman"/>
          <w:sz w:val="24"/>
          <w:szCs w:val="24"/>
        </w:rPr>
        <w:t>” to “</w:t>
      </w:r>
      <w:r w:rsidR="00D20F17" w:rsidRPr="00BF2812">
        <w:rPr>
          <w:rFonts w:ascii="Times New Roman" w:hAnsi="Times New Roman" w:cs="Times New Roman"/>
          <w:i/>
          <w:iCs/>
          <w:sz w:val="24"/>
          <w:szCs w:val="24"/>
        </w:rPr>
        <w:t>transpersonal ecosophy</w:t>
      </w:r>
      <w:r w:rsidR="00D20F17" w:rsidRPr="00BF2812">
        <w:rPr>
          <w:rFonts w:ascii="Times New Roman" w:hAnsi="Times New Roman" w:cs="Times New Roman"/>
          <w:sz w:val="24"/>
          <w:szCs w:val="24"/>
        </w:rPr>
        <w:t xml:space="preserve">” and the present cruel state in humankind (“schizoid person”). As well Kimmerer as </w:t>
      </w:r>
      <w:proofErr w:type="spellStart"/>
      <w:r w:rsidR="00D20F17" w:rsidRPr="00BF2812">
        <w:rPr>
          <w:rFonts w:ascii="Times New Roman" w:hAnsi="Times New Roman" w:cs="Times New Roman"/>
          <w:sz w:val="24"/>
          <w:szCs w:val="24"/>
        </w:rPr>
        <w:t>Schroll</w:t>
      </w:r>
      <w:proofErr w:type="spellEnd"/>
      <w:r w:rsidR="00D20F17" w:rsidRPr="00BF2812">
        <w:rPr>
          <w:rFonts w:ascii="Times New Roman" w:hAnsi="Times New Roman" w:cs="Times New Roman"/>
          <w:sz w:val="24"/>
          <w:szCs w:val="24"/>
        </w:rPr>
        <w:t xml:space="preserve">, both agree on the importance of the transformation in perceiving and concluding the own place on this Planet, aiming the solution in the higher levels of human consciousness. Kimmerer explores the chance through the opportunity in native knowledge, passed by verbal traditionally authorities, to increase and remember the potential and responsibility for humankind . Where </w:t>
      </w:r>
      <w:proofErr w:type="spellStart"/>
      <w:r w:rsidR="00D20F17" w:rsidRPr="00BF2812">
        <w:rPr>
          <w:rFonts w:ascii="Times New Roman" w:hAnsi="Times New Roman" w:cs="Times New Roman"/>
          <w:sz w:val="24"/>
          <w:szCs w:val="24"/>
        </w:rPr>
        <w:t>Schroll</w:t>
      </w:r>
      <w:proofErr w:type="spellEnd"/>
      <w:r w:rsidR="00D20F17" w:rsidRPr="00BF2812">
        <w:rPr>
          <w:rFonts w:ascii="Times New Roman" w:hAnsi="Times New Roman" w:cs="Times New Roman"/>
          <w:sz w:val="24"/>
          <w:szCs w:val="24"/>
        </w:rPr>
        <w:t xml:space="preserve">, understands the solution in increasing the level of perception for the environment through psychedelics, to recognise the connection of mankind and nature, mirroring “Shamanism” as an example. Both authors lean in the direction of an increase and importance of human awareness that has no physical nature and therefore so hard to prove and expand. Comparing and concluding both methods, Kimmerer envisions the natural potential in humankind to solve the current impasse on this planet, where </w:t>
      </w:r>
      <w:proofErr w:type="spellStart"/>
      <w:r w:rsidR="00D20F17" w:rsidRPr="00BF2812">
        <w:rPr>
          <w:rFonts w:ascii="Times New Roman" w:hAnsi="Times New Roman" w:cs="Times New Roman"/>
          <w:sz w:val="24"/>
          <w:szCs w:val="24"/>
        </w:rPr>
        <w:t>Schroll</w:t>
      </w:r>
      <w:proofErr w:type="spellEnd"/>
      <w:r w:rsidR="00D20F17" w:rsidRPr="00BF2812">
        <w:rPr>
          <w:rFonts w:ascii="Times New Roman" w:hAnsi="Times New Roman" w:cs="Times New Roman"/>
          <w:sz w:val="24"/>
          <w:szCs w:val="24"/>
        </w:rPr>
        <w:t xml:space="preserve">, </w:t>
      </w:r>
      <w:r w:rsidRPr="00BF2812">
        <w:rPr>
          <w:rFonts w:ascii="Times New Roman" w:hAnsi="Times New Roman" w:cs="Times New Roman"/>
          <w:sz w:val="24"/>
          <w:szCs w:val="24"/>
        </w:rPr>
        <w:t>promote</w:t>
      </w:r>
      <w:r w:rsidR="00D20F17" w:rsidRPr="00BF2812">
        <w:rPr>
          <w:rFonts w:ascii="Times New Roman" w:hAnsi="Times New Roman" w:cs="Times New Roman"/>
          <w:sz w:val="24"/>
          <w:szCs w:val="24"/>
        </w:rPr>
        <w:t xml:space="preserve"> the necessary potential psychedelic usage. </w:t>
      </w:r>
      <w:proofErr w:type="spellStart"/>
      <w:r w:rsidR="00D20F17" w:rsidRPr="00BF2812">
        <w:rPr>
          <w:rFonts w:ascii="Times New Roman" w:hAnsi="Times New Roman" w:cs="Times New Roman"/>
          <w:sz w:val="24"/>
          <w:szCs w:val="24"/>
        </w:rPr>
        <w:t>Schroll</w:t>
      </w:r>
      <w:proofErr w:type="spellEnd"/>
      <w:r w:rsidR="00D20F17" w:rsidRPr="00BF2812">
        <w:rPr>
          <w:rFonts w:ascii="Times New Roman" w:hAnsi="Times New Roman" w:cs="Times New Roman"/>
          <w:sz w:val="24"/>
          <w:szCs w:val="24"/>
        </w:rPr>
        <w:t xml:space="preserve"> doubts mankind’s willingness and openness, referring to the collective “shadow”, examining this problem and displaying the long journey through psychoanalyses in individuals. Fact is, the cosmos and all living forms on this planet been created through harmony and balance, mankind is responsible for keeping </w:t>
      </w:r>
      <w:r w:rsidR="00D20F17" w:rsidRPr="00BF2812">
        <w:rPr>
          <w:rFonts w:ascii="Times New Roman" w:hAnsi="Times New Roman" w:cs="Times New Roman"/>
          <w:sz w:val="24"/>
          <w:szCs w:val="24"/>
        </w:rPr>
        <w:lastRenderedPageBreak/>
        <w:t>the magnitude balance out. The technological and education challenge is a reflection of the collective in all beings, the longer mankind waits, the tougher the turnaround will be.</w:t>
      </w:r>
    </w:p>
    <w:p w14:paraId="42228111" w14:textId="1B5A487E" w:rsidR="00D20F17" w:rsidRDefault="00D20F17" w:rsidP="00D20F17">
      <w:pPr>
        <w:spacing w:line="480" w:lineRule="auto"/>
        <w:rPr>
          <w:rFonts w:ascii="Times New Roman" w:hAnsi="Times New Roman" w:cs="Times New Roman"/>
          <w:sz w:val="24"/>
          <w:szCs w:val="24"/>
        </w:rPr>
      </w:pPr>
    </w:p>
    <w:p w14:paraId="719BCAF5" w14:textId="00C61A42" w:rsidR="00BF2812" w:rsidRDefault="00BF2812" w:rsidP="00D20F17">
      <w:pPr>
        <w:spacing w:line="480" w:lineRule="auto"/>
        <w:rPr>
          <w:rFonts w:ascii="Times New Roman" w:hAnsi="Times New Roman" w:cs="Times New Roman"/>
          <w:sz w:val="24"/>
          <w:szCs w:val="24"/>
        </w:rPr>
      </w:pPr>
    </w:p>
    <w:p w14:paraId="4AEA1631" w14:textId="116222D5" w:rsidR="00BF2812" w:rsidRDefault="00BF2812" w:rsidP="00D20F17">
      <w:pPr>
        <w:spacing w:line="480" w:lineRule="auto"/>
        <w:rPr>
          <w:rFonts w:ascii="Times New Roman" w:hAnsi="Times New Roman" w:cs="Times New Roman"/>
          <w:sz w:val="24"/>
          <w:szCs w:val="24"/>
        </w:rPr>
      </w:pPr>
    </w:p>
    <w:p w14:paraId="7CDEF9D3" w14:textId="1123198D" w:rsidR="00BF2812" w:rsidRDefault="00BF2812" w:rsidP="00D20F17">
      <w:pPr>
        <w:spacing w:line="480" w:lineRule="auto"/>
        <w:rPr>
          <w:rFonts w:ascii="Times New Roman" w:hAnsi="Times New Roman" w:cs="Times New Roman"/>
          <w:sz w:val="24"/>
          <w:szCs w:val="24"/>
        </w:rPr>
      </w:pPr>
    </w:p>
    <w:p w14:paraId="0A98007B" w14:textId="04572263" w:rsidR="00BF2812" w:rsidRDefault="00BF2812" w:rsidP="00D20F17">
      <w:pPr>
        <w:spacing w:line="480" w:lineRule="auto"/>
        <w:rPr>
          <w:rFonts w:ascii="Times New Roman" w:hAnsi="Times New Roman" w:cs="Times New Roman"/>
          <w:sz w:val="24"/>
          <w:szCs w:val="24"/>
        </w:rPr>
      </w:pPr>
    </w:p>
    <w:p w14:paraId="1DCEF02E" w14:textId="26E0E1BD" w:rsidR="00BF2812" w:rsidRDefault="00BF2812" w:rsidP="00D20F17">
      <w:pPr>
        <w:spacing w:line="480" w:lineRule="auto"/>
        <w:rPr>
          <w:rFonts w:ascii="Times New Roman" w:hAnsi="Times New Roman" w:cs="Times New Roman"/>
          <w:sz w:val="24"/>
          <w:szCs w:val="24"/>
        </w:rPr>
      </w:pPr>
    </w:p>
    <w:p w14:paraId="1C40DF03" w14:textId="7FB83746" w:rsidR="00BF2812" w:rsidRDefault="00BF2812" w:rsidP="00D20F17">
      <w:pPr>
        <w:spacing w:line="480" w:lineRule="auto"/>
        <w:rPr>
          <w:rFonts w:ascii="Times New Roman" w:hAnsi="Times New Roman" w:cs="Times New Roman"/>
          <w:sz w:val="24"/>
          <w:szCs w:val="24"/>
        </w:rPr>
      </w:pPr>
    </w:p>
    <w:p w14:paraId="592D79AE" w14:textId="40A1EECA" w:rsidR="00BF2812" w:rsidRDefault="00BF2812" w:rsidP="00D20F17">
      <w:pPr>
        <w:spacing w:line="480" w:lineRule="auto"/>
        <w:rPr>
          <w:rFonts w:ascii="Times New Roman" w:hAnsi="Times New Roman" w:cs="Times New Roman"/>
          <w:sz w:val="24"/>
          <w:szCs w:val="24"/>
        </w:rPr>
      </w:pPr>
    </w:p>
    <w:p w14:paraId="1F528869" w14:textId="3C47F37F" w:rsidR="00BF2812" w:rsidRDefault="00BF2812" w:rsidP="00D20F17">
      <w:pPr>
        <w:spacing w:line="480" w:lineRule="auto"/>
        <w:rPr>
          <w:rFonts w:ascii="Times New Roman" w:hAnsi="Times New Roman" w:cs="Times New Roman"/>
          <w:sz w:val="24"/>
          <w:szCs w:val="24"/>
        </w:rPr>
      </w:pPr>
    </w:p>
    <w:p w14:paraId="2F551053" w14:textId="6D601B0A" w:rsidR="00BF2812" w:rsidRDefault="00BF2812" w:rsidP="00D20F17">
      <w:pPr>
        <w:spacing w:line="480" w:lineRule="auto"/>
        <w:rPr>
          <w:rFonts w:ascii="Times New Roman" w:hAnsi="Times New Roman" w:cs="Times New Roman"/>
          <w:sz w:val="24"/>
          <w:szCs w:val="24"/>
        </w:rPr>
      </w:pPr>
    </w:p>
    <w:p w14:paraId="1AFA3523" w14:textId="0BD545C7" w:rsidR="00BF2812" w:rsidRDefault="00BF2812" w:rsidP="00D20F17">
      <w:pPr>
        <w:spacing w:line="480" w:lineRule="auto"/>
        <w:rPr>
          <w:rFonts w:ascii="Times New Roman" w:hAnsi="Times New Roman" w:cs="Times New Roman"/>
          <w:sz w:val="24"/>
          <w:szCs w:val="24"/>
        </w:rPr>
      </w:pPr>
    </w:p>
    <w:p w14:paraId="0FE29067" w14:textId="01CA803C" w:rsidR="00BF2812" w:rsidRDefault="00BF2812" w:rsidP="00D20F17">
      <w:pPr>
        <w:spacing w:line="480" w:lineRule="auto"/>
        <w:rPr>
          <w:rFonts w:ascii="Times New Roman" w:hAnsi="Times New Roman" w:cs="Times New Roman"/>
          <w:sz w:val="24"/>
          <w:szCs w:val="24"/>
        </w:rPr>
      </w:pPr>
    </w:p>
    <w:p w14:paraId="50A635D8" w14:textId="136C7438" w:rsidR="00BF2812" w:rsidRDefault="00BF2812" w:rsidP="00D20F17">
      <w:pPr>
        <w:spacing w:line="480" w:lineRule="auto"/>
        <w:rPr>
          <w:rFonts w:ascii="Times New Roman" w:hAnsi="Times New Roman" w:cs="Times New Roman"/>
          <w:sz w:val="24"/>
          <w:szCs w:val="24"/>
        </w:rPr>
      </w:pPr>
    </w:p>
    <w:p w14:paraId="42B33D2B" w14:textId="713E76A1" w:rsidR="00BF2812" w:rsidRDefault="00BF2812" w:rsidP="00D20F17">
      <w:pPr>
        <w:spacing w:line="480" w:lineRule="auto"/>
        <w:rPr>
          <w:rFonts w:ascii="Times New Roman" w:hAnsi="Times New Roman" w:cs="Times New Roman"/>
          <w:sz w:val="24"/>
          <w:szCs w:val="24"/>
        </w:rPr>
      </w:pPr>
    </w:p>
    <w:p w14:paraId="045A00CB" w14:textId="0BDD1A6E" w:rsidR="00BF2812" w:rsidRDefault="00BF2812" w:rsidP="00D20F17">
      <w:pPr>
        <w:spacing w:line="480" w:lineRule="auto"/>
        <w:rPr>
          <w:rFonts w:ascii="Times New Roman" w:hAnsi="Times New Roman" w:cs="Times New Roman"/>
          <w:sz w:val="24"/>
          <w:szCs w:val="24"/>
        </w:rPr>
      </w:pPr>
    </w:p>
    <w:p w14:paraId="0950D8BF" w14:textId="7D97DFFD" w:rsidR="00BF2812" w:rsidRDefault="00BF2812" w:rsidP="00D20F17">
      <w:pPr>
        <w:spacing w:line="480" w:lineRule="auto"/>
        <w:rPr>
          <w:rFonts w:ascii="Times New Roman" w:hAnsi="Times New Roman" w:cs="Times New Roman"/>
          <w:sz w:val="24"/>
          <w:szCs w:val="24"/>
        </w:rPr>
      </w:pPr>
    </w:p>
    <w:p w14:paraId="4678ED7D" w14:textId="77777777" w:rsidR="00BF2812" w:rsidRPr="00DB283F" w:rsidRDefault="00BF2812" w:rsidP="00D20F17">
      <w:pPr>
        <w:spacing w:line="480" w:lineRule="auto"/>
        <w:rPr>
          <w:rFonts w:ascii="Times New Roman" w:hAnsi="Times New Roman" w:cs="Times New Roman"/>
          <w:sz w:val="24"/>
          <w:szCs w:val="24"/>
        </w:rPr>
      </w:pPr>
    </w:p>
    <w:p w14:paraId="40BE3D2C" w14:textId="77777777" w:rsidR="00D20F17" w:rsidRPr="003B442B" w:rsidRDefault="00D20F17" w:rsidP="00D20F17">
      <w:pPr>
        <w:spacing w:line="480" w:lineRule="auto"/>
        <w:rPr>
          <w:rFonts w:ascii="Times New Roman" w:hAnsi="Times New Roman" w:cs="Times New Roman"/>
          <w:sz w:val="24"/>
          <w:szCs w:val="24"/>
          <w:highlight w:val="yellow"/>
        </w:rPr>
      </w:pPr>
    </w:p>
    <w:p w14:paraId="5D3D8C36" w14:textId="77777777" w:rsidR="00D20F17" w:rsidRPr="00A63A42" w:rsidRDefault="00D20F17" w:rsidP="00D20F17">
      <w:pPr>
        <w:spacing w:line="360" w:lineRule="auto"/>
        <w:ind w:left="2880" w:firstLine="720"/>
        <w:rPr>
          <w:sz w:val="24"/>
          <w:szCs w:val="24"/>
        </w:rPr>
      </w:pPr>
      <w:r w:rsidRPr="0016667A">
        <w:rPr>
          <w:sz w:val="44"/>
          <w:szCs w:val="44"/>
        </w:rPr>
        <w:lastRenderedPageBreak/>
        <w:t>References :</w:t>
      </w:r>
    </w:p>
    <w:p w14:paraId="1D38DB8C" w14:textId="77777777" w:rsidR="00D20F17" w:rsidRPr="0016667A" w:rsidRDefault="00D20F17" w:rsidP="00D20F17">
      <w:pPr>
        <w:pStyle w:val="NormalWeb"/>
        <w:spacing w:before="0" w:beforeAutospacing="0" w:after="0" w:afterAutospacing="0" w:line="480" w:lineRule="auto"/>
        <w:ind w:hanging="720"/>
        <w:rPr>
          <w:color w:val="000000"/>
        </w:rPr>
      </w:pPr>
      <w:proofErr w:type="spellStart"/>
      <w:r w:rsidRPr="0016667A">
        <w:rPr>
          <w:color w:val="000000"/>
        </w:rPr>
        <w:t>Blaschke</w:t>
      </w:r>
      <w:proofErr w:type="spellEnd"/>
      <w:r w:rsidRPr="0016667A">
        <w:rPr>
          <w:color w:val="000000"/>
        </w:rPr>
        <w:t>, P. (2013). </w:t>
      </w:r>
      <w:r w:rsidRPr="0016667A">
        <w:rPr>
          <w:i/>
          <w:iCs/>
          <w:color w:val="000000"/>
        </w:rPr>
        <w:t>Health and wellbeing benefits of conservation in New Zealand</w:t>
      </w:r>
      <w:r w:rsidRPr="0016667A">
        <w:rPr>
          <w:color w:val="000000"/>
        </w:rPr>
        <w:t>. Retrieved from https://www.doc.govt.nz/Documents/science-and-technical/sfc321entire.pdf</w:t>
      </w:r>
    </w:p>
    <w:p w14:paraId="294B3ADD" w14:textId="77777777" w:rsidR="00D20F17" w:rsidRPr="0016667A" w:rsidRDefault="00D20F17" w:rsidP="00D20F17">
      <w:pPr>
        <w:pStyle w:val="NormalWeb"/>
        <w:spacing w:before="0" w:beforeAutospacing="0" w:after="0" w:afterAutospacing="0" w:line="480" w:lineRule="auto"/>
        <w:ind w:hanging="720"/>
        <w:rPr>
          <w:color w:val="000000"/>
        </w:rPr>
      </w:pPr>
      <w:proofErr w:type="spellStart"/>
      <w:r w:rsidRPr="0016667A">
        <w:rPr>
          <w:color w:val="000000"/>
        </w:rPr>
        <w:t>Cambray</w:t>
      </w:r>
      <w:proofErr w:type="spellEnd"/>
      <w:r w:rsidRPr="0016667A">
        <w:rPr>
          <w:color w:val="000000"/>
        </w:rPr>
        <w:t>, J. (2017). The emergence of the ecological mind in Hua-Yen/</w:t>
      </w:r>
      <w:proofErr w:type="spellStart"/>
      <w:r w:rsidRPr="0016667A">
        <w:rPr>
          <w:color w:val="000000"/>
        </w:rPr>
        <w:t>Kegon</w:t>
      </w:r>
      <w:proofErr w:type="spellEnd"/>
      <w:r w:rsidRPr="0016667A">
        <w:rPr>
          <w:color w:val="000000"/>
        </w:rPr>
        <w:t xml:space="preserve"> Buddhism and Jungian psychology. </w:t>
      </w:r>
      <w:r w:rsidRPr="0016667A">
        <w:rPr>
          <w:i/>
          <w:iCs/>
          <w:color w:val="000000"/>
        </w:rPr>
        <w:t>Journal of Analytical Psychology</w:t>
      </w:r>
      <w:r w:rsidRPr="0016667A">
        <w:rPr>
          <w:color w:val="000000"/>
        </w:rPr>
        <w:t>, </w:t>
      </w:r>
      <w:r w:rsidRPr="0016667A">
        <w:rPr>
          <w:i/>
          <w:iCs/>
          <w:color w:val="000000"/>
        </w:rPr>
        <w:t>62</w:t>
      </w:r>
      <w:r w:rsidRPr="0016667A">
        <w:rPr>
          <w:color w:val="000000"/>
        </w:rPr>
        <w:t>(1), 20–31. https://doi.org/10.1111/1468-5922.12277</w:t>
      </w:r>
    </w:p>
    <w:p w14:paraId="461E022F"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 xml:space="preserve">De </w:t>
      </w:r>
      <w:proofErr w:type="spellStart"/>
      <w:r w:rsidRPr="0016667A">
        <w:rPr>
          <w:color w:val="000000"/>
        </w:rPr>
        <w:t>Leersnyder</w:t>
      </w:r>
      <w:proofErr w:type="spellEnd"/>
      <w:r w:rsidRPr="0016667A">
        <w:rPr>
          <w:color w:val="000000"/>
        </w:rPr>
        <w:t xml:space="preserve">, J., </w:t>
      </w:r>
      <w:proofErr w:type="spellStart"/>
      <w:r w:rsidRPr="0016667A">
        <w:rPr>
          <w:color w:val="000000"/>
        </w:rPr>
        <w:t>Boiger</w:t>
      </w:r>
      <w:proofErr w:type="spellEnd"/>
      <w:r w:rsidRPr="0016667A">
        <w:rPr>
          <w:color w:val="000000"/>
        </w:rPr>
        <w:t>, M., &amp; Mesquita, B. (2015). Cultural Differences in Emotions. </w:t>
      </w:r>
      <w:r w:rsidRPr="0016667A">
        <w:rPr>
          <w:i/>
          <w:iCs/>
          <w:color w:val="000000"/>
        </w:rPr>
        <w:t xml:space="preserve">Emerging Trends in the Social and </w:t>
      </w:r>
      <w:proofErr w:type="spellStart"/>
      <w:r w:rsidRPr="0016667A">
        <w:rPr>
          <w:i/>
          <w:iCs/>
          <w:color w:val="000000"/>
        </w:rPr>
        <w:t>Behavioral</w:t>
      </w:r>
      <w:proofErr w:type="spellEnd"/>
      <w:r w:rsidRPr="0016667A">
        <w:rPr>
          <w:i/>
          <w:iCs/>
          <w:color w:val="000000"/>
        </w:rPr>
        <w:t xml:space="preserve"> Sciences</w:t>
      </w:r>
      <w:r w:rsidRPr="0016667A">
        <w:rPr>
          <w:color w:val="000000"/>
        </w:rPr>
        <w:t>, 1–15. https://doi.org/10.1002/9781118900772.etrds0060</w:t>
      </w:r>
    </w:p>
    <w:p w14:paraId="08468D02" w14:textId="77777777" w:rsidR="00D20F17" w:rsidRPr="0016667A" w:rsidRDefault="00D20F17" w:rsidP="00D20F17">
      <w:pPr>
        <w:pStyle w:val="NormalWeb"/>
        <w:spacing w:before="0" w:beforeAutospacing="0" w:after="0" w:afterAutospacing="0" w:line="480" w:lineRule="auto"/>
        <w:ind w:hanging="720"/>
        <w:rPr>
          <w:color w:val="000000"/>
        </w:rPr>
      </w:pPr>
      <w:proofErr w:type="spellStart"/>
      <w:r w:rsidRPr="0016667A">
        <w:rPr>
          <w:color w:val="000000"/>
        </w:rPr>
        <w:t>Durning</w:t>
      </w:r>
      <w:proofErr w:type="spellEnd"/>
      <w:r w:rsidRPr="0016667A">
        <w:rPr>
          <w:color w:val="000000"/>
        </w:rPr>
        <w:t>, A. (1992). Guardians of the Land: Indigenous Peoples and the Health of the Earth | PCLG. Retrieved November 7, 2020, from www.povertyandconservation.info website: https://www.povertyandconservation.info/en/biblio/b0238</w:t>
      </w:r>
    </w:p>
    <w:p w14:paraId="159C4797" w14:textId="77777777" w:rsidR="00D20F17" w:rsidRPr="0016667A" w:rsidRDefault="00D20F17" w:rsidP="00D20F17">
      <w:pPr>
        <w:pStyle w:val="NormalWeb"/>
        <w:spacing w:before="0" w:beforeAutospacing="0" w:after="0" w:afterAutospacing="0" w:line="480" w:lineRule="auto"/>
        <w:ind w:hanging="720"/>
        <w:rPr>
          <w:color w:val="000000"/>
        </w:rPr>
      </w:pPr>
      <w:proofErr w:type="spellStart"/>
      <w:r w:rsidRPr="0016667A">
        <w:rPr>
          <w:color w:val="000000"/>
        </w:rPr>
        <w:t>Grof</w:t>
      </w:r>
      <w:proofErr w:type="spellEnd"/>
      <w:r w:rsidRPr="0016667A">
        <w:rPr>
          <w:color w:val="000000"/>
        </w:rPr>
        <w:t xml:space="preserve">, S., </w:t>
      </w:r>
      <w:proofErr w:type="spellStart"/>
      <w:r w:rsidRPr="0016667A">
        <w:rPr>
          <w:color w:val="000000"/>
        </w:rPr>
        <w:t>Grob</w:t>
      </w:r>
      <w:proofErr w:type="spellEnd"/>
      <w:r w:rsidRPr="0016667A">
        <w:rPr>
          <w:color w:val="000000"/>
        </w:rPr>
        <w:t>, C., Torrance, M., Bravo, G., Rosa, R., Walsh, &amp; Irvine. (2008). BIRTHING THE TRANSPERSONAL. </w:t>
      </w:r>
      <w:r w:rsidRPr="0016667A">
        <w:rPr>
          <w:i/>
          <w:iCs/>
          <w:color w:val="000000"/>
        </w:rPr>
        <w:t>The Journal of Transpersonal Psychology</w:t>
      </w:r>
      <w:r w:rsidRPr="0016667A">
        <w:rPr>
          <w:color w:val="000000"/>
        </w:rPr>
        <w:t>, </w:t>
      </w:r>
      <w:r w:rsidRPr="0016667A">
        <w:rPr>
          <w:i/>
          <w:iCs/>
          <w:color w:val="000000"/>
        </w:rPr>
        <w:t>40</w:t>
      </w:r>
      <w:r w:rsidRPr="0016667A">
        <w:rPr>
          <w:color w:val="000000"/>
        </w:rPr>
        <w:t>(2). Retrieved from http://www.atpweb.org/jtparchive/trps-40-08-02-155.pdf</w:t>
      </w:r>
    </w:p>
    <w:p w14:paraId="277338BC" w14:textId="77777777" w:rsidR="00D20F17" w:rsidRPr="0016667A" w:rsidRDefault="00D20F17" w:rsidP="00D20F17">
      <w:pPr>
        <w:pStyle w:val="NormalWeb"/>
        <w:spacing w:before="0" w:beforeAutospacing="0" w:after="0" w:afterAutospacing="0" w:line="480" w:lineRule="auto"/>
        <w:ind w:hanging="720"/>
        <w:rPr>
          <w:color w:val="000000"/>
        </w:rPr>
      </w:pPr>
      <w:proofErr w:type="spellStart"/>
      <w:r w:rsidRPr="0016667A">
        <w:rPr>
          <w:color w:val="000000"/>
        </w:rPr>
        <w:t>Kesebir</w:t>
      </w:r>
      <w:proofErr w:type="spellEnd"/>
      <w:r w:rsidRPr="0016667A">
        <w:rPr>
          <w:color w:val="000000"/>
        </w:rPr>
        <w:t xml:space="preserve">, S., &amp; </w:t>
      </w:r>
      <w:proofErr w:type="spellStart"/>
      <w:r w:rsidRPr="0016667A">
        <w:rPr>
          <w:color w:val="000000"/>
        </w:rPr>
        <w:t>Kesebir</w:t>
      </w:r>
      <w:proofErr w:type="spellEnd"/>
      <w:r w:rsidRPr="0016667A">
        <w:rPr>
          <w:color w:val="000000"/>
        </w:rPr>
        <w:t>, P. (2017). A Growing Disconnection From Nature Is Evident in Cultural Products. </w:t>
      </w:r>
      <w:r w:rsidRPr="0016667A">
        <w:rPr>
          <w:i/>
          <w:iCs/>
          <w:color w:val="000000"/>
        </w:rPr>
        <w:t>Perspectives on Psychological Science</w:t>
      </w:r>
      <w:r w:rsidRPr="0016667A">
        <w:rPr>
          <w:color w:val="000000"/>
        </w:rPr>
        <w:t>, </w:t>
      </w:r>
      <w:r w:rsidRPr="0016667A">
        <w:rPr>
          <w:i/>
          <w:iCs/>
          <w:color w:val="000000"/>
        </w:rPr>
        <w:t>12</w:t>
      </w:r>
      <w:r w:rsidRPr="0016667A">
        <w:rPr>
          <w:color w:val="000000"/>
        </w:rPr>
        <w:t>(2), 258–269. https://doi.org/10.1177/1745691616662473</w:t>
      </w:r>
    </w:p>
    <w:p w14:paraId="0A5445B6"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Kimmerer, R. (1998). Weaving Traditional Ecological Knowledge Into Biological Education - A Call to Action | Ecology | Conservation Biology. Retrieved from Scribd website: https://www.scribd.com/document/45334787/Weaving-Traditional-Ecological-Knowledge-Into-Biological-Education-A-Call-to-Action</w:t>
      </w:r>
    </w:p>
    <w:p w14:paraId="5E03208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Kimmerer, R. W. (2002). Weaving Traditional Ecological Knowledge into Biological Education: A Call to Action. </w:t>
      </w:r>
      <w:proofErr w:type="spellStart"/>
      <w:r w:rsidRPr="0016667A">
        <w:rPr>
          <w:i/>
          <w:iCs/>
          <w:color w:val="000000"/>
        </w:rPr>
        <w:t>BioScience</w:t>
      </w:r>
      <w:proofErr w:type="spellEnd"/>
      <w:r w:rsidRPr="0016667A">
        <w:rPr>
          <w:color w:val="000000"/>
        </w:rPr>
        <w:t>, </w:t>
      </w:r>
      <w:r w:rsidRPr="0016667A">
        <w:rPr>
          <w:i/>
          <w:iCs/>
          <w:color w:val="000000"/>
        </w:rPr>
        <w:t>52</w:t>
      </w:r>
      <w:r w:rsidRPr="0016667A">
        <w:rPr>
          <w:color w:val="000000"/>
        </w:rPr>
        <w:t>(5), 432. https://doi.org/10.1641/0006-3568(2002)052[0432:wtekib]2.0.co;2</w:t>
      </w:r>
    </w:p>
    <w:p w14:paraId="39047500"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lastRenderedPageBreak/>
        <w:t>Kremer, J., &amp; Rothberg, D. (1999). </w:t>
      </w:r>
      <w:r w:rsidRPr="0016667A">
        <w:rPr>
          <w:i/>
          <w:iCs/>
          <w:color w:val="000000"/>
        </w:rPr>
        <w:t>Title: Facing the Collective Shadow</w:t>
      </w:r>
      <w:r w:rsidRPr="0016667A">
        <w:rPr>
          <w:color w:val="000000"/>
        </w:rPr>
        <w:t>. </w:t>
      </w:r>
      <w:r w:rsidRPr="0016667A">
        <w:rPr>
          <w:i/>
          <w:iCs/>
          <w:color w:val="000000"/>
        </w:rPr>
        <w:t>22</w:t>
      </w:r>
      <w:r w:rsidRPr="0016667A">
        <w:rPr>
          <w:color w:val="000000"/>
        </w:rPr>
        <w:t>(1). Retrieved from https://library.wisn.org/wp-content/uploads/2014/12/facing_the_collective_shadow.pdf</w:t>
      </w:r>
    </w:p>
    <w:p w14:paraId="7B09482E"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Lombard, C. A. (2017). Psychosynthesis: A Foundational Bridge Between Psychology and Spirituality. </w:t>
      </w:r>
      <w:r w:rsidRPr="0016667A">
        <w:rPr>
          <w:i/>
          <w:iCs/>
          <w:color w:val="000000"/>
        </w:rPr>
        <w:t>Pastoral Psychology</w:t>
      </w:r>
      <w:r w:rsidRPr="0016667A">
        <w:rPr>
          <w:color w:val="000000"/>
        </w:rPr>
        <w:t>, </w:t>
      </w:r>
      <w:r w:rsidRPr="0016667A">
        <w:rPr>
          <w:i/>
          <w:iCs/>
          <w:color w:val="000000"/>
        </w:rPr>
        <w:t>66</w:t>
      </w:r>
      <w:r w:rsidRPr="0016667A">
        <w:rPr>
          <w:color w:val="000000"/>
        </w:rPr>
        <w:t>(4), 461–485. https://doi.org/10.1007/s11089-017-0753-5</w:t>
      </w:r>
    </w:p>
    <w:p w14:paraId="2E22FBFB"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 xml:space="preserve">Luke, D. (2011). Anomalous phenomena, psi and altered consciousness (E. </w:t>
      </w:r>
      <w:proofErr w:type="spellStart"/>
      <w:r w:rsidRPr="0016667A">
        <w:rPr>
          <w:color w:val="000000"/>
        </w:rPr>
        <w:t>Cardeña</w:t>
      </w:r>
      <w:proofErr w:type="spellEnd"/>
      <w:r w:rsidRPr="0016667A">
        <w:rPr>
          <w:color w:val="000000"/>
        </w:rPr>
        <w:t xml:space="preserve"> &amp; M. Winkelman, Eds.). Retrieved November 7, 2020, from gala.gre.ac.uk website: https://gala.gre.ac.uk/id/eprint/3893/</w:t>
      </w:r>
    </w:p>
    <w:p w14:paraId="0F299BF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Maslow, A. H. (1961). Peak experiences as acute identity experiences. </w:t>
      </w:r>
      <w:r w:rsidRPr="0016667A">
        <w:rPr>
          <w:i/>
          <w:iCs/>
          <w:color w:val="000000"/>
        </w:rPr>
        <w:t>The American Journal of Psychoanalysis</w:t>
      </w:r>
      <w:r w:rsidRPr="0016667A">
        <w:rPr>
          <w:color w:val="000000"/>
        </w:rPr>
        <w:t>, </w:t>
      </w:r>
      <w:r w:rsidRPr="0016667A">
        <w:rPr>
          <w:i/>
          <w:iCs/>
          <w:color w:val="000000"/>
        </w:rPr>
        <w:t>21</w:t>
      </w:r>
      <w:r w:rsidRPr="0016667A">
        <w:rPr>
          <w:color w:val="000000"/>
        </w:rPr>
        <w:t>(2), 254–262. https://doi.org/10.1007/bf01873126</w:t>
      </w:r>
    </w:p>
    <w:p w14:paraId="4A51D72E" w14:textId="77777777" w:rsidR="00D20F17" w:rsidRPr="0016667A" w:rsidRDefault="00D20F17" w:rsidP="00D20F17">
      <w:pPr>
        <w:pStyle w:val="NormalWeb"/>
        <w:spacing w:before="0" w:beforeAutospacing="0" w:after="0" w:afterAutospacing="0" w:line="480" w:lineRule="auto"/>
        <w:ind w:hanging="720"/>
        <w:rPr>
          <w:color w:val="000000"/>
        </w:rPr>
      </w:pPr>
      <w:proofErr w:type="spellStart"/>
      <w:r w:rsidRPr="0016667A">
        <w:rPr>
          <w:color w:val="000000"/>
        </w:rPr>
        <w:t>Metzner</w:t>
      </w:r>
      <w:proofErr w:type="spellEnd"/>
      <w:r w:rsidRPr="0016667A">
        <w:rPr>
          <w:color w:val="000000"/>
        </w:rPr>
        <w:t xml:space="preserve">, R. (2004). Sacred Mushroom of Visions: </w:t>
      </w:r>
      <w:proofErr w:type="spellStart"/>
      <w:r w:rsidRPr="0016667A">
        <w:rPr>
          <w:color w:val="000000"/>
        </w:rPr>
        <w:t>Teonanácatl</w:t>
      </w:r>
      <w:proofErr w:type="spellEnd"/>
      <w:r w:rsidRPr="0016667A">
        <w:rPr>
          <w:color w:val="000000"/>
        </w:rPr>
        <w:t>. In </w:t>
      </w:r>
      <w:r w:rsidRPr="0016667A">
        <w:rPr>
          <w:i/>
          <w:iCs/>
          <w:color w:val="000000"/>
        </w:rPr>
        <w:t>www.simonandschuster.co.uk</w:t>
      </w:r>
      <w:r w:rsidRPr="0016667A">
        <w:rPr>
          <w:color w:val="000000"/>
        </w:rPr>
        <w:t>. Retrieved from https://www.simonandschuster.co.uk/books/Sacred-Mushroom-of-Visions-Teonanacatl/Ralph-Metzner/9781594776281</w:t>
      </w:r>
    </w:p>
    <w:p w14:paraId="40B8E83C"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Miller, K. R. (1986). IUCN—The World Conservation Union. </w:t>
      </w:r>
      <w:r w:rsidRPr="0016667A">
        <w:rPr>
          <w:i/>
          <w:iCs/>
          <w:color w:val="000000"/>
        </w:rPr>
        <w:t>Environmental Conservation</w:t>
      </w:r>
      <w:r w:rsidRPr="0016667A">
        <w:rPr>
          <w:color w:val="000000"/>
        </w:rPr>
        <w:t>, </w:t>
      </w:r>
      <w:r w:rsidRPr="0016667A">
        <w:rPr>
          <w:i/>
          <w:iCs/>
          <w:color w:val="000000"/>
        </w:rPr>
        <w:t>13</w:t>
      </w:r>
      <w:r w:rsidRPr="0016667A">
        <w:rPr>
          <w:color w:val="000000"/>
        </w:rPr>
        <w:t>(4), 287–28</w:t>
      </w:r>
      <w:r w:rsidRPr="0016667A">
        <w:t>9</w:t>
      </w:r>
      <w:r w:rsidRPr="00CD5A3F">
        <w:t>.</w:t>
      </w:r>
      <w:r w:rsidRPr="002C5BB8">
        <w:t xml:space="preserve"> </w:t>
      </w:r>
      <w:hyperlink r:id="rId6" w:history="1">
        <w:r w:rsidRPr="002C5BB8">
          <w:rPr>
            <w:rStyle w:val="Hyperlink"/>
            <w:color w:val="auto"/>
            <w:u w:val="none"/>
          </w:rPr>
          <w:t>https://doi.org/10.1017/s037689290003530x</w:t>
        </w:r>
      </w:hyperlink>
    </w:p>
    <w:p w14:paraId="10B22E8D"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United Nations Development Programme | UNDP. (2020.). Retrieved from Exposure website: www.undp.org</w:t>
      </w:r>
    </w:p>
    <w:p w14:paraId="1EB08827"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 xml:space="preserve">van </w:t>
      </w:r>
      <w:proofErr w:type="spellStart"/>
      <w:r w:rsidRPr="0016667A">
        <w:rPr>
          <w:color w:val="000000"/>
        </w:rPr>
        <w:t>Zanten</w:t>
      </w:r>
      <w:proofErr w:type="spellEnd"/>
      <w:r w:rsidRPr="0016667A">
        <w:rPr>
          <w:color w:val="000000"/>
        </w:rPr>
        <w:t xml:space="preserve">, M., </w:t>
      </w:r>
      <w:proofErr w:type="spellStart"/>
      <w:r w:rsidRPr="0016667A">
        <w:rPr>
          <w:color w:val="000000"/>
        </w:rPr>
        <w:t>Norcini</w:t>
      </w:r>
      <w:proofErr w:type="spellEnd"/>
      <w:r w:rsidRPr="0016667A">
        <w:rPr>
          <w:color w:val="000000"/>
        </w:rPr>
        <w:t>, J. J., Boulet, J. R., &amp; Simon, F. (2008). Overview of accreditation of undergraduate medical education programmes worldwide. </w:t>
      </w:r>
      <w:r w:rsidRPr="0016667A">
        <w:rPr>
          <w:i/>
          <w:iCs/>
          <w:color w:val="000000"/>
        </w:rPr>
        <w:t>Medical Education</w:t>
      </w:r>
      <w:r w:rsidRPr="0016667A">
        <w:rPr>
          <w:color w:val="000000"/>
        </w:rPr>
        <w:t>, </w:t>
      </w:r>
      <w:r w:rsidRPr="0016667A">
        <w:rPr>
          <w:i/>
          <w:iCs/>
          <w:color w:val="000000"/>
        </w:rPr>
        <w:t>42</w:t>
      </w:r>
      <w:r w:rsidRPr="0016667A">
        <w:rPr>
          <w:color w:val="000000"/>
        </w:rPr>
        <w:t>(9), 930–937. https://doi.org/10.1111/j.1365-2923.2008.03092.x</w:t>
      </w:r>
    </w:p>
    <w:p w14:paraId="75640B18" w14:textId="77777777" w:rsidR="00D20F17" w:rsidRPr="0016667A" w:rsidRDefault="00D20F17" w:rsidP="00D20F17">
      <w:pPr>
        <w:pStyle w:val="NormalWeb"/>
        <w:spacing w:before="0" w:beforeAutospacing="0" w:after="0" w:afterAutospacing="0" w:line="480" w:lineRule="auto"/>
        <w:ind w:hanging="720"/>
        <w:rPr>
          <w:color w:val="000000"/>
        </w:rPr>
      </w:pPr>
      <w:r w:rsidRPr="0016667A">
        <w:rPr>
          <w:color w:val="000000"/>
        </w:rPr>
        <w:t>Winkelman, M. J. (2018). Identifying the nature of shamanism. </w:t>
      </w:r>
      <w:r w:rsidRPr="0016667A">
        <w:rPr>
          <w:i/>
          <w:iCs/>
          <w:color w:val="000000"/>
        </w:rPr>
        <w:t xml:space="preserve">The </w:t>
      </w:r>
      <w:proofErr w:type="spellStart"/>
      <w:r w:rsidRPr="0016667A">
        <w:rPr>
          <w:i/>
          <w:iCs/>
          <w:color w:val="000000"/>
        </w:rPr>
        <w:t>Behavioral</w:t>
      </w:r>
      <w:proofErr w:type="spellEnd"/>
      <w:r w:rsidRPr="0016667A">
        <w:rPr>
          <w:i/>
          <w:iCs/>
          <w:color w:val="000000"/>
        </w:rPr>
        <w:t xml:space="preserve"> and Brain Sciences</w:t>
      </w:r>
      <w:r w:rsidRPr="0016667A">
        <w:rPr>
          <w:color w:val="000000"/>
        </w:rPr>
        <w:t>, </w:t>
      </w:r>
      <w:r w:rsidRPr="0016667A">
        <w:rPr>
          <w:i/>
          <w:iCs/>
          <w:color w:val="000000"/>
        </w:rPr>
        <w:t>41</w:t>
      </w:r>
      <w:r w:rsidRPr="0016667A">
        <w:rPr>
          <w:color w:val="000000"/>
        </w:rPr>
        <w:t>, e90. https://doi.org/10.1017/S0140525X17002217</w:t>
      </w:r>
    </w:p>
    <w:p w14:paraId="1A0A8A23" w14:textId="77777777" w:rsidR="00D20F17" w:rsidRPr="0016667A" w:rsidRDefault="00D20F17" w:rsidP="00D20F17">
      <w:pPr>
        <w:pStyle w:val="NormalWeb"/>
        <w:rPr>
          <w:color w:val="000000"/>
        </w:rPr>
      </w:pPr>
      <w:r w:rsidRPr="0016667A">
        <w:rPr>
          <w:color w:val="000000"/>
        </w:rPr>
        <w:t>‌</w:t>
      </w:r>
    </w:p>
    <w:p w14:paraId="21622247" w14:textId="77777777" w:rsidR="00D20F17" w:rsidRPr="0016667A" w:rsidRDefault="00D20F17" w:rsidP="00D20F17">
      <w:pPr>
        <w:spacing w:line="360" w:lineRule="auto"/>
        <w:jc w:val="center"/>
        <w:rPr>
          <w:sz w:val="44"/>
          <w:szCs w:val="44"/>
        </w:rPr>
      </w:pPr>
    </w:p>
    <w:p w14:paraId="4CC9D529" w14:textId="77777777" w:rsidR="00D20F17" w:rsidRPr="0016667A" w:rsidRDefault="00D20F17" w:rsidP="00D20F17">
      <w:pPr>
        <w:spacing w:line="360" w:lineRule="auto"/>
        <w:rPr>
          <w:rStyle w:val="Hyperlink"/>
          <w:sz w:val="24"/>
          <w:szCs w:val="24"/>
        </w:rPr>
      </w:pPr>
    </w:p>
    <w:p w14:paraId="760357CA" w14:textId="77777777" w:rsidR="00D20F17" w:rsidRPr="0016667A" w:rsidRDefault="00D20F17" w:rsidP="00D20F17">
      <w:pPr>
        <w:spacing w:line="360" w:lineRule="auto"/>
        <w:rPr>
          <w:sz w:val="24"/>
          <w:szCs w:val="24"/>
        </w:rPr>
      </w:pPr>
    </w:p>
    <w:p w14:paraId="794BCEAD" w14:textId="77777777" w:rsidR="00D20F17" w:rsidRPr="0016667A" w:rsidRDefault="00D20F17" w:rsidP="00D20F17">
      <w:pPr>
        <w:spacing w:line="360" w:lineRule="auto"/>
        <w:rPr>
          <w:sz w:val="24"/>
          <w:szCs w:val="24"/>
        </w:rPr>
      </w:pPr>
    </w:p>
    <w:p w14:paraId="6C44AB12" w14:textId="77777777" w:rsidR="00D20F17" w:rsidRPr="003A2DF9" w:rsidRDefault="00D20F17" w:rsidP="00D20F17">
      <w:pPr>
        <w:spacing w:line="360" w:lineRule="auto"/>
        <w:ind w:left="2880" w:firstLine="720"/>
        <w:rPr>
          <w:sz w:val="44"/>
          <w:szCs w:val="44"/>
        </w:rPr>
      </w:pPr>
    </w:p>
    <w:p w14:paraId="2163C4DB" w14:textId="77777777" w:rsidR="00D20F17" w:rsidRPr="003A2DF9" w:rsidRDefault="00D20F17" w:rsidP="00D20F17">
      <w:pPr>
        <w:spacing w:line="360" w:lineRule="auto"/>
        <w:ind w:left="2880" w:firstLine="720"/>
        <w:rPr>
          <w:sz w:val="44"/>
          <w:szCs w:val="44"/>
        </w:rPr>
      </w:pPr>
    </w:p>
    <w:p w14:paraId="0B83CE05" w14:textId="77777777" w:rsidR="00D20F17" w:rsidRPr="003A2DF9" w:rsidRDefault="00D20F17" w:rsidP="00D20F17">
      <w:pPr>
        <w:spacing w:line="360" w:lineRule="auto"/>
        <w:ind w:left="2880" w:firstLine="720"/>
        <w:rPr>
          <w:sz w:val="44"/>
          <w:szCs w:val="44"/>
        </w:rPr>
      </w:pPr>
    </w:p>
    <w:p w14:paraId="5A833BBB" w14:textId="77777777" w:rsidR="00D20F17" w:rsidRPr="003A2DF9" w:rsidRDefault="00D20F17" w:rsidP="00D20F17">
      <w:pPr>
        <w:spacing w:line="360" w:lineRule="auto"/>
        <w:ind w:left="2880" w:firstLine="720"/>
        <w:rPr>
          <w:sz w:val="44"/>
          <w:szCs w:val="44"/>
        </w:rPr>
      </w:pPr>
    </w:p>
    <w:p w14:paraId="77974B53" w14:textId="77777777" w:rsidR="00D20F17" w:rsidRPr="003A2DF9" w:rsidRDefault="00D20F17" w:rsidP="00D20F17">
      <w:pPr>
        <w:spacing w:line="360" w:lineRule="auto"/>
        <w:ind w:left="2880" w:firstLine="720"/>
        <w:rPr>
          <w:sz w:val="44"/>
          <w:szCs w:val="44"/>
        </w:rPr>
      </w:pPr>
    </w:p>
    <w:p w14:paraId="0231998E" w14:textId="77777777" w:rsidR="00D20F17" w:rsidRPr="003A2DF9" w:rsidRDefault="00D20F17" w:rsidP="00D20F17">
      <w:pPr>
        <w:spacing w:line="360" w:lineRule="auto"/>
        <w:ind w:left="2880" w:firstLine="720"/>
        <w:rPr>
          <w:sz w:val="44"/>
          <w:szCs w:val="44"/>
        </w:rPr>
      </w:pPr>
    </w:p>
    <w:p w14:paraId="43DC8D5D" w14:textId="77777777" w:rsidR="00D20F17" w:rsidRPr="003A2DF9" w:rsidRDefault="00D20F17" w:rsidP="00D20F17">
      <w:pPr>
        <w:spacing w:line="360" w:lineRule="auto"/>
        <w:ind w:left="2880" w:firstLine="720"/>
        <w:rPr>
          <w:sz w:val="44"/>
          <w:szCs w:val="44"/>
        </w:rPr>
      </w:pPr>
    </w:p>
    <w:p w14:paraId="7F280C24" w14:textId="77777777" w:rsidR="00D20F17" w:rsidRPr="003A2DF9" w:rsidRDefault="00D20F17" w:rsidP="00D20F17"/>
    <w:p w14:paraId="4CD059E8" w14:textId="77777777" w:rsidR="00A5063C" w:rsidRDefault="00A5063C"/>
    <w:sectPr w:rsidR="00A50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1MDc0NDa1NDI0MDZR0lEKTi0uzszPAykwrAUACCQ4KCwAAAA="/>
  </w:docVars>
  <w:rsids>
    <w:rsidRoot w:val="00D20F17"/>
    <w:rsid w:val="002C5BB8"/>
    <w:rsid w:val="002D571B"/>
    <w:rsid w:val="002F0B1A"/>
    <w:rsid w:val="00A5063C"/>
    <w:rsid w:val="00BF2812"/>
    <w:rsid w:val="00C410D6"/>
    <w:rsid w:val="00CB5801"/>
    <w:rsid w:val="00D20F1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8D4C1"/>
  <w15:chartTrackingRefBased/>
  <w15:docId w15:val="{A3D15AB1-49E3-4149-9655-DB63FC28B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F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F17"/>
    <w:rPr>
      <w:color w:val="0563C1" w:themeColor="hyperlink"/>
      <w:u w:val="single"/>
    </w:rPr>
  </w:style>
  <w:style w:type="paragraph" w:styleId="NormalWeb">
    <w:name w:val="Normal (Web)"/>
    <w:basedOn w:val="Normal"/>
    <w:uiPriority w:val="99"/>
    <w:semiHidden/>
    <w:unhideWhenUsed/>
    <w:rsid w:val="00D20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20F17"/>
    <w:rPr>
      <w:sz w:val="16"/>
      <w:szCs w:val="16"/>
    </w:rPr>
  </w:style>
  <w:style w:type="paragraph" w:styleId="CommentText">
    <w:name w:val="annotation text"/>
    <w:basedOn w:val="Normal"/>
    <w:link w:val="CommentTextChar"/>
    <w:uiPriority w:val="99"/>
    <w:semiHidden/>
    <w:unhideWhenUsed/>
    <w:rsid w:val="00D20F17"/>
    <w:pPr>
      <w:spacing w:line="240" w:lineRule="auto"/>
    </w:pPr>
    <w:rPr>
      <w:sz w:val="20"/>
      <w:szCs w:val="20"/>
    </w:rPr>
  </w:style>
  <w:style w:type="character" w:customStyle="1" w:styleId="CommentTextChar">
    <w:name w:val="Comment Text Char"/>
    <w:basedOn w:val="DefaultParagraphFont"/>
    <w:link w:val="CommentText"/>
    <w:uiPriority w:val="99"/>
    <w:semiHidden/>
    <w:rsid w:val="00D20F17"/>
    <w:rPr>
      <w:sz w:val="20"/>
      <w:szCs w:val="20"/>
    </w:rPr>
  </w:style>
  <w:style w:type="paragraph" w:styleId="BalloonText">
    <w:name w:val="Balloon Text"/>
    <w:basedOn w:val="Normal"/>
    <w:link w:val="BalloonTextChar"/>
    <w:uiPriority w:val="99"/>
    <w:semiHidden/>
    <w:unhideWhenUsed/>
    <w:rsid w:val="00D20F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0F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7/s037689290003530x" TargetMode="External"/><Relationship Id="rId5" Type="http://schemas.openxmlformats.org/officeDocument/2006/relationships/hyperlink" Target="http://www.undp.org/content/undp/en/hom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2CD98-8E6E-4F46-9129-59A3F10F9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3412</Words>
  <Characters>19451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3</cp:revision>
  <dcterms:created xsi:type="dcterms:W3CDTF">2020-11-11T16:51:00Z</dcterms:created>
  <dcterms:modified xsi:type="dcterms:W3CDTF">2020-11-11T17:41:00Z</dcterms:modified>
</cp:coreProperties>
</file>