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Fonts w:ascii="Georgia" w:cs="Georgia" w:eastAsia="Georgia" w:hAnsi="Georgia"/>
          <w:b w:val="0"/>
          <w:i w:val="0"/>
          <w:smallCaps w:val="0"/>
          <w:strike w:val="0"/>
          <w:color w:val="000000"/>
          <w:sz w:val="21"/>
          <w:szCs w:val="21"/>
          <w:u w:val="none"/>
          <w:shd w:fill="auto" w:val="clear"/>
          <w:vertAlign w:val="baseline"/>
        </w:rPr>
        <w:drawing>
          <wp:inline distB="0" distT="0" distL="114300" distR="114300">
            <wp:extent cx="1908175" cy="635635"/>
            <wp:effectExtent b="0" l="0" r="0" t="0"/>
            <wp:docPr id="1028"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center"/>
        <w:rPr>
          <w:i w:val="0"/>
          <w:smallCaps w:val="0"/>
          <w:strike w:val="0"/>
          <w:color w:val="000000"/>
          <w:sz w:val="28"/>
          <w:szCs w:val="28"/>
          <w:u w:val="none"/>
          <w:shd w:fill="auto" w:val="clear"/>
          <w:vertAlign w:val="baseline"/>
        </w:rPr>
      </w:pPr>
      <w:r w:rsidDel="00000000" w:rsidR="00000000" w:rsidRPr="00000000">
        <w:rPr>
          <w:b w:val="1"/>
          <w:i w:val="0"/>
          <w:smallCaps w:val="0"/>
          <w:strike w:val="0"/>
          <w:color w:val="000000"/>
          <w:sz w:val="28"/>
          <w:szCs w:val="28"/>
          <w:u w:val="none"/>
          <w:shd w:fill="auto" w:val="clear"/>
          <w:vertAlign w:val="baseline"/>
          <w:rtl w:val="0"/>
        </w:rPr>
        <w:t xml:space="preserve">Postgraduate/Distance Learning </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center"/>
        <w:rPr>
          <w:i w:val="0"/>
          <w:smallCaps w:val="0"/>
          <w:strike w:val="0"/>
          <w:color w:val="000000"/>
          <w:sz w:val="28"/>
          <w:szCs w:val="28"/>
          <w:u w:val="none"/>
          <w:shd w:fill="auto" w:val="clear"/>
          <w:vertAlign w:val="baseline"/>
        </w:rPr>
      </w:pPr>
      <w:r w:rsidDel="00000000" w:rsidR="00000000" w:rsidRPr="00000000">
        <w:rPr>
          <w:b w:val="1"/>
          <w:i w:val="0"/>
          <w:smallCaps w:val="0"/>
          <w:strike w:val="0"/>
          <w:color w:val="000000"/>
          <w:sz w:val="28"/>
          <w:szCs w:val="28"/>
          <w:u w:val="none"/>
          <w:shd w:fill="auto" w:val="clear"/>
          <w:vertAlign w:val="baseline"/>
          <w:rtl w:val="0"/>
        </w:rPr>
        <w:t xml:space="preserve">Assignment cover sheet &amp; feedback form</w:t>
      </w:r>
      <w:r w:rsidDel="00000000" w:rsidR="00000000" w:rsidRPr="00000000">
        <w:rPr>
          <w:rtl w:val="0"/>
        </w:rPr>
      </w:r>
    </w:p>
    <w:p w:rsidR="00000000" w:rsidDel="00000000" w:rsidP="00000000" w:rsidRDefault="00000000" w:rsidRPr="00000000" w14:paraId="00000006">
      <w:pPr>
        <w:pStyle w:val="Heading3"/>
        <w:ind w:firstLine="720"/>
        <w:jc w:val="center"/>
        <w:rPr>
          <w:vertAlign w:val="baseline"/>
        </w:rPr>
      </w:pPr>
      <w:r w:rsidDel="00000000" w:rsidR="00000000" w:rsidRPr="00000000">
        <w:rPr>
          <w:rtl w:val="0"/>
        </w:rPr>
      </w:r>
    </w:p>
    <w:p w:rsidR="00000000" w:rsidDel="00000000" w:rsidP="00000000" w:rsidRDefault="00000000" w:rsidRPr="00000000" w14:paraId="00000007">
      <w:pPr>
        <w:pStyle w:val="Heading3"/>
        <w:ind w:firstLine="720"/>
        <w:jc w:val="center"/>
        <w:rPr>
          <w:rFonts w:ascii="Trebuchet MS" w:cs="Trebuchet MS" w:eastAsia="Trebuchet MS" w:hAnsi="Trebuchet MS"/>
          <w:vertAlign w:val="baseline"/>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b w:val="1"/>
                <w:i w:val="0"/>
                <w:smallCaps w:val="0"/>
                <w:strike w:val="0"/>
                <w:color w:val="000000"/>
                <w:sz w:val="22"/>
                <w:szCs w:val="22"/>
                <w:u w:val="none"/>
                <w:shd w:fill="auto" w:val="clear"/>
                <w:vertAlign w:val="baseline"/>
                <w:rtl w:val="0"/>
              </w:rPr>
              <w:t xml:space="preserve">For completion by the student</w:t>
            </w:r>
            <w:r w:rsidDel="00000000" w:rsidR="00000000" w:rsidRPr="00000000">
              <w:rPr>
                <w:i w:val="0"/>
                <w:smallCaps w:val="0"/>
                <w:strike w:val="0"/>
                <w:color w:val="000000"/>
                <w:sz w:val="22"/>
                <w:szCs w:val="22"/>
                <w:u w:val="none"/>
                <w:shd w:fill="auto" w:val="clear"/>
                <w:vertAlign w:val="baseline"/>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Student Name:</w:t>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sz w:val="22"/>
                <w:szCs w:val="22"/>
                <w:rtl w:val="0"/>
              </w:rPr>
              <w:t xml:space="preserve">Costantino Toth</w:t>
            </w:r>
            <w:r w:rsidDel="00000000" w:rsidR="00000000" w:rsidRPr="00000000">
              <w:rPr>
                <w:rtl w:val="0"/>
              </w:rPr>
            </w:r>
          </w:p>
        </w:tc>
      </w:tr>
      <w:tr>
        <w:trPr>
          <w:cantSplit w:val="0"/>
          <w:trHeight w:val="849" w:hRule="atLeast"/>
          <w:tblHeader w:val="0"/>
        </w:trPr>
        <w:tc>
          <w:tcPr>
            <w:vAlign w:val="top"/>
          </w:tcPr>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Module code: HPCA7027</w:t>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Module title:</w:t>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rFonts w:ascii="Arial" w:cs="Arial" w:eastAsia="Arial" w:hAnsi="Arial"/>
                <w:color w:val="1d2125"/>
                <w:sz w:val="22"/>
                <w:szCs w:val="22"/>
                <w:highlight w:val="white"/>
                <w:rtl w:val="0"/>
              </w:rPr>
              <w:t xml:space="preserve">Cosmology, Magic and Divination (2025) </w:t>
            </w: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vAlign w:val="top"/>
          </w:tcPr>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Student ID number:</w:t>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sz w:val="22"/>
                <w:szCs w:val="22"/>
              </w:rPr>
            </w:pPr>
            <w:r w:rsidDel="00000000" w:rsidR="00000000" w:rsidRPr="00000000">
              <w:rPr>
                <w:sz w:val="22"/>
                <w:szCs w:val="22"/>
                <w:rtl w:val="0"/>
              </w:rPr>
              <w:t xml:space="preserve">2430606</w:t>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sz w:val="22"/>
                <w:szCs w:val="22"/>
              </w:rPr>
            </w:pPr>
            <w:r w:rsidDel="00000000" w:rsidR="00000000" w:rsidRPr="00000000">
              <w:rPr>
                <w:rtl w:val="0"/>
              </w:rPr>
            </w:r>
          </w:p>
        </w:tc>
        <w:tc>
          <w:tcPr>
            <w:vAlign w:val="top"/>
          </w:tcPr>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Educational support needs:</w:t>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Yes/No</w:t>
            </w:r>
          </w:p>
        </w:tc>
      </w:tr>
      <w:tr>
        <w:trPr>
          <w:cantSplit w:val="0"/>
          <w:trHeight w:val="1139" w:hRule="atLeast"/>
          <w:tblHeader w:val="0"/>
        </w:trPr>
        <w:tc>
          <w:tcPr>
            <w:gridSpan w:val="5"/>
            <w:vAlign w:val="top"/>
          </w:tcPr>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Module tutor: </w:t>
            </w:r>
            <w:r w:rsidDel="00000000" w:rsidR="00000000" w:rsidRPr="00000000">
              <w:rPr>
                <w:rFonts w:ascii="Arial" w:cs="Arial" w:eastAsia="Arial" w:hAnsi="Arial"/>
                <w:sz w:val="22"/>
                <w:szCs w:val="22"/>
                <w:rtl w:val="0"/>
              </w:rPr>
              <w:t xml:space="preserve">Dr. Dorian Greenbaum, Dr. Dawn Collins</w:t>
            </w: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Assignment due date: April 22nd, 2025</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8">
            <w:pPr>
              <w:rPr>
                <w:sz w:val="22"/>
                <w:szCs w:val="22"/>
                <w:vertAlign w:val="baseline"/>
              </w:rPr>
            </w:pPr>
            <w:r w:rsidDel="00000000" w:rsidR="00000000" w:rsidRPr="00000000">
              <w:rPr>
                <w:sz w:val="22"/>
                <w:szCs w:val="22"/>
                <w:vertAlign w:val="baseline"/>
                <w:rtl w:val="0"/>
              </w:rPr>
              <w:t xml:space="preserve">If your module has multiple submissions please indicate which piece of work this is.</w:t>
            </w:r>
          </w:p>
          <w:p w:rsidR="00000000" w:rsidDel="00000000" w:rsidP="00000000" w:rsidRDefault="00000000" w:rsidRPr="00000000" w14:paraId="00000029">
            <w:pPr>
              <w:rPr>
                <w:sz w:val="22"/>
                <w:szCs w:val="22"/>
                <w:vertAlign w:val="baseline"/>
              </w:rPr>
            </w:pPr>
            <w:r w:rsidDel="00000000" w:rsidR="00000000" w:rsidRPr="00000000">
              <w:rPr>
                <w:rtl w:val="0"/>
              </w:rPr>
            </w:r>
          </w:p>
          <w:p w:rsidR="00000000" w:rsidDel="00000000" w:rsidP="00000000" w:rsidRDefault="00000000" w:rsidRPr="00000000" w14:paraId="0000002A">
            <w:pPr>
              <w:rPr>
                <w:sz w:val="22"/>
                <w:szCs w:val="22"/>
                <w:vertAlign w:val="baseline"/>
              </w:rPr>
            </w:pPr>
            <w:r w:rsidDel="00000000" w:rsidR="00000000" w:rsidRPr="00000000">
              <w:rPr>
                <w:sz w:val="22"/>
                <w:szCs w:val="22"/>
                <w:vertAlign w:val="baseline"/>
                <w:rtl w:val="0"/>
              </w:rPr>
              <w:t xml:space="preserve">1</w:t>
            </w:r>
            <w:r w:rsidDel="00000000" w:rsidR="00000000" w:rsidRPr="00000000">
              <w:rPr>
                <w:sz w:val="22"/>
                <w:szCs w:val="22"/>
                <w:vertAlign w:val="superscript"/>
                <w:rtl w:val="0"/>
              </w:rPr>
              <w:t xml:space="preserve">st </w:t>
            </w:r>
            <w:bookmarkStart w:colFirst="0" w:colLast="0" w:name="bookmark=id.ax1553x2wu2s" w:id="0"/>
            <w:bookmarkEnd w:id="0"/>
            <w:r w:rsidDel="00000000" w:rsidR="00000000" w:rsidRPr="00000000">
              <w:rPr>
                <w:sz w:val="22"/>
                <w:szCs w:val="22"/>
                <w:vertAlign w:val="baseline"/>
                <w:rtl w:val="0"/>
              </w:rPr>
              <w:t xml:space="preserve">☐    2</w:t>
            </w:r>
            <w:r w:rsidDel="00000000" w:rsidR="00000000" w:rsidRPr="00000000">
              <w:rPr>
                <w:sz w:val="22"/>
                <w:szCs w:val="22"/>
                <w:vertAlign w:val="superscript"/>
                <w:rtl w:val="0"/>
              </w:rPr>
              <w:t xml:space="preserve">nd</w:t>
            </w:r>
            <w:r w:rsidDel="00000000" w:rsidR="00000000" w:rsidRPr="00000000">
              <w:rPr>
                <w:sz w:val="22"/>
                <w:szCs w:val="22"/>
                <w:vertAlign w:val="baseline"/>
                <w:rtl w:val="0"/>
              </w:rPr>
              <w:t xml:space="preserve">  </w:t>
            </w:r>
            <w:bookmarkStart w:colFirst="0" w:colLast="0" w:name="bookmark=id.uplrimnmgg5d" w:id="1"/>
            <w:bookmarkEnd w:id="1"/>
            <w:r w:rsidDel="00000000" w:rsidR="00000000" w:rsidRPr="00000000">
              <w:rPr>
                <w:sz w:val="22"/>
                <w:szCs w:val="22"/>
                <w:vertAlign w:val="baseline"/>
                <w:rtl w:val="0"/>
              </w:rPr>
              <w:t xml:space="preserve">☐     3</w:t>
            </w:r>
            <w:r w:rsidDel="00000000" w:rsidR="00000000" w:rsidRPr="00000000">
              <w:rPr>
                <w:sz w:val="22"/>
                <w:szCs w:val="22"/>
                <w:vertAlign w:val="superscript"/>
                <w:rtl w:val="0"/>
              </w:rPr>
              <w:t xml:space="preserve">rd</w:t>
            </w:r>
            <w:r w:rsidDel="00000000" w:rsidR="00000000" w:rsidRPr="00000000">
              <w:rPr>
                <w:sz w:val="22"/>
                <w:szCs w:val="22"/>
                <w:vertAlign w:val="baseline"/>
                <w:rtl w:val="0"/>
              </w:rPr>
              <w:t xml:space="preserve">  </w:t>
            </w:r>
            <w:bookmarkStart w:colFirst="0" w:colLast="0" w:name="bookmark=id.2b05yefjk6gs" w:id="2"/>
            <w:bookmarkEnd w:id="2"/>
            <w:r w:rsidDel="00000000" w:rsidR="00000000" w:rsidRPr="00000000">
              <w:rPr>
                <w:sz w:val="22"/>
                <w:szCs w:val="22"/>
                <w:vertAlign w:val="baseline"/>
                <w:rtl w:val="0"/>
              </w:rPr>
              <w:t xml:space="preserve">☐      4</w:t>
            </w:r>
            <w:r w:rsidDel="00000000" w:rsidR="00000000" w:rsidRPr="00000000">
              <w:rPr>
                <w:sz w:val="22"/>
                <w:szCs w:val="22"/>
                <w:vertAlign w:val="superscript"/>
                <w:rtl w:val="0"/>
              </w:rPr>
              <w:t xml:space="preserve">th</w:t>
            </w:r>
            <w:r w:rsidDel="00000000" w:rsidR="00000000" w:rsidRPr="00000000">
              <w:rPr>
                <w:sz w:val="22"/>
                <w:szCs w:val="22"/>
                <w:vertAlign w:val="baseline"/>
                <w:rtl w:val="0"/>
              </w:rPr>
              <w:t xml:space="preserve"> </w:t>
            </w:r>
            <w:bookmarkStart w:colFirst="0" w:colLast="0" w:name="bookmark=id.3ju1b7gaujc4" w:id="3"/>
            <w:bookmarkEnd w:id="3"/>
            <w:r w:rsidDel="00000000" w:rsidR="00000000" w:rsidRPr="00000000">
              <w:rPr>
                <w:sz w:val="22"/>
                <w:szCs w:val="22"/>
                <w:vertAlign w:val="baseline"/>
                <w:rtl w:val="0"/>
              </w:rPr>
              <w:t xml:space="preserve">☐      5</w:t>
            </w:r>
            <w:r w:rsidDel="00000000" w:rsidR="00000000" w:rsidRPr="00000000">
              <w:rPr>
                <w:sz w:val="22"/>
                <w:szCs w:val="22"/>
                <w:vertAlign w:val="superscript"/>
                <w:rtl w:val="0"/>
              </w:rPr>
              <w:t xml:space="preserve">th</w:t>
            </w:r>
            <w:r w:rsidDel="00000000" w:rsidR="00000000" w:rsidRPr="00000000">
              <w:rPr>
                <w:sz w:val="22"/>
                <w:szCs w:val="22"/>
                <w:vertAlign w:val="baseline"/>
                <w:rtl w:val="0"/>
              </w:rPr>
              <w:t xml:space="preserve"> </w:t>
            </w:r>
            <w:bookmarkStart w:colFirst="0" w:colLast="0" w:name="bookmark=id.c94d3xof6o8g" w:id="4"/>
            <w:bookmarkEnd w:id="4"/>
            <w:r w:rsidDel="00000000" w:rsidR="00000000" w:rsidRPr="00000000">
              <w:rPr>
                <w:sz w:val="22"/>
                <w:szCs w:val="22"/>
                <w:vertAlign w:val="baseline"/>
                <w:rtl w:val="0"/>
              </w:rPr>
              <w:t xml:space="preserve">☐      6</w:t>
            </w:r>
            <w:r w:rsidDel="00000000" w:rsidR="00000000" w:rsidRPr="00000000">
              <w:rPr>
                <w:sz w:val="22"/>
                <w:szCs w:val="22"/>
                <w:vertAlign w:val="superscript"/>
                <w:rtl w:val="0"/>
              </w:rPr>
              <w:t xml:space="preserve">th</w:t>
            </w:r>
            <w:r w:rsidDel="00000000" w:rsidR="00000000" w:rsidRPr="00000000">
              <w:rPr>
                <w:sz w:val="22"/>
                <w:szCs w:val="22"/>
                <w:vertAlign w:val="baseline"/>
                <w:rtl w:val="0"/>
              </w:rPr>
              <w:t xml:space="preserve"> </w:t>
            </w:r>
            <w:bookmarkStart w:colFirst="0" w:colLast="0" w:name="bookmark=id.y0acuvfrufot" w:id="5"/>
            <w:bookmarkEnd w:id="5"/>
            <w:r w:rsidDel="00000000" w:rsidR="00000000" w:rsidRPr="00000000">
              <w:rPr>
                <w:sz w:val="22"/>
                <w:szCs w:val="22"/>
                <w:vertAlign w:val="baseline"/>
                <w:rtl w:val="0"/>
              </w:rPr>
              <w:t xml:space="preserve">☐</w:t>
            </w:r>
          </w:p>
        </w:tc>
      </w:tr>
      <w:tr>
        <w:trPr>
          <w:cantSplit w:val="0"/>
          <w:trHeight w:val="978" w:hRule="atLeast"/>
          <w:tblHeader w:val="0"/>
        </w:trPr>
        <w:tc>
          <w:tcPr>
            <w:gridSpan w:val="5"/>
            <w:shd w:fill="d9d9d9" w:val="clear"/>
            <w:vAlign w:val="top"/>
          </w:tcPr>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I confirm that this is my original work and that I have adhered to the University policy on plagiarism.</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Signed …………Costantino Toth…………………………………………………</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44"/>
                <w:szCs w:val="44"/>
                <w:u w:val="none"/>
                <w:shd w:fill="auto" w:val="clear"/>
                <w:vertAlign w:val="baseline"/>
              </w:rPr>
            </w:pPr>
            <w:r w:rsidDel="00000000" w:rsidR="00000000" w:rsidRPr="00000000">
              <w:rPr>
                <w:b w:val="1"/>
                <w:i w:val="0"/>
                <w:smallCaps w:val="0"/>
                <w:strike w:val="0"/>
                <w:color w:val="000000"/>
                <w:sz w:val="24"/>
                <w:szCs w:val="24"/>
                <w:u w:val="none"/>
                <w:shd w:fill="auto" w:val="clear"/>
                <w:vertAlign w:val="baseline"/>
                <w:rtl w:val="0"/>
              </w:rPr>
              <w:t xml:space="preserve">Email submission: if you are submitting this form via email, please tick this box </w:t>
            </w:r>
            <w:sdt>
              <w:sdtPr>
                <w:tag w:val="goog_rdk_0"/>
              </w:sdtPr>
              <w:sdtContent>
                <w:r w:rsidDel="00000000" w:rsidR="00000000" w:rsidRPr="00000000">
                  <w:rPr>
                    <w:rFonts w:ascii="Gungsuh" w:cs="Gungsuh" w:eastAsia="Gungsuh" w:hAnsi="Gungsuh"/>
                    <w:b w:val="1"/>
                    <w:sz w:val="44"/>
                    <w:szCs w:val="44"/>
                    <w:rtl w:val="0"/>
                  </w:rPr>
                  <w:t xml:space="preserve">√</w:t>
                </w:r>
              </w:sdtContent>
            </w:sdt>
            <w:r w:rsidDel="00000000" w:rsidR="00000000" w:rsidRPr="00000000">
              <w:rPr>
                <w:rtl w:val="0"/>
              </w:rPr>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i w:val="0"/>
                <w:smallCaps w:val="0"/>
                <w:strike w:val="0"/>
                <w:color w:val="000000"/>
                <w:sz w:val="22"/>
                <w:szCs w:val="22"/>
                <w:u w:val="none"/>
                <w:shd w:fill="auto" w:val="clear"/>
                <w:vertAlign w:val="baseline"/>
              </w:rPr>
            </w:pPr>
            <w:r w:rsidDel="00000000" w:rsidR="00000000" w:rsidRPr="00000000">
              <w:rPr>
                <w:b w:val="1"/>
                <w:i w:val="0"/>
                <w:smallCaps w:val="0"/>
                <w:strike w:val="0"/>
                <w:color w:val="000000"/>
                <w:sz w:val="24"/>
                <w:szCs w:val="24"/>
                <w:u w:val="none"/>
                <w:shd w:fill="auto" w:val="clear"/>
                <w:vertAlign w:val="baseline"/>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7">
            <w:pPr>
              <w:rPr>
                <w:vertAlign w:val="baseline"/>
              </w:rPr>
            </w:pPr>
            <w:r w:rsidDel="00000000" w:rsidR="00000000" w:rsidRPr="00000000">
              <w:rPr>
                <w:rtl w:val="0"/>
              </w:rPr>
            </w:r>
          </w:p>
          <w:p w:rsidR="00000000" w:rsidDel="00000000" w:rsidP="00000000" w:rsidRDefault="00000000" w:rsidRPr="00000000" w14:paraId="00000038">
            <w:pPr>
              <w:rPr>
                <w:vertAlign w:val="baseline"/>
              </w:rPr>
            </w:pPr>
            <w:r w:rsidDel="00000000" w:rsidR="00000000" w:rsidRPr="00000000">
              <w:rPr>
                <w:b w:val="1"/>
                <w:vertAlign w:val="baseline"/>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9">
                  <w:pPr>
                    <w:rPr>
                      <w:sz w:val="20"/>
                      <w:szCs w:val="20"/>
                      <w:vertAlign w:val="baseline"/>
                    </w:rPr>
                  </w:pPr>
                  <w:r w:rsidDel="00000000" w:rsidR="00000000" w:rsidRPr="00000000">
                    <w:rPr>
                      <w:rtl w:val="0"/>
                    </w:rPr>
                  </w:r>
                </w:p>
                <w:p w:rsidR="00000000" w:rsidDel="00000000" w:rsidP="00000000" w:rsidRDefault="00000000" w:rsidRPr="00000000" w14:paraId="0000003A">
                  <w:pPr>
                    <w:rPr>
                      <w:sz w:val="20"/>
                      <w:szCs w:val="20"/>
                      <w:vertAlign w:val="baseline"/>
                    </w:rPr>
                  </w:pPr>
                  <w:r w:rsidDel="00000000" w:rsidR="00000000" w:rsidRPr="00000000">
                    <w:rPr>
                      <w:sz w:val="20"/>
                      <w:szCs w:val="20"/>
                      <w:vertAlign w:val="baseline"/>
                      <w:rtl w:val="0"/>
                    </w:rPr>
                    <w:t xml:space="preserve">1</w:t>
                  </w:r>
                  <w:r w:rsidDel="00000000" w:rsidR="00000000" w:rsidRPr="00000000">
                    <w:rPr>
                      <w:sz w:val="20"/>
                      <w:szCs w:val="20"/>
                      <w:vertAlign w:val="superscript"/>
                      <w:rtl w:val="0"/>
                    </w:rPr>
                    <w:t xml:space="preserve">st</w:t>
                  </w:r>
                  <w:r w:rsidDel="00000000" w:rsidR="00000000" w:rsidRPr="00000000">
                    <w:rPr>
                      <w:sz w:val="20"/>
                      <w:szCs w:val="20"/>
                      <w:vertAlign w:val="baseline"/>
                      <w:rtl w:val="0"/>
                    </w:rPr>
                    <w:t xml:space="preserve"> Marker’s Provisional mark</w:t>
                  </w:r>
                </w:p>
              </w:tc>
              <w:tc>
                <w:tcPr>
                  <w:vAlign w:val="top"/>
                </w:tcPr>
                <w:p w:rsidR="00000000" w:rsidDel="00000000" w:rsidP="00000000" w:rsidRDefault="00000000" w:rsidRPr="00000000" w14:paraId="0000003B">
                  <w:pPr>
                    <w:rPr>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C">
                  <w:pPr>
                    <w:rPr>
                      <w:sz w:val="20"/>
                      <w:szCs w:val="20"/>
                      <w:vertAlign w:val="baseline"/>
                    </w:rPr>
                  </w:pPr>
                  <w:r w:rsidDel="00000000" w:rsidR="00000000" w:rsidRPr="00000000">
                    <w:rPr>
                      <w:rtl w:val="0"/>
                    </w:rPr>
                  </w:r>
                </w:p>
                <w:p w:rsidR="00000000" w:rsidDel="00000000" w:rsidP="00000000" w:rsidRDefault="00000000" w:rsidRPr="00000000" w14:paraId="0000003D">
                  <w:pPr>
                    <w:rPr>
                      <w:sz w:val="20"/>
                      <w:szCs w:val="20"/>
                      <w:vertAlign w:val="baseline"/>
                    </w:rPr>
                  </w:pPr>
                  <w:r w:rsidDel="00000000" w:rsidR="00000000" w:rsidRPr="00000000">
                    <w:rPr>
                      <w:sz w:val="20"/>
                      <w:szCs w:val="20"/>
                      <w:vertAlign w:val="baseline"/>
                      <w:rtl w:val="0"/>
                    </w:rPr>
                    <w:t xml:space="preserve">2</w:t>
                  </w:r>
                  <w:r w:rsidDel="00000000" w:rsidR="00000000" w:rsidRPr="00000000">
                    <w:rPr>
                      <w:sz w:val="20"/>
                      <w:szCs w:val="20"/>
                      <w:vertAlign w:val="superscript"/>
                      <w:rtl w:val="0"/>
                    </w:rPr>
                    <w:t xml:space="preserve">nd</w:t>
                  </w:r>
                  <w:r w:rsidDel="00000000" w:rsidR="00000000" w:rsidRPr="00000000">
                    <w:rPr>
                      <w:sz w:val="20"/>
                      <w:szCs w:val="20"/>
                      <w:vertAlign w:val="baseline"/>
                      <w:rtl w:val="0"/>
                    </w:rPr>
                    <w:t xml:space="preserve"> Marker’s/Moderator’s provisional mark</w:t>
                  </w:r>
                </w:p>
              </w:tc>
              <w:tc>
                <w:tcPr>
                  <w:vAlign w:val="top"/>
                </w:tcPr>
                <w:p w:rsidR="00000000" w:rsidDel="00000000" w:rsidP="00000000" w:rsidRDefault="00000000" w:rsidRPr="00000000" w14:paraId="0000003E">
                  <w:pPr>
                    <w:rPr>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F">
                  <w:pPr>
                    <w:rPr>
                      <w:color w:val="000000"/>
                      <w:sz w:val="20"/>
                      <w:szCs w:val="20"/>
                      <w:vertAlign w:val="baseline"/>
                    </w:rPr>
                  </w:pPr>
                  <w:r w:rsidDel="00000000" w:rsidR="00000000" w:rsidRPr="00000000">
                    <w:rPr>
                      <w:color w:val="000000"/>
                      <w:sz w:val="20"/>
                      <w:szCs w:val="20"/>
                      <w:vertAlign w:val="baseline"/>
                      <w:rtl w:val="0"/>
                    </w:rPr>
                    <w:t xml:space="preserve">Agreed Internal Mark: </w:t>
                  </w:r>
                </w:p>
                <w:p w:rsidR="00000000" w:rsidDel="00000000" w:rsidP="00000000" w:rsidRDefault="00000000" w:rsidRPr="00000000" w14:paraId="00000040">
                  <w:pPr>
                    <w:rPr>
                      <w:sz w:val="20"/>
                      <w:szCs w:val="20"/>
                      <w:highlight w:val="yellow"/>
                      <w:vertAlign w:val="baseline"/>
                    </w:rPr>
                  </w:pPr>
                  <w:r w:rsidDel="00000000" w:rsidR="00000000" w:rsidRPr="00000000">
                    <w:rPr>
                      <w:rtl w:val="0"/>
                    </w:rPr>
                  </w:r>
                </w:p>
              </w:tc>
              <w:tc>
                <w:tcPr>
                  <w:vAlign w:val="top"/>
                </w:tcPr>
                <w:p w:rsidR="00000000" w:rsidDel="00000000" w:rsidP="00000000" w:rsidRDefault="00000000" w:rsidRPr="00000000" w14:paraId="00000041">
                  <w:pPr>
                    <w:rPr>
                      <w:sz w:val="20"/>
                      <w:szCs w:val="20"/>
                      <w:highlight w:val="yellow"/>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2">
                  <w:pPr>
                    <w:rPr>
                      <w:sz w:val="20"/>
                      <w:szCs w:val="20"/>
                      <w:vertAlign w:val="baseline"/>
                    </w:rPr>
                  </w:pPr>
                  <w:r w:rsidDel="00000000" w:rsidR="00000000" w:rsidRPr="00000000">
                    <w:rPr>
                      <w:rtl w:val="0"/>
                    </w:rPr>
                  </w:r>
                </w:p>
                <w:p w:rsidR="00000000" w:rsidDel="00000000" w:rsidP="00000000" w:rsidRDefault="00000000" w:rsidRPr="00000000" w14:paraId="00000043">
                  <w:pPr>
                    <w:rPr>
                      <w:sz w:val="20"/>
                      <w:szCs w:val="20"/>
                      <w:vertAlign w:val="baseline"/>
                    </w:rPr>
                  </w:pPr>
                  <w:r w:rsidDel="00000000" w:rsidR="00000000" w:rsidRPr="00000000">
                    <w:rPr>
                      <w:sz w:val="20"/>
                      <w:szCs w:val="20"/>
                      <w:vertAlign w:val="baseline"/>
                      <w:rtl w:val="0"/>
                    </w:rPr>
                    <w:t xml:space="preserve">External Examiner’s mark (if relevant)</w:t>
                  </w:r>
                </w:p>
              </w:tc>
              <w:tc>
                <w:tcPr>
                  <w:vAlign w:val="top"/>
                </w:tcPr>
                <w:p w:rsidR="00000000" w:rsidDel="00000000" w:rsidP="00000000" w:rsidRDefault="00000000" w:rsidRPr="00000000" w14:paraId="00000044">
                  <w:pPr>
                    <w:rPr>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5">
                  <w:pPr>
                    <w:rPr>
                      <w:sz w:val="20"/>
                      <w:szCs w:val="20"/>
                      <w:vertAlign w:val="baseline"/>
                    </w:rPr>
                  </w:pPr>
                  <w:r w:rsidDel="00000000" w:rsidR="00000000" w:rsidRPr="00000000">
                    <w:rPr>
                      <w:rtl w:val="0"/>
                    </w:rPr>
                  </w:r>
                </w:p>
                <w:p w:rsidR="00000000" w:rsidDel="00000000" w:rsidP="00000000" w:rsidRDefault="00000000" w:rsidRPr="00000000" w14:paraId="00000046">
                  <w:pPr>
                    <w:rPr>
                      <w:sz w:val="20"/>
                      <w:szCs w:val="20"/>
                      <w:vertAlign w:val="baseline"/>
                    </w:rPr>
                  </w:pPr>
                  <w:r w:rsidDel="00000000" w:rsidR="00000000" w:rsidRPr="00000000">
                    <w:rPr>
                      <w:b w:val="1"/>
                      <w:sz w:val="20"/>
                      <w:szCs w:val="20"/>
                      <w:vertAlign w:val="baseline"/>
                      <w:rtl w:val="0"/>
                    </w:rPr>
                    <w:t xml:space="preserve">Final Mark</w:t>
                  </w:r>
                  <w:r w:rsidDel="00000000" w:rsidR="00000000" w:rsidRPr="00000000">
                    <w:rPr>
                      <w:rtl w:val="0"/>
                    </w:rPr>
                  </w:r>
                </w:p>
                <w:p w:rsidR="00000000" w:rsidDel="00000000" w:rsidP="00000000" w:rsidRDefault="00000000" w:rsidRPr="00000000" w14:paraId="00000047">
                  <w:pPr>
                    <w:rPr>
                      <w:sz w:val="20"/>
                      <w:szCs w:val="20"/>
                      <w:vertAlign w:val="baseline"/>
                    </w:rPr>
                  </w:pPr>
                  <w:r w:rsidDel="00000000" w:rsidR="00000000" w:rsidRPr="00000000">
                    <w:rPr>
                      <w:rtl w:val="0"/>
                    </w:rPr>
                  </w:r>
                </w:p>
              </w:tc>
              <w:tc>
                <w:tcPr>
                  <w:vAlign w:val="top"/>
                </w:tcPr>
                <w:p w:rsidR="00000000" w:rsidDel="00000000" w:rsidP="00000000" w:rsidRDefault="00000000" w:rsidRPr="00000000" w14:paraId="00000048">
                  <w:pPr>
                    <w:rPr>
                      <w:sz w:val="20"/>
                      <w:szCs w:val="20"/>
                      <w:vertAlign w:val="baseline"/>
                    </w:rPr>
                  </w:pPr>
                  <w:r w:rsidDel="00000000" w:rsidR="00000000" w:rsidRPr="00000000">
                    <w:rPr>
                      <w:rtl w:val="0"/>
                    </w:rPr>
                  </w:r>
                </w:p>
              </w:tc>
            </w:tr>
          </w:tbl>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i w:val="0"/>
                <w:smallCaps w:val="0"/>
                <w:strike w:val="0"/>
                <w:color w:val="000000"/>
                <w:sz w:val="22"/>
                <w:szCs w:val="22"/>
                <w:u w:val="none"/>
                <w:shd w:fill="auto" w:val="clear"/>
                <w:vertAlign w:val="baseline"/>
              </w:rPr>
            </w:pPr>
            <w:r w:rsidDel="00000000" w:rsidR="00000000" w:rsidRPr="00000000">
              <w:rPr>
                <w:b w:val="1"/>
                <w:i w:val="0"/>
                <w:smallCaps w:val="0"/>
                <w:strike w:val="0"/>
                <w:color w:val="000000"/>
                <w:sz w:val="22"/>
                <w:szCs w:val="22"/>
                <w:u w:val="none"/>
                <w:shd w:fill="auto" w:val="clear"/>
                <w:vertAlign w:val="baseline"/>
                <w:rtl w:val="0"/>
              </w:rPr>
              <w:t xml:space="preserve">NB.</w:t>
            </w:r>
            <w:r w:rsidDel="00000000" w:rsidR="00000000" w:rsidRPr="00000000">
              <w:rPr>
                <w:i w:val="0"/>
                <w:smallCaps w:val="0"/>
                <w:strike w:val="0"/>
                <w:color w:val="000000"/>
                <w:sz w:val="22"/>
                <w:szCs w:val="22"/>
                <w:u w:val="none"/>
                <w:shd w:fill="auto" w:val="clear"/>
                <w:vertAlign w:val="baseline"/>
                <w:rtl w:val="0"/>
              </w:rPr>
              <w:t xml:space="preserve">  All marks are provisional until confirmed by the Final Examination Board.</w:t>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smallCaps w:val="0"/>
                <w:strike w:val="0"/>
                <w:color w:val="000000"/>
                <w:sz w:val="22"/>
                <w:szCs w:val="22"/>
                <w:u w:val="none"/>
                <w:shd w:fill="auto" w:val="clear"/>
                <w:vertAlign w:val="baseline"/>
              </w:rPr>
            </w:pPr>
            <w:r w:rsidDel="00000000" w:rsidR="00000000" w:rsidRPr="00000000">
              <w:rPr>
                <w:b w:val="1"/>
                <w:i w:val="0"/>
                <w:smallCaps w:val="0"/>
                <w:strike w:val="0"/>
                <w:color w:val="000000"/>
                <w:sz w:val="22"/>
                <w:szCs w:val="22"/>
                <w:u w:val="none"/>
                <w:shd w:fill="auto" w:val="clear"/>
                <w:vertAlign w:val="baseline"/>
                <w:rtl w:val="0"/>
              </w:rPr>
              <w:t xml:space="preserve">For completion by Marker 1 :</w:t>
            </w:r>
            <w:r w:rsidDel="00000000" w:rsidR="00000000" w:rsidRPr="00000000">
              <w:rPr>
                <w:rtl w:val="0"/>
              </w:rPr>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280" w:before="280" w:line="240" w:lineRule="auto"/>
              <w:ind w:left="0" w:right="0"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280" w:line="240" w:lineRule="auto"/>
              <w:ind w:left="0" w:right="0" w:firstLine="0"/>
              <w:jc w:val="left"/>
              <w:rPr>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Marker’s signature:</w:t>
            </w:r>
          </w:p>
        </w:tc>
        <w:tc>
          <w:tcPr>
            <w:gridSpan w:val="2"/>
            <w:vAlign w:val="top"/>
          </w:tcPr>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Date:</w:t>
            </w:r>
          </w:p>
        </w:tc>
      </w:tr>
      <w:tr>
        <w:trPr>
          <w:cantSplit w:val="0"/>
          <w:tblHeader w:val="0"/>
        </w:trPr>
        <w:tc>
          <w:tcPr>
            <w:gridSpan w:val="5"/>
            <w:vAlign w:val="top"/>
          </w:tcPr>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b w:val="1"/>
                <w:i w:val="0"/>
                <w:smallCaps w:val="0"/>
                <w:strike w:val="0"/>
                <w:color w:val="000000"/>
                <w:sz w:val="22"/>
                <w:szCs w:val="22"/>
                <w:u w:val="none"/>
                <w:shd w:fill="auto" w:val="clear"/>
                <w:vertAlign w:val="baseline"/>
                <w:rtl w:val="0"/>
              </w:rPr>
              <w:t xml:space="preserve">For completion by Marker 2/Moderator:</w:t>
            </w:r>
            <w:r w:rsidDel="00000000" w:rsidR="00000000" w:rsidRPr="00000000">
              <w:rPr>
                <w:rtl w:val="0"/>
              </w:rPr>
            </w:r>
          </w:p>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Marker’s Signature:</w:t>
            </w:r>
          </w:p>
        </w:tc>
        <w:tc>
          <w:tcPr>
            <w:gridSpan w:val="3"/>
            <w:vAlign w:val="top"/>
          </w:tcPr>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i w:val="0"/>
                <w:smallCaps w:val="0"/>
                <w:strike w:val="0"/>
                <w:color w:val="000000"/>
                <w:sz w:val="22"/>
                <w:szCs w:val="22"/>
                <w:u w:val="none"/>
                <w:shd w:fill="auto" w:val="clear"/>
                <w:vertAlign w:val="baseline"/>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6B">
            <w:pPr>
              <w:rPr>
                <w:sz w:val="22"/>
                <w:szCs w:val="22"/>
                <w:vertAlign w:val="baseline"/>
              </w:rPr>
            </w:pPr>
            <w:r w:rsidDel="00000000" w:rsidR="00000000" w:rsidRPr="00000000">
              <w:rPr>
                <w:b w:val="1"/>
                <w:sz w:val="22"/>
                <w:szCs w:val="22"/>
                <w:vertAlign w:val="baseline"/>
                <w:rtl w:val="0"/>
              </w:rPr>
              <w:t xml:space="preserve">AGREED INTERNAL MARK (where necessary):</w:t>
            </w:r>
            <w:r w:rsidDel="00000000" w:rsidR="00000000" w:rsidRPr="00000000">
              <w:rPr>
                <w:rtl w:val="0"/>
              </w:rPr>
            </w:r>
          </w:p>
          <w:p w:rsidR="00000000" w:rsidDel="00000000" w:rsidP="00000000" w:rsidRDefault="00000000" w:rsidRPr="00000000" w14:paraId="0000006C">
            <w:pPr>
              <w:rPr>
                <w:sz w:val="22"/>
                <w:szCs w:val="22"/>
                <w:vertAlign w:val="baseline"/>
              </w:rPr>
            </w:pPr>
            <w:r w:rsidDel="00000000" w:rsidR="00000000" w:rsidRPr="00000000">
              <w:rPr>
                <w:rtl w:val="0"/>
              </w:rPr>
            </w:r>
          </w:p>
          <w:p w:rsidR="00000000" w:rsidDel="00000000" w:rsidP="00000000" w:rsidRDefault="00000000" w:rsidRPr="00000000" w14:paraId="0000006D">
            <w:pPr>
              <w:rPr>
                <w:sz w:val="22"/>
                <w:szCs w:val="22"/>
                <w:vertAlign w:val="baseline"/>
              </w:rPr>
            </w:pPr>
            <w:r w:rsidDel="00000000" w:rsidR="00000000" w:rsidRPr="00000000">
              <w:rPr>
                <w:b w:val="1"/>
                <w:sz w:val="22"/>
                <w:szCs w:val="22"/>
                <w:vertAlign w:val="baseline"/>
                <w:rtl w:val="0"/>
              </w:rPr>
              <w:t xml:space="preserve">Comment on process of arriving at agreed mark:</w:t>
            </w:r>
            <w:r w:rsidDel="00000000" w:rsidR="00000000" w:rsidRPr="00000000">
              <w:rPr>
                <w:rtl w:val="0"/>
              </w:rPr>
            </w:r>
          </w:p>
          <w:p w:rsidR="00000000" w:rsidDel="00000000" w:rsidP="00000000" w:rsidRDefault="00000000" w:rsidRPr="00000000" w14:paraId="0000006E">
            <w:pPr>
              <w:rPr>
                <w:sz w:val="22"/>
                <w:szCs w:val="22"/>
                <w:vertAlign w:val="baseline"/>
              </w:rPr>
            </w:pPr>
            <w:r w:rsidDel="00000000" w:rsidR="00000000" w:rsidRPr="00000000">
              <w:rPr>
                <w:rtl w:val="0"/>
              </w:rPr>
            </w:r>
          </w:p>
          <w:p w:rsidR="00000000" w:rsidDel="00000000" w:rsidP="00000000" w:rsidRDefault="00000000" w:rsidRPr="00000000" w14:paraId="0000006F">
            <w:pPr>
              <w:rPr>
                <w:sz w:val="22"/>
                <w:szCs w:val="22"/>
                <w:vertAlign w:val="baseline"/>
              </w:rPr>
            </w:pPr>
            <w:r w:rsidDel="00000000" w:rsidR="00000000" w:rsidRPr="00000000">
              <w:rPr>
                <w:rtl w:val="0"/>
              </w:rPr>
            </w:r>
          </w:p>
          <w:p w:rsidR="00000000" w:rsidDel="00000000" w:rsidP="00000000" w:rsidRDefault="00000000" w:rsidRPr="00000000" w14:paraId="00000070">
            <w:pPr>
              <w:rPr>
                <w:sz w:val="22"/>
                <w:szCs w:val="22"/>
                <w:vertAlign w:val="baseline"/>
              </w:rPr>
            </w:pPr>
            <w:r w:rsidDel="00000000" w:rsidR="00000000" w:rsidRPr="00000000">
              <w:rPr>
                <w:rtl w:val="0"/>
              </w:rPr>
            </w:r>
          </w:p>
          <w:p w:rsidR="00000000" w:rsidDel="00000000" w:rsidP="00000000" w:rsidRDefault="00000000" w:rsidRPr="00000000" w14:paraId="00000071">
            <w:pPr>
              <w:rPr>
                <w:sz w:val="22"/>
                <w:szCs w:val="22"/>
                <w:vertAlign w:val="baseline"/>
              </w:rPr>
            </w:pPr>
            <w:r w:rsidDel="00000000" w:rsidR="00000000" w:rsidRPr="00000000">
              <w:rPr>
                <w:rtl w:val="0"/>
              </w:rPr>
            </w:r>
          </w:p>
          <w:p w:rsidR="00000000" w:rsidDel="00000000" w:rsidP="00000000" w:rsidRDefault="00000000" w:rsidRPr="00000000" w14:paraId="00000072">
            <w:pPr>
              <w:rPr>
                <w:sz w:val="22"/>
                <w:szCs w:val="22"/>
                <w:vertAlign w:val="baseline"/>
              </w:rPr>
            </w:pPr>
            <w:r w:rsidDel="00000000" w:rsidR="00000000" w:rsidRPr="00000000">
              <w:rPr>
                <w:rtl w:val="0"/>
              </w:rPr>
            </w:r>
          </w:p>
          <w:p w:rsidR="00000000" w:rsidDel="00000000" w:rsidP="00000000" w:rsidRDefault="00000000" w:rsidRPr="00000000" w14:paraId="00000073">
            <w:pPr>
              <w:rPr>
                <w:sz w:val="22"/>
                <w:szCs w:val="22"/>
                <w:vertAlign w:val="baseline"/>
              </w:rPr>
            </w:pPr>
            <w:r w:rsidDel="00000000" w:rsidR="00000000" w:rsidRPr="00000000">
              <w:rPr>
                <w:rtl w:val="0"/>
              </w:rPr>
            </w:r>
          </w:p>
          <w:p w:rsidR="00000000" w:rsidDel="00000000" w:rsidP="00000000" w:rsidRDefault="00000000" w:rsidRPr="00000000" w14:paraId="00000074">
            <w:pPr>
              <w:rPr>
                <w:sz w:val="22"/>
                <w:szCs w:val="22"/>
                <w:vertAlign w:val="baseline"/>
              </w:rPr>
            </w:pPr>
            <w:r w:rsidDel="00000000" w:rsidR="00000000" w:rsidRPr="00000000">
              <w:rPr>
                <w:rtl w:val="0"/>
              </w:rPr>
            </w:r>
          </w:p>
          <w:p w:rsidR="00000000" w:rsidDel="00000000" w:rsidP="00000000" w:rsidRDefault="00000000" w:rsidRPr="00000000" w14:paraId="00000075">
            <w:pPr>
              <w:rPr>
                <w:sz w:val="22"/>
                <w:szCs w:val="22"/>
                <w:vertAlign w:val="baseline"/>
              </w:rPr>
            </w:pPr>
            <w:r w:rsidDel="00000000" w:rsidR="00000000" w:rsidRPr="00000000">
              <w:rPr>
                <w:rtl w:val="0"/>
              </w:rPr>
            </w:r>
          </w:p>
        </w:tc>
      </w:tr>
      <w:tr>
        <w:trPr>
          <w:cantSplit w:val="0"/>
          <w:trHeight w:val="720" w:hRule="atLeast"/>
          <w:tblHeader w:val="0"/>
        </w:trPr>
        <w:tc>
          <w:tcPr>
            <w:gridSpan w:val="5"/>
            <w:vAlign w:val="top"/>
          </w:tcPr>
          <w:p w:rsidR="00000000" w:rsidDel="00000000" w:rsidP="00000000" w:rsidRDefault="00000000" w:rsidRPr="00000000" w14:paraId="0000007A">
            <w:pPr>
              <w:rPr>
                <w:sz w:val="22"/>
                <w:szCs w:val="22"/>
                <w:vertAlign w:val="baseline"/>
              </w:rPr>
            </w:pPr>
            <w:r w:rsidDel="00000000" w:rsidR="00000000" w:rsidRPr="00000000">
              <w:rPr>
                <w:b w:val="1"/>
                <w:sz w:val="22"/>
                <w:szCs w:val="22"/>
                <w:vertAlign w:val="baseline"/>
                <w:rtl w:val="0"/>
              </w:rPr>
              <w:t xml:space="preserve">External Examiner’s comments (if relevant)</w:t>
            </w:r>
            <w:r w:rsidDel="00000000" w:rsidR="00000000" w:rsidRPr="00000000">
              <w:rPr>
                <w:rtl w:val="0"/>
              </w:rPr>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86">
            <w:pPr>
              <w:rPr>
                <w:sz w:val="22"/>
                <w:szCs w:val="22"/>
                <w:vertAlign w:val="baseline"/>
              </w:rPr>
            </w:pPr>
            <w:r w:rsidDel="00000000" w:rsidR="00000000" w:rsidRPr="00000000">
              <w:rPr>
                <w:sz w:val="22"/>
                <w:szCs w:val="22"/>
                <w:vertAlign w:val="baseline"/>
                <w:rtl w:val="0"/>
              </w:rPr>
              <w:t xml:space="preserve">External Examiner’s Signature:</w:t>
            </w:r>
          </w:p>
        </w:tc>
        <w:tc>
          <w:tcPr>
            <w:gridSpan w:val="3"/>
            <w:vAlign w:val="top"/>
          </w:tcPr>
          <w:p w:rsidR="00000000" w:rsidDel="00000000" w:rsidP="00000000" w:rsidRDefault="00000000" w:rsidRPr="00000000" w14:paraId="00000088">
            <w:pPr>
              <w:rPr>
                <w:sz w:val="22"/>
                <w:szCs w:val="22"/>
                <w:vertAlign w:val="baseline"/>
              </w:rPr>
            </w:pPr>
            <w:r w:rsidDel="00000000" w:rsidR="00000000" w:rsidRPr="00000000">
              <w:rPr>
                <w:sz w:val="22"/>
                <w:szCs w:val="22"/>
                <w:vertAlign w:val="baseline"/>
                <w:rtl w:val="0"/>
              </w:rPr>
              <w:t xml:space="preserve">Date:</w:t>
            </w:r>
          </w:p>
        </w:tc>
      </w:tr>
    </w:tbl>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9">
      <w:pPr>
        <w:spacing w:after="80" w:line="276" w:lineRule="auto"/>
        <w:jc w:val="center"/>
        <w:rPr>
          <w:b w:val="1"/>
        </w:rPr>
      </w:pPr>
      <w:r w:rsidDel="00000000" w:rsidR="00000000" w:rsidRPr="00000000">
        <w:rPr>
          <w:rtl w:val="0"/>
        </w:rPr>
      </w:r>
    </w:p>
    <w:p w:rsidR="00000000" w:rsidDel="00000000" w:rsidP="00000000" w:rsidRDefault="00000000" w:rsidRPr="00000000" w14:paraId="0000009A">
      <w:pPr>
        <w:spacing w:after="80" w:line="276" w:lineRule="auto"/>
        <w:jc w:val="center"/>
        <w:rPr>
          <w:b w:val="1"/>
        </w:rPr>
      </w:pPr>
      <w:r w:rsidDel="00000000" w:rsidR="00000000" w:rsidRPr="00000000">
        <w:rPr>
          <w:rtl w:val="0"/>
        </w:rPr>
      </w:r>
    </w:p>
    <w:p w:rsidR="00000000" w:rsidDel="00000000" w:rsidP="00000000" w:rsidRDefault="00000000" w:rsidRPr="00000000" w14:paraId="0000009B">
      <w:pPr>
        <w:spacing w:after="80" w:line="276" w:lineRule="auto"/>
        <w:jc w:val="center"/>
        <w:rPr>
          <w:b w:val="1"/>
        </w:rPr>
      </w:pPr>
      <w:r w:rsidDel="00000000" w:rsidR="00000000" w:rsidRPr="00000000">
        <w:rPr>
          <w:rtl w:val="0"/>
        </w:rPr>
      </w:r>
    </w:p>
    <w:p w:rsidR="00000000" w:rsidDel="00000000" w:rsidP="00000000" w:rsidRDefault="00000000" w:rsidRPr="00000000" w14:paraId="0000009C">
      <w:pPr>
        <w:spacing w:after="80" w:line="276" w:lineRule="auto"/>
        <w:jc w:val="center"/>
        <w:rPr>
          <w:b w:val="1"/>
        </w:rPr>
      </w:pPr>
      <w:r w:rsidDel="00000000" w:rsidR="00000000" w:rsidRPr="00000000">
        <w:rPr>
          <w:rtl w:val="0"/>
        </w:rPr>
      </w:r>
    </w:p>
    <w:p w:rsidR="00000000" w:rsidDel="00000000" w:rsidP="00000000" w:rsidRDefault="00000000" w:rsidRPr="00000000" w14:paraId="0000009D">
      <w:pPr>
        <w:spacing w:after="80" w:line="276" w:lineRule="auto"/>
        <w:jc w:val="center"/>
        <w:rPr>
          <w:b w:val="1"/>
        </w:rPr>
      </w:pPr>
      <w:r w:rsidDel="00000000" w:rsidR="00000000" w:rsidRPr="00000000">
        <w:rPr>
          <w:rtl w:val="0"/>
        </w:rPr>
      </w:r>
    </w:p>
    <w:p w:rsidR="00000000" w:rsidDel="00000000" w:rsidP="00000000" w:rsidRDefault="00000000" w:rsidRPr="00000000" w14:paraId="0000009E">
      <w:pPr>
        <w:spacing w:after="80" w:line="276" w:lineRule="auto"/>
        <w:jc w:val="center"/>
        <w:rPr>
          <w:b w:val="1"/>
        </w:rPr>
      </w:pPr>
      <w:r w:rsidDel="00000000" w:rsidR="00000000" w:rsidRPr="00000000">
        <w:rPr>
          <w:rtl w:val="0"/>
        </w:rPr>
      </w:r>
    </w:p>
    <w:p w:rsidR="00000000" w:rsidDel="00000000" w:rsidP="00000000" w:rsidRDefault="00000000" w:rsidRPr="00000000" w14:paraId="0000009F">
      <w:pPr>
        <w:spacing w:after="80" w:line="276" w:lineRule="auto"/>
        <w:jc w:val="center"/>
        <w:rPr>
          <w:b w:val="1"/>
        </w:rPr>
      </w:pPr>
      <w:r w:rsidDel="00000000" w:rsidR="00000000" w:rsidRPr="00000000">
        <w:rPr>
          <w:rtl w:val="0"/>
        </w:rPr>
      </w:r>
    </w:p>
    <w:p w:rsidR="00000000" w:rsidDel="00000000" w:rsidP="00000000" w:rsidRDefault="00000000" w:rsidRPr="00000000" w14:paraId="000000A0">
      <w:pPr>
        <w:spacing w:after="80" w:line="276" w:lineRule="auto"/>
        <w:jc w:val="center"/>
        <w:rPr>
          <w:b w:val="1"/>
        </w:rPr>
      </w:pPr>
      <w:r w:rsidDel="00000000" w:rsidR="00000000" w:rsidRPr="00000000">
        <w:rPr>
          <w:rtl w:val="0"/>
        </w:rPr>
      </w:r>
    </w:p>
    <w:p w:rsidR="00000000" w:rsidDel="00000000" w:rsidP="00000000" w:rsidRDefault="00000000" w:rsidRPr="00000000" w14:paraId="000000A1">
      <w:pPr>
        <w:spacing w:after="80" w:line="276" w:lineRule="auto"/>
        <w:jc w:val="center"/>
        <w:rPr>
          <w:b w:val="1"/>
        </w:rPr>
      </w:pPr>
      <w:r w:rsidDel="00000000" w:rsidR="00000000" w:rsidRPr="00000000">
        <w:rPr>
          <w:rtl w:val="0"/>
        </w:rPr>
      </w:r>
    </w:p>
    <w:p w:rsidR="00000000" w:rsidDel="00000000" w:rsidP="00000000" w:rsidRDefault="00000000" w:rsidRPr="00000000" w14:paraId="000000A2">
      <w:pPr>
        <w:spacing w:after="80" w:line="276" w:lineRule="auto"/>
        <w:jc w:val="center"/>
        <w:rPr>
          <w:b w:val="1"/>
        </w:rPr>
      </w:pPr>
      <w:r w:rsidDel="00000000" w:rsidR="00000000" w:rsidRPr="00000000">
        <w:rPr>
          <w:rtl w:val="0"/>
        </w:rPr>
      </w:r>
    </w:p>
    <w:p w:rsidR="00000000" w:rsidDel="00000000" w:rsidP="00000000" w:rsidRDefault="00000000" w:rsidRPr="00000000" w14:paraId="000000A3">
      <w:pPr>
        <w:spacing w:after="80" w:line="276" w:lineRule="auto"/>
        <w:jc w:val="center"/>
        <w:rPr>
          <w:b w:val="1"/>
        </w:rPr>
      </w:pPr>
      <w:r w:rsidDel="00000000" w:rsidR="00000000" w:rsidRPr="00000000">
        <w:rPr>
          <w:rtl w:val="0"/>
        </w:rPr>
      </w:r>
    </w:p>
    <w:p w:rsidR="00000000" w:rsidDel="00000000" w:rsidP="00000000" w:rsidRDefault="00000000" w:rsidRPr="00000000" w14:paraId="000000A4">
      <w:pPr>
        <w:spacing w:after="80" w:line="276" w:lineRule="auto"/>
        <w:jc w:val="center"/>
        <w:rPr>
          <w:b w:val="1"/>
        </w:rPr>
      </w:pPr>
      <w:r w:rsidDel="00000000" w:rsidR="00000000" w:rsidRPr="00000000">
        <w:rPr>
          <w:rtl w:val="0"/>
        </w:rPr>
      </w:r>
    </w:p>
    <w:p w:rsidR="00000000" w:rsidDel="00000000" w:rsidP="00000000" w:rsidRDefault="00000000" w:rsidRPr="00000000" w14:paraId="000000A5">
      <w:pPr>
        <w:spacing w:after="80" w:line="276" w:lineRule="auto"/>
        <w:jc w:val="center"/>
        <w:rPr>
          <w:b w:val="1"/>
        </w:rPr>
      </w:pPr>
      <w:r w:rsidDel="00000000" w:rsidR="00000000" w:rsidRPr="00000000">
        <w:rPr>
          <w:rtl w:val="0"/>
        </w:rPr>
      </w:r>
    </w:p>
    <w:p w:rsidR="00000000" w:rsidDel="00000000" w:rsidP="00000000" w:rsidRDefault="00000000" w:rsidRPr="00000000" w14:paraId="000000A6">
      <w:pPr>
        <w:spacing w:after="80" w:line="276" w:lineRule="auto"/>
        <w:jc w:val="center"/>
        <w:rPr>
          <w:b w:val="1"/>
        </w:rPr>
      </w:pPr>
      <w:r w:rsidDel="00000000" w:rsidR="00000000" w:rsidRPr="00000000">
        <w:rPr>
          <w:rtl w:val="0"/>
        </w:rPr>
      </w:r>
    </w:p>
    <w:p w:rsidR="00000000" w:rsidDel="00000000" w:rsidP="00000000" w:rsidRDefault="00000000" w:rsidRPr="00000000" w14:paraId="000000A7">
      <w:pPr>
        <w:spacing w:after="80" w:line="276" w:lineRule="auto"/>
        <w:jc w:val="center"/>
        <w:rPr>
          <w:b w:val="1"/>
        </w:rPr>
      </w:pPr>
      <w:r w:rsidDel="00000000" w:rsidR="00000000" w:rsidRPr="00000000">
        <w:rPr>
          <w:rtl w:val="0"/>
        </w:rPr>
      </w:r>
    </w:p>
    <w:p w:rsidR="00000000" w:rsidDel="00000000" w:rsidP="00000000" w:rsidRDefault="00000000" w:rsidRPr="00000000" w14:paraId="000000A8">
      <w:pPr>
        <w:spacing w:after="80" w:line="276" w:lineRule="auto"/>
        <w:jc w:val="center"/>
        <w:rPr>
          <w:b w:val="1"/>
        </w:rPr>
      </w:pPr>
      <w:r w:rsidDel="00000000" w:rsidR="00000000" w:rsidRPr="00000000">
        <w:rPr>
          <w:rtl w:val="0"/>
        </w:rPr>
      </w:r>
    </w:p>
    <w:p w:rsidR="00000000" w:rsidDel="00000000" w:rsidP="00000000" w:rsidRDefault="00000000" w:rsidRPr="00000000" w14:paraId="000000A9">
      <w:pPr>
        <w:spacing w:after="80" w:line="276" w:lineRule="auto"/>
        <w:jc w:val="center"/>
        <w:rPr>
          <w:b w:val="1"/>
        </w:rPr>
      </w:pPr>
      <w:r w:rsidDel="00000000" w:rsidR="00000000" w:rsidRPr="00000000">
        <w:rPr>
          <w:rtl w:val="0"/>
        </w:rPr>
      </w:r>
    </w:p>
    <w:p w:rsidR="00000000" w:rsidDel="00000000" w:rsidP="00000000" w:rsidRDefault="00000000" w:rsidRPr="00000000" w14:paraId="000000AA">
      <w:pPr>
        <w:spacing w:after="80" w:line="276" w:lineRule="auto"/>
        <w:jc w:val="center"/>
        <w:rPr>
          <w:b w:val="1"/>
        </w:rPr>
      </w:pPr>
      <w:r w:rsidDel="00000000" w:rsidR="00000000" w:rsidRPr="00000000">
        <w:rPr>
          <w:rtl w:val="0"/>
        </w:rPr>
      </w:r>
    </w:p>
    <w:p w:rsidR="00000000" w:rsidDel="00000000" w:rsidP="00000000" w:rsidRDefault="00000000" w:rsidRPr="00000000" w14:paraId="000000AB">
      <w:pPr>
        <w:spacing w:after="80" w:line="276" w:lineRule="auto"/>
        <w:jc w:val="center"/>
        <w:rPr>
          <w:b w:val="1"/>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Costantino Toth 2430606</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spacing w:after="80" w:line="276" w:lineRule="auto"/>
        <w:jc w:val="center"/>
        <w:rPr>
          <w:b w:val="1"/>
          <w:i w:val="1"/>
        </w:rPr>
      </w:pPr>
      <w:r w:rsidDel="00000000" w:rsidR="00000000" w:rsidRPr="00000000">
        <w:rPr>
          <w:b w:val="1"/>
          <w:rtl w:val="0"/>
        </w:rPr>
        <w:t xml:space="preserve">Critical Analysis of PGM IV. 296–466: ‘Wondrous Spell for Binding a Lover’</w:t>
      </w:r>
      <w:r w:rsidDel="00000000" w:rsidR="00000000" w:rsidRPr="00000000">
        <w:rPr>
          <w:rtl w:val="0"/>
        </w:rPr>
      </w:r>
    </w:p>
    <w:p w:rsidR="00000000" w:rsidDel="00000000" w:rsidP="00000000" w:rsidRDefault="00000000" w:rsidRPr="00000000" w14:paraId="000000B0">
      <w:pPr>
        <w:spacing w:after="80" w:line="240" w:lineRule="auto"/>
        <w:rPr/>
      </w:pPr>
      <w:r w:rsidDel="00000000" w:rsidR="00000000" w:rsidRPr="00000000">
        <w:rPr>
          <w:rtl w:val="0"/>
        </w:rPr>
        <w:t xml:space="preserve">Word count: 4572 </w:t>
      </w:r>
    </w:p>
    <w:p w:rsidR="00000000" w:rsidDel="00000000" w:rsidP="00000000" w:rsidRDefault="00000000" w:rsidRPr="00000000" w14:paraId="000000B1">
      <w:pPr>
        <w:spacing w:after="80" w:line="240" w:lineRule="auto"/>
        <w:rPr/>
      </w:pPr>
      <w:r w:rsidDel="00000000" w:rsidR="00000000" w:rsidRPr="00000000">
        <w:rPr>
          <w:rtl w:val="0"/>
        </w:rPr>
      </w:r>
    </w:p>
    <w:p w:rsidR="00000000" w:rsidDel="00000000" w:rsidP="00000000" w:rsidRDefault="00000000" w:rsidRPr="00000000" w14:paraId="000000B2">
      <w:pPr>
        <w:spacing w:after="80" w:line="240" w:lineRule="auto"/>
        <w:rPr>
          <w:b w:val="1"/>
        </w:rPr>
      </w:pPr>
      <w:r w:rsidDel="00000000" w:rsidR="00000000" w:rsidRPr="00000000">
        <w:rPr>
          <w:b w:val="1"/>
          <w:rtl w:val="0"/>
        </w:rPr>
        <w:t xml:space="preserve">Background:</w:t>
      </w:r>
      <w:r w:rsidDel="00000000" w:rsidR="00000000" w:rsidRPr="00000000">
        <w:rPr>
          <w:rtl w:val="0"/>
        </w:rPr>
      </w:r>
    </w:p>
    <w:p w:rsidR="00000000" w:rsidDel="00000000" w:rsidP="00000000" w:rsidRDefault="00000000" w:rsidRPr="00000000" w14:paraId="000000B3">
      <w:pPr>
        <w:widowControl w:val="0"/>
        <w:spacing w:after="180" w:line="240" w:lineRule="auto"/>
        <w:ind w:left="0" w:firstLine="720"/>
        <w:rPr/>
      </w:pPr>
      <w:r w:rsidDel="00000000" w:rsidR="00000000" w:rsidRPr="00000000">
        <w:rPr>
          <w:rtl w:val="0"/>
        </w:rPr>
        <w:t xml:space="preserve">Giovanni Anastasi, an antique dealer, acquired a collection of papyri written in Greek, Old Coptic, and Demotic while on administrative travels through Egypt as Swedish–Norwegian Consul–General in 1828.</w:t>
      </w:r>
      <w:r w:rsidDel="00000000" w:rsidR="00000000" w:rsidRPr="00000000">
        <w:rPr>
          <w:vertAlign w:val="superscript"/>
        </w:rPr>
        <w:footnoteReference w:customMarkFollows="0" w:id="0"/>
      </w:r>
      <w:r w:rsidDel="00000000" w:rsidR="00000000" w:rsidRPr="00000000">
        <w:rPr>
          <w:rtl w:val="0"/>
        </w:rPr>
        <w:t xml:space="preserve"> The collection, allegedly found inside a tomb at Luxor (no further evidence to corroborate this claim was found) before coming into Anastasi’s possession, would thus be known as the ‘Theban Magical Library’. The Library contains an eclectic variety of formulae and spells, ranging from one-line Homeric verses and strictly ‘medicinal’ applications to lengthy and complex multi-step rituals that require ingredients both mundane and exotic to the Egyptian Roman milieu.</w:t>
      </w:r>
      <w:r w:rsidDel="00000000" w:rsidR="00000000" w:rsidRPr="00000000">
        <w:rPr>
          <w:vertAlign w:val="superscript"/>
        </w:rPr>
        <w:footnoteReference w:customMarkFollows="0" w:id="1"/>
      </w:r>
      <w:r w:rsidDel="00000000" w:rsidR="00000000" w:rsidRPr="00000000">
        <w:rPr>
          <w:rtl w:val="0"/>
        </w:rPr>
        <w:t xml:space="preserve"> Anastasi subsequently auctioned off the Library to various museums across Europe, along with other magical papyri he had acquired elsewhere in Egypt, thereby scattering the collection.</w:t>
      </w:r>
      <w:r w:rsidDel="00000000" w:rsidR="00000000" w:rsidRPr="00000000">
        <w:rPr>
          <w:vertAlign w:val="superscript"/>
        </w:rPr>
        <w:footnoteReference w:customMarkFollows="0" w:id="2"/>
      </w:r>
      <w:r w:rsidDel="00000000" w:rsidR="00000000" w:rsidRPr="00000000">
        <w:rPr>
          <w:rtl w:val="0"/>
        </w:rPr>
        <w:t xml:space="preserve"> From 1928 to 1931, Karl Preisendanz directed a compilation of the scattered papyri, published them as the </w:t>
      </w:r>
      <w:r w:rsidDel="00000000" w:rsidR="00000000" w:rsidRPr="00000000">
        <w:rPr>
          <w:i w:val="1"/>
          <w:rtl w:val="0"/>
        </w:rPr>
        <w:t xml:space="preserve">Papyri Graecae Magicae</w:t>
      </w:r>
      <w:r w:rsidDel="00000000" w:rsidR="00000000" w:rsidRPr="00000000">
        <w:rPr>
          <w:rtl w:val="0"/>
        </w:rPr>
        <w:t xml:space="preserve">, and introduced a numbering system that assigned Roman numerals to each museum’s manuscript and Arabic numerals to the lines contained therein.</w:t>
      </w:r>
      <w:r w:rsidDel="00000000" w:rsidR="00000000" w:rsidRPr="00000000">
        <w:rPr>
          <w:vertAlign w:val="superscript"/>
        </w:rPr>
        <w:footnoteReference w:customMarkFollows="0" w:id="3"/>
      </w:r>
      <w:r w:rsidDel="00000000" w:rsidR="00000000" w:rsidRPr="00000000">
        <w:rPr>
          <w:rtl w:val="0"/>
        </w:rPr>
        <w:t xml:space="preserve"> This convention was continued under Hans Dieter Betz’s direction, who published the first and second editions of the English translations in 1986 and 1992, respectively. The naming convention by Preisendanz is problematic but for the sake of clarity, this paper will continue to rely on it.</w:t>
      </w:r>
      <w:r w:rsidDel="00000000" w:rsidR="00000000" w:rsidRPr="00000000">
        <w:rPr>
          <w:vertAlign w:val="superscript"/>
        </w:rPr>
        <w:footnoteReference w:customMarkFollows="0" w:id="4"/>
      </w:r>
      <w:r w:rsidDel="00000000" w:rsidR="00000000" w:rsidRPr="00000000">
        <w:rPr>
          <w:rtl w:val="0"/>
        </w:rPr>
        <w:t xml:space="preserve">                                     </w:t>
        <w:tab/>
        <w:t xml:space="preserve">                                                                      </w:t>
        <w:tab/>
        <w:t xml:space="preserve"> </w:t>
        <w:tab/>
        <w:t xml:space="preserve">The syncretism, multilingualism, and variant dating of the texts within PGM have inspired ample debate, especially over the ‘identity’ of the authors and their audience.</w:t>
      </w:r>
      <w:r w:rsidDel="00000000" w:rsidR="00000000" w:rsidRPr="00000000">
        <w:rPr>
          <w:vertAlign w:val="superscript"/>
        </w:rPr>
        <w:footnoteReference w:customMarkFollows="0" w:id="5"/>
      </w:r>
      <w:r w:rsidDel="00000000" w:rsidR="00000000" w:rsidRPr="00000000">
        <w:rPr>
          <w:rtl w:val="0"/>
        </w:rPr>
        <w:t xml:space="preserve"> This debate on authorship has bled into a discussion on the ‘identity’ of the spells themselves. Are they, perhaps as the title </w:t>
      </w:r>
      <w:r w:rsidDel="00000000" w:rsidR="00000000" w:rsidRPr="00000000">
        <w:rPr>
          <w:i w:val="1"/>
          <w:rtl w:val="0"/>
        </w:rPr>
        <w:t xml:space="preserve">Papyri Graecae Magicae</w:t>
      </w:r>
      <w:r w:rsidDel="00000000" w:rsidR="00000000" w:rsidRPr="00000000">
        <w:rPr>
          <w:rtl w:val="0"/>
        </w:rPr>
        <w:t xml:space="preserve"> implies, essentially ‘Greek’ with the infusion of Egyptian and Near Eastern flavors? Or are they ‘Egyptian’ at their core, written mostly in Greek simply because that was the</w:t>
      </w:r>
      <w:r w:rsidDel="00000000" w:rsidR="00000000" w:rsidRPr="00000000">
        <w:rPr>
          <w:i w:val="1"/>
          <w:rtl w:val="0"/>
        </w:rPr>
        <w:t xml:space="preserve"> lingua franca</w:t>
      </w:r>
      <w:r w:rsidDel="00000000" w:rsidR="00000000" w:rsidRPr="00000000">
        <w:rPr>
          <w:rtl w:val="0"/>
        </w:rPr>
        <w:t xml:space="preserve"> of Roman Egypt? Or are they, as Betz puts it, evidence of  “a new religion altogether, displaying unified religious attitudes and beliefs</w:t>
      </w:r>
      <w:r w:rsidDel="00000000" w:rsidR="00000000" w:rsidRPr="00000000">
        <w:rPr>
          <w:rtl w:val="0"/>
        </w:rPr>
        <w:t xml:space="preserve">”?</w:t>
      </w:r>
      <w:r w:rsidDel="00000000" w:rsidR="00000000" w:rsidRPr="00000000">
        <w:rPr>
          <w:vertAlign w:val="superscript"/>
        </w:rPr>
        <w:footnoteReference w:customMarkFollows="0" w:id="6"/>
      </w:r>
      <w:r w:rsidDel="00000000" w:rsidR="00000000" w:rsidRPr="00000000">
        <w:rPr>
          <w:rtl w:val="0"/>
        </w:rPr>
        <w:t xml:space="preserve"> Given that identity was not so easily definable in Roman Egypt— for instance, Alexandrian Jews, Greeks, and Egyptians were suddenly all legally classed as ‘Egyptians’ after Augustus’ annexation and reorganization of Egyptian society (30 BCE) — then such social complexity muddles attempts at neatly ‘identifying’ the PGM.</w:t>
      </w:r>
      <w:r w:rsidDel="00000000" w:rsidR="00000000" w:rsidRPr="00000000">
        <w:rPr>
          <w:vertAlign w:val="superscript"/>
        </w:rPr>
        <w:footnoteReference w:customMarkFollows="0" w:id="7"/>
      </w:r>
      <w:r w:rsidDel="00000000" w:rsidR="00000000" w:rsidRPr="00000000">
        <w:rPr>
          <w:rtl w:val="0"/>
        </w:rPr>
        <w:t xml:space="preserve"> The dichotomous</w:t>
      </w:r>
      <w:r w:rsidDel="00000000" w:rsidR="00000000" w:rsidRPr="00000000">
        <w:rPr>
          <w:rtl w:val="0"/>
        </w:rPr>
        <w:t xml:space="preserve"> ‘Greek or Egyptian’ framework of inquiry might, therefore, obscure more than elucidate, and so the innovation of new categories is required to spur investigations.</w:t>
      </w:r>
      <w:r w:rsidDel="00000000" w:rsidR="00000000" w:rsidRPr="00000000">
        <w:rPr>
          <w:vertAlign w:val="superscript"/>
        </w:rPr>
        <w:footnoteReference w:customMarkFollows="0" w:id="8"/>
      </w:r>
      <w:r w:rsidDel="00000000" w:rsidR="00000000" w:rsidRPr="00000000">
        <w:rPr>
          <w:rtl w:val="0"/>
        </w:rPr>
        <w:t xml:space="preserve"> That being said, the scope of this paper is not to provide an answer on the identity of the PGM’s authorship or provenance but to instead analyze one of its spells: PGM IV. 296–466, ‘wondrous spell for binding a lover’ (translated by E. N. O’Neil), which shall hereby be referred to as ‘IV. 296’. </w:t>
      </w:r>
    </w:p>
    <w:p w:rsidR="00000000" w:rsidDel="00000000" w:rsidP="00000000" w:rsidRDefault="00000000" w:rsidRPr="00000000" w14:paraId="000000B4">
      <w:pPr>
        <w:spacing w:after="20" w:line="240" w:lineRule="auto"/>
        <w:rPr/>
      </w:pPr>
      <w:r w:rsidDel="00000000" w:rsidR="00000000" w:rsidRPr="00000000">
        <w:rPr>
          <w:rtl w:val="0"/>
        </w:rPr>
        <w:tab/>
      </w:r>
    </w:p>
    <w:p w:rsidR="00000000" w:rsidDel="00000000" w:rsidP="00000000" w:rsidRDefault="00000000" w:rsidRPr="00000000" w14:paraId="000000B5">
      <w:pPr>
        <w:spacing w:after="20" w:line="240" w:lineRule="auto"/>
        <w:rPr>
          <w:b w:val="1"/>
        </w:rPr>
      </w:pPr>
      <w:r w:rsidDel="00000000" w:rsidR="00000000" w:rsidRPr="00000000">
        <w:rPr>
          <w:b w:val="1"/>
          <w:rtl w:val="0"/>
        </w:rPr>
        <w:t xml:space="preserve">Description of IV. 296:</w:t>
      </w:r>
    </w:p>
    <w:p w:rsidR="00000000" w:rsidDel="00000000" w:rsidP="00000000" w:rsidRDefault="00000000" w:rsidRPr="00000000" w14:paraId="000000B6">
      <w:pPr>
        <w:spacing w:after="20" w:line="240" w:lineRule="auto"/>
        <w:rPr/>
      </w:pPr>
      <w:r w:rsidDel="00000000" w:rsidR="00000000" w:rsidRPr="00000000">
        <w:rPr>
          <w:rtl w:val="0"/>
        </w:rPr>
        <w:tab/>
        <w:t xml:space="preserve">The PGM. IV papyri containing IV. 296, also known as the ‘Grand Paris Papyri’, was part of the original Theban Magical Library and auctioned off in 1857 to the Bibliothèque Nationale in Paris. PGM IV was dated to the 4th century CE, and that dating has been re–verified by recent papyrological studies conducted by Faraone and Tovar.</w:t>
      </w:r>
      <w:r w:rsidDel="00000000" w:rsidR="00000000" w:rsidRPr="00000000">
        <w:rPr>
          <w:vertAlign w:val="superscript"/>
        </w:rPr>
        <w:footnoteReference w:customMarkFollows="0" w:id="9"/>
      </w:r>
      <w:r w:rsidDel="00000000" w:rsidR="00000000" w:rsidRPr="00000000">
        <w:rPr>
          <w:rtl w:val="0"/>
        </w:rPr>
        <w:t xml:space="preserve"> The papyrus is a thirty six–page codex whose nature indicates a high degree of pre–planning before reed was put to papyrus. In conjunction with the likelihood, as LiDonnici notes, that multiple scribes were writing on this papyrus, the process of finishing PGM IV would have taken a long time.</w:t>
      </w:r>
      <w:r w:rsidDel="00000000" w:rsidR="00000000" w:rsidRPr="00000000">
        <w:rPr>
          <w:vertAlign w:val="superscript"/>
        </w:rPr>
        <w:footnoteReference w:customMarkFollows="0" w:id="10"/>
      </w:r>
      <w:r w:rsidDel="00000000" w:rsidR="00000000" w:rsidRPr="00000000">
        <w:rPr>
          <w:rtl w:val="0"/>
        </w:rPr>
        <w:t xml:space="preserve"> </w:t>
      </w:r>
    </w:p>
    <w:p w:rsidR="00000000" w:rsidDel="00000000" w:rsidP="00000000" w:rsidRDefault="00000000" w:rsidRPr="00000000" w14:paraId="000000B7">
      <w:pPr>
        <w:spacing w:after="20" w:line="240" w:lineRule="auto"/>
        <w:rPr/>
      </w:pPr>
      <w:r w:rsidDel="00000000" w:rsidR="00000000" w:rsidRPr="00000000">
        <w:rPr>
          <w:rtl w:val="0"/>
        </w:rPr>
        <w:tab/>
        <w:t xml:space="preserve">IV. 296 details an elaborate formula–ritual designed to attract a woman to ‘NN’, a placeholder for the practitioner’s name used consistently across the entirety of PGM. The formula is complex and involves molding wax into two human figurines, piercing one of them with copper needles, inscribing and reciting lengthy spells onto said figurine as well as onto a lead </w:t>
      </w:r>
      <w:r w:rsidDel="00000000" w:rsidR="00000000" w:rsidRPr="00000000">
        <w:rPr>
          <w:i w:val="1"/>
          <w:rtl w:val="0"/>
        </w:rPr>
        <w:t xml:space="preserve">lamella</w:t>
      </w:r>
      <w:r w:rsidDel="00000000" w:rsidR="00000000" w:rsidRPr="00000000">
        <w:rPr>
          <w:rtl w:val="0"/>
        </w:rPr>
        <w:t xml:space="preserve">, tying the </w:t>
      </w:r>
      <w:r w:rsidDel="00000000" w:rsidR="00000000" w:rsidRPr="00000000">
        <w:rPr>
          <w:i w:val="1"/>
          <w:rtl w:val="0"/>
        </w:rPr>
        <w:t xml:space="preserve">lamella</w:t>
      </w:r>
      <w:r w:rsidDel="00000000" w:rsidR="00000000" w:rsidRPr="00000000">
        <w:rPr>
          <w:rtl w:val="0"/>
        </w:rPr>
        <w:t xml:space="preserve"> to the figurines with knotted string, and finally depositing the figurines and lamella to a tomb during sunset, all while reciting a hymn to Helios/Horus replete with </w:t>
      </w:r>
      <w:r w:rsidDel="00000000" w:rsidR="00000000" w:rsidRPr="00000000">
        <w:rPr>
          <w:i w:val="1"/>
          <w:rtl w:val="0"/>
        </w:rPr>
        <w:t xml:space="preserve">voces magicae</w:t>
      </w:r>
      <w:r w:rsidDel="00000000" w:rsidR="00000000" w:rsidRPr="00000000">
        <w:rPr>
          <w:rtl w:val="0"/>
        </w:rPr>
        <w:t xml:space="preserve">.  </w:t>
      </w:r>
    </w:p>
    <w:p w:rsidR="00000000" w:rsidDel="00000000" w:rsidP="00000000" w:rsidRDefault="00000000" w:rsidRPr="00000000" w14:paraId="000000B8">
      <w:pPr>
        <w:spacing w:after="20" w:line="240" w:lineRule="auto"/>
        <w:ind w:left="0" w:firstLine="720"/>
        <w:rPr/>
      </w:pPr>
      <w:r w:rsidDel="00000000" w:rsidR="00000000" w:rsidRPr="00000000">
        <w:rPr>
          <w:rtl w:val="0"/>
        </w:rPr>
        <w:t xml:space="preserve">This paper will focus on the </w:t>
      </w:r>
      <w:r w:rsidDel="00000000" w:rsidR="00000000" w:rsidRPr="00000000">
        <w:rPr>
          <w:i w:val="1"/>
          <w:rtl w:val="0"/>
        </w:rPr>
        <w:t xml:space="preserve">materia</w:t>
      </w:r>
      <w:r w:rsidDel="00000000" w:rsidR="00000000" w:rsidRPr="00000000">
        <w:rPr>
          <w:rtl w:val="0"/>
        </w:rPr>
        <w:t xml:space="preserve"> requested in IV. 296 as a means to properly understand what about these </w:t>
      </w:r>
      <w:r w:rsidDel="00000000" w:rsidR="00000000" w:rsidRPr="00000000">
        <w:rPr>
          <w:i w:val="1"/>
          <w:rtl w:val="0"/>
        </w:rPr>
        <w:t xml:space="preserve">materia</w:t>
      </w:r>
      <w:r w:rsidDel="00000000" w:rsidR="00000000" w:rsidRPr="00000000">
        <w:rPr>
          <w:rtl w:val="0"/>
        </w:rPr>
        <w:t xml:space="preserve">, individually and as constituent parts, might have seemed  ‘magical,’ ‘mystical,’ or ‘divinatory.’ However, since these terms and their use in studying ancient societies are still contested, this paper will instead utilize </w:t>
      </w:r>
      <w:r w:rsidDel="00000000" w:rsidR="00000000" w:rsidRPr="00000000">
        <w:rPr>
          <w:i w:val="1"/>
          <w:rtl w:val="0"/>
        </w:rPr>
        <w:t xml:space="preserve">liminality</w:t>
      </w:r>
      <w:r w:rsidDel="00000000" w:rsidR="00000000" w:rsidRPr="00000000">
        <w:rPr>
          <w:rtl w:val="0"/>
        </w:rPr>
        <w:t xml:space="preserve"> as an analytic framework.</w:t>
      </w:r>
      <w:r w:rsidDel="00000000" w:rsidR="00000000" w:rsidRPr="00000000">
        <w:rPr>
          <w:vertAlign w:val="superscript"/>
        </w:rPr>
        <w:footnoteReference w:customMarkFollows="0" w:id="11"/>
      </w:r>
      <w:r w:rsidDel="00000000" w:rsidR="00000000" w:rsidRPr="00000000">
        <w:rPr>
          <w:rtl w:val="0"/>
        </w:rPr>
        <w:t xml:space="preserve"> As defined by Joseph Turner during his field studies of the Ndembu’s initiation rites in Zambia, </w:t>
      </w:r>
      <w:r w:rsidDel="00000000" w:rsidR="00000000" w:rsidRPr="00000000">
        <w:rPr>
          <w:i w:val="1"/>
          <w:rtl w:val="0"/>
        </w:rPr>
        <w:t xml:space="preserve">liminality</w:t>
      </w:r>
      <w:r w:rsidDel="00000000" w:rsidR="00000000" w:rsidRPr="00000000">
        <w:rPr>
          <w:rtl w:val="0"/>
        </w:rPr>
        <w:t xml:space="preserve"> is a transitional state in which the participant’s previous social states are abandoned, but their future social states have not yet been conferred: for instance, a ‘boy’ becoming a ‘man’ is, temporarily, not a ‘boy’ or a ‘man’; paradoxically, however, he is also a ‘boy-man’ and more. It is within this ambiguity of collapsed categories— “</w:t>
      </w:r>
      <w:r w:rsidDel="00000000" w:rsidR="00000000" w:rsidRPr="00000000">
        <w:rPr>
          <w:rtl w:val="0"/>
        </w:rPr>
        <w:t xml:space="preserve">neither this nor that, and </w:t>
      </w:r>
      <w:r w:rsidDel="00000000" w:rsidR="00000000" w:rsidRPr="00000000">
        <w:rPr>
          <w:rtl w:val="0"/>
        </w:rPr>
        <w:t xml:space="preserve">yet…</w:t>
      </w:r>
      <w:r w:rsidDel="00000000" w:rsidR="00000000" w:rsidRPr="00000000">
        <w:rPr>
          <w:rtl w:val="0"/>
        </w:rPr>
        <w:t xml:space="preserve"> both”  -–that experiences of endless potentiality are generated</w:t>
      </w:r>
      <w:r w:rsidDel="00000000" w:rsidR="00000000" w:rsidRPr="00000000">
        <w:rPr>
          <w:rtl w:val="0"/>
        </w:rPr>
        <w:t xml:space="preserve">.</w:t>
      </w:r>
      <w:r w:rsidDel="00000000" w:rsidR="00000000" w:rsidRPr="00000000">
        <w:rPr>
          <w:vertAlign w:val="superscript"/>
        </w:rPr>
        <w:footnoteReference w:customMarkFollows="0" w:id="12"/>
      </w:r>
      <w:r w:rsidDel="00000000" w:rsidR="00000000" w:rsidRPr="00000000">
        <w:rPr>
          <w:rtl w:val="0"/>
        </w:rPr>
        <w:t xml:space="preserve"> This paper will thus presuppose that ‘magic’ and ‘divination,’ however those terms might be defined, cannot </w:t>
      </w:r>
      <w:r w:rsidDel="00000000" w:rsidR="00000000" w:rsidRPr="00000000">
        <w:rPr>
          <w:rtl w:val="0"/>
        </w:rPr>
        <w:t xml:space="preserve">ensue</w:t>
      </w:r>
      <w:r w:rsidDel="00000000" w:rsidR="00000000" w:rsidRPr="00000000">
        <w:rPr>
          <w:rtl w:val="0"/>
        </w:rPr>
        <w:t xml:space="preserve"> without some established degree of liminality. Therefore, what about IV. 296’s </w:t>
      </w:r>
      <w:r w:rsidDel="00000000" w:rsidR="00000000" w:rsidRPr="00000000">
        <w:rPr>
          <w:i w:val="1"/>
          <w:rtl w:val="0"/>
        </w:rPr>
        <w:t xml:space="preserve">materia</w:t>
      </w:r>
      <w:r w:rsidDel="00000000" w:rsidR="00000000" w:rsidRPr="00000000">
        <w:rPr>
          <w:rtl w:val="0"/>
        </w:rPr>
        <w:t xml:space="preserve"> evokes or brings the practitioner into liminality? How do they create for the practitioner, as Versnel writes, ‘the world of ‘otherness’’?</w:t>
      </w:r>
      <w:r w:rsidDel="00000000" w:rsidR="00000000" w:rsidRPr="00000000">
        <w:rPr>
          <w:vertAlign w:val="superscript"/>
        </w:rPr>
        <w:footnoteReference w:customMarkFollows="0" w:id="13"/>
      </w:r>
      <w:r w:rsidDel="00000000" w:rsidR="00000000" w:rsidRPr="00000000">
        <w:rPr>
          <w:rtl w:val="0"/>
        </w:rPr>
        <w:t xml:space="preserve"> IV. 296’s </w:t>
      </w:r>
      <w:r w:rsidDel="00000000" w:rsidR="00000000" w:rsidRPr="00000000">
        <w:rPr>
          <w:i w:val="1"/>
          <w:rtl w:val="0"/>
        </w:rPr>
        <w:t xml:space="preserve">materia</w:t>
      </w:r>
      <w:r w:rsidDel="00000000" w:rsidR="00000000" w:rsidRPr="00000000">
        <w:rPr>
          <w:rtl w:val="0"/>
        </w:rPr>
        <w:t xml:space="preserve"> will be analyzed in this order:</w:t>
      </w:r>
    </w:p>
    <w:p w:rsidR="00000000" w:rsidDel="00000000" w:rsidP="00000000" w:rsidRDefault="00000000" w:rsidRPr="00000000" w14:paraId="000000B9">
      <w:pPr>
        <w:spacing w:after="20" w:line="240" w:lineRule="auto"/>
        <w:ind w:left="0" w:firstLine="720"/>
        <w:rPr/>
      </w:pPr>
      <w:r w:rsidDel="00000000" w:rsidR="00000000" w:rsidRPr="00000000">
        <w:rPr>
          <w:rtl w:val="0"/>
        </w:rPr>
      </w:r>
    </w:p>
    <w:p w:rsidR="00000000" w:rsidDel="00000000" w:rsidP="00000000" w:rsidRDefault="00000000" w:rsidRPr="00000000" w14:paraId="000000BA">
      <w:pPr>
        <w:spacing w:after="20" w:line="240" w:lineRule="auto"/>
        <w:rPr/>
      </w:pPr>
      <w:r w:rsidDel="00000000" w:rsidR="00000000" w:rsidRPr="00000000">
        <w:rPr>
          <w:rtl w:val="0"/>
        </w:rPr>
        <w:t xml:space="preserve">1. Wax.</w:t>
      </w:r>
    </w:p>
    <w:p w:rsidR="00000000" w:rsidDel="00000000" w:rsidP="00000000" w:rsidRDefault="00000000" w:rsidRPr="00000000" w14:paraId="000000BB">
      <w:pPr>
        <w:spacing w:after="20" w:line="240" w:lineRule="auto"/>
        <w:rPr/>
      </w:pPr>
      <w:r w:rsidDel="00000000" w:rsidR="00000000" w:rsidRPr="00000000">
        <w:rPr>
          <w:rtl w:val="0"/>
        </w:rPr>
        <w:t xml:space="preserve">2. Metals: 2.1. Copper.; 2.2. Lead.</w:t>
      </w:r>
    </w:p>
    <w:p w:rsidR="00000000" w:rsidDel="00000000" w:rsidP="00000000" w:rsidRDefault="00000000" w:rsidRPr="00000000" w14:paraId="000000BC">
      <w:pPr>
        <w:spacing w:after="20" w:line="240" w:lineRule="auto"/>
        <w:rPr/>
      </w:pPr>
      <w:r w:rsidDel="00000000" w:rsidR="00000000" w:rsidRPr="00000000">
        <w:rPr>
          <w:rtl w:val="0"/>
        </w:rPr>
        <w:t xml:space="preserve">3. Thread.</w:t>
      </w:r>
    </w:p>
    <w:p w:rsidR="00000000" w:rsidDel="00000000" w:rsidP="00000000" w:rsidRDefault="00000000" w:rsidRPr="00000000" w14:paraId="000000BD">
      <w:pPr>
        <w:spacing w:after="20" w:line="240" w:lineRule="auto"/>
        <w:rPr/>
      </w:pPr>
      <w:r w:rsidDel="00000000" w:rsidR="00000000" w:rsidRPr="00000000">
        <w:rPr>
          <w:rtl w:val="0"/>
        </w:rPr>
        <w:t xml:space="preserve">4. Letters.</w:t>
      </w:r>
    </w:p>
    <w:p w:rsidR="00000000" w:rsidDel="00000000" w:rsidP="00000000" w:rsidRDefault="00000000" w:rsidRPr="00000000" w14:paraId="000000BE">
      <w:pPr>
        <w:spacing w:after="20" w:line="240" w:lineRule="auto"/>
        <w:rPr/>
      </w:pPr>
      <w:r w:rsidDel="00000000" w:rsidR="00000000" w:rsidRPr="00000000">
        <w:rPr>
          <w:rtl w:val="0"/>
        </w:rPr>
        <w:t xml:space="preserve">5. …as the sun is setting, beside a grave…</w:t>
      </w:r>
      <w:r w:rsidDel="00000000" w:rsidR="00000000" w:rsidRPr="00000000">
        <w:rPr>
          <w:vertAlign w:val="superscript"/>
        </w:rPr>
        <w:footnoteReference w:customMarkFollows="0" w:id="14"/>
      </w:r>
      <w:r w:rsidDel="00000000" w:rsidR="00000000" w:rsidRPr="00000000">
        <w:rPr>
          <w:rtl w:val="0"/>
        </w:rPr>
      </w:r>
    </w:p>
    <w:p w:rsidR="00000000" w:rsidDel="00000000" w:rsidP="00000000" w:rsidRDefault="00000000" w:rsidRPr="00000000" w14:paraId="000000BF">
      <w:pPr>
        <w:spacing w:after="20" w:line="240" w:lineRule="auto"/>
        <w:rPr/>
      </w:pPr>
      <w:r w:rsidDel="00000000" w:rsidR="00000000" w:rsidRPr="00000000">
        <w:rPr>
          <w:rtl w:val="0"/>
        </w:rPr>
      </w:r>
    </w:p>
    <w:p w:rsidR="00000000" w:rsidDel="00000000" w:rsidP="00000000" w:rsidRDefault="00000000" w:rsidRPr="00000000" w14:paraId="000000C0">
      <w:pPr>
        <w:spacing w:after="20" w:line="240" w:lineRule="auto"/>
        <w:rPr/>
      </w:pPr>
      <w:r w:rsidDel="00000000" w:rsidR="00000000" w:rsidRPr="00000000">
        <w:rPr>
          <w:rtl w:val="0"/>
        </w:rPr>
        <w:t xml:space="preserve">Whether through their inherent properties, divine attributions, or methods of (mis)use, the ingredients here converse with and restate each other’s meanings throughout IV. 296’s ritual until a complex web of symbols is woven. It is this web that ultimately instills a sense of awe and limitlessness in the practitioner, in which their identity and sense of time are put into (ideally productive) confusion.</w:t>
      </w:r>
    </w:p>
    <w:p w:rsidR="00000000" w:rsidDel="00000000" w:rsidP="00000000" w:rsidRDefault="00000000" w:rsidRPr="00000000" w14:paraId="000000C1">
      <w:pPr>
        <w:spacing w:after="20" w:line="240" w:lineRule="auto"/>
        <w:rPr>
          <w:b w:val="1"/>
        </w:rPr>
      </w:pPr>
      <w:r w:rsidDel="00000000" w:rsidR="00000000" w:rsidRPr="00000000">
        <w:rPr>
          <w:rtl w:val="0"/>
        </w:rPr>
      </w:r>
    </w:p>
    <w:p w:rsidR="00000000" w:rsidDel="00000000" w:rsidP="00000000" w:rsidRDefault="00000000" w:rsidRPr="00000000" w14:paraId="000000C2">
      <w:pPr>
        <w:spacing w:after="20" w:line="240" w:lineRule="auto"/>
        <w:rPr>
          <w:b w:val="1"/>
        </w:rPr>
      </w:pPr>
      <w:r w:rsidDel="00000000" w:rsidR="00000000" w:rsidRPr="00000000">
        <w:rPr>
          <w:b w:val="1"/>
          <w:rtl w:val="0"/>
        </w:rPr>
        <w:t xml:space="preserve">1. Wax.</w:t>
      </w:r>
    </w:p>
    <w:p w:rsidR="00000000" w:rsidDel="00000000" w:rsidP="00000000" w:rsidRDefault="00000000" w:rsidRPr="00000000" w14:paraId="000000C3">
      <w:pPr>
        <w:spacing w:after="20" w:line="240" w:lineRule="auto"/>
        <w:ind w:firstLine="720"/>
        <w:rPr/>
      </w:pPr>
      <w:r w:rsidDel="00000000" w:rsidR="00000000" w:rsidRPr="00000000">
        <w:rPr>
          <w:rtl w:val="0"/>
        </w:rPr>
        <w:t xml:space="preserve">The inherent properties of wax make it a substance conducive to the liminal, as it can be shaped into many forms and then melted, materializing a realm where something can easily transform into something completely different. In IV. 296, the formula first asks that two figurines be molded out of “wax [or clay] from a potter’s wheel”: one into the form of Ares, and the other into the form of a female. The female figurine should be on her knees with her arms bound behind her, while the Ares figurine should be poised to strike her with his sword.</w:t>
      </w:r>
      <w:r w:rsidDel="00000000" w:rsidR="00000000" w:rsidRPr="00000000">
        <w:rPr>
          <w:vertAlign w:val="superscript"/>
        </w:rPr>
        <w:footnoteReference w:customMarkFollows="0" w:id="15"/>
      </w:r>
      <w:r w:rsidDel="00000000" w:rsidR="00000000" w:rsidRPr="00000000">
        <w:rPr>
          <w:rtl w:val="0"/>
        </w:rPr>
        <w:t xml:space="preserve"> The female figurine functions as a surrogate for the woman that the practitioner desires, Ares for the practitioner. The ritual manipulation of wax to embody persons, animals, and gods is widely attested across the ancient Mediterranean.</w:t>
      </w:r>
      <w:r w:rsidDel="00000000" w:rsidR="00000000" w:rsidRPr="00000000">
        <w:rPr>
          <w:vertAlign w:val="superscript"/>
        </w:rPr>
        <w:footnoteReference w:customMarkFollows="0" w:id="16"/>
      </w:r>
      <w:r w:rsidDel="00000000" w:rsidR="00000000" w:rsidRPr="00000000">
        <w:rPr>
          <w:rtl w:val="0"/>
        </w:rPr>
        <w:t xml:space="preserve"> One example is a stela dating back to the 8th century BCE, unearthed near Aleppo, that details an </w:t>
      </w:r>
      <w:r w:rsidDel="00000000" w:rsidR="00000000" w:rsidRPr="00000000">
        <w:rPr>
          <w:rtl w:val="0"/>
        </w:rPr>
        <w:t xml:space="preserve">execration</w:t>
      </w:r>
      <w:r w:rsidDel="00000000" w:rsidR="00000000" w:rsidRPr="00000000">
        <w:rPr>
          <w:rtl w:val="0"/>
        </w:rPr>
        <w:t xml:space="preserve"> oath between the two kings Barga’yah and Mati’el. Should Mati’el break said oath, he and his city shall burn like the wax that melts during the ritual.</w:t>
      </w:r>
      <w:r w:rsidDel="00000000" w:rsidR="00000000" w:rsidRPr="00000000">
        <w:rPr>
          <w:vertAlign w:val="superscript"/>
        </w:rPr>
        <w:footnoteReference w:customMarkFollows="0" w:id="17"/>
      </w:r>
      <w:r w:rsidDel="00000000" w:rsidR="00000000" w:rsidRPr="00000000">
        <w:rPr>
          <w:rtl w:val="0"/>
        </w:rPr>
        <w:t xml:space="preserve"> The inherent melting point of wax becomes symbolic of Mat’iel and his fate should he betray this treaty. It should be stressed that Mat’iel is not being cursed for something he </w:t>
      </w:r>
      <w:r w:rsidDel="00000000" w:rsidR="00000000" w:rsidRPr="00000000">
        <w:rPr>
          <w:i w:val="1"/>
          <w:rtl w:val="0"/>
        </w:rPr>
        <w:t xml:space="preserve">has done</w:t>
      </w:r>
      <w:r w:rsidDel="00000000" w:rsidR="00000000" w:rsidRPr="00000000">
        <w:rPr>
          <w:rtl w:val="0"/>
        </w:rPr>
        <w:t xml:space="preserve">, but for something he </w:t>
      </w:r>
      <w:r w:rsidDel="00000000" w:rsidR="00000000" w:rsidRPr="00000000">
        <w:rPr>
          <w:i w:val="1"/>
          <w:rtl w:val="0"/>
        </w:rPr>
        <w:t xml:space="preserve">could</w:t>
      </w:r>
      <w:r w:rsidDel="00000000" w:rsidR="00000000" w:rsidRPr="00000000">
        <w:rPr>
          <w:rtl w:val="0"/>
        </w:rPr>
        <w:t xml:space="preserve"> or </w:t>
      </w:r>
      <w:r w:rsidDel="00000000" w:rsidR="00000000" w:rsidRPr="00000000">
        <w:rPr>
          <w:i w:val="1"/>
          <w:rtl w:val="0"/>
        </w:rPr>
        <w:t xml:space="preserve">might</w:t>
      </w:r>
      <w:r w:rsidDel="00000000" w:rsidR="00000000" w:rsidRPr="00000000">
        <w:rPr>
          <w:rtl w:val="0"/>
        </w:rPr>
        <w:t xml:space="preserve"> </w:t>
      </w:r>
      <w:r w:rsidDel="00000000" w:rsidR="00000000" w:rsidRPr="00000000">
        <w:rPr>
          <w:i w:val="1"/>
          <w:rtl w:val="0"/>
        </w:rPr>
        <w:t xml:space="preserve">do</w:t>
      </w:r>
      <w:r w:rsidDel="00000000" w:rsidR="00000000" w:rsidRPr="00000000">
        <w:rPr>
          <w:rtl w:val="0"/>
        </w:rPr>
        <w:t xml:space="preserve">. Beyond the illustrative and psychological effect the wax might serve in coercing Mat’iel’s cooperation, the wax’s malleability mainly becomes a conduit towards an array of yet–to–concretize potentialities. The wax, instead of presenting time as a linear chain of predetermined events, presents it as amorphous and unshaped.</w:t>
      </w:r>
    </w:p>
    <w:p w:rsidR="00000000" w:rsidDel="00000000" w:rsidP="00000000" w:rsidRDefault="00000000" w:rsidRPr="00000000" w14:paraId="000000C4">
      <w:pPr>
        <w:spacing w:after="20" w:line="240" w:lineRule="auto"/>
        <w:ind w:firstLine="720"/>
        <w:rPr/>
      </w:pPr>
      <w:r w:rsidDel="00000000" w:rsidR="00000000" w:rsidRPr="00000000">
        <w:rPr>
          <w:rtl w:val="0"/>
        </w:rPr>
        <w:t xml:space="preserve">Wax was used in Pharaonic Egypt— beeswax and its derivatives like propolis, specifically —for similar execration rites and the embalming of the dead. One relief in the Solar Temple of Nyuserra, dated to the 5th Dynasty, depicts working beekeepers, thus pointing to the Egyptians’ early awareness of beeswax’s preservative capabilities, which they perhaps observed when bees used propolis to trap intruders in their hives.</w:t>
      </w:r>
      <w:r w:rsidDel="00000000" w:rsidR="00000000" w:rsidRPr="00000000">
        <w:rPr>
          <w:vertAlign w:val="superscript"/>
        </w:rPr>
        <w:footnoteReference w:customMarkFollows="0" w:id="18"/>
      </w:r>
      <w:r w:rsidDel="00000000" w:rsidR="00000000" w:rsidRPr="00000000">
        <w:rPr>
          <w:rtl w:val="0"/>
        </w:rPr>
        <w:t xml:space="preserve"> It can be speculated that, in observing this capability of slowing or stopping the inevitable trajectory of decay, wax was thought to possess supernatural powers. Et sequitur, any manipulation of wax in a ritual fashion would have seemed a proper way to approach the gods and to access their once–exclusive power over temporality and generation.</w:t>
      </w:r>
      <w:r w:rsidDel="00000000" w:rsidR="00000000" w:rsidRPr="00000000">
        <w:rPr>
          <w:vertAlign w:val="superscript"/>
        </w:rPr>
        <w:footnoteReference w:customMarkFollows="0" w:id="19"/>
      </w:r>
      <w:r w:rsidDel="00000000" w:rsidR="00000000" w:rsidRPr="00000000">
        <w:rPr>
          <w:rtl w:val="0"/>
        </w:rPr>
        <w:t xml:space="preserve"> This would have not only added symbolic resonance to the ritual of preparing the deceased for the afterlife but validated itself as an appropriate </w:t>
      </w:r>
      <w:r w:rsidDel="00000000" w:rsidR="00000000" w:rsidRPr="00000000">
        <w:rPr>
          <w:i w:val="1"/>
          <w:rtl w:val="0"/>
        </w:rPr>
        <w:t xml:space="preserve">materia</w:t>
      </w:r>
      <w:r w:rsidDel="00000000" w:rsidR="00000000" w:rsidRPr="00000000">
        <w:rPr>
          <w:rtl w:val="0"/>
        </w:rPr>
        <w:t xml:space="preserve"> with which to make figurines that, as was customary in the Pharaonic tradition, likened human rulers to the divine.</w:t>
      </w:r>
      <w:r w:rsidDel="00000000" w:rsidR="00000000" w:rsidRPr="00000000">
        <w:rPr>
          <w:vertAlign w:val="superscript"/>
        </w:rPr>
        <w:footnoteReference w:customMarkFollows="0" w:id="20"/>
      </w:r>
      <w:r w:rsidDel="00000000" w:rsidR="00000000" w:rsidRPr="00000000">
        <w:rPr>
          <w:rtl w:val="0"/>
        </w:rPr>
      </w:r>
    </w:p>
    <w:p w:rsidR="00000000" w:rsidDel="00000000" w:rsidP="00000000" w:rsidRDefault="00000000" w:rsidRPr="00000000" w14:paraId="000000C5">
      <w:pPr>
        <w:spacing w:after="20" w:line="240" w:lineRule="auto"/>
        <w:ind w:firstLine="720"/>
        <w:rPr/>
      </w:pPr>
      <w:r w:rsidDel="00000000" w:rsidR="00000000" w:rsidRPr="00000000">
        <w:rPr>
          <w:rtl w:val="0"/>
        </w:rPr>
        <w:t xml:space="preserve">The notion of wax as a liminal substance does not seem to be a phenomenon specific only to Pharaonic Egypt or the pre-Alexandrian Near East but to have survived well into the syncretic Late Antiquity. Similar to IV. 296, another Greek magical papyrus (4th century CE) gives instructions on how to craft Eros and Psyche figurines for a love charm.</w:t>
      </w:r>
      <w:r w:rsidDel="00000000" w:rsidR="00000000" w:rsidRPr="00000000">
        <w:rPr>
          <w:vertAlign w:val="superscript"/>
        </w:rPr>
        <w:footnoteReference w:customMarkFollows="0" w:id="21"/>
      </w:r>
      <w:r w:rsidDel="00000000" w:rsidR="00000000" w:rsidRPr="00000000">
        <w:rPr>
          <w:rtl w:val="0"/>
        </w:rPr>
        <w:t xml:space="preserve"> Again, the line here between humans and gods is muddled.</w:t>
      </w:r>
    </w:p>
    <w:p w:rsidR="00000000" w:rsidDel="00000000" w:rsidP="00000000" w:rsidRDefault="00000000" w:rsidRPr="00000000" w14:paraId="000000C6">
      <w:pPr>
        <w:spacing w:after="20" w:line="240" w:lineRule="auto"/>
        <w:ind w:firstLine="720"/>
        <w:rPr/>
      </w:pPr>
      <w:r w:rsidDel="00000000" w:rsidR="00000000" w:rsidRPr="00000000">
        <w:rPr>
          <w:rtl w:val="0"/>
        </w:rPr>
        <w:t xml:space="preserve">In short, wax’s ritual use seems to have remained continuous in a pan-Mediterranean tradition, its malleability allowing for the establishment of liminal spaces where the stark distinctions between </w:t>
      </w:r>
      <w:r w:rsidDel="00000000" w:rsidR="00000000" w:rsidRPr="00000000">
        <w:rPr>
          <w:i w:val="1"/>
          <w:rtl w:val="0"/>
        </w:rPr>
        <w:t xml:space="preserve">materia</w:t>
      </w:r>
      <w:r w:rsidDel="00000000" w:rsidR="00000000" w:rsidRPr="00000000">
        <w:rPr>
          <w:rtl w:val="0"/>
        </w:rPr>
        <w:t xml:space="preserve"> and flesh, present and future, could become subject to negotiation. The wax in IV. 296 primes the practitioner to embody a new role as Ares and subjugator and to later come into contact with various other deities. The desired–after woman, despite her lack of knowledge or consent to the ritual, conversely embodies the role of the subjugated.</w:t>
      </w:r>
      <w:r w:rsidDel="00000000" w:rsidR="00000000" w:rsidRPr="00000000">
        <w:rPr>
          <w:vertAlign w:val="superscript"/>
        </w:rPr>
        <w:footnoteReference w:customMarkFollows="0" w:id="22"/>
      </w:r>
      <w:r w:rsidDel="00000000" w:rsidR="00000000" w:rsidRPr="00000000">
        <w:rPr>
          <w:rtl w:val="0"/>
        </w:rPr>
      </w:r>
    </w:p>
    <w:p w:rsidR="00000000" w:rsidDel="00000000" w:rsidP="00000000" w:rsidRDefault="00000000" w:rsidRPr="00000000" w14:paraId="000000C7">
      <w:pPr>
        <w:spacing w:after="20" w:line="240" w:lineRule="auto"/>
        <w:ind w:firstLine="720"/>
        <w:rPr/>
      </w:pPr>
      <w:r w:rsidDel="00000000" w:rsidR="00000000" w:rsidRPr="00000000">
        <w:rPr>
          <w:rtl w:val="0"/>
        </w:rPr>
      </w:r>
    </w:p>
    <w:p w:rsidR="00000000" w:rsidDel="00000000" w:rsidP="00000000" w:rsidRDefault="00000000" w:rsidRPr="00000000" w14:paraId="000000C8">
      <w:pPr>
        <w:spacing w:after="20" w:line="240" w:lineRule="auto"/>
        <w:ind w:left="0" w:firstLine="0"/>
        <w:rPr>
          <w:b w:val="1"/>
        </w:rPr>
      </w:pPr>
      <w:r w:rsidDel="00000000" w:rsidR="00000000" w:rsidRPr="00000000">
        <w:rPr>
          <w:b w:val="1"/>
          <w:rtl w:val="0"/>
        </w:rPr>
        <w:t xml:space="preserve">2. Metals.</w:t>
      </w:r>
    </w:p>
    <w:p w:rsidR="00000000" w:rsidDel="00000000" w:rsidP="00000000" w:rsidRDefault="00000000" w:rsidRPr="00000000" w14:paraId="000000C9">
      <w:pPr>
        <w:spacing w:after="20" w:line="240" w:lineRule="auto"/>
        <w:ind w:left="0" w:firstLine="720"/>
        <w:rPr/>
      </w:pPr>
      <w:r w:rsidDel="00000000" w:rsidR="00000000" w:rsidRPr="00000000">
        <w:rPr>
          <w:rtl w:val="0"/>
        </w:rPr>
        <w:t xml:space="preserve">The pliability of metals like copper and lead invited notions of kaleidoscopic possibilities akin to wax. In conjunction, the observation of metal ore ‘coming from under the earth’ would have easily invited linkages to chthonic gods, whether those metals were still to be smithed or not, and to invisible worlds like Hades or the Duat. After molding the wax, IV. 296’s formula instructs the practitioner to insert thirteen copper needles into the female figurine:</w:t>
      </w:r>
    </w:p>
    <w:p w:rsidR="00000000" w:rsidDel="00000000" w:rsidP="00000000" w:rsidRDefault="00000000" w:rsidRPr="00000000" w14:paraId="000000CA">
      <w:pPr>
        <w:spacing w:after="20" w:line="240" w:lineRule="auto"/>
        <w:rPr/>
      </w:pPr>
      <w:r w:rsidDel="00000000" w:rsidR="00000000" w:rsidRPr="00000000">
        <w:rPr>
          <w:rtl w:val="0"/>
        </w:rPr>
      </w:r>
    </w:p>
    <w:p w:rsidR="00000000" w:rsidDel="00000000" w:rsidP="00000000" w:rsidRDefault="00000000" w:rsidRPr="00000000" w14:paraId="000000CB">
      <w:pPr>
        <w:spacing w:after="20" w:line="240" w:lineRule="auto"/>
        <w:ind w:left="720" w:firstLine="0"/>
        <w:rPr/>
      </w:pPr>
      <w:r w:rsidDel="00000000" w:rsidR="00000000" w:rsidRPr="00000000">
        <w:rPr>
          <w:rtl w:val="0"/>
        </w:rPr>
        <w:t xml:space="preserve">And take thirteen copper needles and stick 1 in the brain while saying, “I am piercing your brain, NN”; and stick 2 in the ears and 2 in the eyes and 1 in the mouth and 2</w:t>
      </w:r>
      <w:r w:rsidDel="00000000" w:rsidR="00000000" w:rsidRPr="00000000">
        <w:rPr>
          <w:i w:val="1"/>
          <w:rtl w:val="0"/>
        </w:rPr>
        <w:t xml:space="preserve"> </w:t>
      </w:r>
      <w:r w:rsidDel="00000000" w:rsidR="00000000" w:rsidRPr="00000000">
        <w:rPr>
          <w:rtl w:val="0"/>
        </w:rPr>
        <w:t xml:space="preserve">in the midriff and 1 in the hands and 2 in the pudenda and 2 in the soles, saying each time, “I am piercing such and such a member of her, NN, so that she may remember no one but me, NN, alone.”</w:t>
      </w:r>
      <w:r w:rsidDel="00000000" w:rsidR="00000000" w:rsidRPr="00000000">
        <w:rPr>
          <w:vertAlign w:val="superscript"/>
        </w:rPr>
        <w:footnoteReference w:customMarkFollows="0" w:id="23"/>
      </w:r>
      <w:r w:rsidDel="00000000" w:rsidR="00000000" w:rsidRPr="00000000">
        <w:rPr>
          <w:rtl w:val="0"/>
        </w:rPr>
      </w:r>
    </w:p>
    <w:p w:rsidR="00000000" w:rsidDel="00000000" w:rsidP="00000000" w:rsidRDefault="00000000" w:rsidRPr="00000000" w14:paraId="000000CC">
      <w:pPr>
        <w:spacing w:after="20" w:line="240" w:lineRule="auto"/>
        <w:ind w:firstLine="720"/>
        <w:rPr/>
      </w:pPr>
      <w:r w:rsidDel="00000000" w:rsidR="00000000" w:rsidRPr="00000000">
        <w:rPr>
          <w:rtl w:val="0"/>
        </w:rPr>
      </w:r>
    </w:p>
    <w:p w:rsidR="00000000" w:rsidDel="00000000" w:rsidP="00000000" w:rsidRDefault="00000000" w:rsidRPr="00000000" w14:paraId="000000CD">
      <w:pPr>
        <w:spacing w:after="20" w:line="240" w:lineRule="auto"/>
        <w:ind w:left="0" w:firstLine="0"/>
        <w:rPr/>
      </w:pPr>
      <w:r w:rsidDel="00000000" w:rsidR="00000000" w:rsidRPr="00000000">
        <w:rPr>
          <w:rtl w:val="0"/>
        </w:rPr>
        <w:t xml:space="preserve">Recitations describing each pierced body part of the figurine, the name of the woman to be attracted, and the practitioner’s name are to accompany these actions. After that, a lengthy spell invoking the names of various chthonic gods and a spirit(s) of the dead is inscribed onto a lead </w:t>
      </w:r>
      <w:r w:rsidDel="00000000" w:rsidR="00000000" w:rsidRPr="00000000">
        <w:rPr>
          <w:i w:val="1"/>
          <w:rtl w:val="0"/>
        </w:rPr>
        <w:t xml:space="preserve">lamella</w:t>
      </w:r>
      <w:r w:rsidDel="00000000" w:rsidR="00000000" w:rsidRPr="00000000">
        <w:rPr>
          <w:rtl w:val="0"/>
        </w:rPr>
        <w:t xml:space="preserve">.</w:t>
      </w:r>
      <w:r w:rsidDel="00000000" w:rsidR="00000000" w:rsidRPr="00000000">
        <w:rPr>
          <w:vertAlign w:val="superscript"/>
        </w:rPr>
        <w:footnoteReference w:customMarkFollows="0" w:id="24"/>
      </w:r>
      <w:r w:rsidDel="00000000" w:rsidR="00000000" w:rsidRPr="00000000">
        <w:rPr>
          <w:rtl w:val="0"/>
        </w:rPr>
        <w:t xml:space="preserve"> </w:t>
      </w:r>
    </w:p>
    <w:p w:rsidR="00000000" w:rsidDel="00000000" w:rsidP="00000000" w:rsidRDefault="00000000" w:rsidRPr="00000000" w14:paraId="000000CE">
      <w:pPr>
        <w:spacing w:after="20" w:line="240" w:lineRule="auto"/>
        <w:ind w:left="0" w:firstLine="720"/>
        <w:rPr/>
      </w:pPr>
      <w:r w:rsidDel="00000000" w:rsidR="00000000" w:rsidRPr="00000000">
        <w:rPr>
          <w:rtl w:val="0"/>
        </w:rPr>
        <w:t xml:space="preserve">Following the aforementioned logic of embodiment and re-enactment in section 1, in which the female figurine acts as a surrogate for the desired woman and the Ares figurine as a surrogate for the practitioner, further contextualizes the use of metal needles. The act of piercing becomes a performative continuation of the incoming drama foreshadowed by the figurines’ static poses: the actual striking of the kneeling figure in various body parts. It would thus be illogical to pierce the female figurine with, say, a reed or stick; Ares would have fought with a blade of metal, not a blade of grass. However, what explains the specific use of copper and lead, as opposed to other metals, in this formula? When practical considerations such as the malleability and access of copper and lead are put aside, what is the symbolic logic underlying their use?</w:t>
      </w:r>
    </w:p>
    <w:p w:rsidR="00000000" w:rsidDel="00000000" w:rsidP="00000000" w:rsidRDefault="00000000" w:rsidRPr="00000000" w14:paraId="000000CF">
      <w:pPr>
        <w:spacing w:after="20" w:line="240" w:lineRule="auto"/>
        <w:ind w:left="0" w:firstLine="0"/>
        <w:rPr/>
      </w:pPr>
      <w:r w:rsidDel="00000000" w:rsidR="00000000" w:rsidRPr="00000000">
        <w:rPr>
          <w:rtl w:val="0"/>
        </w:rPr>
      </w:r>
    </w:p>
    <w:p w:rsidR="00000000" w:rsidDel="00000000" w:rsidP="00000000" w:rsidRDefault="00000000" w:rsidRPr="00000000" w14:paraId="000000D0">
      <w:pPr>
        <w:spacing w:after="20" w:line="240" w:lineRule="auto"/>
        <w:rPr/>
      </w:pPr>
      <w:r w:rsidDel="00000000" w:rsidR="00000000" w:rsidRPr="00000000">
        <w:rPr>
          <w:b w:val="1"/>
          <w:rtl w:val="0"/>
        </w:rPr>
        <w:tab/>
        <w:t xml:space="preserve">2.1. Copper.</w:t>
      </w:r>
      <w:r w:rsidDel="00000000" w:rsidR="00000000" w:rsidRPr="00000000">
        <w:rPr>
          <w:rtl w:val="0"/>
        </w:rPr>
      </w:r>
    </w:p>
    <w:p w:rsidR="00000000" w:rsidDel="00000000" w:rsidP="00000000" w:rsidRDefault="00000000" w:rsidRPr="00000000" w14:paraId="000000D1">
      <w:pPr>
        <w:spacing w:after="20" w:line="240" w:lineRule="auto"/>
        <w:ind w:firstLine="720"/>
        <w:rPr/>
      </w:pPr>
      <w:r w:rsidDel="00000000" w:rsidR="00000000" w:rsidRPr="00000000">
        <w:rPr>
          <w:rtl w:val="0"/>
        </w:rPr>
        <w:t xml:space="preserve">The use of copper, whether in the form of needles or not, seems to have historical and symbolic precedent in Egyptian, Mesopotamian, and Greek divinatory practices, with Mesopotamian and Greco-Roman practices having placed unique importance on bronze and copper as materials that could impel and ward off spirits.</w:t>
      </w:r>
      <w:r w:rsidDel="00000000" w:rsidR="00000000" w:rsidRPr="00000000">
        <w:rPr>
          <w:vertAlign w:val="superscript"/>
        </w:rPr>
        <w:footnoteReference w:customMarkFollows="0" w:id="25"/>
      </w:r>
      <w:r w:rsidDel="00000000" w:rsidR="00000000" w:rsidRPr="00000000">
        <w:rPr>
          <w:rtl w:val="0"/>
        </w:rPr>
        <w:t xml:space="preserve"> In Ovid’s </w:t>
      </w:r>
      <w:r w:rsidDel="00000000" w:rsidR="00000000" w:rsidRPr="00000000">
        <w:rPr>
          <w:i w:val="1"/>
          <w:rtl w:val="0"/>
        </w:rPr>
        <w:t xml:space="preserve">Fasti</w:t>
      </w:r>
      <w:r w:rsidDel="00000000" w:rsidR="00000000" w:rsidRPr="00000000">
        <w:rPr>
          <w:rtl w:val="0"/>
        </w:rPr>
        <w:t xml:space="preserve"> (ca. 8 CE), a witch sews up a fish with bronze needles to quell the errant dead who rampage through Rome because its people had neglected to observe Parentalia.</w:t>
      </w:r>
      <w:r w:rsidDel="00000000" w:rsidR="00000000" w:rsidRPr="00000000">
        <w:rPr>
          <w:vertAlign w:val="superscript"/>
        </w:rPr>
        <w:footnoteReference w:customMarkFollows="0" w:id="26"/>
      </w:r>
      <w:r w:rsidDel="00000000" w:rsidR="00000000" w:rsidRPr="00000000">
        <w:rPr>
          <w:rtl w:val="0"/>
        </w:rPr>
      </w:r>
    </w:p>
    <w:p w:rsidR="00000000" w:rsidDel="00000000" w:rsidP="00000000" w:rsidRDefault="00000000" w:rsidRPr="00000000" w14:paraId="000000D2">
      <w:pPr>
        <w:spacing w:after="20" w:line="240" w:lineRule="auto"/>
        <w:ind w:left="0" w:firstLine="720"/>
        <w:rPr/>
      </w:pPr>
      <w:r w:rsidDel="00000000" w:rsidR="00000000" w:rsidRPr="00000000">
        <w:rPr>
          <w:rtl w:val="0"/>
        </w:rPr>
        <w:t xml:space="preserve">Considering that, later on, IV. 296 provides a spell with which to command the service of a </w:t>
      </w:r>
      <w:r w:rsidDel="00000000" w:rsidR="00000000" w:rsidRPr="00000000">
        <w:rPr>
          <w:i w:val="1"/>
          <w:rtl w:val="0"/>
        </w:rPr>
        <w:t xml:space="preserve">daimon</w:t>
      </w:r>
      <w:r w:rsidDel="00000000" w:rsidR="00000000" w:rsidRPr="00000000">
        <w:rPr>
          <w:rtl w:val="0"/>
        </w:rPr>
        <w:t xml:space="preserve">; the use of copper becomes essential instead of arbitrary.</w:t>
      </w:r>
    </w:p>
    <w:p w:rsidR="00000000" w:rsidDel="00000000" w:rsidP="00000000" w:rsidRDefault="00000000" w:rsidRPr="00000000" w14:paraId="000000D3">
      <w:pPr>
        <w:spacing w:after="20" w:line="240" w:lineRule="auto"/>
        <w:ind w:left="0" w:firstLine="0"/>
        <w:rPr/>
      </w:pPr>
      <w:r w:rsidDel="00000000" w:rsidR="00000000" w:rsidRPr="00000000">
        <w:rPr>
          <w:rtl w:val="0"/>
        </w:rPr>
      </w:r>
    </w:p>
    <w:p w:rsidR="00000000" w:rsidDel="00000000" w:rsidP="00000000" w:rsidRDefault="00000000" w:rsidRPr="00000000" w14:paraId="000000D4">
      <w:pPr>
        <w:spacing w:after="20" w:line="240" w:lineRule="auto"/>
        <w:ind w:left="0" w:firstLine="720"/>
        <w:rPr>
          <w:b w:val="1"/>
        </w:rPr>
      </w:pPr>
      <w:r w:rsidDel="00000000" w:rsidR="00000000" w:rsidRPr="00000000">
        <w:rPr>
          <w:b w:val="1"/>
          <w:rtl w:val="0"/>
        </w:rPr>
        <w:t xml:space="preserve">2.2. Lead.</w:t>
      </w:r>
    </w:p>
    <w:p w:rsidR="00000000" w:rsidDel="00000000" w:rsidP="00000000" w:rsidRDefault="00000000" w:rsidRPr="00000000" w14:paraId="000000D5">
      <w:pPr>
        <w:spacing w:after="20" w:line="240" w:lineRule="auto"/>
        <w:ind w:left="0" w:firstLine="0"/>
        <w:rPr/>
      </w:pPr>
      <w:r w:rsidDel="00000000" w:rsidR="00000000" w:rsidRPr="00000000">
        <w:rPr>
          <w:rtl w:val="0"/>
        </w:rPr>
        <w:tab/>
        <w:t xml:space="preserve">A brief overview of the spell written onto the lead </w:t>
      </w:r>
      <w:r w:rsidDel="00000000" w:rsidR="00000000" w:rsidRPr="00000000">
        <w:rPr>
          <w:i w:val="1"/>
          <w:rtl w:val="0"/>
        </w:rPr>
        <w:t xml:space="preserve">lamella</w:t>
      </w:r>
      <w:r w:rsidDel="00000000" w:rsidR="00000000" w:rsidRPr="00000000">
        <w:rPr>
          <w:rtl w:val="0"/>
        </w:rPr>
        <w:t xml:space="preserve"> is needed to justify the use of the lead itself. The spell commands a </w:t>
      </w:r>
      <w:r w:rsidDel="00000000" w:rsidR="00000000" w:rsidRPr="00000000">
        <w:rPr>
          <w:i w:val="1"/>
          <w:rtl w:val="0"/>
        </w:rPr>
        <w:t xml:space="preserve">daimon</w:t>
      </w:r>
      <w:r w:rsidDel="00000000" w:rsidR="00000000" w:rsidRPr="00000000">
        <w:rPr>
          <w:rtl w:val="0"/>
        </w:rPr>
        <w:t xml:space="preserve"> of the deceased, under the authority of a variety of chthonic gods and Abrasax, to “attract and bind” NN to the practitioner “for all the time of my [the practitioner's] life.”</w:t>
      </w:r>
      <w:r w:rsidDel="00000000" w:rsidR="00000000" w:rsidRPr="00000000">
        <w:rPr>
          <w:vertAlign w:val="superscript"/>
        </w:rPr>
        <w:footnoteReference w:customMarkFollows="0" w:id="27"/>
      </w:r>
      <w:r w:rsidDel="00000000" w:rsidR="00000000" w:rsidRPr="00000000">
        <w:rPr>
          <w:rtl w:val="0"/>
        </w:rPr>
        <w:t xml:space="preserve"> </w:t>
      </w:r>
    </w:p>
    <w:p w:rsidR="00000000" w:rsidDel="00000000" w:rsidP="00000000" w:rsidRDefault="00000000" w:rsidRPr="00000000" w14:paraId="000000D6">
      <w:pPr>
        <w:spacing w:after="20" w:line="240" w:lineRule="auto"/>
        <w:ind w:left="0" w:firstLine="720"/>
        <w:rPr>
          <w:color w:val="141413"/>
        </w:rPr>
      </w:pPr>
      <w:r w:rsidDel="00000000" w:rsidR="00000000" w:rsidRPr="00000000">
        <w:rPr>
          <w:rtl w:val="0"/>
        </w:rPr>
        <w:t xml:space="preserve">Archaeological evidence for the use of lead </w:t>
      </w:r>
      <w:r w:rsidDel="00000000" w:rsidR="00000000" w:rsidRPr="00000000">
        <w:rPr>
          <w:i w:val="1"/>
          <w:rtl w:val="0"/>
        </w:rPr>
        <w:t xml:space="preserve">lamellae</w:t>
      </w:r>
      <w:r w:rsidDel="00000000" w:rsidR="00000000" w:rsidRPr="00000000">
        <w:rPr>
          <w:rtl w:val="0"/>
        </w:rPr>
        <w:t xml:space="preserve"> in the context of erotic magic, known as </w:t>
      </w:r>
      <w:r w:rsidDel="00000000" w:rsidR="00000000" w:rsidRPr="00000000">
        <w:rPr>
          <w:i w:val="1"/>
          <w:rtl w:val="0"/>
        </w:rPr>
        <w:t xml:space="preserve">agōgē</w:t>
      </w:r>
      <w:r w:rsidDel="00000000" w:rsidR="00000000" w:rsidRPr="00000000">
        <w:rPr>
          <w:rtl w:val="0"/>
        </w:rPr>
        <w:t xml:space="preserve">, spans the breadth of the Roman empire’s territory.</w:t>
      </w:r>
      <w:r w:rsidDel="00000000" w:rsidR="00000000" w:rsidRPr="00000000">
        <w:rPr>
          <w:vertAlign w:val="superscript"/>
        </w:rPr>
        <w:footnoteReference w:customMarkFollows="0" w:id="28"/>
      </w:r>
      <w:r w:rsidDel="00000000" w:rsidR="00000000" w:rsidRPr="00000000">
        <w:rPr>
          <w:rtl w:val="0"/>
        </w:rPr>
        <w:t xml:space="preserve"> A plethora of these lead tablets bear spells that are structurally similar to IV. 269 and that call upon ‘infernal’ gods to complete the spell, such as one where the chthonic gods are asked to strike a certain Euphemia with torturous lust “until she comes to me”</w:t>
      </w:r>
      <w:r w:rsidDel="00000000" w:rsidR="00000000" w:rsidRPr="00000000">
        <w:rPr>
          <w:color w:val="141413"/>
          <w:rtl w:val="0"/>
        </w:rPr>
        <w:t xml:space="preserve">.</w:t>
      </w:r>
      <w:r w:rsidDel="00000000" w:rsidR="00000000" w:rsidRPr="00000000">
        <w:rPr>
          <w:color w:val="141413"/>
          <w:vertAlign w:val="superscript"/>
        </w:rPr>
        <w:footnoteReference w:customMarkFollows="0" w:id="29"/>
      </w:r>
      <w:r w:rsidDel="00000000" w:rsidR="00000000" w:rsidRPr="00000000">
        <w:rPr>
          <w:color w:val="141413"/>
          <w:rtl w:val="0"/>
        </w:rPr>
        <w:t xml:space="preserve"> The use of lead in </w:t>
      </w:r>
      <w:r w:rsidDel="00000000" w:rsidR="00000000" w:rsidRPr="00000000">
        <w:rPr>
          <w:i w:val="1"/>
          <w:rtl w:val="0"/>
        </w:rPr>
        <w:t xml:space="preserve">agōgē</w:t>
      </w:r>
      <w:r w:rsidDel="00000000" w:rsidR="00000000" w:rsidRPr="00000000">
        <w:rPr>
          <w:rtl w:val="0"/>
        </w:rPr>
        <w:t xml:space="preserve"> stems from its general use in binding spells, erotic or not, called </w:t>
      </w:r>
      <w:r w:rsidDel="00000000" w:rsidR="00000000" w:rsidRPr="00000000">
        <w:rPr>
          <w:i w:val="1"/>
          <w:rtl w:val="0"/>
        </w:rPr>
        <w:t xml:space="preserve">katadesmoi</w:t>
      </w:r>
      <w:r w:rsidDel="00000000" w:rsidR="00000000" w:rsidRPr="00000000">
        <w:rPr>
          <w:rtl w:val="0"/>
        </w:rPr>
        <w:t xml:space="preserve"> or </w:t>
      </w:r>
      <w:r w:rsidDel="00000000" w:rsidR="00000000" w:rsidRPr="00000000">
        <w:rPr>
          <w:i w:val="1"/>
          <w:rtl w:val="0"/>
        </w:rPr>
        <w:t xml:space="preserve">defixiones</w:t>
      </w:r>
      <w:r w:rsidDel="00000000" w:rsidR="00000000" w:rsidRPr="00000000">
        <w:rPr>
          <w:rtl w:val="0"/>
        </w:rPr>
        <w:t xml:space="preserve"> in their </w:t>
      </w:r>
      <w:r w:rsidDel="00000000" w:rsidR="00000000" w:rsidRPr="00000000">
        <w:rPr>
          <w:rtl w:val="0"/>
        </w:rPr>
        <w:t xml:space="preserve">respective</w:t>
      </w:r>
      <w:r w:rsidDel="00000000" w:rsidR="00000000" w:rsidRPr="00000000">
        <w:rPr>
          <w:rtl w:val="0"/>
        </w:rPr>
        <w:t xml:space="preserve"> Greek or Latin, many of which make explicit the linkage between lead’s coldness and weight to the gods of the underworld.</w:t>
      </w:r>
      <w:r w:rsidDel="00000000" w:rsidR="00000000" w:rsidRPr="00000000">
        <w:rPr>
          <w:color w:val="141413"/>
          <w:vertAlign w:val="superscript"/>
        </w:rPr>
        <w:footnoteReference w:customMarkFollows="0" w:id="30"/>
      </w:r>
      <w:r w:rsidDel="00000000" w:rsidR="00000000" w:rsidRPr="00000000">
        <w:rPr>
          <w:color w:val="141413"/>
          <w:rtl w:val="0"/>
        </w:rPr>
        <w:t xml:space="preserve"> Similar to the use of wax’s characteristics as surrogate to the accursed, many of these lead</w:t>
      </w:r>
      <w:r w:rsidDel="00000000" w:rsidR="00000000" w:rsidRPr="00000000">
        <w:rPr>
          <w:i w:val="1"/>
          <w:color w:val="141413"/>
          <w:rtl w:val="0"/>
        </w:rPr>
        <w:t xml:space="preserve"> lamella</w:t>
      </w:r>
      <w:r w:rsidDel="00000000" w:rsidR="00000000" w:rsidRPr="00000000">
        <w:rPr>
          <w:color w:val="141413"/>
          <w:rtl w:val="0"/>
        </w:rPr>
        <w:t xml:space="preserve"> were then cast at the bottom of rivers, pools, and wells. </w:t>
      </w:r>
    </w:p>
    <w:p w:rsidR="00000000" w:rsidDel="00000000" w:rsidP="00000000" w:rsidRDefault="00000000" w:rsidRPr="00000000" w14:paraId="000000D7">
      <w:pPr>
        <w:spacing w:line="240" w:lineRule="auto"/>
        <w:ind w:left="0" w:firstLine="720"/>
        <w:rPr>
          <w:color w:val="141413"/>
        </w:rPr>
      </w:pPr>
      <w:r w:rsidDel="00000000" w:rsidR="00000000" w:rsidRPr="00000000">
        <w:rPr>
          <w:color w:val="141413"/>
          <w:rtl w:val="0"/>
        </w:rPr>
        <w:t xml:space="preserve">A </w:t>
      </w:r>
      <w:r w:rsidDel="00000000" w:rsidR="00000000" w:rsidRPr="00000000">
        <w:rPr>
          <w:rtl w:val="0"/>
        </w:rPr>
        <w:t xml:space="preserve">s</w:t>
      </w:r>
      <w:r w:rsidDel="00000000" w:rsidR="00000000" w:rsidRPr="00000000">
        <w:rPr>
          <w:rtl w:val="0"/>
        </w:rPr>
        <w:t xml:space="preserve">pecial kinship was established between metals and the chthonic deities since both inhabited a world usually inaccessible to mortals. These substances were considered to be the right media for any ritual contacting these earthbound entities. </w:t>
      </w:r>
      <w:r w:rsidDel="00000000" w:rsidR="00000000" w:rsidRPr="00000000">
        <w:rPr>
          <w:color w:val="141413"/>
          <w:rtl w:val="0"/>
        </w:rPr>
        <w:t xml:space="preserve">In IV. 296’s matrix of symbolism, copper seems to exact apotropaic control over those entities, while lead is the means by which those entities are conjured.</w:t>
      </w:r>
      <w:r w:rsidDel="00000000" w:rsidR="00000000" w:rsidRPr="00000000">
        <w:rPr>
          <w:color w:val="141413"/>
          <w:vertAlign w:val="superscript"/>
        </w:rPr>
        <w:footnoteReference w:customMarkFollows="0" w:id="31"/>
      </w:r>
      <w:r w:rsidDel="00000000" w:rsidR="00000000" w:rsidRPr="00000000">
        <w:rPr>
          <w:color w:val="141413"/>
          <w:rtl w:val="0"/>
        </w:rPr>
        <w:t xml:space="preserve"> The dissolution of roles already prefaced by the wax is repeated and elaborated upon by the use of copper and lead. This time, the distinction between the living and dead is rendered less stark, where </w:t>
      </w:r>
      <w:r w:rsidDel="00000000" w:rsidR="00000000" w:rsidRPr="00000000">
        <w:rPr>
          <w:i w:val="1"/>
          <w:color w:val="141413"/>
          <w:rtl w:val="0"/>
        </w:rPr>
        <w:t xml:space="preserve">daimon</w:t>
      </w:r>
      <w:r w:rsidDel="00000000" w:rsidR="00000000" w:rsidRPr="00000000">
        <w:rPr>
          <w:color w:val="141413"/>
          <w:rtl w:val="0"/>
        </w:rPr>
        <w:t xml:space="preserve">(s) and gods are simultaneously receptive to the commands of the living but capable of harming the living, too. </w:t>
      </w:r>
    </w:p>
    <w:p w:rsidR="00000000" w:rsidDel="00000000" w:rsidP="00000000" w:rsidRDefault="00000000" w:rsidRPr="00000000" w14:paraId="000000D8">
      <w:pPr>
        <w:spacing w:line="240" w:lineRule="auto"/>
        <w:rPr>
          <w:color w:val="141413"/>
        </w:rPr>
      </w:pPr>
      <w:r w:rsidDel="00000000" w:rsidR="00000000" w:rsidRPr="00000000">
        <w:rPr>
          <w:rtl w:val="0"/>
        </w:rPr>
      </w:r>
    </w:p>
    <w:p w:rsidR="00000000" w:rsidDel="00000000" w:rsidP="00000000" w:rsidRDefault="00000000" w:rsidRPr="00000000" w14:paraId="000000D9">
      <w:pPr>
        <w:spacing w:after="20" w:line="240" w:lineRule="auto"/>
        <w:rPr>
          <w:b w:val="1"/>
        </w:rPr>
      </w:pPr>
      <w:r w:rsidDel="00000000" w:rsidR="00000000" w:rsidRPr="00000000">
        <w:rPr>
          <w:b w:val="1"/>
          <w:rtl w:val="0"/>
        </w:rPr>
        <w:t xml:space="preserve">3. Thread.</w:t>
      </w:r>
    </w:p>
    <w:p w:rsidR="00000000" w:rsidDel="00000000" w:rsidP="00000000" w:rsidRDefault="00000000" w:rsidRPr="00000000" w14:paraId="000000DA">
      <w:pPr>
        <w:spacing w:after="20" w:line="240" w:lineRule="auto"/>
        <w:ind w:left="0" w:firstLine="0"/>
        <w:rPr/>
      </w:pPr>
      <w:r w:rsidDel="00000000" w:rsidR="00000000" w:rsidRPr="00000000">
        <w:rPr>
          <w:b w:val="1"/>
          <w:rtl w:val="0"/>
        </w:rPr>
        <w:tab/>
      </w:r>
      <w:r w:rsidDel="00000000" w:rsidR="00000000" w:rsidRPr="00000000">
        <w:rPr>
          <w:rtl w:val="0"/>
        </w:rPr>
        <w:t xml:space="preserve">Thread and weaving as symbols of fate, lifespan, and timing were enmeshed in Greco-Roman culture and mythology, so much so that rhetoricians have traced the etymological roots of the term </w:t>
      </w:r>
      <w:r w:rsidDel="00000000" w:rsidR="00000000" w:rsidRPr="00000000">
        <w:rPr>
          <w:i w:val="1"/>
          <w:rtl w:val="0"/>
        </w:rPr>
        <w:t xml:space="preserve">kairos</w:t>
      </w:r>
      <w:r w:rsidDel="00000000" w:rsidR="00000000" w:rsidRPr="00000000">
        <w:rPr>
          <w:rtl w:val="0"/>
        </w:rPr>
        <w:t xml:space="preserve"> to weaving, specifically to a part of the warp–weighted loom.</w:t>
      </w:r>
      <w:r w:rsidDel="00000000" w:rsidR="00000000" w:rsidRPr="00000000">
        <w:rPr>
          <w:vertAlign w:val="superscript"/>
        </w:rPr>
        <w:footnoteReference w:customMarkFollows="0" w:id="32"/>
      </w:r>
      <w:r w:rsidDel="00000000" w:rsidR="00000000" w:rsidRPr="00000000">
        <w:rPr>
          <w:rtl w:val="0"/>
        </w:rPr>
        <w:t xml:space="preserve"> This technology and activity were also traditionally relegated to women, and thus, these entrenched associations of gender and time become springboards for liminality in IV. 296’s use of thread.  </w:t>
      </w:r>
    </w:p>
    <w:p w:rsidR="00000000" w:rsidDel="00000000" w:rsidP="00000000" w:rsidRDefault="00000000" w:rsidRPr="00000000" w14:paraId="000000DB">
      <w:pPr>
        <w:spacing w:after="20" w:line="240" w:lineRule="auto"/>
        <w:ind w:left="0" w:firstLine="720"/>
        <w:rPr/>
      </w:pPr>
      <w:r w:rsidDel="00000000" w:rsidR="00000000" w:rsidRPr="00000000">
        <w:rPr>
          <w:rtl w:val="0"/>
        </w:rPr>
        <w:t xml:space="preserve">After writing the spell onto the lead </w:t>
      </w:r>
      <w:r w:rsidDel="00000000" w:rsidR="00000000" w:rsidRPr="00000000">
        <w:rPr>
          <w:i w:val="1"/>
          <w:rtl w:val="0"/>
        </w:rPr>
        <w:t xml:space="preserve">lamella</w:t>
      </w:r>
      <w:r w:rsidDel="00000000" w:rsidR="00000000" w:rsidRPr="00000000">
        <w:rPr>
          <w:rtl w:val="0"/>
        </w:rPr>
        <w:t xml:space="preserve">, 365 knots are to be tied into “thread from the loom”, which is then used to tie the aforementioned lead </w:t>
      </w:r>
      <w:r w:rsidDel="00000000" w:rsidR="00000000" w:rsidRPr="00000000">
        <w:rPr>
          <w:i w:val="1"/>
          <w:rtl w:val="0"/>
        </w:rPr>
        <w:t xml:space="preserve">lamella</w:t>
      </w:r>
      <w:r w:rsidDel="00000000" w:rsidR="00000000" w:rsidRPr="00000000">
        <w:rPr>
          <w:rtl w:val="0"/>
        </w:rPr>
        <w:t xml:space="preserve"> to the wax figurines. Looking past the pragmatic role of thread towards its mythic associations, thread is exclusively mentioned in PGM IV in reference to the Morai, including within IV. 296.</w:t>
      </w:r>
      <w:r w:rsidDel="00000000" w:rsidR="00000000" w:rsidRPr="00000000">
        <w:rPr>
          <w:vertAlign w:val="superscript"/>
        </w:rPr>
        <w:footnoteReference w:customMarkFollows="0" w:id="33"/>
      </w:r>
      <w:r w:rsidDel="00000000" w:rsidR="00000000" w:rsidRPr="00000000">
        <w:rPr>
          <w:rtl w:val="0"/>
        </w:rPr>
        <w:t xml:space="preserve"> The thread not only physically attaches the lead </w:t>
      </w:r>
      <w:r w:rsidDel="00000000" w:rsidR="00000000" w:rsidRPr="00000000">
        <w:rPr>
          <w:i w:val="1"/>
          <w:rtl w:val="0"/>
        </w:rPr>
        <w:t xml:space="preserve">lamella</w:t>
      </w:r>
      <w:r w:rsidDel="00000000" w:rsidR="00000000" w:rsidRPr="00000000">
        <w:rPr>
          <w:rtl w:val="0"/>
        </w:rPr>
        <w:t xml:space="preserve"> to the figurines but symbolically attaches the figurines to each other. The practitioner and the woman the practitioner pines after are now bound to each other by fate for all days of the year.</w:t>
      </w:r>
      <w:r w:rsidDel="00000000" w:rsidR="00000000" w:rsidRPr="00000000">
        <w:rPr>
          <w:vertAlign w:val="superscript"/>
        </w:rPr>
        <w:footnoteReference w:customMarkFollows="0" w:id="34"/>
      </w:r>
      <w:r w:rsidDel="00000000" w:rsidR="00000000" w:rsidRPr="00000000">
        <w:rPr>
          <w:rtl w:val="0"/>
        </w:rPr>
        <w:t xml:space="preserve"> The last lines inscribed into the lead </w:t>
      </w:r>
      <w:r w:rsidDel="00000000" w:rsidR="00000000" w:rsidRPr="00000000">
        <w:rPr>
          <w:i w:val="1"/>
          <w:rtl w:val="0"/>
        </w:rPr>
        <w:t xml:space="preserve">lamella</w:t>
      </w:r>
      <w:r w:rsidDel="00000000" w:rsidR="00000000" w:rsidRPr="00000000">
        <w:rPr>
          <w:rtl w:val="0"/>
        </w:rPr>
        <w:t xml:space="preserve"> (excluding the string of palindromes and </w:t>
      </w:r>
      <w:r w:rsidDel="00000000" w:rsidR="00000000" w:rsidRPr="00000000">
        <w:rPr>
          <w:i w:val="1"/>
          <w:rtl w:val="0"/>
        </w:rPr>
        <w:t xml:space="preserve">charakteres</w:t>
      </w:r>
      <w:r w:rsidDel="00000000" w:rsidR="00000000" w:rsidRPr="00000000">
        <w:rPr>
          <w:rtl w:val="0"/>
        </w:rPr>
        <w:t xml:space="preserve">) need be beared in mind:</w:t>
      </w:r>
    </w:p>
    <w:p w:rsidR="00000000" w:rsidDel="00000000" w:rsidP="00000000" w:rsidRDefault="00000000" w:rsidRPr="00000000" w14:paraId="000000DC">
      <w:pPr>
        <w:spacing w:after="20" w:line="240" w:lineRule="auto"/>
        <w:ind w:firstLine="720"/>
        <w:rPr/>
      </w:pPr>
      <w:r w:rsidDel="00000000" w:rsidR="00000000" w:rsidRPr="00000000">
        <w:rPr>
          <w:rtl w:val="0"/>
        </w:rPr>
      </w:r>
    </w:p>
    <w:p w:rsidR="00000000" w:rsidDel="00000000" w:rsidP="00000000" w:rsidRDefault="00000000" w:rsidRPr="00000000" w14:paraId="000000DD">
      <w:pPr>
        <w:spacing w:after="180" w:line="240" w:lineRule="auto"/>
        <w:ind w:left="720" w:firstLine="0"/>
        <w:rPr/>
      </w:pPr>
      <w:r w:rsidDel="00000000" w:rsidR="00000000" w:rsidRPr="00000000">
        <w:rPr>
          <w:rtl w:val="0"/>
        </w:rPr>
        <w:t xml:space="preserve">because </w:t>
      </w:r>
      <w:r w:rsidDel="00000000" w:rsidR="00000000" w:rsidRPr="00000000">
        <w:rPr>
          <w:rtl w:val="0"/>
        </w:rPr>
        <w:t xml:space="preserve">I </w:t>
      </w:r>
      <w:r w:rsidDel="00000000" w:rsidR="00000000" w:rsidRPr="00000000">
        <w:rPr>
          <w:rtl w:val="0"/>
        </w:rPr>
        <w:t xml:space="preserve">adjure you, god of the dead, by the fearful, great </w:t>
      </w:r>
      <w:r w:rsidDel="00000000" w:rsidR="00000000" w:rsidRPr="00000000">
        <w:rPr>
          <w:rtl w:val="0"/>
        </w:rPr>
        <w:t xml:space="preserve">IAEO </w:t>
      </w:r>
      <w:r w:rsidDel="00000000" w:rsidR="00000000" w:rsidRPr="00000000">
        <w:rPr>
          <w:rtl w:val="0"/>
        </w:rPr>
        <w:t xml:space="preserve">BAPH RENEMOUN OTHI LARIKKIPHIA EYEAI PHIRKIKALITHON YOMEN ER PHABOEAI, so</w:t>
      </w:r>
      <w:r w:rsidDel="00000000" w:rsidR="00000000" w:rsidRPr="00000000">
        <w:rPr>
          <w:rtl w:val="0"/>
        </w:rPr>
        <w:t xml:space="preserve"> </w:t>
      </w:r>
      <w:r w:rsidDel="00000000" w:rsidR="00000000" w:rsidRPr="00000000">
        <w:rPr>
          <w:rtl w:val="0"/>
        </w:rPr>
        <w:t xml:space="preserve">that you attract her, NN, to me and join head to head and fasten lip to lip and join belly to belly and draw thigh close to thigh and fit black together</w:t>
      </w:r>
      <w:r w:rsidDel="00000000" w:rsidR="00000000" w:rsidRPr="00000000">
        <w:rPr>
          <w:rtl w:val="0"/>
        </w:rPr>
        <w:t xml:space="preserve"> </w:t>
      </w:r>
      <w:r w:rsidDel="00000000" w:rsidR="00000000" w:rsidRPr="00000000">
        <w:rPr>
          <w:rtl w:val="0"/>
        </w:rPr>
        <w:t xml:space="preserve">with </w:t>
      </w:r>
      <w:r w:rsidDel="00000000" w:rsidR="00000000" w:rsidRPr="00000000">
        <w:rPr>
          <w:rtl w:val="0"/>
        </w:rPr>
        <w:t xml:space="preserve">black, and let her, NN, carry out her own sex acts</w:t>
      </w:r>
      <w:r w:rsidDel="00000000" w:rsidR="00000000" w:rsidRPr="00000000">
        <w:rPr>
          <w:i w:val="1"/>
          <w:rtl w:val="0"/>
        </w:rPr>
        <w:t xml:space="preserve"> </w:t>
      </w:r>
      <w:r w:rsidDel="00000000" w:rsidR="00000000" w:rsidRPr="00000000">
        <w:rPr>
          <w:rtl w:val="0"/>
        </w:rPr>
        <w:t xml:space="preserve">with me, NN, for all eternity.</w:t>
      </w:r>
      <w:r w:rsidDel="00000000" w:rsidR="00000000" w:rsidRPr="00000000">
        <w:rPr>
          <w:vertAlign w:val="superscript"/>
        </w:rPr>
        <w:footnoteReference w:customMarkFollows="0" w:id="35"/>
      </w:r>
      <w:r w:rsidDel="00000000" w:rsidR="00000000" w:rsidRPr="00000000">
        <w:rPr>
          <w:rtl w:val="0"/>
        </w:rPr>
        <w:t xml:space="preserve">  </w:t>
      </w:r>
    </w:p>
    <w:p w:rsidR="00000000" w:rsidDel="00000000" w:rsidP="00000000" w:rsidRDefault="00000000" w:rsidRPr="00000000" w14:paraId="000000DE">
      <w:pPr>
        <w:spacing w:after="180" w:line="240" w:lineRule="auto"/>
        <w:ind w:left="0" w:firstLine="0"/>
        <w:rPr/>
      </w:pPr>
      <w:r w:rsidDel="00000000" w:rsidR="00000000" w:rsidRPr="00000000">
        <w:rPr>
          <w:rtl w:val="0"/>
        </w:rPr>
        <w:t xml:space="preserve">In other words, the thread serves to reify the above lines. As a symbol of time and the measure of life, thread here also becomes essential to the necromantic aspects of IV. 296: besides the spell itself conjuring spirits, the figurines plus </w:t>
      </w:r>
      <w:r w:rsidDel="00000000" w:rsidR="00000000" w:rsidRPr="00000000">
        <w:rPr>
          <w:i w:val="1"/>
          <w:rtl w:val="0"/>
        </w:rPr>
        <w:t xml:space="preserve">lamella</w:t>
      </w:r>
      <w:r w:rsidDel="00000000" w:rsidR="00000000" w:rsidRPr="00000000">
        <w:rPr>
          <w:rtl w:val="0"/>
        </w:rPr>
        <w:t xml:space="preserve"> must be deposited at a tomb of “one who has died untimely or violently” and “maidens” (women who died before marriage), the respective Greek terms being </w:t>
      </w:r>
      <w:r w:rsidDel="00000000" w:rsidR="00000000" w:rsidRPr="00000000">
        <w:rPr>
          <w:i w:val="1"/>
          <w:rtl w:val="0"/>
        </w:rPr>
        <w:t xml:space="preserve">aôroi,</w:t>
      </w:r>
      <w:r w:rsidDel="00000000" w:rsidR="00000000" w:rsidRPr="00000000">
        <w:rPr>
          <w:rtl w:val="0"/>
        </w:rPr>
        <w:t xml:space="preserve"> </w:t>
      </w:r>
      <w:r w:rsidDel="00000000" w:rsidR="00000000" w:rsidRPr="00000000">
        <w:rPr>
          <w:i w:val="1"/>
          <w:rtl w:val="0"/>
        </w:rPr>
        <w:t xml:space="preserve">bi</w:t>
      </w:r>
      <w:r w:rsidDel="00000000" w:rsidR="00000000" w:rsidRPr="00000000">
        <w:rPr>
          <w:rtl w:val="0"/>
        </w:rPr>
        <w:t xml:space="preserve">(</w:t>
      </w:r>
      <w:r w:rsidDel="00000000" w:rsidR="00000000" w:rsidRPr="00000000">
        <w:rPr>
          <w:i w:val="1"/>
          <w:rtl w:val="0"/>
        </w:rPr>
        <w:t xml:space="preserve">ai</w:t>
      </w:r>
      <w:r w:rsidDel="00000000" w:rsidR="00000000" w:rsidRPr="00000000">
        <w:rPr>
          <w:rtl w:val="0"/>
        </w:rPr>
        <w:t xml:space="preserve">)</w:t>
      </w:r>
      <w:r w:rsidDel="00000000" w:rsidR="00000000" w:rsidRPr="00000000">
        <w:rPr>
          <w:i w:val="1"/>
          <w:rtl w:val="0"/>
        </w:rPr>
        <w:t xml:space="preserve">othanatoi </w:t>
      </w:r>
      <w:r w:rsidDel="00000000" w:rsidR="00000000" w:rsidRPr="00000000">
        <w:rPr>
          <w:rtl w:val="0"/>
        </w:rPr>
        <w:t xml:space="preserve">and </w:t>
      </w:r>
      <w:r w:rsidDel="00000000" w:rsidR="00000000" w:rsidRPr="00000000">
        <w:rPr>
          <w:i w:val="1"/>
          <w:rtl w:val="0"/>
        </w:rPr>
        <w:t xml:space="preserve">agamoi. </w:t>
      </w:r>
      <w:r w:rsidDel="00000000" w:rsidR="00000000" w:rsidRPr="00000000">
        <w:rPr>
          <w:rtl w:val="0"/>
        </w:rPr>
        <w:t xml:space="preserve">The Greeks and Romans believed that people meeting such unnatural, by their standards, ends could not pass into the underworld. Living an abnormal life, by quality or length, promised an equally abnormal afterlife where one consequently remained ‘in limbo’ as one of the restless dead.</w:t>
      </w:r>
      <w:r w:rsidDel="00000000" w:rsidR="00000000" w:rsidRPr="00000000">
        <w:rPr>
          <w:vertAlign w:val="superscript"/>
        </w:rPr>
        <w:footnoteReference w:customMarkFollows="0" w:id="36"/>
      </w:r>
      <w:r w:rsidDel="00000000" w:rsidR="00000000" w:rsidRPr="00000000">
        <w:rPr>
          <w:rtl w:val="0"/>
        </w:rPr>
        <w:t xml:space="preserve"> </w:t>
      </w:r>
      <w:r w:rsidDel="00000000" w:rsidR="00000000" w:rsidRPr="00000000">
        <w:rPr>
          <w:rtl w:val="0"/>
        </w:rPr>
        <w:t xml:space="preserve">It is this sense of ‘abnormality’ that foreshadows the reason for using knotted thread in necromancy. If untangled thread, as a stand-in for fate, represents the proper life lived according to Greek societal ideals— meeting one’s demise at a peaceful, old age —then tangled thread represents the opposite. Within weaving, knots in the thread are problematic and threaten to derail the entire textile. Therefore, a knotted thread represents the </w:t>
      </w:r>
      <w:r w:rsidDel="00000000" w:rsidR="00000000" w:rsidRPr="00000000">
        <w:rPr>
          <w:i w:val="1"/>
          <w:rtl w:val="0"/>
        </w:rPr>
        <w:t xml:space="preserve">aôroi,</w:t>
      </w:r>
      <w:r w:rsidDel="00000000" w:rsidR="00000000" w:rsidRPr="00000000">
        <w:rPr>
          <w:rtl w:val="0"/>
        </w:rPr>
        <w:t xml:space="preserve"> </w:t>
      </w:r>
      <w:r w:rsidDel="00000000" w:rsidR="00000000" w:rsidRPr="00000000">
        <w:rPr>
          <w:i w:val="1"/>
          <w:rtl w:val="0"/>
        </w:rPr>
        <w:t xml:space="preserve">bi</w:t>
      </w:r>
      <w:r w:rsidDel="00000000" w:rsidR="00000000" w:rsidRPr="00000000">
        <w:rPr>
          <w:rtl w:val="0"/>
        </w:rPr>
        <w:t xml:space="preserve">(</w:t>
      </w:r>
      <w:r w:rsidDel="00000000" w:rsidR="00000000" w:rsidRPr="00000000">
        <w:rPr>
          <w:i w:val="1"/>
          <w:rtl w:val="0"/>
        </w:rPr>
        <w:t xml:space="preserve">ai</w:t>
      </w:r>
      <w:r w:rsidDel="00000000" w:rsidR="00000000" w:rsidRPr="00000000">
        <w:rPr>
          <w:rtl w:val="0"/>
        </w:rPr>
        <w:t xml:space="preserve">)</w:t>
      </w:r>
      <w:r w:rsidDel="00000000" w:rsidR="00000000" w:rsidRPr="00000000">
        <w:rPr>
          <w:i w:val="1"/>
          <w:rtl w:val="0"/>
        </w:rPr>
        <w:t xml:space="preserve">othanatoi </w:t>
      </w:r>
      <w:r w:rsidDel="00000000" w:rsidR="00000000" w:rsidRPr="00000000">
        <w:rPr>
          <w:rtl w:val="0"/>
        </w:rPr>
        <w:t xml:space="preserve">and </w:t>
      </w:r>
      <w:r w:rsidDel="00000000" w:rsidR="00000000" w:rsidRPr="00000000">
        <w:rPr>
          <w:i w:val="1"/>
          <w:rtl w:val="0"/>
        </w:rPr>
        <w:t xml:space="preserve">agamoi.</w:t>
      </w:r>
      <w:r w:rsidDel="00000000" w:rsidR="00000000" w:rsidRPr="00000000">
        <w:rPr>
          <w:rtl w:val="0"/>
        </w:rPr>
        <w:t xml:space="preserve"> </w:t>
      </w:r>
      <w:r w:rsidDel="00000000" w:rsidR="00000000" w:rsidRPr="00000000">
        <w:rPr>
          <w:rtl w:val="0"/>
        </w:rPr>
        <w:t xml:space="preserve">Presupposing that IV. 296 was written by men and, most likely, for men, then the thread accrues another layer of ‘misbehavior’ that reinforces IV. 296’s unitary drive to liminality. In having a male practitioner take up an object and activity deemed ‘womanly,’ gender roles also become fluid. What seems like a simple act of tying ritualized objects together becomes a symbolically potent addition to realizing IV. 296’s design to meet with the dead. </w:t>
        <w:tab/>
      </w:r>
    </w:p>
    <w:p w:rsidR="00000000" w:rsidDel="00000000" w:rsidP="00000000" w:rsidRDefault="00000000" w:rsidRPr="00000000" w14:paraId="000000DF">
      <w:pPr>
        <w:spacing w:after="20" w:line="240" w:lineRule="auto"/>
        <w:rPr/>
      </w:pPr>
      <w:r w:rsidDel="00000000" w:rsidR="00000000" w:rsidRPr="00000000">
        <w:rPr>
          <w:rtl w:val="0"/>
        </w:rPr>
      </w:r>
    </w:p>
    <w:p w:rsidR="00000000" w:rsidDel="00000000" w:rsidP="00000000" w:rsidRDefault="00000000" w:rsidRPr="00000000" w14:paraId="000000E0">
      <w:pPr>
        <w:spacing w:after="20" w:line="240" w:lineRule="auto"/>
        <w:rPr>
          <w:b w:val="1"/>
        </w:rPr>
      </w:pPr>
      <w:r w:rsidDel="00000000" w:rsidR="00000000" w:rsidRPr="00000000">
        <w:rPr>
          <w:b w:val="1"/>
          <w:rtl w:val="0"/>
        </w:rPr>
        <w:t xml:space="preserve">4. Letters.</w:t>
      </w:r>
    </w:p>
    <w:p w:rsidR="00000000" w:rsidDel="00000000" w:rsidP="00000000" w:rsidRDefault="00000000" w:rsidRPr="00000000" w14:paraId="000000E1">
      <w:pPr>
        <w:spacing w:after="20" w:line="240" w:lineRule="auto"/>
        <w:ind w:firstLine="720"/>
        <w:rPr/>
      </w:pPr>
      <w:r w:rsidDel="00000000" w:rsidR="00000000" w:rsidRPr="00000000">
        <w:rPr>
          <w:rtl w:val="0"/>
        </w:rPr>
        <w:t xml:space="preserve">The general written word in the ancient Mediterranean was thought to be naturally pregnant with, or capable of harnessing, sacred power, a “set of symbols indexing divinity” as Frankfurter states.</w:t>
      </w:r>
      <w:r w:rsidDel="00000000" w:rsidR="00000000" w:rsidRPr="00000000">
        <w:rPr>
          <w:vertAlign w:val="superscript"/>
        </w:rPr>
        <w:footnoteReference w:customMarkFollows="0" w:id="37"/>
      </w:r>
      <w:r w:rsidDel="00000000" w:rsidR="00000000" w:rsidRPr="00000000">
        <w:rPr>
          <w:rtl w:val="0"/>
        </w:rPr>
        <w:t xml:space="preserve"> The act of writing, as well as the subsequent manipulation or ‘scrambling’ of it, was automatically ritualistic. This is the framework that underlies, for instance, the mutilation of animal hieroglyphs in Egyptian funerary temple rituals, so as to render the enemies of the deceased ineffective in the afterlife.</w:t>
      </w:r>
      <w:r w:rsidDel="00000000" w:rsidR="00000000" w:rsidRPr="00000000">
        <w:rPr>
          <w:vertAlign w:val="superscript"/>
        </w:rPr>
        <w:footnoteReference w:customMarkFollows="0" w:id="38"/>
      </w:r>
      <w:r w:rsidDel="00000000" w:rsidR="00000000" w:rsidRPr="00000000">
        <w:rPr>
          <w:rtl w:val="0"/>
        </w:rPr>
        <w:t xml:space="preserve"> IV. 296 certainly plays to this preconception of writing as divine, especially in its use of </w:t>
      </w:r>
      <w:r w:rsidDel="00000000" w:rsidR="00000000" w:rsidRPr="00000000">
        <w:rPr>
          <w:i w:val="1"/>
          <w:rtl w:val="0"/>
        </w:rPr>
        <w:t xml:space="preserve">voces magicae</w:t>
      </w:r>
      <w:r w:rsidDel="00000000" w:rsidR="00000000" w:rsidRPr="00000000">
        <w:rPr>
          <w:rtl w:val="0"/>
        </w:rPr>
        <w:t xml:space="preserve"> and </w:t>
      </w:r>
      <w:r w:rsidDel="00000000" w:rsidR="00000000" w:rsidRPr="00000000">
        <w:rPr>
          <w:i w:val="1"/>
          <w:rtl w:val="0"/>
        </w:rPr>
        <w:t xml:space="preserve">charakteres</w:t>
      </w:r>
      <w:r w:rsidDel="00000000" w:rsidR="00000000" w:rsidRPr="00000000">
        <w:rPr>
          <w:rtl w:val="0"/>
        </w:rPr>
        <w:t xml:space="preserve">.</w:t>
      </w:r>
    </w:p>
    <w:p w:rsidR="00000000" w:rsidDel="00000000" w:rsidP="00000000" w:rsidRDefault="00000000" w:rsidRPr="00000000" w14:paraId="000000E2">
      <w:pPr>
        <w:spacing w:after="20" w:line="240" w:lineRule="auto"/>
        <w:ind w:firstLine="720"/>
        <w:rPr/>
      </w:pPr>
      <w:r w:rsidDel="00000000" w:rsidR="00000000" w:rsidRPr="00000000">
        <w:rPr>
          <w:rtl w:val="0"/>
        </w:rPr>
        <w:t xml:space="preserve">IV. 296 details a lengthy spell that must be written on one side of the aforementioned lead </w:t>
      </w:r>
      <w:r w:rsidDel="00000000" w:rsidR="00000000" w:rsidRPr="00000000">
        <w:rPr>
          <w:i w:val="1"/>
          <w:rtl w:val="0"/>
        </w:rPr>
        <w:t xml:space="preserve">lamella</w:t>
      </w:r>
      <w:r w:rsidDel="00000000" w:rsidR="00000000" w:rsidRPr="00000000">
        <w:rPr>
          <w:rtl w:val="0"/>
        </w:rPr>
        <w:t xml:space="preserve">, in which a </w:t>
      </w:r>
      <w:r w:rsidDel="00000000" w:rsidR="00000000" w:rsidRPr="00000000">
        <w:rPr>
          <w:i w:val="1"/>
          <w:rtl w:val="0"/>
        </w:rPr>
        <w:t xml:space="preserve">daimon</w:t>
      </w:r>
      <w:r w:rsidDel="00000000" w:rsidR="00000000" w:rsidRPr="00000000">
        <w:rPr>
          <w:rtl w:val="0"/>
        </w:rPr>
        <w:t xml:space="preserve"> (supposedly of the person buried at the grave) is commanded by the authority of various chthonic gods to attract the sought–after woman to the practitioner.</w:t>
      </w:r>
      <w:r w:rsidDel="00000000" w:rsidR="00000000" w:rsidRPr="00000000">
        <w:rPr>
          <w:vertAlign w:val="superscript"/>
        </w:rPr>
        <w:footnoteReference w:customMarkFollows="0" w:id="39"/>
      </w:r>
      <w:r w:rsidDel="00000000" w:rsidR="00000000" w:rsidRPr="00000000">
        <w:rPr>
          <w:rtl w:val="0"/>
        </w:rPr>
        <w:t xml:space="preserve"> A second section of the spell is written on the reverse side of the </w:t>
      </w:r>
      <w:r w:rsidDel="00000000" w:rsidR="00000000" w:rsidRPr="00000000">
        <w:rPr>
          <w:i w:val="1"/>
          <w:rtl w:val="0"/>
        </w:rPr>
        <w:t xml:space="preserve">lamella</w:t>
      </w:r>
      <w:r w:rsidDel="00000000" w:rsidR="00000000" w:rsidRPr="00000000">
        <w:rPr>
          <w:rtl w:val="0"/>
        </w:rPr>
        <w:t xml:space="preserve"> which involves seven lines of diminishing palindromes— referred to as a </w:t>
      </w:r>
      <w:r w:rsidDel="00000000" w:rsidR="00000000" w:rsidRPr="00000000">
        <w:rPr>
          <w:i w:val="1"/>
          <w:rtl w:val="0"/>
        </w:rPr>
        <w:t xml:space="preserve">kardion</w:t>
      </w:r>
      <w:r w:rsidDel="00000000" w:rsidR="00000000" w:rsidRPr="00000000">
        <w:rPr>
          <w:rtl w:val="0"/>
        </w:rPr>
        <w:t xml:space="preserve"> in the papyrus but can be classed under the term </w:t>
      </w:r>
      <w:r w:rsidDel="00000000" w:rsidR="00000000" w:rsidRPr="00000000">
        <w:rPr>
          <w:i w:val="1"/>
          <w:rtl w:val="0"/>
        </w:rPr>
        <w:t xml:space="preserve">klima </w:t>
      </w:r>
      <w:r w:rsidDel="00000000" w:rsidR="00000000" w:rsidRPr="00000000">
        <w:rPr>
          <w:rtl w:val="0"/>
        </w:rPr>
        <w:t xml:space="preserve">(“seven-layered”) —that is flanked by columns of Greek vowels and abstract symbols called </w:t>
      </w:r>
      <w:r w:rsidDel="00000000" w:rsidR="00000000" w:rsidRPr="00000000">
        <w:rPr>
          <w:i w:val="1"/>
          <w:rtl w:val="0"/>
        </w:rPr>
        <w:t xml:space="preserve">charakteres</w:t>
      </w:r>
      <w:r w:rsidDel="00000000" w:rsidR="00000000" w:rsidRPr="00000000">
        <w:rPr>
          <w:rtl w:val="0"/>
        </w:rPr>
        <w:t xml:space="preserve">.</w:t>
      </w:r>
      <w:r w:rsidDel="00000000" w:rsidR="00000000" w:rsidRPr="00000000">
        <w:rPr>
          <w:vertAlign w:val="superscript"/>
        </w:rPr>
        <w:footnoteReference w:customMarkFollows="0" w:id="40"/>
      </w:r>
      <w:r w:rsidDel="00000000" w:rsidR="00000000" w:rsidRPr="00000000">
        <w:rPr>
          <w:rtl w:val="0"/>
        </w:rPr>
        <w:t xml:space="preserve"> </w:t>
      </w:r>
    </w:p>
    <w:p w:rsidR="00000000" w:rsidDel="00000000" w:rsidP="00000000" w:rsidRDefault="00000000" w:rsidRPr="00000000" w14:paraId="000000E3">
      <w:pPr>
        <w:spacing w:after="20" w:line="240" w:lineRule="auto"/>
        <w:ind w:firstLine="720"/>
        <w:rPr/>
      </w:pPr>
      <w:r w:rsidDel="00000000" w:rsidR="00000000" w:rsidRPr="00000000">
        <w:rPr>
          <w:rtl w:val="0"/>
        </w:rPr>
        <w:t xml:space="preserve">The </w:t>
      </w:r>
      <w:r w:rsidDel="00000000" w:rsidR="00000000" w:rsidRPr="00000000">
        <w:rPr>
          <w:i w:val="1"/>
          <w:rtl w:val="0"/>
        </w:rPr>
        <w:t xml:space="preserve">voces magicae</w:t>
      </w:r>
      <w:r w:rsidDel="00000000" w:rsidR="00000000" w:rsidRPr="00000000">
        <w:rPr>
          <w:rtl w:val="0"/>
        </w:rPr>
        <w:t xml:space="preserve"> within the spell involve a mixture of familiar divine names of diverse religious origins — Egyptian, Greek, Babylonian, and Hebrew — interspersed with untranslatable terms. An example:</w:t>
      </w:r>
    </w:p>
    <w:p w:rsidR="00000000" w:rsidDel="00000000" w:rsidP="00000000" w:rsidRDefault="00000000" w:rsidRPr="00000000" w14:paraId="000000E4">
      <w:pPr>
        <w:spacing w:after="20" w:line="240" w:lineRule="auto"/>
        <w:ind w:firstLine="720"/>
        <w:rPr/>
      </w:pPr>
      <w:r w:rsidDel="00000000" w:rsidR="00000000" w:rsidRPr="00000000">
        <w:rPr>
          <w:rtl w:val="0"/>
        </w:rPr>
      </w:r>
    </w:p>
    <w:p w:rsidR="00000000" w:rsidDel="00000000" w:rsidP="00000000" w:rsidRDefault="00000000" w:rsidRPr="00000000" w14:paraId="000000E5">
      <w:pPr>
        <w:spacing w:after="20" w:line="240" w:lineRule="auto"/>
        <w:ind w:left="720" w:firstLine="0"/>
        <w:rPr/>
      </w:pPr>
      <w:r w:rsidDel="00000000" w:rsidR="00000000" w:rsidRPr="00000000">
        <w:rPr>
          <w:rtl w:val="0"/>
        </w:rPr>
        <w:t xml:space="preserve">Write on the figure of the woman being attracted as follows: On the head: “ISEE IAO ITHI OUNE BRIDO LOTHION NEBOUTOSOUALETH”; on the right ear: “OUER MECHAN”; on the left ear: "LIBABA OIMATHOTHO"; on the face: “AMOUNABREO…” </w:t>
      </w:r>
      <w:r w:rsidDel="00000000" w:rsidR="00000000" w:rsidRPr="00000000">
        <w:rPr>
          <w:vertAlign w:val="superscript"/>
        </w:rPr>
        <w:footnoteReference w:customMarkFollows="0" w:id="41"/>
      </w:r>
      <w:r w:rsidDel="00000000" w:rsidR="00000000" w:rsidRPr="00000000">
        <w:rPr>
          <w:rtl w:val="0"/>
        </w:rPr>
      </w:r>
    </w:p>
    <w:p w:rsidR="00000000" w:rsidDel="00000000" w:rsidP="00000000" w:rsidRDefault="00000000" w:rsidRPr="00000000" w14:paraId="000000E6">
      <w:pPr>
        <w:spacing w:after="20" w:line="240" w:lineRule="auto"/>
        <w:ind w:left="720" w:firstLine="0"/>
        <w:rPr/>
      </w:pPr>
      <w:r w:rsidDel="00000000" w:rsidR="00000000" w:rsidRPr="00000000">
        <w:rPr>
          <w:rtl w:val="0"/>
        </w:rPr>
      </w:r>
    </w:p>
    <w:p w:rsidR="00000000" w:rsidDel="00000000" w:rsidP="00000000" w:rsidRDefault="00000000" w:rsidRPr="00000000" w14:paraId="000000E7">
      <w:pPr>
        <w:spacing w:after="20" w:line="240" w:lineRule="auto"/>
        <w:rPr/>
      </w:pPr>
      <w:r w:rsidDel="00000000" w:rsidR="00000000" w:rsidRPr="00000000">
        <w:rPr>
          <w:rtl w:val="0"/>
        </w:rPr>
        <w:t xml:space="preserve">The word “Amounabreo” is a compound between the well–known Egyptian god, Amoun, and “–abreo”, which has remained untranslated.</w:t>
      </w:r>
      <w:r w:rsidDel="00000000" w:rsidR="00000000" w:rsidRPr="00000000">
        <w:rPr>
          <w:vertAlign w:val="superscript"/>
        </w:rPr>
        <w:footnoteReference w:customMarkFollows="0" w:id="42"/>
      </w:r>
      <w:r w:rsidDel="00000000" w:rsidR="00000000" w:rsidRPr="00000000">
        <w:rPr>
          <w:rtl w:val="0"/>
        </w:rPr>
        <w:t xml:space="preserve"> </w:t>
      </w:r>
      <w:r w:rsidDel="00000000" w:rsidR="00000000" w:rsidRPr="00000000">
        <w:rPr>
          <w:i w:val="1"/>
          <w:rtl w:val="0"/>
        </w:rPr>
        <w:t xml:space="preserve">Voces magicae</w:t>
      </w:r>
      <w:r w:rsidDel="00000000" w:rsidR="00000000" w:rsidRPr="00000000">
        <w:rPr>
          <w:rtl w:val="0"/>
        </w:rPr>
        <w:t xml:space="preserve"> are not only evident across other spells in PGM. IV, but in other Greco-Roman magic charms, with the earliest known documentation being the “Ephesian letters” (4th cent. BCE).</w:t>
      </w:r>
      <w:r w:rsidDel="00000000" w:rsidR="00000000" w:rsidRPr="00000000">
        <w:rPr>
          <w:vertAlign w:val="superscript"/>
        </w:rPr>
        <w:footnoteReference w:customMarkFollows="0" w:id="43"/>
      </w:r>
      <w:r w:rsidDel="00000000" w:rsidR="00000000" w:rsidRPr="00000000">
        <w:rPr>
          <w:rtl w:val="0"/>
        </w:rPr>
        <w:t xml:space="preserve"> The discussion of the cultural and etymological origins of </w:t>
      </w:r>
      <w:r w:rsidDel="00000000" w:rsidR="00000000" w:rsidRPr="00000000">
        <w:rPr>
          <w:i w:val="1"/>
          <w:rtl w:val="0"/>
        </w:rPr>
        <w:t xml:space="preserve">voces magicae</w:t>
      </w:r>
      <w:r w:rsidDel="00000000" w:rsidR="00000000" w:rsidRPr="00000000">
        <w:rPr>
          <w:rtl w:val="0"/>
        </w:rPr>
        <w:t xml:space="preserve"> are beyond the scope of this paper but what is important to bear in mind is that the </w:t>
      </w:r>
      <w:r w:rsidDel="00000000" w:rsidR="00000000" w:rsidRPr="00000000">
        <w:rPr>
          <w:i w:val="1"/>
          <w:rtl w:val="0"/>
        </w:rPr>
        <w:t xml:space="preserve">voces</w:t>
      </w:r>
      <w:r w:rsidDel="00000000" w:rsidR="00000000" w:rsidRPr="00000000">
        <w:rPr>
          <w:rtl w:val="0"/>
        </w:rPr>
        <w:t xml:space="preserve">’ very lack of intelligibility is what asserts their power. The spell must be recited, but, as exemplified in the </w:t>
      </w:r>
      <w:r w:rsidDel="00000000" w:rsidR="00000000" w:rsidRPr="00000000">
        <w:rPr>
          <w:i w:val="1"/>
          <w:rtl w:val="0"/>
        </w:rPr>
        <w:t xml:space="preserve">klima</w:t>
      </w:r>
      <w:r w:rsidDel="00000000" w:rsidR="00000000" w:rsidRPr="00000000">
        <w:rPr>
          <w:rtl w:val="0"/>
        </w:rPr>
        <w:t xml:space="preserve"> and their flanking </w:t>
      </w:r>
      <w:r w:rsidDel="00000000" w:rsidR="00000000" w:rsidRPr="00000000">
        <w:rPr>
          <w:i w:val="1"/>
          <w:rtl w:val="0"/>
        </w:rPr>
        <w:t xml:space="preserve">charakteres</w:t>
      </w:r>
      <w:r w:rsidDel="00000000" w:rsidR="00000000" w:rsidRPr="00000000">
        <w:rPr>
          <w:rtl w:val="0"/>
        </w:rPr>
        <w:t xml:space="preserve">, some sections are incredibly difficult or even impossible to read out loud.</w:t>
      </w:r>
      <w:r w:rsidDel="00000000" w:rsidR="00000000" w:rsidRPr="00000000">
        <w:rPr>
          <w:vertAlign w:val="superscript"/>
        </w:rPr>
        <w:footnoteReference w:customMarkFollows="0" w:id="44"/>
      </w:r>
      <w:r w:rsidDel="00000000" w:rsidR="00000000" w:rsidRPr="00000000">
        <w:rPr>
          <w:rtl w:val="0"/>
        </w:rPr>
        <w:t xml:space="preserve"> The Greek letters or diphthongs become merely sound when they shed their normal functions as </w:t>
      </w:r>
      <w:r w:rsidDel="00000000" w:rsidR="00000000" w:rsidRPr="00000000">
        <w:rPr>
          <w:rtl w:val="0"/>
        </w:rPr>
        <w:t xml:space="preserve">referents</w:t>
      </w:r>
      <w:r w:rsidDel="00000000" w:rsidR="00000000" w:rsidRPr="00000000">
        <w:rPr>
          <w:rtl w:val="0"/>
        </w:rPr>
        <w:t xml:space="preserve"> to an existing object or entity. In arranging them in the </w:t>
      </w:r>
      <w:r w:rsidDel="00000000" w:rsidR="00000000" w:rsidRPr="00000000">
        <w:rPr>
          <w:i w:val="1"/>
          <w:rtl w:val="0"/>
        </w:rPr>
        <w:t xml:space="preserve">klima</w:t>
      </w:r>
      <w:r w:rsidDel="00000000" w:rsidR="00000000" w:rsidRPr="00000000">
        <w:rPr>
          <w:rtl w:val="0"/>
        </w:rPr>
        <w:t xml:space="preserve"> shape, they increasingly mimic the </w:t>
      </w:r>
      <w:r w:rsidDel="00000000" w:rsidR="00000000" w:rsidRPr="00000000">
        <w:rPr>
          <w:i w:val="1"/>
          <w:rtl w:val="0"/>
        </w:rPr>
        <w:t xml:space="preserve">charakteres</w:t>
      </w:r>
      <w:r w:rsidDel="00000000" w:rsidR="00000000" w:rsidRPr="00000000">
        <w:rPr>
          <w:rtl w:val="0"/>
        </w:rPr>
        <w:t xml:space="preserve">, whose impact relies solely on their visuality and lack of readily-apparent meaning. Thus, like the knotted thread, these letters evoke another degree of liminality, in which the familiar Greek suddenly behaves in a way the practitioner might not be accustomed to, with commonly-known divine names suddenly spilling into exotic sounds reminiscent of languages that were already reputed to be sacred, like Egyptian or Hebrew.</w:t>
      </w:r>
      <w:r w:rsidDel="00000000" w:rsidR="00000000" w:rsidRPr="00000000">
        <w:rPr>
          <w:vertAlign w:val="superscript"/>
        </w:rPr>
        <w:footnoteReference w:customMarkFollows="0" w:id="45"/>
      </w:r>
      <w:r w:rsidDel="00000000" w:rsidR="00000000" w:rsidRPr="00000000">
        <w:rPr>
          <w:rtl w:val="0"/>
        </w:rPr>
        <w:t xml:space="preserve"> If a Greek–speaking practitioner is the one writing the spell into the lead </w:t>
      </w:r>
      <w:r w:rsidDel="00000000" w:rsidR="00000000" w:rsidRPr="00000000">
        <w:rPr>
          <w:i w:val="1"/>
          <w:rtl w:val="0"/>
        </w:rPr>
        <w:t xml:space="preserve">lamella</w:t>
      </w:r>
      <w:r w:rsidDel="00000000" w:rsidR="00000000" w:rsidRPr="00000000">
        <w:rPr>
          <w:rtl w:val="0"/>
        </w:rPr>
        <w:t xml:space="preserve">, using a reed pen often associated with Greek writing while using its alphabetic script from left to right, to then begin writing from the right side of the figurine to the left, as is demanded in lines 305–20, might illicit a subconscious (or conscious) sense of disorientation. In writing from right to left, the direction of the pictograph–derived Demotic script, preconceptions of what was Greek and non-Greek, mundane and sacred, might be activated in the mind of the practitioner.</w:t>
      </w:r>
      <w:r w:rsidDel="00000000" w:rsidR="00000000" w:rsidRPr="00000000">
        <w:rPr>
          <w:vertAlign w:val="superscript"/>
        </w:rPr>
        <w:footnoteReference w:customMarkFollows="0" w:id="46"/>
      </w:r>
      <w:r w:rsidDel="00000000" w:rsidR="00000000" w:rsidRPr="00000000">
        <w:rPr>
          <w:rtl w:val="0"/>
        </w:rPr>
        <w:t xml:space="preserve"> By playing with certain prejudices towards how language(s) should behave, the spell thus creates an experience of departing from familiar linguistic territory. This sense of navigating in-between tongues is re–accentuated when the practitioner begins to write the first </w:t>
      </w:r>
      <w:r w:rsidDel="00000000" w:rsidR="00000000" w:rsidRPr="00000000">
        <w:rPr>
          <w:i w:val="1"/>
          <w:rtl w:val="0"/>
        </w:rPr>
        <w:t xml:space="preserve">voces magicae</w:t>
      </w:r>
      <w:r w:rsidDel="00000000" w:rsidR="00000000" w:rsidRPr="00000000">
        <w:rPr>
          <w:rtl w:val="0"/>
        </w:rPr>
        <w:t xml:space="preserve">, which appear to be of uncertain, non-Greek origins, on the female figurine. As the practitioner subsequently inscribes the </w:t>
      </w:r>
      <w:r w:rsidDel="00000000" w:rsidR="00000000" w:rsidRPr="00000000">
        <w:rPr>
          <w:i w:val="1"/>
          <w:rtl w:val="0"/>
        </w:rPr>
        <w:t xml:space="preserve">klima </w:t>
      </w:r>
      <w:r w:rsidDel="00000000" w:rsidR="00000000" w:rsidRPr="00000000">
        <w:rPr>
          <w:rtl w:val="0"/>
        </w:rPr>
        <w:t xml:space="preserve">onto the lead, culminating in the ambiguous </w:t>
      </w:r>
      <w:r w:rsidDel="00000000" w:rsidR="00000000" w:rsidRPr="00000000">
        <w:rPr>
          <w:i w:val="1"/>
          <w:rtl w:val="0"/>
        </w:rPr>
        <w:t xml:space="preserve">charakteres</w:t>
      </w:r>
      <w:r w:rsidDel="00000000" w:rsidR="00000000" w:rsidRPr="00000000">
        <w:rPr>
          <w:rtl w:val="0"/>
        </w:rPr>
        <w:t xml:space="preserve">, a situation unfolds where the Greek seems to literally collapse into a visual array of letters, where written language is not only rendered abstract but is completely transcended.</w:t>
      </w:r>
      <w:r w:rsidDel="00000000" w:rsidR="00000000" w:rsidRPr="00000000">
        <w:rPr>
          <w:vertAlign w:val="superscript"/>
        </w:rPr>
        <w:footnoteReference w:customMarkFollows="0" w:id="47"/>
      </w:r>
      <w:r w:rsidDel="00000000" w:rsidR="00000000" w:rsidRPr="00000000">
        <w:rPr>
          <w:rtl w:val="0"/>
        </w:rPr>
      </w:r>
    </w:p>
    <w:p w:rsidR="00000000" w:rsidDel="00000000" w:rsidP="00000000" w:rsidRDefault="00000000" w:rsidRPr="00000000" w14:paraId="000000E8">
      <w:pPr>
        <w:spacing w:after="20" w:line="240" w:lineRule="auto"/>
        <w:ind w:firstLine="720"/>
        <w:rPr/>
      </w:pPr>
      <w:r w:rsidDel="00000000" w:rsidR="00000000" w:rsidRPr="00000000">
        <w:rPr>
          <w:rtl w:val="0"/>
        </w:rPr>
      </w:r>
    </w:p>
    <w:p w:rsidR="00000000" w:rsidDel="00000000" w:rsidP="00000000" w:rsidRDefault="00000000" w:rsidRPr="00000000" w14:paraId="000000E9">
      <w:pPr>
        <w:spacing w:after="20" w:line="240" w:lineRule="auto"/>
        <w:rPr>
          <w:b w:val="1"/>
        </w:rPr>
      </w:pPr>
      <w:r w:rsidDel="00000000" w:rsidR="00000000" w:rsidRPr="00000000">
        <w:rPr>
          <w:b w:val="1"/>
          <w:rtl w:val="0"/>
        </w:rPr>
        <w:t xml:space="preserve">5. …as the sun is setting, beside a grave…</w:t>
      </w:r>
    </w:p>
    <w:p w:rsidR="00000000" w:rsidDel="00000000" w:rsidP="00000000" w:rsidRDefault="00000000" w:rsidRPr="00000000" w14:paraId="000000EA">
      <w:pPr>
        <w:spacing w:after="20" w:line="240" w:lineRule="auto"/>
        <w:rPr/>
      </w:pPr>
      <w:r w:rsidDel="00000000" w:rsidR="00000000" w:rsidRPr="00000000">
        <w:rPr>
          <w:rtl w:val="0"/>
        </w:rPr>
        <w:tab/>
        <w:t xml:space="preserve">Sunset or twilight, with its particular hues, has been perceived across many cultures as the boundary between day and night. As a liminal space in of itself, it is a symbolically validated moment to complete a ritual adjuring ghosts and spirits who are stuck between life and death. Assuming that PGM IV was reflective of or collected for a Theban audience, the journey to perform the final part of IV. 296’s ritual— depositing the figurines plus </w:t>
      </w:r>
      <w:r w:rsidDel="00000000" w:rsidR="00000000" w:rsidRPr="00000000">
        <w:rPr>
          <w:i w:val="1"/>
          <w:rtl w:val="0"/>
        </w:rPr>
        <w:t xml:space="preserve">lamella</w:t>
      </w:r>
      <w:r w:rsidDel="00000000" w:rsidR="00000000" w:rsidRPr="00000000">
        <w:rPr>
          <w:rtl w:val="0"/>
        </w:rPr>
        <w:t xml:space="preserve"> at a grave during sunset -–would have been in of itself replete with cultural significance. Being on the Nile River, the majority of ancient Thebes’ population lived on the East bank while the tombs of the deceased were on the West bank. Therefore, a practitioner trying to effectively complete this formula would have had to cross the Nile to enter the land of the dead, an action that was likely enriched with the sense of entering into another world: the practitioner leaves behind the land of the living, floats for a moment on the boundary waters, and nears the land of the dead as the sun casts shadows from the westerly Theban hills and their highest peak (now called El-Qurn in Arabic) towards the practitioner.</w:t>
      </w:r>
    </w:p>
    <w:p w:rsidR="00000000" w:rsidDel="00000000" w:rsidP="00000000" w:rsidRDefault="00000000" w:rsidRPr="00000000" w14:paraId="000000EB">
      <w:pPr>
        <w:spacing w:after="20" w:line="240" w:lineRule="auto"/>
        <w:ind w:firstLine="720"/>
        <w:rPr/>
      </w:pPr>
      <w:r w:rsidDel="00000000" w:rsidR="00000000" w:rsidRPr="00000000">
        <w:rPr>
          <w:rtl w:val="0"/>
        </w:rPr>
        <w:t xml:space="preserve">IV. 296’s ending procedure requires an accompanying prayer to Helios/Horus that bears resemblance to hymns dedicated to Ra and Helios.</w:t>
      </w:r>
      <w:r w:rsidDel="00000000" w:rsidR="00000000" w:rsidRPr="00000000">
        <w:rPr>
          <w:vertAlign w:val="superscript"/>
        </w:rPr>
        <w:footnoteReference w:customMarkFollows="0" w:id="48"/>
      </w:r>
      <w:r w:rsidDel="00000000" w:rsidR="00000000" w:rsidRPr="00000000">
        <w:rPr>
          <w:rtl w:val="0"/>
        </w:rPr>
        <w:t xml:space="preserve"> The Greco-Egyptian significations of sunset as descent into the underworld provide another strand in the formula’s web of meanings that contextualizes this final instruction.</w:t>
      </w:r>
      <w:r w:rsidDel="00000000" w:rsidR="00000000" w:rsidRPr="00000000">
        <w:rPr>
          <w:vertAlign w:val="superscript"/>
        </w:rPr>
        <w:footnoteReference w:customMarkFollows="0" w:id="49"/>
      </w:r>
      <w:r w:rsidDel="00000000" w:rsidR="00000000" w:rsidRPr="00000000">
        <w:rPr>
          <w:rtl w:val="0"/>
        </w:rPr>
        <w:t xml:space="preserve"> In Pharaonic Egypt, specifically, the sunset was one of the three manifestations of Ra, named Temu, who descended into the underworld in an eternal daily cycle. So Temu’s fall into the earth parallels the practitioner’s dropping of the </w:t>
      </w:r>
      <w:r w:rsidDel="00000000" w:rsidR="00000000" w:rsidRPr="00000000">
        <w:rPr>
          <w:i w:val="1"/>
          <w:rtl w:val="0"/>
        </w:rPr>
        <w:t xml:space="preserve">lamella</w:t>
      </w:r>
      <w:r w:rsidDel="00000000" w:rsidR="00000000" w:rsidRPr="00000000">
        <w:rPr>
          <w:rtl w:val="0"/>
        </w:rPr>
        <w:t xml:space="preserve"> and figurines. The hymn also serves as further punctuation that the daimon who “is to drag her, NN, by the hair, by the heart, by her soul, to me, NN, at every hour of life, day and night, until she comes to me…” operates under the authority of not just the aforementioned chthonic gods, but the syncretic mix of solar deities.</w:t>
      </w:r>
      <w:r w:rsidDel="00000000" w:rsidR="00000000" w:rsidRPr="00000000">
        <w:rPr>
          <w:vertAlign w:val="superscript"/>
        </w:rPr>
        <w:footnoteReference w:customMarkFollows="0" w:id="50"/>
      </w:r>
      <w:r w:rsidDel="00000000" w:rsidR="00000000" w:rsidRPr="00000000">
        <w:rPr>
          <w:rtl w:val="0"/>
        </w:rPr>
      </w:r>
    </w:p>
    <w:p w:rsidR="00000000" w:rsidDel="00000000" w:rsidP="00000000" w:rsidRDefault="00000000" w:rsidRPr="00000000" w14:paraId="000000EC">
      <w:pPr>
        <w:spacing w:after="20" w:line="240" w:lineRule="auto"/>
        <w:rPr/>
      </w:pPr>
      <w:r w:rsidDel="00000000" w:rsidR="00000000" w:rsidRPr="00000000">
        <w:rPr>
          <w:rtl w:val="0"/>
        </w:rPr>
      </w:r>
    </w:p>
    <w:p w:rsidR="00000000" w:rsidDel="00000000" w:rsidP="00000000" w:rsidRDefault="00000000" w:rsidRPr="00000000" w14:paraId="000000ED">
      <w:pPr>
        <w:spacing w:after="20" w:line="240" w:lineRule="auto"/>
        <w:rPr/>
      </w:pPr>
      <w:r w:rsidDel="00000000" w:rsidR="00000000" w:rsidRPr="00000000">
        <w:rPr>
          <w:rtl w:val="0"/>
        </w:rPr>
        <w:t xml:space="preserve"> </w:t>
        <w:tab/>
        <w:t xml:space="preserve">If you go to the depths of earth and search</w:t>
        <w:br w:type="textWrapping"/>
        <w:tab/>
        <w:t xml:space="preserve">The regions of the dead, send this daimon,</w:t>
        <w:br w:type="textWrapping"/>
        <w:tab/>
      </w:r>
      <w:r w:rsidDel="00000000" w:rsidR="00000000" w:rsidRPr="00000000">
        <w:rPr>
          <w:rtl w:val="0"/>
        </w:rPr>
        <w:t xml:space="preserve">From whose body I hold this remnant in my hands,</w:t>
      </w:r>
    </w:p>
    <w:p w:rsidR="00000000" w:rsidDel="00000000" w:rsidP="00000000" w:rsidRDefault="00000000" w:rsidRPr="00000000" w14:paraId="000000EE">
      <w:pPr>
        <w:spacing w:after="20" w:line="240" w:lineRule="auto"/>
        <w:ind w:left="720" w:firstLine="0"/>
        <w:rPr/>
      </w:pPr>
      <w:r w:rsidDel="00000000" w:rsidR="00000000" w:rsidRPr="00000000">
        <w:rPr>
          <w:rtl w:val="0"/>
        </w:rPr>
        <w:t xml:space="preserve">To her, NN, at midnight hours,</w:t>
        <w:br w:type="textWrapping"/>
        <w:t xml:space="preserve">To move by night to orders 'neath your force, </w:t>
      </w:r>
    </w:p>
    <w:p w:rsidR="00000000" w:rsidDel="00000000" w:rsidP="00000000" w:rsidRDefault="00000000" w:rsidRPr="00000000" w14:paraId="000000EF">
      <w:pPr>
        <w:spacing w:after="20" w:line="240" w:lineRule="auto"/>
        <w:ind w:left="720" w:firstLine="0"/>
        <w:rPr/>
      </w:pPr>
      <w:r w:rsidDel="00000000" w:rsidR="00000000" w:rsidRPr="00000000">
        <w:rPr>
          <w:rtl w:val="0"/>
        </w:rPr>
        <w:t xml:space="preserve">That all I want within my heart he may </w:t>
      </w:r>
    </w:p>
    <w:p w:rsidR="00000000" w:rsidDel="00000000" w:rsidP="00000000" w:rsidRDefault="00000000" w:rsidRPr="00000000" w14:paraId="000000F0">
      <w:pPr>
        <w:spacing w:after="20" w:line="240" w:lineRule="auto"/>
        <w:ind w:left="720" w:firstLine="0"/>
        <w:rPr/>
      </w:pPr>
      <w:r w:rsidDel="00000000" w:rsidR="00000000" w:rsidRPr="00000000">
        <w:rPr>
          <w:rtl w:val="0"/>
        </w:rPr>
        <w:t xml:space="preserve">Perform for me; and send him gentle, gracious </w:t>
      </w:r>
    </w:p>
    <w:p w:rsidR="00000000" w:rsidDel="00000000" w:rsidP="00000000" w:rsidRDefault="00000000" w:rsidRPr="00000000" w14:paraId="000000F1">
      <w:pPr>
        <w:spacing w:after="20" w:line="240" w:lineRule="auto"/>
        <w:ind w:left="720" w:firstLine="0"/>
        <w:rPr/>
      </w:pPr>
      <w:r w:rsidDel="00000000" w:rsidR="00000000" w:rsidRPr="00000000">
        <w:rPr>
          <w:rtl w:val="0"/>
        </w:rPr>
        <w:t xml:space="preserve">And pondering no hostile thoughts toward me, </w:t>
      </w:r>
    </w:p>
    <w:p w:rsidR="00000000" w:rsidDel="00000000" w:rsidP="00000000" w:rsidRDefault="00000000" w:rsidRPr="00000000" w14:paraId="000000F2">
      <w:pPr>
        <w:spacing w:after="20" w:line="240" w:lineRule="auto"/>
        <w:ind w:left="720" w:firstLine="0"/>
        <w:rPr/>
      </w:pPr>
      <w:r w:rsidDel="00000000" w:rsidR="00000000" w:rsidRPr="00000000">
        <w:rPr>
          <w:rtl w:val="0"/>
        </w:rPr>
        <w:t xml:space="preserve">And be not angry at my potent chants,…</w:t>
      </w:r>
      <w:r w:rsidDel="00000000" w:rsidR="00000000" w:rsidRPr="00000000">
        <w:rPr>
          <w:vertAlign w:val="superscript"/>
        </w:rPr>
        <w:footnoteReference w:customMarkFollows="0" w:id="51"/>
      </w:r>
      <w:r w:rsidDel="00000000" w:rsidR="00000000" w:rsidRPr="00000000">
        <w:rPr>
          <w:rtl w:val="0"/>
        </w:rPr>
      </w:r>
    </w:p>
    <w:p w:rsidR="00000000" w:rsidDel="00000000" w:rsidP="00000000" w:rsidRDefault="00000000" w:rsidRPr="00000000" w14:paraId="000000F3">
      <w:pPr>
        <w:spacing w:after="20" w:line="240" w:lineRule="auto"/>
        <w:ind w:left="720" w:firstLine="0"/>
        <w:rPr/>
      </w:pPr>
      <w:r w:rsidDel="00000000" w:rsidR="00000000" w:rsidRPr="00000000">
        <w:rPr>
          <w:rtl w:val="0"/>
        </w:rPr>
      </w:r>
    </w:p>
    <w:p w:rsidR="00000000" w:rsidDel="00000000" w:rsidP="00000000" w:rsidRDefault="00000000" w:rsidRPr="00000000" w14:paraId="000000F4">
      <w:pPr>
        <w:spacing w:after="20" w:line="240" w:lineRule="auto"/>
        <w:rPr/>
      </w:pPr>
      <w:r w:rsidDel="00000000" w:rsidR="00000000" w:rsidRPr="00000000">
        <w:rPr>
          <w:rtl w:val="0"/>
        </w:rPr>
        <w:t xml:space="preserve">This section of the hymn, read alongside lines 375–80, characterizes the </w:t>
      </w:r>
      <w:r w:rsidDel="00000000" w:rsidR="00000000" w:rsidRPr="00000000">
        <w:rPr>
          <w:i w:val="1"/>
          <w:rtl w:val="0"/>
        </w:rPr>
        <w:t xml:space="preserve">daimon</w:t>
      </w:r>
      <w:r w:rsidDel="00000000" w:rsidR="00000000" w:rsidRPr="00000000">
        <w:rPr>
          <w:rtl w:val="0"/>
        </w:rPr>
        <w:t xml:space="preserve"> as violent and volatile, thus revealing the need to infuse the apotropaic element of lines 447–55 into IV. 296.</w:t>
      </w:r>
    </w:p>
    <w:p w:rsidR="00000000" w:rsidDel="00000000" w:rsidP="00000000" w:rsidRDefault="00000000" w:rsidRPr="00000000" w14:paraId="000000F5">
      <w:pPr>
        <w:spacing w:after="20" w:line="240" w:lineRule="auto"/>
        <w:rPr>
          <w:i w:val="1"/>
        </w:rPr>
      </w:pPr>
      <w:r w:rsidDel="00000000" w:rsidR="00000000" w:rsidRPr="00000000">
        <w:rPr>
          <w:rtl w:val="0"/>
        </w:rPr>
        <w:t xml:space="preserve">Indeed, the belief in roving gangs of malevolent demons stretches back to Pharaonic times, although an increase in found spells and amulets dating to the Roman period suggests that, contemporary to IV. 296’s writing, belief in the dangers of these demons was more ubiquitous.</w:t>
      </w:r>
      <w:r w:rsidDel="00000000" w:rsidR="00000000" w:rsidRPr="00000000">
        <w:rPr>
          <w:vertAlign w:val="superscript"/>
        </w:rPr>
        <w:footnoteReference w:customMarkFollows="0" w:id="52"/>
      </w:r>
      <w:r w:rsidDel="00000000" w:rsidR="00000000" w:rsidRPr="00000000">
        <w:rPr>
          <w:rtl w:val="0"/>
        </w:rPr>
        <w:t xml:space="preserve"> Alongside promising the conjured </w:t>
      </w:r>
      <w:r w:rsidDel="00000000" w:rsidR="00000000" w:rsidRPr="00000000">
        <w:rPr>
          <w:i w:val="1"/>
          <w:rtl w:val="0"/>
        </w:rPr>
        <w:t xml:space="preserve">daimon</w:t>
      </w:r>
      <w:r w:rsidDel="00000000" w:rsidR="00000000" w:rsidRPr="00000000">
        <w:rPr>
          <w:rtl w:val="0"/>
        </w:rPr>
        <w:t xml:space="preserve"> “repose”, the hymn invokes Helios’ authority so that the </w:t>
      </w:r>
      <w:r w:rsidDel="00000000" w:rsidR="00000000" w:rsidRPr="00000000">
        <w:rPr>
          <w:i w:val="1"/>
          <w:rtl w:val="0"/>
        </w:rPr>
        <w:t xml:space="preserve">daimon</w:t>
      </w:r>
      <w:r w:rsidDel="00000000" w:rsidR="00000000" w:rsidRPr="00000000">
        <w:rPr>
          <w:rtl w:val="0"/>
        </w:rPr>
        <w:t xml:space="preserve"> does not turn against the practitioner.</w:t>
      </w:r>
      <w:r w:rsidDel="00000000" w:rsidR="00000000" w:rsidRPr="00000000">
        <w:rPr>
          <w:vertAlign w:val="superscript"/>
        </w:rPr>
        <w:footnoteReference w:customMarkFollows="0" w:id="53"/>
      </w:r>
      <w:r w:rsidDel="00000000" w:rsidR="00000000" w:rsidRPr="00000000">
        <w:rPr>
          <w:rtl w:val="0"/>
        </w:rPr>
        <w:t xml:space="preserve"> This Egyptian view of demons is clearly mixed with the Greco–Roman concept of the </w:t>
      </w:r>
      <w:r w:rsidDel="00000000" w:rsidR="00000000" w:rsidRPr="00000000">
        <w:rPr>
          <w:i w:val="1"/>
          <w:rtl w:val="0"/>
        </w:rPr>
        <w:t xml:space="preserve">aôroi,</w:t>
      </w:r>
      <w:r w:rsidDel="00000000" w:rsidR="00000000" w:rsidRPr="00000000">
        <w:rPr>
          <w:rtl w:val="0"/>
        </w:rPr>
        <w:t xml:space="preserve"> </w:t>
      </w:r>
      <w:r w:rsidDel="00000000" w:rsidR="00000000" w:rsidRPr="00000000">
        <w:rPr>
          <w:i w:val="1"/>
          <w:rtl w:val="0"/>
        </w:rPr>
        <w:t xml:space="preserve">bi</w:t>
      </w:r>
      <w:r w:rsidDel="00000000" w:rsidR="00000000" w:rsidRPr="00000000">
        <w:rPr>
          <w:rtl w:val="0"/>
        </w:rPr>
        <w:t xml:space="preserve">(</w:t>
      </w:r>
      <w:r w:rsidDel="00000000" w:rsidR="00000000" w:rsidRPr="00000000">
        <w:rPr>
          <w:i w:val="1"/>
          <w:rtl w:val="0"/>
        </w:rPr>
        <w:t xml:space="preserve">ai</w:t>
      </w:r>
      <w:r w:rsidDel="00000000" w:rsidR="00000000" w:rsidRPr="00000000">
        <w:rPr>
          <w:rtl w:val="0"/>
        </w:rPr>
        <w:t xml:space="preserve">)</w:t>
      </w:r>
      <w:r w:rsidDel="00000000" w:rsidR="00000000" w:rsidRPr="00000000">
        <w:rPr>
          <w:i w:val="1"/>
          <w:rtl w:val="0"/>
        </w:rPr>
        <w:t xml:space="preserve">othanatoi </w:t>
      </w:r>
      <w:r w:rsidDel="00000000" w:rsidR="00000000" w:rsidRPr="00000000">
        <w:rPr>
          <w:rtl w:val="0"/>
        </w:rPr>
        <w:t xml:space="preserve">and </w:t>
      </w:r>
      <w:r w:rsidDel="00000000" w:rsidR="00000000" w:rsidRPr="00000000">
        <w:rPr>
          <w:i w:val="1"/>
          <w:rtl w:val="0"/>
        </w:rPr>
        <w:t xml:space="preserve">agamoi, </w:t>
      </w:r>
      <w:r w:rsidDel="00000000" w:rsidR="00000000" w:rsidRPr="00000000">
        <w:rPr>
          <w:rtl w:val="0"/>
        </w:rPr>
        <w:t xml:space="preserve">forming a syncretic demonology of beings who perpetually reside in the threshold between life and death and are capable of providing aid or engaging in cruelty</w:t>
      </w:r>
      <w:r w:rsidDel="00000000" w:rsidR="00000000" w:rsidRPr="00000000">
        <w:rPr>
          <w:i w:val="1"/>
          <w:rtl w:val="0"/>
        </w:rPr>
        <w:t xml:space="preserve">.</w:t>
      </w:r>
      <w:r w:rsidDel="00000000" w:rsidR="00000000" w:rsidRPr="00000000">
        <w:rPr>
          <w:i w:val="1"/>
          <w:vertAlign w:val="superscript"/>
        </w:rPr>
        <w:footnoteReference w:customMarkFollows="0" w:id="54"/>
      </w:r>
      <w:r w:rsidDel="00000000" w:rsidR="00000000" w:rsidRPr="00000000">
        <w:rPr>
          <w:rtl w:val="0"/>
        </w:rPr>
      </w:r>
    </w:p>
    <w:p w:rsidR="00000000" w:rsidDel="00000000" w:rsidP="00000000" w:rsidRDefault="00000000" w:rsidRPr="00000000" w14:paraId="000000F6">
      <w:pPr>
        <w:spacing w:after="20" w:line="240" w:lineRule="auto"/>
        <w:ind w:firstLine="720"/>
        <w:rPr/>
      </w:pPr>
      <w:r w:rsidDel="00000000" w:rsidR="00000000" w:rsidRPr="00000000">
        <w:rPr>
          <w:rtl w:val="0"/>
        </w:rPr>
        <w:t xml:space="preserve">The spell illustrates a preexisting tri–level hierarchy, with humans on the bottom and the gods on top, and the </w:t>
      </w:r>
      <w:r w:rsidDel="00000000" w:rsidR="00000000" w:rsidRPr="00000000">
        <w:rPr>
          <w:i w:val="1"/>
          <w:rtl w:val="0"/>
        </w:rPr>
        <w:t xml:space="preserve">daimon</w:t>
      </w:r>
      <w:r w:rsidDel="00000000" w:rsidR="00000000" w:rsidRPr="00000000">
        <w:rPr>
          <w:rtl w:val="0"/>
        </w:rPr>
        <w:t xml:space="preserve">(s) functioning as an intermediary. Such beliefs have roots tracing back to both Egyptian and Greek culture. In Plato’s </w:t>
      </w:r>
      <w:r w:rsidDel="00000000" w:rsidR="00000000" w:rsidRPr="00000000">
        <w:rPr>
          <w:i w:val="1"/>
          <w:rtl w:val="0"/>
        </w:rPr>
        <w:t xml:space="preserve">Symposium</w:t>
      </w:r>
      <w:r w:rsidDel="00000000" w:rsidR="00000000" w:rsidRPr="00000000">
        <w:rPr>
          <w:rtl w:val="0"/>
        </w:rPr>
        <w:t xml:space="preserve">, for instance, Eros is not described as a god but as a “great spirit” who fulfills the task of messenger between humans and gods, thereby becoming the medium through which divination and magic are completed.</w:t>
      </w:r>
      <w:r w:rsidDel="00000000" w:rsidR="00000000" w:rsidRPr="00000000">
        <w:rPr>
          <w:vertAlign w:val="superscript"/>
        </w:rPr>
        <w:footnoteReference w:customMarkFollows="0" w:id="55"/>
      </w:r>
      <w:r w:rsidDel="00000000" w:rsidR="00000000" w:rsidRPr="00000000">
        <w:rPr>
          <w:rtl w:val="0"/>
        </w:rPr>
        <w:t xml:space="preserve"> </w:t>
      </w:r>
    </w:p>
    <w:p w:rsidR="00000000" w:rsidDel="00000000" w:rsidP="00000000" w:rsidRDefault="00000000" w:rsidRPr="00000000" w14:paraId="000000F7">
      <w:pPr>
        <w:spacing w:after="20" w:line="240" w:lineRule="auto"/>
        <w:ind w:left="0" w:firstLine="0"/>
        <w:rPr/>
      </w:pPr>
      <w:r w:rsidDel="00000000" w:rsidR="00000000" w:rsidRPr="00000000">
        <w:rPr>
          <w:rtl w:val="0"/>
        </w:rPr>
        <w:t xml:space="preserve">These </w:t>
      </w:r>
      <w:r w:rsidDel="00000000" w:rsidR="00000000" w:rsidRPr="00000000">
        <w:rPr>
          <w:rtl w:val="0"/>
        </w:rPr>
        <w:t xml:space="preserve">common roles and hierarchies are shaken loose in IV. 269: the practitioner embodies the chthonic gods who assert authority over the </w:t>
      </w:r>
      <w:r w:rsidDel="00000000" w:rsidR="00000000" w:rsidRPr="00000000">
        <w:rPr>
          <w:i w:val="1"/>
          <w:rtl w:val="0"/>
        </w:rPr>
        <w:t xml:space="preserve">daimon</w:t>
      </w:r>
      <w:r w:rsidDel="00000000" w:rsidR="00000000" w:rsidRPr="00000000">
        <w:rPr>
          <w:rtl w:val="0"/>
        </w:rPr>
        <w:t xml:space="preserve"> but asks Helios for protection from the </w:t>
      </w:r>
      <w:r w:rsidDel="00000000" w:rsidR="00000000" w:rsidRPr="00000000">
        <w:rPr>
          <w:i w:val="1"/>
          <w:rtl w:val="0"/>
        </w:rPr>
        <w:t xml:space="preserve">daimon</w:t>
      </w:r>
      <w:r w:rsidDel="00000000" w:rsidR="00000000" w:rsidRPr="00000000">
        <w:rPr>
          <w:rtl w:val="0"/>
        </w:rPr>
        <w:t xml:space="preserve">’s possible rage.</w:t>
      </w:r>
      <w:r w:rsidDel="00000000" w:rsidR="00000000" w:rsidRPr="00000000">
        <w:rPr>
          <w:vertAlign w:val="superscript"/>
        </w:rPr>
        <w:footnoteReference w:customMarkFollows="0" w:id="56"/>
      </w:r>
      <w:r w:rsidDel="00000000" w:rsidR="00000000" w:rsidRPr="00000000">
        <w:rPr>
          <w:rtl w:val="0"/>
        </w:rPr>
        <w:t xml:space="preserve"> The roles of supplicant, mediator, and overseeing authority vacillate and shift to the point that it is not sure who is who. What might appear contradictory or illogical is precisely the firmament from which IV. 296 is able to appear efficacious. In this liminal space of confusion, magic becomes possible. </w:t>
      </w:r>
    </w:p>
    <w:p w:rsidR="00000000" w:rsidDel="00000000" w:rsidP="00000000" w:rsidRDefault="00000000" w:rsidRPr="00000000" w14:paraId="000000F8">
      <w:pPr>
        <w:spacing w:after="20" w:line="240" w:lineRule="auto"/>
        <w:rPr/>
      </w:pPr>
      <w:r w:rsidDel="00000000" w:rsidR="00000000" w:rsidRPr="00000000">
        <w:rPr>
          <w:rtl w:val="0"/>
        </w:rPr>
      </w:r>
    </w:p>
    <w:p w:rsidR="00000000" w:rsidDel="00000000" w:rsidP="00000000" w:rsidRDefault="00000000" w:rsidRPr="00000000" w14:paraId="000000F9">
      <w:pPr>
        <w:spacing w:after="20" w:line="240" w:lineRule="auto"/>
        <w:rPr/>
      </w:pPr>
      <w:r w:rsidDel="00000000" w:rsidR="00000000" w:rsidRPr="00000000">
        <w:rPr>
          <w:b w:val="1"/>
          <w:rtl w:val="0"/>
        </w:rPr>
        <w:t xml:space="preserve">A</w:t>
      </w:r>
      <w:r w:rsidDel="00000000" w:rsidR="00000000" w:rsidRPr="00000000">
        <w:rPr>
          <w:b w:val="1"/>
          <w:rtl w:val="0"/>
        </w:rPr>
        <w:t xml:space="preserve"> final consideration:</w:t>
      </w:r>
      <w:r w:rsidDel="00000000" w:rsidR="00000000" w:rsidRPr="00000000">
        <w:rPr>
          <w:rtl w:val="0"/>
        </w:rPr>
      </w:r>
    </w:p>
    <w:p w:rsidR="00000000" w:rsidDel="00000000" w:rsidP="00000000" w:rsidRDefault="00000000" w:rsidRPr="00000000" w14:paraId="000000FA">
      <w:pPr>
        <w:spacing w:after="20" w:line="240" w:lineRule="auto"/>
        <w:rPr/>
      </w:pPr>
      <w:r w:rsidDel="00000000" w:rsidR="00000000" w:rsidRPr="00000000">
        <w:rPr>
          <w:rtl w:val="0"/>
        </w:rPr>
        <w:tab/>
        <w:t xml:space="preserve">A brief consideration of the formula as a whole should be noted before closing: IV. 269 is not written in a strictly chronological order. For instance, lines 330–35 instruct that the inscribed lead tablet be affixed to the figurines and deposited all together at a grave. Subsequently, lines 335–435 provide the spell that should be inscribed on the lead tablet but said inscription should be done </w:t>
      </w:r>
      <w:r w:rsidDel="00000000" w:rsidR="00000000" w:rsidRPr="00000000">
        <w:rPr>
          <w:i w:val="1"/>
          <w:rtl w:val="0"/>
        </w:rPr>
        <w:t xml:space="preserve">before</w:t>
      </w:r>
      <w:r w:rsidDel="00000000" w:rsidR="00000000" w:rsidRPr="00000000">
        <w:rPr>
          <w:rtl w:val="0"/>
        </w:rPr>
        <w:t xml:space="preserve"> bringing the figurines and tablet to the grave. Lines 435–66 then jump back to the Helios/Horus hymn that should close the entire ritual. Such ordering can appear disjointed to a modern reader,  and it is unclear on the first read through where lines 335–435 and 435–66 fall in the procedure. Some modern practitioners of magic have published their own interpretations of how to order the magical procedure.</w:t>
      </w:r>
      <w:r w:rsidDel="00000000" w:rsidR="00000000" w:rsidRPr="00000000">
        <w:rPr>
          <w:vertAlign w:val="superscript"/>
        </w:rPr>
        <w:footnoteReference w:customMarkFollows="0" w:id="57"/>
      </w:r>
      <w:r w:rsidDel="00000000" w:rsidR="00000000" w:rsidRPr="00000000">
        <w:rPr>
          <w:rtl w:val="0"/>
        </w:rPr>
        <w:t xml:space="preserve"> The question nevertheless remains whether this disjunctive and non-linear ordering is purposeful or a byproduct of scribal transmission when copying from one papyrus or material onto this present one.</w:t>
      </w:r>
      <w:r w:rsidDel="00000000" w:rsidR="00000000" w:rsidRPr="00000000">
        <w:rPr>
          <w:vertAlign w:val="superscript"/>
        </w:rPr>
        <w:footnoteReference w:customMarkFollows="0" w:id="58"/>
      </w:r>
      <w:r w:rsidDel="00000000" w:rsidR="00000000" w:rsidRPr="00000000">
        <w:rPr>
          <w:rtl w:val="0"/>
        </w:rPr>
        <w:t xml:space="preserve"> A speculation to keep in mind is that, if intentional, the cryptic sequencing of this formula might have self-reinforced its own magical authority.</w:t>
      </w:r>
      <w:r w:rsidDel="00000000" w:rsidR="00000000" w:rsidRPr="00000000">
        <w:rPr>
          <w:vertAlign w:val="superscript"/>
        </w:rPr>
        <w:footnoteReference w:customMarkFollows="0" w:id="59"/>
      </w:r>
      <w:r w:rsidDel="00000000" w:rsidR="00000000" w:rsidRPr="00000000">
        <w:rPr>
          <w:rtl w:val="0"/>
        </w:rPr>
      </w:r>
    </w:p>
    <w:p w:rsidR="00000000" w:rsidDel="00000000" w:rsidP="00000000" w:rsidRDefault="00000000" w:rsidRPr="00000000" w14:paraId="000000FB">
      <w:pPr>
        <w:spacing w:after="20" w:line="240" w:lineRule="auto"/>
        <w:rPr/>
      </w:pPr>
      <w:r w:rsidDel="00000000" w:rsidR="00000000" w:rsidRPr="00000000">
        <w:rPr>
          <w:rtl w:val="0"/>
        </w:rPr>
      </w:r>
    </w:p>
    <w:p w:rsidR="00000000" w:rsidDel="00000000" w:rsidP="00000000" w:rsidRDefault="00000000" w:rsidRPr="00000000" w14:paraId="000000FC">
      <w:pPr>
        <w:spacing w:after="20" w:line="240" w:lineRule="auto"/>
        <w:rPr/>
      </w:pPr>
      <w:r w:rsidDel="00000000" w:rsidR="00000000" w:rsidRPr="00000000">
        <w:rPr>
          <w:b w:val="1"/>
          <w:rtl w:val="0"/>
        </w:rPr>
        <w:t xml:space="preserve">Conclusion:</w:t>
      </w:r>
      <w:r w:rsidDel="00000000" w:rsidR="00000000" w:rsidRPr="00000000">
        <w:rPr>
          <w:rtl w:val="0"/>
        </w:rPr>
      </w:r>
    </w:p>
    <w:p w:rsidR="00000000" w:rsidDel="00000000" w:rsidP="00000000" w:rsidRDefault="00000000" w:rsidRPr="00000000" w14:paraId="000000FD">
      <w:pPr>
        <w:spacing w:after="20" w:line="240" w:lineRule="auto"/>
        <w:ind w:firstLine="720"/>
        <w:rPr/>
      </w:pPr>
      <w:r w:rsidDel="00000000" w:rsidR="00000000" w:rsidRPr="00000000">
        <w:rPr>
          <w:rtl w:val="0"/>
        </w:rPr>
        <w:t xml:space="preserve">The perceived power and efficacy of IV. 296 does not derive solely from the order in which the ritual steps are enacted but, additionally, from the perceived ability of each materia to establish a sense of the liminal. Despite IV. 296 being quite different from the Ndembu’s rites of passage that led Turner to re-invigorate the term </w:t>
      </w:r>
      <w:r w:rsidDel="00000000" w:rsidR="00000000" w:rsidRPr="00000000">
        <w:rPr>
          <w:i w:val="1"/>
          <w:rtl w:val="0"/>
        </w:rPr>
        <w:t xml:space="preserve">liminal</w:t>
      </w:r>
      <w:r w:rsidDel="00000000" w:rsidR="00000000" w:rsidRPr="00000000">
        <w:rPr>
          <w:rtl w:val="0"/>
        </w:rPr>
        <w:t xml:space="preserve">, IV. 296 still endeavors to effect a transformation in the practitioner and, like the Ndembu’s initiatory rituals, the success of that transformation hinges on the liminal capacity of the formula’s ingredients. Whether it be wax and knotted thread de-stabilizing categories of fixed time and divine hierarchy, or metals allowing humans and intermediary spirits to briefly inhabit the same plane, or the written word slowly abstracting and dissolving itself, a ‘wondrous spell for binding a lover’ employs a bounty of devices to bring its practitioner into a space of boundlessness. </w:t>
      </w:r>
    </w:p>
    <w:p w:rsidR="00000000" w:rsidDel="00000000" w:rsidP="00000000" w:rsidRDefault="00000000" w:rsidRPr="00000000" w14:paraId="000000FE">
      <w:pPr>
        <w:spacing w:after="80" w:line="240" w:lineRule="auto"/>
        <w:rPr>
          <w:b w:val="1"/>
        </w:rPr>
      </w:pPr>
      <w:r w:rsidDel="00000000" w:rsidR="00000000" w:rsidRPr="00000000">
        <w:rPr>
          <w:rtl w:val="0"/>
        </w:rPr>
      </w:r>
    </w:p>
    <w:p w:rsidR="00000000" w:rsidDel="00000000" w:rsidP="00000000" w:rsidRDefault="00000000" w:rsidRPr="00000000" w14:paraId="000000FF">
      <w:pPr>
        <w:spacing w:after="80" w:line="240" w:lineRule="auto"/>
        <w:rPr/>
      </w:pPr>
      <w:r w:rsidDel="00000000" w:rsidR="00000000" w:rsidRPr="00000000">
        <w:rPr>
          <w:rtl w:val="0"/>
        </w:rPr>
        <w:tab/>
      </w:r>
    </w:p>
    <w:p w:rsidR="00000000" w:rsidDel="00000000" w:rsidP="00000000" w:rsidRDefault="00000000" w:rsidRPr="00000000" w14:paraId="00000100">
      <w:pPr>
        <w:spacing w:after="80" w:line="240" w:lineRule="auto"/>
        <w:rPr/>
      </w:pPr>
      <w:r w:rsidDel="00000000" w:rsidR="00000000" w:rsidRPr="00000000">
        <w:rPr>
          <w:rtl w:val="0"/>
        </w:rPr>
      </w:r>
    </w:p>
    <w:p w:rsidR="00000000" w:rsidDel="00000000" w:rsidP="00000000" w:rsidRDefault="00000000" w:rsidRPr="00000000" w14:paraId="00000101">
      <w:pPr>
        <w:spacing w:after="80" w:line="240" w:lineRule="auto"/>
        <w:rPr/>
      </w:pPr>
      <w:r w:rsidDel="00000000" w:rsidR="00000000" w:rsidRPr="00000000">
        <w:rPr>
          <w:rtl w:val="0"/>
        </w:rPr>
      </w:r>
    </w:p>
    <w:p w:rsidR="00000000" w:rsidDel="00000000" w:rsidP="00000000" w:rsidRDefault="00000000" w:rsidRPr="00000000" w14:paraId="00000102">
      <w:pPr>
        <w:spacing w:after="80" w:line="240" w:lineRule="auto"/>
        <w:rPr/>
      </w:pPr>
      <w:r w:rsidDel="00000000" w:rsidR="00000000" w:rsidRPr="00000000">
        <w:rPr>
          <w:rtl w:val="0"/>
        </w:rPr>
      </w:r>
    </w:p>
    <w:p w:rsidR="00000000" w:rsidDel="00000000" w:rsidP="00000000" w:rsidRDefault="00000000" w:rsidRPr="00000000" w14:paraId="00000103">
      <w:pPr>
        <w:spacing w:after="80" w:line="240" w:lineRule="auto"/>
        <w:rPr/>
      </w:pPr>
      <w:r w:rsidDel="00000000" w:rsidR="00000000" w:rsidRPr="00000000">
        <w:rPr>
          <w:rtl w:val="0"/>
        </w:rPr>
      </w:r>
    </w:p>
    <w:p w:rsidR="00000000" w:rsidDel="00000000" w:rsidP="00000000" w:rsidRDefault="00000000" w:rsidRPr="00000000" w14:paraId="00000104">
      <w:pPr>
        <w:spacing w:after="80" w:line="240" w:lineRule="auto"/>
        <w:rPr/>
      </w:pPr>
      <w:r w:rsidDel="00000000" w:rsidR="00000000" w:rsidRPr="00000000">
        <w:rPr>
          <w:rtl w:val="0"/>
        </w:rPr>
      </w:r>
    </w:p>
    <w:p w:rsidR="00000000" w:rsidDel="00000000" w:rsidP="00000000" w:rsidRDefault="00000000" w:rsidRPr="00000000" w14:paraId="00000105">
      <w:pPr>
        <w:spacing w:after="80" w:line="240" w:lineRule="auto"/>
        <w:rPr/>
      </w:pPr>
      <w:r w:rsidDel="00000000" w:rsidR="00000000" w:rsidRPr="00000000">
        <w:rPr>
          <w:rtl w:val="0"/>
        </w:rPr>
      </w:r>
    </w:p>
    <w:p w:rsidR="00000000" w:rsidDel="00000000" w:rsidP="00000000" w:rsidRDefault="00000000" w:rsidRPr="00000000" w14:paraId="00000106">
      <w:pPr>
        <w:spacing w:after="80" w:line="240" w:lineRule="auto"/>
        <w:rPr/>
      </w:pPr>
      <w:r w:rsidDel="00000000" w:rsidR="00000000" w:rsidRPr="00000000">
        <w:rPr>
          <w:rtl w:val="0"/>
        </w:rPr>
      </w:r>
    </w:p>
    <w:p w:rsidR="00000000" w:rsidDel="00000000" w:rsidP="00000000" w:rsidRDefault="00000000" w:rsidRPr="00000000" w14:paraId="00000107">
      <w:pPr>
        <w:spacing w:after="80" w:line="240" w:lineRule="auto"/>
        <w:rPr/>
      </w:pPr>
      <w:r w:rsidDel="00000000" w:rsidR="00000000" w:rsidRPr="00000000">
        <w:rPr>
          <w:rtl w:val="0"/>
        </w:rPr>
      </w:r>
    </w:p>
    <w:p w:rsidR="00000000" w:rsidDel="00000000" w:rsidP="00000000" w:rsidRDefault="00000000" w:rsidRPr="00000000" w14:paraId="00000108">
      <w:pPr>
        <w:spacing w:after="80" w:line="240" w:lineRule="auto"/>
        <w:rPr/>
      </w:pPr>
      <w:r w:rsidDel="00000000" w:rsidR="00000000" w:rsidRPr="00000000">
        <w:rPr>
          <w:rtl w:val="0"/>
        </w:rPr>
      </w:r>
    </w:p>
    <w:p w:rsidR="00000000" w:rsidDel="00000000" w:rsidP="00000000" w:rsidRDefault="00000000" w:rsidRPr="00000000" w14:paraId="00000109">
      <w:pPr>
        <w:spacing w:after="80" w:line="240" w:lineRule="auto"/>
        <w:rPr/>
      </w:pPr>
      <w:r w:rsidDel="00000000" w:rsidR="00000000" w:rsidRPr="00000000">
        <w:rPr>
          <w:rtl w:val="0"/>
        </w:rPr>
      </w:r>
    </w:p>
    <w:p w:rsidR="00000000" w:rsidDel="00000000" w:rsidP="00000000" w:rsidRDefault="00000000" w:rsidRPr="00000000" w14:paraId="0000010A">
      <w:pPr>
        <w:spacing w:after="80" w:line="240" w:lineRule="auto"/>
        <w:rPr/>
      </w:pPr>
      <w:r w:rsidDel="00000000" w:rsidR="00000000" w:rsidRPr="00000000">
        <w:rPr>
          <w:rtl w:val="0"/>
        </w:rPr>
      </w:r>
    </w:p>
    <w:p w:rsidR="00000000" w:rsidDel="00000000" w:rsidP="00000000" w:rsidRDefault="00000000" w:rsidRPr="00000000" w14:paraId="0000010B">
      <w:pPr>
        <w:spacing w:after="80" w:line="240" w:lineRule="auto"/>
        <w:rPr/>
      </w:pPr>
      <w:r w:rsidDel="00000000" w:rsidR="00000000" w:rsidRPr="00000000">
        <w:rPr>
          <w:rtl w:val="0"/>
        </w:rPr>
      </w:r>
    </w:p>
    <w:p w:rsidR="00000000" w:rsidDel="00000000" w:rsidP="00000000" w:rsidRDefault="00000000" w:rsidRPr="00000000" w14:paraId="0000010C">
      <w:pPr>
        <w:spacing w:after="80" w:line="240" w:lineRule="auto"/>
        <w:rPr/>
      </w:pPr>
      <w:r w:rsidDel="00000000" w:rsidR="00000000" w:rsidRPr="00000000">
        <w:rPr>
          <w:rtl w:val="0"/>
        </w:rPr>
      </w:r>
    </w:p>
    <w:p w:rsidR="00000000" w:rsidDel="00000000" w:rsidP="00000000" w:rsidRDefault="00000000" w:rsidRPr="00000000" w14:paraId="0000010D">
      <w:pPr>
        <w:spacing w:after="80" w:line="240" w:lineRule="auto"/>
        <w:rPr/>
      </w:pPr>
      <w:r w:rsidDel="00000000" w:rsidR="00000000" w:rsidRPr="00000000">
        <w:rPr>
          <w:rtl w:val="0"/>
        </w:rPr>
      </w:r>
    </w:p>
    <w:p w:rsidR="00000000" w:rsidDel="00000000" w:rsidP="00000000" w:rsidRDefault="00000000" w:rsidRPr="00000000" w14:paraId="0000010E">
      <w:pPr>
        <w:spacing w:after="80" w:line="240" w:lineRule="auto"/>
        <w:rPr/>
      </w:pPr>
      <w:r w:rsidDel="00000000" w:rsidR="00000000" w:rsidRPr="00000000">
        <w:rPr>
          <w:rtl w:val="0"/>
        </w:rPr>
      </w:r>
    </w:p>
    <w:p w:rsidR="00000000" w:rsidDel="00000000" w:rsidP="00000000" w:rsidRDefault="00000000" w:rsidRPr="00000000" w14:paraId="0000010F">
      <w:pPr>
        <w:spacing w:after="80" w:line="240" w:lineRule="auto"/>
        <w:rPr/>
      </w:pPr>
      <w:r w:rsidDel="00000000" w:rsidR="00000000" w:rsidRPr="00000000">
        <w:rPr>
          <w:rtl w:val="0"/>
        </w:rPr>
      </w:r>
    </w:p>
    <w:p w:rsidR="00000000" w:rsidDel="00000000" w:rsidP="00000000" w:rsidRDefault="00000000" w:rsidRPr="00000000" w14:paraId="00000110">
      <w:pPr>
        <w:spacing w:after="80" w:line="240" w:lineRule="auto"/>
        <w:rPr/>
      </w:pPr>
      <w:r w:rsidDel="00000000" w:rsidR="00000000" w:rsidRPr="00000000">
        <w:rPr>
          <w:rtl w:val="0"/>
        </w:rPr>
      </w:r>
    </w:p>
    <w:p w:rsidR="00000000" w:rsidDel="00000000" w:rsidP="00000000" w:rsidRDefault="00000000" w:rsidRPr="00000000" w14:paraId="00000111">
      <w:pPr>
        <w:spacing w:after="80" w:line="240" w:lineRule="auto"/>
        <w:rPr/>
      </w:pPr>
      <w:r w:rsidDel="00000000" w:rsidR="00000000" w:rsidRPr="00000000">
        <w:rPr>
          <w:rtl w:val="0"/>
        </w:rPr>
      </w:r>
    </w:p>
    <w:p w:rsidR="00000000" w:rsidDel="00000000" w:rsidP="00000000" w:rsidRDefault="00000000" w:rsidRPr="00000000" w14:paraId="00000112">
      <w:pPr>
        <w:spacing w:after="80" w:line="240" w:lineRule="auto"/>
        <w:rPr/>
      </w:pPr>
      <w:r w:rsidDel="00000000" w:rsidR="00000000" w:rsidRPr="00000000">
        <w:rPr>
          <w:rtl w:val="0"/>
        </w:rPr>
      </w:r>
    </w:p>
    <w:p w:rsidR="00000000" w:rsidDel="00000000" w:rsidP="00000000" w:rsidRDefault="00000000" w:rsidRPr="00000000" w14:paraId="00000113">
      <w:pPr>
        <w:spacing w:after="80" w:line="240" w:lineRule="auto"/>
        <w:rPr/>
      </w:pPr>
      <w:r w:rsidDel="00000000" w:rsidR="00000000" w:rsidRPr="00000000">
        <w:rPr>
          <w:rtl w:val="0"/>
        </w:rPr>
      </w:r>
    </w:p>
    <w:p w:rsidR="00000000" w:rsidDel="00000000" w:rsidP="00000000" w:rsidRDefault="00000000" w:rsidRPr="00000000" w14:paraId="00000114">
      <w:pPr>
        <w:spacing w:after="80" w:line="240" w:lineRule="auto"/>
        <w:rPr/>
      </w:pPr>
      <w:r w:rsidDel="00000000" w:rsidR="00000000" w:rsidRPr="00000000">
        <w:rPr>
          <w:rtl w:val="0"/>
        </w:rPr>
      </w:r>
    </w:p>
    <w:p w:rsidR="00000000" w:rsidDel="00000000" w:rsidP="00000000" w:rsidRDefault="00000000" w:rsidRPr="00000000" w14:paraId="00000115">
      <w:pPr>
        <w:spacing w:line="240" w:lineRule="auto"/>
        <w:jc w:val="center"/>
        <w:rPr>
          <w:b w:val="1"/>
        </w:rPr>
      </w:pPr>
      <w:r w:rsidDel="00000000" w:rsidR="00000000" w:rsidRPr="00000000">
        <w:rPr>
          <w:b w:val="1"/>
          <w:rtl w:val="0"/>
        </w:rPr>
        <w:t xml:space="preserve">Bibliography</w:t>
      </w:r>
    </w:p>
    <w:p w:rsidR="00000000" w:rsidDel="00000000" w:rsidP="00000000" w:rsidRDefault="00000000" w:rsidRPr="00000000" w14:paraId="00000116">
      <w:pPr>
        <w:spacing w:line="240" w:lineRule="auto"/>
        <w:jc w:val="center"/>
        <w:rPr>
          <w:b w:val="1"/>
        </w:rPr>
      </w:pPr>
      <w:r w:rsidDel="00000000" w:rsidR="00000000" w:rsidRPr="00000000">
        <w:rPr>
          <w:rtl w:val="0"/>
        </w:rPr>
      </w:r>
    </w:p>
    <w:p w:rsidR="00000000" w:rsidDel="00000000" w:rsidP="00000000" w:rsidRDefault="00000000" w:rsidRPr="00000000" w14:paraId="00000117">
      <w:pPr>
        <w:spacing w:line="240" w:lineRule="auto"/>
        <w:rPr>
          <w:b w:val="1"/>
          <w:color w:val="141413"/>
        </w:rPr>
      </w:pPr>
      <w:r w:rsidDel="00000000" w:rsidR="00000000" w:rsidRPr="00000000">
        <w:rPr>
          <w:b w:val="1"/>
          <w:color w:val="141413"/>
          <w:rtl w:val="0"/>
        </w:rPr>
        <w:t xml:space="preserve">Primary:</w:t>
      </w:r>
    </w:p>
    <w:p w:rsidR="00000000" w:rsidDel="00000000" w:rsidP="00000000" w:rsidRDefault="00000000" w:rsidRPr="00000000" w14:paraId="00000118">
      <w:pPr>
        <w:spacing w:line="276" w:lineRule="auto"/>
        <w:rPr>
          <w:color w:val="141413"/>
        </w:rPr>
      </w:pPr>
      <w:r w:rsidDel="00000000" w:rsidR="00000000" w:rsidRPr="00000000">
        <w:rPr>
          <w:color w:val="141413"/>
          <w:rtl w:val="0"/>
        </w:rPr>
        <w:t xml:space="preserve">Audollent, Auguste, ed., </w:t>
      </w:r>
      <w:r w:rsidDel="00000000" w:rsidR="00000000" w:rsidRPr="00000000">
        <w:rPr>
          <w:i w:val="1"/>
          <w:color w:val="141413"/>
          <w:rtl w:val="0"/>
        </w:rPr>
        <w:t xml:space="preserve">Defixionum Tabellae Quotquot Innotuerunt Tam in Graecis Orientis Quam in Totius in Corpore Inscriptionum Atticarum Editas</w:t>
      </w:r>
      <w:r w:rsidDel="00000000" w:rsidR="00000000" w:rsidRPr="00000000">
        <w:rPr>
          <w:color w:val="141413"/>
          <w:rtl w:val="0"/>
        </w:rPr>
        <w:t xml:space="preserve"> (Luteciae Parisiorum: Albert Fontemoing, 1904).</w:t>
      </w:r>
    </w:p>
    <w:p w:rsidR="00000000" w:rsidDel="00000000" w:rsidP="00000000" w:rsidRDefault="00000000" w:rsidRPr="00000000" w14:paraId="00000119">
      <w:pPr>
        <w:spacing w:line="240" w:lineRule="auto"/>
        <w:ind w:right="-334"/>
        <w:rPr/>
      </w:pPr>
      <w:r w:rsidDel="00000000" w:rsidR="00000000" w:rsidRPr="00000000">
        <w:rPr>
          <w:rtl w:val="0"/>
        </w:rPr>
      </w:r>
    </w:p>
    <w:p w:rsidR="00000000" w:rsidDel="00000000" w:rsidP="00000000" w:rsidRDefault="00000000" w:rsidRPr="00000000" w14:paraId="0000011A">
      <w:pPr>
        <w:spacing w:after="20" w:lineRule="auto"/>
        <w:rPr/>
      </w:pPr>
      <w:r w:rsidDel="00000000" w:rsidR="00000000" w:rsidRPr="00000000">
        <w:rPr>
          <w:rtl w:val="0"/>
        </w:rPr>
        <w:t xml:space="preserve">Betz, Hans Dieter (ed.), </w:t>
      </w:r>
      <w:r w:rsidDel="00000000" w:rsidR="00000000" w:rsidRPr="00000000">
        <w:rPr>
          <w:i w:val="1"/>
          <w:rtl w:val="0"/>
        </w:rPr>
        <w:t xml:space="preserve">The Greek Magical Papyri in Translation: Including the Demotic Spells, </w:t>
      </w:r>
      <w:r w:rsidDel="00000000" w:rsidR="00000000" w:rsidRPr="00000000">
        <w:rPr>
          <w:rtl w:val="0"/>
        </w:rPr>
        <w:t xml:space="preserve">2nd edn. (Chicago and London: Chicago University Press, 1992).</w:t>
      </w:r>
    </w:p>
    <w:p w:rsidR="00000000" w:rsidDel="00000000" w:rsidP="00000000" w:rsidRDefault="00000000" w:rsidRPr="00000000" w14:paraId="0000011B">
      <w:pPr>
        <w:spacing w:after="20" w:lineRule="auto"/>
        <w:rPr/>
      </w:pPr>
      <w:r w:rsidDel="00000000" w:rsidR="00000000" w:rsidRPr="00000000">
        <w:rPr>
          <w:rtl w:val="0"/>
        </w:rPr>
      </w:r>
    </w:p>
    <w:p w:rsidR="00000000" w:rsidDel="00000000" w:rsidP="00000000" w:rsidRDefault="00000000" w:rsidRPr="00000000" w14:paraId="0000011C">
      <w:pPr>
        <w:shd w:fill="ffffff" w:val="clear"/>
        <w:spacing w:after="20" w:lineRule="auto"/>
        <w:rPr/>
      </w:pPr>
      <w:r w:rsidDel="00000000" w:rsidR="00000000" w:rsidRPr="00000000">
        <w:rPr>
          <w:i w:val="1"/>
          <w:color w:val="1f1f1f"/>
          <w:rtl w:val="0"/>
        </w:rPr>
        <w:t xml:space="preserve">The Book of the Dead: The Hieroglyphic Transcript of the Papyrus of ANI</w:t>
      </w:r>
      <w:r w:rsidDel="00000000" w:rsidR="00000000" w:rsidRPr="00000000">
        <w:rPr>
          <w:color w:val="1f1f1f"/>
          <w:rtl w:val="0"/>
        </w:rPr>
        <w:t xml:space="preserve">, ed. and trans. by E.A. Wallis Budge (New York: Bell, 1960).</w:t>
      </w:r>
      <w:r w:rsidDel="00000000" w:rsidR="00000000" w:rsidRPr="00000000">
        <w:rPr>
          <w:rtl w:val="0"/>
        </w:rPr>
      </w:r>
    </w:p>
    <w:p w:rsidR="00000000" w:rsidDel="00000000" w:rsidP="00000000" w:rsidRDefault="00000000" w:rsidRPr="00000000" w14:paraId="0000011D">
      <w:pPr>
        <w:spacing w:after="20" w:line="240" w:lineRule="auto"/>
        <w:rPr>
          <w:i w:val="1"/>
        </w:rPr>
      </w:pPr>
      <w:r w:rsidDel="00000000" w:rsidR="00000000" w:rsidRPr="00000000">
        <w:rPr>
          <w:rtl w:val="0"/>
        </w:rPr>
      </w:r>
    </w:p>
    <w:p w:rsidR="00000000" w:rsidDel="00000000" w:rsidP="00000000" w:rsidRDefault="00000000" w:rsidRPr="00000000" w14:paraId="0000011E">
      <w:pPr>
        <w:rPr>
          <w:color w:val="1f1f1f"/>
        </w:rPr>
      </w:pPr>
      <w:r w:rsidDel="00000000" w:rsidR="00000000" w:rsidRPr="00000000">
        <w:rPr>
          <w:rtl w:val="0"/>
        </w:rPr>
        <w:t xml:space="preserve">Homer, </w:t>
      </w:r>
      <w:r w:rsidDel="00000000" w:rsidR="00000000" w:rsidRPr="00000000">
        <w:rPr>
          <w:i w:val="1"/>
          <w:rtl w:val="0"/>
        </w:rPr>
        <w:t xml:space="preserve">Homeric Hymns. Homeric Apocrypha. Lives of Homer</w:t>
      </w:r>
      <w:r w:rsidDel="00000000" w:rsidR="00000000" w:rsidRPr="00000000">
        <w:rPr>
          <w:rtl w:val="0"/>
        </w:rPr>
        <w:t xml:space="preserve">, trans. by Martin L. West, Loeb Classical Library 496 (</w:t>
      </w:r>
      <w:r w:rsidDel="00000000" w:rsidR="00000000" w:rsidRPr="00000000">
        <w:rPr>
          <w:highlight w:val="white"/>
          <w:rtl w:val="0"/>
        </w:rPr>
        <w:t xml:space="preserve">Cambridge: Harvard University Press, </w:t>
      </w:r>
      <w:r w:rsidDel="00000000" w:rsidR="00000000" w:rsidRPr="00000000">
        <w:rPr>
          <w:rtl w:val="0"/>
        </w:rPr>
        <w:t xml:space="preserve">2003).</w:t>
      </w:r>
      <w:r w:rsidDel="00000000" w:rsidR="00000000" w:rsidRPr="00000000">
        <w:rPr>
          <w:rtl w:val="0"/>
        </w:rPr>
      </w:r>
    </w:p>
    <w:p w:rsidR="00000000" w:rsidDel="00000000" w:rsidP="00000000" w:rsidRDefault="00000000" w:rsidRPr="00000000" w14:paraId="0000011F">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20">
      <w:pPr>
        <w:rPr>
          <w:color w:val="1f1f1f"/>
          <w:sz w:val="28"/>
          <w:szCs w:val="28"/>
        </w:rPr>
      </w:pPr>
      <w:r w:rsidDel="00000000" w:rsidR="00000000" w:rsidRPr="00000000">
        <w:rPr>
          <w:rtl w:val="0"/>
        </w:rPr>
        <w:t xml:space="preserve">Ovid, </w:t>
      </w:r>
      <w:r w:rsidDel="00000000" w:rsidR="00000000" w:rsidRPr="00000000">
        <w:rPr>
          <w:i w:val="1"/>
          <w:rtl w:val="0"/>
        </w:rPr>
        <w:t xml:space="preserve">Fasti</w:t>
      </w:r>
      <w:r w:rsidDel="00000000" w:rsidR="00000000" w:rsidRPr="00000000">
        <w:rPr>
          <w:rtl w:val="0"/>
        </w:rPr>
        <w:t xml:space="preserve">, trans. by James G. Frazer, Loeb Classical Library 253, (</w:t>
      </w:r>
      <w:r w:rsidDel="00000000" w:rsidR="00000000" w:rsidRPr="00000000">
        <w:rPr>
          <w:highlight w:val="white"/>
          <w:rtl w:val="0"/>
        </w:rPr>
        <w:t xml:space="preserve">Cambridge: Harvard University Press, 1931) </w:t>
      </w:r>
      <w:r w:rsidDel="00000000" w:rsidR="00000000" w:rsidRPr="00000000">
        <w:rPr>
          <w:rtl w:val="0"/>
        </w:rPr>
        <w:t xml:space="preserve">Book 2.533–583.</w:t>
      </w:r>
      <w:r w:rsidDel="00000000" w:rsidR="00000000" w:rsidRPr="00000000">
        <w:rPr>
          <w:rtl w:val="0"/>
        </w:rPr>
      </w:r>
    </w:p>
    <w:p w:rsidR="00000000" w:rsidDel="00000000" w:rsidP="00000000" w:rsidRDefault="00000000" w:rsidRPr="00000000" w14:paraId="00000121">
      <w:pPr>
        <w:spacing w:line="240" w:lineRule="auto"/>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t xml:space="preserve">Plato, </w:t>
      </w:r>
      <w:r w:rsidDel="00000000" w:rsidR="00000000" w:rsidRPr="00000000">
        <w:rPr>
          <w:i w:val="1"/>
          <w:rtl w:val="0"/>
        </w:rPr>
        <w:t xml:space="preserve">Lysis. Symposium. Phaedrus</w:t>
      </w:r>
      <w:r w:rsidDel="00000000" w:rsidR="00000000" w:rsidRPr="00000000">
        <w:rPr>
          <w:rtl w:val="0"/>
        </w:rPr>
        <w:t xml:space="preserve">, ed. and trans. by Christopher Emlyn–Jones and William Preddy, Loeb Classical Library 166 (Cambridge: Harvard University Press, 2022), pp. 109–321.</w:t>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color w:val="141413"/>
        </w:rPr>
      </w:pPr>
      <w:r w:rsidDel="00000000" w:rsidR="00000000" w:rsidRPr="00000000">
        <w:rPr>
          <w:b w:val="1"/>
          <w:rtl w:val="0"/>
        </w:rPr>
        <w:t xml:space="preserve">Secondary:</w:t>
      </w:r>
      <w:r w:rsidDel="00000000" w:rsidR="00000000" w:rsidRPr="00000000">
        <w:rPr>
          <w:rtl w:val="0"/>
        </w:rPr>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sz w:val="18"/>
          <w:szCs w:val="18"/>
        </w:rPr>
      </w:pPr>
      <w:r w:rsidDel="00000000" w:rsidR="00000000" w:rsidRPr="00000000">
        <w:rPr>
          <w:rtl w:val="0"/>
        </w:rPr>
        <w:t xml:space="preserve">Benzel, Kim, “What Goes In Is What Comes Out– But What Was Already There? Divine Materials and Materiality in Ancient Mesopotamia”, in </w:t>
      </w:r>
      <w:r w:rsidDel="00000000" w:rsidR="00000000" w:rsidRPr="00000000">
        <w:rPr>
          <w:i w:val="1"/>
          <w:color w:val="070726"/>
          <w:rtl w:val="0"/>
        </w:rPr>
        <w:t xml:space="preserve">The Materiality of Divine Agency, </w:t>
      </w:r>
      <w:r w:rsidDel="00000000" w:rsidR="00000000" w:rsidRPr="00000000">
        <w:rPr>
          <w:color w:val="070726"/>
          <w:rtl w:val="0"/>
        </w:rPr>
        <w:t xml:space="preserve">ed. by Beate </w:t>
      </w:r>
      <w:r w:rsidDel="00000000" w:rsidR="00000000" w:rsidRPr="00000000">
        <w:rPr>
          <w:color w:val="070726"/>
          <w:rtl w:val="0"/>
        </w:rPr>
        <w:t xml:space="preserve">Pongratz-Leisten and Karen Sonik (Berlin and Boston: De Gruyter, 2015), pp. 89–118.</w:t>
      </w:r>
      <w:r w:rsidDel="00000000" w:rsidR="00000000" w:rsidRPr="00000000">
        <w:rPr>
          <w:rtl w:val="0"/>
        </w:rPr>
      </w:r>
    </w:p>
    <w:p w:rsidR="00000000" w:rsidDel="00000000" w:rsidP="00000000" w:rsidRDefault="00000000" w:rsidRPr="00000000" w14:paraId="00000126">
      <w:pPr>
        <w:spacing w:after="20" w:line="240" w:lineRule="auto"/>
        <w:rPr/>
      </w:pPr>
      <w:r w:rsidDel="00000000" w:rsidR="00000000" w:rsidRPr="00000000">
        <w:rPr>
          <w:rtl w:val="0"/>
        </w:rPr>
      </w:r>
    </w:p>
    <w:p w:rsidR="00000000" w:rsidDel="00000000" w:rsidP="00000000" w:rsidRDefault="00000000" w:rsidRPr="00000000" w14:paraId="00000127">
      <w:pPr>
        <w:spacing w:after="20" w:line="240" w:lineRule="auto"/>
        <w:rPr/>
      </w:pPr>
      <w:r w:rsidDel="00000000" w:rsidR="00000000" w:rsidRPr="00000000">
        <w:rPr>
          <w:rtl w:val="0"/>
        </w:rPr>
        <w:t xml:space="preserve">Betz, Hans Dieter (ed.), </w:t>
      </w:r>
      <w:r w:rsidDel="00000000" w:rsidR="00000000" w:rsidRPr="00000000">
        <w:rPr>
          <w:i w:val="1"/>
          <w:rtl w:val="0"/>
        </w:rPr>
        <w:t xml:space="preserve">The Greek Magical Papyri in Translation: Including the Demotic Spells, </w:t>
      </w:r>
      <w:r w:rsidDel="00000000" w:rsidR="00000000" w:rsidRPr="00000000">
        <w:rPr>
          <w:rtl w:val="0"/>
        </w:rPr>
        <w:t xml:space="preserve">2nd edn. (Chicago and London: Chicago University Press, 1992)</w:t>
      </w:r>
    </w:p>
    <w:p w:rsidR="00000000" w:rsidDel="00000000" w:rsidP="00000000" w:rsidRDefault="00000000" w:rsidRPr="00000000" w14:paraId="00000128">
      <w:pPr>
        <w:spacing w:after="20" w:line="240" w:lineRule="auto"/>
        <w:rPr>
          <w:i w:val="1"/>
        </w:rPr>
      </w:pPr>
      <w:r w:rsidDel="00000000" w:rsidR="00000000" w:rsidRPr="00000000">
        <w:rPr>
          <w:rtl w:val="0"/>
        </w:rPr>
      </w:r>
    </w:p>
    <w:p w:rsidR="00000000" w:rsidDel="00000000" w:rsidP="00000000" w:rsidRDefault="00000000" w:rsidRPr="00000000" w14:paraId="00000129">
      <w:pPr>
        <w:spacing w:after="20" w:line="240" w:lineRule="auto"/>
        <w:rPr/>
      </w:pPr>
      <w:r w:rsidDel="00000000" w:rsidR="00000000" w:rsidRPr="00000000">
        <w:rPr>
          <w:rtl w:val="0"/>
        </w:rPr>
        <w:t xml:space="preserve">Brashear, William M.</w:t>
      </w:r>
      <w:r w:rsidDel="00000000" w:rsidR="00000000" w:rsidRPr="00000000">
        <w:rPr>
          <w:i w:val="1"/>
          <w:rtl w:val="0"/>
        </w:rPr>
        <w:t xml:space="preserve">,</w:t>
      </w:r>
      <w:r w:rsidDel="00000000" w:rsidR="00000000" w:rsidRPr="00000000">
        <w:rPr>
          <w:rtl w:val="0"/>
        </w:rPr>
        <w:t xml:space="preserve">‘The Greek Magical Papyri: An Introduction and Survey; Annotated Bibliography (1928-1994)’, </w:t>
      </w:r>
      <w:r w:rsidDel="00000000" w:rsidR="00000000" w:rsidRPr="00000000">
        <w:rPr>
          <w:i w:val="1"/>
          <w:color w:val="202122"/>
          <w:rtl w:val="0"/>
        </w:rPr>
        <w:t xml:space="preserve">Aufstieg und Niedergang der römischen Welt</w:t>
      </w:r>
      <w:r w:rsidDel="00000000" w:rsidR="00000000" w:rsidRPr="00000000">
        <w:rPr>
          <w:i w:val="1"/>
          <w:color w:val="333333"/>
          <w:highlight w:val="white"/>
          <w:rtl w:val="0"/>
        </w:rPr>
        <w:t xml:space="preserve"> II</w:t>
      </w:r>
      <w:r w:rsidDel="00000000" w:rsidR="00000000" w:rsidRPr="00000000">
        <w:rPr>
          <w:rtl w:val="0"/>
        </w:rPr>
        <w:t xml:space="preserve">, 18.5 (1995), pp. 3380–3684.</w:t>
      </w:r>
      <w:r w:rsidDel="00000000" w:rsidR="00000000" w:rsidRPr="00000000">
        <w:rPr>
          <w:rtl w:val="0"/>
        </w:rPr>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pPr>
      <w:r w:rsidDel="00000000" w:rsidR="00000000" w:rsidRPr="00000000">
        <w:rPr>
          <w:rtl w:val="0"/>
        </w:rPr>
      </w:r>
    </w:p>
    <w:p w:rsidR="00000000" w:rsidDel="00000000" w:rsidP="00000000" w:rsidRDefault="00000000" w:rsidRPr="00000000" w14:paraId="0000012B">
      <w:pPr>
        <w:spacing w:after="20" w:line="240" w:lineRule="auto"/>
        <w:rPr/>
      </w:pPr>
      <w:r w:rsidDel="00000000" w:rsidR="00000000" w:rsidRPr="00000000">
        <w:rPr>
          <w:rtl w:val="0"/>
        </w:rPr>
        <w:t xml:space="preserve">Dieleman, Jacco, </w:t>
      </w:r>
      <w:r w:rsidDel="00000000" w:rsidR="00000000" w:rsidRPr="00000000">
        <w:rPr>
          <w:i w:val="1"/>
          <w:rtl w:val="0"/>
        </w:rPr>
        <w:t xml:space="preserve">Priests, Tongues, and Rites: The London-Leiden Magical Manuscripts and Translation in Egyptian Ritual (100–300 CE)</w:t>
      </w:r>
      <w:r w:rsidDel="00000000" w:rsidR="00000000" w:rsidRPr="00000000">
        <w:rPr>
          <w:rtl w:val="0"/>
        </w:rPr>
        <w:t xml:space="preserve">, 1st edn. (Leiden: Brill, 2005)</w:t>
      </w:r>
    </w:p>
    <w:p w:rsidR="00000000" w:rsidDel="00000000" w:rsidP="00000000" w:rsidRDefault="00000000" w:rsidRPr="00000000" w14:paraId="0000012C">
      <w:pPr>
        <w:spacing w:after="20" w:line="240" w:lineRule="auto"/>
        <w:rPr/>
      </w:pPr>
      <w:r w:rsidDel="00000000" w:rsidR="00000000" w:rsidRPr="00000000">
        <w:rPr>
          <w:rtl w:val="0"/>
        </w:rPr>
      </w:r>
    </w:p>
    <w:p w:rsidR="00000000" w:rsidDel="00000000" w:rsidP="00000000" w:rsidRDefault="00000000" w:rsidRPr="00000000" w14:paraId="0000012D">
      <w:pPr>
        <w:spacing w:after="20" w:line="240" w:lineRule="auto"/>
        <w:rPr/>
      </w:pPr>
      <w:r w:rsidDel="00000000" w:rsidR="00000000" w:rsidRPr="00000000">
        <w:rPr>
          <w:rtl w:val="0"/>
        </w:rPr>
        <w:t xml:space="preserve">Edmonds, Radcliffe. G. III, ‘And You Will Be Amazed: The Rhetoric of Authority in the Greek Magical Papyri’, </w:t>
      </w:r>
      <w:r w:rsidDel="00000000" w:rsidR="00000000" w:rsidRPr="00000000">
        <w:rPr>
          <w:i w:val="1"/>
          <w:rtl w:val="0"/>
        </w:rPr>
        <w:t xml:space="preserve">Archiv für Religionsgeschichte</w:t>
      </w:r>
      <w:r w:rsidDel="00000000" w:rsidR="00000000" w:rsidRPr="00000000">
        <w:rPr>
          <w:rtl w:val="0"/>
        </w:rPr>
        <w:t xml:space="preserve">, 21–22.1 (2020), pp. 29–49.</w:t>
      </w:r>
    </w:p>
    <w:p w:rsidR="00000000" w:rsidDel="00000000" w:rsidP="00000000" w:rsidRDefault="00000000" w:rsidRPr="00000000" w14:paraId="0000012E">
      <w:pPr>
        <w:spacing w:after="20" w:line="240" w:lineRule="auto"/>
        <w:rPr/>
      </w:pPr>
      <w:r w:rsidDel="00000000" w:rsidR="00000000" w:rsidRPr="00000000">
        <w:rPr>
          <w:rtl w:val="0"/>
        </w:rPr>
      </w:r>
    </w:p>
    <w:p w:rsidR="00000000" w:rsidDel="00000000" w:rsidP="00000000" w:rsidRDefault="00000000" w:rsidRPr="00000000" w14:paraId="0000012F">
      <w:pPr>
        <w:spacing w:after="20" w:line="240" w:lineRule="auto"/>
        <w:rPr>
          <w:color w:val="141413"/>
        </w:rPr>
      </w:pPr>
      <w:r w:rsidDel="00000000" w:rsidR="00000000" w:rsidRPr="00000000">
        <w:rPr>
          <w:color w:val="141413"/>
          <w:rtl w:val="0"/>
        </w:rPr>
        <w:t xml:space="preserve">Edmonds, Radcliffe G. III, </w:t>
      </w:r>
      <w:r w:rsidDel="00000000" w:rsidR="00000000" w:rsidRPr="00000000">
        <w:rPr>
          <w:i w:val="1"/>
          <w:color w:val="141413"/>
          <w:rtl w:val="0"/>
        </w:rPr>
        <w:t xml:space="preserve">Drawing Down the Moon: Magic in the Ancient Greco-Roman World </w:t>
      </w:r>
      <w:r w:rsidDel="00000000" w:rsidR="00000000" w:rsidRPr="00000000">
        <w:rPr>
          <w:color w:val="141413"/>
          <w:rtl w:val="0"/>
        </w:rPr>
        <w:t xml:space="preserve">(Princeton: Princeton University Press, 2019).</w:t>
        <w:tab/>
      </w:r>
    </w:p>
    <w:p w:rsidR="00000000" w:rsidDel="00000000" w:rsidP="00000000" w:rsidRDefault="00000000" w:rsidRPr="00000000" w14:paraId="00000130">
      <w:pPr>
        <w:spacing w:after="20" w:line="240" w:lineRule="auto"/>
        <w:rPr>
          <w:color w:val="141413"/>
        </w:rPr>
      </w:pPr>
      <w:r w:rsidDel="00000000" w:rsidR="00000000" w:rsidRPr="00000000">
        <w:rPr>
          <w:rtl w:val="0"/>
        </w:rPr>
      </w:r>
    </w:p>
    <w:p w:rsidR="00000000" w:rsidDel="00000000" w:rsidP="00000000" w:rsidRDefault="00000000" w:rsidRPr="00000000" w14:paraId="00000131">
      <w:pPr>
        <w:shd w:fill="ffffff" w:val="clear"/>
        <w:spacing w:after="20" w:line="240" w:lineRule="auto"/>
        <w:rPr>
          <w:color w:val="1f1f1f"/>
        </w:rPr>
      </w:pPr>
      <w:r w:rsidDel="00000000" w:rsidR="00000000" w:rsidRPr="00000000">
        <w:rPr>
          <w:color w:val="1f1f1f"/>
          <w:rtl w:val="0"/>
        </w:rPr>
        <w:t xml:space="preserve">Eidinow, Esther, </w:t>
      </w:r>
      <w:r w:rsidDel="00000000" w:rsidR="00000000" w:rsidRPr="00000000">
        <w:rPr>
          <w:i w:val="1"/>
          <w:color w:val="1f1f1f"/>
          <w:rtl w:val="0"/>
        </w:rPr>
        <w:t xml:space="preserve">Oracles, Curses, and Risk Among the Ancient Greeks</w:t>
      </w:r>
      <w:r w:rsidDel="00000000" w:rsidR="00000000" w:rsidRPr="00000000">
        <w:rPr>
          <w:color w:val="1f1f1f"/>
          <w:rtl w:val="0"/>
        </w:rPr>
        <w:t xml:space="preserve">, 1st edn. (Oxford: Oxford University Press, 2007).</w:t>
      </w:r>
    </w:p>
    <w:p w:rsidR="00000000" w:rsidDel="00000000" w:rsidP="00000000" w:rsidRDefault="00000000" w:rsidRPr="00000000" w14:paraId="00000132">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33">
      <w:pPr>
        <w:shd w:fill="ffffff" w:val="clear"/>
        <w:spacing w:after="20" w:line="240" w:lineRule="auto"/>
        <w:rPr>
          <w:color w:val="1f1f1f"/>
        </w:rPr>
      </w:pPr>
      <w:r w:rsidDel="00000000" w:rsidR="00000000" w:rsidRPr="00000000">
        <w:rPr>
          <w:color w:val="1f1f1f"/>
          <w:rtl w:val="0"/>
        </w:rPr>
        <w:t xml:space="preserve">Faraone, Christopher A., ‘Molten Wax, Spilt Wine and Mutilated Animals: Sympathetic Magic in Near Eastern and Early Greek Oath Ceremonies’, </w:t>
      </w:r>
      <w:r w:rsidDel="00000000" w:rsidR="00000000" w:rsidRPr="00000000">
        <w:rPr>
          <w:i w:val="1"/>
          <w:color w:val="1f1f1f"/>
          <w:rtl w:val="0"/>
        </w:rPr>
        <w:t xml:space="preserve">The Journal of Hellenic Studies</w:t>
      </w:r>
      <w:r w:rsidDel="00000000" w:rsidR="00000000" w:rsidRPr="00000000">
        <w:rPr>
          <w:color w:val="1f1f1f"/>
          <w:rtl w:val="0"/>
        </w:rPr>
        <w:t xml:space="preserve">, 113 (1993), pp. 60–80.</w:t>
      </w:r>
    </w:p>
    <w:p w:rsidR="00000000" w:rsidDel="00000000" w:rsidP="00000000" w:rsidRDefault="00000000" w:rsidRPr="00000000" w14:paraId="00000134">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35">
      <w:pPr>
        <w:shd w:fill="ffffff" w:val="clear"/>
        <w:spacing w:after="20" w:line="240" w:lineRule="auto"/>
        <w:rPr>
          <w:color w:val="1f1f1f"/>
        </w:rPr>
      </w:pPr>
      <w:r w:rsidDel="00000000" w:rsidR="00000000" w:rsidRPr="00000000">
        <w:rPr>
          <w:color w:val="1f1f1f"/>
          <w:rtl w:val="0"/>
        </w:rPr>
        <w:t xml:space="preserve">Faraone, Christopher A., </w:t>
      </w:r>
      <w:r w:rsidDel="00000000" w:rsidR="00000000" w:rsidRPr="00000000">
        <w:rPr>
          <w:i w:val="1"/>
          <w:color w:val="1f1f1f"/>
          <w:rtl w:val="0"/>
        </w:rPr>
        <w:t xml:space="preserve">Vanishing Acts On Ancient Greek Amulets: From Oral Performance to Visual Design </w:t>
      </w:r>
      <w:r w:rsidDel="00000000" w:rsidR="00000000" w:rsidRPr="00000000">
        <w:rPr>
          <w:color w:val="1f1f1f"/>
          <w:rtl w:val="0"/>
        </w:rPr>
        <w:t xml:space="preserve">(London: Institute of Classical Studies, University of London, 2012).</w:t>
      </w:r>
    </w:p>
    <w:p w:rsidR="00000000" w:rsidDel="00000000" w:rsidP="00000000" w:rsidRDefault="00000000" w:rsidRPr="00000000" w14:paraId="00000136">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37">
      <w:pPr>
        <w:shd w:fill="ffffff" w:val="clear"/>
        <w:spacing w:line="240" w:lineRule="auto"/>
        <w:rPr>
          <w:color w:val="1f1f1f"/>
        </w:rPr>
      </w:pPr>
      <w:r w:rsidDel="00000000" w:rsidR="00000000" w:rsidRPr="00000000">
        <w:rPr>
          <w:color w:val="1f1f1f"/>
          <w:rtl w:val="0"/>
        </w:rPr>
        <w:t xml:space="preserve">Fitzmyer, Joseph A., ‘The Aramaic Inscriptions of Sefire I and II’, </w:t>
      </w:r>
      <w:r w:rsidDel="00000000" w:rsidR="00000000" w:rsidRPr="00000000">
        <w:rPr>
          <w:i w:val="1"/>
          <w:color w:val="1f1f1f"/>
          <w:rtl w:val="0"/>
        </w:rPr>
        <w:t xml:space="preserve">Journal of the American Oriental Society</w:t>
      </w:r>
      <w:r w:rsidDel="00000000" w:rsidR="00000000" w:rsidRPr="00000000">
        <w:rPr>
          <w:color w:val="1f1f1f"/>
          <w:rtl w:val="0"/>
        </w:rPr>
        <w:t xml:space="preserve">, 81.3 (1961), pp. 178–222.</w:t>
      </w:r>
    </w:p>
    <w:p w:rsidR="00000000" w:rsidDel="00000000" w:rsidP="00000000" w:rsidRDefault="00000000" w:rsidRPr="00000000" w14:paraId="00000138">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39">
      <w:pPr>
        <w:shd w:fill="ffffff" w:val="clear"/>
        <w:spacing w:after="20" w:line="240" w:lineRule="auto"/>
        <w:rPr>
          <w:color w:val="1f1f1f"/>
        </w:rPr>
      </w:pPr>
      <w:r w:rsidDel="00000000" w:rsidR="00000000" w:rsidRPr="00000000">
        <w:rPr>
          <w:color w:val="1f1f1f"/>
          <w:rtl w:val="0"/>
        </w:rPr>
        <w:t xml:space="preserve">Frankfurter, David, ‘</w:t>
      </w:r>
      <w:r w:rsidDel="00000000" w:rsidR="00000000" w:rsidRPr="00000000">
        <w:rPr>
          <w:color w:val="1f1f1f"/>
          <w:rtl w:val="0"/>
        </w:rPr>
        <w:t xml:space="preserve">The Magic of Writing and the Writing of Magic: the power of the word in Egyptian and Greek traditions’, </w:t>
      </w:r>
      <w:r w:rsidDel="00000000" w:rsidR="00000000" w:rsidRPr="00000000">
        <w:rPr>
          <w:i w:val="1"/>
          <w:color w:val="1f1f1f"/>
          <w:rtl w:val="0"/>
        </w:rPr>
        <w:t xml:space="preserve">Helios </w:t>
      </w:r>
      <w:r w:rsidDel="00000000" w:rsidR="00000000" w:rsidRPr="00000000">
        <w:rPr>
          <w:color w:val="1f1f1f"/>
          <w:rtl w:val="0"/>
        </w:rPr>
        <w:t xml:space="preserve">21 (1994), pp. 189–221.</w:t>
      </w:r>
    </w:p>
    <w:p w:rsidR="00000000" w:rsidDel="00000000" w:rsidP="00000000" w:rsidRDefault="00000000" w:rsidRPr="00000000" w14:paraId="0000013A">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3B">
      <w:pPr>
        <w:shd w:fill="ffffff" w:val="clear"/>
        <w:spacing w:after="20" w:lineRule="auto"/>
        <w:rPr>
          <w:color w:val="1f1f1f"/>
        </w:rPr>
      </w:pPr>
      <w:r w:rsidDel="00000000" w:rsidR="00000000" w:rsidRPr="00000000">
        <w:rPr>
          <w:color w:val="1f1f1f"/>
          <w:rtl w:val="0"/>
        </w:rPr>
        <w:t xml:space="preserve">Frankfurter, David, ‘The Magic of Writing in Mediterranean Antiquity’, in </w:t>
      </w:r>
      <w:r w:rsidDel="00000000" w:rsidR="00000000" w:rsidRPr="00000000">
        <w:rPr>
          <w:i w:val="1"/>
          <w:color w:val="1f1f1f"/>
          <w:rtl w:val="0"/>
        </w:rPr>
        <w:t xml:space="preserve">Guide to the Study of Ancient Magic</w:t>
      </w:r>
      <w:r w:rsidDel="00000000" w:rsidR="00000000" w:rsidRPr="00000000">
        <w:rPr>
          <w:color w:val="1f1f1f"/>
          <w:rtl w:val="0"/>
        </w:rPr>
        <w:t xml:space="preserve"> (London and Leiden: Brill, 2008), pp. 626–58. </w:t>
      </w:r>
    </w:p>
    <w:p w:rsidR="00000000" w:rsidDel="00000000" w:rsidP="00000000" w:rsidRDefault="00000000" w:rsidRPr="00000000" w14:paraId="0000013C">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3D">
      <w:pPr>
        <w:shd w:fill="ffffff" w:val="clear"/>
        <w:spacing w:after="20" w:line="240" w:lineRule="auto"/>
        <w:rPr>
          <w:color w:val="1f1f1f"/>
        </w:rPr>
      </w:pPr>
      <w:r w:rsidDel="00000000" w:rsidR="00000000" w:rsidRPr="00000000">
        <w:rPr>
          <w:color w:val="1f1f1f"/>
          <w:rtl w:val="0"/>
        </w:rPr>
        <w:t xml:space="preserve">Frankfurter, David, </w:t>
      </w:r>
      <w:r w:rsidDel="00000000" w:rsidR="00000000" w:rsidRPr="00000000">
        <w:rPr>
          <w:i w:val="1"/>
          <w:color w:val="1f1f1f"/>
          <w:rtl w:val="0"/>
        </w:rPr>
        <w:t xml:space="preserve">Guide to the Study of Ancient Magic</w:t>
      </w:r>
      <w:r w:rsidDel="00000000" w:rsidR="00000000" w:rsidRPr="00000000">
        <w:rPr>
          <w:color w:val="1f1f1f"/>
          <w:rtl w:val="0"/>
        </w:rPr>
        <w:t xml:space="preserve"> (London and Leiden: Brill, 2008).</w:t>
      </w:r>
    </w:p>
    <w:p w:rsidR="00000000" w:rsidDel="00000000" w:rsidP="00000000" w:rsidRDefault="00000000" w:rsidRPr="00000000" w14:paraId="0000013E">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3F">
      <w:pPr>
        <w:shd w:fill="ffffff" w:val="clear"/>
        <w:spacing w:after="20" w:line="240" w:lineRule="auto"/>
        <w:rPr>
          <w:color w:val="1f1f1f"/>
        </w:rPr>
      </w:pPr>
      <w:r w:rsidDel="00000000" w:rsidR="00000000" w:rsidRPr="00000000">
        <w:rPr>
          <w:color w:val="1f1f1f"/>
          <w:rtl w:val="0"/>
        </w:rPr>
        <w:t xml:space="preserve">Gager, John G., </w:t>
      </w:r>
      <w:r w:rsidDel="00000000" w:rsidR="00000000" w:rsidRPr="00000000">
        <w:rPr>
          <w:i w:val="1"/>
          <w:color w:val="1f1f1f"/>
          <w:rtl w:val="0"/>
        </w:rPr>
        <w:t xml:space="preserve">Curse Tablets and Binding Spells from the Ancient World </w:t>
      </w:r>
      <w:r w:rsidDel="00000000" w:rsidR="00000000" w:rsidRPr="00000000">
        <w:rPr>
          <w:color w:val="1f1f1f"/>
          <w:rtl w:val="0"/>
        </w:rPr>
        <w:t xml:space="preserve">(Oxford: Oxford University Press, 1999).</w:t>
      </w:r>
    </w:p>
    <w:p w:rsidR="00000000" w:rsidDel="00000000" w:rsidP="00000000" w:rsidRDefault="00000000" w:rsidRPr="00000000" w14:paraId="00000140">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41">
      <w:pPr>
        <w:shd w:fill="ffffff" w:val="clear"/>
        <w:spacing w:after="20" w:line="240" w:lineRule="auto"/>
        <w:rPr>
          <w:color w:val="1f1f1f"/>
        </w:rPr>
      </w:pPr>
      <w:r w:rsidDel="00000000" w:rsidR="00000000" w:rsidRPr="00000000">
        <w:rPr>
          <w:color w:val="1f1f1f"/>
          <w:rtl w:val="0"/>
        </w:rPr>
        <w:t xml:space="preserve">Gonzalez, Matthew, ‘The Oracle and Cult of Ares in Asia Minor’, </w:t>
      </w:r>
      <w:r w:rsidDel="00000000" w:rsidR="00000000" w:rsidRPr="00000000">
        <w:rPr>
          <w:i w:val="1"/>
          <w:color w:val="1f1f1f"/>
          <w:rtl w:val="0"/>
        </w:rPr>
        <w:t xml:space="preserve">Greek, Roman, and Byzantine Studies</w:t>
      </w:r>
      <w:r w:rsidDel="00000000" w:rsidR="00000000" w:rsidRPr="00000000">
        <w:rPr>
          <w:color w:val="1f1f1f"/>
          <w:rtl w:val="0"/>
        </w:rPr>
        <w:t xml:space="preserve">, 45 (2005), pp. 261—283.</w:t>
      </w:r>
    </w:p>
    <w:p w:rsidR="00000000" w:rsidDel="00000000" w:rsidP="00000000" w:rsidRDefault="00000000" w:rsidRPr="00000000" w14:paraId="00000142">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43">
      <w:pPr>
        <w:shd w:fill="ffffff" w:val="clear"/>
        <w:spacing w:after="20" w:line="240" w:lineRule="auto"/>
        <w:rPr>
          <w:color w:val="2a2a2a"/>
        </w:rPr>
      </w:pPr>
      <w:r w:rsidDel="00000000" w:rsidR="00000000" w:rsidRPr="00000000">
        <w:rPr>
          <w:color w:val="1f1f1f"/>
          <w:rtl w:val="0"/>
        </w:rPr>
        <w:t xml:space="preserve">Harker, Andrew, ‘The Jews in Roman Egypt: Trials and Rebellions’, in </w:t>
      </w:r>
      <w:r w:rsidDel="00000000" w:rsidR="00000000" w:rsidRPr="00000000">
        <w:rPr>
          <w:i w:val="1"/>
          <w:color w:val="1f1f1f"/>
          <w:rtl w:val="0"/>
        </w:rPr>
        <w:t xml:space="preserve">The Oxford Handbook of Roman Egypt</w:t>
      </w:r>
      <w:r w:rsidDel="00000000" w:rsidR="00000000" w:rsidRPr="00000000">
        <w:rPr>
          <w:color w:val="1f1f1f"/>
          <w:rtl w:val="0"/>
        </w:rPr>
        <w:t xml:space="preserve">, ed. by Christina Riggs (Oxford: Oxford University Press, 2012), pp. </w:t>
      </w:r>
      <w:r w:rsidDel="00000000" w:rsidR="00000000" w:rsidRPr="00000000">
        <w:rPr>
          <w:color w:val="2a2a2a"/>
          <w:rtl w:val="0"/>
        </w:rPr>
        <w:t xml:space="preserve">277–287.</w:t>
      </w:r>
    </w:p>
    <w:p w:rsidR="00000000" w:rsidDel="00000000" w:rsidP="00000000" w:rsidRDefault="00000000" w:rsidRPr="00000000" w14:paraId="00000144">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45">
      <w:pPr>
        <w:shd w:fill="ffffff" w:val="clear"/>
        <w:spacing w:after="20" w:line="240" w:lineRule="auto"/>
        <w:rPr>
          <w:color w:val="1f1f1f"/>
        </w:rPr>
      </w:pPr>
      <w:r w:rsidDel="00000000" w:rsidR="00000000" w:rsidRPr="00000000">
        <w:rPr>
          <w:color w:val="1f1f1f"/>
          <w:rtl w:val="0"/>
        </w:rPr>
        <w:t xml:space="preserve">Jack, Jordynn, and Emma M. Duvall, ‘Reconsidering Kairos through the Gendered History of Weaving’, </w:t>
      </w:r>
      <w:r w:rsidDel="00000000" w:rsidR="00000000" w:rsidRPr="00000000">
        <w:rPr>
          <w:i w:val="1"/>
          <w:color w:val="1f1f1f"/>
          <w:rtl w:val="0"/>
        </w:rPr>
        <w:t xml:space="preserve">Rhetoric Society Quarterly</w:t>
      </w:r>
      <w:r w:rsidDel="00000000" w:rsidR="00000000" w:rsidRPr="00000000">
        <w:rPr>
          <w:color w:val="1f1f1f"/>
          <w:rtl w:val="0"/>
        </w:rPr>
        <w:t xml:space="preserve">, 54.1 (2024), pp. 52–67. </w:t>
      </w:r>
    </w:p>
    <w:p w:rsidR="00000000" w:rsidDel="00000000" w:rsidP="00000000" w:rsidRDefault="00000000" w:rsidRPr="00000000" w14:paraId="00000146">
      <w:pPr>
        <w:shd w:fill="ffffff" w:val="clear"/>
        <w:spacing w:after="20" w:line="240" w:lineRule="auto"/>
        <w:rPr>
          <w:color w:val="1f1f1f"/>
        </w:rPr>
      </w:pPr>
      <w:r w:rsidDel="00000000" w:rsidR="00000000" w:rsidRPr="00000000">
        <w:rPr>
          <w:color w:val="1f1f1f"/>
          <w:rtl w:val="0"/>
        </w:rPr>
        <w:t xml:space="preserve">&lt; DOI:10.1080/02773945.2023.2293957&gt;</w:t>
      </w:r>
    </w:p>
    <w:p w:rsidR="00000000" w:rsidDel="00000000" w:rsidP="00000000" w:rsidRDefault="00000000" w:rsidRPr="00000000" w14:paraId="00000147">
      <w:pPr>
        <w:shd w:fill="ffffff" w:val="clear"/>
        <w:spacing w:after="240" w:before="240" w:lineRule="auto"/>
        <w:rPr>
          <w:color w:val="1f1f1f"/>
        </w:rPr>
      </w:pPr>
      <w:r w:rsidDel="00000000" w:rsidR="00000000" w:rsidRPr="00000000">
        <w:rPr>
          <w:color w:val="2a2a2a"/>
          <w:rtl w:val="0"/>
        </w:rPr>
        <w:t xml:space="preserve">Jördens, Andrea, ‘Status and Citizenship’, in </w:t>
      </w:r>
      <w:r w:rsidDel="00000000" w:rsidR="00000000" w:rsidRPr="00000000">
        <w:rPr>
          <w:i w:val="1"/>
          <w:color w:val="1f1f1f"/>
          <w:rtl w:val="0"/>
        </w:rPr>
        <w:t xml:space="preserve">The Oxford Handbook of Roman Egypt, </w:t>
      </w:r>
      <w:r w:rsidDel="00000000" w:rsidR="00000000" w:rsidRPr="00000000">
        <w:rPr>
          <w:color w:val="1f1f1f"/>
          <w:rtl w:val="0"/>
        </w:rPr>
        <w:t xml:space="preserve">ed. by Chrisitna Riggs (Oxford: Oxford University Press, 2012), pp. </w:t>
      </w:r>
      <w:r w:rsidDel="00000000" w:rsidR="00000000" w:rsidRPr="00000000">
        <w:rPr>
          <w:color w:val="2a2a2a"/>
          <w:rtl w:val="0"/>
        </w:rPr>
        <w:t xml:space="preserve">247–59.</w:t>
      </w:r>
      <w:r w:rsidDel="00000000" w:rsidR="00000000" w:rsidRPr="00000000">
        <w:rPr>
          <w:rtl w:val="0"/>
        </w:rPr>
      </w:r>
    </w:p>
    <w:p w:rsidR="00000000" w:rsidDel="00000000" w:rsidP="00000000" w:rsidRDefault="00000000" w:rsidRPr="00000000" w14:paraId="00000148">
      <w:pPr>
        <w:shd w:fill="ffffff" w:val="clear"/>
        <w:spacing w:after="20" w:line="240" w:lineRule="auto"/>
        <w:rPr>
          <w:color w:val="1f1f1f"/>
        </w:rPr>
      </w:pPr>
      <w:r w:rsidDel="00000000" w:rsidR="00000000" w:rsidRPr="00000000">
        <w:rPr>
          <w:color w:val="1f1f1f"/>
          <w:rtl w:val="0"/>
        </w:rPr>
        <w:t xml:space="preserve">Kidd, Stephen, ‘Written Greek but Drawn Egyptian: Script Changes in a Bilingual Dream Papyrus’, in </w:t>
      </w:r>
      <w:r w:rsidDel="00000000" w:rsidR="00000000" w:rsidRPr="00000000">
        <w:rPr>
          <w:i w:val="1"/>
          <w:color w:val="1f1f1f"/>
          <w:rtl w:val="0"/>
        </w:rPr>
        <w:t xml:space="preserve">Writing as Material Practice: Substance, Surface and Medium, </w:t>
      </w:r>
      <w:r w:rsidDel="00000000" w:rsidR="00000000" w:rsidRPr="00000000">
        <w:rPr>
          <w:color w:val="1f1f1f"/>
          <w:rtl w:val="0"/>
        </w:rPr>
        <w:t xml:space="preserve">ed. by</w:t>
      </w:r>
      <w:r w:rsidDel="00000000" w:rsidR="00000000" w:rsidRPr="00000000">
        <w:rPr>
          <w:i w:val="1"/>
          <w:color w:val="1f1f1f"/>
          <w:rtl w:val="0"/>
        </w:rPr>
        <w:t xml:space="preserve"> </w:t>
      </w:r>
      <w:r w:rsidDel="00000000" w:rsidR="00000000" w:rsidRPr="00000000">
        <w:rPr>
          <w:color w:val="1f1f1f"/>
          <w:rtl w:val="0"/>
        </w:rPr>
        <w:t xml:space="preserve">Kathyrn E.</w:t>
      </w:r>
      <w:r w:rsidDel="00000000" w:rsidR="00000000" w:rsidRPr="00000000">
        <w:rPr>
          <w:i w:val="1"/>
          <w:color w:val="1f1f1f"/>
          <w:rtl w:val="0"/>
        </w:rPr>
        <w:t xml:space="preserve"> </w:t>
      </w:r>
      <w:r w:rsidDel="00000000" w:rsidR="00000000" w:rsidRPr="00000000">
        <w:rPr>
          <w:color w:val="1f1f1f"/>
          <w:rtl w:val="0"/>
        </w:rPr>
        <w:t xml:space="preserve">Piquette and Ruth D. Whitehouse (London: Ubiquity Press, 2013), pp. 239–52.</w:t>
      </w:r>
    </w:p>
    <w:p w:rsidR="00000000" w:rsidDel="00000000" w:rsidP="00000000" w:rsidRDefault="00000000" w:rsidRPr="00000000" w14:paraId="00000149">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4A">
      <w:pPr>
        <w:shd w:fill="ffffff" w:val="clear"/>
        <w:spacing w:after="20" w:line="240" w:lineRule="auto"/>
        <w:rPr>
          <w:color w:val="1f1f1f"/>
        </w:rPr>
      </w:pPr>
      <w:r w:rsidDel="00000000" w:rsidR="00000000" w:rsidRPr="00000000">
        <w:rPr>
          <w:color w:val="1f1f1f"/>
          <w:rtl w:val="0"/>
        </w:rPr>
        <w:t xml:space="preserve">LiDonnici, Lynn R., ‘Compositional Patterns in PGM IV (= P.Bibl.Nat.Suppl. gr. no. 574)’, </w:t>
      </w:r>
      <w:r w:rsidDel="00000000" w:rsidR="00000000" w:rsidRPr="00000000">
        <w:rPr>
          <w:i w:val="1"/>
          <w:color w:val="1f1f1f"/>
          <w:rtl w:val="0"/>
        </w:rPr>
        <w:t xml:space="preserve">Bulletin of the American Society of Papyrologists</w:t>
      </w:r>
      <w:r w:rsidDel="00000000" w:rsidR="00000000" w:rsidRPr="00000000">
        <w:rPr>
          <w:color w:val="1f1f1f"/>
          <w:rtl w:val="0"/>
        </w:rPr>
        <w:t xml:space="preserve">, 40 (2003), pp. 141–78.</w:t>
      </w:r>
    </w:p>
    <w:p w:rsidR="00000000" w:rsidDel="00000000" w:rsidP="00000000" w:rsidRDefault="00000000" w:rsidRPr="00000000" w14:paraId="0000014B">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4C">
      <w:pPr>
        <w:ind w:right="-334"/>
        <w:rPr>
          <w:color w:val="1f1f1f"/>
        </w:rPr>
      </w:pPr>
      <w:r w:rsidDel="00000000" w:rsidR="00000000" w:rsidRPr="00000000">
        <w:rPr>
          <w:rtl w:val="0"/>
        </w:rPr>
        <w:t xml:space="preserve">Loisel, Anne-Caroline Rendu, ‘The Voice of Mighty Copper in a Mesopotamian Exorcistic Ritual’, in </w:t>
      </w:r>
      <w:r w:rsidDel="00000000" w:rsidR="00000000" w:rsidRPr="00000000">
        <w:rPr>
          <w:i w:val="1"/>
          <w:color w:val="070726"/>
          <w:rtl w:val="0"/>
        </w:rPr>
        <w:t xml:space="preserve">The Materiality of Divine Agency, </w:t>
      </w:r>
      <w:r w:rsidDel="00000000" w:rsidR="00000000" w:rsidRPr="00000000">
        <w:rPr>
          <w:color w:val="070726"/>
          <w:rtl w:val="0"/>
        </w:rPr>
        <w:t xml:space="preserve">ed. by Beate Pongratz-Leisten and Karen Sonik (Berlin and Boston: De Gruyter, 2015), pp. 211–27.</w:t>
      </w:r>
      <w:r w:rsidDel="00000000" w:rsidR="00000000" w:rsidRPr="00000000">
        <w:rPr>
          <w:rtl w:val="0"/>
        </w:rPr>
      </w:r>
    </w:p>
    <w:p w:rsidR="00000000" w:rsidDel="00000000" w:rsidP="00000000" w:rsidRDefault="00000000" w:rsidRPr="00000000" w14:paraId="0000014D">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4E">
      <w:pPr>
        <w:shd w:fill="ffffff" w:val="clear"/>
        <w:spacing w:after="20" w:line="240" w:lineRule="auto"/>
        <w:rPr>
          <w:color w:val="1f1f1f"/>
        </w:rPr>
      </w:pPr>
      <w:r w:rsidDel="00000000" w:rsidR="00000000" w:rsidRPr="00000000">
        <w:rPr>
          <w:color w:val="1f1f1f"/>
          <w:rtl w:val="0"/>
        </w:rPr>
        <w:t xml:space="preserve">Lucarelli, Rita, ‘Demonology during the Late Pharaonic and Greco-Roman Periods in Egypt’, </w:t>
      </w:r>
      <w:r w:rsidDel="00000000" w:rsidR="00000000" w:rsidRPr="00000000">
        <w:rPr>
          <w:i w:val="1"/>
          <w:color w:val="1f1f1f"/>
          <w:rtl w:val="0"/>
        </w:rPr>
        <w:t xml:space="preserve">Journal of Ancient Near Eastern Religions</w:t>
      </w:r>
      <w:r w:rsidDel="00000000" w:rsidR="00000000" w:rsidRPr="00000000">
        <w:rPr>
          <w:color w:val="1f1f1f"/>
          <w:rtl w:val="0"/>
        </w:rPr>
        <w:t xml:space="preserve">, 11 (2011), pp. 109–25.</w:t>
      </w:r>
    </w:p>
    <w:p w:rsidR="00000000" w:rsidDel="00000000" w:rsidP="00000000" w:rsidRDefault="00000000" w:rsidRPr="00000000" w14:paraId="0000014F">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50">
      <w:pPr>
        <w:shd w:fill="ffffff" w:val="clear"/>
        <w:spacing w:after="20" w:line="240" w:lineRule="auto"/>
        <w:rPr>
          <w:color w:val="1155cc"/>
          <w:u w:val="single"/>
        </w:rPr>
      </w:pPr>
      <w:r w:rsidDel="00000000" w:rsidR="00000000" w:rsidRPr="00000000">
        <w:rPr>
          <w:color w:val="141413"/>
          <w:rtl w:val="0"/>
        </w:rPr>
        <w:t xml:space="preserve">Martinez, David G., </w:t>
      </w:r>
      <w:r w:rsidDel="00000000" w:rsidR="00000000" w:rsidRPr="00000000">
        <w:rPr>
          <w:i w:val="1"/>
          <w:color w:val="141413"/>
          <w:rtl w:val="0"/>
        </w:rPr>
        <w:t xml:space="preserve">P. Michigan XVI: </w:t>
      </w:r>
      <w:r w:rsidDel="00000000" w:rsidR="00000000" w:rsidRPr="00000000">
        <w:rPr>
          <w:i w:val="1"/>
          <w:color w:val="141413"/>
          <w:rtl w:val="0"/>
        </w:rPr>
        <w:t xml:space="preserve">A Greek Love Charm from Egypt (P. Mich. 757)</w:t>
      </w:r>
      <w:r w:rsidDel="00000000" w:rsidR="00000000" w:rsidRPr="00000000">
        <w:rPr>
          <w:color w:val="141413"/>
          <w:rtl w:val="0"/>
        </w:rPr>
        <w:t xml:space="preserve"> (Atlanta: Scholars Press, 1991).</w:t>
      </w:r>
      <w:r w:rsidDel="00000000" w:rsidR="00000000" w:rsidRPr="00000000">
        <w:rPr>
          <w:rtl w:val="0"/>
        </w:rPr>
      </w:r>
    </w:p>
    <w:p w:rsidR="00000000" w:rsidDel="00000000" w:rsidP="00000000" w:rsidRDefault="00000000" w:rsidRPr="00000000" w14:paraId="00000151">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52">
      <w:pPr>
        <w:shd w:fill="ffffff" w:val="clear"/>
        <w:spacing w:after="20" w:line="240" w:lineRule="auto"/>
        <w:rPr>
          <w:color w:val="1f1f1f"/>
        </w:rPr>
      </w:pPr>
      <w:r w:rsidDel="00000000" w:rsidR="00000000" w:rsidRPr="00000000">
        <w:rPr>
          <w:color w:val="1f1f1f"/>
          <w:rtl w:val="0"/>
        </w:rPr>
        <w:t xml:space="preserve">Merencki, Paul, Meyer, Marvin, </w:t>
      </w:r>
      <w:r w:rsidDel="00000000" w:rsidR="00000000" w:rsidRPr="00000000">
        <w:rPr>
          <w:i w:val="1"/>
          <w:color w:val="1f1f1f"/>
          <w:rtl w:val="0"/>
        </w:rPr>
        <w:t xml:space="preserve">Magic and Ritual in the Ancient World</w:t>
      </w:r>
      <w:r w:rsidDel="00000000" w:rsidR="00000000" w:rsidRPr="00000000">
        <w:rPr>
          <w:color w:val="1f1f1f"/>
          <w:rtl w:val="0"/>
        </w:rPr>
        <w:t xml:space="preserve"> (London and Leiden: Brill, 2002).</w:t>
      </w:r>
    </w:p>
    <w:p w:rsidR="00000000" w:rsidDel="00000000" w:rsidP="00000000" w:rsidRDefault="00000000" w:rsidRPr="00000000" w14:paraId="00000153">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54">
      <w:pPr>
        <w:shd w:fill="ffffff" w:val="clear"/>
        <w:spacing w:after="20" w:line="240" w:lineRule="auto"/>
        <w:rPr>
          <w:color w:val="1f1f1f"/>
        </w:rPr>
      </w:pPr>
      <w:r w:rsidDel="00000000" w:rsidR="00000000" w:rsidRPr="00000000">
        <w:rPr>
          <w:color w:val="1f1f1f"/>
          <w:rtl w:val="0"/>
        </w:rPr>
        <w:t xml:space="preserve">MHH, </w:t>
      </w:r>
      <w:r w:rsidDel="00000000" w:rsidR="00000000" w:rsidRPr="00000000">
        <w:rPr>
          <w:i w:val="1"/>
          <w:color w:val="1f1f1f"/>
          <w:rtl w:val="0"/>
        </w:rPr>
        <w:t xml:space="preserve">A Wondrous Spell: Necromancy in the PGM</w:t>
      </w:r>
      <w:r w:rsidDel="00000000" w:rsidR="00000000" w:rsidRPr="00000000">
        <w:rPr>
          <w:color w:val="1f1f1f"/>
          <w:rtl w:val="0"/>
        </w:rPr>
        <w:t xml:space="preserve"> (Keighley: Hadean Press, 2020).</w:t>
      </w:r>
    </w:p>
    <w:p w:rsidR="00000000" w:rsidDel="00000000" w:rsidP="00000000" w:rsidRDefault="00000000" w:rsidRPr="00000000" w14:paraId="00000155">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56">
      <w:pPr>
        <w:shd w:fill="ffffff" w:val="clear"/>
        <w:spacing w:after="20" w:line="240" w:lineRule="auto"/>
        <w:rPr>
          <w:color w:val="1f1f1f"/>
        </w:rPr>
      </w:pPr>
      <w:r w:rsidDel="00000000" w:rsidR="00000000" w:rsidRPr="00000000">
        <w:rPr>
          <w:color w:val="1f1f1f"/>
          <w:rtl w:val="0"/>
        </w:rPr>
        <w:t xml:space="preserve">Ogden, Daniel, </w:t>
      </w:r>
      <w:r w:rsidDel="00000000" w:rsidR="00000000" w:rsidRPr="00000000">
        <w:rPr>
          <w:i w:val="1"/>
          <w:color w:val="1f1f1f"/>
          <w:rtl w:val="0"/>
        </w:rPr>
        <w:t xml:space="preserve">Magic, Witchcraft and Ghosts in the Greek and Roman Worlds</w:t>
      </w:r>
      <w:r w:rsidDel="00000000" w:rsidR="00000000" w:rsidRPr="00000000">
        <w:rPr>
          <w:color w:val="1f1f1f"/>
          <w:rtl w:val="0"/>
        </w:rPr>
        <w:t xml:space="preserve"> (Oxford: Oxford University Press, 2002).</w:t>
      </w:r>
    </w:p>
    <w:p w:rsidR="00000000" w:rsidDel="00000000" w:rsidP="00000000" w:rsidRDefault="00000000" w:rsidRPr="00000000" w14:paraId="00000157">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58">
      <w:pPr>
        <w:spacing w:line="276" w:lineRule="auto"/>
        <w:rPr>
          <w:color w:val="1f1f1f"/>
        </w:rPr>
      </w:pPr>
      <w:r w:rsidDel="00000000" w:rsidR="00000000" w:rsidRPr="00000000">
        <w:rPr>
          <w:rtl w:val="0"/>
        </w:rPr>
        <w:t xml:space="preserve">Otto, Bernd-Christian, ‘Towards Historicizing "Magic" in Antiquity’, </w:t>
      </w:r>
      <w:r w:rsidDel="00000000" w:rsidR="00000000" w:rsidRPr="00000000">
        <w:rPr>
          <w:i w:val="1"/>
          <w:rtl w:val="0"/>
        </w:rPr>
        <w:t xml:space="preserve">Numen</w:t>
      </w:r>
      <w:r w:rsidDel="00000000" w:rsidR="00000000" w:rsidRPr="00000000">
        <w:rPr>
          <w:rtl w:val="0"/>
        </w:rPr>
        <w:t xml:space="preserve">, 60. 2/3 (2013), pp. 308–47.</w:t>
      </w:r>
      <w:r w:rsidDel="00000000" w:rsidR="00000000" w:rsidRPr="00000000">
        <w:rPr>
          <w:rtl w:val="0"/>
        </w:rPr>
      </w:r>
    </w:p>
    <w:p w:rsidR="00000000" w:rsidDel="00000000" w:rsidP="00000000" w:rsidRDefault="00000000" w:rsidRPr="00000000" w14:paraId="00000159">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5A">
      <w:pPr>
        <w:shd w:fill="ffffff" w:val="clear"/>
        <w:spacing w:after="20" w:line="240" w:lineRule="auto"/>
        <w:rPr>
          <w:color w:val="070726"/>
          <w:highlight w:val="white"/>
        </w:rPr>
      </w:pPr>
      <w:r w:rsidDel="00000000" w:rsidR="00000000" w:rsidRPr="00000000">
        <w:rPr>
          <w:color w:val="070726"/>
          <w:highlight w:val="white"/>
          <w:rtl w:val="0"/>
        </w:rPr>
        <w:t xml:space="preserve">Pongratz–Leisten, Beate, </w:t>
      </w:r>
      <w:r w:rsidDel="00000000" w:rsidR="00000000" w:rsidRPr="00000000">
        <w:rPr>
          <w:color w:val="3a3a3a"/>
          <w:highlight w:val="white"/>
          <w:rtl w:val="0"/>
        </w:rPr>
        <w:t xml:space="preserve">Sonik, Karen, </w:t>
      </w:r>
      <w:r w:rsidDel="00000000" w:rsidR="00000000" w:rsidRPr="00000000">
        <w:rPr>
          <w:i w:val="1"/>
          <w:color w:val="070726"/>
          <w:highlight w:val="white"/>
          <w:rtl w:val="0"/>
        </w:rPr>
        <w:t xml:space="preserve">The Materiality of Divine Agency</w:t>
      </w:r>
      <w:r w:rsidDel="00000000" w:rsidR="00000000" w:rsidRPr="00000000">
        <w:rPr>
          <w:color w:val="070726"/>
          <w:highlight w:val="white"/>
          <w:rtl w:val="0"/>
        </w:rPr>
        <w:t xml:space="preserve"> (Berlin: De Gruyter, 2015).</w:t>
      </w:r>
    </w:p>
    <w:p w:rsidR="00000000" w:rsidDel="00000000" w:rsidP="00000000" w:rsidRDefault="00000000" w:rsidRPr="00000000" w14:paraId="0000015B">
      <w:pPr>
        <w:shd w:fill="ffffff" w:val="clear"/>
        <w:spacing w:after="240" w:before="240" w:lineRule="auto"/>
        <w:rPr>
          <w:color w:val="1f1f1f"/>
        </w:rPr>
      </w:pPr>
      <w:r w:rsidDel="00000000" w:rsidR="00000000" w:rsidRPr="00000000">
        <w:rPr>
          <w:color w:val="070726"/>
          <w:highlight w:val="white"/>
          <w:rtl w:val="0"/>
        </w:rPr>
        <w:t xml:space="preserve">Preisendanz, Karl, ed. and trans., </w:t>
      </w:r>
      <w:r w:rsidDel="00000000" w:rsidR="00000000" w:rsidRPr="00000000">
        <w:rPr>
          <w:i w:val="1"/>
          <w:color w:val="070726"/>
          <w:highlight w:val="white"/>
          <w:rtl w:val="0"/>
        </w:rPr>
        <w:t xml:space="preserve">Papyri Graecae Magicae: Die Griechischen Zauberpapyri</w:t>
      </w:r>
      <w:r w:rsidDel="00000000" w:rsidR="00000000" w:rsidRPr="00000000">
        <w:rPr>
          <w:color w:val="070726"/>
          <w:highlight w:val="white"/>
          <w:rtl w:val="0"/>
        </w:rPr>
        <w:t xml:space="preserve"> (Stuttgart: Teubner, 1973–4).</w:t>
      </w:r>
      <w:r w:rsidDel="00000000" w:rsidR="00000000" w:rsidRPr="00000000">
        <w:rPr>
          <w:rtl w:val="0"/>
        </w:rPr>
      </w:r>
    </w:p>
    <w:p w:rsidR="00000000" w:rsidDel="00000000" w:rsidP="00000000" w:rsidRDefault="00000000" w:rsidRPr="00000000" w14:paraId="0000015C">
      <w:pPr>
        <w:shd w:fill="ffffff" w:val="clear"/>
        <w:spacing w:after="240" w:before="240" w:lineRule="auto"/>
        <w:rPr>
          <w:color w:val="1f1f1f"/>
        </w:rPr>
      </w:pPr>
      <w:r w:rsidDel="00000000" w:rsidR="00000000" w:rsidRPr="00000000">
        <w:rPr>
          <w:color w:val="1f1f1f"/>
          <w:rtl w:val="0"/>
        </w:rPr>
        <w:t xml:space="preserve">Raven, Maarten J., ‘Wax in Egyptian Magic and Symbolism’, </w:t>
      </w:r>
      <w:r w:rsidDel="00000000" w:rsidR="00000000" w:rsidRPr="00000000">
        <w:rPr>
          <w:i w:val="1"/>
          <w:color w:val="1f1f1f"/>
          <w:rtl w:val="0"/>
        </w:rPr>
        <w:t xml:space="preserve">OMRO, </w:t>
      </w:r>
      <w:r w:rsidDel="00000000" w:rsidR="00000000" w:rsidRPr="00000000">
        <w:rPr>
          <w:color w:val="1f1f1f"/>
          <w:rtl w:val="0"/>
        </w:rPr>
        <w:t xml:space="preserve">64 (1983), pp. 7–47.</w:t>
      </w:r>
    </w:p>
    <w:p w:rsidR="00000000" w:rsidDel="00000000" w:rsidP="00000000" w:rsidRDefault="00000000" w:rsidRPr="00000000" w14:paraId="0000015D">
      <w:pPr>
        <w:shd w:fill="ffffff" w:val="clear"/>
        <w:spacing w:after="20" w:line="240" w:lineRule="auto"/>
        <w:rPr>
          <w:color w:val="1f1f1f"/>
        </w:rPr>
      </w:pPr>
      <w:r w:rsidDel="00000000" w:rsidR="00000000" w:rsidRPr="00000000">
        <w:rPr>
          <w:color w:val="1f1f1f"/>
          <w:rtl w:val="0"/>
        </w:rPr>
        <w:t xml:space="preserve">Riggs, Christina, </w:t>
      </w:r>
      <w:r w:rsidDel="00000000" w:rsidR="00000000" w:rsidRPr="00000000">
        <w:rPr>
          <w:i w:val="1"/>
          <w:color w:val="1f1f1f"/>
          <w:rtl w:val="0"/>
        </w:rPr>
        <w:t xml:space="preserve">The Oxford Handbook of Roman Egypt</w:t>
      </w:r>
      <w:r w:rsidDel="00000000" w:rsidR="00000000" w:rsidRPr="00000000">
        <w:rPr>
          <w:color w:val="1f1f1f"/>
          <w:rtl w:val="0"/>
        </w:rPr>
        <w:t xml:space="preserve"> (Oxford: Oxford University Press, 2012).</w:t>
      </w:r>
    </w:p>
    <w:p w:rsidR="00000000" w:rsidDel="00000000" w:rsidP="00000000" w:rsidRDefault="00000000" w:rsidRPr="00000000" w14:paraId="0000015E">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5F">
      <w:pPr>
        <w:shd w:fill="ffffff" w:val="clear"/>
        <w:spacing w:after="20" w:line="240" w:lineRule="auto"/>
        <w:rPr>
          <w:color w:val="1f1f1f"/>
        </w:rPr>
      </w:pPr>
      <w:r w:rsidDel="00000000" w:rsidR="00000000" w:rsidRPr="00000000">
        <w:rPr>
          <w:color w:val="1f1f1f"/>
          <w:rtl w:val="0"/>
        </w:rPr>
        <w:t xml:space="preserve">Ritner, Robert K., </w:t>
      </w:r>
      <w:r w:rsidDel="00000000" w:rsidR="00000000" w:rsidRPr="00000000">
        <w:rPr>
          <w:i w:val="1"/>
          <w:color w:val="1f1f1f"/>
          <w:rtl w:val="0"/>
        </w:rPr>
        <w:t xml:space="preserve">The Mechanics of Ancient Egyptian Magical Practice</w:t>
      </w:r>
      <w:r w:rsidDel="00000000" w:rsidR="00000000" w:rsidRPr="00000000">
        <w:rPr>
          <w:color w:val="1f1f1f"/>
          <w:rtl w:val="0"/>
        </w:rPr>
        <w:t xml:space="preserve"> (Chicago: The Oriental Institute, 2008).</w:t>
      </w:r>
    </w:p>
    <w:p w:rsidR="00000000" w:rsidDel="00000000" w:rsidP="00000000" w:rsidRDefault="00000000" w:rsidRPr="00000000" w14:paraId="00000160">
      <w:pPr>
        <w:shd w:fill="ffffff" w:val="clear"/>
        <w:spacing w:after="20" w:line="240" w:lineRule="auto"/>
        <w:rPr>
          <w:color w:val="1f1f1f"/>
        </w:rPr>
      </w:pPr>
      <w:r w:rsidDel="00000000" w:rsidR="00000000" w:rsidRPr="00000000">
        <w:rPr>
          <w:color w:val="1f1f1f"/>
          <w:rtl w:val="0"/>
        </w:rPr>
        <w:t xml:space="preserve">Swartz, Michael D., ‘Jewish Magic in Late Antiquity’, in </w:t>
      </w:r>
      <w:r w:rsidDel="00000000" w:rsidR="00000000" w:rsidRPr="00000000">
        <w:rPr>
          <w:i w:val="1"/>
          <w:color w:val="1f1f1f"/>
          <w:rtl w:val="0"/>
        </w:rPr>
        <w:t xml:space="preserve">The Cambridge History of Judaism, Vol. 4: The Late Roman-Rabbinic Period</w:t>
      </w:r>
      <w:r w:rsidDel="00000000" w:rsidR="00000000" w:rsidRPr="00000000">
        <w:rPr>
          <w:color w:val="1f1f1f"/>
          <w:rtl w:val="0"/>
        </w:rPr>
        <w:t xml:space="preserve">, ed. by Steven T. Katz (</w:t>
      </w:r>
      <w:r w:rsidDel="00000000" w:rsidR="00000000" w:rsidRPr="00000000">
        <w:rPr>
          <w:highlight w:val="white"/>
          <w:rtl w:val="0"/>
        </w:rPr>
        <w:t xml:space="preserve">Cambridge: Cambridge University Press, 2006), pp. 699–720.</w:t>
      </w:r>
      <w:r w:rsidDel="00000000" w:rsidR="00000000" w:rsidRPr="00000000">
        <w:rPr>
          <w:rtl w:val="0"/>
        </w:rPr>
      </w:r>
    </w:p>
    <w:p w:rsidR="00000000" w:rsidDel="00000000" w:rsidP="00000000" w:rsidRDefault="00000000" w:rsidRPr="00000000" w14:paraId="00000161">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62">
      <w:pPr>
        <w:shd w:fill="ffffff" w:val="clear"/>
        <w:spacing w:after="240" w:line="240" w:lineRule="auto"/>
        <w:rPr/>
      </w:pPr>
      <w:r w:rsidDel="00000000" w:rsidR="00000000" w:rsidRPr="00000000">
        <w:rPr>
          <w:color w:val="272c31"/>
          <w:rtl w:val="0"/>
        </w:rPr>
        <w:t xml:space="preserve">Tovar, Sofía Torollas, ‘</w:t>
      </w:r>
      <w:r w:rsidDel="00000000" w:rsidR="00000000" w:rsidRPr="00000000">
        <w:rPr>
          <w:rtl w:val="0"/>
        </w:rPr>
        <w:t xml:space="preserve">Compilers of Magic: Greco-Egyptian Magical Papyri Through the Eyes of Their Scribes’,</w:t>
      </w:r>
      <w:r w:rsidDel="00000000" w:rsidR="00000000" w:rsidRPr="00000000">
        <w:rPr>
          <w:i w:val="1"/>
          <w:rtl w:val="0"/>
        </w:rPr>
        <w:t xml:space="preserve"> </w:t>
      </w:r>
      <w:r w:rsidDel="00000000" w:rsidR="00000000" w:rsidRPr="00000000">
        <w:rPr>
          <w:i w:val="1"/>
          <w:color w:val="343a40"/>
          <w:highlight w:val="white"/>
          <w:rtl w:val="0"/>
        </w:rPr>
        <w:t xml:space="preserve">Proceedings of the American Philosophical Society</w:t>
      </w:r>
      <w:r w:rsidDel="00000000" w:rsidR="00000000" w:rsidRPr="00000000">
        <w:rPr>
          <w:color w:val="343a40"/>
          <w:highlight w:val="white"/>
          <w:rtl w:val="0"/>
        </w:rPr>
        <w:t xml:space="preserve">, 165.1 (2024), pp. 44–53. &lt;https://dx.doi.org/10.1353/pro.2024.a946782.&gt;</w:t>
      </w:r>
      <w:r w:rsidDel="00000000" w:rsidR="00000000" w:rsidRPr="00000000">
        <w:rPr>
          <w:rtl w:val="0"/>
        </w:rPr>
      </w:r>
    </w:p>
    <w:p w:rsidR="00000000" w:rsidDel="00000000" w:rsidP="00000000" w:rsidRDefault="00000000" w:rsidRPr="00000000" w14:paraId="00000163">
      <w:pPr>
        <w:shd w:fill="ffffff" w:val="clear"/>
        <w:spacing w:after="240" w:line="240" w:lineRule="auto"/>
        <w:rPr>
          <w:color w:val="272c31"/>
        </w:rPr>
      </w:pPr>
      <w:r w:rsidDel="00000000" w:rsidR="00000000" w:rsidRPr="00000000">
        <w:rPr>
          <w:color w:val="272c31"/>
          <w:rtl w:val="0"/>
        </w:rPr>
        <w:t xml:space="preserve">Turner, Victor, ‘Betwixt and Between: The Liminal Period in</w:t>
      </w:r>
      <w:r w:rsidDel="00000000" w:rsidR="00000000" w:rsidRPr="00000000">
        <w:rPr>
          <w:i w:val="1"/>
          <w:color w:val="272c31"/>
          <w:rtl w:val="0"/>
        </w:rPr>
        <w:t xml:space="preserve"> Rites de Passage</w:t>
      </w:r>
      <w:r w:rsidDel="00000000" w:rsidR="00000000" w:rsidRPr="00000000">
        <w:rPr>
          <w:color w:val="272c31"/>
          <w:rtl w:val="0"/>
        </w:rPr>
        <w:t xml:space="preserve">’, in </w:t>
      </w:r>
      <w:r w:rsidDel="00000000" w:rsidR="00000000" w:rsidRPr="00000000">
        <w:rPr>
          <w:i w:val="1"/>
          <w:color w:val="272c31"/>
          <w:rtl w:val="0"/>
        </w:rPr>
        <w:t xml:space="preserve">The Forest of Symbols: Aspects of Ndembu Ritual</w:t>
      </w:r>
      <w:r w:rsidDel="00000000" w:rsidR="00000000" w:rsidRPr="00000000">
        <w:rPr>
          <w:color w:val="272c31"/>
          <w:rtl w:val="0"/>
        </w:rPr>
        <w:t xml:space="preserve"> (Ithaca and London: Cornell University Press, 1967), pp. 338–47.</w:t>
      </w:r>
    </w:p>
    <w:p w:rsidR="00000000" w:rsidDel="00000000" w:rsidP="00000000" w:rsidRDefault="00000000" w:rsidRPr="00000000" w14:paraId="00000164">
      <w:pPr>
        <w:shd w:fill="ffffff" w:val="clear"/>
        <w:spacing w:after="240" w:before="240" w:lineRule="auto"/>
        <w:rPr>
          <w:color w:val="272c31"/>
        </w:rPr>
      </w:pPr>
      <w:r w:rsidDel="00000000" w:rsidR="00000000" w:rsidRPr="00000000">
        <w:rPr>
          <w:color w:val="2a2a2a"/>
          <w:rtl w:val="0"/>
        </w:rPr>
        <w:t xml:space="preserve">Vandorpe, Katelijn ‘Identity’, in </w:t>
      </w:r>
      <w:r w:rsidDel="00000000" w:rsidR="00000000" w:rsidRPr="00000000">
        <w:rPr>
          <w:i w:val="1"/>
          <w:color w:val="1f1f1f"/>
          <w:rtl w:val="0"/>
        </w:rPr>
        <w:t xml:space="preserve">The Oxford Handbook of Roman Egypt, </w:t>
      </w:r>
      <w:r w:rsidDel="00000000" w:rsidR="00000000" w:rsidRPr="00000000">
        <w:rPr>
          <w:color w:val="1f1f1f"/>
          <w:rtl w:val="0"/>
        </w:rPr>
        <w:t xml:space="preserve">ed. by Chrisitna Riggs (Oxford: Oxford University Press, 2012), pp. </w:t>
      </w:r>
      <w:r w:rsidDel="00000000" w:rsidR="00000000" w:rsidRPr="00000000">
        <w:rPr>
          <w:color w:val="2a2a2a"/>
          <w:rtl w:val="0"/>
        </w:rPr>
        <w:t xml:space="preserve">260–76.</w:t>
      </w:r>
      <w:r w:rsidDel="00000000" w:rsidR="00000000" w:rsidRPr="00000000">
        <w:rPr>
          <w:rtl w:val="0"/>
        </w:rPr>
      </w:r>
    </w:p>
    <w:p w:rsidR="00000000" w:rsidDel="00000000" w:rsidP="00000000" w:rsidRDefault="00000000" w:rsidRPr="00000000" w14:paraId="00000165">
      <w:pPr>
        <w:shd w:fill="ffffff" w:val="clear"/>
        <w:spacing w:after="240" w:line="240" w:lineRule="auto"/>
        <w:rPr>
          <w:color w:val="272c31"/>
        </w:rPr>
      </w:pPr>
      <w:r w:rsidDel="00000000" w:rsidR="00000000" w:rsidRPr="00000000">
        <w:rPr>
          <w:color w:val="272c31"/>
          <w:rtl w:val="0"/>
        </w:rPr>
        <w:t xml:space="preserve">Versnel, H.S., ‘The Poetics of the Magic Charm: An Essay in the Power of Words’, in </w:t>
      </w:r>
      <w:r w:rsidDel="00000000" w:rsidR="00000000" w:rsidRPr="00000000">
        <w:rPr>
          <w:i w:val="1"/>
          <w:color w:val="272c31"/>
          <w:rtl w:val="0"/>
        </w:rPr>
        <w:t xml:space="preserve">Magic and Ritual in the Ancient World</w:t>
      </w:r>
      <w:r w:rsidDel="00000000" w:rsidR="00000000" w:rsidRPr="00000000">
        <w:rPr>
          <w:color w:val="272c31"/>
          <w:rtl w:val="0"/>
        </w:rPr>
        <w:t xml:space="preserve">, ed. by </w:t>
      </w:r>
      <w:r w:rsidDel="00000000" w:rsidR="00000000" w:rsidRPr="00000000">
        <w:rPr>
          <w:color w:val="272c31"/>
          <w:rtl w:val="0"/>
        </w:rPr>
        <w:t xml:space="preserve">Paul Mirecki and Marvin Meyer (London and Leiden: Brill, 2002), pp. 105–58.</w:t>
      </w:r>
      <w:r w:rsidDel="00000000" w:rsidR="00000000" w:rsidRPr="00000000">
        <w:rPr>
          <w:rtl w:val="0"/>
        </w:rPr>
      </w:r>
    </w:p>
    <w:p w:rsidR="00000000" w:rsidDel="00000000" w:rsidP="00000000" w:rsidRDefault="00000000" w:rsidRPr="00000000" w14:paraId="00000166">
      <w:pPr>
        <w:shd w:fill="ffffff" w:val="clear"/>
        <w:spacing w:after="20" w:line="240" w:lineRule="auto"/>
        <w:rPr>
          <w:color w:val="1f1f1f"/>
        </w:rPr>
      </w:pPr>
      <w:r w:rsidDel="00000000" w:rsidR="00000000" w:rsidRPr="00000000">
        <w:rPr>
          <w:rtl w:val="0"/>
        </w:rPr>
      </w:r>
    </w:p>
    <w:p w:rsidR="00000000" w:rsidDel="00000000" w:rsidP="00000000" w:rsidRDefault="00000000" w:rsidRPr="00000000" w14:paraId="00000167">
      <w:pPr>
        <w:shd w:fill="ffffff" w:val="clear"/>
        <w:spacing w:after="20" w:line="276" w:lineRule="auto"/>
        <w:rPr>
          <w:b w:val="1"/>
          <w:color w:val="1f1f1f"/>
          <w:sz w:val="21"/>
          <w:szCs w:val="21"/>
        </w:rPr>
      </w:pPr>
      <w:r w:rsidDel="00000000" w:rsidR="00000000" w:rsidRPr="00000000">
        <w:rPr>
          <w:rtl w:val="0"/>
        </w:rPr>
      </w:r>
    </w:p>
    <w:p w:rsidR="00000000" w:rsidDel="00000000" w:rsidP="00000000" w:rsidRDefault="00000000" w:rsidRPr="00000000" w14:paraId="00000168">
      <w:pPr>
        <w:shd w:fill="ffffff" w:val="clear"/>
        <w:spacing w:after="20" w:line="276" w:lineRule="auto"/>
        <w:rPr>
          <w:b w:val="1"/>
          <w:color w:val="1f1f1f"/>
        </w:rPr>
      </w:pPr>
      <w:r w:rsidDel="00000000" w:rsidR="00000000" w:rsidRPr="00000000">
        <w:rPr>
          <w:rtl w:val="0"/>
        </w:rPr>
      </w:r>
    </w:p>
    <w:p w:rsidR="00000000" w:rsidDel="00000000" w:rsidP="00000000" w:rsidRDefault="00000000" w:rsidRPr="00000000" w14:paraId="00000169">
      <w:pPr>
        <w:shd w:fill="ffffff" w:val="clear"/>
        <w:spacing w:after="20" w:line="276" w:lineRule="auto"/>
        <w:rPr>
          <w:color w:val="1f1f1f"/>
        </w:rPr>
      </w:pPr>
      <w:r w:rsidDel="00000000" w:rsidR="00000000" w:rsidRPr="00000000">
        <w:rPr>
          <w:rtl w:val="0"/>
        </w:rPr>
      </w:r>
    </w:p>
    <w:p w:rsidR="00000000" w:rsidDel="00000000" w:rsidP="00000000" w:rsidRDefault="00000000" w:rsidRPr="00000000" w14:paraId="0000016A">
      <w:pPr>
        <w:shd w:fill="ffffff" w:val="clear"/>
        <w:spacing w:after="20" w:line="276" w:lineRule="auto"/>
        <w:rPr>
          <w:color w:val="1f1f1f"/>
          <w:highlight w:val="white"/>
        </w:rPr>
      </w:pPr>
      <w:r w:rsidDel="00000000" w:rsidR="00000000" w:rsidRPr="00000000">
        <w:rPr>
          <w:rtl w:val="0"/>
        </w:rPr>
      </w:r>
    </w:p>
    <w:p w:rsidR="00000000" w:rsidDel="00000000" w:rsidP="00000000" w:rsidRDefault="00000000" w:rsidRPr="00000000" w14:paraId="0000016B">
      <w:pPr>
        <w:spacing w:after="20" w:line="276" w:lineRule="auto"/>
        <w:rPr>
          <w:b w:val="1"/>
          <w:color w:val="141413"/>
          <w:sz w:val="21"/>
          <w:szCs w:val="21"/>
        </w:rPr>
      </w:pPr>
      <w:r w:rsidDel="00000000" w:rsidR="00000000" w:rsidRPr="00000000">
        <w:rPr>
          <w:rtl w:val="0"/>
        </w:rPr>
      </w:r>
    </w:p>
    <w:p w:rsidR="00000000" w:rsidDel="00000000" w:rsidP="00000000" w:rsidRDefault="00000000" w:rsidRPr="00000000" w14:paraId="0000016C">
      <w:pPr>
        <w:spacing w:after="20" w:line="276" w:lineRule="auto"/>
        <w:rPr>
          <w:color w:val="141413"/>
          <w:sz w:val="21"/>
          <w:szCs w:val="21"/>
        </w:rPr>
      </w:pPr>
      <w:r w:rsidDel="00000000" w:rsidR="00000000" w:rsidRPr="00000000">
        <w:rPr>
          <w:rtl w:val="0"/>
        </w:rPr>
      </w:r>
    </w:p>
    <w:p w:rsidR="00000000" w:rsidDel="00000000" w:rsidP="00000000" w:rsidRDefault="00000000" w:rsidRPr="00000000" w14:paraId="0000016D">
      <w:pPr>
        <w:spacing w:after="20" w:line="276" w:lineRule="auto"/>
        <w:rPr/>
      </w:pPr>
      <w:r w:rsidDel="00000000" w:rsidR="00000000" w:rsidRPr="00000000">
        <w:rPr>
          <w:rtl w:val="0"/>
        </w:rPr>
      </w:r>
    </w:p>
    <w:p w:rsidR="00000000" w:rsidDel="00000000" w:rsidP="00000000" w:rsidRDefault="00000000" w:rsidRPr="00000000" w14:paraId="0000016E">
      <w:pPr>
        <w:ind w:right="-334"/>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6">
      <w:pPr>
        <w:spacing w:after="20" w:line="240" w:lineRule="auto"/>
        <w:ind w:left="0" w:firstLine="0"/>
        <w:rPr/>
      </w:pPr>
      <w:r w:rsidDel="00000000" w:rsidR="00000000" w:rsidRPr="00000000">
        <w:rPr>
          <w:rtl w:val="0"/>
        </w:rPr>
      </w:r>
    </w:p>
    <w:sectPr>
      <w:headerReference r:id="rId9" w:type="default"/>
      <w:foot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Gungsuh"/>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8">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rebuchet MS" w:cs="Trebuchet MS" w:eastAsia="Trebuchet MS" w:hAnsi="Trebuchet MS"/>
        <w:b w:val="0"/>
        <w:i w:val="0"/>
        <w:smallCaps w:val="0"/>
        <w:strike w:val="0"/>
        <w:color w:val="000000"/>
        <w:sz w:val="18"/>
        <w:szCs w:val="18"/>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18"/>
        <w:szCs w:val="18"/>
        <w:u w:val="none"/>
        <w:shd w:fill="auto" w:val="clear"/>
        <w:vertAlign w:val="baseline"/>
        <w:rtl w:val="0"/>
      </w:rPr>
      <w:t xml:space="preserve"> </w:t>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179">
      <w:pPr>
        <w:ind w:left="0" w:firstLine="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William M. Brashear.</w:t>
      </w:r>
      <w:r w:rsidDel="00000000" w:rsidR="00000000" w:rsidRPr="00000000">
        <w:rPr>
          <w:i w:val="1"/>
          <w:sz w:val="20"/>
          <w:szCs w:val="20"/>
          <w:rtl w:val="0"/>
        </w:rPr>
        <w:t xml:space="preserve">,</w:t>
      </w:r>
      <w:r w:rsidDel="00000000" w:rsidR="00000000" w:rsidRPr="00000000">
        <w:rPr>
          <w:sz w:val="20"/>
          <w:szCs w:val="20"/>
          <w:rtl w:val="0"/>
        </w:rPr>
        <w:t xml:space="preserve">‘The Greek Magical Papyri: An Introduction and Survey; Annotated Bibliography</w:t>
      </w:r>
    </w:p>
    <w:p w:rsidR="00000000" w:rsidDel="00000000" w:rsidP="00000000" w:rsidRDefault="00000000" w:rsidRPr="00000000" w14:paraId="0000017A">
      <w:pPr>
        <w:ind w:left="0" w:firstLine="0"/>
        <w:rPr>
          <w:sz w:val="20"/>
          <w:szCs w:val="20"/>
        </w:rPr>
      </w:pPr>
      <w:r w:rsidDel="00000000" w:rsidR="00000000" w:rsidRPr="00000000">
        <w:rPr>
          <w:sz w:val="20"/>
          <w:szCs w:val="20"/>
          <w:rtl w:val="0"/>
        </w:rPr>
        <w:t xml:space="preserve"> </w:t>
        <w:tab/>
        <w:t xml:space="preserve">(1928–1994)’, </w:t>
      </w:r>
      <w:r w:rsidDel="00000000" w:rsidR="00000000" w:rsidRPr="00000000">
        <w:rPr>
          <w:i w:val="1"/>
          <w:color w:val="202122"/>
          <w:sz w:val="20"/>
          <w:szCs w:val="20"/>
          <w:rtl w:val="0"/>
        </w:rPr>
        <w:t xml:space="preserve">Aufstieg und Niedergang der römischen Welt</w:t>
      </w:r>
      <w:r w:rsidDel="00000000" w:rsidR="00000000" w:rsidRPr="00000000">
        <w:rPr>
          <w:i w:val="1"/>
          <w:color w:val="333333"/>
          <w:sz w:val="20"/>
          <w:szCs w:val="20"/>
          <w:highlight w:val="white"/>
          <w:rtl w:val="0"/>
        </w:rPr>
        <w:t xml:space="preserve"> II</w:t>
      </w:r>
      <w:r w:rsidDel="00000000" w:rsidR="00000000" w:rsidRPr="00000000">
        <w:rPr>
          <w:sz w:val="20"/>
          <w:szCs w:val="20"/>
          <w:rtl w:val="0"/>
        </w:rPr>
        <w:t xml:space="preserve">, 18.5 (1995), pp. 3380–3684 (pp. </w:t>
      </w:r>
    </w:p>
    <w:p w:rsidR="00000000" w:rsidDel="00000000" w:rsidP="00000000" w:rsidRDefault="00000000" w:rsidRPr="00000000" w14:paraId="0000017B">
      <w:pPr>
        <w:ind w:left="0" w:firstLine="720"/>
        <w:rPr>
          <w:sz w:val="20"/>
          <w:szCs w:val="20"/>
        </w:rPr>
      </w:pPr>
      <w:r w:rsidDel="00000000" w:rsidR="00000000" w:rsidRPr="00000000">
        <w:rPr>
          <w:sz w:val="20"/>
          <w:szCs w:val="20"/>
          <w:rtl w:val="0"/>
        </w:rPr>
        <w:t xml:space="preserve">3401–3403).</w:t>
      </w:r>
    </w:p>
  </w:footnote>
  <w:footnote w:id="1">
    <w:p w:rsidR="00000000" w:rsidDel="00000000" w:rsidP="00000000" w:rsidRDefault="00000000" w:rsidRPr="00000000" w14:paraId="0000017C">
      <w:pPr>
        <w:ind w:left="0" w:firstLine="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 Dieter Betz (ed.), </w:t>
      </w:r>
      <w:r w:rsidDel="00000000" w:rsidR="00000000" w:rsidRPr="00000000">
        <w:rPr>
          <w:sz w:val="20"/>
          <w:szCs w:val="20"/>
          <w:rtl w:val="0"/>
        </w:rPr>
        <w:t xml:space="preserve">Betz, Hans Dieter (ed.), </w:t>
      </w:r>
      <w:r w:rsidDel="00000000" w:rsidR="00000000" w:rsidRPr="00000000">
        <w:rPr>
          <w:i w:val="1"/>
          <w:sz w:val="20"/>
          <w:szCs w:val="20"/>
          <w:rtl w:val="0"/>
        </w:rPr>
        <w:t xml:space="preserve">The Greek Magical Papyri in Translation: Including the Demotic </w:t>
      </w:r>
    </w:p>
    <w:p w:rsidR="00000000" w:rsidDel="00000000" w:rsidP="00000000" w:rsidRDefault="00000000" w:rsidRPr="00000000" w14:paraId="0000017D">
      <w:pPr>
        <w:ind w:left="0" w:firstLine="720"/>
        <w:rPr>
          <w:sz w:val="20"/>
          <w:szCs w:val="20"/>
        </w:rPr>
      </w:pPr>
      <w:r w:rsidDel="00000000" w:rsidR="00000000" w:rsidRPr="00000000">
        <w:rPr>
          <w:i w:val="1"/>
          <w:sz w:val="20"/>
          <w:szCs w:val="20"/>
          <w:rtl w:val="0"/>
        </w:rPr>
        <w:t xml:space="preserve">Spells, </w:t>
      </w:r>
      <w:r w:rsidDel="00000000" w:rsidR="00000000" w:rsidRPr="00000000">
        <w:rPr>
          <w:sz w:val="20"/>
          <w:szCs w:val="20"/>
          <w:rtl w:val="0"/>
        </w:rPr>
        <w:t xml:space="preserve">2nd edn. (Chicago and London: Chicago University Press, 1992).</w:t>
      </w:r>
      <w:r w:rsidDel="00000000" w:rsidR="00000000" w:rsidRPr="00000000">
        <w:rPr>
          <w:rtl w:val="0"/>
        </w:rPr>
      </w:r>
    </w:p>
  </w:footnote>
  <w:footnote w:id="2">
    <w:p w:rsidR="00000000" w:rsidDel="00000000" w:rsidP="00000000" w:rsidRDefault="00000000" w:rsidRPr="00000000" w14:paraId="0000017E">
      <w:pPr>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pp. xlii–xliv.</w:t>
      </w:r>
      <w:r w:rsidDel="00000000" w:rsidR="00000000" w:rsidRPr="00000000">
        <w:rPr>
          <w:rtl w:val="0"/>
        </w:rPr>
      </w:r>
    </w:p>
  </w:footnote>
  <w:footnote w:id="4">
    <w:p w:rsidR="00000000" w:rsidDel="00000000" w:rsidP="00000000" w:rsidRDefault="00000000" w:rsidRPr="00000000" w14:paraId="0000017F">
      <w:pPr>
        <w:ind w:left="0" w:firstLine="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Dieleman, </w:t>
      </w:r>
      <w:r w:rsidDel="00000000" w:rsidR="00000000" w:rsidRPr="00000000">
        <w:rPr>
          <w:i w:val="1"/>
          <w:sz w:val="20"/>
          <w:szCs w:val="20"/>
          <w:rtl w:val="0"/>
        </w:rPr>
        <w:t xml:space="preserve">Priests, Tongues, and Rites,</w:t>
      </w:r>
      <w:r w:rsidDel="00000000" w:rsidR="00000000" w:rsidRPr="00000000">
        <w:rPr>
          <w:sz w:val="20"/>
          <w:szCs w:val="20"/>
          <w:rtl w:val="0"/>
        </w:rPr>
        <w:t xml:space="preserve"> p. 19</w:t>
      </w:r>
      <w:r w:rsidDel="00000000" w:rsidR="00000000" w:rsidRPr="00000000">
        <w:rPr>
          <w:i w:val="1"/>
          <w:sz w:val="20"/>
          <w:szCs w:val="20"/>
          <w:rtl w:val="0"/>
        </w:rPr>
        <w:t xml:space="preserve">: </w:t>
      </w:r>
      <w:r w:rsidDel="00000000" w:rsidR="00000000" w:rsidRPr="00000000">
        <w:rPr>
          <w:sz w:val="20"/>
          <w:szCs w:val="20"/>
          <w:rtl w:val="0"/>
        </w:rPr>
        <w:t xml:space="preserve">Dieleman points out that naming these collection of spells as                        </w:t>
      </w:r>
    </w:p>
    <w:p w:rsidR="00000000" w:rsidDel="00000000" w:rsidP="00000000" w:rsidRDefault="00000000" w:rsidRPr="00000000" w14:paraId="00000180">
      <w:pPr>
        <w:ind w:left="720" w:firstLine="0"/>
        <w:rPr>
          <w:sz w:val="20"/>
          <w:szCs w:val="20"/>
        </w:rPr>
      </w:pPr>
      <w:r w:rsidDel="00000000" w:rsidR="00000000" w:rsidRPr="00000000">
        <w:rPr>
          <w:i w:val="1"/>
          <w:sz w:val="20"/>
          <w:szCs w:val="20"/>
          <w:rtl w:val="0"/>
        </w:rPr>
        <w:t xml:space="preserve">Papyr</w:t>
      </w:r>
      <w:r w:rsidDel="00000000" w:rsidR="00000000" w:rsidRPr="00000000">
        <w:rPr>
          <w:i w:val="1"/>
          <w:sz w:val="20"/>
          <w:szCs w:val="20"/>
          <w:rtl w:val="0"/>
        </w:rPr>
        <w:t xml:space="preserve">i Graecae Magicae</w:t>
      </w:r>
      <w:r w:rsidDel="00000000" w:rsidR="00000000" w:rsidRPr="00000000">
        <w:rPr>
          <w:sz w:val="20"/>
          <w:szCs w:val="20"/>
          <w:rtl w:val="0"/>
        </w:rPr>
        <w:t xml:space="preserve"> obscures the variance of their content and authorship, the (probable) Theban and Roman-Egyptian milieu they were written in, and perhaps reveals a pro-Classicist bias on the part of Preisendanz— after all, Preisendanz left out all the Demotic portions of the collected papyri, although he kept in the Old Coptic ones. Fortunately, the second edition of Betz includes the Demotic spells now. However, Betz still retains </w:t>
      </w:r>
      <w:r w:rsidDel="00000000" w:rsidR="00000000" w:rsidRPr="00000000">
        <w:rPr>
          <w:i w:val="1"/>
          <w:sz w:val="20"/>
          <w:szCs w:val="20"/>
          <w:rtl w:val="0"/>
        </w:rPr>
        <w:t xml:space="preserve">The Greek Magical Papyri</w:t>
      </w:r>
      <w:r w:rsidDel="00000000" w:rsidR="00000000" w:rsidRPr="00000000">
        <w:rPr>
          <w:sz w:val="20"/>
          <w:szCs w:val="20"/>
          <w:rtl w:val="0"/>
        </w:rPr>
        <w:t xml:space="preserve"> as the central title, with </w:t>
      </w:r>
      <w:r w:rsidDel="00000000" w:rsidR="00000000" w:rsidRPr="00000000">
        <w:rPr>
          <w:i w:val="1"/>
          <w:sz w:val="20"/>
          <w:szCs w:val="20"/>
          <w:rtl w:val="0"/>
        </w:rPr>
        <w:t xml:space="preserve">Including the Demotic Spells</w:t>
      </w:r>
      <w:r w:rsidDel="00000000" w:rsidR="00000000" w:rsidRPr="00000000">
        <w:rPr>
          <w:sz w:val="20"/>
          <w:szCs w:val="20"/>
          <w:rtl w:val="0"/>
        </w:rPr>
        <w:t xml:space="preserve"> as a smaller sub-title.</w:t>
      </w:r>
    </w:p>
  </w:footnote>
  <w:footnote w:id="5">
    <w:p w:rsidR="00000000" w:rsidDel="00000000" w:rsidP="00000000" w:rsidRDefault="00000000" w:rsidRPr="00000000" w14:paraId="00000181">
      <w:pPr>
        <w:ind w:left="0" w:firstLine="0"/>
        <w:rPr>
          <w:color w:val="1f1f1f"/>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f1f1f"/>
          <w:sz w:val="20"/>
          <w:szCs w:val="20"/>
          <w:rtl w:val="0"/>
        </w:rPr>
        <w:t xml:space="preserve">LiDonnici, Lynn R., ‘Compositional Patterns in PGM IV (= P.Bibl.Nat.Suppl. gr. no. 574)’, </w:t>
      </w:r>
    </w:p>
    <w:p w:rsidR="00000000" w:rsidDel="00000000" w:rsidP="00000000" w:rsidRDefault="00000000" w:rsidRPr="00000000" w14:paraId="00000182">
      <w:pPr>
        <w:ind w:left="0" w:firstLine="720"/>
        <w:rPr>
          <w:color w:val="1f1f1f"/>
          <w:sz w:val="20"/>
          <w:szCs w:val="20"/>
        </w:rPr>
      </w:pPr>
      <w:r w:rsidDel="00000000" w:rsidR="00000000" w:rsidRPr="00000000">
        <w:rPr>
          <w:i w:val="1"/>
          <w:color w:val="1f1f1f"/>
          <w:sz w:val="20"/>
          <w:szCs w:val="20"/>
          <w:rtl w:val="0"/>
        </w:rPr>
        <w:t xml:space="preserve">Bulletin of the American Society of Papyrologists</w:t>
      </w:r>
      <w:r w:rsidDel="00000000" w:rsidR="00000000" w:rsidRPr="00000000">
        <w:rPr>
          <w:color w:val="1f1f1f"/>
          <w:sz w:val="20"/>
          <w:szCs w:val="20"/>
          <w:rtl w:val="0"/>
        </w:rPr>
        <w:t xml:space="preserve">, 40 (2003), pp. 14–78 (pp. 141–42).</w:t>
      </w:r>
    </w:p>
    <w:p w:rsidR="00000000" w:rsidDel="00000000" w:rsidP="00000000" w:rsidRDefault="00000000" w:rsidRPr="00000000" w14:paraId="00000183">
      <w:pPr>
        <w:ind w:left="720" w:firstLine="0"/>
        <w:rPr>
          <w:sz w:val="20"/>
          <w:szCs w:val="20"/>
        </w:rPr>
      </w:pPr>
      <w:r w:rsidDel="00000000" w:rsidR="00000000" w:rsidRPr="00000000">
        <w:rPr>
          <w:sz w:val="20"/>
          <w:szCs w:val="20"/>
          <w:rtl w:val="0"/>
        </w:rPr>
        <w:t xml:space="preserve">LiDonnici concisely summates various questions on the identity of the scribes. Were these spells collected for the purpose of ritual performance or simply out of academic interest?</w:t>
      </w:r>
    </w:p>
  </w:footnote>
  <w:footnote w:id="6">
    <w:p w:rsidR="00000000" w:rsidDel="00000000" w:rsidP="00000000" w:rsidRDefault="00000000" w:rsidRPr="00000000" w14:paraId="00000184">
      <w:pPr>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p. xlvi.</w:t>
      </w:r>
      <w:r w:rsidDel="00000000" w:rsidR="00000000" w:rsidRPr="00000000">
        <w:rPr>
          <w:rtl w:val="0"/>
        </w:rPr>
      </w:r>
    </w:p>
  </w:footnote>
  <w:footnote w:id="8">
    <w:p w:rsidR="00000000" w:rsidDel="00000000" w:rsidP="00000000" w:rsidRDefault="00000000" w:rsidRPr="00000000" w14:paraId="00000185">
      <w:pPr>
        <w:ind w:left="0" w:firstLine="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Dieleman, </w:t>
      </w:r>
      <w:r w:rsidDel="00000000" w:rsidR="00000000" w:rsidRPr="00000000">
        <w:rPr>
          <w:i w:val="1"/>
          <w:sz w:val="20"/>
          <w:szCs w:val="20"/>
          <w:rtl w:val="0"/>
        </w:rPr>
        <w:t xml:space="preserve">Priests, Tongues, and Rites,</w:t>
      </w:r>
      <w:r w:rsidDel="00000000" w:rsidR="00000000" w:rsidRPr="00000000">
        <w:rPr>
          <w:sz w:val="20"/>
          <w:szCs w:val="20"/>
          <w:rtl w:val="0"/>
        </w:rPr>
        <w:t xml:space="preserve"> p. 11: The debate on PGM’s authorship has unfortunately been besmirched </w:t>
      </w:r>
    </w:p>
    <w:p w:rsidR="00000000" w:rsidDel="00000000" w:rsidP="00000000" w:rsidRDefault="00000000" w:rsidRPr="00000000" w14:paraId="00000186">
      <w:pPr>
        <w:ind w:left="720" w:firstLine="0"/>
        <w:rPr>
          <w:sz w:val="20"/>
          <w:szCs w:val="20"/>
        </w:rPr>
      </w:pPr>
      <w:r w:rsidDel="00000000" w:rsidR="00000000" w:rsidRPr="00000000">
        <w:rPr>
          <w:sz w:val="20"/>
          <w:szCs w:val="20"/>
          <w:rtl w:val="0"/>
        </w:rPr>
        <w:t xml:space="preserve">by a form of ‘disciplinary allegiance’, in which Classicists selectively study the Greek script only, while Egyptologists favor the Demotic and Coptic scripts.</w:t>
      </w:r>
    </w:p>
  </w:footnote>
  <w:footnote w:id="9">
    <w:p w:rsidR="00000000" w:rsidDel="00000000" w:rsidP="00000000" w:rsidRDefault="00000000" w:rsidRPr="00000000" w14:paraId="00000187">
      <w:pPr>
        <w:ind w:left="0" w:firstLine="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72c31"/>
          <w:sz w:val="20"/>
          <w:szCs w:val="20"/>
          <w:rtl w:val="0"/>
        </w:rPr>
        <w:t xml:space="preserve">Sofía Torollas Tovar, ‘</w:t>
      </w:r>
      <w:r w:rsidDel="00000000" w:rsidR="00000000" w:rsidRPr="00000000">
        <w:rPr>
          <w:sz w:val="20"/>
          <w:szCs w:val="20"/>
          <w:rtl w:val="0"/>
        </w:rPr>
        <w:t xml:space="preserve">Compilers of Magic: Greco-Egyptian Magical Papyri Through the Eyes of Their Scribes’,</w:t>
      </w:r>
      <w:r w:rsidDel="00000000" w:rsidR="00000000" w:rsidRPr="00000000">
        <w:rPr>
          <w:i w:val="1"/>
          <w:sz w:val="20"/>
          <w:szCs w:val="20"/>
          <w:rtl w:val="0"/>
        </w:rPr>
        <w:t xml:space="preserve"> </w:t>
      </w:r>
    </w:p>
    <w:p w:rsidR="00000000" w:rsidDel="00000000" w:rsidP="00000000" w:rsidRDefault="00000000" w:rsidRPr="00000000" w14:paraId="00000188">
      <w:pPr>
        <w:ind w:left="720" w:firstLine="0"/>
        <w:rPr>
          <w:sz w:val="20"/>
          <w:szCs w:val="20"/>
        </w:rPr>
      </w:pPr>
      <w:r w:rsidDel="00000000" w:rsidR="00000000" w:rsidRPr="00000000">
        <w:rPr>
          <w:i w:val="1"/>
          <w:color w:val="343a40"/>
          <w:sz w:val="20"/>
          <w:szCs w:val="20"/>
          <w:highlight w:val="white"/>
          <w:rtl w:val="0"/>
        </w:rPr>
        <w:t xml:space="preserve">Proceedings of the American Philosophical Society</w:t>
      </w:r>
      <w:r w:rsidDel="00000000" w:rsidR="00000000" w:rsidRPr="00000000">
        <w:rPr>
          <w:color w:val="343a40"/>
          <w:sz w:val="20"/>
          <w:szCs w:val="20"/>
          <w:highlight w:val="white"/>
          <w:rtl w:val="0"/>
        </w:rPr>
        <w:t xml:space="preserve">, 165.1, (2024), pp. 44-53. &lt;</w:t>
      </w:r>
      <w:hyperlink r:id="rId1">
        <w:r w:rsidDel="00000000" w:rsidR="00000000" w:rsidRPr="00000000">
          <w:rPr>
            <w:color w:val="1155cc"/>
            <w:sz w:val="20"/>
            <w:szCs w:val="20"/>
            <w:highlight w:val="white"/>
            <w:u w:val="single"/>
            <w:rtl w:val="0"/>
          </w:rPr>
          <w:t xml:space="preserve">https://dx.doi.org/10.1353/pro.2024.a946782</w:t>
        </w:r>
      </w:hyperlink>
      <w:r w:rsidDel="00000000" w:rsidR="00000000" w:rsidRPr="00000000">
        <w:rPr>
          <w:color w:val="343a40"/>
          <w:sz w:val="20"/>
          <w:szCs w:val="20"/>
          <w:highlight w:val="white"/>
          <w:rtl w:val="0"/>
        </w:rPr>
        <w:t xml:space="preserve">.&gt;</w:t>
      </w:r>
      <w:r w:rsidDel="00000000" w:rsidR="00000000" w:rsidRPr="00000000">
        <w:rPr>
          <w:sz w:val="20"/>
          <w:szCs w:val="20"/>
          <w:rtl w:val="0"/>
        </w:rPr>
        <w:t xml:space="preserve"> </w:t>
      </w:r>
      <w:r w:rsidDel="00000000" w:rsidR="00000000" w:rsidRPr="00000000">
        <w:rPr>
          <w:sz w:val="20"/>
          <w:szCs w:val="20"/>
          <w:rtl w:val="0"/>
        </w:rPr>
        <w:t xml:space="preserve">Faraone’s and Tovar’s studies have re-dated other segments of the PGM: PGM II and III, for example, were also originally dated to the 4th century CE. but Faraone and Tovar have re-dated them respectively to the 2nd and 3rd centuries. I agree with Tovar’s assertion that the PGM should undergo a renewed papyrological study centering the manuscript’s materialities.</w:t>
      </w:r>
    </w:p>
  </w:footnote>
  <w:footnote w:id="14">
    <w:p w:rsidR="00000000" w:rsidDel="00000000" w:rsidP="00000000" w:rsidRDefault="00000000" w:rsidRPr="00000000" w14:paraId="00000189">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This ordering is meant to correspond to the chronological order of the IV. 296’s steps.</w:t>
      </w:r>
    </w:p>
  </w:footnote>
  <w:footnote w:id="15">
    <w:p w:rsidR="00000000" w:rsidDel="00000000" w:rsidP="00000000" w:rsidRDefault="00000000" w:rsidRPr="00000000" w14:paraId="0000018A">
      <w:pPr>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IV. 296–300, p. 44.</w:t>
      </w:r>
      <w:r w:rsidDel="00000000" w:rsidR="00000000" w:rsidRPr="00000000">
        <w:rPr>
          <w:rtl w:val="0"/>
        </w:rPr>
      </w:r>
    </w:p>
  </w:footnote>
  <w:footnote w:id="16">
    <w:p w:rsidR="00000000" w:rsidDel="00000000" w:rsidP="00000000" w:rsidRDefault="00000000" w:rsidRPr="00000000" w14:paraId="0000018B">
      <w:pPr>
        <w:rPr>
          <w:color w:val="1f1f1f"/>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 </w:t>
      </w:r>
      <w:r w:rsidDel="00000000" w:rsidR="00000000" w:rsidRPr="00000000">
        <w:rPr>
          <w:sz w:val="20"/>
          <w:szCs w:val="20"/>
          <w:rtl w:val="0"/>
        </w:rPr>
        <w:t xml:space="preserve">For further reading on execration oaths in the Near East: </w:t>
      </w:r>
      <w:r w:rsidDel="00000000" w:rsidR="00000000" w:rsidRPr="00000000">
        <w:rPr>
          <w:color w:val="1f1f1f"/>
          <w:sz w:val="20"/>
          <w:szCs w:val="20"/>
          <w:rtl w:val="0"/>
        </w:rPr>
        <w:t xml:space="preserve">Christopher A. Faraone, ‘Molten Wax, Spilt Wine and </w:t>
      </w:r>
    </w:p>
    <w:p w:rsidR="00000000" w:rsidDel="00000000" w:rsidP="00000000" w:rsidRDefault="00000000" w:rsidRPr="00000000" w14:paraId="0000018C">
      <w:pPr>
        <w:ind w:left="720" w:firstLine="0"/>
        <w:rPr>
          <w:sz w:val="20"/>
          <w:szCs w:val="20"/>
        </w:rPr>
      </w:pPr>
      <w:r w:rsidDel="00000000" w:rsidR="00000000" w:rsidRPr="00000000">
        <w:rPr>
          <w:color w:val="1f1f1f"/>
          <w:sz w:val="20"/>
          <w:szCs w:val="20"/>
          <w:rtl w:val="0"/>
        </w:rPr>
        <w:t xml:space="preserve">Mutilated Animals: Sympathetic Magic in Near Eastern and Early Greek Oath Ceremonies’, </w:t>
      </w:r>
      <w:r w:rsidDel="00000000" w:rsidR="00000000" w:rsidRPr="00000000">
        <w:rPr>
          <w:i w:val="1"/>
          <w:color w:val="1f1f1f"/>
          <w:sz w:val="20"/>
          <w:szCs w:val="20"/>
          <w:rtl w:val="0"/>
        </w:rPr>
        <w:t xml:space="preserve">The Journal of Hellenic Studies</w:t>
      </w:r>
      <w:r w:rsidDel="00000000" w:rsidR="00000000" w:rsidRPr="00000000">
        <w:rPr>
          <w:color w:val="1f1f1f"/>
          <w:sz w:val="20"/>
          <w:szCs w:val="20"/>
          <w:rtl w:val="0"/>
        </w:rPr>
        <w:t xml:space="preserve">, 113 (1993), pp. 60–80.</w:t>
      </w:r>
      <w:r w:rsidDel="00000000" w:rsidR="00000000" w:rsidRPr="00000000">
        <w:rPr>
          <w:rtl w:val="0"/>
        </w:rPr>
      </w:r>
    </w:p>
  </w:footnote>
  <w:footnote w:id="17">
    <w:p w:rsidR="00000000" w:rsidDel="00000000" w:rsidP="00000000" w:rsidRDefault="00000000" w:rsidRPr="00000000" w14:paraId="0000018D">
      <w:pPr>
        <w:ind w:left="0" w:firstLine="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“Just as this wax is burned by fire, so shall Arpad be burned and [her . . . daughter-cities]; … Matitel; it is his </w:t>
      </w:r>
    </w:p>
    <w:p w:rsidR="00000000" w:rsidDel="00000000" w:rsidP="00000000" w:rsidRDefault="00000000" w:rsidRPr="00000000" w14:paraId="0000018E">
      <w:pPr>
        <w:ind w:left="720" w:firstLine="0"/>
        <w:rPr>
          <w:sz w:val="20"/>
          <w:szCs w:val="20"/>
        </w:rPr>
      </w:pPr>
      <w:r w:rsidDel="00000000" w:rsidR="00000000" w:rsidRPr="00000000">
        <w:rPr>
          <w:sz w:val="20"/>
          <w:szCs w:val="20"/>
          <w:rtl w:val="0"/>
        </w:rPr>
        <w:t xml:space="preserve">person. Just as this wax is burned by fire, so shall Mati['el be burned by fi]re… And just as a man of wax is blinded, so may Mati['el] be blinded.”</w:t>
      </w:r>
    </w:p>
    <w:p w:rsidR="00000000" w:rsidDel="00000000" w:rsidP="00000000" w:rsidRDefault="00000000" w:rsidRPr="00000000" w14:paraId="0000018F">
      <w:pPr>
        <w:shd w:fill="ffffff" w:val="clear"/>
        <w:ind w:left="720" w:firstLine="0"/>
        <w:rPr>
          <w:sz w:val="20"/>
          <w:szCs w:val="20"/>
        </w:rPr>
      </w:pPr>
      <w:r w:rsidDel="00000000" w:rsidR="00000000" w:rsidRPr="00000000">
        <w:rPr>
          <w:color w:val="1f1f1f"/>
          <w:sz w:val="20"/>
          <w:szCs w:val="20"/>
          <w:rtl w:val="0"/>
        </w:rPr>
        <w:t xml:space="preserve">Joseph A. Fitzmyer, ‘The Aramaic Inscriptions of Sefire I and II’, </w:t>
      </w:r>
      <w:r w:rsidDel="00000000" w:rsidR="00000000" w:rsidRPr="00000000">
        <w:rPr>
          <w:i w:val="1"/>
          <w:color w:val="1f1f1f"/>
          <w:sz w:val="20"/>
          <w:szCs w:val="20"/>
          <w:rtl w:val="0"/>
        </w:rPr>
        <w:t xml:space="preserve">Journal of the American Oriental Society</w:t>
      </w:r>
      <w:r w:rsidDel="00000000" w:rsidR="00000000" w:rsidRPr="00000000">
        <w:rPr>
          <w:color w:val="1f1f1f"/>
          <w:sz w:val="20"/>
          <w:szCs w:val="20"/>
          <w:rtl w:val="0"/>
        </w:rPr>
        <w:t xml:space="preserve">, 81.3 (1961), pp. 178–222 (p. 185).</w:t>
      </w:r>
      <w:r w:rsidDel="00000000" w:rsidR="00000000" w:rsidRPr="00000000">
        <w:rPr>
          <w:rtl w:val="0"/>
        </w:rPr>
      </w:r>
    </w:p>
  </w:footnote>
  <w:footnote w:id="18">
    <w:p w:rsidR="00000000" w:rsidDel="00000000" w:rsidP="00000000" w:rsidRDefault="00000000" w:rsidRPr="00000000" w14:paraId="00000190">
      <w:pPr>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f1f1f"/>
          <w:sz w:val="20"/>
          <w:szCs w:val="20"/>
          <w:rtl w:val="0"/>
        </w:rPr>
        <w:t xml:space="preserve">Maarten J. Raven, ‘Wax in Egyptian Magic and Symbolism’, </w:t>
      </w:r>
      <w:r w:rsidDel="00000000" w:rsidR="00000000" w:rsidRPr="00000000">
        <w:rPr>
          <w:i w:val="1"/>
          <w:color w:val="1f1f1f"/>
          <w:sz w:val="20"/>
          <w:szCs w:val="20"/>
          <w:rtl w:val="0"/>
        </w:rPr>
        <w:t xml:space="preserve">OMRO, </w:t>
      </w:r>
      <w:r w:rsidDel="00000000" w:rsidR="00000000" w:rsidRPr="00000000">
        <w:rPr>
          <w:color w:val="1f1f1f"/>
          <w:sz w:val="20"/>
          <w:szCs w:val="20"/>
          <w:rtl w:val="0"/>
        </w:rPr>
        <w:t xml:space="preserve">64 (1983), pp. 7–47 (p. 30).</w:t>
      </w:r>
      <w:r w:rsidDel="00000000" w:rsidR="00000000" w:rsidRPr="00000000">
        <w:rPr>
          <w:rtl w:val="0"/>
        </w:rPr>
      </w:r>
    </w:p>
  </w:footnote>
  <w:footnote w:id="19">
    <w:p w:rsidR="00000000" w:rsidDel="00000000" w:rsidP="00000000" w:rsidRDefault="00000000" w:rsidRPr="00000000" w14:paraId="00000191">
      <w:pPr>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Raven, ‘Wax in Egyptian Magic’, p. 30.</w:t>
      </w:r>
      <w:r w:rsidDel="00000000" w:rsidR="00000000" w:rsidRPr="00000000">
        <w:rPr>
          <w:rtl w:val="0"/>
        </w:rPr>
      </w:r>
    </w:p>
  </w:footnote>
  <w:footnote w:id="20">
    <w:p w:rsidR="00000000" w:rsidDel="00000000" w:rsidP="00000000" w:rsidRDefault="00000000" w:rsidRPr="00000000" w14:paraId="00000192">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Raven, ‘Wax in Egyptian Magic’, p. 13, p. 23.</w:t>
      </w:r>
    </w:p>
  </w:footnote>
  <w:footnote w:id="21">
    <w:p w:rsidR="00000000" w:rsidDel="00000000" w:rsidP="00000000" w:rsidRDefault="00000000" w:rsidRPr="00000000" w14:paraId="00000193">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Raven, ‘Wax in Egyptian Magic’, p. 15.</w:t>
      </w:r>
    </w:p>
  </w:footnote>
  <w:footnote w:id="22">
    <w:p w:rsidR="00000000" w:rsidDel="00000000" w:rsidP="00000000" w:rsidRDefault="00000000" w:rsidRPr="00000000" w14:paraId="00000194">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practitioner assumes the power of other gods more explicitly, as seen in lines 385–400: “For I am BARBAR </w:t>
      </w:r>
    </w:p>
    <w:p w:rsidR="00000000" w:rsidDel="00000000" w:rsidP="00000000" w:rsidRDefault="00000000" w:rsidRPr="00000000" w14:paraId="00000195">
      <w:pPr>
        <w:ind w:firstLine="720"/>
        <w:rPr>
          <w:sz w:val="20"/>
          <w:szCs w:val="20"/>
        </w:rPr>
      </w:pPr>
      <w:r w:rsidDel="00000000" w:rsidR="00000000" w:rsidRPr="00000000">
        <w:rPr>
          <w:sz w:val="20"/>
          <w:szCs w:val="20"/>
          <w:rtl w:val="0"/>
        </w:rPr>
        <w:t xml:space="preserve">ADONAI who hides the stars…”</w:t>
      </w:r>
    </w:p>
    <w:p w:rsidR="00000000" w:rsidDel="00000000" w:rsidP="00000000" w:rsidRDefault="00000000" w:rsidRPr="00000000" w14:paraId="00000196">
      <w:pPr>
        <w:ind w:left="720" w:firstLine="0"/>
        <w:rPr>
          <w:sz w:val="16"/>
          <w:szCs w:val="16"/>
        </w:rPr>
      </w:pPr>
      <w:r w:rsidDel="00000000" w:rsidR="00000000" w:rsidRPr="00000000">
        <w:rPr>
          <w:sz w:val="20"/>
          <w:szCs w:val="20"/>
          <w:rtl w:val="0"/>
        </w:rPr>
        <w:t xml:space="preserve">For further reading on the symbolism of Ares:</w:t>
      </w:r>
      <w:r w:rsidDel="00000000" w:rsidR="00000000" w:rsidRPr="00000000">
        <w:rPr>
          <w:color w:val="1f1f1f"/>
          <w:sz w:val="20"/>
          <w:szCs w:val="20"/>
          <w:rtl w:val="0"/>
        </w:rPr>
        <w:t xml:space="preserve"> Matthew Gonzalez, ‘The Oracle and Cult of Ares in Asia Minor’, </w:t>
      </w:r>
      <w:r w:rsidDel="00000000" w:rsidR="00000000" w:rsidRPr="00000000">
        <w:rPr>
          <w:i w:val="1"/>
          <w:color w:val="1f1f1f"/>
          <w:sz w:val="20"/>
          <w:szCs w:val="20"/>
          <w:rtl w:val="0"/>
        </w:rPr>
        <w:t xml:space="preserve">Greek, Roman, and Byzantine Studies</w:t>
      </w:r>
      <w:r w:rsidDel="00000000" w:rsidR="00000000" w:rsidRPr="00000000">
        <w:rPr>
          <w:color w:val="1f1f1f"/>
          <w:sz w:val="20"/>
          <w:szCs w:val="20"/>
          <w:rtl w:val="0"/>
        </w:rPr>
        <w:t xml:space="preserve">, 45 (2005), pp. 261–83.</w:t>
      </w:r>
      <w:r w:rsidDel="00000000" w:rsidR="00000000" w:rsidRPr="00000000">
        <w:rPr>
          <w:rtl w:val="0"/>
        </w:rPr>
      </w:r>
    </w:p>
  </w:footnote>
  <w:footnote w:id="25">
    <w:p w:rsidR="00000000" w:rsidDel="00000000" w:rsidP="00000000" w:rsidRDefault="00000000" w:rsidRPr="00000000" w14:paraId="00000197">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f1f1f"/>
          <w:sz w:val="20"/>
          <w:szCs w:val="20"/>
          <w:rtl w:val="0"/>
        </w:rPr>
        <w:t xml:space="preserve">Robert K. Ritner, </w:t>
      </w:r>
      <w:r w:rsidDel="00000000" w:rsidR="00000000" w:rsidRPr="00000000">
        <w:rPr>
          <w:i w:val="1"/>
          <w:color w:val="1f1f1f"/>
          <w:sz w:val="20"/>
          <w:szCs w:val="20"/>
          <w:rtl w:val="0"/>
        </w:rPr>
        <w:t xml:space="preserve">The Mechanics of Ancient Egyptian Magical Practice</w:t>
      </w:r>
      <w:r w:rsidDel="00000000" w:rsidR="00000000" w:rsidRPr="00000000">
        <w:rPr>
          <w:color w:val="1f1f1f"/>
          <w:sz w:val="20"/>
          <w:szCs w:val="20"/>
          <w:rtl w:val="0"/>
        </w:rPr>
        <w:t xml:space="preserve">, (Chicago: The Oriental Institute, 2008)</w:t>
      </w:r>
      <w:r w:rsidDel="00000000" w:rsidR="00000000" w:rsidRPr="00000000">
        <w:rPr>
          <w:sz w:val="20"/>
          <w:szCs w:val="20"/>
          <w:rtl w:val="0"/>
        </w:rPr>
        <w:t xml:space="preserve"> p. </w:t>
      </w:r>
    </w:p>
    <w:p w:rsidR="00000000" w:rsidDel="00000000" w:rsidP="00000000" w:rsidRDefault="00000000" w:rsidRPr="00000000" w14:paraId="00000198">
      <w:pPr>
        <w:ind w:left="720" w:firstLine="0"/>
        <w:rPr>
          <w:sz w:val="20"/>
          <w:szCs w:val="20"/>
        </w:rPr>
      </w:pPr>
      <w:r w:rsidDel="00000000" w:rsidR="00000000" w:rsidRPr="00000000">
        <w:rPr>
          <w:sz w:val="20"/>
          <w:szCs w:val="20"/>
          <w:rtl w:val="0"/>
        </w:rPr>
        <w:t xml:space="preserve">163, pp. 166–172; Loisel, Anne-Caroline Rendu, “The Voice of Mighty Copper in a Mesopotamian Exorcistic Ritual”, in </w:t>
      </w:r>
      <w:r w:rsidDel="00000000" w:rsidR="00000000" w:rsidRPr="00000000">
        <w:rPr>
          <w:i w:val="1"/>
          <w:color w:val="070726"/>
          <w:sz w:val="20"/>
          <w:szCs w:val="20"/>
          <w:rtl w:val="0"/>
        </w:rPr>
        <w:t xml:space="preserve">The Materiality of Divine Agency, </w:t>
      </w:r>
      <w:r w:rsidDel="00000000" w:rsidR="00000000" w:rsidRPr="00000000">
        <w:rPr>
          <w:color w:val="070726"/>
          <w:sz w:val="20"/>
          <w:szCs w:val="20"/>
          <w:rtl w:val="0"/>
        </w:rPr>
        <w:t xml:space="preserve">ed. by  Beate Pongratz-Leisten and Karen Sonik (Berlin and Boston: De Gruyter, 2015), pp. 211–27; </w:t>
      </w:r>
      <w:r w:rsidDel="00000000" w:rsidR="00000000" w:rsidRPr="00000000">
        <w:rPr>
          <w:color w:val="1f1f1f"/>
          <w:sz w:val="20"/>
          <w:szCs w:val="20"/>
          <w:rtl w:val="0"/>
        </w:rPr>
        <w:t xml:space="preserve">Daniel Ogden, </w:t>
      </w:r>
      <w:r w:rsidDel="00000000" w:rsidR="00000000" w:rsidRPr="00000000">
        <w:rPr>
          <w:i w:val="1"/>
          <w:color w:val="1f1f1f"/>
          <w:sz w:val="20"/>
          <w:szCs w:val="20"/>
          <w:rtl w:val="0"/>
        </w:rPr>
        <w:t xml:space="preserve">Magic, Witchcraft and Ghosts in the Greek and Roman Worlds</w:t>
      </w:r>
      <w:r w:rsidDel="00000000" w:rsidR="00000000" w:rsidRPr="00000000">
        <w:rPr>
          <w:color w:val="1f1f1f"/>
          <w:sz w:val="20"/>
          <w:szCs w:val="20"/>
          <w:rtl w:val="0"/>
        </w:rPr>
        <w:t xml:space="preserve">, (Oxford: Oxford University Press, 2002) pp.179.</w:t>
      </w:r>
      <w:r w:rsidDel="00000000" w:rsidR="00000000" w:rsidRPr="00000000">
        <w:rPr>
          <w:rtl w:val="0"/>
        </w:rPr>
      </w:r>
    </w:p>
  </w:footnote>
  <w:footnote w:id="26">
    <w:p w:rsidR="00000000" w:rsidDel="00000000" w:rsidP="00000000" w:rsidRDefault="00000000" w:rsidRPr="00000000" w14:paraId="00000199">
      <w:pPr>
        <w:ind w:left="0" w:firstLine="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Ovid, </w:t>
      </w:r>
      <w:r w:rsidDel="00000000" w:rsidR="00000000" w:rsidRPr="00000000">
        <w:rPr>
          <w:i w:val="1"/>
          <w:sz w:val="20"/>
          <w:szCs w:val="20"/>
          <w:rtl w:val="0"/>
        </w:rPr>
        <w:t xml:space="preserve">Fasti</w:t>
      </w:r>
      <w:r w:rsidDel="00000000" w:rsidR="00000000" w:rsidRPr="00000000">
        <w:rPr>
          <w:sz w:val="20"/>
          <w:szCs w:val="20"/>
          <w:rtl w:val="0"/>
        </w:rPr>
        <w:t xml:space="preserve">, trans. by James G. Frazer, Loeb Classical Library 253( </w:t>
      </w:r>
      <w:r w:rsidDel="00000000" w:rsidR="00000000" w:rsidRPr="00000000">
        <w:rPr>
          <w:sz w:val="20"/>
          <w:szCs w:val="20"/>
          <w:highlight w:val="white"/>
          <w:rtl w:val="0"/>
        </w:rPr>
        <w:t xml:space="preserve">Cambridge: Harvard University Press, 1931)</w:t>
      </w:r>
      <w:r w:rsidDel="00000000" w:rsidR="00000000" w:rsidRPr="00000000">
        <w:rPr>
          <w:sz w:val="20"/>
          <w:szCs w:val="20"/>
          <w:rtl w:val="0"/>
        </w:rPr>
        <w:t xml:space="preserve">, </w:t>
      </w:r>
    </w:p>
    <w:p w:rsidR="00000000" w:rsidDel="00000000" w:rsidP="00000000" w:rsidRDefault="00000000" w:rsidRPr="00000000" w14:paraId="0000019A">
      <w:pPr>
        <w:ind w:left="0" w:firstLine="720"/>
        <w:rPr>
          <w:sz w:val="20"/>
          <w:szCs w:val="20"/>
        </w:rPr>
      </w:pPr>
      <w:r w:rsidDel="00000000" w:rsidR="00000000" w:rsidRPr="00000000">
        <w:rPr>
          <w:sz w:val="20"/>
          <w:szCs w:val="20"/>
          <w:rtl w:val="0"/>
        </w:rPr>
        <w:t xml:space="preserve">Book 2.533–83, pp. 95–99.</w:t>
      </w:r>
    </w:p>
  </w:footnote>
  <w:footnote w:id="27">
    <w:p w:rsidR="00000000" w:rsidDel="00000000" w:rsidP="00000000" w:rsidRDefault="00000000" w:rsidRPr="00000000" w14:paraId="0000019B">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pp. 44–45 (IV. 296 –340, 332, 360–380, 385–400).</w:t>
      </w:r>
    </w:p>
  </w:footnote>
  <w:footnote w:id="23">
    <w:p w:rsidR="00000000" w:rsidDel="00000000" w:rsidP="00000000" w:rsidRDefault="00000000" w:rsidRPr="00000000" w14:paraId="0000019C">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IV. 320–330, p. 44.</w:t>
      </w:r>
    </w:p>
  </w:footnote>
  <w:footnote w:id="24">
    <w:p w:rsidR="00000000" w:rsidDel="00000000" w:rsidP="00000000" w:rsidRDefault="00000000" w:rsidRPr="00000000" w14:paraId="0000019D">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IV. 335–434, p. 44–46.</w:t>
      </w:r>
    </w:p>
  </w:footnote>
  <w:footnote w:id="28">
    <w:p w:rsidR="00000000" w:rsidDel="00000000" w:rsidP="00000000" w:rsidRDefault="00000000" w:rsidRPr="00000000" w14:paraId="0000019E">
      <w:pPr>
        <w:rPr>
          <w:color w:val="141413"/>
          <w:sz w:val="20"/>
          <w:szCs w:val="20"/>
        </w:rPr>
      </w:pPr>
      <w:r w:rsidDel="00000000" w:rsidR="00000000" w:rsidRPr="00000000">
        <w:rPr>
          <w:rStyle w:val="FootnoteReference"/>
          <w:vertAlign w:val="superscript"/>
        </w:rPr>
        <w:footnoteRef/>
      </w:r>
      <w:r w:rsidDel="00000000" w:rsidR="00000000" w:rsidRPr="00000000">
        <w:rPr>
          <w:rtl w:val="0"/>
        </w:rPr>
        <w:t xml:space="preserve"> </w:t>
      </w:r>
      <w:r w:rsidDel="00000000" w:rsidR="00000000" w:rsidRPr="00000000">
        <w:rPr>
          <w:color w:val="141413"/>
          <w:sz w:val="20"/>
          <w:szCs w:val="20"/>
          <w:rtl w:val="0"/>
        </w:rPr>
        <w:t xml:space="preserve">Radcliffe G. Edmonds III, </w:t>
      </w:r>
      <w:r w:rsidDel="00000000" w:rsidR="00000000" w:rsidRPr="00000000">
        <w:rPr>
          <w:i w:val="1"/>
          <w:color w:val="141413"/>
          <w:sz w:val="20"/>
          <w:szCs w:val="20"/>
          <w:rtl w:val="0"/>
        </w:rPr>
        <w:t xml:space="preserve">Drawing Down the Moon: Magic in the Ancient Greco-Roman World </w:t>
      </w:r>
      <w:r w:rsidDel="00000000" w:rsidR="00000000" w:rsidRPr="00000000">
        <w:rPr>
          <w:color w:val="141413"/>
          <w:sz w:val="20"/>
          <w:szCs w:val="20"/>
          <w:rtl w:val="0"/>
        </w:rPr>
        <w:t xml:space="preserve">(Princeton: </w:t>
      </w:r>
    </w:p>
    <w:p w:rsidR="00000000" w:rsidDel="00000000" w:rsidP="00000000" w:rsidRDefault="00000000" w:rsidRPr="00000000" w14:paraId="0000019F">
      <w:pPr>
        <w:ind w:left="720" w:firstLine="0"/>
        <w:rPr>
          <w:sz w:val="20"/>
          <w:szCs w:val="20"/>
        </w:rPr>
      </w:pPr>
      <w:r w:rsidDel="00000000" w:rsidR="00000000" w:rsidRPr="00000000">
        <w:rPr>
          <w:color w:val="141413"/>
          <w:sz w:val="20"/>
          <w:szCs w:val="20"/>
          <w:rtl w:val="0"/>
        </w:rPr>
        <w:t xml:space="preserve">Princeton University Press, 2019), p. 104; </w:t>
      </w:r>
      <w:r w:rsidDel="00000000" w:rsidR="00000000" w:rsidRPr="00000000">
        <w:rPr>
          <w:color w:val="1f1f1f"/>
          <w:sz w:val="20"/>
          <w:szCs w:val="20"/>
          <w:rtl w:val="0"/>
        </w:rPr>
        <w:t xml:space="preserve">Esther Eidinow, </w:t>
      </w:r>
      <w:r w:rsidDel="00000000" w:rsidR="00000000" w:rsidRPr="00000000">
        <w:rPr>
          <w:i w:val="1"/>
          <w:color w:val="1f1f1f"/>
          <w:sz w:val="20"/>
          <w:szCs w:val="20"/>
          <w:rtl w:val="0"/>
        </w:rPr>
        <w:t xml:space="preserve">Oracles, Curses, and Risk Among the Ancient Greeks</w:t>
      </w:r>
      <w:r w:rsidDel="00000000" w:rsidR="00000000" w:rsidRPr="00000000">
        <w:rPr>
          <w:color w:val="1f1f1f"/>
          <w:sz w:val="20"/>
          <w:szCs w:val="20"/>
          <w:rtl w:val="0"/>
        </w:rPr>
        <w:t xml:space="preserve">, 1st edn (Oxford: Oxford University Press, 2007), p. 141; </w:t>
      </w:r>
      <w:r w:rsidDel="00000000" w:rsidR="00000000" w:rsidRPr="00000000">
        <w:rPr>
          <w:sz w:val="20"/>
          <w:szCs w:val="20"/>
          <w:rtl w:val="0"/>
        </w:rPr>
        <w:t xml:space="preserve">Ogden, </w:t>
      </w:r>
      <w:r w:rsidDel="00000000" w:rsidR="00000000" w:rsidRPr="00000000">
        <w:rPr>
          <w:i w:val="1"/>
          <w:color w:val="1f1f1f"/>
          <w:sz w:val="20"/>
          <w:szCs w:val="20"/>
          <w:rtl w:val="0"/>
        </w:rPr>
        <w:t xml:space="preserve">Magic, Witchcraft and Ghosts, </w:t>
      </w:r>
      <w:r w:rsidDel="00000000" w:rsidR="00000000" w:rsidRPr="00000000">
        <w:rPr>
          <w:sz w:val="20"/>
          <w:szCs w:val="20"/>
          <w:rtl w:val="0"/>
        </w:rPr>
        <w:t xml:space="preserve">p. 210.</w:t>
      </w:r>
      <w:r w:rsidDel="00000000" w:rsidR="00000000" w:rsidRPr="00000000">
        <w:rPr>
          <w:rtl w:val="0"/>
        </w:rPr>
      </w:r>
    </w:p>
  </w:footnote>
  <w:footnote w:id="29">
    <w:p w:rsidR="00000000" w:rsidDel="00000000" w:rsidP="00000000" w:rsidRDefault="00000000" w:rsidRPr="00000000" w14:paraId="000001A0">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41413"/>
          <w:sz w:val="20"/>
          <w:szCs w:val="20"/>
          <w:rtl w:val="0"/>
        </w:rPr>
        <w:t xml:space="preserve">Edmonds, </w:t>
      </w:r>
      <w:r w:rsidDel="00000000" w:rsidR="00000000" w:rsidRPr="00000000">
        <w:rPr>
          <w:i w:val="1"/>
          <w:color w:val="141413"/>
          <w:sz w:val="20"/>
          <w:szCs w:val="20"/>
          <w:rtl w:val="0"/>
        </w:rPr>
        <w:t xml:space="preserve">Drawing Down the Moon, </w:t>
      </w:r>
      <w:r w:rsidDel="00000000" w:rsidR="00000000" w:rsidRPr="00000000">
        <w:rPr>
          <w:color w:val="141413"/>
          <w:sz w:val="20"/>
          <w:szCs w:val="20"/>
          <w:rtl w:val="0"/>
        </w:rPr>
        <w:t xml:space="preserve">p. 104.</w:t>
      </w:r>
      <w:r w:rsidDel="00000000" w:rsidR="00000000" w:rsidRPr="00000000">
        <w:rPr>
          <w:rtl w:val="0"/>
        </w:rPr>
      </w:r>
    </w:p>
  </w:footnote>
  <w:footnote w:id="31">
    <w:p w:rsidR="00000000" w:rsidDel="00000000" w:rsidP="00000000" w:rsidRDefault="00000000" w:rsidRPr="00000000" w14:paraId="000001A1">
      <w:pPr>
        <w:ind w:left="0" w:firstLine="0"/>
        <w:rPr>
          <w:color w:val="141413"/>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41413"/>
          <w:sz w:val="20"/>
          <w:szCs w:val="20"/>
          <w:rtl w:val="0"/>
        </w:rPr>
        <w:t xml:space="preserve">Although another entirely separate paper can be written on the topic, it should be noted that, by Late Antiquity, </w:t>
      </w:r>
    </w:p>
    <w:p w:rsidR="00000000" w:rsidDel="00000000" w:rsidP="00000000" w:rsidRDefault="00000000" w:rsidRPr="00000000" w14:paraId="000001A2">
      <w:pPr>
        <w:ind w:left="720" w:firstLine="0"/>
        <w:rPr>
          <w:sz w:val="16"/>
          <w:szCs w:val="16"/>
        </w:rPr>
      </w:pPr>
      <w:r w:rsidDel="00000000" w:rsidR="00000000" w:rsidRPr="00000000">
        <w:rPr>
          <w:color w:val="141413"/>
          <w:sz w:val="20"/>
          <w:szCs w:val="20"/>
          <w:rtl w:val="0"/>
        </w:rPr>
        <w:t xml:space="preserve">lead was already understood as being linked to Saturn/Kronos, another chthonic deity: David G. Martinez, </w:t>
      </w:r>
      <w:r w:rsidDel="00000000" w:rsidR="00000000" w:rsidRPr="00000000">
        <w:rPr>
          <w:i w:val="1"/>
          <w:color w:val="141413"/>
          <w:sz w:val="20"/>
          <w:szCs w:val="20"/>
          <w:rtl w:val="0"/>
        </w:rPr>
        <w:t xml:space="preserve">P. Michigan XVI:</w:t>
      </w:r>
      <w:r w:rsidDel="00000000" w:rsidR="00000000" w:rsidRPr="00000000">
        <w:rPr>
          <w:color w:val="141413"/>
          <w:sz w:val="20"/>
          <w:szCs w:val="20"/>
          <w:rtl w:val="0"/>
        </w:rPr>
        <w:t xml:space="preserve"> </w:t>
      </w:r>
      <w:r w:rsidDel="00000000" w:rsidR="00000000" w:rsidRPr="00000000">
        <w:rPr>
          <w:i w:val="1"/>
          <w:color w:val="141413"/>
          <w:sz w:val="20"/>
          <w:szCs w:val="20"/>
          <w:rtl w:val="0"/>
        </w:rPr>
        <w:t xml:space="preserve">A Greek Love Charm from Egypt</w:t>
      </w:r>
      <w:r w:rsidDel="00000000" w:rsidR="00000000" w:rsidRPr="00000000">
        <w:rPr>
          <w:color w:val="141413"/>
          <w:sz w:val="20"/>
          <w:szCs w:val="20"/>
          <w:rtl w:val="0"/>
        </w:rPr>
        <w:t xml:space="preserve"> </w:t>
      </w:r>
      <w:r w:rsidDel="00000000" w:rsidR="00000000" w:rsidRPr="00000000">
        <w:rPr>
          <w:i w:val="1"/>
          <w:color w:val="141413"/>
          <w:sz w:val="20"/>
          <w:szCs w:val="20"/>
          <w:rtl w:val="0"/>
        </w:rPr>
        <w:t xml:space="preserve">(P. Mich. 757)</w:t>
      </w:r>
      <w:r w:rsidDel="00000000" w:rsidR="00000000" w:rsidRPr="00000000">
        <w:rPr>
          <w:color w:val="141413"/>
          <w:sz w:val="20"/>
          <w:szCs w:val="20"/>
          <w:rtl w:val="0"/>
        </w:rPr>
        <w:t xml:space="preserve"> (Atlanta: Scholars Press, 1991), </w:t>
      </w:r>
      <w:r w:rsidDel="00000000" w:rsidR="00000000" w:rsidRPr="00000000">
        <w:rPr>
          <w:sz w:val="20"/>
          <w:szCs w:val="20"/>
          <w:rtl w:val="0"/>
        </w:rPr>
        <w:t xml:space="preserve">p. 5.</w:t>
      </w:r>
      <w:r w:rsidDel="00000000" w:rsidR="00000000" w:rsidRPr="00000000">
        <w:rPr>
          <w:rtl w:val="0"/>
        </w:rPr>
      </w:r>
    </w:p>
  </w:footnote>
  <w:footnote w:id="33">
    <w:p w:rsidR="00000000" w:rsidDel="00000000" w:rsidP="00000000" w:rsidRDefault="00000000" w:rsidRPr="00000000" w14:paraId="000001A3">
      <w:pPr>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IV. 450–445 (p. 46), 2319 (p. 80), 2795 (p. 90).</w:t>
      </w:r>
      <w:r w:rsidDel="00000000" w:rsidR="00000000" w:rsidRPr="00000000">
        <w:rPr>
          <w:rtl w:val="0"/>
        </w:rPr>
      </w:r>
    </w:p>
  </w:footnote>
  <w:footnote w:id="34">
    <w:p w:rsidR="00000000" w:rsidDel="00000000" w:rsidP="00000000" w:rsidRDefault="00000000" w:rsidRPr="00000000" w14:paraId="000001A4">
      <w:pPr>
        <w:ind w:left="0" w:firstLine="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number 365 is also tied to Abrasax, thus illustrating an additional level through which the thread is imbued </w:t>
      </w:r>
    </w:p>
    <w:p w:rsidR="00000000" w:rsidDel="00000000" w:rsidP="00000000" w:rsidRDefault="00000000" w:rsidRPr="00000000" w14:paraId="000001A5">
      <w:pPr>
        <w:ind w:left="0" w:firstLine="720"/>
        <w:rPr>
          <w:sz w:val="20"/>
          <w:szCs w:val="20"/>
        </w:rPr>
      </w:pPr>
      <w:r w:rsidDel="00000000" w:rsidR="00000000" w:rsidRPr="00000000">
        <w:rPr>
          <w:sz w:val="20"/>
          <w:szCs w:val="20"/>
          <w:rtl w:val="0"/>
        </w:rPr>
        <w:t xml:space="preserve">with divine power: Betz, </w:t>
      </w:r>
      <w:r w:rsidDel="00000000" w:rsidR="00000000" w:rsidRPr="00000000">
        <w:rPr>
          <w:i w:val="1"/>
          <w:sz w:val="20"/>
          <w:szCs w:val="20"/>
          <w:rtl w:val="0"/>
        </w:rPr>
        <w:t xml:space="preserve">The Greek Magical Papyri, </w:t>
      </w:r>
      <w:r w:rsidDel="00000000" w:rsidR="00000000" w:rsidRPr="00000000">
        <w:rPr>
          <w:sz w:val="20"/>
          <w:szCs w:val="20"/>
          <w:rtl w:val="0"/>
        </w:rPr>
        <w:t xml:space="preserve">p. 331.</w:t>
      </w:r>
    </w:p>
  </w:footnote>
  <w:footnote w:id="35">
    <w:p w:rsidR="00000000" w:rsidDel="00000000" w:rsidP="00000000" w:rsidRDefault="00000000" w:rsidRPr="00000000" w14:paraId="000001A6">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IV. 395–406, p. 45.</w:t>
      </w:r>
    </w:p>
  </w:footnote>
  <w:footnote w:id="36">
    <w:p w:rsidR="00000000" w:rsidDel="00000000" w:rsidP="00000000" w:rsidRDefault="00000000" w:rsidRPr="00000000" w14:paraId="000001A7">
      <w:pPr>
        <w:rPr>
          <w:color w:val="262626"/>
        </w:rPr>
      </w:pPr>
      <w:r w:rsidDel="00000000" w:rsidR="00000000" w:rsidRPr="00000000">
        <w:rPr>
          <w:rStyle w:val="FootnoteReference"/>
          <w:vertAlign w:val="superscript"/>
        </w:rPr>
        <w:footnoteRef/>
      </w:r>
      <w:r w:rsidDel="00000000" w:rsidR="00000000" w:rsidRPr="00000000">
        <w:rPr>
          <w:sz w:val="20"/>
          <w:szCs w:val="20"/>
          <w:rtl w:val="0"/>
        </w:rPr>
        <w:t xml:space="preserve"> Ogden, </w:t>
      </w:r>
      <w:r w:rsidDel="00000000" w:rsidR="00000000" w:rsidRPr="00000000">
        <w:rPr>
          <w:i w:val="1"/>
          <w:color w:val="1f1f1f"/>
          <w:sz w:val="20"/>
          <w:szCs w:val="20"/>
          <w:rtl w:val="0"/>
        </w:rPr>
        <w:t xml:space="preserve">Magic, Witchcraft and Ghosts, </w:t>
      </w:r>
      <w:r w:rsidDel="00000000" w:rsidR="00000000" w:rsidRPr="00000000">
        <w:rPr>
          <w:sz w:val="20"/>
          <w:szCs w:val="20"/>
          <w:rtl w:val="0"/>
        </w:rPr>
        <w:t xml:space="preserve">pp. 146–48.</w:t>
      </w:r>
      <w:r w:rsidDel="00000000" w:rsidR="00000000" w:rsidRPr="00000000">
        <w:rPr>
          <w:rtl w:val="0"/>
        </w:rPr>
      </w:r>
    </w:p>
  </w:footnote>
  <w:footnote w:id="39">
    <w:p w:rsidR="00000000" w:rsidDel="00000000" w:rsidP="00000000" w:rsidRDefault="00000000" w:rsidRPr="00000000" w14:paraId="000001A8">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IV. 335–50, 355–70, 380–406, pp.</w:t>
      </w:r>
    </w:p>
  </w:footnote>
  <w:footnote w:id="41">
    <w:p w:rsidR="00000000" w:rsidDel="00000000" w:rsidP="00000000" w:rsidRDefault="00000000" w:rsidRPr="00000000" w14:paraId="000001A9">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IV. 305–10, p. 44.</w:t>
      </w:r>
    </w:p>
  </w:footnote>
  <w:footnote w:id="43">
    <w:p w:rsidR="00000000" w:rsidDel="00000000" w:rsidP="00000000" w:rsidRDefault="00000000" w:rsidRPr="00000000" w14:paraId="000001AA">
      <w:pPr>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72c31"/>
          <w:sz w:val="20"/>
          <w:szCs w:val="20"/>
          <w:rtl w:val="0"/>
        </w:rPr>
        <w:t xml:space="preserve">Versnel, ‘The Poetics of the Magic Charm</w:t>
      </w:r>
      <w:r w:rsidDel="00000000" w:rsidR="00000000" w:rsidRPr="00000000">
        <w:rPr>
          <w:sz w:val="20"/>
          <w:szCs w:val="20"/>
          <w:rtl w:val="0"/>
        </w:rPr>
        <w:t xml:space="preserve">’, </w:t>
      </w:r>
      <w:r w:rsidDel="00000000" w:rsidR="00000000" w:rsidRPr="00000000">
        <w:rPr>
          <w:sz w:val="20"/>
          <w:szCs w:val="20"/>
          <w:rtl w:val="0"/>
        </w:rPr>
        <w:t xml:space="preserve">p. 114.</w:t>
      </w:r>
      <w:r w:rsidDel="00000000" w:rsidR="00000000" w:rsidRPr="00000000">
        <w:rPr>
          <w:rtl w:val="0"/>
        </w:rPr>
      </w:r>
    </w:p>
  </w:footnote>
  <w:footnote w:id="44">
    <w:p w:rsidR="00000000" w:rsidDel="00000000" w:rsidP="00000000" w:rsidRDefault="00000000" w:rsidRPr="00000000" w14:paraId="000001AB">
      <w:pPr>
        <w:ind w:left="0" w:firstLine="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My assumption that the </w:t>
      </w:r>
      <w:r w:rsidDel="00000000" w:rsidR="00000000" w:rsidRPr="00000000">
        <w:rPr>
          <w:i w:val="1"/>
          <w:sz w:val="20"/>
          <w:szCs w:val="20"/>
          <w:rtl w:val="0"/>
        </w:rPr>
        <w:t xml:space="preserve">klima</w:t>
      </w:r>
      <w:r w:rsidDel="00000000" w:rsidR="00000000" w:rsidRPr="00000000">
        <w:rPr>
          <w:sz w:val="20"/>
          <w:szCs w:val="20"/>
          <w:rtl w:val="0"/>
        </w:rPr>
        <w:t xml:space="preserve"> in lines 410–30 are difficult to read can be certainly colored by presentism. </w:t>
      </w:r>
    </w:p>
    <w:p w:rsidR="00000000" w:rsidDel="00000000" w:rsidP="00000000" w:rsidRDefault="00000000" w:rsidRPr="00000000" w14:paraId="000001AC">
      <w:pPr>
        <w:ind w:left="720" w:firstLine="0"/>
        <w:rPr>
          <w:sz w:val="16"/>
          <w:szCs w:val="16"/>
        </w:rPr>
      </w:pPr>
      <w:r w:rsidDel="00000000" w:rsidR="00000000" w:rsidRPr="00000000">
        <w:rPr>
          <w:sz w:val="20"/>
          <w:szCs w:val="20"/>
          <w:rtl w:val="0"/>
        </w:rPr>
        <w:t xml:space="preserve">However, I still find it improbable that this </w:t>
      </w:r>
      <w:r w:rsidDel="00000000" w:rsidR="00000000" w:rsidRPr="00000000">
        <w:rPr>
          <w:i w:val="1"/>
          <w:sz w:val="20"/>
          <w:szCs w:val="20"/>
          <w:rtl w:val="0"/>
        </w:rPr>
        <w:t xml:space="preserve">klima</w:t>
      </w:r>
      <w:r w:rsidDel="00000000" w:rsidR="00000000" w:rsidRPr="00000000">
        <w:rPr>
          <w:sz w:val="20"/>
          <w:szCs w:val="20"/>
          <w:rtl w:val="0"/>
        </w:rPr>
        <w:t xml:space="preserve"> could be recited by an ancient practitioner in one sitting without some degree of ‘rehearsal’. Perhaps an investigation utilizing experimental archeology would do well here. As for the </w:t>
      </w:r>
      <w:r w:rsidDel="00000000" w:rsidR="00000000" w:rsidRPr="00000000">
        <w:rPr>
          <w:i w:val="1"/>
          <w:sz w:val="20"/>
          <w:szCs w:val="20"/>
          <w:rtl w:val="0"/>
        </w:rPr>
        <w:t xml:space="preserve">charakteres</w:t>
      </w:r>
      <w:r w:rsidDel="00000000" w:rsidR="00000000" w:rsidRPr="00000000">
        <w:rPr>
          <w:sz w:val="20"/>
          <w:szCs w:val="20"/>
          <w:rtl w:val="0"/>
        </w:rPr>
        <w:t xml:space="preserve">, perhaps they were generated as a form of cryptography. Even so, that does not mean that the scribes who compiled these spells into the PGM knew how to decrypt the </w:t>
      </w:r>
      <w:r w:rsidDel="00000000" w:rsidR="00000000" w:rsidRPr="00000000">
        <w:rPr>
          <w:i w:val="1"/>
          <w:sz w:val="20"/>
          <w:szCs w:val="20"/>
          <w:rtl w:val="0"/>
        </w:rPr>
        <w:t xml:space="preserve">charakteres</w:t>
      </w:r>
      <w:r w:rsidDel="00000000" w:rsidR="00000000" w:rsidRPr="00000000">
        <w:rPr>
          <w:sz w:val="20"/>
          <w:szCs w:val="20"/>
          <w:rtl w:val="0"/>
        </w:rPr>
        <w:t xml:space="preserve">. </w:t>
      </w:r>
      <w:r w:rsidDel="00000000" w:rsidR="00000000" w:rsidRPr="00000000">
        <w:rPr>
          <w:rtl w:val="0"/>
        </w:rPr>
      </w:r>
    </w:p>
  </w:footnote>
  <w:footnote w:id="45">
    <w:p w:rsidR="00000000" w:rsidDel="00000000" w:rsidP="00000000" w:rsidRDefault="00000000" w:rsidRPr="00000000" w14:paraId="000001AD">
      <w:pPr>
        <w:rPr>
          <w:color w:val="1f1f1f"/>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f1f1f"/>
          <w:sz w:val="20"/>
          <w:szCs w:val="20"/>
          <w:rtl w:val="0"/>
        </w:rPr>
        <w:t xml:space="preserve">Andrew Harker, ‘The Jews in Roman Egypt: Trials and Rebellions’, in </w:t>
      </w:r>
      <w:r w:rsidDel="00000000" w:rsidR="00000000" w:rsidRPr="00000000">
        <w:rPr>
          <w:i w:val="1"/>
          <w:color w:val="1f1f1f"/>
          <w:sz w:val="20"/>
          <w:szCs w:val="20"/>
          <w:rtl w:val="0"/>
        </w:rPr>
        <w:t xml:space="preserve">The Oxford Handbook of Roman Egypt</w:t>
      </w:r>
      <w:r w:rsidDel="00000000" w:rsidR="00000000" w:rsidRPr="00000000">
        <w:rPr>
          <w:color w:val="1f1f1f"/>
          <w:sz w:val="20"/>
          <w:szCs w:val="20"/>
          <w:rtl w:val="0"/>
        </w:rPr>
        <w:t xml:space="preserve">, ed. </w:t>
      </w:r>
    </w:p>
    <w:p w:rsidR="00000000" w:rsidDel="00000000" w:rsidP="00000000" w:rsidRDefault="00000000" w:rsidRPr="00000000" w14:paraId="000001AE">
      <w:pPr>
        <w:ind w:firstLine="720"/>
        <w:rPr>
          <w:color w:val="1f1f1f"/>
          <w:sz w:val="20"/>
          <w:szCs w:val="20"/>
        </w:rPr>
      </w:pPr>
      <w:r w:rsidDel="00000000" w:rsidR="00000000" w:rsidRPr="00000000">
        <w:rPr>
          <w:color w:val="1f1f1f"/>
          <w:sz w:val="20"/>
          <w:szCs w:val="20"/>
          <w:rtl w:val="0"/>
        </w:rPr>
        <w:t xml:space="preserve">by Christina Riggs (Oxford: Oxford University Press, 2012), pp. </w:t>
      </w:r>
      <w:r w:rsidDel="00000000" w:rsidR="00000000" w:rsidRPr="00000000">
        <w:rPr>
          <w:color w:val="2a2a2a"/>
          <w:sz w:val="20"/>
          <w:szCs w:val="20"/>
          <w:rtl w:val="0"/>
        </w:rPr>
        <w:t xml:space="preserve">277–87.;</w:t>
      </w:r>
      <w:r w:rsidDel="00000000" w:rsidR="00000000" w:rsidRPr="00000000">
        <w:rPr>
          <w:sz w:val="20"/>
          <w:szCs w:val="20"/>
          <w:rtl w:val="0"/>
        </w:rPr>
        <w:t xml:space="preserve"> </w:t>
      </w:r>
      <w:r w:rsidDel="00000000" w:rsidR="00000000" w:rsidRPr="00000000">
        <w:rPr>
          <w:color w:val="1f1f1f"/>
          <w:sz w:val="20"/>
          <w:szCs w:val="20"/>
          <w:rtl w:val="0"/>
        </w:rPr>
        <w:t xml:space="preserve">Michael D. Swartz, ‘Jewish </w:t>
      </w:r>
    </w:p>
    <w:p w:rsidR="00000000" w:rsidDel="00000000" w:rsidP="00000000" w:rsidRDefault="00000000" w:rsidRPr="00000000" w14:paraId="000001AF">
      <w:pPr>
        <w:ind w:left="720" w:firstLine="0"/>
        <w:rPr>
          <w:sz w:val="20"/>
          <w:szCs w:val="20"/>
        </w:rPr>
      </w:pPr>
      <w:r w:rsidDel="00000000" w:rsidR="00000000" w:rsidRPr="00000000">
        <w:rPr>
          <w:color w:val="1f1f1f"/>
          <w:sz w:val="20"/>
          <w:szCs w:val="20"/>
          <w:rtl w:val="0"/>
        </w:rPr>
        <w:t xml:space="preserve">Magic in Late Antiquity’, in </w:t>
      </w:r>
      <w:r w:rsidDel="00000000" w:rsidR="00000000" w:rsidRPr="00000000">
        <w:rPr>
          <w:i w:val="1"/>
          <w:color w:val="1f1f1f"/>
          <w:sz w:val="20"/>
          <w:szCs w:val="20"/>
          <w:rtl w:val="0"/>
        </w:rPr>
        <w:t xml:space="preserve">The Cambridge History of Judaism, Vol. 4: The Late Roman-Rabbinic Period</w:t>
      </w:r>
      <w:r w:rsidDel="00000000" w:rsidR="00000000" w:rsidRPr="00000000">
        <w:rPr>
          <w:color w:val="1f1f1f"/>
          <w:sz w:val="20"/>
          <w:szCs w:val="20"/>
          <w:rtl w:val="0"/>
        </w:rPr>
        <w:t xml:space="preserve">, ed. by Steven T. Katz (</w:t>
      </w:r>
      <w:r w:rsidDel="00000000" w:rsidR="00000000" w:rsidRPr="00000000">
        <w:rPr>
          <w:sz w:val="20"/>
          <w:szCs w:val="20"/>
          <w:highlight w:val="white"/>
          <w:rtl w:val="0"/>
        </w:rPr>
        <w:t xml:space="preserve">Cambridge: Cambridge University Press, 2006), pp. 699–720 </w:t>
      </w:r>
      <w:r w:rsidDel="00000000" w:rsidR="00000000" w:rsidRPr="00000000">
        <w:rPr>
          <w:sz w:val="20"/>
          <w:szCs w:val="20"/>
          <w:rtl w:val="0"/>
        </w:rPr>
        <w:t xml:space="preserve">(pp. 699–700).; </w:t>
      </w:r>
      <w:r w:rsidDel="00000000" w:rsidR="00000000" w:rsidRPr="00000000">
        <w:rPr>
          <w:color w:val="1f1f1f"/>
          <w:sz w:val="20"/>
          <w:szCs w:val="20"/>
          <w:rtl w:val="0"/>
        </w:rPr>
        <w:t xml:space="preserve">Frankfurter, ‘The Magic of Writing’, </w:t>
      </w:r>
      <w:r w:rsidDel="00000000" w:rsidR="00000000" w:rsidRPr="00000000">
        <w:rPr>
          <w:sz w:val="20"/>
          <w:szCs w:val="20"/>
          <w:rtl w:val="0"/>
        </w:rPr>
        <w:t xml:space="preserve">p. 627. </w:t>
      </w:r>
    </w:p>
    <w:p w:rsidR="00000000" w:rsidDel="00000000" w:rsidP="00000000" w:rsidRDefault="00000000" w:rsidRPr="00000000" w14:paraId="000001B0">
      <w:pPr>
        <w:ind w:left="720" w:firstLine="0"/>
        <w:rPr>
          <w:sz w:val="20"/>
          <w:szCs w:val="20"/>
        </w:rPr>
      </w:pPr>
      <w:r w:rsidDel="00000000" w:rsidR="00000000" w:rsidRPr="00000000">
        <w:rPr>
          <w:sz w:val="20"/>
          <w:szCs w:val="20"/>
          <w:rtl w:val="0"/>
        </w:rPr>
        <w:t xml:space="preserve">Many of the </w:t>
      </w:r>
      <w:r w:rsidDel="00000000" w:rsidR="00000000" w:rsidRPr="00000000">
        <w:rPr>
          <w:i w:val="1"/>
          <w:sz w:val="20"/>
          <w:szCs w:val="20"/>
          <w:rtl w:val="0"/>
        </w:rPr>
        <w:t xml:space="preserve">voces magicae</w:t>
      </w:r>
      <w:r w:rsidDel="00000000" w:rsidR="00000000" w:rsidRPr="00000000">
        <w:rPr>
          <w:sz w:val="20"/>
          <w:szCs w:val="20"/>
          <w:rtl w:val="0"/>
        </w:rPr>
        <w:t xml:space="preserve"> end in </w:t>
      </w:r>
      <w:r w:rsidDel="00000000" w:rsidR="00000000" w:rsidRPr="00000000">
        <w:rPr>
          <w:i w:val="1"/>
          <w:sz w:val="20"/>
          <w:szCs w:val="20"/>
          <w:rtl w:val="0"/>
        </w:rPr>
        <w:t xml:space="preserve">-th</w:t>
      </w:r>
      <w:r w:rsidDel="00000000" w:rsidR="00000000" w:rsidRPr="00000000">
        <w:rPr>
          <w:sz w:val="20"/>
          <w:szCs w:val="20"/>
          <w:rtl w:val="0"/>
        </w:rPr>
        <w:t xml:space="preserve">, which is non-existent in Greek but instead implies a Jewish origin; on the other hand, the </w:t>
      </w:r>
      <w:r w:rsidDel="00000000" w:rsidR="00000000" w:rsidRPr="00000000">
        <w:rPr>
          <w:i w:val="1"/>
          <w:sz w:val="20"/>
          <w:szCs w:val="20"/>
          <w:rtl w:val="0"/>
        </w:rPr>
        <w:t xml:space="preserve">-th</w:t>
      </w:r>
      <w:r w:rsidDel="00000000" w:rsidR="00000000" w:rsidRPr="00000000">
        <w:rPr>
          <w:sz w:val="20"/>
          <w:szCs w:val="20"/>
          <w:rtl w:val="0"/>
        </w:rPr>
        <w:t xml:space="preserve"> endings might have been improvised to make the words </w:t>
      </w:r>
      <w:r w:rsidDel="00000000" w:rsidR="00000000" w:rsidRPr="00000000">
        <w:rPr>
          <w:i w:val="1"/>
          <w:sz w:val="20"/>
          <w:szCs w:val="20"/>
          <w:rtl w:val="0"/>
        </w:rPr>
        <w:t xml:space="preserve">appear</w:t>
      </w:r>
      <w:r w:rsidDel="00000000" w:rsidR="00000000" w:rsidRPr="00000000">
        <w:rPr>
          <w:sz w:val="20"/>
          <w:szCs w:val="20"/>
          <w:rtl w:val="0"/>
        </w:rPr>
        <w:t xml:space="preserve"> Jewish in origin. Other spells, like PGM IV. 3007–86: ‘A tested charm of Pichebis for those possessed by demons’, explicitly identify themselves as ‘Hebraic charms’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IV. 3085, p. 97).</w:t>
      </w:r>
    </w:p>
    <w:p w:rsidR="00000000" w:rsidDel="00000000" w:rsidP="00000000" w:rsidRDefault="00000000" w:rsidRPr="00000000" w14:paraId="000001B1">
      <w:pPr>
        <w:ind w:left="720" w:firstLine="0"/>
        <w:rPr>
          <w:sz w:val="20"/>
          <w:szCs w:val="20"/>
        </w:rPr>
      </w:pPr>
      <w:r w:rsidDel="00000000" w:rsidR="00000000" w:rsidRPr="00000000">
        <w:rPr>
          <w:sz w:val="20"/>
          <w:szCs w:val="20"/>
          <w:rtl w:val="0"/>
        </w:rPr>
        <w:t xml:space="preserve">The Jewish alphabet and rabbinic culture were already viewed in Greco-Roman periods as being mystic, and so an infusion of Hebraic flavor, whether genuine or not, might have heightened the authority of a spell. This is punctuated by the fact that contemporary Jews in Egypt existed in their own quasi-liminal space where they were legally classed as ‘Egyptians’ after Augustus’ reorganization of Rome, but were sometimes awarded citizenship, which often invited the envy of Hellenized Egyptians.</w:t>
      </w:r>
    </w:p>
  </w:footnote>
  <w:footnote w:id="46">
    <w:p w:rsidR="00000000" w:rsidDel="00000000" w:rsidP="00000000" w:rsidRDefault="00000000" w:rsidRPr="00000000" w14:paraId="000001B2">
      <w:pPr>
        <w:rPr>
          <w:i w:val="1"/>
          <w:color w:val="1f1f1f"/>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 </w:t>
      </w:r>
      <w:r w:rsidDel="00000000" w:rsidR="00000000" w:rsidRPr="00000000">
        <w:rPr>
          <w:color w:val="1f1f1f"/>
          <w:sz w:val="20"/>
          <w:szCs w:val="20"/>
          <w:rtl w:val="0"/>
        </w:rPr>
        <w:t xml:space="preserve">Stephen Kidd, ‘Written Greek but Drawn Egyptian: Script changes in a bilingual dream papyrus’, in </w:t>
      </w:r>
      <w:r w:rsidDel="00000000" w:rsidR="00000000" w:rsidRPr="00000000">
        <w:rPr>
          <w:i w:val="1"/>
          <w:color w:val="1f1f1f"/>
          <w:sz w:val="20"/>
          <w:szCs w:val="20"/>
          <w:rtl w:val="0"/>
        </w:rPr>
        <w:t xml:space="preserve">Writing as </w:t>
      </w:r>
    </w:p>
    <w:p w:rsidR="00000000" w:rsidDel="00000000" w:rsidP="00000000" w:rsidRDefault="00000000" w:rsidRPr="00000000" w14:paraId="000001B3">
      <w:pPr>
        <w:ind w:firstLine="720"/>
        <w:rPr>
          <w:color w:val="1f1f1f"/>
          <w:sz w:val="20"/>
          <w:szCs w:val="20"/>
        </w:rPr>
      </w:pPr>
      <w:r w:rsidDel="00000000" w:rsidR="00000000" w:rsidRPr="00000000">
        <w:rPr>
          <w:i w:val="1"/>
          <w:color w:val="1f1f1f"/>
          <w:sz w:val="20"/>
          <w:szCs w:val="20"/>
          <w:rtl w:val="0"/>
        </w:rPr>
        <w:t xml:space="preserve">Material Practice: Substance, Surface and Medium, </w:t>
      </w:r>
      <w:r w:rsidDel="00000000" w:rsidR="00000000" w:rsidRPr="00000000">
        <w:rPr>
          <w:color w:val="1f1f1f"/>
          <w:sz w:val="20"/>
          <w:szCs w:val="20"/>
          <w:rtl w:val="0"/>
        </w:rPr>
        <w:t xml:space="preserve">ed. by</w:t>
      </w:r>
      <w:r w:rsidDel="00000000" w:rsidR="00000000" w:rsidRPr="00000000">
        <w:rPr>
          <w:i w:val="1"/>
          <w:color w:val="1f1f1f"/>
          <w:sz w:val="20"/>
          <w:szCs w:val="20"/>
          <w:rtl w:val="0"/>
        </w:rPr>
        <w:t xml:space="preserve"> </w:t>
      </w:r>
      <w:r w:rsidDel="00000000" w:rsidR="00000000" w:rsidRPr="00000000">
        <w:rPr>
          <w:color w:val="1f1f1f"/>
          <w:sz w:val="20"/>
          <w:szCs w:val="20"/>
          <w:rtl w:val="0"/>
        </w:rPr>
        <w:t xml:space="preserve">Kathyrn E.</w:t>
      </w:r>
      <w:r w:rsidDel="00000000" w:rsidR="00000000" w:rsidRPr="00000000">
        <w:rPr>
          <w:i w:val="1"/>
          <w:color w:val="1f1f1f"/>
          <w:sz w:val="20"/>
          <w:szCs w:val="20"/>
          <w:rtl w:val="0"/>
        </w:rPr>
        <w:t xml:space="preserve"> </w:t>
      </w:r>
      <w:r w:rsidDel="00000000" w:rsidR="00000000" w:rsidRPr="00000000">
        <w:rPr>
          <w:color w:val="1f1f1f"/>
          <w:sz w:val="20"/>
          <w:szCs w:val="20"/>
          <w:rtl w:val="0"/>
        </w:rPr>
        <w:t xml:space="preserve">Piquette and Ruth D. Whitehouse </w:t>
      </w:r>
    </w:p>
    <w:p w:rsidR="00000000" w:rsidDel="00000000" w:rsidP="00000000" w:rsidRDefault="00000000" w:rsidRPr="00000000" w14:paraId="000001B4">
      <w:pPr>
        <w:ind w:left="720" w:firstLine="0"/>
        <w:rPr>
          <w:sz w:val="20"/>
          <w:szCs w:val="20"/>
        </w:rPr>
      </w:pPr>
      <w:r w:rsidDel="00000000" w:rsidR="00000000" w:rsidRPr="00000000">
        <w:rPr>
          <w:color w:val="1f1f1f"/>
          <w:sz w:val="20"/>
          <w:szCs w:val="20"/>
          <w:rtl w:val="0"/>
        </w:rPr>
        <w:t xml:space="preserve">(London: Ubiquity Press, 2013), pp. 239–52.</w:t>
      </w:r>
      <w:r w:rsidDel="00000000" w:rsidR="00000000" w:rsidRPr="00000000">
        <w:rPr>
          <w:rtl w:val="0"/>
        </w:rPr>
      </w:r>
    </w:p>
    <w:p w:rsidR="00000000" w:rsidDel="00000000" w:rsidP="00000000" w:rsidRDefault="00000000" w:rsidRPr="00000000" w14:paraId="000001B5">
      <w:pPr>
        <w:ind w:left="720" w:firstLine="0"/>
        <w:rPr>
          <w:sz w:val="16"/>
          <w:szCs w:val="16"/>
        </w:rPr>
      </w:pPr>
      <w:r w:rsidDel="00000000" w:rsidR="00000000" w:rsidRPr="00000000">
        <w:rPr>
          <w:sz w:val="20"/>
          <w:szCs w:val="20"/>
          <w:rtl w:val="0"/>
        </w:rPr>
        <w:t xml:space="preserve">By the 4th century CE, Demotic script was mostly replaced by Greek, which perhaps added to the IV. 296’s mystique if someone other than a priest were to see it.</w:t>
      </w:r>
      <w:r w:rsidDel="00000000" w:rsidR="00000000" w:rsidRPr="00000000">
        <w:rPr>
          <w:rtl w:val="0"/>
        </w:rPr>
      </w:r>
    </w:p>
  </w:footnote>
  <w:footnote w:id="47">
    <w:p w:rsidR="00000000" w:rsidDel="00000000" w:rsidP="00000000" w:rsidRDefault="00000000" w:rsidRPr="00000000" w14:paraId="000001B6">
      <w:pPr>
        <w:rPr>
          <w:i w:val="1"/>
          <w:color w:val="1f1f1f"/>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f1f1f"/>
          <w:sz w:val="20"/>
          <w:szCs w:val="20"/>
          <w:rtl w:val="0"/>
        </w:rPr>
        <w:t xml:space="preserve">Christopher A. Faraone, </w:t>
      </w:r>
      <w:r w:rsidDel="00000000" w:rsidR="00000000" w:rsidRPr="00000000">
        <w:rPr>
          <w:i w:val="1"/>
          <w:color w:val="1f1f1f"/>
          <w:sz w:val="20"/>
          <w:szCs w:val="20"/>
          <w:rtl w:val="0"/>
        </w:rPr>
        <w:t xml:space="preserve">Vanishing Acts On Ancient Greek Amulets: From Oral Performance to Visual Design </w:t>
      </w:r>
    </w:p>
    <w:p w:rsidR="00000000" w:rsidDel="00000000" w:rsidP="00000000" w:rsidRDefault="00000000" w:rsidRPr="00000000" w14:paraId="000001B7">
      <w:pPr>
        <w:ind w:left="720" w:firstLine="0"/>
        <w:rPr>
          <w:sz w:val="16"/>
          <w:szCs w:val="16"/>
        </w:rPr>
      </w:pPr>
      <w:r w:rsidDel="00000000" w:rsidR="00000000" w:rsidRPr="00000000">
        <w:rPr>
          <w:color w:val="1f1f1f"/>
          <w:sz w:val="20"/>
          <w:szCs w:val="20"/>
          <w:rtl w:val="0"/>
        </w:rPr>
        <w:t xml:space="preserve">(London: Institute of Classical Studies, University of London, 2012), </w:t>
      </w:r>
      <w:r w:rsidDel="00000000" w:rsidR="00000000" w:rsidRPr="00000000">
        <w:rPr>
          <w:sz w:val="20"/>
          <w:szCs w:val="20"/>
          <w:rtl w:val="0"/>
        </w:rPr>
        <w:t xml:space="preserve">pp. 2–7.; Faraone argues here that </w:t>
      </w:r>
      <w:r w:rsidDel="00000000" w:rsidR="00000000" w:rsidRPr="00000000">
        <w:rPr>
          <w:i w:val="1"/>
          <w:sz w:val="20"/>
          <w:szCs w:val="20"/>
          <w:rtl w:val="0"/>
        </w:rPr>
        <w:t xml:space="preserve">klima</w:t>
      </w:r>
      <w:r w:rsidDel="00000000" w:rsidR="00000000" w:rsidRPr="00000000">
        <w:rPr>
          <w:sz w:val="20"/>
          <w:szCs w:val="20"/>
          <w:rtl w:val="0"/>
        </w:rPr>
        <w:t xml:space="preserve">e or </w:t>
      </w:r>
      <w:r w:rsidDel="00000000" w:rsidR="00000000" w:rsidRPr="00000000">
        <w:rPr>
          <w:i w:val="1"/>
          <w:sz w:val="20"/>
          <w:szCs w:val="20"/>
          <w:rtl w:val="0"/>
        </w:rPr>
        <w:t xml:space="preserve">kardioi </w:t>
      </w:r>
      <w:r w:rsidDel="00000000" w:rsidR="00000000" w:rsidRPr="00000000">
        <w:rPr>
          <w:sz w:val="20"/>
          <w:szCs w:val="20"/>
          <w:rtl w:val="0"/>
        </w:rPr>
        <w:t xml:space="preserve">were inscribed</w:t>
      </w:r>
      <w:r w:rsidDel="00000000" w:rsidR="00000000" w:rsidRPr="00000000">
        <w:rPr>
          <w:sz w:val="20"/>
          <w:szCs w:val="20"/>
          <w:rtl w:val="0"/>
        </w:rPr>
        <w:t xml:space="preserve"> initially on amulets as </w:t>
      </w:r>
      <w:r w:rsidDel="00000000" w:rsidR="00000000" w:rsidRPr="00000000">
        <w:rPr>
          <w:i w:val="1"/>
          <w:sz w:val="20"/>
          <w:szCs w:val="20"/>
          <w:rtl w:val="0"/>
        </w:rPr>
        <w:t xml:space="preserve">deletio morbi</w:t>
      </w:r>
      <w:r w:rsidDel="00000000" w:rsidR="00000000" w:rsidRPr="00000000">
        <w:rPr>
          <w:sz w:val="20"/>
          <w:szCs w:val="20"/>
          <w:rtl w:val="0"/>
        </w:rPr>
        <w:t xml:space="preserve"> and</w:t>
      </w:r>
      <w:r w:rsidDel="00000000" w:rsidR="00000000" w:rsidRPr="00000000">
        <w:rPr>
          <w:sz w:val="20"/>
          <w:szCs w:val="20"/>
          <w:rtl w:val="0"/>
        </w:rPr>
        <w:t xml:space="preserve"> that the receding lines thus represented the gradual disappearance of a certain demon or sickness. Only later on were </w:t>
      </w:r>
      <w:r w:rsidDel="00000000" w:rsidR="00000000" w:rsidRPr="00000000">
        <w:rPr>
          <w:i w:val="1"/>
          <w:sz w:val="20"/>
          <w:szCs w:val="20"/>
          <w:rtl w:val="0"/>
        </w:rPr>
        <w:t xml:space="preserve">klimae</w:t>
      </w:r>
      <w:r w:rsidDel="00000000" w:rsidR="00000000" w:rsidRPr="00000000">
        <w:rPr>
          <w:sz w:val="20"/>
          <w:szCs w:val="20"/>
          <w:rtl w:val="0"/>
        </w:rPr>
        <w:t xml:space="preserve"> and kardioi co-opted for the use of summoning demons. Whether Faraone’s point is correct or not, I’d like to add that the kardion in IV. 269 could have represented the vanishing of language itself. The use of seven lines in conjunction with the naming of Abrasax may also suggest a Gnostic influence. Geography might support their argument, since the Gnostic texts were unearthed at Nag Hammadi, which is not too far upriver from Thebes (presupposing, again, that PGM. IV was actually found at Thebes).</w:t>
      </w:r>
      <w:r w:rsidDel="00000000" w:rsidR="00000000" w:rsidRPr="00000000">
        <w:rPr>
          <w:rtl w:val="0"/>
        </w:rPr>
      </w:r>
    </w:p>
  </w:footnote>
  <w:footnote w:id="48">
    <w:p w:rsidR="00000000" w:rsidDel="00000000" w:rsidP="00000000" w:rsidRDefault="00000000" w:rsidRPr="00000000" w14:paraId="000001B8">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color w:val="1f1f1f"/>
          <w:sz w:val="20"/>
          <w:szCs w:val="20"/>
          <w:rtl w:val="0"/>
        </w:rPr>
        <w:t xml:space="preserve">The Book of the Dead: The Hieroglyphic Transcript of the Papyrus of ANI</w:t>
      </w:r>
      <w:r w:rsidDel="00000000" w:rsidR="00000000" w:rsidRPr="00000000">
        <w:rPr>
          <w:color w:val="1f1f1f"/>
          <w:sz w:val="20"/>
          <w:szCs w:val="20"/>
          <w:rtl w:val="0"/>
        </w:rPr>
        <w:t xml:space="preserve">, ed. and trans. by E.A. Wallis Budge (New York: Bell, 1960), pp. 339–46</w:t>
      </w:r>
      <w:r w:rsidDel="00000000" w:rsidR="00000000" w:rsidRPr="00000000">
        <w:rPr>
          <w:sz w:val="20"/>
          <w:szCs w:val="20"/>
          <w:rtl w:val="0"/>
        </w:rPr>
        <w:t xml:space="preserve">; Homer, </w:t>
      </w:r>
      <w:r w:rsidDel="00000000" w:rsidR="00000000" w:rsidRPr="00000000">
        <w:rPr>
          <w:i w:val="1"/>
          <w:sz w:val="20"/>
          <w:szCs w:val="20"/>
          <w:rtl w:val="0"/>
        </w:rPr>
        <w:t xml:space="preserve">Homeric Hymns. Homeric Apocrypha. Lives of Homer</w:t>
      </w:r>
      <w:r w:rsidDel="00000000" w:rsidR="00000000" w:rsidRPr="00000000">
        <w:rPr>
          <w:sz w:val="20"/>
          <w:szCs w:val="20"/>
          <w:rtl w:val="0"/>
        </w:rPr>
        <w:t xml:space="preserve">, trans. by Martin L. West, Loeb Classical Library 496 (</w:t>
      </w:r>
      <w:r w:rsidDel="00000000" w:rsidR="00000000" w:rsidRPr="00000000">
        <w:rPr>
          <w:sz w:val="20"/>
          <w:szCs w:val="20"/>
          <w:highlight w:val="white"/>
          <w:rtl w:val="0"/>
        </w:rPr>
        <w:t xml:space="preserve">Cambridge: Harvard University Press, </w:t>
      </w:r>
      <w:r w:rsidDel="00000000" w:rsidR="00000000" w:rsidRPr="00000000">
        <w:rPr>
          <w:sz w:val="20"/>
          <w:szCs w:val="20"/>
          <w:rtl w:val="0"/>
        </w:rPr>
        <w:t xml:space="preserve">2003), pp. 214–17.</w:t>
      </w:r>
    </w:p>
  </w:footnote>
  <w:footnote w:id="49">
    <w:p w:rsidR="00000000" w:rsidDel="00000000" w:rsidP="00000000" w:rsidRDefault="00000000" w:rsidRPr="00000000" w14:paraId="000001B9">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Thus, it would have been illogical if the formula had instead, hypothetically, asked the practitioner to deposit the </w:t>
      </w:r>
    </w:p>
    <w:p w:rsidR="00000000" w:rsidDel="00000000" w:rsidP="00000000" w:rsidRDefault="00000000" w:rsidRPr="00000000" w14:paraId="000001BA">
      <w:pPr>
        <w:ind w:left="720" w:firstLine="0"/>
        <w:rPr>
          <w:sz w:val="16"/>
          <w:szCs w:val="16"/>
        </w:rPr>
      </w:pPr>
      <w:r w:rsidDel="00000000" w:rsidR="00000000" w:rsidRPr="00000000">
        <w:rPr>
          <w:sz w:val="20"/>
          <w:szCs w:val="20"/>
          <w:rtl w:val="0"/>
        </w:rPr>
        <w:t xml:space="preserve">figurines at sunrise or mid-day, as those two times of day would have carried completely different meanings counter to the IV. 296’s necromantic intentions.</w:t>
      </w:r>
      <w:r w:rsidDel="00000000" w:rsidR="00000000" w:rsidRPr="00000000">
        <w:rPr>
          <w:rtl w:val="0"/>
        </w:rPr>
      </w:r>
    </w:p>
  </w:footnote>
  <w:footnote w:id="51">
    <w:p w:rsidR="00000000" w:rsidDel="00000000" w:rsidP="00000000" w:rsidRDefault="00000000" w:rsidRPr="00000000" w14:paraId="000001BB">
      <w:pPr>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IV. 447–55, p. 46. </w:t>
      </w:r>
      <w:r w:rsidDel="00000000" w:rsidR="00000000" w:rsidRPr="00000000">
        <w:rPr>
          <w:rtl w:val="0"/>
        </w:rPr>
      </w:r>
    </w:p>
  </w:footnote>
  <w:footnote w:id="52">
    <w:p w:rsidR="00000000" w:rsidDel="00000000" w:rsidP="00000000" w:rsidRDefault="00000000" w:rsidRPr="00000000" w14:paraId="000001BC">
      <w:pPr>
        <w:rPr>
          <w:i w:val="1"/>
          <w:color w:val="1f1f1f"/>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f1f1f"/>
          <w:sz w:val="20"/>
          <w:szCs w:val="20"/>
          <w:rtl w:val="0"/>
        </w:rPr>
        <w:t xml:space="preserve">Rita Lucarelli, ‘Demonology during the Late Pharaonic and Greco-Roman Periods in Egypt’, </w:t>
      </w:r>
      <w:r w:rsidDel="00000000" w:rsidR="00000000" w:rsidRPr="00000000">
        <w:rPr>
          <w:i w:val="1"/>
          <w:color w:val="1f1f1f"/>
          <w:sz w:val="20"/>
          <w:szCs w:val="20"/>
          <w:rtl w:val="0"/>
        </w:rPr>
        <w:t xml:space="preserve">Journal of Ancient </w:t>
      </w:r>
    </w:p>
    <w:p w:rsidR="00000000" w:rsidDel="00000000" w:rsidP="00000000" w:rsidRDefault="00000000" w:rsidRPr="00000000" w14:paraId="000001BD">
      <w:pPr>
        <w:ind w:firstLine="720"/>
        <w:rPr>
          <w:sz w:val="20"/>
          <w:szCs w:val="20"/>
        </w:rPr>
      </w:pPr>
      <w:r w:rsidDel="00000000" w:rsidR="00000000" w:rsidRPr="00000000">
        <w:rPr>
          <w:i w:val="1"/>
          <w:color w:val="1f1f1f"/>
          <w:sz w:val="20"/>
          <w:szCs w:val="20"/>
          <w:rtl w:val="0"/>
        </w:rPr>
        <w:t xml:space="preserve">Near Eastern Religions</w:t>
      </w:r>
      <w:r w:rsidDel="00000000" w:rsidR="00000000" w:rsidRPr="00000000">
        <w:rPr>
          <w:color w:val="1f1f1f"/>
          <w:sz w:val="20"/>
          <w:szCs w:val="20"/>
          <w:rtl w:val="0"/>
        </w:rPr>
        <w:t xml:space="preserve">, 11 (2011), pp. 109–25 (</w:t>
      </w:r>
      <w:r w:rsidDel="00000000" w:rsidR="00000000" w:rsidRPr="00000000">
        <w:rPr>
          <w:sz w:val="20"/>
          <w:szCs w:val="20"/>
          <w:rtl w:val="0"/>
        </w:rPr>
        <w:t xml:space="preserve">p. 115).</w:t>
      </w:r>
    </w:p>
  </w:footnote>
  <w:footnote w:id="53">
    <w:p w:rsidR="00000000" w:rsidDel="00000000" w:rsidP="00000000" w:rsidRDefault="00000000" w:rsidRPr="00000000" w14:paraId="000001BE">
      <w:pPr>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IV. 385, p. 45.</w:t>
      </w:r>
      <w:r w:rsidDel="00000000" w:rsidR="00000000" w:rsidRPr="00000000">
        <w:rPr>
          <w:rtl w:val="0"/>
        </w:rPr>
      </w:r>
    </w:p>
  </w:footnote>
  <w:footnote w:id="54">
    <w:p w:rsidR="00000000" w:rsidDel="00000000" w:rsidP="00000000" w:rsidRDefault="00000000" w:rsidRPr="00000000" w14:paraId="000001BF">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f1f1f"/>
          <w:sz w:val="20"/>
          <w:szCs w:val="20"/>
          <w:rtl w:val="0"/>
        </w:rPr>
        <w:t xml:space="preserve">Ogden, </w:t>
      </w:r>
      <w:r w:rsidDel="00000000" w:rsidR="00000000" w:rsidRPr="00000000">
        <w:rPr>
          <w:i w:val="1"/>
          <w:color w:val="1f1f1f"/>
          <w:sz w:val="20"/>
          <w:szCs w:val="20"/>
          <w:rtl w:val="0"/>
        </w:rPr>
        <w:t xml:space="preserve">Magic, Witchcraft and Ghosts, </w:t>
      </w:r>
      <w:r w:rsidDel="00000000" w:rsidR="00000000" w:rsidRPr="00000000">
        <w:rPr>
          <w:sz w:val="20"/>
          <w:szCs w:val="20"/>
          <w:rtl w:val="0"/>
        </w:rPr>
        <w:t xml:space="preserve">pp. 146–48</w:t>
      </w:r>
      <w:r w:rsidDel="00000000" w:rsidR="00000000" w:rsidRPr="00000000">
        <w:rPr>
          <w:color w:val="1f1f1f"/>
          <w:sz w:val="20"/>
          <w:szCs w:val="20"/>
          <w:rtl w:val="0"/>
        </w:rPr>
        <w:t xml:space="preserve">.</w:t>
      </w:r>
      <w:r w:rsidDel="00000000" w:rsidR="00000000" w:rsidRPr="00000000">
        <w:rPr>
          <w:rtl w:val="0"/>
        </w:rPr>
      </w:r>
    </w:p>
  </w:footnote>
  <w:footnote w:id="55">
    <w:p w:rsidR="00000000" w:rsidDel="00000000" w:rsidP="00000000" w:rsidRDefault="00000000" w:rsidRPr="00000000" w14:paraId="000001C0">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Plato, </w:t>
      </w:r>
      <w:r w:rsidDel="00000000" w:rsidR="00000000" w:rsidRPr="00000000">
        <w:rPr>
          <w:i w:val="1"/>
          <w:sz w:val="20"/>
          <w:szCs w:val="20"/>
          <w:rtl w:val="0"/>
        </w:rPr>
        <w:t xml:space="preserve">Lysis. Symposium. Phaedrus</w:t>
      </w:r>
      <w:r w:rsidDel="00000000" w:rsidR="00000000" w:rsidRPr="00000000">
        <w:rPr>
          <w:sz w:val="20"/>
          <w:szCs w:val="20"/>
          <w:rtl w:val="0"/>
        </w:rPr>
        <w:t xml:space="preserve">, ed. and trans. by Christopher Emlyn-Jones and William Preddy, Loeb </w:t>
      </w:r>
    </w:p>
    <w:p w:rsidR="00000000" w:rsidDel="00000000" w:rsidP="00000000" w:rsidRDefault="00000000" w:rsidRPr="00000000" w14:paraId="000001C1">
      <w:pPr>
        <w:ind w:firstLine="720"/>
        <w:rPr>
          <w:sz w:val="20"/>
          <w:szCs w:val="20"/>
        </w:rPr>
      </w:pPr>
      <w:r w:rsidDel="00000000" w:rsidR="00000000" w:rsidRPr="00000000">
        <w:rPr>
          <w:sz w:val="20"/>
          <w:szCs w:val="20"/>
          <w:rtl w:val="0"/>
        </w:rPr>
        <w:t xml:space="preserve">Classical Library 166 (Cambridge: Harvard University Press, 2022), pp. 109–321 (202d, pp. 244–47).</w:t>
      </w:r>
    </w:p>
  </w:footnote>
  <w:footnote w:id="56">
    <w:p w:rsidR="00000000" w:rsidDel="00000000" w:rsidP="00000000" w:rsidRDefault="00000000" w:rsidRPr="00000000" w14:paraId="000001C2">
      <w:pPr>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IV. 385, p. 45.</w:t>
      </w:r>
      <w:r w:rsidDel="00000000" w:rsidR="00000000" w:rsidRPr="00000000">
        <w:rPr>
          <w:rtl w:val="0"/>
        </w:rPr>
      </w:r>
    </w:p>
  </w:footnote>
  <w:footnote w:id="57">
    <w:p w:rsidR="00000000" w:rsidDel="00000000" w:rsidP="00000000" w:rsidRDefault="00000000" w:rsidRPr="00000000" w14:paraId="000001C3">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One such example: </w:t>
      </w:r>
      <w:r w:rsidDel="00000000" w:rsidR="00000000" w:rsidRPr="00000000">
        <w:rPr>
          <w:color w:val="1f1f1f"/>
          <w:sz w:val="20"/>
          <w:szCs w:val="20"/>
          <w:rtl w:val="0"/>
        </w:rPr>
        <w:t xml:space="preserve">MHH, </w:t>
      </w:r>
      <w:r w:rsidDel="00000000" w:rsidR="00000000" w:rsidRPr="00000000">
        <w:rPr>
          <w:i w:val="1"/>
          <w:color w:val="1f1f1f"/>
          <w:sz w:val="20"/>
          <w:szCs w:val="20"/>
          <w:rtl w:val="0"/>
        </w:rPr>
        <w:t xml:space="preserve">A Wondrous Spell: Necromancy in the PGM</w:t>
      </w:r>
      <w:r w:rsidDel="00000000" w:rsidR="00000000" w:rsidRPr="00000000">
        <w:rPr>
          <w:color w:val="1f1f1f"/>
          <w:sz w:val="20"/>
          <w:szCs w:val="20"/>
          <w:rtl w:val="0"/>
        </w:rPr>
        <w:t xml:space="preserve"> (Keighley: Hadean Press, 2020)</w:t>
      </w:r>
      <w:r w:rsidDel="00000000" w:rsidR="00000000" w:rsidRPr="00000000">
        <w:rPr>
          <w:rtl w:val="0"/>
        </w:rPr>
      </w:r>
    </w:p>
  </w:footnote>
  <w:footnote w:id="3">
    <w:p w:rsidR="00000000" w:rsidDel="00000000" w:rsidP="00000000" w:rsidRDefault="00000000" w:rsidRPr="00000000" w14:paraId="000001C4">
      <w:pPr>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Jacco, Dieleman, </w:t>
      </w:r>
      <w:r w:rsidDel="00000000" w:rsidR="00000000" w:rsidRPr="00000000">
        <w:rPr>
          <w:i w:val="1"/>
          <w:sz w:val="20"/>
          <w:szCs w:val="20"/>
          <w:rtl w:val="0"/>
        </w:rPr>
        <w:t xml:space="preserve">Priests, Tongues, and Rites: The London-Leiden Magical Manuscripts and Translation in </w:t>
      </w:r>
    </w:p>
    <w:p w:rsidR="00000000" w:rsidDel="00000000" w:rsidP="00000000" w:rsidRDefault="00000000" w:rsidRPr="00000000" w14:paraId="000001C5">
      <w:pPr>
        <w:ind w:left="720" w:firstLine="0"/>
        <w:rPr>
          <w:sz w:val="20"/>
          <w:szCs w:val="20"/>
        </w:rPr>
      </w:pPr>
      <w:r w:rsidDel="00000000" w:rsidR="00000000" w:rsidRPr="00000000">
        <w:rPr>
          <w:i w:val="1"/>
          <w:sz w:val="20"/>
          <w:szCs w:val="20"/>
          <w:rtl w:val="0"/>
        </w:rPr>
        <w:t xml:space="preserve">Egyptian Ritual (100–300 CE)</w:t>
      </w:r>
      <w:r w:rsidDel="00000000" w:rsidR="00000000" w:rsidRPr="00000000">
        <w:rPr>
          <w:sz w:val="20"/>
          <w:szCs w:val="20"/>
          <w:rtl w:val="0"/>
        </w:rPr>
        <w:t xml:space="preserve">, 1st edn. (Leiden: Brill, 2005), p. 16.</w:t>
      </w:r>
    </w:p>
    <w:p w:rsidR="00000000" w:rsidDel="00000000" w:rsidP="00000000" w:rsidRDefault="00000000" w:rsidRPr="00000000" w14:paraId="000001C6">
      <w:pPr>
        <w:ind w:left="720" w:firstLine="0"/>
        <w:rPr>
          <w:sz w:val="20"/>
          <w:szCs w:val="20"/>
        </w:rPr>
      </w:pPr>
      <w:r w:rsidDel="00000000" w:rsidR="00000000" w:rsidRPr="00000000">
        <w:rPr>
          <w:sz w:val="20"/>
          <w:szCs w:val="20"/>
          <w:rtl w:val="0"/>
        </w:rPr>
        <w:t xml:space="preserve">An example of Preisendanz’s numbering system in-use: the codex ‘Bibl. nat. suppl. grec 574’, archived in the Bibliothèque Nationale in Paris, was labeled as ‘PGM IV’. Therefore, one of its spells is referred to as PGM IV. 286—95 (‘Spell for picking a plant’).</w:t>
      </w:r>
    </w:p>
  </w:footnote>
  <w:footnote w:id="10">
    <w:p w:rsidR="00000000" w:rsidDel="00000000" w:rsidP="00000000" w:rsidRDefault="00000000" w:rsidRPr="00000000" w14:paraId="000001C7">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f1f1f"/>
          <w:sz w:val="20"/>
          <w:szCs w:val="20"/>
          <w:rtl w:val="0"/>
        </w:rPr>
        <w:t xml:space="preserve">LiDonnici, ‘Compositional Patterns</w:t>
      </w:r>
      <w:r w:rsidDel="00000000" w:rsidR="00000000" w:rsidRPr="00000000">
        <w:rPr>
          <w:sz w:val="20"/>
          <w:szCs w:val="20"/>
          <w:rtl w:val="0"/>
        </w:rPr>
        <w:t xml:space="preserve">’, </w:t>
      </w:r>
      <w:r w:rsidDel="00000000" w:rsidR="00000000" w:rsidRPr="00000000">
        <w:rPr>
          <w:sz w:val="20"/>
          <w:szCs w:val="20"/>
          <w:rtl w:val="0"/>
        </w:rPr>
        <w:t xml:space="preserve">p. 150. LiDonnici also notes that the block of text that IV. 296 belongs to</w:t>
      </w:r>
    </w:p>
    <w:p w:rsidR="00000000" w:rsidDel="00000000" w:rsidP="00000000" w:rsidRDefault="00000000" w:rsidRPr="00000000" w14:paraId="000001C8">
      <w:pPr>
        <w:ind w:left="720" w:firstLine="0"/>
        <w:rPr>
          <w:sz w:val="12"/>
          <w:szCs w:val="12"/>
        </w:rPr>
      </w:pPr>
      <w:r w:rsidDel="00000000" w:rsidR="00000000" w:rsidRPr="00000000">
        <w:rPr>
          <w:sz w:val="20"/>
          <w:szCs w:val="20"/>
          <w:rtl w:val="0"/>
        </w:rPr>
        <w:t xml:space="preserve"> (lines 154–1389) is highly composite, most probably combining various smaller texts that could have dated as far back as the 2nd century CE.</w:t>
      </w:r>
      <w:r w:rsidDel="00000000" w:rsidR="00000000" w:rsidRPr="00000000">
        <w:rPr>
          <w:rtl w:val="0"/>
        </w:rPr>
      </w:r>
    </w:p>
  </w:footnote>
  <w:footnote w:id="12">
    <w:p w:rsidR="00000000" w:rsidDel="00000000" w:rsidP="00000000" w:rsidRDefault="00000000" w:rsidRPr="00000000" w14:paraId="000001C9">
      <w:pPr>
        <w:rPr>
          <w:i w:val="1"/>
          <w:color w:val="272c3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72c31"/>
          <w:sz w:val="20"/>
          <w:szCs w:val="20"/>
          <w:rtl w:val="0"/>
        </w:rPr>
        <w:t xml:space="preserve">Victor Turner, ‘Betwixt and Between: The Liminal Period in</w:t>
      </w:r>
      <w:r w:rsidDel="00000000" w:rsidR="00000000" w:rsidRPr="00000000">
        <w:rPr>
          <w:i w:val="1"/>
          <w:color w:val="272c31"/>
          <w:sz w:val="20"/>
          <w:szCs w:val="20"/>
          <w:rtl w:val="0"/>
        </w:rPr>
        <w:t xml:space="preserve"> Rites de Passage</w:t>
      </w:r>
      <w:r w:rsidDel="00000000" w:rsidR="00000000" w:rsidRPr="00000000">
        <w:rPr>
          <w:color w:val="272c31"/>
          <w:sz w:val="20"/>
          <w:szCs w:val="20"/>
          <w:rtl w:val="0"/>
        </w:rPr>
        <w:t xml:space="preserve">’, in </w:t>
      </w:r>
      <w:r w:rsidDel="00000000" w:rsidR="00000000" w:rsidRPr="00000000">
        <w:rPr>
          <w:i w:val="1"/>
          <w:color w:val="272c31"/>
          <w:sz w:val="20"/>
          <w:szCs w:val="20"/>
          <w:rtl w:val="0"/>
        </w:rPr>
        <w:t xml:space="preserve">The Forest of Symbols</w:t>
      </w:r>
      <w:r w:rsidDel="00000000" w:rsidR="00000000" w:rsidRPr="00000000">
        <w:rPr>
          <w:color w:val="272c31"/>
          <w:sz w:val="20"/>
          <w:szCs w:val="20"/>
          <w:rtl w:val="0"/>
        </w:rPr>
        <w:t xml:space="preserve">: </w:t>
      </w:r>
      <w:r w:rsidDel="00000000" w:rsidR="00000000" w:rsidRPr="00000000">
        <w:rPr>
          <w:i w:val="1"/>
          <w:color w:val="272c31"/>
          <w:sz w:val="20"/>
          <w:szCs w:val="20"/>
          <w:rtl w:val="0"/>
        </w:rPr>
        <w:t xml:space="preserve">Aspects </w:t>
      </w:r>
    </w:p>
    <w:p w:rsidR="00000000" w:rsidDel="00000000" w:rsidP="00000000" w:rsidRDefault="00000000" w:rsidRPr="00000000" w14:paraId="000001CA">
      <w:pPr>
        <w:ind w:left="720" w:firstLine="0"/>
        <w:rPr>
          <w:sz w:val="20"/>
          <w:szCs w:val="20"/>
        </w:rPr>
      </w:pPr>
      <w:r w:rsidDel="00000000" w:rsidR="00000000" w:rsidRPr="00000000">
        <w:rPr>
          <w:i w:val="1"/>
          <w:color w:val="272c31"/>
          <w:sz w:val="20"/>
          <w:szCs w:val="20"/>
          <w:rtl w:val="0"/>
        </w:rPr>
        <w:t xml:space="preserve">of Ndembu Ritual</w:t>
      </w:r>
      <w:r w:rsidDel="00000000" w:rsidR="00000000" w:rsidRPr="00000000">
        <w:rPr>
          <w:color w:val="272c31"/>
          <w:sz w:val="16"/>
          <w:szCs w:val="16"/>
          <w:rtl w:val="0"/>
        </w:rPr>
        <w:t xml:space="preserve"> </w:t>
      </w:r>
      <w:r w:rsidDel="00000000" w:rsidR="00000000" w:rsidRPr="00000000">
        <w:rPr>
          <w:color w:val="272c31"/>
          <w:sz w:val="20"/>
          <w:szCs w:val="20"/>
          <w:rtl w:val="0"/>
        </w:rPr>
        <w:t xml:space="preserve">(Ithaca and London: Cornell University Press, 1967), pp. 338–47 (pp. </w:t>
      </w:r>
      <w:r w:rsidDel="00000000" w:rsidR="00000000" w:rsidRPr="00000000">
        <w:rPr>
          <w:sz w:val="20"/>
          <w:szCs w:val="20"/>
          <w:rtl w:val="0"/>
        </w:rPr>
        <w:t xml:space="preserve">340–41). Despite Turner defining liminality exclusively in regard to initiation rites, the term liminality has since been successfully applied to other events in the last 60 years. Therefore, I believe that the appropriation of the term for this paper’s analysis to be sound and justified.</w:t>
      </w:r>
    </w:p>
  </w:footnote>
  <w:footnote w:id="13">
    <w:p w:rsidR="00000000" w:rsidDel="00000000" w:rsidP="00000000" w:rsidRDefault="00000000" w:rsidRPr="00000000" w14:paraId="000001CB">
      <w:pPr>
        <w:rPr>
          <w:i w:val="1"/>
          <w:color w:val="272c3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72c31"/>
          <w:sz w:val="20"/>
          <w:szCs w:val="20"/>
          <w:rtl w:val="0"/>
        </w:rPr>
        <w:t xml:space="preserve">H.S.Versnel, ‘The Poetics of the Magic Charm: An Essay in the Power of Words’, in </w:t>
      </w:r>
      <w:r w:rsidDel="00000000" w:rsidR="00000000" w:rsidRPr="00000000">
        <w:rPr>
          <w:i w:val="1"/>
          <w:color w:val="272c31"/>
          <w:sz w:val="20"/>
          <w:szCs w:val="20"/>
          <w:rtl w:val="0"/>
        </w:rPr>
        <w:t xml:space="preserve">Magic and Ritual in the </w:t>
      </w:r>
    </w:p>
    <w:p w:rsidR="00000000" w:rsidDel="00000000" w:rsidP="00000000" w:rsidRDefault="00000000" w:rsidRPr="00000000" w14:paraId="000001CC">
      <w:pPr>
        <w:ind w:left="720" w:firstLine="0"/>
        <w:rPr>
          <w:sz w:val="20"/>
          <w:szCs w:val="20"/>
        </w:rPr>
      </w:pPr>
      <w:r w:rsidDel="00000000" w:rsidR="00000000" w:rsidRPr="00000000">
        <w:rPr>
          <w:i w:val="1"/>
          <w:color w:val="272c31"/>
          <w:sz w:val="20"/>
          <w:szCs w:val="20"/>
          <w:rtl w:val="0"/>
        </w:rPr>
        <w:t xml:space="preserve">Ancient World</w:t>
      </w:r>
      <w:r w:rsidDel="00000000" w:rsidR="00000000" w:rsidRPr="00000000">
        <w:rPr>
          <w:color w:val="272c31"/>
          <w:sz w:val="20"/>
          <w:szCs w:val="20"/>
          <w:rtl w:val="0"/>
        </w:rPr>
        <w:t xml:space="preserve">, ed. by Paul Mirecki and Marvin Meyer (London and Leiden: Brill, 2002), pp. 105–58 (p. 155). </w:t>
      </w:r>
      <w:r w:rsidDel="00000000" w:rsidR="00000000" w:rsidRPr="00000000">
        <w:rPr>
          <w:sz w:val="20"/>
          <w:szCs w:val="20"/>
          <w:rtl w:val="0"/>
        </w:rPr>
        <w:t xml:space="preserve">While Versnel writes specifically on the written and spoken elements of magical charms, this paper expands that framework to other elements of  IV. 296. </w:t>
      </w:r>
    </w:p>
  </w:footnote>
  <w:footnote w:id="30">
    <w:p w:rsidR="00000000" w:rsidDel="00000000" w:rsidP="00000000" w:rsidRDefault="00000000" w:rsidRPr="00000000" w14:paraId="000001CD">
      <w:pPr>
        <w:rPr>
          <w:color w:val="141413"/>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41413"/>
          <w:sz w:val="20"/>
          <w:szCs w:val="20"/>
          <w:rtl w:val="0"/>
        </w:rPr>
        <w:t xml:space="preserve">One such </w:t>
      </w:r>
      <w:r w:rsidDel="00000000" w:rsidR="00000000" w:rsidRPr="00000000">
        <w:rPr>
          <w:i w:val="1"/>
          <w:color w:val="141413"/>
          <w:sz w:val="20"/>
          <w:szCs w:val="20"/>
          <w:rtl w:val="0"/>
        </w:rPr>
        <w:t xml:space="preserve">defixione</w:t>
      </w:r>
      <w:r w:rsidDel="00000000" w:rsidR="00000000" w:rsidRPr="00000000">
        <w:rPr>
          <w:color w:val="141413"/>
          <w:sz w:val="20"/>
          <w:szCs w:val="20"/>
          <w:rtl w:val="0"/>
        </w:rPr>
        <w:t xml:space="preserve"> found in </w:t>
      </w:r>
      <w:r w:rsidDel="00000000" w:rsidR="00000000" w:rsidRPr="00000000">
        <w:rPr>
          <w:color w:val="141413"/>
          <w:sz w:val="20"/>
          <w:szCs w:val="20"/>
          <w:rtl w:val="0"/>
        </w:rPr>
        <w:t xml:space="preserve">Attika</w:t>
      </w:r>
      <w:r w:rsidDel="00000000" w:rsidR="00000000" w:rsidRPr="00000000">
        <w:rPr>
          <w:color w:val="141413"/>
          <w:sz w:val="20"/>
          <w:szCs w:val="20"/>
          <w:rtl w:val="0"/>
        </w:rPr>
        <w:t xml:space="preserve">, Greece (3rd century BCE) implores ‘Hermes of the underworld’ to render </w:t>
      </w:r>
    </w:p>
    <w:p w:rsidR="00000000" w:rsidDel="00000000" w:rsidP="00000000" w:rsidRDefault="00000000" w:rsidRPr="00000000" w14:paraId="000001CE">
      <w:pPr>
        <w:ind w:firstLine="720"/>
        <w:rPr>
          <w:color w:val="141413"/>
          <w:sz w:val="20"/>
          <w:szCs w:val="20"/>
        </w:rPr>
      </w:pPr>
      <w:r w:rsidDel="00000000" w:rsidR="00000000" w:rsidRPr="00000000">
        <w:rPr>
          <w:color w:val="141413"/>
          <w:sz w:val="20"/>
          <w:szCs w:val="20"/>
          <w:rtl w:val="0"/>
        </w:rPr>
        <w:t xml:space="preserve">ineffective one’s speech in an upcoming court-case: </w:t>
      </w:r>
    </w:p>
    <w:p w:rsidR="00000000" w:rsidDel="00000000" w:rsidP="00000000" w:rsidRDefault="00000000" w:rsidRPr="00000000" w14:paraId="000001CF">
      <w:pPr>
        <w:ind w:left="720" w:firstLine="0"/>
        <w:rPr>
          <w:sz w:val="20"/>
          <w:szCs w:val="20"/>
        </w:rPr>
      </w:pPr>
      <w:r w:rsidDel="00000000" w:rsidR="00000000" w:rsidRPr="00000000">
        <w:rPr>
          <w:color w:val="141413"/>
          <w:sz w:val="20"/>
          <w:szCs w:val="20"/>
          <w:rtl w:val="0"/>
        </w:rPr>
        <w:t xml:space="preserve">“</w:t>
      </w:r>
      <w:r w:rsidDel="00000000" w:rsidR="00000000" w:rsidRPr="00000000">
        <w:rPr>
          <w:sz w:val="20"/>
          <w:szCs w:val="20"/>
          <w:rtl w:val="0"/>
        </w:rPr>
        <w:t xml:space="preserve">Just as this lead is cold and passionless, in the same way also, let the words and deeds and tongue of those inscribed here be cold and passionless . . . and in a law- court…”  </w:t>
      </w:r>
    </w:p>
    <w:p w:rsidR="00000000" w:rsidDel="00000000" w:rsidP="00000000" w:rsidRDefault="00000000" w:rsidRPr="00000000" w14:paraId="000001D0">
      <w:pPr>
        <w:ind w:left="720" w:firstLine="0"/>
        <w:rPr>
          <w:sz w:val="20"/>
          <w:szCs w:val="20"/>
        </w:rPr>
      </w:pPr>
      <w:r w:rsidDel="00000000" w:rsidR="00000000" w:rsidRPr="00000000">
        <w:rPr>
          <w:sz w:val="20"/>
          <w:szCs w:val="20"/>
          <w:rtl w:val="0"/>
        </w:rPr>
        <w:t xml:space="preserve">(Eidinow, </w:t>
      </w:r>
      <w:r w:rsidDel="00000000" w:rsidR="00000000" w:rsidRPr="00000000">
        <w:rPr>
          <w:i w:val="1"/>
          <w:color w:val="1f1f1f"/>
          <w:sz w:val="20"/>
          <w:szCs w:val="20"/>
          <w:rtl w:val="0"/>
        </w:rPr>
        <w:t xml:space="preserve">Oracles, Curses, and Risk,</w:t>
      </w:r>
      <w:r w:rsidDel="00000000" w:rsidR="00000000" w:rsidRPr="00000000">
        <w:rPr>
          <w:sz w:val="20"/>
          <w:szCs w:val="20"/>
          <w:rtl w:val="0"/>
        </w:rPr>
        <w:t xml:space="preserve"> </w:t>
      </w:r>
      <w:r w:rsidDel="00000000" w:rsidR="00000000" w:rsidRPr="00000000">
        <w:rPr>
          <w:sz w:val="20"/>
          <w:szCs w:val="20"/>
          <w:rtl w:val="0"/>
        </w:rPr>
        <w:t xml:space="preserve">p. 381);</w:t>
      </w:r>
    </w:p>
    <w:p w:rsidR="00000000" w:rsidDel="00000000" w:rsidP="00000000" w:rsidRDefault="00000000" w:rsidRPr="00000000" w14:paraId="000001D1">
      <w:pPr>
        <w:ind w:left="0" w:firstLine="720"/>
        <w:rPr>
          <w:color w:val="141413"/>
          <w:sz w:val="20"/>
          <w:szCs w:val="20"/>
        </w:rPr>
      </w:pPr>
      <w:r w:rsidDel="00000000" w:rsidR="00000000" w:rsidRPr="00000000">
        <w:rPr>
          <w:color w:val="141413"/>
          <w:sz w:val="20"/>
          <w:szCs w:val="20"/>
          <w:rtl w:val="0"/>
        </w:rPr>
        <w:t xml:space="preserve">Another lead tablet recovered in Germany (1st–2nd century CE) states:</w:t>
      </w:r>
    </w:p>
    <w:p w:rsidR="00000000" w:rsidDel="00000000" w:rsidP="00000000" w:rsidRDefault="00000000" w:rsidRPr="00000000" w14:paraId="000001D2">
      <w:pPr>
        <w:spacing w:line="276" w:lineRule="auto"/>
        <w:ind w:left="720" w:firstLine="0"/>
        <w:rPr>
          <w:color w:val="141413"/>
          <w:sz w:val="20"/>
          <w:szCs w:val="20"/>
        </w:rPr>
      </w:pPr>
      <w:r w:rsidDel="00000000" w:rsidR="00000000" w:rsidRPr="00000000">
        <w:rPr>
          <w:color w:val="141413"/>
          <w:sz w:val="20"/>
          <w:szCs w:val="20"/>
          <w:rtl w:val="0"/>
        </w:rPr>
        <w:t xml:space="preserve">“The enemy thus sinks, thus Sinton and Martial of Sinton and the Adjutor of Sinton, and whoever opposes Rubrius Fronton and me, Quartio, I will bring Sinton and his Adjutor of Sinton to hell.”</w:t>
      </w:r>
    </w:p>
    <w:p w:rsidR="00000000" w:rsidDel="00000000" w:rsidP="00000000" w:rsidRDefault="00000000" w:rsidRPr="00000000" w14:paraId="000001D3">
      <w:pPr>
        <w:spacing w:line="276" w:lineRule="auto"/>
        <w:ind w:left="720" w:firstLine="0"/>
        <w:rPr>
          <w:sz w:val="20"/>
          <w:szCs w:val="20"/>
        </w:rPr>
      </w:pPr>
      <w:r w:rsidDel="00000000" w:rsidR="00000000" w:rsidRPr="00000000">
        <w:rPr>
          <w:color w:val="141413"/>
          <w:sz w:val="20"/>
          <w:szCs w:val="20"/>
          <w:rtl w:val="0"/>
        </w:rPr>
        <w:t xml:space="preserve"> (translation my own) (Auguste Audollent, ed., </w:t>
      </w:r>
      <w:r w:rsidDel="00000000" w:rsidR="00000000" w:rsidRPr="00000000">
        <w:rPr>
          <w:i w:val="1"/>
          <w:color w:val="141413"/>
          <w:sz w:val="20"/>
          <w:szCs w:val="20"/>
          <w:rtl w:val="0"/>
        </w:rPr>
        <w:t xml:space="preserve">Defixionum Tabellae Quotquot Innotuerunt Tam in Graecis Orientis Quam in Totius in Corpore Inscriptionum Atticarum Editas</w:t>
      </w:r>
      <w:r w:rsidDel="00000000" w:rsidR="00000000" w:rsidRPr="00000000">
        <w:rPr>
          <w:color w:val="141413"/>
          <w:sz w:val="20"/>
          <w:szCs w:val="20"/>
          <w:rtl w:val="0"/>
        </w:rPr>
        <w:t xml:space="preserve"> (Luteciae Parisiorum: Albert Fontemoing, 1904), p. 152.</w:t>
      </w:r>
      <w:r w:rsidDel="00000000" w:rsidR="00000000" w:rsidRPr="00000000">
        <w:rPr>
          <w:rtl w:val="0"/>
        </w:rPr>
      </w:r>
    </w:p>
  </w:footnote>
  <w:footnote w:id="11">
    <w:p w:rsidR="00000000" w:rsidDel="00000000" w:rsidP="00000000" w:rsidRDefault="00000000" w:rsidRPr="00000000" w14:paraId="000001D4">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For an overview on the contested term of “magic”: Bernd-Christian Otto, ‘Towards Historicizing "Magic" in </w:t>
      </w:r>
    </w:p>
    <w:p w:rsidR="00000000" w:rsidDel="00000000" w:rsidP="00000000" w:rsidRDefault="00000000" w:rsidRPr="00000000" w14:paraId="000001D5">
      <w:pPr>
        <w:ind w:firstLine="720"/>
        <w:rPr>
          <w:sz w:val="20"/>
          <w:szCs w:val="20"/>
        </w:rPr>
      </w:pPr>
      <w:r w:rsidDel="00000000" w:rsidR="00000000" w:rsidRPr="00000000">
        <w:rPr>
          <w:sz w:val="20"/>
          <w:szCs w:val="20"/>
          <w:rtl w:val="0"/>
        </w:rPr>
        <w:t xml:space="preserve">Antiquity’, </w:t>
      </w:r>
      <w:r w:rsidDel="00000000" w:rsidR="00000000" w:rsidRPr="00000000">
        <w:rPr>
          <w:i w:val="1"/>
          <w:sz w:val="20"/>
          <w:szCs w:val="20"/>
          <w:rtl w:val="0"/>
        </w:rPr>
        <w:t xml:space="preserve">Numen</w:t>
      </w:r>
      <w:r w:rsidDel="00000000" w:rsidR="00000000" w:rsidRPr="00000000">
        <w:rPr>
          <w:sz w:val="20"/>
          <w:szCs w:val="20"/>
          <w:rtl w:val="0"/>
        </w:rPr>
        <w:t xml:space="preserve">, 60. 2/3 (2013), pp. 308–47</w:t>
      </w:r>
    </w:p>
  </w:footnote>
  <w:footnote w:id="59">
    <w:p w:rsidR="00000000" w:rsidDel="00000000" w:rsidP="00000000" w:rsidRDefault="00000000" w:rsidRPr="00000000" w14:paraId="000001D6">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further reading: Radcliffe. G. Edmonds III, “And You Will Be Amazed: The Rhetoric of Authority in the Greek </w:t>
      </w:r>
    </w:p>
    <w:p w:rsidR="00000000" w:rsidDel="00000000" w:rsidP="00000000" w:rsidRDefault="00000000" w:rsidRPr="00000000" w14:paraId="000001D7">
      <w:pPr>
        <w:ind w:firstLine="720"/>
        <w:rPr>
          <w:sz w:val="20"/>
          <w:szCs w:val="20"/>
        </w:rPr>
      </w:pPr>
      <w:r w:rsidDel="00000000" w:rsidR="00000000" w:rsidRPr="00000000">
        <w:rPr>
          <w:sz w:val="20"/>
          <w:szCs w:val="20"/>
          <w:rtl w:val="0"/>
        </w:rPr>
        <w:t xml:space="preserve">Magical Papyri.” </w:t>
      </w:r>
      <w:r w:rsidDel="00000000" w:rsidR="00000000" w:rsidRPr="00000000">
        <w:rPr>
          <w:i w:val="1"/>
          <w:sz w:val="20"/>
          <w:szCs w:val="20"/>
          <w:rtl w:val="0"/>
        </w:rPr>
        <w:t xml:space="preserve">Archiv für Religionsgeschichte</w:t>
      </w:r>
      <w:r w:rsidDel="00000000" w:rsidR="00000000" w:rsidRPr="00000000">
        <w:rPr>
          <w:sz w:val="20"/>
          <w:szCs w:val="20"/>
          <w:rtl w:val="0"/>
        </w:rPr>
        <w:t xml:space="preserve">, 21–22.1 (2020), pp. 29–49.</w:t>
      </w:r>
    </w:p>
  </w:footnote>
  <w:footnote w:id="58">
    <w:p w:rsidR="00000000" w:rsidDel="00000000" w:rsidP="00000000" w:rsidRDefault="00000000" w:rsidRPr="00000000" w14:paraId="000001D8">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 third possibility is a sense of alienation resulting from the clash between the presentist mind and the reading of </w:t>
      </w:r>
    </w:p>
    <w:p w:rsidR="00000000" w:rsidDel="00000000" w:rsidP="00000000" w:rsidRDefault="00000000" w:rsidRPr="00000000" w14:paraId="000001D9">
      <w:pPr>
        <w:ind w:firstLine="720"/>
        <w:rPr>
          <w:sz w:val="20"/>
          <w:szCs w:val="20"/>
        </w:rPr>
      </w:pPr>
      <w:r w:rsidDel="00000000" w:rsidR="00000000" w:rsidRPr="00000000">
        <w:rPr>
          <w:sz w:val="20"/>
          <w:szCs w:val="20"/>
          <w:rtl w:val="0"/>
        </w:rPr>
        <w:t xml:space="preserve">ancient texts.</w:t>
      </w:r>
    </w:p>
  </w:footnote>
  <w:footnote w:id="37">
    <w:p w:rsidR="00000000" w:rsidDel="00000000" w:rsidP="00000000" w:rsidRDefault="00000000" w:rsidRPr="00000000" w14:paraId="000001DA">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f1f1f"/>
          <w:sz w:val="20"/>
          <w:szCs w:val="20"/>
          <w:rtl w:val="0"/>
        </w:rPr>
        <w:t xml:space="preserve">David Frankfurter, ‘The Magic of Writing in Mediterranean Antiquity’, in </w:t>
      </w:r>
      <w:r w:rsidDel="00000000" w:rsidR="00000000" w:rsidRPr="00000000">
        <w:rPr>
          <w:i w:val="1"/>
          <w:color w:val="1f1f1f"/>
          <w:sz w:val="20"/>
          <w:szCs w:val="20"/>
          <w:rtl w:val="0"/>
        </w:rPr>
        <w:t xml:space="preserve">Guide to the Study of Ancient Magic</w:t>
      </w:r>
      <w:r w:rsidDel="00000000" w:rsidR="00000000" w:rsidRPr="00000000">
        <w:rPr>
          <w:color w:val="1f1f1f"/>
          <w:sz w:val="20"/>
          <w:szCs w:val="20"/>
          <w:rtl w:val="0"/>
        </w:rPr>
        <w:t xml:space="preserve"> (London and Leiden: Brill, 2008), pp. 626–58 (p.</w:t>
      </w:r>
      <w:r w:rsidDel="00000000" w:rsidR="00000000" w:rsidRPr="00000000">
        <w:rPr>
          <w:sz w:val="20"/>
          <w:szCs w:val="20"/>
          <w:rtl w:val="0"/>
        </w:rPr>
        <w:t xml:space="preserve"> 626).</w:t>
      </w:r>
    </w:p>
  </w:footnote>
  <w:footnote w:id="38">
    <w:p w:rsidR="00000000" w:rsidDel="00000000" w:rsidP="00000000" w:rsidRDefault="00000000" w:rsidRPr="00000000" w14:paraId="000001DB">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f1f1f"/>
          <w:sz w:val="20"/>
          <w:szCs w:val="20"/>
          <w:rtl w:val="0"/>
        </w:rPr>
        <w:t xml:space="preserve">Frankfurter, ‘The Magic of Writing’, </w:t>
      </w:r>
      <w:r w:rsidDel="00000000" w:rsidR="00000000" w:rsidRPr="00000000">
        <w:rPr>
          <w:sz w:val="20"/>
          <w:szCs w:val="20"/>
          <w:rtl w:val="0"/>
        </w:rPr>
        <w:t xml:space="preserve">p. 630.</w:t>
      </w:r>
    </w:p>
    <w:p w:rsidR="00000000" w:rsidDel="00000000" w:rsidP="00000000" w:rsidRDefault="00000000" w:rsidRPr="00000000" w14:paraId="000001DC">
      <w:pPr>
        <w:rPr>
          <w:sz w:val="20"/>
          <w:szCs w:val="20"/>
        </w:rPr>
      </w:pPr>
      <w:r w:rsidDel="00000000" w:rsidR="00000000" w:rsidRPr="00000000">
        <w:rPr>
          <w:sz w:val="20"/>
          <w:szCs w:val="20"/>
          <w:rtl w:val="0"/>
        </w:rPr>
        <w:t xml:space="preserve">mention his writing on greek oral view vs egyptian scribal view</w:t>
      </w:r>
    </w:p>
  </w:footnote>
  <w:footnote w:id="40">
    <w:p w:rsidR="00000000" w:rsidDel="00000000" w:rsidP="00000000" w:rsidRDefault="00000000" w:rsidRPr="00000000" w14:paraId="000001DD">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f1f1f"/>
          <w:sz w:val="20"/>
          <w:szCs w:val="20"/>
          <w:rtl w:val="0"/>
        </w:rPr>
        <w:t xml:space="preserve">Frankfurter, ‘The Magic of Writing’, </w:t>
      </w:r>
      <w:r w:rsidDel="00000000" w:rsidR="00000000" w:rsidRPr="00000000">
        <w:rPr>
          <w:sz w:val="20"/>
          <w:szCs w:val="20"/>
          <w:rtl w:val="0"/>
        </w:rPr>
        <w:t xml:space="preserve">p. 637.</w:t>
      </w:r>
    </w:p>
  </w:footnote>
  <w:footnote w:id="7">
    <w:p w:rsidR="00000000" w:rsidDel="00000000" w:rsidP="00000000" w:rsidRDefault="00000000" w:rsidRPr="00000000" w14:paraId="000001DE">
      <w:pPr>
        <w:ind w:left="0" w:firstLine="0"/>
        <w:rPr>
          <w:color w:val="2a2a2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Further readings on the historical context of Roman Egypt: </w:t>
      </w:r>
      <w:r w:rsidDel="00000000" w:rsidR="00000000" w:rsidRPr="00000000">
        <w:rPr>
          <w:color w:val="2a2a2a"/>
          <w:sz w:val="20"/>
          <w:szCs w:val="20"/>
          <w:rtl w:val="0"/>
        </w:rPr>
        <w:t xml:space="preserve">Jördens, Andrea, ‘Status and Citizenship’, in </w:t>
      </w:r>
    </w:p>
    <w:p w:rsidR="00000000" w:rsidDel="00000000" w:rsidP="00000000" w:rsidRDefault="00000000" w:rsidRPr="00000000" w14:paraId="000001DF">
      <w:pPr>
        <w:ind w:left="720" w:firstLine="0"/>
        <w:rPr>
          <w:sz w:val="20"/>
          <w:szCs w:val="20"/>
        </w:rPr>
      </w:pPr>
      <w:r w:rsidDel="00000000" w:rsidR="00000000" w:rsidRPr="00000000">
        <w:rPr>
          <w:i w:val="1"/>
          <w:color w:val="1f1f1f"/>
          <w:sz w:val="20"/>
          <w:szCs w:val="20"/>
          <w:rtl w:val="0"/>
        </w:rPr>
        <w:t xml:space="preserve">The Oxford Handbook of Roman Egypt, </w:t>
      </w:r>
      <w:r w:rsidDel="00000000" w:rsidR="00000000" w:rsidRPr="00000000">
        <w:rPr>
          <w:color w:val="1f1f1f"/>
          <w:sz w:val="20"/>
          <w:szCs w:val="20"/>
          <w:rtl w:val="0"/>
        </w:rPr>
        <w:t xml:space="preserve">ed. by Chrisitna Riggs (Oxford: Oxford University Press, 2012), pp. </w:t>
      </w:r>
      <w:r w:rsidDel="00000000" w:rsidR="00000000" w:rsidRPr="00000000">
        <w:rPr>
          <w:color w:val="2a2a2a"/>
          <w:sz w:val="20"/>
          <w:szCs w:val="20"/>
          <w:rtl w:val="0"/>
        </w:rPr>
        <w:t xml:space="preserve">247–59; Vandorpe, Katelijn ‘Identity’, in </w:t>
      </w:r>
      <w:r w:rsidDel="00000000" w:rsidR="00000000" w:rsidRPr="00000000">
        <w:rPr>
          <w:i w:val="1"/>
          <w:color w:val="1f1f1f"/>
          <w:sz w:val="20"/>
          <w:szCs w:val="20"/>
          <w:rtl w:val="0"/>
        </w:rPr>
        <w:t xml:space="preserve">The Oxford Handbook of Roman Egypt, </w:t>
      </w:r>
      <w:r w:rsidDel="00000000" w:rsidR="00000000" w:rsidRPr="00000000">
        <w:rPr>
          <w:color w:val="1f1f1f"/>
          <w:sz w:val="20"/>
          <w:szCs w:val="20"/>
          <w:rtl w:val="0"/>
        </w:rPr>
        <w:t xml:space="preserve">ed. by Chrisitna Riggs (Oxford: Oxford University Press, 2012), pp. </w:t>
      </w:r>
      <w:r w:rsidDel="00000000" w:rsidR="00000000" w:rsidRPr="00000000">
        <w:rPr>
          <w:color w:val="2a2a2a"/>
          <w:sz w:val="20"/>
          <w:szCs w:val="20"/>
          <w:rtl w:val="0"/>
        </w:rPr>
        <w:t xml:space="preserve">260–76.</w:t>
      </w:r>
      <w:r w:rsidDel="00000000" w:rsidR="00000000" w:rsidRPr="00000000">
        <w:rPr>
          <w:rtl w:val="0"/>
        </w:rPr>
      </w:r>
    </w:p>
  </w:footnote>
  <w:footnote w:id="42">
    <w:p w:rsidR="00000000" w:rsidDel="00000000" w:rsidP="00000000" w:rsidRDefault="00000000" w:rsidRPr="00000000" w14:paraId="000001E0">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41413"/>
          <w:sz w:val="20"/>
          <w:szCs w:val="20"/>
          <w:rtl w:val="0"/>
        </w:rPr>
        <w:t xml:space="preserve">Martinez, </w:t>
      </w:r>
      <w:r w:rsidDel="00000000" w:rsidR="00000000" w:rsidRPr="00000000">
        <w:rPr>
          <w:i w:val="1"/>
          <w:color w:val="141413"/>
          <w:sz w:val="20"/>
          <w:szCs w:val="20"/>
          <w:rtl w:val="0"/>
        </w:rPr>
        <w:t xml:space="preserve">A Greek Love Charm</w:t>
      </w:r>
      <w:r w:rsidDel="00000000" w:rsidR="00000000" w:rsidRPr="00000000">
        <w:rPr>
          <w:color w:val="141413"/>
          <w:sz w:val="20"/>
          <w:szCs w:val="20"/>
          <w:rtl w:val="0"/>
        </w:rPr>
        <w:t xml:space="preserve">,</w:t>
      </w:r>
      <w:r w:rsidDel="00000000" w:rsidR="00000000" w:rsidRPr="00000000">
        <w:rPr>
          <w:sz w:val="20"/>
          <w:szCs w:val="20"/>
          <w:rtl w:val="0"/>
        </w:rPr>
        <w:t xml:space="preserve"> p. 14.</w:t>
      </w:r>
    </w:p>
  </w:footnote>
  <w:footnote w:id="32">
    <w:p w:rsidR="00000000" w:rsidDel="00000000" w:rsidP="00000000" w:rsidRDefault="00000000" w:rsidRPr="00000000" w14:paraId="000001E1">
      <w:pPr>
        <w:shd w:fill="ffffff" w:val="clear"/>
        <w:spacing w:after="20" w:lineRule="auto"/>
        <w:rPr>
          <w:i w:val="1"/>
          <w:color w:val="1f1f1f"/>
          <w:sz w:val="20"/>
          <w:szCs w:val="20"/>
        </w:rPr>
      </w:pPr>
      <w:r w:rsidDel="00000000" w:rsidR="00000000" w:rsidRPr="00000000">
        <w:rPr>
          <w:rStyle w:val="FootnoteReference"/>
          <w:vertAlign w:val="superscript"/>
        </w:rPr>
        <w:footnoteRef/>
      </w:r>
      <w:r w:rsidDel="00000000" w:rsidR="00000000" w:rsidRPr="00000000">
        <w:rPr>
          <w:color w:val="1f1f1f"/>
          <w:sz w:val="20"/>
          <w:szCs w:val="20"/>
          <w:rtl w:val="0"/>
        </w:rPr>
        <w:t xml:space="preserve">Jordynn Jack and Emma M. Duvall, ‘Reconsidering Kairos through the Gendered History of Weaving’, </w:t>
      </w:r>
      <w:r w:rsidDel="00000000" w:rsidR="00000000" w:rsidRPr="00000000">
        <w:rPr>
          <w:i w:val="1"/>
          <w:color w:val="1f1f1f"/>
          <w:sz w:val="20"/>
          <w:szCs w:val="20"/>
          <w:rtl w:val="0"/>
        </w:rPr>
        <w:t xml:space="preserve">Rhetoric </w:t>
      </w:r>
    </w:p>
    <w:p w:rsidR="00000000" w:rsidDel="00000000" w:rsidP="00000000" w:rsidRDefault="00000000" w:rsidRPr="00000000" w14:paraId="000001E2">
      <w:pPr>
        <w:shd w:fill="ffffff" w:val="clear"/>
        <w:spacing w:after="20" w:lineRule="auto"/>
        <w:ind w:firstLine="720"/>
        <w:rPr>
          <w:sz w:val="16"/>
          <w:szCs w:val="16"/>
        </w:rPr>
      </w:pPr>
      <w:r w:rsidDel="00000000" w:rsidR="00000000" w:rsidRPr="00000000">
        <w:rPr>
          <w:i w:val="1"/>
          <w:color w:val="1f1f1f"/>
          <w:sz w:val="20"/>
          <w:szCs w:val="20"/>
          <w:rtl w:val="0"/>
        </w:rPr>
        <w:t xml:space="preserve">Society Quarterly</w:t>
      </w:r>
      <w:r w:rsidDel="00000000" w:rsidR="00000000" w:rsidRPr="00000000">
        <w:rPr>
          <w:color w:val="1f1f1f"/>
          <w:sz w:val="20"/>
          <w:szCs w:val="20"/>
          <w:rtl w:val="0"/>
        </w:rPr>
        <w:t xml:space="preserve">, 54.1 (2024), pp. 52–67 (pp. 52–53).</w:t>
      </w:r>
      <w:r w:rsidDel="00000000" w:rsidR="00000000" w:rsidRPr="00000000">
        <w:rPr>
          <w:rtl w:val="0"/>
        </w:rPr>
      </w:r>
    </w:p>
  </w:footnote>
  <w:footnote w:id="50">
    <w:p w:rsidR="00000000" w:rsidDel="00000000" w:rsidP="00000000" w:rsidRDefault="00000000" w:rsidRPr="00000000" w14:paraId="000001E3">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Betz, </w:t>
      </w:r>
      <w:r w:rsidDel="00000000" w:rsidR="00000000" w:rsidRPr="00000000">
        <w:rPr>
          <w:i w:val="1"/>
          <w:sz w:val="20"/>
          <w:szCs w:val="20"/>
          <w:rtl w:val="0"/>
        </w:rPr>
        <w:t xml:space="preserve">The Greek Magical Papyri,</w:t>
      </w:r>
      <w:r w:rsidDel="00000000" w:rsidR="00000000" w:rsidRPr="00000000">
        <w:rPr>
          <w:sz w:val="20"/>
          <w:szCs w:val="20"/>
          <w:rtl w:val="0"/>
        </w:rPr>
        <w:t xml:space="preserve"> IV. 375–80, p. 45.</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Arial" w:cs="Arial" w:eastAsia="Arial" w:hAnsi="Arial"/>
      <w:b w:val="1"/>
      <w:sz w:val="32"/>
      <w:szCs w:val="32"/>
      <w:vertAlign w:val="baseline"/>
    </w:rPr>
  </w:style>
  <w:style w:type="paragraph" w:styleId="Heading2">
    <w:name w:val="heading 2"/>
    <w:basedOn w:val="Normal"/>
    <w:next w:val="Normal"/>
    <w:pPr>
      <w:keepNext w:val="1"/>
      <w:spacing w:after="60" w:before="240" w:lineRule="auto"/>
    </w:pPr>
    <w:rPr>
      <w:rFonts w:ascii="Arial" w:cs="Arial" w:eastAsia="Arial" w:hAnsi="Arial"/>
      <w:b w:val="1"/>
      <w:i w:val="1"/>
      <w:sz w:val="28"/>
      <w:szCs w:val="28"/>
      <w:vertAlign w:val="baseline"/>
    </w:rPr>
  </w:style>
  <w:style w:type="paragraph" w:styleId="Heading3">
    <w:name w:val="heading 3"/>
    <w:basedOn w:val="Normal"/>
    <w:next w:val="Normal"/>
    <w:pPr>
      <w:keepNext w:val="1"/>
      <w:ind w:left="720"/>
      <w:jc w:val="both"/>
    </w:pPr>
    <w:rPr>
      <w:rFonts w:ascii="Tahoma" w:cs="Tahoma" w:eastAsia="Tahoma" w:hAnsi="Tahoma"/>
      <w:b w:val="1"/>
      <w:sz w:val="20"/>
      <w:szCs w:val="20"/>
      <w:vertAlign w:val="baselin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Arial" w:cs="Arial" w:eastAsia="Arial" w:hAnsi="Arial"/>
      <w:b w:val="1"/>
      <w:sz w:val="32"/>
      <w:szCs w:val="32"/>
      <w:vertAlign w:val="baseline"/>
    </w:rPr>
  </w:style>
  <w:style w:type="paragraph" w:styleId="Heading2">
    <w:name w:val="heading 2"/>
    <w:basedOn w:val="Normal"/>
    <w:next w:val="Normal"/>
    <w:pPr>
      <w:keepNext w:val="1"/>
      <w:spacing w:after="60" w:before="240" w:lineRule="auto"/>
    </w:pPr>
    <w:rPr>
      <w:rFonts w:ascii="Arial" w:cs="Arial" w:eastAsia="Arial" w:hAnsi="Arial"/>
      <w:b w:val="1"/>
      <w:i w:val="1"/>
      <w:sz w:val="28"/>
      <w:szCs w:val="28"/>
      <w:vertAlign w:val="baseline"/>
    </w:rPr>
  </w:style>
  <w:style w:type="paragraph" w:styleId="Heading3">
    <w:name w:val="heading 3"/>
    <w:basedOn w:val="Normal"/>
    <w:next w:val="Normal"/>
    <w:pPr>
      <w:keepNext w:val="1"/>
      <w:ind w:left="720"/>
      <w:jc w:val="both"/>
    </w:pPr>
    <w:rPr>
      <w:rFonts w:ascii="Tahoma" w:cs="Tahoma" w:eastAsia="Tahoma" w:hAnsi="Tahoma"/>
      <w:b w:val="1"/>
      <w:sz w:val="20"/>
      <w:szCs w:val="20"/>
      <w:vertAlign w:val="baselin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Arial" w:cs="Arial" w:eastAsia="Arial" w:hAnsi="Arial"/>
      <w:b w:val="1"/>
      <w:sz w:val="32"/>
      <w:szCs w:val="32"/>
      <w:vertAlign w:val="baseline"/>
    </w:rPr>
  </w:style>
  <w:style w:type="paragraph" w:styleId="Heading2">
    <w:name w:val="heading 2"/>
    <w:basedOn w:val="Normal"/>
    <w:next w:val="Normal"/>
    <w:pPr>
      <w:keepNext w:val="1"/>
      <w:spacing w:after="60" w:before="240" w:lineRule="auto"/>
    </w:pPr>
    <w:rPr>
      <w:rFonts w:ascii="Arial" w:cs="Arial" w:eastAsia="Arial" w:hAnsi="Arial"/>
      <w:b w:val="1"/>
      <w:i w:val="1"/>
      <w:sz w:val="28"/>
      <w:szCs w:val="28"/>
      <w:vertAlign w:val="baseline"/>
    </w:rPr>
  </w:style>
  <w:style w:type="paragraph" w:styleId="Heading3">
    <w:name w:val="heading 3"/>
    <w:basedOn w:val="Normal"/>
    <w:next w:val="Normal"/>
    <w:pPr>
      <w:keepNext w:val="1"/>
      <w:ind w:left="720"/>
      <w:jc w:val="both"/>
    </w:pPr>
    <w:rPr>
      <w:rFonts w:ascii="Tahoma" w:cs="Tahoma" w:eastAsia="Tahoma" w:hAnsi="Tahoma"/>
      <w:b w:val="1"/>
      <w:sz w:val="20"/>
      <w:szCs w:val="20"/>
      <w:vertAlign w:val="baselin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name w:val="Normal"/>
    <w:next w:val="Normal"/>
    <w:autoRedefine w:val="0"/>
    <w:hidden w:val="0"/>
    <w:qFormat w:val="0"/>
    <w:pPr>
      <w:suppressAutoHyphens w:val="1"/>
      <w:spacing w:line="1" w:lineRule="atLeast"/>
      <w:ind w:leftChars="-1" w:rightChars="0" w:firstLineChars="-1"/>
      <w:textDirection w:val="btLr"/>
      <w:textAlignment w:val="top"/>
      <w:outlineLvl w:val="0"/>
    </w:pPr>
    <w:rPr>
      <w:w w:val="100"/>
      <w:position w:val="-1"/>
      <w:sz w:val="24"/>
      <w:szCs w:val="24"/>
      <w:effect w:val="none"/>
      <w:vertAlign w:val="baseline"/>
      <w:cs w:val="0"/>
      <w:em w:val="none"/>
      <w:lang w:bidi="ar-SA" w:eastAsia="zh-CN" w:val="en-GB"/>
    </w:rPr>
  </w:style>
  <w:style w:type="paragraph" w:styleId="Heading1">
    <w:name w:val="Heading 1"/>
    <w:basedOn w:val="Normal"/>
    <w:next w:val="Normal"/>
    <w:autoRedefine w:val="0"/>
    <w:hidden w:val="0"/>
    <w:qFormat w:val="0"/>
    <w:pPr>
      <w:keepNext w:val="1"/>
      <w:suppressAutoHyphens w:val="1"/>
      <w:spacing w:after="60" w:before="240" w:line="1" w:lineRule="atLeast"/>
      <w:ind w:leftChars="-1" w:rightChars="0" w:firstLineChars="-1"/>
      <w:textDirection w:val="btLr"/>
      <w:textAlignment w:val="top"/>
      <w:outlineLvl w:val="0"/>
    </w:pPr>
    <w:rPr>
      <w:rFonts w:ascii="Arial" w:cs="Arial" w:hAnsi="Arial"/>
      <w:b w:val="1"/>
      <w:bCs w:val="1"/>
      <w:w w:val="100"/>
      <w:kern w:val="32"/>
      <w:position w:val="-1"/>
      <w:sz w:val="32"/>
      <w:szCs w:val="32"/>
      <w:effect w:val="none"/>
      <w:vertAlign w:val="baseline"/>
      <w:cs w:val="0"/>
      <w:em w:val="none"/>
      <w:lang w:bidi="ar-SA" w:eastAsia="zh-CN" w:val="en-GB"/>
    </w:rPr>
  </w:style>
  <w:style w:type="paragraph" w:styleId="Heading2">
    <w:name w:val="Heading 2"/>
    <w:basedOn w:val="Normal"/>
    <w:next w:val="Normal"/>
    <w:autoRedefine w:val="0"/>
    <w:hidden w:val="0"/>
    <w:qFormat w:val="0"/>
    <w:pPr>
      <w:keepNext w:val="1"/>
      <w:suppressAutoHyphens w:val="1"/>
      <w:spacing w:after="60" w:before="240" w:line="1" w:lineRule="atLeast"/>
      <w:ind w:leftChars="-1" w:rightChars="0" w:firstLineChars="-1"/>
      <w:textDirection w:val="btLr"/>
      <w:textAlignment w:val="top"/>
      <w:outlineLvl w:val="1"/>
    </w:pPr>
    <w:rPr>
      <w:rFonts w:ascii="Arial" w:cs="Arial" w:hAnsi="Arial"/>
      <w:b w:val="1"/>
      <w:bCs w:val="1"/>
      <w:i w:val="1"/>
      <w:iCs w:val="1"/>
      <w:w w:val="100"/>
      <w:position w:val="-1"/>
      <w:sz w:val="28"/>
      <w:szCs w:val="28"/>
      <w:effect w:val="none"/>
      <w:vertAlign w:val="baseline"/>
      <w:cs w:val="0"/>
      <w:em w:val="none"/>
      <w:lang w:bidi="ar-SA" w:eastAsia="zh-CN" w:val="en-GB"/>
    </w:rPr>
  </w:style>
  <w:style w:type="paragraph" w:styleId="Heading3">
    <w:name w:val="Heading 3"/>
    <w:basedOn w:val="Normal"/>
    <w:next w:val="Heading3"/>
    <w:autoRedefine w:val="0"/>
    <w:hidden w:val="0"/>
    <w:qFormat w:val="0"/>
    <w:pPr>
      <w:keepNext w:val="1"/>
      <w:suppressAutoHyphens w:val="1"/>
      <w:spacing w:line="1" w:lineRule="atLeast"/>
      <w:ind w:left="720" w:leftChars="-1" w:rightChars="0" w:firstLineChars="-1"/>
      <w:jc w:val="both"/>
      <w:textDirection w:val="btLr"/>
      <w:textAlignment w:val="top"/>
      <w:outlineLvl w:val="2"/>
    </w:pPr>
    <w:rPr>
      <w:rFonts w:ascii="Tahoma" w:cs="Tahoma" w:hAnsi="Tahoma"/>
      <w:b w:val="1"/>
      <w:bCs w:val="1"/>
      <w:w w:val="100"/>
      <w:position w:val="-1"/>
      <w:sz w:val="20"/>
      <w:szCs w:val="20"/>
      <w:effect w:val="none"/>
      <w:vertAlign w:val="baseline"/>
      <w:cs w:val="0"/>
      <w:em w:val="none"/>
      <w:lang w:bidi="ar-SA" w:eastAsia="zh-CN" w:val="en-GB"/>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table" w:styleId="TableNormal">
    <w:name w:val="Table Normal"/>
    <w:next w:val="TableNormal"/>
    <w:autoRedefine w:val="0"/>
    <w:hidden w:val="0"/>
    <w:qFormat w:val="0"/>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jc w:val="left"/>
      <w:tblInd w:w="0.0" w:type="dxa"/>
      <w:tblCellMar>
        <w:top w:w="0.0" w:type="dxa"/>
        <w:left w:w="108.0" w:type="dxa"/>
        <w:bottom w:w="0.0" w:type="dxa"/>
        <w:right w:w="108.0" w:type="dxa"/>
      </w:tblCellMar>
    </w:tblPr>
  </w:style>
  <w:style w:type="numbering" w:styleId="NoList">
    <w:name w:val="No List"/>
    <w:next w:val="NoList"/>
    <w:autoRedefine w:val="0"/>
    <w:hidden w:val="0"/>
    <w:qFormat w:val="0"/>
    <w:pPr>
      <w:suppressAutoHyphens w:val="1"/>
      <w:spacing w:line="1" w:lineRule="atLeast"/>
      <w:ind w:leftChars="-1" w:rightChars="0" w:firstLineChars="-1"/>
      <w:textDirection w:val="btLr"/>
      <w:textAlignment w:val="top"/>
      <w:outlineLvl w:val="0"/>
    </w:pPr>
  </w:style>
  <w:style w:type="paragraph" w:styleId="Normal(Web)">
    <w:name w:val="Normal (Web)"/>
    <w:basedOn w:val="Normal"/>
    <w:next w:val="Normal(Web)"/>
    <w:autoRedefine w:val="0"/>
    <w:hidden w:val="0"/>
    <w:qFormat w:val="0"/>
    <w:pPr>
      <w:suppressAutoHyphens w:val="1"/>
      <w:spacing w:after="100" w:afterAutospacing="1" w:before="100" w:beforeAutospacing="1" w:line="1" w:lineRule="atLeast"/>
      <w:ind w:leftChars="-1" w:rightChars="0" w:firstLineChars="-1"/>
      <w:textDirection w:val="btLr"/>
      <w:textAlignment w:val="top"/>
      <w:outlineLvl w:val="0"/>
    </w:pPr>
    <w:rPr>
      <w:rFonts w:ascii="Georgia" w:hAnsi="Georgia"/>
      <w:color w:val="000000"/>
      <w:w w:val="100"/>
      <w:position w:val="-1"/>
      <w:sz w:val="21"/>
      <w:szCs w:val="21"/>
      <w:effect w:val="none"/>
      <w:vertAlign w:val="baseline"/>
      <w:cs w:val="0"/>
      <w:em w:val="none"/>
      <w:lang w:bidi="ar-SA" w:eastAsia="zh-CN" w:val="en-GB"/>
    </w:rPr>
  </w:style>
  <w:style w:type="character" w:styleId="CommentReference">
    <w:name w:val="Comment Reference"/>
    <w:next w:val="CommentReference"/>
    <w:autoRedefine w:val="0"/>
    <w:hidden w:val="0"/>
    <w:qFormat w:val="0"/>
    <w:rPr>
      <w:w w:val="100"/>
      <w:position w:val="-1"/>
      <w:sz w:val="16"/>
      <w:szCs w:val="16"/>
      <w:effect w:val="none"/>
      <w:vertAlign w:val="baseline"/>
      <w:cs w:val="0"/>
      <w:em w:val="none"/>
      <w:lang/>
    </w:rPr>
  </w:style>
  <w:style w:type="paragraph" w:styleId="CommentText">
    <w:name w:val="Comment Text"/>
    <w:basedOn w:val="Normal"/>
    <w:next w:val="CommentText"/>
    <w:autoRedefine w:val="0"/>
    <w:hidden w:val="0"/>
    <w:qFormat w:val="0"/>
    <w:pPr>
      <w:suppressAutoHyphens w:val="1"/>
      <w:spacing w:line="1" w:lineRule="atLeast"/>
      <w:ind w:leftChars="-1" w:rightChars="0" w:firstLineChars="-1"/>
      <w:textDirection w:val="btLr"/>
      <w:textAlignment w:val="top"/>
      <w:outlineLvl w:val="0"/>
    </w:pPr>
    <w:rPr>
      <w:w w:val="100"/>
      <w:position w:val="-1"/>
      <w:sz w:val="20"/>
      <w:szCs w:val="20"/>
      <w:effect w:val="none"/>
      <w:vertAlign w:val="baseline"/>
      <w:cs w:val="0"/>
      <w:em w:val="none"/>
      <w:lang w:bidi="ar-SA" w:eastAsia="zh-CN" w:val="und"/>
    </w:rPr>
  </w:style>
  <w:style w:type="character" w:styleId="CommentTextChar">
    <w:name w:val="Comment Text Char"/>
    <w:next w:val="CommentTextChar"/>
    <w:autoRedefine w:val="0"/>
    <w:hidden w:val="0"/>
    <w:qFormat w:val="0"/>
    <w:rPr>
      <w:w w:val="100"/>
      <w:position w:val="-1"/>
      <w:effect w:val="none"/>
      <w:vertAlign w:val="baseline"/>
      <w:cs w:val="0"/>
      <w:em w:val="none"/>
      <w:lang w:eastAsia="zh-CN"/>
    </w:rPr>
  </w:style>
  <w:style w:type="paragraph" w:styleId="CommentSubject">
    <w:name w:val="Comment Subject"/>
    <w:basedOn w:val="CommentText"/>
    <w:next w:val="CommentText"/>
    <w:autoRedefine w:val="0"/>
    <w:hidden w:val="0"/>
    <w:qFormat w:val="0"/>
    <w:pPr>
      <w:suppressAutoHyphens w:val="1"/>
      <w:spacing w:line="1" w:lineRule="atLeast"/>
      <w:ind w:leftChars="-1" w:rightChars="0" w:firstLineChars="-1"/>
      <w:textDirection w:val="btLr"/>
      <w:textAlignment w:val="top"/>
      <w:outlineLvl w:val="0"/>
    </w:pPr>
    <w:rPr>
      <w:b w:val="1"/>
      <w:bCs w:val="1"/>
      <w:w w:val="100"/>
      <w:position w:val="-1"/>
      <w:sz w:val="20"/>
      <w:szCs w:val="20"/>
      <w:effect w:val="none"/>
      <w:vertAlign w:val="baseline"/>
      <w:cs w:val="0"/>
      <w:em w:val="none"/>
      <w:lang w:bidi="ar-SA" w:eastAsia="zh-CN" w:val="und"/>
    </w:rPr>
  </w:style>
  <w:style w:type="character" w:styleId="CommentSubjectChar">
    <w:name w:val="Comment Subject Char"/>
    <w:next w:val="CommentSubjectChar"/>
    <w:autoRedefine w:val="0"/>
    <w:hidden w:val="0"/>
    <w:qFormat w:val="0"/>
    <w:rPr>
      <w:b w:val="1"/>
      <w:bCs w:val="1"/>
      <w:w w:val="100"/>
      <w:position w:val="-1"/>
      <w:effect w:val="none"/>
      <w:vertAlign w:val="baseline"/>
      <w:cs w:val="0"/>
      <w:em w:val="none"/>
      <w:lang w:eastAsia="zh-CN"/>
    </w:rPr>
  </w:style>
  <w:style w:type="paragraph" w:styleId="BalloonText">
    <w:name w:val="Balloon Text"/>
    <w:basedOn w:val="Normal"/>
    <w:next w:val="BalloonText"/>
    <w:autoRedefine w:val="0"/>
    <w:hidden w:val="0"/>
    <w:qFormat w:val="0"/>
    <w:pPr>
      <w:suppressAutoHyphens w:val="1"/>
      <w:spacing w:line="1" w:lineRule="atLeast"/>
      <w:ind w:leftChars="-1" w:rightChars="0" w:firstLineChars="-1"/>
      <w:textDirection w:val="btLr"/>
      <w:textAlignment w:val="top"/>
      <w:outlineLvl w:val="0"/>
    </w:pPr>
    <w:rPr>
      <w:rFonts w:ascii="Tahoma" w:hAnsi="Tahoma"/>
      <w:w w:val="100"/>
      <w:position w:val="-1"/>
      <w:sz w:val="16"/>
      <w:szCs w:val="16"/>
      <w:effect w:val="none"/>
      <w:vertAlign w:val="baseline"/>
      <w:cs w:val="0"/>
      <w:em w:val="none"/>
      <w:lang w:bidi="ar-SA" w:eastAsia="zh-CN" w:val="und"/>
    </w:rPr>
  </w:style>
  <w:style w:type="character" w:styleId="BalloonTextChar">
    <w:name w:val="Balloon Text Char"/>
    <w:next w:val="BalloonTextChar"/>
    <w:autoRedefine w:val="0"/>
    <w:hidden w:val="0"/>
    <w:qFormat w:val="0"/>
    <w:rPr>
      <w:rFonts w:ascii="Tahoma" w:cs="Tahoma" w:hAnsi="Tahoma"/>
      <w:w w:val="100"/>
      <w:position w:val="-1"/>
      <w:sz w:val="16"/>
      <w:szCs w:val="16"/>
      <w:effect w:val="none"/>
      <w:vertAlign w:val="baseline"/>
      <w:cs w:val="0"/>
      <w:em w:val="none"/>
      <w:lang w:eastAsia="zh-CN"/>
    </w:rPr>
  </w:style>
  <w:style w:type="paragraph" w:styleId="Header">
    <w:name w:val="Header"/>
    <w:basedOn w:val="Normal"/>
    <w:next w:val="Header"/>
    <w:autoRedefine w:val="0"/>
    <w:hidden w:val="0"/>
    <w:qFormat w:val="1"/>
    <w:pPr>
      <w:tabs>
        <w:tab w:val="center" w:leader="none" w:pos="4513"/>
        <w:tab w:val="right" w:leader="none" w:pos="9026"/>
      </w:tabs>
      <w:suppressAutoHyphens w:val="1"/>
      <w:spacing w:line="1" w:lineRule="atLeast"/>
      <w:ind w:leftChars="-1" w:rightChars="0" w:firstLineChars="-1"/>
      <w:textDirection w:val="btLr"/>
      <w:textAlignment w:val="top"/>
      <w:outlineLvl w:val="0"/>
    </w:pPr>
    <w:rPr>
      <w:rFonts w:ascii="Trebuchet MS" w:eastAsia="Calibri" w:hAnsi="Trebuchet MS"/>
      <w:w w:val="100"/>
      <w:position w:val="-1"/>
      <w:sz w:val="22"/>
      <w:szCs w:val="20"/>
      <w:effect w:val="none"/>
      <w:vertAlign w:val="baseline"/>
      <w:cs w:val="0"/>
      <w:em w:val="none"/>
      <w:lang w:bidi="ar-SA" w:eastAsia="zh-CN" w:val="und"/>
    </w:rPr>
  </w:style>
  <w:style w:type="character" w:styleId="HeaderChar">
    <w:name w:val="Header Char"/>
    <w:next w:val="HeaderChar"/>
    <w:autoRedefine w:val="0"/>
    <w:hidden w:val="0"/>
    <w:qFormat w:val="0"/>
    <w:rPr>
      <w:rFonts w:ascii="Trebuchet MS" w:cs="Tahoma" w:eastAsia="Calibri" w:hAnsi="Trebuchet MS"/>
      <w:w w:val="100"/>
      <w:position w:val="-1"/>
      <w:sz w:val="22"/>
      <w:effect w:val="none"/>
      <w:vertAlign w:val="baseline"/>
      <w:cs w:val="0"/>
      <w:em w:val="none"/>
      <w:lang w:eastAsia="en-US"/>
    </w:rPr>
  </w:style>
  <w:style w:type="paragraph" w:styleId="Footer">
    <w:name w:val="Footer"/>
    <w:basedOn w:val="Normal"/>
    <w:next w:val="Footer"/>
    <w:autoRedefine w:val="0"/>
    <w:hidden w:val="0"/>
    <w:qFormat w:val="0"/>
    <w:pPr>
      <w:tabs>
        <w:tab w:val="center" w:leader="none" w:pos="4513"/>
        <w:tab w:val="right" w:leader="none" w:pos="9026"/>
      </w:tabs>
      <w:suppressAutoHyphens w:val="1"/>
      <w:spacing w:line="1" w:lineRule="atLeast"/>
      <w:ind w:leftChars="-1" w:rightChars="0" w:firstLineChars="-1"/>
      <w:textDirection w:val="btLr"/>
      <w:textAlignment w:val="top"/>
      <w:outlineLvl w:val="0"/>
    </w:pPr>
    <w:rPr>
      <w:w w:val="100"/>
      <w:position w:val="-1"/>
      <w:sz w:val="24"/>
      <w:szCs w:val="24"/>
      <w:effect w:val="none"/>
      <w:vertAlign w:val="baseline"/>
      <w:cs w:val="0"/>
      <w:em w:val="none"/>
      <w:lang w:bidi="ar-SA" w:eastAsia="zh-CN" w:val="und"/>
    </w:rPr>
  </w:style>
  <w:style w:type="character" w:styleId="FooterChar">
    <w:name w:val="Footer Char"/>
    <w:next w:val="FooterChar"/>
    <w:autoRedefine w:val="0"/>
    <w:hidden w:val="0"/>
    <w:qFormat w:val="0"/>
    <w:rPr>
      <w:w w:val="100"/>
      <w:position w:val="-1"/>
      <w:sz w:val="24"/>
      <w:szCs w:val="24"/>
      <w:effect w:val="none"/>
      <w:vertAlign w:val="baseline"/>
      <w:cs w:val="0"/>
      <w:em w:val="none"/>
      <w:lang w:eastAsia="zh-CN"/>
    </w:rPr>
  </w:style>
  <w:style w:type="table" w:styleId="TableGrid">
    <w:name w:val="Table Grid"/>
    <w:basedOn w:val="TableNormal"/>
    <w:next w:val="TableGrid"/>
    <w:autoRedefine w:val="0"/>
    <w:hidden w:val="0"/>
    <w:qFormat w:val="0"/>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tblStyle w:val="TableGrid"/>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rPr>
      <w:vertAlign w:val="baseline"/>
    </w:rPr>
    <w:tblPr>
      <w:tblStyleRowBandSize w:val="1"/>
      <w:tblStyleColBandSize w:val="1"/>
      <w:tblCellMar>
        <w:top w:w="0.0" w:type="dxa"/>
        <w:left w:w="108.0" w:type="dxa"/>
        <w:bottom w:w="0.0" w:type="dxa"/>
        <w:right w:w="108.0" w:type="dxa"/>
      </w:tblCellMar>
    </w:tblPr>
  </w:style>
  <w:style w:type="table" w:styleId="Table2">
    <w:basedOn w:val="TableNormal"/>
    <w:rPr>
      <w:vertAlign w:val="baseline"/>
    </w:r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rPr>
      <w:vertAlign w:val="baseline"/>
    </w:rPr>
    <w:tblPr>
      <w:tblStyleRowBandSize w:val="1"/>
      <w:tblStyleColBandSize w:val="1"/>
      <w:tblCellMar>
        <w:top w:w="0.0" w:type="dxa"/>
        <w:left w:w="108.0" w:type="dxa"/>
        <w:bottom w:w="0.0" w:type="dxa"/>
        <w:right w:w="108.0" w:type="dxa"/>
      </w:tblCellMar>
    </w:tblPr>
  </w:style>
  <w:style w:type="table" w:styleId="Table2">
    <w:basedOn w:val="TableNormal"/>
    <w:rPr>
      <w:vertAlign w:val="baseline"/>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_rels/footnotes.xml.rels><?xml version="1.0" encoding="UTF-8" standalone="yes"?><Relationships xmlns="http://schemas.openxmlformats.org/package/2006/relationships"><Relationship Id="rId1" Type="http://schemas.openxmlformats.org/officeDocument/2006/relationships/hyperlink" Target="https://dx.doi.org/10.1353/pro.2024.a9467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9o82SOsK2exhBfUM8ER9D7MLVrQ==">CgMxLjAaFAoBMBIPCg0IB0IJEgdHdW5nc3VoMg9pZC5heDE1NTN4Mnd1MnMyD2lkLnVwbHJpbW5tZ2c1ZDIPaWQuMmIwNXllZmprNmdzMg9pZC4zanUxYjdnYXVqYzQyD2lkLmM5NGQzeG9mNm84ZzIPaWQueTBhY3V2ZnJ1Zm90OAByITFuN3BuTUIyZkxrVksxMkh5X3ZqQW5uRXZzRkRJdHQ0aw==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2015-07-03T18:04:00Z</dcterms:created>
  <dc:creator>sa044</dc:creator>
</cp:coreProperties>
</file>