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14730" w:rsidRDefault="00B14730" w:rsidP="00B14730">
      <w:r>
        <w:t>D REGAL Catullus 64 384-408</w:t>
      </w:r>
    </w:p>
    <w:p w:rsidR="00B14730" w:rsidRDefault="00B14730" w:rsidP="00B14730"/>
    <w:p w:rsidR="00B14730" w:rsidRDefault="00B14730" w:rsidP="00B14730">
      <w:r>
        <w:t>Word count – 2</w:t>
      </w:r>
      <w:r w:rsidR="00C00384">
        <w:t>648</w:t>
      </w:r>
    </w:p>
    <w:p w:rsidR="00B14730" w:rsidRDefault="00B14730" w:rsidP="00B14730">
      <w:r>
        <w:t xml:space="preserve">Referencing System – Harvard </w:t>
      </w:r>
    </w:p>
    <w:p w:rsidR="00B14730" w:rsidRDefault="00B14730" w:rsidP="00B14730"/>
    <w:p w:rsidR="00B14730" w:rsidRDefault="00B14730" w:rsidP="00B14730"/>
    <w:p w:rsidR="00B14730" w:rsidRDefault="00B14730" w:rsidP="00B14730">
      <w:r>
        <w:t>Are the closing 24 lines (C64 : 384-408) in contrast to what precedes them, or a natural continuum? The majority of scholars view them as a contrast. The effect of these closing lines are ostensibly ‘pessimistic’ (</w:t>
      </w:r>
      <w:proofErr w:type="spellStart"/>
      <w:r>
        <w:t>Ambühl,2016,p.2</w:t>
      </w:r>
      <w:proofErr w:type="spellEnd"/>
      <w:r>
        <w:t>)  For Bramble, however the ending within itself is dichotomous lines, with ‘an apparently ideal world’ (Bramble,1970,p.22) from l</w:t>
      </w:r>
      <w:r w:rsidR="00F622EA">
        <w:t xml:space="preserve">ines </w:t>
      </w:r>
      <w:r>
        <w:t>384-6, which are then  followed by the ‘pessimism’ (Bramble,1970,p.22) of</w:t>
      </w:r>
      <w:r w:rsidR="00322AD8">
        <w:t xml:space="preserve"> </w:t>
      </w:r>
      <w:r w:rsidR="00F622EA">
        <w:t xml:space="preserve">lines </w:t>
      </w:r>
      <w:r>
        <w:t xml:space="preserve">397-408. Anti-consensual Kinsey, on the other hand,  views the ending as a continuum, and the two parts of the poem ‘balance each other </w:t>
      </w:r>
      <w:proofErr w:type="spellStart"/>
      <w:r>
        <w:t>chiastically</w:t>
      </w:r>
      <w:proofErr w:type="spellEnd"/>
      <w:r>
        <w:t>’ (</w:t>
      </w:r>
      <w:proofErr w:type="spellStart"/>
      <w:r>
        <w:t>Kinsey,1965,</w:t>
      </w:r>
      <w:r w:rsidR="00322AD8">
        <w:t>p.913</w:t>
      </w:r>
      <w:proofErr w:type="spellEnd"/>
      <w:r>
        <w:t>)</w:t>
      </w:r>
      <w:r w:rsidR="00EA01B0">
        <w:t xml:space="preserve">.   </w:t>
      </w:r>
    </w:p>
    <w:p w:rsidR="00B14730" w:rsidRDefault="00B14730" w:rsidP="00B14730"/>
    <w:p w:rsidR="00B14730" w:rsidRDefault="00B14730" w:rsidP="00B14730">
      <w:r>
        <w:t>384-406:   At this point, the Parcae have just finished singing their song – the ‘</w:t>
      </w:r>
      <w:proofErr w:type="spellStart"/>
      <w:r>
        <w:t>felicia</w:t>
      </w:r>
      <w:proofErr w:type="spellEnd"/>
      <w:r>
        <w:t xml:space="preserve"> </w:t>
      </w:r>
      <w:proofErr w:type="spellStart"/>
      <w:r>
        <w:t>Pelei</w:t>
      </w:r>
      <w:proofErr w:type="spellEnd"/>
      <w:r>
        <w:t>’ relay ‘</w:t>
      </w:r>
      <w:proofErr w:type="spellStart"/>
      <w:r>
        <w:t>talia</w:t>
      </w:r>
      <w:proofErr w:type="spellEnd"/>
      <w:r>
        <w:t xml:space="preserve"> </w:t>
      </w:r>
      <w:proofErr w:type="spellStart"/>
      <w:r>
        <w:t>paefantes</w:t>
      </w:r>
      <w:proofErr w:type="spellEnd"/>
      <w:r>
        <w:t>’ (C64: 382-383) almost as prophecies.  Happiness, and the close of the poem, are not synonymous.  In that regard, 64 is in contrast with the other long poems of Catullus.  For example, in Poem 63, there was a song by the Cybele to her followers which extends from lines 11 to 25 as a rallying cry.   Their goal being to find a place described in lines 20-34 ‘</w:t>
      </w:r>
      <w:proofErr w:type="spellStart"/>
      <w:r>
        <w:t>ubi</w:t>
      </w:r>
      <w:proofErr w:type="spellEnd"/>
      <w:r>
        <w:t>…’ (C63:20-34).  Later, she addresses her country ‘</w:t>
      </w:r>
      <w:proofErr w:type="spellStart"/>
      <w:r>
        <w:t>patriam</w:t>
      </w:r>
      <w:proofErr w:type="spellEnd"/>
      <w:r>
        <w:t xml:space="preserve"> </w:t>
      </w:r>
      <w:proofErr w:type="spellStart"/>
      <w:r>
        <w:t>allocuta</w:t>
      </w:r>
      <w:proofErr w:type="spellEnd"/>
      <w:r>
        <w:t xml:space="preserve"> </w:t>
      </w:r>
      <w:proofErr w:type="spellStart"/>
      <w:r>
        <w:t>maestast</w:t>
      </w:r>
      <w:proofErr w:type="spellEnd"/>
      <w:r>
        <w:t xml:space="preserve"> </w:t>
      </w:r>
      <w:proofErr w:type="spellStart"/>
      <w:r>
        <w:t>ita</w:t>
      </w:r>
      <w:proofErr w:type="spellEnd"/>
      <w:r>
        <w:t xml:space="preserve"> voce </w:t>
      </w:r>
      <w:proofErr w:type="spellStart"/>
      <w:r>
        <w:t>miseriter</w:t>
      </w:r>
      <w:proofErr w:type="spellEnd"/>
      <w:r>
        <w:t>’ (C63:49-74) and again in Poem 63: 78-83.  It is followed by their positive reaction, which shows how galvanised to action they are.   This contrast</w:t>
      </w:r>
      <w:r w:rsidR="00F64D3F">
        <w:t>s</w:t>
      </w:r>
      <w:r>
        <w:t xml:space="preserve"> with poem 64, where the effect of the song is considerably downbeat.</w:t>
      </w:r>
    </w:p>
    <w:p w:rsidR="00B14730" w:rsidRDefault="00B14730" w:rsidP="00B14730"/>
    <w:p w:rsidR="00B14730" w:rsidRDefault="00B14730" w:rsidP="00B14730">
      <w:r>
        <w:t xml:space="preserve">How, or rather why 64 is it structured in such a way is a question which may helps navigate its meaning. Space and time are switched between throughout -  there is a constant theme (or question of who is prescient) of prescience – and ,in the ending, Catullus derides humans for their lack of it.  Earlier, </w:t>
      </w:r>
      <w:proofErr w:type="spellStart"/>
      <w:r>
        <w:t>Aridane</w:t>
      </w:r>
      <w:proofErr w:type="spellEnd"/>
      <w:r>
        <w:t xml:space="preserve"> has been unable to predict her lover’s </w:t>
      </w:r>
      <w:proofErr w:type="spellStart"/>
      <w:r>
        <w:t>behavior</w:t>
      </w:r>
      <w:proofErr w:type="spellEnd"/>
      <w:r>
        <w:t>.  For example, Line 384 opens in such a way ;</w:t>
      </w:r>
    </w:p>
    <w:p w:rsidR="00B14730" w:rsidRDefault="00B14730" w:rsidP="00B14730"/>
    <w:p w:rsidR="00B14730" w:rsidRDefault="00B14730" w:rsidP="00B14730">
      <w:r>
        <w:t xml:space="preserve">384 </w:t>
      </w:r>
      <w:proofErr w:type="spellStart"/>
      <w:r>
        <w:t>Prasentes</w:t>
      </w:r>
      <w:proofErr w:type="spellEnd"/>
      <w:r>
        <w:t>…</w:t>
      </w:r>
      <w:proofErr w:type="spellStart"/>
      <w:r>
        <w:t>caelicolae</w:t>
      </w:r>
      <w:proofErr w:type="spellEnd"/>
      <w:r>
        <w:t>:  present participle masculine plural agreeing with ‘</w:t>
      </w:r>
      <w:proofErr w:type="spellStart"/>
      <w:r>
        <w:t>caelicolae</w:t>
      </w:r>
      <w:proofErr w:type="spellEnd"/>
      <w:r>
        <w:t xml:space="preserve">’ (C64:386).   Generally, translators opt for </w:t>
      </w:r>
      <w:r w:rsidR="009C3260">
        <w:t xml:space="preserve">some kind of term </w:t>
      </w:r>
      <w:r w:rsidR="00E91074">
        <w:t xml:space="preserve">suggesting that the gods were present </w:t>
      </w:r>
      <w:r>
        <w:t>in person .  Placed first in the line,  ‘</w:t>
      </w:r>
      <w:proofErr w:type="spellStart"/>
      <w:r>
        <w:t>prasesentes</w:t>
      </w:r>
      <w:proofErr w:type="spellEnd"/>
      <w:r>
        <w:t>’ is prominent, likewise ‘</w:t>
      </w:r>
      <w:proofErr w:type="spellStart"/>
      <w:r>
        <w:t>caelicolae</w:t>
      </w:r>
      <w:proofErr w:type="spellEnd"/>
      <w:r>
        <w:t>’. We are held in suspense by Catullus - it is not until two lines later or ten feet of dactylic hexameter</w:t>
      </w:r>
      <w:r w:rsidR="00775842">
        <w:t xml:space="preserve"> </w:t>
      </w:r>
      <w:r>
        <w:t xml:space="preserve">that we learn </w:t>
      </w:r>
      <w:r w:rsidR="00E91074">
        <w:t xml:space="preserve">it </w:t>
      </w:r>
      <w:r>
        <w:t>refers to the gods, not humans.  Such delayed qualification allows the audience to assume one meaning, before being enlightened by another – illuminating the gulf between their expectations and reality.  It is the beginning of a section in which humans are chided, whilst the gods proximity are praised.  Being the first word in the line gives it additional stress - here to their physical presence, as opposed to an ephemerality.  The distinctiveness of their physicality contrasts with the blurred imagery of the opening lines in which references were merely oblique.</w:t>
      </w:r>
    </w:p>
    <w:p w:rsidR="00B14730" w:rsidRDefault="00B14730" w:rsidP="00B14730"/>
    <w:p w:rsidR="00B14730" w:rsidRDefault="00B14730" w:rsidP="00B14730">
      <w:r>
        <w:t>These divine beings normally, we understand, inhabit the heavens, hence ‘</w:t>
      </w:r>
      <w:proofErr w:type="spellStart"/>
      <w:r>
        <w:t>caelicolae</w:t>
      </w:r>
      <w:proofErr w:type="spellEnd"/>
      <w:r>
        <w:t>’. But, at this time, such is their care for humans, the gods offer both a physical, and mental presence.   Such a reading would align well with the description of the Parcae too in the  previous lines, ‘</w:t>
      </w:r>
      <w:proofErr w:type="spellStart"/>
      <w:r>
        <w:t>diuino</w:t>
      </w:r>
      <w:proofErr w:type="spellEnd"/>
      <w:r>
        <w:t xml:space="preserve"> ... </w:t>
      </w:r>
      <w:proofErr w:type="spellStart"/>
      <w:r>
        <w:t>pectore</w:t>
      </w:r>
      <w:proofErr w:type="spellEnd"/>
      <w:r>
        <w:t xml:space="preserve">’ </w:t>
      </w:r>
      <w:r w:rsidR="006D721D">
        <w:t xml:space="preserve">(C64.382) </w:t>
      </w:r>
      <w:r>
        <w:t>along with ‘</w:t>
      </w:r>
      <w:proofErr w:type="spellStart"/>
      <w:r>
        <w:t>praefantes</w:t>
      </w:r>
      <w:proofErr w:type="spellEnd"/>
      <w:r>
        <w:t>’ (C64.382) of the preceding lines. We hear the repeated ‘</w:t>
      </w:r>
      <w:proofErr w:type="spellStart"/>
      <w:r>
        <w:t>prae</w:t>
      </w:r>
      <w:proofErr w:type="spellEnd"/>
      <w:r>
        <w:t>’.  Later,  ‘</w:t>
      </w:r>
      <w:proofErr w:type="spellStart"/>
      <w:r>
        <w:t>praesens</w:t>
      </w:r>
      <w:proofErr w:type="spellEnd"/>
      <w:r>
        <w:t>’ (C64.396) appears in the singular form relating again to a divine being.  It appears foresight and prescience are exclusively divine qualities in Poem 64.  Through such use of language, there is frequent revelation of innermost thoughts.</w:t>
      </w:r>
    </w:p>
    <w:p w:rsidR="00B14730" w:rsidRDefault="00B14730" w:rsidP="00B14730"/>
    <w:p w:rsidR="00B14730" w:rsidRDefault="00B14730" w:rsidP="00B14730">
      <w:r>
        <w:t xml:space="preserve">384 </w:t>
      </w:r>
      <w:proofErr w:type="spellStart"/>
      <w:r>
        <w:t>Namque</w:t>
      </w:r>
      <w:proofErr w:type="spellEnd"/>
      <w:r>
        <w:t xml:space="preserve"> ante: ‘for long ago’, in juxtaposition to </w:t>
      </w:r>
      <w:proofErr w:type="spellStart"/>
      <w:r>
        <w:t>praesentes</w:t>
      </w:r>
      <w:proofErr w:type="spellEnd"/>
      <w:r>
        <w:t>. Similar</w:t>
      </w:r>
      <w:r w:rsidR="00BC283F">
        <w:t>ly defining</w:t>
      </w:r>
      <w:r>
        <w:t xml:space="preserve"> time words</w:t>
      </w:r>
      <w:r w:rsidR="00BC283F">
        <w:t xml:space="preserve"> </w:t>
      </w:r>
      <w:r>
        <w:t>are used throughout 64, as well as in th</w:t>
      </w:r>
      <w:r w:rsidR="00E1774E">
        <w:t>is final</w:t>
      </w:r>
      <w:r>
        <w:t xml:space="preserve"> section.  It posits the speaker in the present, reflecting backwards, as ‘Alexandrian poetry is notoriously preoccupied with ‘the… reliability of its fictions. </w:t>
      </w:r>
      <w:r>
        <w:lastRenderedPageBreak/>
        <w:t>"Who sees?" "Who speaks?"’ (</w:t>
      </w:r>
      <w:proofErr w:type="spellStart"/>
      <w:r>
        <w:t>Gaisser,1995</w:t>
      </w:r>
      <w:proofErr w:type="spellEnd"/>
      <w:r>
        <w:t xml:space="preserve">, p.579) Referencing Callimachus, such genre wanted to thus </w:t>
      </w:r>
      <w:proofErr w:type="spellStart"/>
      <w:r>
        <w:t>illumate</w:t>
      </w:r>
      <w:proofErr w:type="spellEnd"/>
      <w:r>
        <w:t xml:space="preserve"> ‘the status of poet as teller of truth’ (</w:t>
      </w:r>
      <w:proofErr w:type="spellStart"/>
      <w:r>
        <w:t>Goldhill,1991,p.22</w:t>
      </w:r>
      <w:proofErr w:type="spellEnd"/>
      <w:r>
        <w:t>).   Likewise,  time shifts are typical of Alexandrian poetry.  They are often not sequential in their narrative.</w:t>
      </w:r>
    </w:p>
    <w:p w:rsidR="00B14730" w:rsidRDefault="00B14730" w:rsidP="00B14730"/>
    <w:p w:rsidR="00B14730" w:rsidRDefault="00B14730" w:rsidP="00B14730">
      <w:r>
        <w:t xml:space="preserve">384 </w:t>
      </w:r>
      <w:proofErr w:type="spellStart"/>
      <w:r>
        <w:t>domos</w:t>
      </w:r>
      <w:proofErr w:type="spellEnd"/>
      <w:r>
        <w:t>..</w:t>
      </w:r>
      <w:proofErr w:type="spellStart"/>
      <w:r>
        <w:t>castas</w:t>
      </w:r>
      <w:proofErr w:type="spellEnd"/>
      <w:r>
        <w:t xml:space="preserve"> ‘chaste homes’ is a distinct image, contrasting the indistinctness of the opening lines of 64 e.g. ‘</w:t>
      </w:r>
      <w:proofErr w:type="spellStart"/>
      <w:r>
        <w:t>Peliaco</w:t>
      </w:r>
      <w:proofErr w:type="spellEnd"/>
      <w:r>
        <w:t xml:space="preserve"> quondam </w:t>
      </w:r>
      <w:proofErr w:type="spellStart"/>
      <w:r>
        <w:t>prognatae</w:t>
      </w:r>
      <w:proofErr w:type="spellEnd"/>
      <w:r>
        <w:t xml:space="preserve"> </w:t>
      </w:r>
      <w:proofErr w:type="spellStart"/>
      <w:r>
        <w:t>uertice</w:t>
      </w:r>
      <w:proofErr w:type="spellEnd"/>
      <w:r>
        <w:t xml:space="preserve"> </w:t>
      </w:r>
      <w:proofErr w:type="spellStart"/>
      <w:r>
        <w:t>pinus</w:t>
      </w:r>
      <w:proofErr w:type="spellEnd"/>
      <w:r>
        <w:t>’ (C64:l).    Catullus uses ‘</w:t>
      </w:r>
      <w:proofErr w:type="spellStart"/>
      <w:r>
        <w:t>casta</w:t>
      </w:r>
      <w:proofErr w:type="spellEnd"/>
      <w:r>
        <w:t xml:space="preserve">’ to refer to </w:t>
      </w:r>
      <w:proofErr w:type="spellStart"/>
      <w:r>
        <w:t>virgnity</w:t>
      </w:r>
      <w:proofErr w:type="spellEnd"/>
      <w:r>
        <w:t xml:space="preserve"> in women before they lose their bloom, ‘cum </w:t>
      </w:r>
      <w:proofErr w:type="spellStart"/>
      <w:r>
        <w:t>castum</w:t>
      </w:r>
      <w:proofErr w:type="spellEnd"/>
      <w:r>
        <w:t xml:space="preserve"> </w:t>
      </w:r>
      <w:proofErr w:type="spellStart"/>
      <w:r>
        <w:t>amisit</w:t>
      </w:r>
      <w:proofErr w:type="spellEnd"/>
      <w:r>
        <w:t xml:space="preserve"> </w:t>
      </w:r>
      <w:proofErr w:type="spellStart"/>
      <w:r>
        <w:t>polluto</w:t>
      </w:r>
      <w:proofErr w:type="spellEnd"/>
      <w:r>
        <w:t xml:space="preserve"> </w:t>
      </w:r>
      <w:proofErr w:type="spellStart"/>
      <w:r>
        <w:t>corpore</w:t>
      </w:r>
      <w:proofErr w:type="spellEnd"/>
      <w:r>
        <w:t xml:space="preserve"> </w:t>
      </w:r>
      <w:proofErr w:type="spellStart"/>
      <w:r>
        <w:t>florem</w:t>
      </w:r>
      <w:proofErr w:type="spellEnd"/>
      <w:r>
        <w:t xml:space="preserve">’  (C62: 46).  As if it at their peak, before a fall from grace.  There are other references to </w:t>
      </w:r>
      <w:proofErr w:type="spellStart"/>
      <w:r>
        <w:t>domus</w:t>
      </w:r>
      <w:proofErr w:type="spellEnd"/>
      <w:r>
        <w:t xml:space="preserve"> in his long poems e.g. home and its mistress (C61:31) where ‘</w:t>
      </w:r>
      <w:proofErr w:type="spellStart"/>
      <w:r>
        <w:t>domum</w:t>
      </w:r>
      <w:proofErr w:type="spellEnd"/>
      <w:r>
        <w:t xml:space="preserve"> </w:t>
      </w:r>
      <w:proofErr w:type="spellStart"/>
      <w:r>
        <w:t>dominam</w:t>
      </w:r>
      <w:proofErr w:type="spellEnd"/>
      <w:r>
        <w:t>’ is a reference to the mistress of the house - a private sphere for her ‘</w:t>
      </w:r>
      <w:proofErr w:type="spellStart"/>
      <w:r>
        <w:t>cupidam</w:t>
      </w:r>
      <w:proofErr w:type="spellEnd"/>
      <w:r>
        <w:t>’.  Home becomes a snare for the man ‘</w:t>
      </w:r>
      <w:proofErr w:type="spellStart"/>
      <w:r>
        <w:t>mentem</w:t>
      </w:r>
      <w:proofErr w:type="spellEnd"/>
      <w:r>
        <w:t xml:space="preserve"> amore </w:t>
      </w:r>
      <w:proofErr w:type="spellStart"/>
      <w:r>
        <w:t>revinciens</w:t>
      </w:r>
      <w:proofErr w:type="spellEnd"/>
      <w:r>
        <w:t xml:space="preserve"> / </w:t>
      </w:r>
      <w:proofErr w:type="spellStart"/>
      <w:r>
        <w:t>ut</w:t>
      </w:r>
      <w:proofErr w:type="spellEnd"/>
      <w:r>
        <w:t xml:space="preserve"> </w:t>
      </w:r>
      <w:proofErr w:type="spellStart"/>
      <w:r>
        <w:t>tenex</w:t>
      </w:r>
      <w:proofErr w:type="spellEnd"/>
      <w:r>
        <w:t xml:space="preserve"> </w:t>
      </w:r>
      <w:proofErr w:type="spellStart"/>
      <w:r>
        <w:t>hedera</w:t>
      </w:r>
      <w:proofErr w:type="spellEnd"/>
      <w:r>
        <w:t xml:space="preserve"> </w:t>
      </w:r>
      <w:proofErr w:type="spellStart"/>
      <w:r>
        <w:t>huc</w:t>
      </w:r>
      <w:proofErr w:type="spellEnd"/>
      <w:r>
        <w:t xml:space="preserve"> et </w:t>
      </w:r>
      <w:proofErr w:type="spellStart"/>
      <w:r>
        <w:t>huc</w:t>
      </w:r>
      <w:proofErr w:type="spellEnd"/>
      <w:r>
        <w:t xml:space="preserve"> /</w:t>
      </w:r>
      <w:proofErr w:type="spellStart"/>
      <w:r>
        <w:t>arborem</w:t>
      </w:r>
      <w:proofErr w:type="spellEnd"/>
      <w:r>
        <w:t xml:space="preserve"> </w:t>
      </w:r>
      <w:proofErr w:type="spellStart"/>
      <w:r>
        <w:t>implicat</w:t>
      </w:r>
      <w:proofErr w:type="spellEnd"/>
      <w:r>
        <w:t xml:space="preserve"> </w:t>
      </w:r>
      <w:proofErr w:type="spellStart"/>
      <w:r>
        <w:t>errans</w:t>
      </w:r>
      <w:proofErr w:type="spellEnd"/>
      <w:r>
        <w:t xml:space="preserve">’ (C61:33-35).  </w:t>
      </w:r>
    </w:p>
    <w:p w:rsidR="00B14730" w:rsidRDefault="00B14730" w:rsidP="00B14730"/>
    <w:p w:rsidR="00B14730" w:rsidRDefault="00B14730" w:rsidP="00B14730">
      <w:r>
        <w:t xml:space="preserve">385 </w:t>
      </w:r>
      <w:proofErr w:type="spellStart"/>
      <w:r>
        <w:t>herorum</w:t>
      </w:r>
      <w:proofErr w:type="spellEnd"/>
      <w:r>
        <w:t xml:space="preserve">   The lack of a clear narratorial thread of Catullus 64 is just one distinction from Greek epic poetry, for neither is there a heroic protagonist, in the same way as Homer’s Odysseus or </w:t>
      </w:r>
      <w:proofErr w:type="spellStart"/>
      <w:r>
        <w:t>Archilles</w:t>
      </w:r>
      <w:proofErr w:type="spellEnd"/>
      <w:r>
        <w:t xml:space="preserve">.      Lacking a protagonist, and a sense of quest, it is necessary to dig deeper into how true it is that 64 is commonly referred to as an ‘epyllion’.     To call 64 epyllion is somewhat meaningless, </w:t>
      </w:r>
      <w:r w:rsidRPr="006F48BA">
        <w:t>‘The editors, following ancient classifications of epos, define epyllion as short narrative hexameter poetry, avoiding issues of content’(</w:t>
      </w:r>
      <w:proofErr w:type="spellStart"/>
      <w:r w:rsidRPr="006F48BA">
        <w:t>Nethercut</w:t>
      </w:r>
      <w:proofErr w:type="spellEnd"/>
      <w:r w:rsidRPr="006F48BA">
        <w:t>, 2014</w:t>
      </w:r>
      <w:r w:rsidR="00BE2544">
        <w:t>,p</w:t>
      </w:r>
      <w:r w:rsidR="006F48BA" w:rsidRPr="006F48BA">
        <w:t>.339</w:t>
      </w:r>
      <w:r w:rsidRPr="006F48BA">
        <w:t>)</w:t>
      </w:r>
      <w:r w:rsidR="00BE2544">
        <w:t>.</w:t>
      </w:r>
    </w:p>
    <w:p w:rsidR="00B14730" w:rsidRDefault="00B14730" w:rsidP="00B14730"/>
    <w:p w:rsidR="00B14730" w:rsidRDefault="00B14730" w:rsidP="00B14730">
      <w:proofErr w:type="spellStart"/>
      <w:r>
        <w:t>Saepe</w:t>
      </w:r>
      <w:proofErr w:type="spellEnd"/>
      <w:r>
        <w:t>…</w:t>
      </w:r>
      <w:proofErr w:type="spellStart"/>
      <w:r>
        <w:t>saepe</w:t>
      </w:r>
      <w:proofErr w:type="spellEnd"/>
      <w:r>
        <w:t>…</w:t>
      </w:r>
      <w:proofErr w:type="spellStart"/>
      <w:r>
        <w:t>saepe</w:t>
      </w:r>
      <w:proofErr w:type="spellEnd"/>
      <w:r>
        <w:t>; repeated three-times repetition of ‘</w:t>
      </w:r>
      <w:proofErr w:type="spellStart"/>
      <w:r>
        <w:t>saepe</w:t>
      </w:r>
      <w:proofErr w:type="spellEnd"/>
      <w:r>
        <w:t>’ (64 :386,390 and 394) has percussive effect.   The repetition of ‘</w:t>
      </w:r>
      <w:proofErr w:type="spellStart"/>
      <w:r>
        <w:t>saepe</w:t>
      </w:r>
      <w:proofErr w:type="spellEnd"/>
      <w:r>
        <w:t xml:space="preserve">’ is subtle unlike the repetition in his other poems – which is why I say its effect is more </w:t>
      </w:r>
      <w:r w:rsidR="00223DE1">
        <w:t>percussive</w:t>
      </w:r>
      <w:r>
        <w:t>, rather than a refrain</w:t>
      </w:r>
    </w:p>
    <w:p w:rsidR="00B14730" w:rsidRDefault="00B14730" w:rsidP="00B14730">
      <w:r>
        <w:t>E.g. Poem 61</w:t>
      </w:r>
      <w:r w:rsidR="00223DE1">
        <w:t xml:space="preserve"> - </w:t>
      </w:r>
      <w:r>
        <w:t xml:space="preserve">there is frequent repetition of groups of lines e.g ‘O </w:t>
      </w:r>
      <w:proofErr w:type="spellStart"/>
      <w:r>
        <w:t>Hymenaee</w:t>
      </w:r>
      <w:proofErr w:type="spellEnd"/>
      <w:r>
        <w:t xml:space="preserve"> Hymen / o Hymen </w:t>
      </w:r>
      <w:proofErr w:type="spellStart"/>
      <w:r>
        <w:t>Hymenaee</w:t>
      </w:r>
      <w:proofErr w:type="spellEnd"/>
      <w:r>
        <w:t xml:space="preserve">’ (C61:4,5, et al.) which gives greater </w:t>
      </w:r>
      <w:r w:rsidR="00223DE1">
        <w:t>musicality</w:t>
      </w:r>
      <w:r>
        <w:t xml:space="preserve"> to Poem 61.  </w:t>
      </w:r>
    </w:p>
    <w:p w:rsidR="00B14730" w:rsidRDefault="00B14730" w:rsidP="00B14730">
      <w:r>
        <w:t xml:space="preserve">Poem 64 may have been a performative work, in which case the ending could have been a finale, or narratorial presentation to the audience.   However, Wiseman limits such an observation to other poems of Catullus, not Poem 64, observing ; ‘poems 61–3 are evidently for performance; and the genre we call ‘epyllion’ may have been intended to accompany music and dance’ (Wiseman, 2016, Chapter 7).  However, for me, that the ending is significantly different in tone, suggests its </w:t>
      </w:r>
      <w:r w:rsidR="00223DE1">
        <w:t>marked out</w:t>
      </w:r>
      <w:r>
        <w:t xml:space="preserve"> from the rest of the poem, and therefore, is a finale of sorts.  </w:t>
      </w:r>
    </w:p>
    <w:p w:rsidR="00B14730" w:rsidRDefault="00B14730" w:rsidP="00B14730"/>
    <w:p w:rsidR="00B14730" w:rsidRDefault="00B14730" w:rsidP="00B14730">
      <w:r>
        <w:t xml:space="preserve">387 </w:t>
      </w:r>
      <w:proofErr w:type="spellStart"/>
      <w:r>
        <w:t>Sese</w:t>
      </w:r>
      <w:proofErr w:type="spellEnd"/>
      <w:r>
        <w:t>:   Emphatic and reiterates the gods actual physical involvement.  More than ‘se’, it is ‘</w:t>
      </w:r>
      <w:proofErr w:type="spellStart"/>
      <w:r>
        <w:t>sese</w:t>
      </w:r>
      <w:proofErr w:type="spellEnd"/>
      <w:r>
        <w:t xml:space="preserve">’.   Implies personal deliberate choice making through their own agency </w:t>
      </w:r>
    </w:p>
    <w:p w:rsidR="00B14730" w:rsidRDefault="00B14730" w:rsidP="00B14730"/>
    <w:p w:rsidR="00B14730" w:rsidRDefault="00B14730" w:rsidP="00B14730">
      <w:r>
        <w:t xml:space="preserve">387 Pater </w:t>
      </w:r>
      <w:proofErr w:type="spellStart"/>
      <w:r>
        <w:t>Divum</w:t>
      </w:r>
      <w:proofErr w:type="spellEnd"/>
      <w:r>
        <w:t>’:   Implies Jupiter.   But by saying father of gods, Catullus reminds us of the hierarchy of gods in relational terms.  Here, this is not just Jupiter, but the lead god, who is in charge. It is possibly a reminder that Rome was  patriarchal society.  However, it markedly also contrasts with the absence of a clear power hierarchy in the final days of the Republic.</w:t>
      </w:r>
    </w:p>
    <w:p w:rsidR="00B14730" w:rsidRDefault="00B14730" w:rsidP="00B14730">
      <w:r>
        <w:t xml:space="preserve">  </w:t>
      </w:r>
    </w:p>
    <w:p w:rsidR="00B14730" w:rsidRDefault="00B14730" w:rsidP="00B14730">
      <w:r>
        <w:t xml:space="preserve">387 </w:t>
      </w:r>
      <w:proofErr w:type="spellStart"/>
      <w:r>
        <w:t>Templo</w:t>
      </w:r>
      <w:proofErr w:type="spellEnd"/>
      <w:r>
        <w:t xml:space="preserve"> in </w:t>
      </w:r>
      <w:proofErr w:type="spellStart"/>
      <w:r>
        <w:t>fulgente</w:t>
      </w:r>
      <w:proofErr w:type="spellEnd"/>
      <w:r>
        <w:t xml:space="preserve"> </w:t>
      </w:r>
      <w:proofErr w:type="spellStart"/>
      <w:r>
        <w:t>revisens</w:t>
      </w:r>
      <w:proofErr w:type="spellEnd"/>
      <w:r>
        <w:t xml:space="preserve">:  There are various </w:t>
      </w:r>
      <w:proofErr w:type="spellStart"/>
      <w:r>
        <w:t>possibilites</w:t>
      </w:r>
      <w:proofErr w:type="spellEnd"/>
      <w:r>
        <w:t xml:space="preserve"> for this description of Jupiter.  Either;  </w:t>
      </w:r>
    </w:p>
    <w:p w:rsidR="00B14730" w:rsidRDefault="00B14730" w:rsidP="00B14730">
      <w:r>
        <w:t xml:space="preserve">1) ‘Seeing again’ implies Jupiter is seeing for a second time.   Present participle i.e. continuous present.  Takes us as if to the scene, it is so vivid.  Could suggest prescience on the part of Jupiter.  OR </w:t>
      </w:r>
    </w:p>
    <w:p w:rsidR="00B14730" w:rsidRDefault="00B14730" w:rsidP="00B14730">
      <w:r>
        <w:t xml:space="preserve">2)  the clarity of this vision;  particularly marked versus the </w:t>
      </w:r>
      <w:proofErr w:type="spellStart"/>
      <w:r>
        <w:t>bluriness</w:t>
      </w:r>
      <w:proofErr w:type="spellEnd"/>
      <w:r>
        <w:t xml:space="preserve"> of the Poem 64’s opening lines (C64 1:1), which created a vision as if a scene in a painting contrasted with now.   Whereas here, we might be seeing their thinking.</w:t>
      </w:r>
    </w:p>
    <w:p w:rsidR="00B14730" w:rsidRDefault="00B14730" w:rsidP="00B14730">
      <w:r>
        <w:t xml:space="preserve"> Thinking versus appearance is another dichotomy of the poem.</w:t>
      </w:r>
    </w:p>
    <w:p w:rsidR="00B14730" w:rsidRDefault="00B14730" w:rsidP="00B14730">
      <w:r>
        <w:t>OR</w:t>
      </w:r>
    </w:p>
    <w:p w:rsidR="00B14730" w:rsidRDefault="00B14730" w:rsidP="00B14730">
      <w:r>
        <w:t>3) Jupiter in the flashing temple.  Being spectated whilst he is spectating.   This ties in nicely with the ideas prior of ‘</w:t>
      </w:r>
      <w:proofErr w:type="spellStart"/>
      <w:r>
        <w:t>sese</w:t>
      </w:r>
      <w:proofErr w:type="spellEnd"/>
      <w:r>
        <w:t xml:space="preserve">’ and agency that there is a </w:t>
      </w:r>
      <w:proofErr w:type="spellStart"/>
      <w:r>
        <w:t>mutal</w:t>
      </w:r>
      <w:proofErr w:type="spellEnd"/>
      <w:r>
        <w:t xml:space="preserve"> interest between him viewing, and those </w:t>
      </w:r>
      <w:r>
        <w:lastRenderedPageBreak/>
        <w:t xml:space="preserve">viewed. </w:t>
      </w:r>
      <w:r w:rsidR="00FE6FC5">
        <w:t xml:space="preserve"> In</w:t>
      </w:r>
      <w:r>
        <w:t xml:space="preserve"> its shiny, brightness </w:t>
      </w:r>
      <w:r w:rsidR="00FE6FC5">
        <w:t>p</w:t>
      </w:r>
      <w:r>
        <w:t xml:space="preserve">erhaps </w:t>
      </w:r>
      <w:r w:rsidR="00FE6FC5">
        <w:t xml:space="preserve">the temple is </w:t>
      </w:r>
      <w:r>
        <w:t>close to</w:t>
      </w:r>
      <w:r w:rsidR="00AF09A8">
        <w:t xml:space="preserve"> earlier</w:t>
      </w:r>
      <w:r>
        <w:t xml:space="preserve"> ‘</w:t>
      </w:r>
      <w:proofErr w:type="spellStart"/>
      <w:r>
        <w:t>castos</w:t>
      </w:r>
      <w:proofErr w:type="spellEnd"/>
      <w:r>
        <w:t xml:space="preserve">’ in meaning, but dissimilar. </w:t>
      </w:r>
    </w:p>
    <w:p w:rsidR="00B14730" w:rsidRDefault="00B14730" w:rsidP="00B14730">
      <w:r>
        <w:t xml:space="preserve">4)  Other </w:t>
      </w:r>
      <w:r w:rsidR="00510808">
        <w:t>possibilities</w:t>
      </w:r>
      <w:r>
        <w:t xml:space="preserve"> include ‘</w:t>
      </w:r>
      <w:proofErr w:type="spellStart"/>
      <w:r>
        <w:t>residens</w:t>
      </w:r>
      <w:proofErr w:type="spellEnd"/>
      <w:r>
        <w:t>’</w:t>
      </w:r>
      <w:r w:rsidR="00900F21">
        <w:t xml:space="preserve"> </w:t>
      </w:r>
      <w:r w:rsidR="00774DF3">
        <w:t>in some manuscripts (Gri</w:t>
      </w:r>
      <w:r w:rsidR="00101BB4">
        <w:t>ffin, 2010, p.</w:t>
      </w:r>
      <w:r w:rsidR="004865C8">
        <w:t>102)</w:t>
      </w:r>
      <w:r w:rsidR="00680930">
        <w:t xml:space="preserve"> </w:t>
      </w:r>
      <w:r>
        <w:t xml:space="preserve">which speaks more to the stability of the status quo, as he is not just sitting in the temple, but resident there.   Thus this becomes a slightly  different political comment reflecting the instability of the age. </w:t>
      </w:r>
    </w:p>
    <w:p w:rsidR="00B14730" w:rsidRDefault="00B14730" w:rsidP="00B14730">
      <w:r>
        <w:t xml:space="preserve">In the divine world, Jupiter has stability; he is entrenched </w:t>
      </w:r>
    </w:p>
    <w:p w:rsidR="00B14730" w:rsidRDefault="00B14730" w:rsidP="00B14730">
      <w:r>
        <w:t xml:space="preserve">Catullus depicts a physical event with humans and gods actually present, as if gods ‘living’ among people, almost together. </w:t>
      </w:r>
    </w:p>
    <w:p w:rsidR="00B14730" w:rsidRDefault="00B14730" w:rsidP="00B14730"/>
    <w:p w:rsidR="00B14730" w:rsidRDefault="00B14730" w:rsidP="00B14730">
      <w:r>
        <w:t xml:space="preserve">389 </w:t>
      </w:r>
      <w:proofErr w:type="spellStart"/>
      <w:r>
        <w:t>Conspexit</w:t>
      </w:r>
      <w:proofErr w:type="spellEnd"/>
      <w:r>
        <w:t>:  Simple perfect – a concluded past.    It is more than a look, it is a studied look.   Reiterates prescience and how rulers were paying attention to this homage i.e. their people</w:t>
      </w:r>
    </w:p>
    <w:p w:rsidR="00B14730" w:rsidRDefault="00B14730" w:rsidP="00B14730">
      <w:r>
        <w:t>Also, shows Catullus again picking up on internal state of mind</w:t>
      </w:r>
      <w:r w:rsidR="00430944">
        <w:t>.</w:t>
      </w:r>
    </w:p>
    <w:p w:rsidR="00B14730" w:rsidRDefault="00B14730" w:rsidP="00B14730">
      <w:r>
        <w:t>By this stage, there have been many references now to watching and witnessing prompting the question whether Poem 64 is curating different forms of testimonial.</w:t>
      </w:r>
    </w:p>
    <w:p w:rsidR="00B14730" w:rsidRDefault="00B14730" w:rsidP="00B14730"/>
    <w:p w:rsidR="00B14730" w:rsidRDefault="00B14730" w:rsidP="00B14730">
      <w:r>
        <w:t>390 Vagus Liber…</w:t>
      </w:r>
      <w:proofErr w:type="spellStart"/>
      <w:r>
        <w:t>egit</w:t>
      </w:r>
      <w:proofErr w:type="spellEnd"/>
      <w:r>
        <w:t>:   moving now into a part denser with more allusions to gods and places.   The effect of ,‘Geographical names, especially rare ones, often function as intertextual markers in Greek and Latin poetry. ‘ (</w:t>
      </w:r>
      <w:proofErr w:type="spellStart"/>
      <w:r>
        <w:t>Ambühl</w:t>
      </w:r>
      <w:proofErr w:type="spellEnd"/>
      <w:r>
        <w:t xml:space="preserve">, 2016, 4:11)   The effect is to draw us to other works, bringing those stories to the front of our minds.    Like 20th century stream of </w:t>
      </w:r>
      <w:proofErr w:type="spellStart"/>
      <w:r>
        <w:t>consciouness</w:t>
      </w:r>
      <w:proofErr w:type="spellEnd"/>
      <w:r>
        <w:t xml:space="preserve"> novels, it gives the poem the feeling of being deliberately </w:t>
      </w:r>
      <w:proofErr w:type="spellStart"/>
      <w:r>
        <w:t>mutli-dimensional</w:t>
      </w:r>
      <w:proofErr w:type="spellEnd"/>
      <w:r>
        <w:t xml:space="preserve">. </w:t>
      </w:r>
    </w:p>
    <w:p w:rsidR="00B14730" w:rsidRDefault="00B14730" w:rsidP="00B14730"/>
    <w:p w:rsidR="00B14730" w:rsidRDefault="00B14730" w:rsidP="00B14730">
      <w:r>
        <w:t xml:space="preserve">391 </w:t>
      </w:r>
      <w:proofErr w:type="spellStart"/>
      <w:r>
        <w:t>Thyiadas</w:t>
      </w:r>
      <w:proofErr w:type="spellEnd"/>
      <w:r>
        <w:t xml:space="preserve"> </w:t>
      </w:r>
      <w:proofErr w:type="spellStart"/>
      <w:r>
        <w:t>effusis</w:t>
      </w:r>
      <w:proofErr w:type="spellEnd"/>
      <w:r>
        <w:t xml:space="preserve"> </w:t>
      </w:r>
      <w:proofErr w:type="spellStart"/>
      <w:r>
        <w:t>euantis</w:t>
      </w:r>
      <w:proofErr w:type="spellEnd"/>
      <w:r>
        <w:t xml:space="preserve"> </w:t>
      </w:r>
      <w:proofErr w:type="spellStart"/>
      <w:r>
        <w:t>crinibus</w:t>
      </w:r>
      <w:proofErr w:type="spellEnd"/>
      <w:r>
        <w:t>;  the assonant ‘</w:t>
      </w:r>
      <w:proofErr w:type="spellStart"/>
      <w:r>
        <w:t>effusis</w:t>
      </w:r>
      <w:proofErr w:type="spellEnd"/>
      <w:r>
        <w:t xml:space="preserve"> </w:t>
      </w:r>
      <w:proofErr w:type="spellStart"/>
      <w:r>
        <w:t>evantis</w:t>
      </w:r>
      <w:proofErr w:type="spellEnd"/>
      <w:r>
        <w:t xml:space="preserve">’ itself sounds puffy as if full of air, like the hair, as its flies through  the air. Catullus seems to use hair more often as </w:t>
      </w:r>
      <w:r w:rsidR="00C60B69">
        <w:t>descriptor</w:t>
      </w:r>
      <w:r>
        <w:t xml:space="preserve"> of women than their faces or figure e.g. Poem 61 – reference to hair which the ‘faces /</w:t>
      </w:r>
      <w:proofErr w:type="spellStart"/>
      <w:r>
        <w:t>aureas</w:t>
      </w:r>
      <w:proofErr w:type="spellEnd"/>
      <w:r>
        <w:t xml:space="preserve"> </w:t>
      </w:r>
      <w:proofErr w:type="spellStart"/>
      <w:r>
        <w:t>quatiunt</w:t>
      </w:r>
      <w:proofErr w:type="spellEnd"/>
      <w:r>
        <w:t xml:space="preserve"> comas’ (C61:94</w:t>
      </w:r>
      <w:r w:rsidR="00C60B69">
        <w:t>-</w:t>
      </w:r>
      <w:r>
        <w:t xml:space="preserve">95).  </w:t>
      </w:r>
      <w:proofErr w:type="spellStart"/>
      <w:r>
        <w:t>Thy</w:t>
      </w:r>
      <w:r w:rsidR="00FF6780">
        <w:t>iadas</w:t>
      </w:r>
      <w:proofErr w:type="spellEnd"/>
      <w:r>
        <w:t xml:space="preserve"> is a reminder of the Greek myths.  </w:t>
      </w:r>
    </w:p>
    <w:p w:rsidR="00B14730" w:rsidRDefault="00B14730" w:rsidP="00B14730"/>
    <w:p w:rsidR="00B14730" w:rsidRDefault="00B14730" w:rsidP="00B14730">
      <w:r>
        <w:t xml:space="preserve">392 Cum Delphi </w:t>
      </w:r>
      <w:proofErr w:type="spellStart"/>
      <w:r>
        <w:t>tota</w:t>
      </w:r>
      <w:proofErr w:type="spellEnd"/>
      <w:r>
        <w:t xml:space="preserve"> </w:t>
      </w:r>
      <w:proofErr w:type="spellStart"/>
      <w:r>
        <w:t>certatim</w:t>
      </w:r>
      <w:proofErr w:type="spellEnd"/>
      <w:r>
        <w:t xml:space="preserve"> ex </w:t>
      </w:r>
      <w:proofErr w:type="spellStart"/>
      <w:r>
        <w:t>urbe</w:t>
      </w:r>
      <w:proofErr w:type="spellEnd"/>
      <w:r>
        <w:t xml:space="preserve"> </w:t>
      </w:r>
      <w:proofErr w:type="spellStart"/>
      <w:r>
        <w:t>ruentes</w:t>
      </w:r>
      <w:proofErr w:type="spellEnd"/>
      <w:r>
        <w:t>:   ‘</w:t>
      </w:r>
      <w:proofErr w:type="spellStart"/>
      <w:r>
        <w:t>Tota</w:t>
      </w:r>
      <w:proofErr w:type="spellEnd"/>
      <w:r>
        <w:t xml:space="preserve">’, may mean they exit together enjoying unity of purpose, moving collectively or leave ex </w:t>
      </w:r>
      <w:proofErr w:type="spellStart"/>
      <w:r>
        <w:t>tota</w:t>
      </w:r>
      <w:proofErr w:type="spellEnd"/>
      <w:r>
        <w:t xml:space="preserve"> </w:t>
      </w:r>
      <w:proofErr w:type="spellStart"/>
      <w:r>
        <w:t>urbe</w:t>
      </w:r>
      <w:proofErr w:type="spellEnd"/>
      <w:r>
        <w:t xml:space="preserve"> i.e. unified city.  They are determined, compounded through the use of  ‘</w:t>
      </w:r>
      <w:proofErr w:type="spellStart"/>
      <w:r>
        <w:t>certatim</w:t>
      </w:r>
      <w:proofErr w:type="spellEnd"/>
      <w:r>
        <w:t>’ to convey eagerness.   ‘</w:t>
      </w:r>
      <w:proofErr w:type="spellStart"/>
      <w:r>
        <w:t>Ruentes</w:t>
      </w:r>
      <w:proofErr w:type="spellEnd"/>
      <w:r>
        <w:t xml:space="preserve">’ implies enthusiasm through their acting of rushing.  </w:t>
      </w:r>
      <w:r w:rsidR="00FF6780">
        <w:t xml:space="preserve">Delphi, a small town in </w:t>
      </w:r>
      <w:proofErr w:type="spellStart"/>
      <w:r w:rsidR="00FF6780">
        <w:t>Phocis</w:t>
      </w:r>
      <w:proofErr w:type="spellEnd"/>
      <w:r w:rsidR="00FF6780">
        <w:t>, is famed for its oracle</w:t>
      </w:r>
      <w:r w:rsidR="00FF6780">
        <w:t>;  mystical and mythical references abound throughout 64.</w:t>
      </w:r>
    </w:p>
    <w:p w:rsidR="00B14730" w:rsidRDefault="00B14730" w:rsidP="00B14730"/>
    <w:p w:rsidR="00B14730" w:rsidRDefault="00B14730" w:rsidP="00B14730">
      <w:r>
        <w:t xml:space="preserve">397 sed </w:t>
      </w:r>
      <w:proofErr w:type="spellStart"/>
      <w:r>
        <w:t>postquam</w:t>
      </w:r>
      <w:proofErr w:type="spellEnd"/>
      <w:r>
        <w:t>: opens a new point and a relatively long clause – signalling a new age, which he goes onto define post war in which the gods choose to be absent, or rather, remote.  We move now into darker language although the images are distinct not blurry like opening (which is a spatial distance).  As if Catullus as an artist, not writer, using high degree of meshing to every description of Poem 64.  Temporality in 64 is important, as previously observed.</w:t>
      </w:r>
    </w:p>
    <w:p w:rsidR="00B14730" w:rsidRDefault="00B14730" w:rsidP="00B14730"/>
    <w:p w:rsidR="00B14730" w:rsidRDefault="00B14730" w:rsidP="00B14730">
      <w:r>
        <w:t>397 ‘</w:t>
      </w:r>
      <w:proofErr w:type="spellStart"/>
      <w:r>
        <w:t>Tellus</w:t>
      </w:r>
      <w:proofErr w:type="spellEnd"/>
      <w:r>
        <w:t>’: here is either the earth, or even ‘the world’  whereby the reference actually suggests to a much broader meaning .   The impact of ‘</w:t>
      </w:r>
      <w:proofErr w:type="spellStart"/>
      <w:r>
        <w:t>scelere</w:t>
      </w:r>
      <w:proofErr w:type="spellEnd"/>
      <w:r>
        <w:t>’ and ‘</w:t>
      </w:r>
      <w:proofErr w:type="spellStart"/>
      <w:r>
        <w:t>nefando</w:t>
      </w:r>
      <w:proofErr w:type="spellEnd"/>
      <w:r>
        <w:t xml:space="preserve">’ whether unspeakable or abominable, together </w:t>
      </w:r>
      <w:proofErr w:type="spellStart"/>
      <w:r>
        <w:t>constrast</w:t>
      </w:r>
      <w:proofErr w:type="spellEnd"/>
      <w:r>
        <w:t xml:space="preserve"> to ‘</w:t>
      </w:r>
      <w:proofErr w:type="spellStart"/>
      <w:r>
        <w:t>justititam</w:t>
      </w:r>
      <w:proofErr w:type="spellEnd"/>
      <w:r>
        <w:t xml:space="preserve">’.  Just as </w:t>
      </w:r>
      <w:proofErr w:type="spellStart"/>
      <w:r>
        <w:t>ominious</w:t>
      </w:r>
      <w:proofErr w:type="spellEnd"/>
      <w:r>
        <w:t xml:space="preserve"> is the use of </w:t>
      </w:r>
      <w:proofErr w:type="spellStart"/>
      <w:r>
        <w:t>scelere</w:t>
      </w:r>
      <w:proofErr w:type="spellEnd"/>
      <w:r>
        <w:t xml:space="preserve">’ It is not revealed exactly what this is – and we are left to guess.  Its </w:t>
      </w:r>
      <w:proofErr w:type="spellStart"/>
      <w:r>
        <w:t>magnitiude</w:t>
      </w:r>
      <w:proofErr w:type="spellEnd"/>
      <w:r>
        <w:t xml:space="preserve"> or </w:t>
      </w:r>
      <w:r w:rsidR="00F72A89">
        <w:t>horror</w:t>
      </w:r>
      <w:r>
        <w:t xml:space="preserve"> is implied </w:t>
      </w:r>
    </w:p>
    <w:p w:rsidR="00B14730" w:rsidRDefault="00B14730" w:rsidP="00B14730">
      <w:r>
        <w:t xml:space="preserve">Catullus’s </w:t>
      </w:r>
      <w:r w:rsidR="00F72A89">
        <w:t>obliqueness</w:t>
      </w:r>
      <w:r>
        <w:t xml:space="preserve"> is not typical of all his writing, but deliberate here.   Catullus can be extremely direct in other poems as to what people have done wrong e.g. whom he accuses of being ‘</w:t>
      </w:r>
      <w:proofErr w:type="spellStart"/>
      <w:r>
        <w:t>furum</w:t>
      </w:r>
      <w:proofErr w:type="spellEnd"/>
      <w:r>
        <w:t>’, and refers to ‘</w:t>
      </w:r>
      <w:proofErr w:type="spellStart"/>
      <w:r>
        <w:t>patris</w:t>
      </w:r>
      <w:proofErr w:type="spellEnd"/>
      <w:r>
        <w:t xml:space="preserve"> </w:t>
      </w:r>
      <w:proofErr w:type="spellStart"/>
      <w:r>
        <w:t>rapinae</w:t>
      </w:r>
      <w:proofErr w:type="spellEnd"/>
      <w:r>
        <w:t xml:space="preserve">’ </w:t>
      </w:r>
      <w:r w:rsidR="00A43951">
        <w:t>(</w:t>
      </w:r>
      <w:r w:rsidR="00B75AEB">
        <w:t>C33</w:t>
      </w:r>
      <w:r w:rsidR="00A43951">
        <w:t>:</w:t>
      </w:r>
      <w:r w:rsidR="00A01580">
        <w:t>6)</w:t>
      </w:r>
      <w:r w:rsidR="00B75AEB">
        <w:t>.</w:t>
      </w:r>
      <w:r>
        <w:t xml:space="preserve">   In other poems, such as 53, when he speaks of ‘</w:t>
      </w:r>
      <w:proofErr w:type="spellStart"/>
      <w:r>
        <w:t>crimina</w:t>
      </w:r>
      <w:proofErr w:type="spellEnd"/>
      <w:r>
        <w:t xml:space="preserve"> </w:t>
      </w:r>
      <w:proofErr w:type="spellStart"/>
      <w:r>
        <w:t>Vatiniana</w:t>
      </w:r>
      <w:proofErr w:type="spellEnd"/>
      <w:r>
        <w:t>’</w:t>
      </w:r>
      <w:r w:rsidR="00B75AEB">
        <w:t xml:space="preserve"> </w:t>
      </w:r>
      <w:r>
        <w:t>to describe misdemeanours, it is a light piece.   In 64, by contrast, everything points to some beyond wicked act.</w:t>
      </w:r>
    </w:p>
    <w:p w:rsidR="00B14730" w:rsidRDefault="00B14730" w:rsidP="00B14730"/>
    <w:p w:rsidR="00B14730" w:rsidRDefault="00B14730" w:rsidP="00B14730">
      <w:r>
        <w:t xml:space="preserve">398 </w:t>
      </w:r>
      <w:proofErr w:type="spellStart"/>
      <w:r>
        <w:t>Iustitiamque</w:t>
      </w:r>
      <w:proofErr w:type="spellEnd"/>
      <w:r>
        <w:t xml:space="preserve"> </w:t>
      </w:r>
      <w:proofErr w:type="spellStart"/>
      <w:r>
        <w:t>omnes</w:t>
      </w:r>
      <w:proofErr w:type="spellEnd"/>
      <w:r>
        <w:t xml:space="preserve"> </w:t>
      </w:r>
      <w:proofErr w:type="spellStart"/>
      <w:r>
        <w:t>cupida</w:t>
      </w:r>
      <w:proofErr w:type="spellEnd"/>
      <w:r>
        <w:t xml:space="preserve"> de </w:t>
      </w:r>
      <w:proofErr w:type="spellStart"/>
      <w:r>
        <w:t>mente</w:t>
      </w:r>
      <w:proofErr w:type="spellEnd"/>
      <w:r>
        <w:t xml:space="preserve"> </w:t>
      </w:r>
      <w:proofErr w:type="spellStart"/>
      <w:r>
        <w:t>fugarunt</w:t>
      </w:r>
      <w:proofErr w:type="spellEnd"/>
      <w:r>
        <w:t>:  ‘</w:t>
      </w:r>
      <w:proofErr w:type="spellStart"/>
      <w:r>
        <w:t>Omnes</w:t>
      </w:r>
      <w:proofErr w:type="spellEnd"/>
      <w:r>
        <w:t>’ is critical of the collective mass</w:t>
      </w:r>
      <w:r w:rsidR="00F72A89">
        <w:t xml:space="preserve"> i.e.</w:t>
      </w:r>
      <w:r>
        <w:t xml:space="preserve"> everybody.   There is a reference to justice as a high ideal, which is now preceded by  ‘de’, stressing how the forcibly remove it, as if evicting it ‘</w:t>
      </w:r>
      <w:proofErr w:type="spellStart"/>
      <w:r>
        <w:t>fugarunt</w:t>
      </w:r>
      <w:proofErr w:type="spellEnd"/>
      <w:r>
        <w:t>’.  Previously, ‘</w:t>
      </w:r>
      <w:proofErr w:type="spellStart"/>
      <w:r>
        <w:t>supplicium</w:t>
      </w:r>
      <w:proofErr w:type="spellEnd"/>
      <w:r>
        <w:t xml:space="preserve">, </w:t>
      </w:r>
      <w:proofErr w:type="spellStart"/>
      <w:r>
        <w:t>saevis</w:t>
      </w:r>
      <w:proofErr w:type="spellEnd"/>
      <w:r>
        <w:t xml:space="preserve"> </w:t>
      </w:r>
      <w:proofErr w:type="spellStart"/>
      <w:r>
        <w:t>exposcens</w:t>
      </w:r>
      <w:proofErr w:type="spellEnd"/>
      <w:r>
        <w:t xml:space="preserve"> </w:t>
      </w:r>
      <w:proofErr w:type="spellStart"/>
      <w:r>
        <w:t>anxia</w:t>
      </w:r>
      <w:proofErr w:type="spellEnd"/>
      <w:r>
        <w:t xml:space="preserve"> </w:t>
      </w:r>
      <w:proofErr w:type="spellStart"/>
      <w:r>
        <w:lastRenderedPageBreak/>
        <w:t>factis</w:t>
      </w:r>
      <w:proofErr w:type="spellEnd"/>
      <w:r>
        <w:t>’ (C64:203) is a plea for justice which is granted by Jupiter ’</w:t>
      </w:r>
      <w:proofErr w:type="spellStart"/>
      <w:r>
        <w:t>annuit</w:t>
      </w:r>
      <w:proofErr w:type="spellEnd"/>
      <w:r>
        <w:t xml:space="preserve"> </w:t>
      </w:r>
      <w:proofErr w:type="spellStart"/>
      <w:r>
        <w:t>invicto</w:t>
      </w:r>
      <w:proofErr w:type="spellEnd"/>
      <w:r>
        <w:t xml:space="preserve"> </w:t>
      </w:r>
      <w:proofErr w:type="spellStart"/>
      <w:r>
        <w:t>Caelestum</w:t>
      </w:r>
      <w:proofErr w:type="spellEnd"/>
      <w:r>
        <w:t xml:space="preserve"> </w:t>
      </w:r>
      <w:proofErr w:type="spellStart"/>
      <w:r>
        <w:t>numine</w:t>
      </w:r>
      <w:proofErr w:type="spellEnd"/>
      <w:r>
        <w:t xml:space="preserve"> Rector’ (C64.204).   It is proceeded by a geographic representation of disharmony –</w:t>
      </w:r>
    </w:p>
    <w:p w:rsidR="00B14730" w:rsidRDefault="00B14730" w:rsidP="00B14730">
      <w:r>
        <w:t xml:space="preserve">‘Quo </w:t>
      </w:r>
      <w:proofErr w:type="spellStart"/>
      <w:r>
        <w:t>motu</w:t>
      </w:r>
      <w:proofErr w:type="spellEnd"/>
      <w:r>
        <w:t xml:space="preserve"> </w:t>
      </w:r>
      <w:proofErr w:type="spellStart"/>
      <w:r>
        <w:t>tellus</w:t>
      </w:r>
      <w:proofErr w:type="spellEnd"/>
      <w:r>
        <w:t xml:space="preserve"> </w:t>
      </w:r>
      <w:proofErr w:type="spellStart"/>
      <w:r>
        <w:t>atque</w:t>
      </w:r>
      <w:proofErr w:type="spellEnd"/>
      <w:r>
        <w:t xml:space="preserve"> </w:t>
      </w:r>
      <w:proofErr w:type="spellStart"/>
      <w:r>
        <w:t>horrida</w:t>
      </w:r>
      <w:proofErr w:type="spellEnd"/>
      <w:r>
        <w:t xml:space="preserve"> </w:t>
      </w:r>
      <w:proofErr w:type="spellStart"/>
      <w:r>
        <w:t>contremverunt</w:t>
      </w:r>
      <w:proofErr w:type="spellEnd"/>
      <w:r>
        <w:t xml:space="preserve"> / </w:t>
      </w:r>
      <w:proofErr w:type="spellStart"/>
      <w:r>
        <w:t>aequora</w:t>
      </w:r>
      <w:proofErr w:type="spellEnd"/>
      <w:r>
        <w:t xml:space="preserve"> </w:t>
      </w:r>
      <w:proofErr w:type="spellStart"/>
      <w:r>
        <w:t>concussitque</w:t>
      </w:r>
      <w:proofErr w:type="spellEnd"/>
      <w:r>
        <w:t xml:space="preserve"> </w:t>
      </w:r>
      <w:proofErr w:type="spellStart"/>
      <w:r>
        <w:t>micantia</w:t>
      </w:r>
      <w:proofErr w:type="spellEnd"/>
      <w:r>
        <w:t xml:space="preserve"> </w:t>
      </w:r>
      <w:proofErr w:type="spellStart"/>
      <w:r>
        <w:t>sidera</w:t>
      </w:r>
      <w:proofErr w:type="spellEnd"/>
      <w:r>
        <w:t xml:space="preserve"> </w:t>
      </w:r>
      <w:proofErr w:type="spellStart"/>
      <w:r>
        <w:t>mundus</w:t>
      </w:r>
      <w:proofErr w:type="spellEnd"/>
      <w:r>
        <w:t xml:space="preserve">’ (C64.205, 206).   This line uses </w:t>
      </w:r>
      <w:r w:rsidR="00D66C60">
        <w:t>‘</w:t>
      </w:r>
      <w:proofErr w:type="spellStart"/>
      <w:r>
        <w:t>tellus</w:t>
      </w:r>
      <w:proofErr w:type="spellEnd"/>
      <w:r w:rsidR="00D66C60">
        <w:t>’</w:t>
      </w:r>
      <w:r>
        <w:t xml:space="preserve">, but here the usage is different.   Although Poem 64 references disorder, then refers to very human expressions of disorder </w:t>
      </w:r>
    </w:p>
    <w:p w:rsidR="00B14730" w:rsidRDefault="00B14730" w:rsidP="00B14730">
      <w:r>
        <w:t>This line also reveals how Catullus questions our sense of  ‘</w:t>
      </w:r>
      <w:proofErr w:type="spellStart"/>
      <w:r>
        <w:t>mente</w:t>
      </w:r>
      <w:proofErr w:type="spellEnd"/>
      <w:r>
        <w:t xml:space="preserve">’.  A sense of clear-thinking which I suggest ties to the thought of Poem 64’s last line i.e. clarity, clear thinking, illuminated path, truth.   Likewise,  ‘simul ipsa </w:t>
      </w:r>
      <w:proofErr w:type="spellStart"/>
      <w:r>
        <w:t>pectore</w:t>
      </w:r>
      <w:proofErr w:type="spellEnd"/>
      <w:r>
        <w:t xml:space="preserve"> Attis </w:t>
      </w:r>
      <w:proofErr w:type="spellStart"/>
      <w:r>
        <w:t>sua</w:t>
      </w:r>
      <w:proofErr w:type="spellEnd"/>
      <w:r>
        <w:t xml:space="preserve"> </w:t>
      </w:r>
      <w:proofErr w:type="spellStart"/>
      <w:r>
        <w:t>facta</w:t>
      </w:r>
      <w:proofErr w:type="spellEnd"/>
      <w:r>
        <w:t xml:space="preserve"> </w:t>
      </w:r>
      <w:proofErr w:type="spellStart"/>
      <w:r>
        <w:t>recoluit</w:t>
      </w:r>
      <w:proofErr w:type="spellEnd"/>
      <w:r>
        <w:t xml:space="preserve"> / </w:t>
      </w:r>
      <w:proofErr w:type="spellStart"/>
      <w:r>
        <w:t>liquidaque</w:t>
      </w:r>
      <w:proofErr w:type="spellEnd"/>
      <w:r>
        <w:t xml:space="preserve"> </w:t>
      </w:r>
      <w:proofErr w:type="spellStart"/>
      <w:r>
        <w:t>mente</w:t>
      </w:r>
      <w:proofErr w:type="spellEnd"/>
      <w:r>
        <w:t xml:space="preserve"> </w:t>
      </w:r>
      <w:proofErr w:type="spellStart"/>
      <w:r>
        <w:t>vidit</w:t>
      </w:r>
      <w:proofErr w:type="spellEnd"/>
      <w:r>
        <w:t xml:space="preserve"> sine </w:t>
      </w:r>
      <w:proofErr w:type="spellStart"/>
      <w:r>
        <w:t>quis</w:t>
      </w:r>
      <w:proofErr w:type="spellEnd"/>
      <w:r>
        <w:t xml:space="preserve"> </w:t>
      </w:r>
      <w:proofErr w:type="spellStart"/>
      <w:r>
        <w:t>uibque</w:t>
      </w:r>
      <w:proofErr w:type="spellEnd"/>
      <w:r>
        <w:t xml:space="preserve"> </w:t>
      </w:r>
      <w:proofErr w:type="spellStart"/>
      <w:r>
        <w:t>foret</w:t>
      </w:r>
      <w:proofErr w:type="spellEnd"/>
      <w:r>
        <w:t>’ (C63: 45-46).</w:t>
      </w:r>
    </w:p>
    <w:p w:rsidR="00B14730" w:rsidRDefault="00B14730" w:rsidP="00B14730"/>
    <w:p w:rsidR="00B14730" w:rsidRDefault="00B14730" w:rsidP="00B14730">
      <w:r>
        <w:t xml:space="preserve">402 liber </w:t>
      </w:r>
      <w:proofErr w:type="spellStart"/>
      <w:r>
        <w:t>ut</w:t>
      </w:r>
      <w:proofErr w:type="spellEnd"/>
      <w:r>
        <w:t xml:space="preserve"> </w:t>
      </w:r>
      <w:proofErr w:type="spellStart"/>
      <w:r>
        <w:t>innuptae</w:t>
      </w:r>
      <w:proofErr w:type="spellEnd"/>
      <w:r>
        <w:t xml:space="preserve"> </w:t>
      </w:r>
      <w:proofErr w:type="spellStart"/>
      <w:r>
        <w:t>poteretur</w:t>
      </w:r>
      <w:proofErr w:type="spellEnd"/>
      <w:r>
        <w:t xml:space="preserve"> </w:t>
      </w:r>
      <w:proofErr w:type="spellStart"/>
      <w:r>
        <w:t>flore</w:t>
      </w:r>
      <w:proofErr w:type="spellEnd"/>
      <w:r>
        <w:t xml:space="preserve"> </w:t>
      </w:r>
      <w:proofErr w:type="spellStart"/>
      <w:r>
        <w:t>nouerca</w:t>
      </w:r>
      <w:proofErr w:type="spellEnd"/>
      <w:r>
        <w:t>:   What is the new bride he is alluding to?  Catullus has used ‘</w:t>
      </w:r>
      <w:proofErr w:type="spellStart"/>
      <w:r>
        <w:t>floridam</w:t>
      </w:r>
      <w:proofErr w:type="spellEnd"/>
      <w:r>
        <w:t>..</w:t>
      </w:r>
      <w:proofErr w:type="spellStart"/>
      <w:r>
        <w:t>puellulam</w:t>
      </w:r>
      <w:proofErr w:type="spellEnd"/>
      <w:r>
        <w:t>’ (C61:57) to describe a blooming bride  who by contrast is about to marry ‘</w:t>
      </w:r>
      <w:proofErr w:type="spellStart"/>
      <w:r>
        <w:t>fero</w:t>
      </w:r>
      <w:proofErr w:type="spellEnd"/>
      <w:r>
        <w:t xml:space="preserve"> </w:t>
      </w:r>
      <w:proofErr w:type="spellStart"/>
      <w:r>
        <w:t>iuveni</w:t>
      </w:r>
      <w:proofErr w:type="spellEnd"/>
      <w:r>
        <w:t>’ (C61:56).   Brides are ‘fresh, blooming’ by virtue of their youth, virginity and beauty.  Earlier in Poem 64, ‘</w:t>
      </w:r>
      <w:proofErr w:type="spellStart"/>
      <w:r>
        <w:t>dedatur</w:t>
      </w:r>
      <w:proofErr w:type="spellEnd"/>
      <w:r>
        <w:t>..</w:t>
      </w:r>
      <w:proofErr w:type="spellStart"/>
      <w:r>
        <w:t>nupta</w:t>
      </w:r>
      <w:proofErr w:type="spellEnd"/>
      <w:r>
        <w:t xml:space="preserve">’ (l.374) who is given away to her future husband.   In these examples, the brides lack agency.   In Poem 63, ‘ego </w:t>
      </w:r>
      <w:proofErr w:type="spellStart"/>
      <w:r>
        <w:t>gymnasi</w:t>
      </w:r>
      <w:proofErr w:type="spellEnd"/>
      <w:r>
        <w:t xml:space="preserve"> </w:t>
      </w:r>
      <w:proofErr w:type="spellStart"/>
      <w:r>
        <w:t>fui</w:t>
      </w:r>
      <w:proofErr w:type="spellEnd"/>
      <w:r>
        <w:t xml:space="preserve"> </w:t>
      </w:r>
      <w:proofErr w:type="spellStart"/>
      <w:r>
        <w:t>flos</w:t>
      </w:r>
      <w:proofErr w:type="spellEnd"/>
      <w:r>
        <w:t xml:space="preserve">’ (63:64) Cybele reflecting on past beauty.  It is open to interpretation whether he is prompting us to recall </w:t>
      </w:r>
      <w:proofErr w:type="spellStart"/>
      <w:r>
        <w:t>Aridane</w:t>
      </w:r>
      <w:proofErr w:type="spellEnd"/>
      <w:r>
        <w:t>.</w:t>
      </w:r>
    </w:p>
    <w:p w:rsidR="00B14730" w:rsidRDefault="00B14730" w:rsidP="00B14730"/>
    <w:p w:rsidR="00B14730" w:rsidRDefault="00B14730" w:rsidP="00B14730">
      <w:r>
        <w:t>403 Mater:  Earlier in the poem, ‘mater’ figured ‘</w:t>
      </w:r>
      <w:proofErr w:type="spellStart"/>
      <w:r>
        <w:t>anxia</w:t>
      </w:r>
      <w:proofErr w:type="spellEnd"/>
      <w:r>
        <w:t xml:space="preserve"> nec mater </w:t>
      </w:r>
      <w:proofErr w:type="spellStart"/>
      <w:r>
        <w:t>discordis</w:t>
      </w:r>
      <w:proofErr w:type="spellEnd"/>
      <w:r>
        <w:t xml:space="preserve"> </w:t>
      </w:r>
      <w:proofErr w:type="spellStart"/>
      <w:r>
        <w:t>maesta</w:t>
      </w:r>
      <w:proofErr w:type="spellEnd"/>
      <w:r>
        <w:t xml:space="preserve"> </w:t>
      </w:r>
      <w:proofErr w:type="spellStart"/>
      <w:r>
        <w:t>puellae</w:t>
      </w:r>
      <w:proofErr w:type="spellEnd"/>
      <w:r>
        <w:t>’ (C64:379) quickly related to the hope of ‘</w:t>
      </w:r>
      <w:proofErr w:type="spellStart"/>
      <w:r>
        <w:t>nepotes</w:t>
      </w:r>
      <w:proofErr w:type="spellEnd"/>
      <w:r>
        <w:t xml:space="preserve">’ which is abandoned.   Other references to mater in Catullus have </w:t>
      </w:r>
      <w:proofErr w:type="spellStart"/>
      <w:r>
        <w:t>depitced</w:t>
      </w:r>
      <w:proofErr w:type="spellEnd"/>
      <w:r>
        <w:t xml:space="preserve"> her as a protector of daughters ‘a </w:t>
      </w:r>
      <w:proofErr w:type="spellStart"/>
      <w:r>
        <w:t>gremio</w:t>
      </w:r>
      <w:proofErr w:type="spellEnd"/>
      <w:r>
        <w:t xml:space="preserve"> </w:t>
      </w:r>
      <w:proofErr w:type="spellStart"/>
      <w:r>
        <w:t>suae</w:t>
      </w:r>
      <w:proofErr w:type="spellEnd"/>
      <w:r>
        <w:t xml:space="preserve"> / </w:t>
      </w:r>
      <w:proofErr w:type="spellStart"/>
      <w:r>
        <w:t>matris</w:t>
      </w:r>
      <w:proofErr w:type="spellEnd"/>
      <w:r>
        <w:t>’ (C61:58/59) and as life-giver ‘</w:t>
      </w:r>
      <w:proofErr w:type="spellStart"/>
      <w:r>
        <w:t>matris</w:t>
      </w:r>
      <w:proofErr w:type="spellEnd"/>
      <w:r>
        <w:t xml:space="preserve"> e </w:t>
      </w:r>
      <w:proofErr w:type="spellStart"/>
      <w:r>
        <w:t>gremio</w:t>
      </w:r>
      <w:proofErr w:type="spellEnd"/>
      <w:r>
        <w:t xml:space="preserve"> </w:t>
      </w:r>
      <w:proofErr w:type="spellStart"/>
      <w:r>
        <w:t>suae</w:t>
      </w:r>
      <w:proofErr w:type="spellEnd"/>
      <w:r>
        <w:t>’ (C61:210).  Chastity and motherhood are expected to go hand in hand – ‘</w:t>
      </w:r>
      <w:proofErr w:type="spellStart"/>
      <w:r>
        <w:t>pudicitiam</w:t>
      </w:r>
      <w:proofErr w:type="spellEnd"/>
      <w:r>
        <w:t xml:space="preserve"> </w:t>
      </w:r>
      <w:proofErr w:type="spellStart"/>
      <w:r>
        <w:t>suae</w:t>
      </w:r>
      <w:proofErr w:type="spellEnd"/>
      <w:r>
        <w:t xml:space="preserve"> / </w:t>
      </w:r>
      <w:proofErr w:type="spellStart"/>
      <w:r>
        <w:t>matris</w:t>
      </w:r>
      <w:proofErr w:type="spellEnd"/>
      <w:r>
        <w:t xml:space="preserve"> </w:t>
      </w:r>
      <w:proofErr w:type="spellStart"/>
      <w:r>
        <w:t>indicet</w:t>
      </w:r>
      <w:proofErr w:type="spellEnd"/>
      <w:r>
        <w:t xml:space="preserve"> ore’ (C61:217-8).  A mother is a way of determining genetic quality or heritage  ‘a bona / </w:t>
      </w:r>
      <w:proofErr w:type="spellStart"/>
      <w:r>
        <w:t>matre</w:t>
      </w:r>
      <w:proofErr w:type="spellEnd"/>
      <w:r>
        <w:t xml:space="preserve">’ (C61:219).   Classical heroines are depicted as exemplary mothers, ‘Optima / </w:t>
      </w:r>
      <w:proofErr w:type="spellStart"/>
      <w:r>
        <w:t>matre</w:t>
      </w:r>
      <w:proofErr w:type="spellEnd"/>
      <w:r>
        <w:t xml:space="preserve">’ is Penelope (C61:221-2). Catullus refers to deep mother-daughter bond and protection ‘qui </w:t>
      </w:r>
      <w:proofErr w:type="spellStart"/>
      <w:r>
        <w:t>natram</w:t>
      </w:r>
      <w:proofErr w:type="spellEnd"/>
      <w:r>
        <w:t xml:space="preserve"> </w:t>
      </w:r>
      <w:proofErr w:type="spellStart"/>
      <w:r>
        <w:t>possis</w:t>
      </w:r>
      <w:proofErr w:type="spellEnd"/>
      <w:r>
        <w:t>…</w:t>
      </w:r>
      <w:proofErr w:type="spellStart"/>
      <w:r>
        <w:t>matris</w:t>
      </w:r>
      <w:proofErr w:type="spellEnd"/>
      <w:r>
        <w:t xml:space="preserve"> / </w:t>
      </w:r>
      <w:proofErr w:type="spellStart"/>
      <w:r>
        <w:t>complexu</w:t>
      </w:r>
      <w:proofErr w:type="spellEnd"/>
      <w:r>
        <w:t xml:space="preserve"> </w:t>
      </w:r>
      <w:proofErr w:type="spellStart"/>
      <w:r>
        <w:t>matris</w:t>
      </w:r>
      <w:proofErr w:type="spellEnd"/>
      <w:r>
        <w:t>…’ (C62:21-22).  He also identities ‘</w:t>
      </w:r>
      <w:proofErr w:type="spellStart"/>
      <w:r>
        <w:t>Cybebe</w:t>
      </w:r>
      <w:proofErr w:type="spellEnd"/>
      <w:r>
        <w:t xml:space="preserve">, </w:t>
      </w:r>
      <w:proofErr w:type="spellStart"/>
      <w:r>
        <w:t>tua</w:t>
      </w:r>
      <w:proofErr w:type="spellEnd"/>
      <w:r>
        <w:t xml:space="preserve">, mater, </w:t>
      </w:r>
      <w:proofErr w:type="spellStart"/>
      <w:r>
        <w:t>initita</w:t>
      </w:r>
      <w:proofErr w:type="spellEnd"/>
      <w:r>
        <w:t>’ (63:9) as a mother.</w:t>
      </w:r>
    </w:p>
    <w:p w:rsidR="00B14730" w:rsidRDefault="00B14730" w:rsidP="00B14730"/>
    <w:p w:rsidR="00B14730" w:rsidRDefault="00B14730" w:rsidP="00B14730">
      <w:r>
        <w:t xml:space="preserve">403 </w:t>
      </w:r>
      <w:proofErr w:type="spellStart"/>
      <w:r>
        <w:t>ignaro</w:t>
      </w:r>
      <w:proofErr w:type="spellEnd"/>
      <w:r>
        <w:t xml:space="preserve"> mater </w:t>
      </w:r>
      <w:proofErr w:type="spellStart"/>
      <w:r>
        <w:t>substernens</w:t>
      </w:r>
      <w:proofErr w:type="spellEnd"/>
      <w:r>
        <w:t xml:space="preserve"> se </w:t>
      </w:r>
      <w:proofErr w:type="spellStart"/>
      <w:r>
        <w:t>impia</w:t>
      </w:r>
      <w:proofErr w:type="spellEnd"/>
      <w:r>
        <w:t xml:space="preserve"> nato </w:t>
      </w:r>
      <w:proofErr w:type="spellStart"/>
      <w:r>
        <w:t>impia</w:t>
      </w:r>
      <w:proofErr w:type="spellEnd"/>
      <w:r>
        <w:t xml:space="preserve"> non </w:t>
      </w:r>
      <w:proofErr w:type="spellStart"/>
      <w:r>
        <w:t>uerita</w:t>
      </w:r>
      <w:proofErr w:type="spellEnd"/>
      <w:r>
        <w:t xml:space="preserve"> </w:t>
      </w:r>
      <w:proofErr w:type="spellStart"/>
      <w:r>
        <w:t>est</w:t>
      </w:r>
      <w:proofErr w:type="spellEnd"/>
      <w:r>
        <w:t xml:space="preserve"> </w:t>
      </w:r>
      <w:proofErr w:type="spellStart"/>
      <w:r>
        <w:t>diuos</w:t>
      </w:r>
      <w:proofErr w:type="spellEnd"/>
      <w:r>
        <w:t xml:space="preserve"> </w:t>
      </w:r>
      <w:proofErr w:type="spellStart"/>
      <w:r>
        <w:t>scelerare</w:t>
      </w:r>
      <w:proofErr w:type="spellEnd"/>
      <w:r>
        <w:t xml:space="preserve"> penates:  </w:t>
      </w:r>
      <w:r w:rsidR="003E4DB7">
        <w:t>by now e</w:t>
      </w:r>
      <w:r>
        <w:t xml:space="preserve">very family tie is now referenced except </w:t>
      </w:r>
      <w:proofErr w:type="spellStart"/>
      <w:r>
        <w:t>sororiety</w:t>
      </w:r>
      <w:proofErr w:type="spellEnd"/>
      <w:r>
        <w:t>.  ‘</w:t>
      </w:r>
      <w:proofErr w:type="spellStart"/>
      <w:r>
        <w:t>Ignaro</w:t>
      </w:r>
      <w:proofErr w:type="spellEnd"/>
      <w:r>
        <w:t>’, ‘</w:t>
      </w:r>
      <w:proofErr w:type="spellStart"/>
      <w:r>
        <w:t>impia</w:t>
      </w:r>
      <w:proofErr w:type="spellEnd"/>
      <w:r>
        <w:t>’, ‘</w:t>
      </w:r>
      <w:proofErr w:type="spellStart"/>
      <w:r>
        <w:t>impia</w:t>
      </w:r>
      <w:proofErr w:type="spellEnd"/>
      <w:r>
        <w:t xml:space="preserve">’ are all condemnatory negatives.  On sisterhood/sorority, Catullus is silent.  It is questionable whether he sees most women as chattel, ‘cum par </w:t>
      </w:r>
      <w:proofErr w:type="spellStart"/>
      <w:r>
        <w:t>conubium</w:t>
      </w:r>
      <w:proofErr w:type="spellEnd"/>
      <w:r>
        <w:t xml:space="preserve"> </w:t>
      </w:r>
      <w:proofErr w:type="spellStart"/>
      <w:r>
        <w:t>matutro</w:t>
      </w:r>
      <w:proofErr w:type="spellEnd"/>
      <w:r>
        <w:t xml:space="preserve"> </w:t>
      </w:r>
      <w:proofErr w:type="spellStart"/>
      <w:r>
        <w:t>tempore</w:t>
      </w:r>
      <w:proofErr w:type="spellEnd"/>
      <w:r>
        <w:t xml:space="preserve"> </w:t>
      </w:r>
      <w:proofErr w:type="spellStart"/>
      <w:r>
        <w:t>adepta</w:t>
      </w:r>
      <w:proofErr w:type="spellEnd"/>
      <w:r>
        <w:t xml:space="preserve"> </w:t>
      </w:r>
      <w:proofErr w:type="spellStart"/>
      <w:r>
        <w:t>est</w:t>
      </w:r>
      <w:proofErr w:type="spellEnd"/>
      <w:r>
        <w:t xml:space="preserve">/ cara </w:t>
      </w:r>
      <w:proofErr w:type="spellStart"/>
      <w:r>
        <w:t>viro</w:t>
      </w:r>
      <w:proofErr w:type="spellEnd"/>
      <w:r>
        <w:t xml:space="preserve"> </w:t>
      </w:r>
      <w:proofErr w:type="spellStart"/>
      <w:r>
        <w:t>magis</w:t>
      </w:r>
      <w:proofErr w:type="spellEnd"/>
      <w:r>
        <w:t xml:space="preserve"> et minus </w:t>
      </w:r>
      <w:proofErr w:type="spellStart"/>
      <w:r>
        <w:t>esst</w:t>
      </w:r>
      <w:proofErr w:type="spellEnd"/>
      <w:r>
        <w:t xml:space="preserve"> </w:t>
      </w:r>
      <w:proofErr w:type="spellStart"/>
      <w:r>
        <w:t>invisa</w:t>
      </w:r>
      <w:proofErr w:type="spellEnd"/>
      <w:r>
        <w:t xml:space="preserve"> </w:t>
      </w:r>
      <w:proofErr w:type="spellStart"/>
      <w:r>
        <w:t>parenti</w:t>
      </w:r>
      <w:proofErr w:type="spellEnd"/>
      <w:r>
        <w:t xml:space="preserve">’ (C62:57,58) </w:t>
      </w:r>
    </w:p>
    <w:p w:rsidR="00B14730" w:rsidRDefault="00B14730" w:rsidP="00B14730"/>
    <w:p w:rsidR="00B14730" w:rsidRDefault="00B14730" w:rsidP="00B14730">
      <w:r>
        <w:t xml:space="preserve">405 </w:t>
      </w:r>
      <w:proofErr w:type="spellStart"/>
      <w:r>
        <w:t>omnia</w:t>
      </w:r>
      <w:proofErr w:type="spellEnd"/>
      <w:r>
        <w:t xml:space="preserve"> </w:t>
      </w:r>
      <w:proofErr w:type="spellStart"/>
      <w:r>
        <w:t>fanda</w:t>
      </w:r>
      <w:proofErr w:type="spellEnd"/>
      <w:r>
        <w:t xml:space="preserve"> </w:t>
      </w:r>
      <w:proofErr w:type="spellStart"/>
      <w:r>
        <w:t>nefanda</w:t>
      </w:r>
      <w:proofErr w:type="spellEnd"/>
      <w:r>
        <w:t xml:space="preserve"> </w:t>
      </w:r>
      <w:proofErr w:type="spellStart"/>
      <w:r>
        <w:t>malo</w:t>
      </w:r>
      <w:proofErr w:type="spellEnd"/>
      <w:r>
        <w:t xml:space="preserve"> </w:t>
      </w:r>
      <w:proofErr w:type="spellStart"/>
      <w:r>
        <w:t>permixta</w:t>
      </w:r>
      <w:proofErr w:type="spellEnd"/>
      <w:r>
        <w:t xml:space="preserve"> furore   ‘</w:t>
      </w:r>
      <w:proofErr w:type="spellStart"/>
      <w:r>
        <w:t>Fanda</w:t>
      </w:r>
      <w:proofErr w:type="spellEnd"/>
      <w:r>
        <w:t xml:space="preserve"> </w:t>
      </w:r>
      <w:proofErr w:type="spellStart"/>
      <w:r>
        <w:t>nefanda</w:t>
      </w:r>
      <w:proofErr w:type="spellEnd"/>
      <w:r>
        <w:t xml:space="preserve">’ are next to each other and mean the opposite.  </w:t>
      </w:r>
      <w:proofErr w:type="spellStart"/>
      <w:r>
        <w:t>Nefando</w:t>
      </w:r>
      <w:proofErr w:type="spellEnd"/>
      <w:r>
        <w:t xml:space="preserve"> is above so used again.  ‘</w:t>
      </w:r>
      <w:proofErr w:type="spellStart"/>
      <w:r>
        <w:t>Permixta</w:t>
      </w:r>
      <w:proofErr w:type="spellEnd"/>
      <w:r>
        <w:t xml:space="preserve">’ is a real binding perhaps implying the Iron Age.  ‘Malo..furore’ convey together evil madness - could this imply the criminal concept of  mens </w:t>
      </w:r>
      <w:proofErr w:type="spellStart"/>
      <w:r>
        <w:t>rea</w:t>
      </w:r>
      <w:proofErr w:type="spellEnd"/>
      <w:r>
        <w:t xml:space="preserve">?  </w:t>
      </w:r>
    </w:p>
    <w:p w:rsidR="00B14730" w:rsidRDefault="00B14730" w:rsidP="00B14730"/>
    <w:p w:rsidR="00B14730" w:rsidRDefault="00B14730" w:rsidP="00B14730">
      <w:r>
        <w:t xml:space="preserve">407 </w:t>
      </w:r>
      <w:proofErr w:type="spellStart"/>
      <w:r>
        <w:t>Coetus</w:t>
      </w:r>
      <w:proofErr w:type="spellEnd"/>
      <w:r>
        <w:t>:   repeated again.  Now, after all these horrible things, different to then.  Has removed gods from daily lives/real co-living</w:t>
      </w:r>
    </w:p>
    <w:p w:rsidR="00B14730" w:rsidRDefault="00B14730" w:rsidP="00B14730"/>
    <w:p w:rsidR="00B14730" w:rsidRDefault="00B14730" w:rsidP="00B14730">
      <w:r>
        <w:t xml:space="preserve">408 </w:t>
      </w:r>
      <w:proofErr w:type="spellStart"/>
      <w:r>
        <w:t>lumine</w:t>
      </w:r>
      <w:proofErr w:type="spellEnd"/>
      <w:r>
        <w:t xml:space="preserve"> </w:t>
      </w:r>
      <w:proofErr w:type="spellStart"/>
      <w:r>
        <w:t>claro</w:t>
      </w:r>
      <w:proofErr w:type="spellEnd"/>
      <w:r>
        <w:t>:   in common with  C64: 269 and C64:  353 .  Likewise, poem 63: ‘</w:t>
      </w:r>
      <w:proofErr w:type="spellStart"/>
      <w:r>
        <w:t>furenti</w:t>
      </w:r>
      <w:proofErr w:type="spellEnd"/>
      <w:r>
        <w:t xml:space="preserve"> </w:t>
      </w:r>
      <w:proofErr w:type="spellStart"/>
      <w:r>
        <w:t>rabie</w:t>
      </w:r>
      <w:proofErr w:type="spellEnd"/>
      <w:r>
        <w:t xml:space="preserve">’ (C63:4). Is this different to the glistening temple of </w:t>
      </w:r>
      <w:proofErr w:type="spellStart"/>
      <w:r>
        <w:t>jupiter</w:t>
      </w:r>
      <w:proofErr w:type="spellEnd"/>
      <w:r>
        <w:t xml:space="preserve"> earlier ?  Here, in the closing lines, we have a world to which </w:t>
      </w:r>
      <w:proofErr w:type="spellStart"/>
      <w:r>
        <w:t>catullus</w:t>
      </w:r>
      <w:proofErr w:type="spellEnd"/>
      <w:r>
        <w:t xml:space="preserve"> holds a metaphorical magnifying glass.</w:t>
      </w:r>
    </w:p>
    <w:p w:rsidR="00B14730" w:rsidRDefault="00B14730" w:rsidP="00B14730">
      <w:r>
        <w:t xml:space="preserve">   </w:t>
      </w:r>
    </w:p>
    <w:p w:rsidR="00B14730" w:rsidRDefault="00B14730" w:rsidP="00B14730">
      <w:r>
        <w:t xml:space="preserve">Paradoxically, in 64, it would seem that the poem’s audience itself is on a quest – in seeking meaning, we are on a journey of the varied terrain or disjunctures of Catullus 64.   Arguably, whilst often overlooked, the purpose of 64 is to show that life itself is without meaning, except what we impose upon it.  It is our own eyes – what we see, and how we interpret those image, that define us, and our journey. What we see and what we ignore or fail to understand, defines us.  </w:t>
      </w:r>
    </w:p>
    <w:p w:rsidR="00B14730" w:rsidRDefault="00B14730" w:rsidP="00B14730"/>
    <w:p w:rsidR="00B14730" w:rsidRDefault="00B14730" w:rsidP="00B14730"/>
    <w:p w:rsidR="00B14730" w:rsidRPr="00215FEA" w:rsidRDefault="00B14730" w:rsidP="00B14730">
      <w:pPr>
        <w:rPr>
          <w:u w:val="single"/>
        </w:rPr>
      </w:pPr>
      <w:r w:rsidRPr="00215FEA">
        <w:rPr>
          <w:u w:val="single"/>
        </w:rPr>
        <w:t>References</w:t>
      </w:r>
    </w:p>
    <w:p w:rsidR="00B14730" w:rsidRDefault="00B14730" w:rsidP="00B14730"/>
    <w:p w:rsidR="00B14730" w:rsidRDefault="00B14730" w:rsidP="00B14730">
      <w:proofErr w:type="spellStart"/>
      <w:r>
        <w:t>Ambühl</w:t>
      </w:r>
      <w:proofErr w:type="spellEnd"/>
      <w:r>
        <w:t xml:space="preserve">, Annemarie. 2016. “Epyllion as idyll or enigma? Thessaly as a </w:t>
      </w:r>
      <w:proofErr w:type="spellStart"/>
      <w:r>
        <w:t>mythico-literary</w:t>
      </w:r>
      <w:proofErr w:type="spellEnd"/>
      <w:r>
        <w:t xml:space="preserve"> landscape of war in Catullus 64 and in Callimachus’ Hymn to Delos”, </w:t>
      </w:r>
      <w:proofErr w:type="spellStart"/>
      <w:r>
        <w:t>Aitia</w:t>
      </w:r>
      <w:proofErr w:type="spellEnd"/>
      <w:r>
        <w:t xml:space="preserve"> http://journals.openedition.org/aitia/1459</w:t>
      </w:r>
    </w:p>
    <w:p w:rsidR="00B14730" w:rsidRDefault="00B14730" w:rsidP="00B14730"/>
    <w:p w:rsidR="00B14730" w:rsidRDefault="00B14730" w:rsidP="00B14730">
      <w:r>
        <w:t>BRAMBLE, J. C. (1970) STRUCTURE AND AMBIGUITY IN CATULLUS LXIV. Proceedings of the Cambridge Philological Society, 16 (196), 22–41. http://www.jstor.org/stable/44696800</w:t>
      </w:r>
    </w:p>
    <w:p w:rsidR="00B14730" w:rsidRDefault="00B14730" w:rsidP="00B14730"/>
    <w:p w:rsidR="00B14730" w:rsidRDefault="00B14730" w:rsidP="00B14730">
      <w:r>
        <w:t xml:space="preserve">CATULLUS, G. V., &amp; MYNORS, R. A. B. (1958). Carmina. </w:t>
      </w:r>
      <w:proofErr w:type="spellStart"/>
      <w:r>
        <w:t>Oxonii</w:t>
      </w:r>
      <w:proofErr w:type="spellEnd"/>
      <w:r>
        <w:t xml:space="preserve">, E </w:t>
      </w:r>
      <w:proofErr w:type="spellStart"/>
      <w:r>
        <w:t>Typographeo</w:t>
      </w:r>
      <w:proofErr w:type="spellEnd"/>
      <w:r>
        <w:t xml:space="preserve"> </w:t>
      </w:r>
      <w:proofErr w:type="spellStart"/>
      <w:r>
        <w:t>Clarendoniano</w:t>
      </w:r>
      <w:proofErr w:type="spellEnd"/>
      <w:r>
        <w:t>.</w:t>
      </w:r>
    </w:p>
    <w:p w:rsidR="00B14730" w:rsidRDefault="00B14730" w:rsidP="00B14730"/>
    <w:p w:rsidR="00B14730" w:rsidRDefault="00B14730" w:rsidP="00B14730">
      <w:proofErr w:type="spellStart"/>
      <w:r>
        <w:t>Gaisser</w:t>
      </w:r>
      <w:proofErr w:type="spellEnd"/>
      <w:r>
        <w:t>, J. H. (1995). Threads in the Labyrinth: Competing Views and Voices in Catullus 64. The American Journal of Philology, 116(4), 579–616. https://doi.org/10.2307/295405</w:t>
      </w:r>
    </w:p>
    <w:p w:rsidR="00B14730" w:rsidRDefault="00B14730" w:rsidP="00B14730"/>
    <w:p w:rsidR="00B14730" w:rsidRDefault="00B14730" w:rsidP="00B14730">
      <w:proofErr w:type="spellStart"/>
      <w:r>
        <w:t>Goldhill</w:t>
      </w:r>
      <w:proofErr w:type="spellEnd"/>
      <w:r>
        <w:t>, S. D. (1991) The poet's voice (Cambridge).Google Scholar</w:t>
      </w:r>
    </w:p>
    <w:p w:rsidR="00796D43" w:rsidRDefault="00796D43" w:rsidP="00B14730"/>
    <w:p w:rsidR="00296982" w:rsidRDefault="00796D43" w:rsidP="00B14730">
      <w:r>
        <w:t xml:space="preserve">Griffin, C (2010), </w:t>
      </w:r>
      <w:r w:rsidR="00926E11">
        <w:t xml:space="preserve">Catullus The Complete Poems, </w:t>
      </w:r>
      <w:r>
        <w:t xml:space="preserve">Audible </w:t>
      </w:r>
      <w:r w:rsidR="0043414C">
        <w:t>Connoisseur</w:t>
      </w:r>
    </w:p>
    <w:p w:rsidR="00296982" w:rsidRDefault="00296982" w:rsidP="00B14730"/>
    <w:p w:rsidR="00B14730" w:rsidRDefault="00B14730" w:rsidP="00B14730">
      <w:r>
        <w:t xml:space="preserve">Kinsey, T. E. (1965). Irony and Structure in Catullus 64. </w:t>
      </w:r>
      <w:proofErr w:type="spellStart"/>
      <w:r>
        <w:t>Latomus</w:t>
      </w:r>
      <w:proofErr w:type="spellEnd"/>
      <w:r>
        <w:t>, 24(4), 911–931. http://www.jstor.org/stable/41524490</w:t>
      </w:r>
    </w:p>
    <w:p w:rsidR="00B14730" w:rsidRDefault="00B14730" w:rsidP="00B14730"/>
    <w:p w:rsidR="00B14730" w:rsidRDefault="00B14730" w:rsidP="00B14730">
      <w:proofErr w:type="spellStart"/>
      <w:r>
        <w:t>Nethercut</w:t>
      </w:r>
      <w:proofErr w:type="spellEnd"/>
      <w:r>
        <w:t xml:space="preserve">, J. S. (2014) “EPYLLION - (M.) </w:t>
      </w:r>
      <w:proofErr w:type="spellStart"/>
      <w:r>
        <w:t>Baumbach</w:t>
      </w:r>
      <w:proofErr w:type="spellEnd"/>
      <w:r>
        <w:t xml:space="preserve">, (S.) </w:t>
      </w:r>
      <w:proofErr w:type="spellStart"/>
      <w:r>
        <w:t>Bär</w:t>
      </w:r>
      <w:proofErr w:type="spellEnd"/>
      <w:r>
        <w:t xml:space="preserve"> (</w:t>
      </w:r>
      <w:proofErr w:type="spellStart"/>
      <w:r>
        <w:t>edd</w:t>
      </w:r>
      <w:proofErr w:type="spellEnd"/>
      <w:r>
        <w:t xml:space="preserve">.) Brill's Companion to Greek and Latin Epyllion and its Reception. Pp. xxvi   640, ills. Leiden and Boston: Brill, 2012. Cased, €188, US$258. ISBN: 978-90-04-21432-3.,” The Classical Review. Cambridge University Press, 64(2), pp. 339–341. </w:t>
      </w:r>
      <w:proofErr w:type="spellStart"/>
      <w:r>
        <w:t>doi</w:t>
      </w:r>
      <w:proofErr w:type="spellEnd"/>
      <w:r>
        <w:t>: 10.1017/S0009840X14000559.</w:t>
      </w:r>
    </w:p>
    <w:p w:rsidR="00B14730" w:rsidRDefault="00B14730" w:rsidP="00B14730"/>
    <w:p w:rsidR="00B14730" w:rsidRDefault="00B14730" w:rsidP="00B14730">
      <w:r>
        <w:t>Wiseman. (2016). The Roman audience : classical literature as social history (First edition.). Oxford University Press.</w:t>
      </w:r>
    </w:p>
    <w:p w:rsidR="00B14730" w:rsidRDefault="00B14730" w:rsidP="00B14730"/>
    <w:p w:rsidR="00B14730" w:rsidRDefault="00B14730"/>
    <w:sectPr w:rsidR="00B14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Microsoft Himalaya">
    <w:panose1 w:val="01010100010101010101"/>
    <w:charset w:val="00"/>
    <w:family w:val="auto"/>
    <w:pitch w:val="variable"/>
    <w:sig w:usb0="80000003" w:usb1="00010000" w:usb2="00000040" w:usb3="00000000" w:csb0="00000001"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730"/>
    <w:rsid w:val="000827D8"/>
    <w:rsid w:val="00101BB4"/>
    <w:rsid w:val="00215FEA"/>
    <w:rsid w:val="00223DE1"/>
    <w:rsid w:val="00296982"/>
    <w:rsid w:val="002B567A"/>
    <w:rsid w:val="00322AD8"/>
    <w:rsid w:val="0037206D"/>
    <w:rsid w:val="003C1184"/>
    <w:rsid w:val="003E4DB7"/>
    <w:rsid w:val="00430944"/>
    <w:rsid w:val="0043414C"/>
    <w:rsid w:val="004865C8"/>
    <w:rsid w:val="00510808"/>
    <w:rsid w:val="005C66E6"/>
    <w:rsid w:val="00680930"/>
    <w:rsid w:val="006D721D"/>
    <w:rsid w:val="006D76DF"/>
    <w:rsid w:val="006F48BA"/>
    <w:rsid w:val="00774DF3"/>
    <w:rsid w:val="00775842"/>
    <w:rsid w:val="00796D43"/>
    <w:rsid w:val="00900F21"/>
    <w:rsid w:val="00926E11"/>
    <w:rsid w:val="009C3260"/>
    <w:rsid w:val="00A01580"/>
    <w:rsid w:val="00A025F7"/>
    <w:rsid w:val="00A11FFA"/>
    <w:rsid w:val="00A43951"/>
    <w:rsid w:val="00AF09A8"/>
    <w:rsid w:val="00B14730"/>
    <w:rsid w:val="00B41C80"/>
    <w:rsid w:val="00B75AEB"/>
    <w:rsid w:val="00BA44E6"/>
    <w:rsid w:val="00BC283F"/>
    <w:rsid w:val="00BE2544"/>
    <w:rsid w:val="00C00384"/>
    <w:rsid w:val="00C07F4A"/>
    <w:rsid w:val="00C60B69"/>
    <w:rsid w:val="00CC4656"/>
    <w:rsid w:val="00D33526"/>
    <w:rsid w:val="00D66C60"/>
    <w:rsid w:val="00E1774E"/>
    <w:rsid w:val="00E665E7"/>
    <w:rsid w:val="00E91074"/>
    <w:rsid w:val="00EA01B0"/>
    <w:rsid w:val="00F622EA"/>
    <w:rsid w:val="00F64D3F"/>
    <w:rsid w:val="00F72A89"/>
    <w:rsid w:val="00FE6FC5"/>
    <w:rsid w:val="00FF6780"/>
  </w:rsids>
  <m:mathPr>
    <m:mathFont m:val="Cambria Math"/>
    <m:brkBin m:val="before"/>
    <m:brkBinSub m:val="--"/>
    <m:smallFrac m:val="0"/>
    <m:dispDef/>
    <m:lMargin m:val="0"/>
    <m:rMargin m:val="0"/>
    <m:defJc m:val="centerGroup"/>
    <m:wrapIndent m:val="1440"/>
    <m:intLim m:val="subSup"/>
    <m:naryLim m:val="undOvr"/>
  </m:mathPr>
  <w:themeFontLang w:val="en-GB" w:eastAsia="ja-JP" w:bidi="bo-CN"/>
  <w:clrSchemeMapping w:bg1="light1" w:t1="dark1" w:bg2="light2" w:t2="dark2" w:accent1="accent1" w:accent2="accent2" w:accent3="accent3" w:accent4="accent4" w:accent5="accent5" w:accent6="accent6" w:hyperlink="hyperlink" w:followedHyperlink="followedHyperlink"/>
  <w:decimalSymbol w:val="."/>
  <w:listSeparator w:val=","/>
  <w14:docId w14:val="025B7A97"/>
  <w15:chartTrackingRefBased/>
  <w15:docId w15:val="{8401AE95-C75C-184A-9486-99815CB1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32"/>
        <w:lang w:val="en-GB" w:eastAsia="ja-JP" w:bidi="bo-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2697</Words>
  <Characters>14135</Characters>
  <Application>Microsoft Office Word</Application>
  <DocSecurity>0</DocSecurity>
  <Lines>239</Lines>
  <Paragraphs>65</Paragraphs>
  <ScaleCrop>false</ScaleCrop>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Regal</dc:creator>
  <cp:keywords/>
  <dc:description/>
  <cp:lastModifiedBy>Deborah Regal</cp:lastModifiedBy>
  <cp:revision>51</cp:revision>
  <cp:lastPrinted>2022-05-13T18:00:00Z</cp:lastPrinted>
  <dcterms:created xsi:type="dcterms:W3CDTF">2022-05-13T17:58:00Z</dcterms:created>
  <dcterms:modified xsi:type="dcterms:W3CDTF">2022-05-13T18:47:00Z</dcterms:modified>
</cp:coreProperties>
</file>