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bookmarkStart w:id="0" w:name="_GoBack"/>
      <w:bookmarkEnd w:id="0"/>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D039E4D"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p>
          <w:p w14:paraId="0B6CD0DB" w14:textId="010BC027" w:rsidR="009C337F" w:rsidRDefault="00291C15"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Natalie Cawley</w:t>
            </w:r>
          </w:p>
          <w:p w14:paraId="3A6EAAC7" w14:textId="728A0FEB"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14:paraId="22E38809" w14:textId="7CC6381C" w:rsidR="00986B43" w:rsidRPr="00A2216A" w:rsidRDefault="00291C15" w:rsidP="005D3F07">
            <w:pPr>
              <w:overflowPunct/>
              <w:autoSpaceDE/>
              <w:autoSpaceDN/>
              <w:adjustRightInd/>
              <w:ind w:right="-957"/>
              <w:textAlignment w:val="auto"/>
              <w:rPr>
                <w:rFonts w:ascii="Times New Roman" w:hAnsi="Times New Roman" w:cs="Times New Roman"/>
                <w:b/>
                <w:color w:val="auto"/>
                <w:sz w:val="44"/>
                <w:szCs w:val="44"/>
              </w:rPr>
            </w:pPr>
            <w:r w:rsidRPr="00A2216A">
              <w:rPr>
                <w:rFonts w:ascii="Times New Roman" w:hAnsi="Times New Roman" w:cs="Times New Roman"/>
                <w:b/>
                <w:color w:val="242424"/>
                <w:sz w:val="44"/>
                <w:szCs w:val="44"/>
                <w:shd w:val="clear" w:color="auto" w:fill="FFFFFF"/>
              </w:rPr>
              <w:t>2223313@student.uwtsd.ac.uk</w:t>
            </w:r>
          </w:p>
          <w:p w14:paraId="0DE696B2" w14:textId="77777777"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22FD17A" w14:textId="37CBC2BB" w:rsidR="0085230E" w:rsidRPr="00A2216A" w:rsidRDefault="00291C15" w:rsidP="005D3F07">
            <w:pPr>
              <w:overflowPunct/>
              <w:autoSpaceDE/>
              <w:autoSpaceDN/>
              <w:adjustRightInd/>
              <w:ind w:right="-957"/>
              <w:textAlignment w:val="auto"/>
              <w:rPr>
                <w:rFonts w:ascii="Times New Roman" w:hAnsi="Times New Roman" w:cs="Times New Roman"/>
                <w:b/>
                <w:color w:val="auto"/>
                <w:sz w:val="44"/>
                <w:szCs w:val="44"/>
              </w:rPr>
            </w:pPr>
            <w:r w:rsidRPr="00A2216A">
              <w:rPr>
                <w:rFonts w:ascii="Times New Roman" w:hAnsi="Times New Roman" w:cs="Times New Roman"/>
                <w:b/>
                <w:color w:val="242424"/>
                <w:sz w:val="44"/>
                <w:szCs w:val="44"/>
                <w:shd w:val="clear" w:color="auto" w:fill="FFFFFF"/>
              </w:rPr>
              <w:t>2223313</w:t>
            </w: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390EC1" w14:paraId="152141E6" w14:textId="77777777" w:rsidTr="006108C9">
        <w:tc>
          <w:tcPr>
            <w:tcW w:w="10188" w:type="dxa"/>
            <w:shd w:val="clear" w:color="auto" w:fill="auto"/>
          </w:tcPr>
          <w:p w14:paraId="2B66890D" w14:textId="56A37C4F" w:rsidR="00337FEF" w:rsidRPr="00390EC1" w:rsidRDefault="00337FEF" w:rsidP="004633DD">
            <w:pPr>
              <w:spacing w:line="360" w:lineRule="auto"/>
              <w:jc w:val="both"/>
              <w:rPr>
                <w:b/>
                <w:color w:val="auto"/>
                <w:sz w:val="24"/>
                <w:szCs w:val="24"/>
              </w:rPr>
            </w:pPr>
            <w:r w:rsidRPr="00390EC1">
              <w:rPr>
                <w:b/>
                <w:color w:val="auto"/>
                <w:sz w:val="24"/>
                <w:szCs w:val="24"/>
              </w:rPr>
              <w:t>Question</w:t>
            </w:r>
            <w:r w:rsidR="00FC0334" w:rsidRPr="00390EC1">
              <w:rPr>
                <w:b/>
                <w:color w:val="auto"/>
                <w:sz w:val="24"/>
                <w:szCs w:val="24"/>
              </w:rPr>
              <w:t xml:space="preserve"> a</w:t>
            </w:r>
            <w:r w:rsidR="007A628F" w:rsidRPr="00390EC1">
              <w:rPr>
                <w:b/>
                <w:color w:val="auto"/>
                <w:sz w:val="24"/>
                <w:szCs w:val="24"/>
              </w:rPr>
              <w:t>:</w:t>
            </w:r>
          </w:p>
          <w:p w14:paraId="17A49383" w14:textId="77777777" w:rsidR="008B28E7" w:rsidRPr="00390EC1" w:rsidRDefault="00BB7FD2" w:rsidP="004633DD">
            <w:pPr>
              <w:spacing w:line="360" w:lineRule="auto"/>
              <w:jc w:val="both"/>
              <w:rPr>
                <w:color w:val="auto"/>
                <w:sz w:val="24"/>
                <w:szCs w:val="24"/>
              </w:rPr>
            </w:pPr>
            <w:r w:rsidRPr="00390EC1">
              <w:rPr>
                <w:color w:val="auto"/>
                <w:sz w:val="24"/>
                <w:szCs w:val="24"/>
              </w:rPr>
              <w:t xml:space="preserve">In an area </w:t>
            </w:r>
            <w:r w:rsidRPr="00390EC1">
              <w:rPr>
                <w:b/>
                <w:color w:val="auto"/>
                <w:sz w:val="24"/>
                <w:szCs w:val="24"/>
              </w:rPr>
              <w:t xml:space="preserve">that is not your main focus of work </w:t>
            </w:r>
            <w:r w:rsidRPr="00390EC1">
              <w:rPr>
                <w:color w:val="auto"/>
                <w:sz w:val="24"/>
                <w:szCs w:val="24"/>
              </w:rPr>
              <w:t xml:space="preserve">(see guidance above), </w:t>
            </w:r>
            <w:r w:rsidR="0002440E" w:rsidRPr="00390EC1">
              <w:rPr>
                <w:color w:val="auto"/>
                <w:sz w:val="24"/>
                <w:szCs w:val="24"/>
              </w:rPr>
              <w:t>explain</w:t>
            </w:r>
            <w:r w:rsidR="008340BA" w:rsidRPr="00390EC1">
              <w:rPr>
                <w:color w:val="auto"/>
                <w:sz w:val="24"/>
                <w:szCs w:val="24"/>
              </w:rPr>
              <w:t xml:space="preserve"> </w:t>
            </w:r>
            <w:r w:rsidR="00DA22EC" w:rsidRPr="00390EC1">
              <w:rPr>
                <w:color w:val="auto"/>
                <w:sz w:val="24"/>
                <w:szCs w:val="24"/>
              </w:rPr>
              <w:t>the</w:t>
            </w:r>
            <w:r w:rsidR="005A545C" w:rsidRPr="00390EC1">
              <w:rPr>
                <w:color w:val="auto"/>
                <w:sz w:val="24"/>
                <w:szCs w:val="24"/>
              </w:rPr>
              <w:t xml:space="preserve"> relevant </w:t>
            </w:r>
            <w:r w:rsidRPr="00390EC1">
              <w:rPr>
                <w:color w:val="auto"/>
                <w:sz w:val="24"/>
                <w:szCs w:val="24"/>
              </w:rPr>
              <w:t xml:space="preserve">legislation, </w:t>
            </w:r>
            <w:r w:rsidR="0002440E" w:rsidRPr="00390EC1">
              <w:rPr>
                <w:color w:val="auto"/>
                <w:sz w:val="24"/>
                <w:szCs w:val="24"/>
              </w:rPr>
              <w:t>and</w:t>
            </w:r>
            <w:r w:rsidR="008340BA" w:rsidRPr="00390EC1">
              <w:rPr>
                <w:color w:val="auto"/>
                <w:sz w:val="24"/>
                <w:szCs w:val="24"/>
              </w:rPr>
              <w:t xml:space="preserve"> the </w:t>
            </w:r>
            <w:r w:rsidR="005A545C" w:rsidRPr="00390EC1">
              <w:rPr>
                <w:color w:val="auto"/>
                <w:sz w:val="24"/>
                <w:szCs w:val="24"/>
              </w:rPr>
              <w:t>national, local and organisational policies and procedures</w:t>
            </w:r>
            <w:r w:rsidRPr="00390EC1">
              <w:rPr>
                <w:color w:val="auto"/>
                <w:sz w:val="24"/>
                <w:szCs w:val="24"/>
              </w:rPr>
              <w:t xml:space="preserve"> for safeguarding. </w:t>
            </w:r>
          </w:p>
          <w:p w14:paraId="0318E819" w14:textId="004E0FF1" w:rsidR="00FC0334" w:rsidRPr="00390EC1" w:rsidRDefault="00FC0334" w:rsidP="004633DD">
            <w:pPr>
              <w:spacing w:line="360" w:lineRule="auto"/>
              <w:jc w:val="both"/>
              <w:rPr>
                <w:color w:val="auto"/>
                <w:sz w:val="24"/>
                <w:szCs w:val="24"/>
              </w:rPr>
            </w:pPr>
          </w:p>
          <w:p w14:paraId="6D8CB8AF" w14:textId="1220F3DB" w:rsidR="00FC0334" w:rsidRPr="00390EC1" w:rsidRDefault="00291C15" w:rsidP="004633DD">
            <w:pPr>
              <w:spacing w:line="360" w:lineRule="auto"/>
              <w:jc w:val="both"/>
              <w:rPr>
                <w:color w:val="auto"/>
                <w:sz w:val="24"/>
                <w:szCs w:val="24"/>
              </w:rPr>
            </w:pPr>
            <w:r w:rsidRPr="00390EC1">
              <w:rPr>
                <w:color w:val="auto"/>
                <w:sz w:val="24"/>
                <w:szCs w:val="24"/>
              </w:rPr>
              <w:t xml:space="preserve">Adult safeguarding </w:t>
            </w:r>
            <w:r w:rsidR="005846A5" w:rsidRPr="00390EC1">
              <w:rPr>
                <w:color w:val="auto"/>
                <w:sz w:val="24"/>
                <w:szCs w:val="24"/>
              </w:rPr>
              <w:t>is a</w:t>
            </w:r>
            <w:r w:rsidRPr="00390EC1">
              <w:rPr>
                <w:color w:val="auto"/>
                <w:sz w:val="24"/>
                <w:szCs w:val="24"/>
              </w:rPr>
              <w:t xml:space="preserve"> person over the age of 18 who is at risk of abuse or neglect. </w:t>
            </w:r>
          </w:p>
          <w:p w14:paraId="39C28252" w14:textId="77777777" w:rsidR="00A2216A" w:rsidRPr="00390EC1" w:rsidRDefault="00291C15" w:rsidP="004633DD">
            <w:pPr>
              <w:shd w:val="clear" w:color="auto" w:fill="FFFFFF"/>
              <w:overflowPunct/>
              <w:autoSpaceDE/>
              <w:autoSpaceDN/>
              <w:adjustRightInd/>
              <w:spacing w:after="100" w:afterAutospacing="1" w:line="360" w:lineRule="auto"/>
              <w:textAlignment w:val="auto"/>
              <w:rPr>
                <w:color w:val="auto"/>
                <w:sz w:val="24"/>
                <w:szCs w:val="24"/>
              </w:rPr>
            </w:pPr>
            <w:r w:rsidRPr="00390EC1">
              <w:rPr>
                <w:color w:val="auto"/>
                <w:sz w:val="24"/>
                <w:szCs w:val="24"/>
              </w:rPr>
              <w:t xml:space="preserve">Whom, because of disability, age or illness, are unable to protect themselves from harm or from being </w:t>
            </w:r>
            <w:r w:rsidR="007C30BA" w:rsidRPr="00390EC1">
              <w:rPr>
                <w:color w:val="auto"/>
                <w:sz w:val="24"/>
                <w:szCs w:val="24"/>
              </w:rPr>
              <w:t>exploited</w:t>
            </w:r>
            <w:r w:rsidR="00A2216A" w:rsidRPr="00390EC1">
              <w:rPr>
                <w:color w:val="auto"/>
                <w:sz w:val="24"/>
                <w:szCs w:val="24"/>
              </w:rPr>
              <w:t>.</w:t>
            </w:r>
          </w:p>
          <w:p w14:paraId="5820B55B" w14:textId="57E7A14E" w:rsidR="00291C15" w:rsidRPr="00390EC1" w:rsidRDefault="00EC294B" w:rsidP="004633DD">
            <w:pPr>
              <w:shd w:val="clear" w:color="auto" w:fill="FFFFFF"/>
              <w:overflowPunct/>
              <w:autoSpaceDE/>
              <w:autoSpaceDN/>
              <w:adjustRightInd/>
              <w:spacing w:after="100" w:afterAutospacing="1" w:line="360" w:lineRule="auto"/>
              <w:textAlignment w:val="auto"/>
              <w:rPr>
                <w:color w:val="auto"/>
                <w:sz w:val="24"/>
                <w:szCs w:val="24"/>
              </w:rPr>
            </w:pPr>
            <w:r w:rsidRPr="00390EC1">
              <w:rPr>
                <w:color w:val="auto"/>
                <w:sz w:val="24"/>
                <w:szCs w:val="24"/>
              </w:rPr>
              <w:t xml:space="preserve"> At a global level The United Nations</w:t>
            </w:r>
            <w:r w:rsidR="007C30BA" w:rsidRPr="00390EC1">
              <w:rPr>
                <w:color w:val="auto"/>
                <w:sz w:val="24"/>
                <w:szCs w:val="24"/>
              </w:rPr>
              <w:t xml:space="preserve"> convention for Older persons 1991 specifies principles/rights for an older person which includes principles on participation, independence, care, self-fulfilment and dignity. </w:t>
            </w:r>
          </w:p>
          <w:p w14:paraId="5668D63B" w14:textId="7A849B4F" w:rsidR="005846A5" w:rsidRPr="00390EC1" w:rsidRDefault="007C30BA" w:rsidP="004633DD">
            <w:pPr>
              <w:pStyle w:val="NormalWeb"/>
              <w:spacing w:before="0" w:beforeAutospacing="0" w:after="225" w:afterAutospacing="0" w:line="360" w:lineRule="auto"/>
              <w:rPr>
                <w:rFonts w:ascii="Arial" w:hAnsi="Arial" w:cs="Arial"/>
              </w:rPr>
            </w:pPr>
            <w:r w:rsidRPr="00390EC1">
              <w:rPr>
                <w:rFonts w:ascii="Arial" w:hAnsi="Arial" w:cs="Arial"/>
              </w:rPr>
              <w:t xml:space="preserve">At a national level, </w:t>
            </w:r>
            <w:r w:rsidR="005846A5" w:rsidRPr="00390EC1">
              <w:rPr>
                <w:rFonts w:ascii="Arial" w:hAnsi="Arial" w:cs="Arial"/>
              </w:rPr>
              <w:t xml:space="preserve">there is the Care Act 2014. The act </w:t>
            </w:r>
            <w:r w:rsidR="005846A5" w:rsidRPr="00390EC1">
              <w:rPr>
                <w:rFonts w:ascii="Arial" w:hAnsi="Arial" w:cs="Arial"/>
                <w:shd w:val="clear" w:color="auto" w:fill="FFFFFF"/>
              </w:rPr>
              <w:t xml:space="preserve">sets out a clear legal framework for how local authorities and other parts of the system should protect adults at risk of abuse or neglect. </w:t>
            </w:r>
            <w:r w:rsidR="005846A5" w:rsidRPr="00390EC1">
              <w:rPr>
                <w:rFonts w:ascii="Arial" w:hAnsi="Arial" w:cs="Arial"/>
              </w:rPr>
              <w:t>The Care Act 2014 sets out a clear legal framework for how local authorities and other parts of the system should protect adults at risk of abuse or neglect.</w:t>
            </w:r>
          </w:p>
          <w:p w14:paraId="0CA22638" w14:textId="0FA91114" w:rsidR="005846A5" w:rsidRPr="00390EC1" w:rsidRDefault="007C30BA" w:rsidP="004633DD">
            <w:pPr>
              <w:overflowPunct/>
              <w:autoSpaceDE/>
              <w:autoSpaceDN/>
              <w:adjustRightInd/>
              <w:spacing w:after="225" w:line="360" w:lineRule="auto"/>
              <w:textAlignment w:val="auto"/>
              <w:rPr>
                <w:color w:val="auto"/>
                <w:sz w:val="24"/>
                <w:szCs w:val="24"/>
              </w:rPr>
            </w:pPr>
            <w:r w:rsidRPr="00390EC1">
              <w:rPr>
                <w:color w:val="auto"/>
                <w:sz w:val="24"/>
                <w:szCs w:val="24"/>
              </w:rPr>
              <w:t xml:space="preserve">Additionally </w:t>
            </w:r>
            <w:r w:rsidR="005846A5" w:rsidRPr="00390EC1">
              <w:rPr>
                <w:color w:val="auto"/>
                <w:sz w:val="24"/>
                <w:szCs w:val="24"/>
              </w:rPr>
              <w:t>Local authorities have new safeguarding duties. They must:</w:t>
            </w:r>
            <w:r w:rsidRPr="00390EC1">
              <w:rPr>
                <w:color w:val="auto"/>
                <w:sz w:val="24"/>
                <w:szCs w:val="24"/>
              </w:rPr>
              <w:t xml:space="preserve"> </w:t>
            </w:r>
            <w:r w:rsidR="005846A5" w:rsidRPr="00390EC1">
              <w:rPr>
                <w:bCs/>
                <w:color w:val="auto"/>
                <w:sz w:val="24"/>
                <w:szCs w:val="24"/>
                <w:bdr w:val="none" w:sz="0" w:space="0" w:color="auto" w:frame="1"/>
              </w:rPr>
              <w:t>lead a multi-agency local adult safeguarding system,</w:t>
            </w:r>
            <w:r w:rsidRPr="00390EC1">
              <w:rPr>
                <w:color w:val="auto"/>
                <w:sz w:val="24"/>
                <w:szCs w:val="24"/>
              </w:rPr>
              <w:t xml:space="preserve"> </w:t>
            </w:r>
            <w:r w:rsidR="005846A5" w:rsidRPr="00390EC1">
              <w:rPr>
                <w:bCs/>
                <w:color w:val="auto"/>
                <w:sz w:val="24"/>
                <w:szCs w:val="24"/>
                <w:bdr w:val="none" w:sz="0" w:space="0" w:color="auto" w:frame="1"/>
              </w:rPr>
              <w:t>make enquiries, or request others to make them, carry out Safeguarding Adults Reviews</w:t>
            </w:r>
            <w:r w:rsidR="005846A5" w:rsidRPr="00390EC1">
              <w:rPr>
                <w:color w:val="auto"/>
                <w:sz w:val="24"/>
                <w:szCs w:val="24"/>
              </w:rPr>
              <w:t xml:space="preserve">, </w:t>
            </w:r>
            <w:r w:rsidR="005846A5" w:rsidRPr="00390EC1">
              <w:rPr>
                <w:bCs/>
                <w:color w:val="auto"/>
                <w:sz w:val="24"/>
                <w:szCs w:val="24"/>
                <w:bdr w:val="none" w:sz="0" w:space="0" w:color="auto" w:frame="1"/>
              </w:rPr>
              <w:t>arrange for an independent advocate </w:t>
            </w:r>
            <w:r w:rsidR="005846A5" w:rsidRPr="00390EC1">
              <w:rPr>
                <w:color w:val="auto"/>
                <w:sz w:val="24"/>
                <w:szCs w:val="24"/>
              </w:rPr>
              <w:t>to represent and support a person who is the subject of a safeguarding enquiry or review, if required.</w:t>
            </w:r>
          </w:p>
          <w:p w14:paraId="23F36985" w14:textId="0BD7E770" w:rsidR="005846A5" w:rsidRPr="00390EC1" w:rsidRDefault="005846A5" w:rsidP="004633DD">
            <w:pPr>
              <w:shd w:val="clear" w:color="auto" w:fill="FFFFFF"/>
              <w:overflowPunct/>
              <w:autoSpaceDE/>
              <w:autoSpaceDN/>
              <w:adjustRightInd/>
              <w:spacing w:after="100" w:afterAutospacing="1" w:line="360" w:lineRule="auto"/>
              <w:textAlignment w:val="auto"/>
              <w:rPr>
                <w:color w:val="auto"/>
                <w:sz w:val="24"/>
                <w:szCs w:val="24"/>
                <w:shd w:val="clear" w:color="auto" w:fill="FFFFFF"/>
              </w:rPr>
            </w:pPr>
            <w:r w:rsidRPr="00390EC1">
              <w:rPr>
                <w:color w:val="auto"/>
                <w:sz w:val="24"/>
                <w:szCs w:val="24"/>
              </w:rPr>
              <w:lastRenderedPageBreak/>
              <w:t>There is also the</w:t>
            </w:r>
            <w:r w:rsidRPr="00390EC1">
              <w:rPr>
                <w:color w:val="auto"/>
                <w:sz w:val="24"/>
                <w:szCs w:val="24"/>
                <w:shd w:val="clear" w:color="auto" w:fill="FFFFFF"/>
              </w:rPr>
              <w:t xml:space="preserve"> Safeguarding Vulnerable Groups Act (SVGA) 2006 was </w:t>
            </w:r>
            <w:r w:rsidRPr="00390EC1">
              <w:rPr>
                <w:bCs/>
                <w:color w:val="auto"/>
                <w:sz w:val="24"/>
                <w:szCs w:val="24"/>
                <w:shd w:val="clear" w:color="auto" w:fill="FFFFFF"/>
              </w:rPr>
              <w:t>passed to help avoid harm, or risk of harm, by preventing people who are deemed unsuitable to work with children and vulnerable adults from gaining access to them through their work</w:t>
            </w:r>
            <w:r w:rsidRPr="00390EC1">
              <w:rPr>
                <w:color w:val="auto"/>
                <w:sz w:val="24"/>
                <w:szCs w:val="24"/>
                <w:shd w:val="clear" w:color="auto" w:fill="FFFFFF"/>
              </w:rPr>
              <w:t>. </w:t>
            </w:r>
          </w:p>
          <w:p w14:paraId="7154FEA2" w14:textId="6C51FDEA" w:rsidR="005846A5" w:rsidRPr="00390EC1" w:rsidRDefault="005846A5" w:rsidP="004633DD">
            <w:pPr>
              <w:spacing w:line="360" w:lineRule="auto"/>
              <w:jc w:val="both"/>
              <w:rPr>
                <w:color w:val="auto"/>
                <w:sz w:val="24"/>
                <w:szCs w:val="24"/>
              </w:rPr>
            </w:pPr>
          </w:p>
          <w:p w14:paraId="4F778C3F" w14:textId="65A97643" w:rsidR="007C30BA" w:rsidRPr="00390EC1" w:rsidRDefault="005846A5" w:rsidP="004633DD">
            <w:pPr>
              <w:spacing w:line="360" w:lineRule="auto"/>
              <w:jc w:val="both"/>
              <w:rPr>
                <w:color w:val="auto"/>
                <w:sz w:val="24"/>
                <w:szCs w:val="24"/>
              </w:rPr>
            </w:pPr>
            <w:r w:rsidRPr="00390EC1">
              <w:rPr>
                <w:color w:val="auto"/>
                <w:sz w:val="24"/>
                <w:szCs w:val="24"/>
              </w:rPr>
              <w:t xml:space="preserve">At a local level </w:t>
            </w:r>
            <w:r w:rsidR="00A2216A" w:rsidRPr="00390EC1">
              <w:rPr>
                <w:color w:val="auto"/>
                <w:sz w:val="24"/>
                <w:szCs w:val="24"/>
              </w:rPr>
              <w:t>as in referring to the area I reside which is Wales. Social Care workers are guided by the</w:t>
            </w:r>
            <w:r w:rsidRPr="00390EC1">
              <w:rPr>
                <w:color w:val="auto"/>
                <w:sz w:val="24"/>
                <w:szCs w:val="24"/>
              </w:rPr>
              <w:t xml:space="preserve"> Social Services and wellbeing act</w:t>
            </w:r>
            <w:r w:rsidR="00EC294B" w:rsidRPr="00390EC1">
              <w:rPr>
                <w:color w:val="auto"/>
                <w:sz w:val="24"/>
                <w:szCs w:val="24"/>
              </w:rPr>
              <w:t xml:space="preserve"> 2014</w:t>
            </w:r>
            <w:r w:rsidRPr="00390EC1">
              <w:rPr>
                <w:color w:val="auto"/>
                <w:sz w:val="24"/>
                <w:szCs w:val="24"/>
              </w:rPr>
              <w:t>. It details the roles and responsibilities for practitioners to ensure that they safeguard children and adults who are at risk of abuse and neglect.</w:t>
            </w:r>
            <w:r w:rsidR="007C30BA" w:rsidRPr="00390EC1">
              <w:rPr>
                <w:color w:val="auto"/>
                <w:sz w:val="24"/>
                <w:szCs w:val="24"/>
              </w:rPr>
              <w:t xml:space="preserve"> Accompanying this act is</w:t>
            </w:r>
            <w:r w:rsidR="00EC294B" w:rsidRPr="00390EC1">
              <w:rPr>
                <w:color w:val="auto"/>
                <w:sz w:val="24"/>
                <w:szCs w:val="24"/>
              </w:rPr>
              <w:t xml:space="preserve"> the Working Together to Safeguard Adults guidance</w:t>
            </w:r>
            <w:r w:rsidR="00A65796" w:rsidRPr="00390EC1">
              <w:rPr>
                <w:color w:val="auto"/>
                <w:sz w:val="24"/>
                <w:szCs w:val="24"/>
              </w:rPr>
              <w:t xml:space="preserve">, handling individual </w:t>
            </w:r>
            <w:r w:rsidR="00A2216A" w:rsidRPr="00390EC1">
              <w:rPr>
                <w:color w:val="auto"/>
                <w:sz w:val="24"/>
                <w:szCs w:val="24"/>
              </w:rPr>
              <w:t>cases to protect adults at risk as well as</w:t>
            </w:r>
            <w:r w:rsidR="00A65796" w:rsidRPr="00390EC1">
              <w:rPr>
                <w:color w:val="auto"/>
                <w:sz w:val="24"/>
                <w:szCs w:val="24"/>
              </w:rPr>
              <w:t xml:space="preserve"> </w:t>
            </w:r>
            <w:r w:rsidR="007C30BA" w:rsidRPr="00390EC1">
              <w:rPr>
                <w:color w:val="auto"/>
                <w:sz w:val="24"/>
                <w:szCs w:val="24"/>
              </w:rPr>
              <w:t>guidance for Local Authorities and Practioners on how to safeguard adults at</w:t>
            </w:r>
            <w:r w:rsidR="00EC294B" w:rsidRPr="00390EC1">
              <w:rPr>
                <w:color w:val="auto"/>
                <w:sz w:val="24"/>
                <w:szCs w:val="24"/>
              </w:rPr>
              <w:t xml:space="preserve"> risk of abuse and neglect</w:t>
            </w:r>
            <w:r w:rsidR="00A65796" w:rsidRPr="00390EC1">
              <w:rPr>
                <w:color w:val="auto"/>
                <w:sz w:val="24"/>
                <w:szCs w:val="24"/>
              </w:rPr>
              <w:t xml:space="preserve">. </w:t>
            </w:r>
          </w:p>
          <w:p w14:paraId="3A945F85" w14:textId="77777777" w:rsidR="007C30BA" w:rsidRPr="00390EC1" w:rsidRDefault="007C30BA" w:rsidP="004633DD">
            <w:pPr>
              <w:spacing w:line="360" w:lineRule="auto"/>
              <w:jc w:val="both"/>
              <w:rPr>
                <w:color w:val="auto"/>
                <w:sz w:val="24"/>
                <w:szCs w:val="24"/>
              </w:rPr>
            </w:pPr>
          </w:p>
          <w:p w14:paraId="2086DECA" w14:textId="4819AB5E" w:rsidR="005846A5" w:rsidRPr="00390EC1" w:rsidRDefault="007C30BA" w:rsidP="004633DD">
            <w:pPr>
              <w:spacing w:line="360" w:lineRule="auto"/>
              <w:jc w:val="both"/>
              <w:rPr>
                <w:color w:val="auto"/>
                <w:sz w:val="24"/>
                <w:szCs w:val="24"/>
              </w:rPr>
            </w:pPr>
            <w:r w:rsidRPr="00390EC1">
              <w:rPr>
                <w:color w:val="auto"/>
                <w:sz w:val="24"/>
                <w:szCs w:val="24"/>
              </w:rPr>
              <w:t xml:space="preserve"> Furthermore, </w:t>
            </w:r>
            <w:r w:rsidR="00A2216A" w:rsidRPr="00390EC1">
              <w:rPr>
                <w:color w:val="auto"/>
                <w:sz w:val="24"/>
                <w:szCs w:val="24"/>
              </w:rPr>
              <w:t>Social Care workers</w:t>
            </w:r>
            <w:r w:rsidRPr="00390EC1">
              <w:rPr>
                <w:color w:val="auto"/>
                <w:sz w:val="24"/>
                <w:szCs w:val="24"/>
              </w:rPr>
              <w:t xml:space="preserve"> should have kn</w:t>
            </w:r>
            <w:r w:rsidR="00EC294B" w:rsidRPr="00390EC1">
              <w:rPr>
                <w:color w:val="auto"/>
                <w:sz w:val="24"/>
                <w:szCs w:val="24"/>
              </w:rPr>
              <w:t>owledge of and be applying the M</w:t>
            </w:r>
            <w:r w:rsidRPr="00390EC1">
              <w:rPr>
                <w:color w:val="auto"/>
                <w:sz w:val="24"/>
                <w:szCs w:val="24"/>
              </w:rPr>
              <w:t xml:space="preserve">ental </w:t>
            </w:r>
            <w:r w:rsidR="00EC294B" w:rsidRPr="00390EC1">
              <w:rPr>
                <w:color w:val="auto"/>
                <w:sz w:val="24"/>
                <w:szCs w:val="24"/>
              </w:rPr>
              <w:t>C</w:t>
            </w:r>
            <w:r w:rsidRPr="00390EC1">
              <w:rPr>
                <w:color w:val="auto"/>
                <w:sz w:val="24"/>
                <w:szCs w:val="24"/>
              </w:rPr>
              <w:t xml:space="preserve">apacity Act 2005, </w:t>
            </w:r>
            <w:r w:rsidR="00A2216A" w:rsidRPr="00390EC1">
              <w:rPr>
                <w:color w:val="auto"/>
                <w:sz w:val="24"/>
                <w:szCs w:val="24"/>
              </w:rPr>
              <w:t xml:space="preserve">which is designed to protect and empower those who may or may not be lacking capacity over the aged of 16. </w:t>
            </w:r>
          </w:p>
          <w:p w14:paraId="1E9B0F18" w14:textId="77777777" w:rsidR="007C30BA" w:rsidRPr="00390EC1" w:rsidRDefault="007C30BA" w:rsidP="004633DD">
            <w:pPr>
              <w:spacing w:line="360" w:lineRule="auto"/>
              <w:jc w:val="both"/>
              <w:rPr>
                <w:color w:val="auto"/>
                <w:sz w:val="24"/>
                <w:szCs w:val="24"/>
              </w:rPr>
            </w:pPr>
          </w:p>
          <w:p w14:paraId="36A23D28" w14:textId="741DC6C5" w:rsidR="00A2216A" w:rsidRPr="00390EC1" w:rsidRDefault="00EC294B" w:rsidP="004633DD">
            <w:pPr>
              <w:spacing w:line="360" w:lineRule="auto"/>
              <w:jc w:val="both"/>
              <w:rPr>
                <w:color w:val="auto"/>
                <w:sz w:val="24"/>
                <w:szCs w:val="24"/>
              </w:rPr>
            </w:pPr>
            <w:r w:rsidRPr="00390EC1">
              <w:rPr>
                <w:color w:val="auto"/>
                <w:sz w:val="24"/>
                <w:szCs w:val="24"/>
              </w:rPr>
              <w:t>In Flintshire there is an Adult Safeguarding T</w:t>
            </w:r>
            <w:r w:rsidR="00A65796" w:rsidRPr="00390EC1">
              <w:rPr>
                <w:color w:val="auto"/>
                <w:sz w:val="24"/>
                <w:szCs w:val="24"/>
              </w:rPr>
              <w:t xml:space="preserve">eam. </w:t>
            </w:r>
          </w:p>
          <w:p w14:paraId="4808322F" w14:textId="440AA9CE" w:rsidR="005846A5" w:rsidRPr="00390EC1" w:rsidRDefault="00A65796" w:rsidP="004633DD">
            <w:pPr>
              <w:spacing w:line="360" w:lineRule="auto"/>
              <w:jc w:val="both"/>
              <w:rPr>
                <w:color w:val="auto"/>
                <w:sz w:val="24"/>
                <w:szCs w:val="24"/>
              </w:rPr>
            </w:pPr>
            <w:r w:rsidRPr="00390EC1">
              <w:rPr>
                <w:color w:val="auto"/>
                <w:sz w:val="24"/>
                <w:szCs w:val="24"/>
              </w:rPr>
              <w:t>As a Children Services Social Worker, If I was concerned about an adult I would contact the single point of access team and seek advice/make a referral. Additionally if there had been a crime commit</w:t>
            </w:r>
            <w:r w:rsidR="00A2216A" w:rsidRPr="00390EC1">
              <w:rPr>
                <w:color w:val="auto"/>
                <w:sz w:val="24"/>
                <w:szCs w:val="24"/>
              </w:rPr>
              <w:t>ted I would contact the police in the first instance</w:t>
            </w:r>
            <w:r w:rsidR="00EC294B" w:rsidRPr="00390EC1">
              <w:rPr>
                <w:color w:val="auto"/>
                <w:sz w:val="24"/>
                <w:szCs w:val="24"/>
              </w:rPr>
              <w:t xml:space="preserve"> to ensure there is respondent to manage immediate risk too</w:t>
            </w:r>
            <w:r w:rsidR="00A2216A" w:rsidRPr="00390EC1">
              <w:rPr>
                <w:color w:val="auto"/>
                <w:sz w:val="24"/>
                <w:szCs w:val="24"/>
              </w:rPr>
              <w:t xml:space="preserve">. </w:t>
            </w:r>
          </w:p>
          <w:p w14:paraId="49641ACD" w14:textId="77777777" w:rsidR="00FC0334" w:rsidRPr="00390EC1" w:rsidRDefault="00FC0334" w:rsidP="004633DD">
            <w:pPr>
              <w:spacing w:line="360" w:lineRule="auto"/>
              <w:jc w:val="both"/>
              <w:rPr>
                <w:color w:val="auto"/>
                <w:sz w:val="24"/>
                <w:szCs w:val="24"/>
              </w:rPr>
            </w:pPr>
          </w:p>
          <w:p w14:paraId="206514B9" w14:textId="77777777" w:rsidR="00FC0334" w:rsidRPr="00390EC1" w:rsidRDefault="00FC0334" w:rsidP="004633DD">
            <w:pPr>
              <w:spacing w:line="360" w:lineRule="auto"/>
              <w:jc w:val="both"/>
              <w:rPr>
                <w:color w:val="auto"/>
                <w:sz w:val="24"/>
                <w:szCs w:val="24"/>
              </w:rPr>
            </w:pPr>
          </w:p>
          <w:p w14:paraId="774095BD" w14:textId="680F53B0" w:rsidR="00FC0334" w:rsidRPr="00390EC1" w:rsidRDefault="00EC294B" w:rsidP="004633DD">
            <w:pPr>
              <w:spacing w:line="360" w:lineRule="auto"/>
              <w:jc w:val="both"/>
              <w:rPr>
                <w:color w:val="auto"/>
                <w:sz w:val="24"/>
                <w:szCs w:val="24"/>
              </w:rPr>
            </w:pPr>
            <w:r w:rsidRPr="00390EC1">
              <w:rPr>
                <w:color w:val="auto"/>
                <w:sz w:val="24"/>
                <w:szCs w:val="24"/>
              </w:rPr>
              <w:t>415</w:t>
            </w:r>
          </w:p>
          <w:p w14:paraId="4FF8EBF3" w14:textId="77777777" w:rsidR="005A545C" w:rsidRPr="00390EC1" w:rsidRDefault="005414F4" w:rsidP="004633DD">
            <w:pPr>
              <w:spacing w:line="360" w:lineRule="auto"/>
              <w:jc w:val="both"/>
              <w:rPr>
                <w:color w:val="auto"/>
                <w:sz w:val="24"/>
                <w:szCs w:val="24"/>
              </w:rPr>
            </w:pPr>
            <w:r w:rsidRPr="00390EC1">
              <w:rPr>
                <w:i/>
                <w:color w:val="auto"/>
                <w:sz w:val="24"/>
                <w:szCs w:val="24"/>
              </w:rPr>
              <w:t>5</w:t>
            </w:r>
            <w:r w:rsidR="00DA22EC" w:rsidRPr="00390EC1">
              <w:rPr>
                <w:i/>
                <w:color w:val="auto"/>
                <w:sz w:val="24"/>
                <w:szCs w:val="24"/>
              </w:rPr>
              <w:t>00 words</w:t>
            </w:r>
            <w:r w:rsidR="00DA22EC" w:rsidRPr="00390EC1">
              <w:rPr>
                <w:color w:val="auto"/>
                <w:sz w:val="24"/>
                <w:szCs w:val="24"/>
              </w:rPr>
              <w:t xml:space="preserve"> </w:t>
            </w:r>
            <w:r w:rsidR="008B28E7" w:rsidRPr="00390EC1">
              <w:rPr>
                <w:color w:val="auto"/>
                <w:sz w:val="24"/>
                <w:szCs w:val="24"/>
              </w:rPr>
              <w:t>(+/- 10%: include your actual word count at the end of each section)</w:t>
            </w:r>
            <w:r w:rsidR="007A628F" w:rsidRPr="00390EC1">
              <w:rPr>
                <w:color w:val="auto"/>
                <w:sz w:val="24"/>
                <w:szCs w:val="24"/>
              </w:rPr>
              <w:t>.</w:t>
            </w:r>
          </w:p>
          <w:p w14:paraId="03BD6D93" w14:textId="56AD433A" w:rsidR="007A628F" w:rsidRPr="00390EC1" w:rsidRDefault="007A628F" w:rsidP="004633DD">
            <w:pPr>
              <w:spacing w:line="360" w:lineRule="auto"/>
              <w:jc w:val="both"/>
              <w:rPr>
                <w:b/>
                <w:color w:val="auto"/>
                <w:sz w:val="24"/>
                <w:szCs w:val="24"/>
              </w:rPr>
            </w:pPr>
          </w:p>
        </w:tc>
      </w:tr>
    </w:tbl>
    <w:p w14:paraId="37E9CF73" w14:textId="77777777" w:rsidR="00AA666E" w:rsidRPr="00390EC1" w:rsidRDefault="00AA666E" w:rsidP="004633DD">
      <w:pPr>
        <w:spacing w:line="360" w:lineRule="auto"/>
        <w:jc w:val="both"/>
        <w:rPr>
          <w:color w:val="auto"/>
          <w:sz w:val="24"/>
          <w:szCs w:val="24"/>
        </w:rPr>
      </w:pPr>
    </w:p>
    <w:p w14:paraId="1FC83FC7" w14:textId="77777777" w:rsidR="00AA666E" w:rsidRPr="00390EC1" w:rsidRDefault="00AA666E" w:rsidP="004633DD">
      <w:pPr>
        <w:spacing w:line="360" w:lineRule="auto"/>
        <w:jc w:val="both"/>
        <w:rPr>
          <w:color w:val="auto"/>
          <w:sz w:val="24"/>
          <w:szCs w:val="24"/>
        </w:rPr>
      </w:pPr>
    </w:p>
    <w:p w14:paraId="60437654" w14:textId="77777777" w:rsidR="00AA666E" w:rsidRPr="00390EC1" w:rsidRDefault="00AA666E" w:rsidP="004633DD">
      <w:pPr>
        <w:spacing w:line="360" w:lineRule="auto"/>
        <w:jc w:val="both"/>
        <w:rPr>
          <w:color w:val="auto"/>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390EC1" w:rsidRPr="00390EC1" w14:paraId="3399E76C" w14:textId="77777777" w:rsidTr="004633DD">
        <w:tc>
          <w:tcPr>
            <w:tcW w:w="10070" w:type="dxa"/>
            <w:shd w:val="clear" w:color="auto" w:fill="auto"/>
          </w:tcPr>
          <w:p w14:paraId="171F67D5" w14:textId="77777777" w:rsidR="00FC0334" w:rsidRPr="00390EC1" w:rsidRDefault="00FC0334" w:rsidP="004633DD">
            <w:pPr>
              <w:spacing w:line="360" w:lineRule="auto"/>
              <w:jc w:val="both"/>
              <w:rPr>
                <w:b/>
                <w:color w:val="auto"/>
                <w:sz w:val="24"/>
                <w:szCs w:val="24"/>
              </w:rPr>
            </w:pPr>
            <w:r w:rsidRPr="00390EC1">
              <w:rPr>
                <w:b/>
                <w:color w:val="auto"/>
                <w:sz w:val="24"/>
                <w:szCs w:val="24"/>
              </w:rPr>
              <w:t>Question b:</w:t>
            </w:r>
          </w:p>
          <w:p w14:paraId="2ADF1EC3" w14:textId="58E4B8DE" w:rsidR="00FC0334" w:rsidRPr="00390EC1" w:rsidRDefault="00FC0334" w:rsidP="004633DD">
            <w:pPr>
              <w:spacing w:line="360" w:lineRule="auto"/>
              <w:jc w:val="both"/>
              <w:rPr>
                <w:color w:val="auto"/>
                <w:sz w:val="24"/>
                <w:szCs w:val="24"/>
              </w:rPr>
            </w:pPr>
            <w:r w:rsidRPr="00390EC1">
              <w:rPr>
                <w:color w:val="auto"/>
                <w:sz w:val="24"/>
                <w:szCs w:val="24"/>
              </w:rPr>
              <w:t>Reflect on the difference between safeguarding in adult</w:t>
            </w:r>
            <w:r w:rsidR="00C63CAB" w:rsidRPr="00390EC1">
              <w:rPr>
                <w:color w:val="auto"/>
                <w:sz w:val="24"/>
                <w:szCs w:val="24"/>
              </w:rPr>
              <w:t>s’</w:t>
            </w:r>
            <w:r w:rsidRPr="00390EC1">
              <w:rPr>
                <w:color w:val="auto"/>
                <w:sz w:val="24"/>
                <w:szCs w:val="24"/>
              </w:rPr>
              <w:t xml:space="preserve"> and children</w:t>
            </w:r>
            <w:r w:rsidR="007A628F" w:rsidRPr="00390EC1">
              <w:rPr>
                <w:color w:val="auto"/>
                <w:sz w:val="24"/>
                <w:szCs w:val="24"/>
              </w:rPr>
              <w:t>’s</w:t>
            </w:r>
            <w:r w:rsidRPr="00390EC1">
              <w:rPr>
                <w:color w:val="auto"/>
                <w:sz w:val="24"/>
                <w:szCs w:val="24"/>
              </w:rPr>
              <w:t xml:space="preserve"> work</w:t>
            </w:r>
          </w:p>
          <w:p w14:paraId="795C6051" w14:textId="7D40B8D2" w:rsidR="00FC0334" w:rsidRPr="00390EC1" w:rsidRDefault="00FC0334" w:rsidP="004633DD">
            <w:pPr>
              <w:spacing w:line="360" w:lineRule="auto"/>
              <w:jc w:val="both"/>
              <w:rPr>
                <w:color w:val="auto"/>
                <w:sz w:val="24"/>
                <w:szCs w:val="24"/>
              </w:rPr>
            </w:pPr>
          </w:p>
          <w:p w14:paraId="34FFD1F0" w14:textId="77B10FD7" w:rsidR="00A65796" w:rsidRPr="00390EC1" w:rsidRDefault="00A65796" w:rsidP="004633DD">
            <w:pPr>
              <w:spacing w:line="360" w:lineRule="auto"/>
              <w:jc w:val="both"/>
              <w:rPr>
                <w:color w:val="auto"/>
                <w:sz w:val="24"/>
                <w:szCs w:val="24"/>
              </w:rPr>
            </w:pPr>
            <w:bookmarkStart w:id="1" w:name="_Hlk147848697"/>
            <w:bookmarkStart w:id="2" w:name="_Hlk147848796"/>
            <w:r w:rsidRPr="00390EC1">
              <w:rPr>
                <w:color w:val="auto"/>
                <w:sz w:val="24"/>
                <w:szCs w:val="24"/>
              </w:rPr>
              <w:t>The difference between safeguarding children vs safeguarding</w:t>
            </w:r>
            <w:r w:rsidR="00EC294B" w:rsidRPr="00390EC1">
              <w:rPr>
                <w:color w:val="auto"/>
                <w:sz w:val="24"/>
                <w:szCs w:val="24"/>
              </w:rPr>
              <w:t xml:space="preserve"> adults is “self-determination” and what is meant by this is that an adult may be at risk of harm, but they will have self-determination which doesn’t automatically qualify them to be supported/protected by the Local Authority. </w:t>
            </w:r>
          </w:p>
          <w:p w14:paraId="08490B94" w14:textId="77777777" w:rsidR="00390EC1" w:rsidRDefault="00390EC1" w:rsidP="004633DD">
            <w:pPr>
              <w:pStyle w:val="Default"/>
              <w:spacing w:line="360" w:lineRule="auto"/>
              <w:rPr>
                <w:color w:val="auto"/>
              </w:rPr>
            </w:pPr>
          </w:p>
          <w:p w14:paraId="11DE4060" w14:textId="7E9F8729" w:rsidR="00EC294B" w:rsidRPr="00390EC1" w:rsidRDefault="00390EC1" w:rsidP="004633DD">
            <w:pPr>
              <w:pStyle w:val="Default"/>
              <w:spacing w:line="360" w:lineRule="auto"/>
              <w:rPr>
                <w:color w:val="auto"/>
              </w:rPr>
            </w:pPr>
            <w:r>
              <w:rPr>
                <w:color w:val="auto"/>
              </w:rPr>
              <w:t>“</w:t>
            </w:r>
            <w:r w:rsidR="00A65796" w:rsidRPr="00390EC1">
              <w:rPr>
                <w:i/>
                <w:iCs/>
                <w:color w:val="auto"/>
              </w:rPr>
              <w:t>In the Children Act 2004, Section 11 places a duty on key persons and agencies to make arrangements in any local area to safeguard</w:t>
            </w:r>
            <w:r w:rsidR="004633DD">
              <w:rPr>
                <w:i/>
                <w:iCs/>
                <w:color w:val="auto"/>
              </w:rPr>
              <w:t xml:space="preserve"> and</w:t>
            </w:r>
            <w:r w:rsidR="00A65796" w:rsidRPr="00390EC1">
              <w:rPr>
                <w:i/>
                <w:iCs/>
                <w:color w:val="auto"/>
              </w:rPr>
              <w:t xml:space="preserve"> promot</w:t>
            </w:r>
            <w:r w:rsidR="004633DD">
              <w:rPr>
                <w:i/>
                <w:iCs/>
                <w:color w:val="auto"/>
              </w:rPr>
              <w:t>e</w:t>
            </w:r>
            <w:r w:rsidR="00A65796" w:rsidRPr="00390EC1">
              <w:rPr>
                <w:i/>
                <w:iCs/>
                <w:color w:val="auto"/>
              </w:rPr>
              <w:t xml:space="preserve"> the welfare of children and improving outcomes for children</w:t>
            </w:r>
            <w:r w:rsidR="00EC294B" w:rsidRPr="00390EC1">
              <w:rPr>
                <w:i/>
                <w:iCs/>
                <w:color w:val="auto"/>
              </w:rPr>
              <w:t xml:space="preserve"> and so a child that is not having their needs met by their carer or at risk of harm will automatically qualify for Local Authority support.</w:t>
            </w:r>
            <w:r w:rsidRPr="00390EC1">
              <w:rPr>
                <w:i/>
                <w:iCs/>
                <w:color w:val="auto"/>
              </w:rPr>
              <w:t>”</w:t>
            </w:r>
            <w:r w:rsidR="00EC294B" w:rsidRPr="00390EC1">
              <w:rPr>
                <w:color w:val="auto"/>
              </w:rPr>
              <w:t xml:space="preserve"> </w:t>
            </w:r>
            <w:r w:rsidRPr="00390EC1">
              <w:rPr>
                <w:color w:val="2C3E50"/>
                <w:shd w:val="clear" w:color="auto" w:fill="FFFFFF"/>
              </w:rPr>
              <w:t> </w:t>
            </w:r>
            <w:r w:rsidRPr="00390EC1">
              <w:rPr>
                <w:color w:val="auto"/>
                <w:shd w:val="clear" w:color="auto" w:fill="FFFFFF"/>
              </w:rPr>
              <w:t>(Child &amp; Adult Safeguarding – an overview, 2021)</w:t>
            </w:r>
          </w:p>
          <w:p w14:paraId="1A3F604D" w14:textId="45789507" w:rsidR="00EC294B" w:rsidRDefault="00EC294B" w:rsidP="004633DD">
            <w:pPr>
              <w:pStyle w:val="Default"/>
              <w:spacing w:line="360" w:lineRule="auto"/>
              <w:rPr>
                <w:color w:val="auto"/>
              </w:rPr>
            </w:pPr>
          </w:p>
          <w:p w14:paraId="1FD18453" w14:textId="77777777" w:rsidR="00AC59B6" w:rsidRDefault="00A2216A" w:rsidP="004633DD">
            <w:pPr>
              <w:pStyle w:val="Default"/>
              <w:spacing w:line="360" w:lineRule="auto"/>
            </w:pPr>
            <w:r w:rsidRPr="00390EC1">
              <w:rPr>
                <w:color w:val="auto"/>
              </w:rPr>
              <w:t>A key difference as well is that s</w:t>
            </w:r>
            <w:r w:rsidR="00A65796" w:rsidRPr="00390EC1">
              <w:rPr>
                <w:color w:val="auto"/>
              </w:rPr>
              <w:t>afeguarding runs through all levels of need for all chi</w:t>
            </w:r>
            <w:r w:rsidRPr="00390EC1">
              <w:rPr>
                <w:color w:val="auto"/>
              </w:rPr>
              <w:t>ldren.</w:t>
            </w:r>
            <w:r w:rsidR="00AC59B6">
              <w:rPr>
                <w:color w:val="auto"/>
              </w:rPr>
              <w:t xml:space="preserve"> </w:t>
            </w:r>
            <w:r w:rsidR="00AC59B6">
              <w:rPr>
                <w:rStyle w:val="FootnoteReference"/>
                <w:color w:val="auto"/>
              </w:rPr>
              <w:footnoteReference w:id="1"/>
            </w:r>
            <w:r w:rsidR="00AC59B6">
              <w:t>The Working together to safeguard children 2015 guidance states that “effective safeguarding of children can only be achieved by putting children at the centre of the system and by every individual and agency playing their full part, working together to meet the needs of our most vulnerable children.”</w:t>
            </w:r>
          </w:p>
          <w:p w14:paraId="5578A122" w14:textId="77777777" w:rsidR="00AC59B6" w:rsidRDefault="00AC59B6" w:rsidP="004633DD">
            <w:pPr>
              <w:pStyle w:val="Default"/>
              <w:spacing w:line="360" w:lineRule="auto"/>
            </w:pPr>
          </w:p>
          <w:p w14:paraId="4F439BCA" w14:textId="4C0313E3" w:rsidR="00A65796" w:rsidRPr="00390EC1" w:rsidRDefault="004633DD" w:rsidP="004633DD">
            <w:pPr>
              <w:pStyle w:val="Default"/>
              <w:spacing w:line="360" w:lineRule="auto"/>
              <w:rPr>
                <w:color w:val="auto"/>
              </w:rPr>
            </w:pPr>
            <w:r w:rsidRPr="00390EC1">
              <w:rPr>
                <w:color w:val="auto"/>
              </w:rPr>
              <w:t>However,</w:t>
            </w:r>
            <w:r w:rsidR="00A2216A" w:rsidRPr="00390EC1">
              <w:rPr>
                <w:color w:val="auto"/>
              </w:rPr>
              <w:t xml:space="preserve"> this differs slightly when it comes </w:t>
            </w:r>
            <w:r w:rsidR="00A65796" w:rsidRPr="00390EC1">
              <w:rPr>
                <w:color w:val="auto"/>
              </w:rPr>
              <w:t xml:space="preserve">to safeguarding for adults. There are different thresholds. </w:t>
            </w:r>
          </w:p>
          <w:p w14:paraId="03C2669E" w14:textId="77777777" w:rsidR="00A2216A" w:rsidRPr="00390EC1" w:rsidRDefault="00A2216A" w:rsidP="004633DD">
            <w:pPr>
              <w:pStyle w:val="Default"/>
              <w:spacing w:line="360" w:lineRule="auto"/>
              <w:rPr>
                <w:color w:val="auto"/>
              </w:rPr>
            </w:pPr>
          </w:p>
          <w:p w14:paraId="4FAACAA4" w14:textId="672B91A7" w:rsidR="004633DD" w:rsidRDefault="00A65796" w:rsidP="004633DD">
            <w:pPr>
              <w:pStyle w:val="Default"/>
              <w:spacing w:line="360" w:lineRule="auto"/>
              <w:rPr>
                <w:color w:val="auto"/>
              </w:rPr>
            </w:pPr>
            <w:r w:rsidRPr="00390EC1">
              <w:rPr>
                <w:color w:val="auto"/>
              </w:rPr>
              <w:t>Safeguarding duties</w:t>
            </w:r>
            <w:r w:rsidR="004633DD">
              <w:rPr>
                <w:color w:val="auto"/>
              </w:rPr>
              <w:t xml:space="preserve"> for adults</w:t>
            </w:r>
            <w:r w:rsidRPr="00390EC1">
              <w:rPr>
                <w:color w:val="auto"/>
              </w:rPr>
              <w:t xml:space="preserve"> apply</w:t>
            </w:r>
            <w:r w:rsidR="004633DD">
              <w:rPr>
                <w:color w:val="auto"/>
              </w:rPr>
              <w:t xml:space="preserve"> under the</w:t>
            </w:r>
            <w:r w:rsidRPr="00390EC1">
              <w:rPr>
                <w:color w:val="auto"/>
              </w:rPr>
              <w:t xml:space="preserve"> S42</w:t>
            </w:r>
            <w:r w:rsidR="004633DD">
              <w:rPr>
                <w:color w:val="auto"/>
              </w:rPr>
              <w:t xml:space="preserve"> of the Care Act 2014 and they only apply where there </w:t>
            </w:r>
            <w:r w:rsidRPr="00390EC1">
              <w:rPr>
                <w:color w:val="auto"/>
              </w:rPr>
              <w:t>is “reasonable cause to suspect” that an adult</w:t>
            </w:r>
            <w:r w:rsidR="004633DD">
              <w:rPr>
                <w:color w:val="auto"/>
              </w:rPr>
              <w:t xml:space="preserve"> has the following: </w:t>
            </w:r>
          </w:p>
          <w:p w14:paraId="06DE91CC" w14:textId="3EE01816" w:rsidR="004633DD" w:rsidRPr="004633DD" w:rsidRDefault="00A65796" w:rsidP="004633DD">
            <w:pPr>
              <w:pStyle w:val="Default"/>
              <w:numPr>
                <w:ilvl w:val="0"/>
                <w:numId w:val="59"/>
              </w:numPr>
              <w:spacing w:line="360" w:lineRule="auto"/>
              <w:rPr>
                <w:color w:val="auto"/>
              </w:rPr>
            </w:pPr>
            <w:r w:rsidRPr="004633DD">
              <w:rPr>
                <w:color w:val="auto"/>
              </w:rPr>
              <w:t>has needs for care and support (whether or not those needs are being met) .</w:t>
            </w:r>
          </w:p>
          <w:p w14:paraId="6060672F" w14:textId="19A0EBC8" w:rsidR="004633DD" w:rsidRDefault="00A65796" w:rsidP="004633DD">
            <w:pPr>
              <w:pStyle w:val="Default"/>
              <w:numPr>
                <w:ilvl w:val="0"/>
                <w:numId w:val="59"/>
              </w:numPr>
              <w:spacing w:line="360" w:lineRule="auto"/>
              <w:rPr>
                <w:color w:val="auto"/>
              </w:rPr>
            </w:pPr>
            <w:r w:rsidRPr="00390EC1">
              <w:rPr>
                <w:color w:val="auto"/>
              </w:rPr>
              <w:t>is experiencing, or is at risk abuse or neglect</w:t>
            </w:r>
            <w:r w:rsidR="004633DD">
              <w:rPr>
                <w:color w:val="auto"/>
              </w:rPr>
              <w:t xml:space="preserve"> </w:t>
            </w:r>
          </w:p>
          <w:p w14:paraId="642AF139" w14:textId="3643C16E" w:rsidR="00A65796" w:rsidRPr="00390EC1" w:rsidRDefault="00A65796" w:rsidP="004633DD">
            <w:pPr>
              <w:pStyle w:val="Default"/>
              <w:numPr>
                <w:ilvl w:val="0"/>
                <w:numId w:val="59"/>
              </w:numPr>
              <w:spacing w:line="360" w:lineRule="auto"/>
              <w:rPr>
                <w:color w:val="auto"/>
              </w:rPr>
            </w:pPr>
            <w:r w:rsidRPr="00390EC1">
              <w:rPr>
                <w:color w:val="auto"/>
              </w:rPr>
              <w:t xml:space="preserve"> </w:t>
            </w:r>
            <w:r w:rsidRPr="00390EC1">
              <w:rPr>
                <w:b/>
                <w:bCs/>
                <w:color w:val="auto"/>
              </w:rPr>
              <w:t xml:space="preserve">and </w:t>
            </w:r>
            <w:r w:rsidRPr="00390EC1">
              <w:rPr>
                <w:color w:val="auto"/>
              </w:rPr>
              <w:t xml:space="preserve"> as a result of their needs is unable to protect themselves </w:t>
            </w:r>
          </w:p>
          <w:p w14:paraId="4DF8DA44" w14:textId="467CB6C5" w:rsidR="009C6A08" w:rsidRDefault="009C6A08" w:rsidP="004633DD">
            <w:pPr>
              <w:pStyle w:val="Default"/>
              <w:spacing w:line="360" w:lineRule="auto"/>
              <w:rPr>
                <w:color w:val="auto"/>
                <w:shd w:val="clear" w:color="auto" w:fill="FEFEFE"/>
              </w:rPr>
            </w:pPr>
          </w:p>
          <w:p w14:paraId="69475228" w14:textId="5ED29FC1" w:rsidR="00A65796" w:rsidRPr="00390EC1" w:rsidRDefault="004633DD" w:rsidP="004633DD">
            <w:pPr>
              <w:pStyle w:val="Default"/>
              <w:spacing w:line="360" w:lineRule="auto"/>
              <w:rPr>
                <w:color w:val="auto"/>
                <w:shd w:val="clear" w:color="auto" w:fill="FEFEFE"/>
              </w:rPr>
            </w:pPr>
            <w:r>
              <w:rPr>
                <w:color w:val="auto"/>
                <w:shd w:val="clear" w:color="auto" w:fill="FEFEFE"/>
              </w:rPr>
              <w:t xml:space="preserve">Adults have a choice (which isn’t the case for safeguarding children) on whether to accept the support / intervention from Local Authority. It will only be in serious circumstances that this choice will be taken away from the adult. For example, if the adult lacks capacity </w:t>
            </w:r>
            <w:r w:rsidR="00EC294B" w:rsidRPr="00390EC1">
              <w:rPr>
                <w:color w:val="auto"/>
                <w:shd w:val="clear" w:color="auto" w:fill="FEFEFE"/>
              </w:rPr>
              <w:t xml:space="preserve">or </w:t>
            </w:r>
            <w:r>
              <w:rPr>
                <w:color w:val="auto"/>
                <w:shd w:val="clear" w:color="auto" w:fill="FEFEFE"/>
              </w:rPr>
              <w:t xml:space="preserve">assessed as highly </w:t>
            </w:r>
            <w:r w:rsidR="00EC294B" w:rsidRPr="00390EC1">
              <w:rPr>
                <w:color w:val="auto"/>
                <w:shd w:val="clear" w:color="auto" w:fill="FEFEFE"/>
              </w:rPr>
              <w:t xml:space="preserve">vulnerable for example, they have may have but not limited </w:t>
            </w:r>
            <w:r w:rsidR="00AC59B6" w:rsidRPr="00390EC1">
              <w:rPr>
                <w:color w:val="auto"/>
                <w:shd w:val="clear" w:color="auto" w:fill="FEFEFE"/>
              </w:rPr>
              <w:t>to, learning</w:t>
            </w:r>
            <w:r w:rsidR="00EC294B" w:rsidRPr="00390EC1">
              <w:rPr>
                <w:color w:val="auto"/>
                <w:shd w:val="clear" w:color="auto" w:fill="FEFEFE"/>
              </w:rPr>
              <w:t xml:space="preserve"> needs/mental health needs/physical disabilities </w:t>
            </w:r>
            <w:r w:rsidR="00A65796" w:rsidRPr="00390EC1">
              <w:rPr>
                <w:color w:val="auto"/>
                <w:shd w:val="clear" w:color="auto" w:fill="FEFEFE"/>
              </w:rPr>
              <w:t>or where the concerns may extend to children, such as when they are living in the same household.</w:t>
            </w:r>
          </w:p>
          <w:p w14:paraId="6F01F9AC" w14:textId="77777777" w:rsidR="00074453" w:rsidRPr="00390EC1" w:rsidRDefault="00074453" w:rsidP="004633DD">
            <w:pPr>
              <w:pStyle w:val="Default"/>
              <w:spacing w:line="360" w:lineRule="auto"/>
              <w:rPr>
                <w:color w:val="auto"/>
              </w:rPr>
            </w:pPr>
          </w:p>
          <w:p w14:paraId="504C96BC" w14:textId="674D2FDD" w:rsidR="009C6A08" w:rsidRPr="00390EC1" w:rsidRDefault="00074453" w:rsidP="004633DD">
            <w:pPr>
              <w:pStyle w:val="Default"/>
              <w:spacing w:line="360" w:lineRule="auto"/>
              <w:rPr>
                <w:color w:val="auto"/>
                <w:shd w:val="clear" w:color="auto" w:fill="FEFEFE"/>
              </w:rPr>
            </w:pPr>
            <w:r w:rsidRPr="00390EC1">
              <w:rPr>
                <w:color w:val="auto"/>
              </w:rPr>
              <w:t xml:space="preserve">In </w:t>
            </w:r>
            <w:r w:rsidR="00390EC1" w:rsidRPr="00390EC1">
              <w:rPr>
                <w:color w:val="auto"/>
              </w:rPr>
              <w:t>Wales</w:t>
            </w:r>
            <w:r w:rsidRPr="00390EC1">
              <w:rPr>
                <w:color w:val="auto"/>
              </w:rPr>
              <w:t xml:space="preserve">, The </w:t>
            </w:r>
            <w:hyperlink r:id="rId11" w:history="1">
              <w:r w:rsidR="00F40B02" w:rsidRPr="00390EC1">
                <w:rPr>
                  <w:rStyle w:val="Hyperlink"/>
                  <w:color w:val="auto"/>
                  <w:u w:val="none"/>
                </w:rPr>
                <w:t>Social Services and Wellbeing (Wales) Act 2014</w:t>
              </w:r>
            </w:hyperlink>
            <w:r w:rsidR="00F40B02" w:rsidRPr="00390EC1">
              <w:rPr>
                <w:color w:val="auto"/>
              </w:rPr>
              <w:t> and statutory safeguarding guidance </w:t>
            </w:r>
            <w:hyperlink r:id="rId12" w:history="1">
              <w:r w:rsidR="00F40B02" w:rsidRPr="00390EC1">
                <w:rPr>
                  <w:rStyle w:val="Hyperlink"/>
                  <w:color w:val="auto"/>
                  <w:u w:val="none"/>
                </w:rPr>
                <w:t>Working Together to Safeguard People</w:t>
              </w:r>
            </w:hyperlink>
            <w:r w:rsidRPr="00390EC1">
              <w:rPr>
                <w:color w:val="auto"/>
              </w:rPr>
              <w:t xml:space="preserve"> defines </w:t>
            </w:r>
            <w:r w:rsidR="00F40B02" w:rsidRPr="00390EC1">
              <w:rPr>
                <w:color w:val="auto"/>
              </w:rPr>
              <w:t>the duties</w:t>
            </w:r>
            <w:r w:rsidRPr="00390EC1">
              <w:rPr>
                <w:color w:val="auto"/>
              </w:rPr>
              <w:t xml:space="preserve"> and provisions</w:t>
            </w:r>
            <w:r w:rsidR="00F40B02" w:rsidRPr="00390EC1">
              <w:rPr>
                <w:color w:val="auto"/>
              </w:rPr>
              <w:t xml:space="preserve"> for</w:t>
            </w:r>
            <w:r w:rsidRPr="00390EC1">
              <w:rPr>
                <w:color w:val="auto"/>
              </w:rPr>
              <w:t xml:space="preserve"> </w:t>
            </w:r>
            <w:r w:rsidR="00AC59B6" w:rsidRPr="00390EC1">
              <w:rPr>
                <w:color w:val="auto"/>
              </w:rPr>
              <w:t>Welsh</w:t>
            </w:r>
            <w:r w:rsidR="00F40B02" w:rsidRPr="00390EC1">
              <w:rPr>
                <w:color w:val="auto"/>
              </w:rPr>
              <w:t xml:space="preserve"> Local Authorities </w:t>
            </w:r>
            <w:r w:rsidRPr="00390EC1">
              <w:rPr>
                <w:color w:val="auto"/>
                <w:shd w:val="clear" w:color="auto" w:fill="FEFEFE"/>
              </w:rPr>
              <w:t>in regards to their duty to safeguard adults and children in Wales</w:t>
            </w:r>
            <w:r w:rsidR="00390EC1">
              <w:rPr>
                <w:color w:val="auto"/>
                <w:shd w:val="clear" w:color="auto" w:fill="FEFEFE"/>
              </w:rPr>
              <w:t xml:space="preserve"> and this can also be accessed via </w:t>
            </w:r>
            <w:r w:rsidR="00AC59B6">
              <w:rPr>
                <w:color w:val="auto"/>
                <w:shd w:val="clear" w:color="auto" w:fill="FEFEFE"/>
              </w:rPr>
              <w:t>Wales</w:t>
            </w:r>
            <w:r w:rsidR="00390EC1">
              <w:rPr>
                <w:color w:val="auto"/>
                <w:shd w:val="clear" w:color="auto" w:fill="FEFEFE"/>
              </w:rPr>
              <w:t xml:space="preserve"> safeguarding procedures. </w:t>
            </w:r>
            <w:bookmarkEnd w:id="1"/>
          </w:p>
          <w:bookmarkEnd w:id="2"/>
          <w:p w14:paraId="438BF787" w14:textId="71859503" w:rsidR="00FC0334" w:rsidRPr="00390EC1" w:rsidRDefault="00074453" w:rsidP="004633DD">
            <w:pPr>
              <w:spacing w:line="360" w:lineRule="auto"/>
              <w:jc w:val="both"/>
              <w:rPr>
                <w:color w:val="auto"/>
                <w:sz w:val="24"/>
                <w:szCs w:val="24"/>
              </w:rPr>
            </w:pPr>
            <w:r w:rsidRPr="00390EC1">
              <w:rPr>
                <w:color w:val="auto"/>
                <w:sz w:val="24"/>
                <w:szCs w:val="24"/>
              </w:rPr>
              <w:t>39</w:t>
            </w:r>
            <w:r w:rsidR="004633DD">
              <w:rPr>
                <w:color w:val="auto"/>
                <w:sz w:val="24"/>
                <w:szCs w:val="24"/>
              </w:rPr>
              <w:t>5</w:t>
            </w:r>
          </w:p>
          <w:p w14:paraId="6BA3DD84" w14:textId="0013357A" w:rsidR="00FC0334" w:rsidRPr="00390EC1" w:rsidRDefault="00FC0334" w:rsidP="004633DD">
            <w:pPr>
              <w:spacing w:line="360" w:lineRule="auto"/>
              <w:jc w:val="both"/>
              <w:rPr>
                <w:i/>
                <w:color w:val="auto"/>
                <w:sz w:val="24"/>
                <w:szCs w:val="24"/>
              </w:rPr>
            </w:pPr>
            <w:r w:rsidRPr="00390EC1">
              <w:rPr>
                <w:i/>
                <w:color w:val="auto"/>
                <w:sz w:val="24"/>
                <w:szCs w:val="24"/>
              </w:rPr>
              <w:t>400 words</w:t>
            </w:r>
            <w:r w:rsidRPr="00390EC1">
              <w:rPr>
                <w:color w:val="auto"/>
                <w:sz w:val="24"/>
                <w:szCs w:val="24"/>
              </w:rPr>
              <w:t xml:space="preserve"> </w:t>
            </w:r>
            <w:r w:rsidRPr="00390EC1">
              <w:rPr>
                <w:i/>
                <w:color w:val="auto"/>
                <w:sz w:val="24"/>
                <w:szCs w:val="24"/>
              </w:rPr>
              <w:t>(+/- 10%: include your actual word count at the end of each section)</w:t>
            </w:r>
            <w:r w:rsidR="007A628F" w:rsidRPr="00390EC1">
              <w:rPr>
                <w:i/>
                <w:color w:val="auto"/>
                <w:sz w:val="24"/>
                <w:szCs w:val="24"/>
              </w:rPr>
              <w:t>.</w:t>
            </w:r>
          </w:p>
          <w:p w14:paraId="08760B3D" w14:textId="77777777" w:rsidR="00FC0334" w:rsidRPr="00390EC1" w:rsidRDefault="00FC0334" w:rsidP="004633DD">
            <w:pPr>
              <w:spacing w:line="360" w:lineRule="auto"/>
              <w:jc w:val="both"/>
              <w:rPr>
                <w:color w:val="auto"/>
                <w:sz w:val="24"/>
                <w:szCs w:val="24"/>
              </w:rPr>
            </w:pPr>
          </w:p>
        </w:tc>
      </w:tr>
    </w:tbl>
    <w:p w14:paraId="76FCF233" w14:textId="77777777" w:rsidR="00FC0334" w:rsidRDefault="00FC0334" w:rsidP="004633DD">
      <w:pPr>
        <w:spacing w:line="360" w:lineRule="auto"/>
        <w:rPr>
          <w:sz w:val="24"/>
          <w:szCs w:val="24"/>
        </w:rPr>
      </w:pPr>
    </w:p>
    <w:sectPr w:rsidR="00FC0334" w:rsidSect="00F15354">
      <w:headerReference w:type="default" r:id="rId13"/>
      <w:footerReference w:type="default" r:id="rId1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147F3728" w:rsidR="00A5656A" w:rsidRDefault="00A5656A">
    <w:pPr>
      <w:pStyle w:val="Footer"/>
      <w:jc w:val="right"/>
    </w:pPr>
    <w:r>
      <w:fldChar w:fldCharType="begin"/>
    </w:r>
    <w:r>
      <w:instrText xml:space="preserve"> PAGE   \* MERGEFORMAT </w:instrText>
    </w:r>
    <w:r>
      <w:fldChar w:fldCharType="separate"/>
    </w:r>
    <w:r w:rsidR="00701C3F">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 w:id="1">
    <w:p w14:paraId="0ED92C20" w14:textId="245D8B6D" w:rsidR="00AC59B6" w:rsidRDefault="00AC59B6">
      <w:pPr>
        <w:pStyle w:val="FootnoteText"/>
      </w:pPr>
      <w:r>
        <w:rPr>
          <w:rStyle w:val="FootnoteReference"/>
        </w:rPr>
        <w:footnoteRef/>
      </w:r>
      <w:r>
        <w:t xml:space="preserve"> </w:t>
      </w:r>
      <w:hyperlink r:id="rId1" w:history="1">
        <w:r>
          <w:rPr>
            <w:rStyle w:val="Hyperlink"/>
          </w:rPr>
          <w:t>20190621_SC121706_CQC_statement_February_2018_v3_0.pdf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6A220C8"/>
    <w:multiLevelType w:val="hybridMultilevel"/>
    <w:tmpl w:val="77FAB1AA"/>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D06096B"/>
    <w:multiLevelType w:val="hybridMultilevel"/>
    <w:tmpl w:val="B337DBDA"/>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175AFC0"/>
    <w:multiLevelType w:val="hybridMultilevel"/>
    <w:tmpl w:val="DDF28165"/>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4" w15:restartNumberingAfterBreak="0">
    <w:nsid w:val="FFFFFFFE"/>
    <w:multiLevelType w:val="singleLevel"/>
    <w:tmpl w:val="5046EE80"/>
    <w:lvl w:ilvl="0">
      <w:numFmt w:val="bullet"/>
      <w:lvlText w:val="*"/>
      <w:lvlJc w:val="left"/>
    </w:lvl>
  </w:abstractNum>
  <w:abstractNum w:abstractNumId="5" w15:restartNumberingAfterBreak="0">
    <w:nsid w:val="01DD1B76"/>
    <w:multiLevelType w:val="multilevel"/>
    <w:tmpl w:val="64663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4"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3"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5E605CA"/>
    <w:multiLevelType w:val="multilevel"/>
    <w:tmpl w:val="970C4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A9738DE"/>
    <w:multiLevelType w:val="hybridMultilevel"/>
    <w:tmpl w:val="B8D40DE8"/>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5"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9"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4"/>
    <w:lvlOverride w:ilvl="0">
      <w:lvl w:ilvl="0">
        <w:start w:val="1"/>
        <w:numFmt w:val="bullet"/>
        <w:lvlText w:val=""/>
        <w:lvlJc w:val="left"/>
        <w:pPr>
          <w:ind w:left="720" w:hanging="360"/>
        </w:pPr>
        <w:rPr>
          <w:rFonts w:ascii="Symbol" w:hAnsi="Symbol" w:hint="default"/>
        </w:rPr>
      </w:lvl>
    </w:lvlOverride>
  </w:num>
  <w:num w:numId="2">
    <w:abstractNumId w:val="26"/>
  </w:num>
  <w:num w:numId="3">
    <w:abstractNumId w:val="51"/>
  </w:num>
  <w:num w:numId="4">
    <w:abstractNumId w:val="53"/>
  </w:num>
  <w:num w:numId="5">
    <w:abstractNumId w:val="40"/>
  </w:num>
  <w:num w:numId="6">
    <w:abstractNumId w:val="38"/>
  </w:num>
  <w:num w:numId="7">
    <w:abstractNumId w:val="35"/>
  </w:num>
  <w:num w:numId="8">
    <w:abstractNumId w:val="36"/>
  </w:num>
  <w:num w:numId="9">
    <w:abstractNumId w:val="14"/>
  </w:num>
  <w:num w:numId="10">
    <w:abstractNumId w:val="39"/>
  </w:num>
  <w:num w:numId="11">
    <w:abstractNumId w:val="21"/>
  </w:num>
  <w:num w:numId="12">
    <w:abstractNumId w:val="20"/>
  </w:num>
  <w:num w:numId="13">
    <w:abstractNumId w:val="32"/>
  </w:num>
  <w:num w:numId="14">
    <w:abstractNumId w:val="12"/>
  </w:num>
  <w:num w:numId="15">
    <w:abstractNumId w:val="31"/>
  </w:num>
  <w:num w:numId="16">
    <w:abstractNumId w:val="19"/>
  </w:num>
  <w:num w:numId="17">
    <w:abstractNumId w:val="17"/>
  </w:num>
  <w:num w:numId="1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num>
  <w:num w:numId="20">
    <w:abstractNumId w:val="22"/>
  </w:num>
  <w:num w:numId="21">
    <w:abstractNumId w:val="18"/>
  </w:num>
  <w:num w:numId="22">
    <w:abstractNumId w:val="15"/>
  </w:num>
  <w:num w:numId="23">
    <w:abstractNumId w:val="33"/>
  </w:num>
  <w:num w:numId="24">
    <w:abstractNumId w:val="23"/>
  </w:num>
  <w:num w:numId="25">
    <w:abstractNumId w:val="47"/>
  </w:num>
  <w:num w:numId="26">
    <w:abstractNumId w:val="41"/>
  </w:num>
  <w:num w:numId="27">
    <w:abstractNumId w:val="46"/>
  </w:num>
  <w:num w:numId="28">
    <w:abstractNumId w:val="24"/>
  </w:num>
  <w:num w:numId="29">
    <w:abstractNumId w:val="49"/>
  </w:num>
  <w:num w:numId="30">
    <w:abstractNumId w:val="37"/>
  </w:num>
  <w:num w:numId="31">
    <w:abstractNumId w:val="16"/>
  </w:num>
  <w:num w:numId="32">
    <w:abstractNumId w:val="50"/>
  </w:num>
  <w:num w:numId="33">
    <w:abstractNumId w:val="45"/>
  </w:num>
  <w:num w:numId="34">
    <w:abstractNumId w:val="9"/>
  </w:num>
  <w:num w:numId="35">
    <w:abstractNumId w:val="52"/>
  </w:num>
  <w:num w:numId="36">
    <w:abstractNumId w:val="48"/>
  </w:num>
  <w:num w:numId="37">
    <w:abstractNumId w:val="42"/>
  </w:num>
  <w:num w:numId="38">
    <w:abstractNumId w:val="43"/>
  </w:num>
  <w:num w:numId="39">
    <w:abstractNumId w:val="8"/>
  </w:num>
  <w:num w:numId="40">
    <w:abstractNumId w:val="10"/>
  </w:num>
  <w:num w:numId="41">
    <w:abstractNumId w:val="30"/>
  </w:num>
  <w:num w:numId="42">
    <w:abstractNumId w:val="11"/>
  </w:num>
  <w:num w:numId="43">
    <w:abstractNumId w:val="7"/>
  </w:num>
  <w:num w:numId="44">
    <w:abstractNumId w:val="44"/>
  </w:num>
  <w:num w:numId="45">
    <w:abstractNumId w:val="3"/>
  </w:num>
  <w:num w:numId="46">
    <w:abstractNumId w:val="18"/>
  </w:num>
  <w:num w:numId="47">
    <w:abstractNumId w:val="54"/>
  </w:num>
  <w:num w:numId="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5"/>
  </w:num>
  <w:num w:numId="50">
    <w:abstractNumId w:val="33"/>
  </w:num>
  <w:num w:numId="51">
    <w:abstractNumId w:val="29"/>
  </w:num>
  <w:num w:numId="52">
    <w:abstractNumId w:val="25"/>
  </w:num>
  <w:num w:numId="53">
    <w:abstractNumId w:val="6"/>
  </w:num>
  <w:num w:numId="54">
    <w:abstractNumId w:val="28"/>
  </w:num>
  <w:num w:numId="55">
    <w:abstractNumId w:val="5"/>
  </w:num>
  <w:num w:numId="56">
    <w:abstractNumId w:val="1"/>
  </w:num>
  <w:num w:numId="57">
    <w:abstractNumId w:val="0"/>
  </w:num>
  <w:num w:numId="58">
    <w:abstractNumId w:val="2"/>
  </w:num>
  <w:num w:numId="59">
    <w:abstractNumId w:val="3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0D9E"/>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53"/>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0A6B"/>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1C15"/>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0EC1"/>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3DD"/>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6A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1C3F"/>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30BA"/>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6A08"/>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16A"/>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79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C59B6"/>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294B"/>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0B02"/>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semiHidden/>
    <w:unhideWhenUsed/>
    <w:rsid w:val="00291C1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291C15"/>
    <w:rPr>
      <w:b/>
      <w:bCs/>
    </w:rPr>
  </w:style>
  <w:style w:type="paragraph" w:customStyle="1" w:styleId="Default">
    <w:name w:val="Default"/>
    <w:rsid w:val="00A65796"/>
    <w:pPr>
      <w:autoSpaceDE w:val="0"/>
      <w:autoSpaceDN w:val="0"/>
      <w:adjustRightInd w:val="0"/>
    </w:pPr>
    <w:rPr>
      <w:rFonts w:ascii="Arial" w:hAnsi="Arial" w:cs="Arial"/>
      <w:color w:val="000000"/>
      <w:sz w:val="24"/>
      <w:szCs w:val="24"/>
    </w:rPr>
  </w:style>
  <w:style w:type="paragraph" w:styleId="FootnoteText">
    <w:name w:val="footnote text"/>
    <w:basedOn w:val="Normal"/>
    <w:link w:val="FootnoteTextChar"/>
    <w:uiPriority w:val="99"/>
    <w:semiHidden/>
    <w:unhideWhenUsed/>
    <w:rsid w:val="009C6A08"/>
  </w:style>
  <w:style w:type="character" w:customStyle="1" w:styleId="FootnoteTextChar">
    <w:name w:val="Footnote Text Char"/>
    <w:basedOn w:val="DefaultParagraphFont"/>
    <w:link w:val="FootnoteText"/>
    <w:uiPriority w:val="99"/>
    <w:semiHidden/>
    <w:rsid w:val="009C6A08"/>
    <w:rPr>
      <w:rFonts w:ascii="Arial" w:hAnsi="Arial" w:cs="Arial"/>
      <w:color w:val="000000"/>
    </w:rPr>
  </w:style>
  <w:style w:type="character" w:styleId="FootnoteReference">
    <w:name w:val="footnote reference"/>
    <w:basedOn w:val="DefaultParagraphFont"/>
    <w:uiPriority w:val="99"/>
    <w:semiHidden/>
    <w:unhideWhenUsed/>
    <w:rsid w:val="009C6A0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439116">
      <w:bodyDiv w:val="1"/>
      <w:marLeft w:val="0"/>
      <w:marRight w:val="0"/>
      <w:marTop w:val="0"/>
      <w:marBottom w:val="0"/>
      <w:divBdr>
        <w:top w:val="none" w:sz="0" w:space="0" w:color="auto"/>
        <w:left w:val="none" w:sz="0" w:space="0" w:color="auto"/>
        <w:bottom w:val="none" w:sz="0" w:space="0" w:color="auto"/>
        <w:right w:val="none" w:sz="0" w:space="0" w:color="auto"/>
      </w:divBdr>
    </w:div>
    <w:div w:id="586960844">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ov.wales/safeguarding-guidance"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egislation.gov.uk/anaw/2014/4/content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cqc.org.uk/sites/default/files/20190621_SC121706_CQC_statement_February_2018_v3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A54C26D6-29EE-4926-8AF4-AE2F431A4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1011</Words>
  <Characters>5339</Characters>
  <Application>Microsoft Office Word</Application>
  <DocSecurity>4</DocSecurity>
  <Lines>44</Lines>
  <Paragraphs>12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Natalie Cawley</cp:lastModifiedBy>
  <cp:revision>2</cp:revision>
  <cp:lastPrinted>2020-02-11T19:20:00Z</cp:lastPrinted>
  <dcterms:created xsi:type="dcterms:W3CDTF">2023-10-10T15:52:00Z</dcterms:created>
  <dcterms:modified xsi:type="dcterms:W3CDTF">2023-10-10T15:52:00Z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