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BF459D" w14:textId="6A88B587" w:rsidR="004B14AF" w:rsidRPr="004B14AF" w:rsidRDefault="004B14AF" w:rsidP="004B14AF">
      <w:pPr>
        <w:spacing w:line="360" w:lineRule="auto"/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  <w:u w:val="single"/>
        </w:rPr>
        <w:t>Reference List.</w:t>
      </w:r>
    </w:p>
    <w:p w14:paraId="6718CD14" w14:textId="77777777" w:rsidR="007C453D" w:rsidRDefault="007C453D" w:rsidP="007C453D">
      <w:pPr>
        <w:rPr>
          <w:rFonts w:ascii="Times New Roman" w:hAnsi="Times New Roman" w:cs="Times New Roman"/>
          <w:sz w:val="24"/>
          <w:szCs w:val="24"/>
        </w:rPr>
      </w:pPr>
      <w:r w:rsidRPr="00B543A3">
        <w:rPr>
          <w:rFonts w:ascii="Times New Roman" w:hAnsi="Times New Roman" w:cs="Times New Roman"/>
          <w:sz w:val="24"/>
          <w:szCs w:val="24"/>
        </w:rPr>
        <w:t xml:space="preserve">Aubrey, K., &amp; Riley, A. (2019). </w:t>
      </w:r>
      <w:r w:rsidRPr="00B543A3">
        <w:rPr>
          <w:rFonts w:ascii="Times New Roman" w:hAnsi="Times New Roman" w:cs="Times New Roman"/>
          <w:i/>
          <w:iCs/>
          <w:sz w:val="24"/>
          <w:szCs w:val="24"/>
        </w:rPr>
        <w:t>Understanding and using educational theories</w:t>
      </w:r>
      <w:r w:rsidRPr="00B543A3">
        <w:rPr>
          <w:rFonts w:ascii="Times New Roman" w:hAnsi="Times New Roman" w:cs="Times New Roman"/>
          <w:sz w:val="24"/>
          <w:szCs w:val="24"/>
        </w:rPr>
        <w:t xml:space="preserve"> (2nd ed.).</w:t>
      </w:r>
    </w:p>
    <w:p w14:paraId="4D135EC6" w14:textId="77777777" w:rsidR="007C453D" w:rsidRDefault="007C453D" w:rsidP="008047F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3542B4" w14:textId="7FA08B77" w:rsidR="008047F7" w:rsidRPr="008047F7" w:rsidRDefault="008047F7" w:rsidP="008047F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8047F7">
        <w:rPr>
          <w:rFonts w:ascii="Times New Roman" w:hAnsi="Times New Roman" w:cs="Times New Roman"/>
          <w:sz w:val="24"/>
          <w:szCs w:val="24"/>
        </w:rPr>
        <w:t xml:space="preserve">Bandura, A. (1977) </w:t>
      </w:r>
      <w:r w:rsidRPr="008047F7">
        <w:rPr>
          <w:rFonts w:ascii="Times New Roman" w:hAnsi="Times New Roman" w:cs="Times New Roman"/>
          <w:i/>
          <w:iCs/>
          <w:sz w:val="24"/>
          <w:szCs w:val="24"/>
        </w:rPr>
        <w:t xml:space="preserve">Social Learning Theory. </w:t>
      </w:r>
      <w:r w:rsidRPr="008047F7">
        <w:rPr>
          <w:rFonts w:ascii="Times New Roman" w:hAnsi="Times New Roman" w:cs="Times New Roman"/>
          <w:sz w:val="24"/>
          <w:szCs w:val="24"/>
        </w:rPr>
        <w:t>New Jersey: Prentice Hall.</w:t>
      </w:r>
    </w:p>
    <w:p w14:paraId="40A685D5" w14:textId="77777777" w:rsid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735CA0" w14:textId="27B52B49" w:rsidR="008047F7" w:rsidRDefault="008047F7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047F7">
        <w:rPr>
          <w:rFonts w:ascii="Times New Roman" w:hAnsi="Times New Roman" w:cs="Times New Roman"/>
          <w:sz w:val="24"/>
          <w:szCs w:val="24"/>
        </w:rPr>
        <w:t xml:space="preserve">Bronfenbrenner, U. (1979) </w:t>
      </w:r>
      <w:r w:rsidRPr="008047F7">
        <w:rPr>
          <w:rFonts w:ascii="Times New Roman" w:hAnsi="Times New Roman" w:cs="Times New Roman"/>
          <w:i/>
          <w:iCs/>
          <w:sz w:val="24"/>
          <w:szCs w:val="24"/>
        </w:rPr>
        <w:t>The Ecology of Human Development.</w:t>
      </w:r>
      <w:r w:rsidRPr="008047F7">
        <w:rPr>
          <w:rFonts w:ascii="Times New Roman" w:hAnsi="Times New Roman" w:cs="Times New Roman"/>
          <w:sz w:val="24"/>
          <w:szCs w:val="24"/>
        </w:rPr>
        <w:t xml:space="preserve">  Cambridge: Harvard University Press.</w:t>
      </w:r>
    </w:p>
    <w:p w14:paraId="6C4A5C18" w14:textId="77777777" w:rsidR="008047F7" w:rsidRDefault="008047F7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F35B15" w14:textId="624F8377" w:rsid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B14AF">
        <w:rPr>
          <w:rFonts w:ascii="Times New Roman" w:hAnsi="Times New Roman" w:cs="Times New Roman"/>
          <w:sz w:val="24"/>
          <w:szCs w:val="24"/>
        </w:rPr>
        <w:t xml:space="preserve">Diaz, R. (1985). </w:t>
      </w:r>
      <w:r w:rsidRPr="004B14AF">
        <w:rPr>
          <w:rFonts w:ascii="Times New Roman" w:hAnsi="Times New Roman" w:cs="Times New Roman"/>
          <w:i/>
          <w:iCs/>
          <w:sz w:val="24"/>
          <w:szCs w:val="24"/>
        </w:rPr>
        <w:t>The intellectual power of bilingualism. In Southwest Hispanic Research Institute, Second language learning by young children</w:t>
      </w:r>
      <w:r w:rsidRPr="004B14AF">
        <w:rPr>
          <w:rFonts w:ascii="Times New Roman" w:hAnsi="Times New Roman" w:cs="Times New Roman"/>
          <w:sz w:val="24"/>
          <w:szCs w:val="24"/>
        </w:rPr>
        <w:t xml:space="preserve">. Albuquerque, NM: University of New Mexico. </w:t>
      </w:r>
    </w:p>
    <w:p w14:paraId="59D846F9" w14:textId="77777777" w:rsid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4D4263" w14:textId="2B67716D" w:rsid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B14AF">
        <w:rPr>
          <w:rFonts w:ascii="Times New Roman" w:hAnsi="Times New Roman" w:cs="Times New Roman"/>
          <w:sz w:val="24"/>
          <w:szCs w:val="24"/>
        </w:rPr>
        <w:t>Keysar</w:t>
      </w:r>
      <w:proofErr w:type="spellEnd"/>
      <w:r w:rsidRPr="004B14AF">
        <w:rPr>
          <w:rFonts w:ascii="Times New Roman" w:hAnsi="Times New Roman" w:cs="Times New Roman"/>
          <w:sz w:val="24"/>
          <w:szCs w:val="24"/>
        </w:rPr>
        <w:t xml:space="preserve">, B., Hayakawa, S. L., &amp; An, S. (2011). </w:t>
      </w:r>
      <w:r w:rsidRPr="004B14AF">
        <w:rPr>
          <w:rFonts w:ascii="Times New Roman" w:hAnsi="Times New Roman" w:cs="Times New Roman"/>
          <w:i/>
          <w:iCs/>
          <w:sz w:val="24"/>
          <w:szCs w:val="24"/>
        </w:rPr>
        <w:t>The foreign-language effect: Thinking in a foreign tongue reduces decision biases</w:t>
      </w:r>
      <w:r w:rsidRPr="004B14AF">
        <w:rPr>
          <w:rFonts w:ascii="Times New Roman" w:hAnsi="Times New Roman" w:cs="Times New Roman"/>
          <w:sz w:val="24"/>
          <w:szCs w:val="24"/>
        </w:rPr>
        <w:t>. Psychological Science, 23, 661–668. doi:10.1177/0956797611432178</w:t>
      </w:r>
    </w:p>
    <w:p w14:paraId="3A772BE1" w14:textId="77777777" w:rsidR="004B14AF" w:rsidRP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FA021B" w14:textId="0D8B49CD" w:rsid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B14AF">
        <w:rPr>
          <w:rFonts w:ascii="Times New Roman" w:hAnsi="Times New Roman" w:cs="Times New Roman"/>
          <w:sz w:val="24"/>
          <w:szCs w:val="24"/>
        </w:rPr>
        <w:t>Kovács</w:t>
      </w:r>
      <w:proofErr w:type="spellEnd"/>
      <w:r w:rsidRPr="004B14AF">
        <w:rPr>
          <w:rFonts w:ascii="Times New Roman" w:hAnsi="Times New Roman" w:cs="Times New Roman"/>
          <w:sz w:val="24"/>
          <w:szCs w:val="24"/>
        </w:rPr>
        <w:t xml:space="preserve">, A. M., &amp; </w:t>
      </w:r>
      <w:proofErr w:type="spellStart"/>
      <w:r w:rsidRPr="004B14AF">
        <w:rPr>
          <w:rFonts w:ascii="Times New Roman" w:hAnsi="Times New Roman" w:cs="Times New Roman"/>
          <w:sz w:val="24"/>
          <w:szCs w:val="24"/>
        </w:rPr>
        <w:t>Mehler</w:t>
      </w:r>
      <w:proofErr w:type="spellEnd"/>
      <w:r w:rsidRPr="004B14AF">
        <w:rPr>
          <w:rFonts w:ascii="Times New Roman" w:hAnsi="Times New Roman" w:cs="Times New Roman"/>
          <w:sz w:val="24"/>
          <w:szCs w:val="24"/>
        </w:rPr>
        <w:t xml:space="preserve">, J. (2009). </w:t>
      </w:r>
      <w:r w:rsidRPr="004B14AF">
        <w:rPr>
          <w:rFonts w:ascii="Times New Roman" w:hAnsi="Times New Roman" w:cs="Times New Roman"/>
          <w:i/>
          <w:iCs/>
          <w:sz w:val="24"/>
          <w:szCs w:val="24"/>
        </w:rPr>
        <w:t>Cognitive gains in 7-month-old bilingual infants. Proceedings of the National Academy of Sciences</w:t>
      </w:r>
      <w:r w:rsidRPr="004B14AF">
        <w:rPr>
          <w:rFonts w:ascii="Times New Roman" w:hAnsi="Times New Roman" w:cs="Times New Roman"/>
          <w:sz w:val="24"/>
          <w:szCs w:val="24"/>
        </w:rPr>
        <w:t xml:space="preserve">, 106(16), 6556–6560. </w:t>
      </w:r>
    </w:p>
    <w:p w14:paraId="339B0841" w14:textId="5D9863BA" w:rsidR="008047F7" w:rsidRDefault="008047F7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36C6AA" w14:textId="785CBB5F" w:rsidR="008047F7" w:rsidRDefault="008047F7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047F7">
        <w:rPr>
          <w:rFonts w:ascii="Times New Roman" w:hAnsi="Times New Roman" w:cs="Times New Roman"/>
          <w:sz w:val="24"/>
          <w:szCs w:val="24"/>
        </w:rPr>
        <w:t xml:space="preserve">Maslow, A. (1943). ‘A theory of Human motivation. </w:t>
      </w:r>
      <w:r w:rsidRPr="008047F7">
        <w:rPr>
          <w:rFonts w:ascii="Times New Roman" w:hAnsi="Times New Roman" w:cs="Times New Roman"/>
          <w:i/>
          <w:iCs/>
          <w:sz w:val="24"/>
          <w:szCs w:val="24"/>
        </w:rPr>
        <w:t xml:space="preserve">Psychological Review, </w:t>
      </w:r>
      <w:r w:rsidRPr="008047F7">
        <w:rPr>
          <w:rFonts w:ascii="Times New Roman" w:hAnsi="Times New Roman" w:cs="Times New Roman"/>
          <w:sz w:val="24"/>
          <w:szCs w:val="24"/>
        </w:rPr>
        <w:t>Volume 50, (4) pp. 370-96.</w:t>
      </w:r>
    </w:p>
    <w:p w14:paraId="3A6772C0" w14:textId="77777777" w:rsidR="004B14AF" w:rsidRP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2F989B" w14:textId="2ED0C281" w:rsid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B14AF">
        <w:rPr>
          <w:rFonts w:ascii="Times New Roman" w:hAnsi="Times New Roman" w:cs="Times New Roman"/>
          <w:sz w:val="24"/>
          <w:szCs w:val="24"/>
        </w:rPr>
        <w:t>Páez</w:t>
      </w:r>
      <w:proofErr w:type="spellEnd"/>
      <w:r w:rsidRPr="004B14AF">
        <w:rPr>
          <w:rFonts w:ascii="Times New Roman" w:hAnsi="Times New Roman" w:cs="Times New Roman"/>
          <w:sz w:val="24"/>
          <w:szCs w:val="24"/>
        </w:rPr>
        <w:t xml:space="preserve">, M. &amp; Rinaldi, C. (2006). </w:t>
      </w:r>
      <w:r w:rsidRPr="004B14AF">
        <w:rPr>
          <w:rFonts w:ascii="Times New Roman" w:hAnsi="Times New Roman" w:cs="Times New Roman"/>
          <w:i/>
          <w:iCs/>
          <w:sz w:val="24"/>
          <w:szCs w:val="24"/>
        </w:rPr>
        <w:t>Predicting English word reading skills for Spanish-speaking students in first grade. Topics in Language Disorders</w:t>
      </w:r>
      <w:r w:rsidRPr="004B14AF">
        <w:rPr>
          <w:rFonts w:ascii="Times New Roman" w:hAnsi="Times New Roman" w:cs="Times New Roman"/>
          <w:sz w:val="24"/>
          <w:szCs w:val="24"/>
        </w:rPr>
        <w:t xml:space="preserve">, 26(4), 338–350. </w:t>
      </w:r>
    </w:p>
    <w:p w14:paraId="19C2AB2D" w14:textId="77777777" w:rsidR="00972817" w:rsidRDefault="00972817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681297" w14:textId="131BA7EE" w:rsidR="004B14AF" w:rsidRDefault="00972817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72817">
        <w:rPr>
          <w:rFonts w:ascii="Times New Roman" w:hAnsi="Times New Roman" w:cs="Times New Roman"/>
          <w:sz w:val="24"/>
          <w:szCs w:val="24"/>
        </w:rPr>
        <w:lastRenderedPageBreak/>
        <w:t xml:space="preserve">Paradis, J., &amp; </w:t>
      </w:r>
      <w:proofErr w:type="spellStart"/>
      <w:r w:rsidRPr="00972817">
        <w:rPr>
          <w:rFonts w:ascii="Times New Roman" w:hAnsi="Times New Roman" w:cs="Times New Roman"/>
          <w:sz w:val="24"/>
          <w:szCs w:val="24"/>
        </w:rPr>
        <w:t>Crago</w:t>
      </w:r>
      <w:proofErr w:type="spellEnd"/>
      <w:r w:rsidRPr="00972817">
        <w:rPr>
          <w:rFonts w:ascii="Times New Roman" w:hAnsi="Times New Roman" w:cs="Times New Roman"/>
          <w:sz w:val="24"/>
          <w:szCs w:val="24"/>
        </w:rPr>
        <w:t xml:space="preserve">, M. (2000). </w:t>
      </w:r>
      <w:r w:rsidRPr="00972817">
        <w:rPr>
          <w:rFonts w:ascii="Times New Roman" w:hAnsi="Times New Roman" w:cs="Times New Roman"/>
          <w:i/>
          <w:iCs/>
          <w:sz w:val="24"/>
          <w:szCs w:val="24"/>
        </w:rPr>
        <w:t>Tense and temporality: a comparison between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972817">
        <w:rPr>
          <w:rFonts w:ascii="Times New Roman" w:hAnsi="Times New Roman" w:cs="Times New Roman"/>
          <w:i/>
          <w:iCs/>
          <w:sz w:val="24"/>
          <w:szCs w:val="24"/>
        </w:rPr>
        <w:t>children learning a second language and children With SLI</w:t>
      </w:r>
      <w:r w:rsidRPr="00972817">
        <w:rPr>
          <w:rFonts w:ascii="Times New Roman" w:hAnsi="Times New Roman" w:cs="Times New Roman"/>
          <w:sz w:val="24"/>
          <w:szCs w:val="24"/>
        </w:rPr>
        <w:t>. Journal of Speech,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72817">
        <w:rPr>
          <w:rFonts w:ascii="Times New Roman" w:hAnsi="Times New Roman" w:cs="Times New Roman"/>
          <w:sz w:val="24"/>
          <w:szCs w:val="24"/>
        </w:rPr>
        <w:t xml:space="preserve">Language, and Hearing Research, 43(4), 834–847. </w:t>
      </w:r>
    </w:p>
    <w:p w14:paraId="27061141" w14:textId="77777777" w:rsidR="00972817" w:rsidRPr="004B14AF" w:rsidRDefault="00972817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FE4122" w14:textId="4B9E18DA" w:rsid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B14AF">
        <w:rPr>
          <w:rFonts w:ascii="Times New Roman" w:hAnsi="Times New Roman" w:cs="Times New Roman"/>
          <w:sz w:val="24"/>
          <w:szCs w:val="24"/>
        </w:rPr>
        <w:t xml:space="preserve">Planned Language Approach. </w:t>
      </w:r>
      <w:r w:rsidRPr="004B14AF">
        <w:rPr>
          <w:rFonts w:ascii="Times New Roman" w:hAnsi="Times New Roman" w:cs="Times New Roman"/>
          <w:i/>
          <w:iCs/>
          <w:sz w:val="24"/>
          <w:szCs w:val="24"/>
        </w:rPr>
        <w:t>The benefits of being bilingual.</w:t>
      </w:r>
      <w:r w:rsidRPr="004B14AF">
        <w:rPr>
          <w:rFonts w:ascii="Times New Roman" w:hAnsi="Times New Roman" w:cs="Times New Roman"/>
          <w:sz w:val="24"/>
          <w:szCs w:val="24"/>
        </w:rPr>
        <w:t xml:space="preserve"> Available at:  https://eclkc.ohs.acf.hhs.gov/sites/default/files/pdf/benefits-of-being-bilingual.pdf (Accessed on: 01/04/2020)</w:t>
      </w:r>
    </w:p>
    <w:p w14:paraId="0B2C2F8D" w14:textId="77777777" w:rsidR="004B14AF" w:rsidRP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15927D" w14:textId="5FDC55E7" w:rsidR="004B14AF" w:rsidRP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B14AF">
        <w:rPr>
          <w:rFonts w:ascii="Times New Roman" w:hAnsi="Times New Roman" w:cs="Times New Roman"/>
          <w:sz w:val="24"/>
          <w:szCs w:val="24"/>
        </w:rPr>
        <w:t xml:space="preserve">Welsh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4B14AF">
        <w:rPr>
          <w:rFonts w:ascii="Times New Roman" w:hAnsi="Times New Roman" w:cs="Times New Roman"/>
          <w:sz w:val="24"/>
          <w:szCs w:val="24"/>
        </w:rPr>
        <w:t xml:space="preserve">ssembly 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4B14AF">
        <w:rPr>
          <w:rFonts w:ascii="Times New Roman" w:hAnsi="Times New Roman" w:cs="Times New Roman"/>
          <w:sz w:val="24"/>
          <w:szCs w:val="24"/>
        </w:rPr>
        <w:t xml:space="preserve">overnment (2020) </w:t>
      </w:r>
      <w:r w:rsidRPr="004B14AF">
        <w:rPr>
          <w:rFonts w:ascii="Times New Roman" w:hAnsi="Times New Roman" w:cs="Times New Roman"/>
          <w:i/>
          <w:iCs/>
          <w:sz w:val="24"/>
          <w:szCs w:val="24"/>
        </w:rPr>
        <w:t>AREA OF LEARNING AND EXPERIENCE Languages, Literacy and Communication.</w:t>
      </w:r>
      <w:r w:rsidRPr="004B14AF">
        <w:rPr>
          <w:rFonts w:ascii="Times New Roman" w:hAnsi="Times New Roman" w:cs="Times New Roman"/>
          <w:sz w:val="24"/>
          <w:szCs w:val="24"/>
        </w:rPr>
        <w:t xml:space="preserve"> Available at: https://hwb.gov.wales/curriculum-for-wales/languages-literacy-and-communication/ (Accessed on: 01/04/2020)</w:t>
      </w:r>
    </w:p>
    <w:p w14:paraId="5AA196C8" w14:textId="77777777" w:rsidR="004B14AF" w:rsidRP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225A8A" w14:textId="083E01F3" w:rsid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B14AF">
        <w:rPr>
          <w:rFonts w:ascii="Times New Roman" w:hAnsi="Times New Roman" w:cs="Times New Roman"/>
          <w:sz w:val="24"/>
          <w:szCs w:val="24"/>
        </w:rPr>
        <w:t xml:space="preserve">Welsh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4B14AF">
        <w:rPr>
          <w:rFonts w:ascii="Times New Roman" w:hAnsi="Times New Roman" w:cs="Times New Roman"/>
          <w:sz w:val="24"/>
          <w:szCs w:val="24"/>
        </w:rPr>
        <w:t xml:space="preserve">ssembly 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4B14AF">
        <w:rPr>
          <w:rFonts w:ascii="Times New Roman" w:hAnsi="Times New Roman" w:cs="Times New Roman"/>
          <w:sz w:val="24"/>
          <w:szCs w:val="24"/>
        </w:rPr>
        <w:t xml:space="preserve">overnment(2015) </w:t>
      </w:r>
      <w:r w:rsidRPr="004B14AF">
        <w:rPr>
          <w:rFonts w:ascii="Times New Roman" w:hAnsi="Times New Roman" w:cs="Times New Roman"/>
          <w:i/>
          <w:iCs/>
          <w:sz w:val="24"/>
          <w:szCs w:val="24"/>
        </w:rPr>
        <w:t>Foundation phase handbook</w:t>
      </w:r>
      <w:r w:rsidRPr="004B14AF">
        <w:rPr>
          <w:rFonts w:ascii="Times New Roman" w:hAnsi="Times New Roman" w:cs="Times New Roman"/>
          <w:sz w:val="24"/>
          <w:szCs w:val="24"/>
        </w:rPr>
        <w:t xml:space="preserve"> Available at:  https://hwb.gov.wales/storage/d5d8e39c-b534-40cb-a3f5-7e2e126d8077/foundation-phase-framework.pdf (Assessed on: 01/04/2020)</w:t>
      </w:r>
    </w:p>
    <w:p w14:paraId="71D4A99E" w14:textId="77777777" w:rsidR="004B14AF" w:rsidRP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F8187B" w14:textId="0DDB4E5B" w:rsid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B14AF">
        <w:rPr>
          <w:rFonts w:ascii="Times New Roman" w:hAnsi="Times New Roman" w:cs="Times New Roman"/>
          <w:sz w:val="24"/>
          <w:szCs w:val="24"/>
        </w:rPr>
        <w:t xml:space="preserve">Welsh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4B14AF">
        <w:rPr>
          <w:rFonts w:ascii="Times New Roman" w:hAnsi="Times New Roman" w:cs="Times New Roman"/>
          <w:sz w:val="24"/>
          <w:szCs w:val="24"/>
        </w:rPr>
        <w:t xml:space="preserve">ssembly 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4B14AF">
        <w:rPr>
          <w:rFonts w:ascii="Times New Roman" w:hAnsi="Times New Roman" w:cs="Times New Roman"/>
          <w:sz w:val="24"/>
          <w:szCs w:val="24"/>
        </w:rPr>
        <w:t xml:space="preserve">overnment(2017) </w:t>
      </w:r>
      <w:r w:rsidRPr="004B14AF">
        <w:rPr>
          <w:rFonts w:ascii="Times New Roman" w:hAnsi="Times New Roman" w:cs="Times New Roman"/>
          <w:i/>
          <w:iCs/>
          <w:sz w:val="24"/>
          <w:szCs w:val="24"/>
        </w:rPr>
        <w:t>Foundation phase profile handbook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4B14AF">
        <w:rPr>
          <w:rFonts w:ascii="Times New Roman" w:hAnsi="Times New Roman" w:cs="Times New Roman"/>
          <w:sz w:val="24"/>
          <w:szCs w:val="24"/>
        </w:rPr>
        <w:t xml:space="preserve"> Available at: https://hwb.gov.wales/storage/f9d85dba-85a4-4e87-bb58-a24730ad7e57/foundation-phase-profile-handbook-revised-september-2017.pdf (Accessed on: 18/03/2020).</w:t>
      </w:r>
    </w:p>
    <w:p w14:paraId="0F5A072E" w14:textId="77777777" w:rsidR="004B14AF" w:rsidRP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07C4D4" w14:textId="74AC8D2E" w:rsidR="005C729E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B14AF">
        <w:rPr>
          <w:rFonts w:ascii="Times New Roman" w:hAnsi="Times New Roman" w:cs="Times New Roman"/>
          <w:sz w:val="24"/>
          <w:szCs w:val="24"/>
        </w:rPr>
        <w:t>Zelasko</w:t>
      </w:r>
      <w:proofErr w:type="spellEnd"/>
      <w:r w:rsidRPr="004B14AF">
        <w:rPr>
          <w:rFonts w:ascii="Times New Roman" w:hAnsi="Times New Roman" w:cs="Times New Roman"/>
          <w:sz w:val="24"/>
          <w:szCs w:val="24"/>
        </w:rPr>
        <w:t xml:space="preserve">, N., &amp; </w:t>
      </w:r>
      <w:proofErr w:type="spellStart"/>
      <w:r w:rsidRPr="004B14AF">
        <w:rPr>
          <w:rFonts w:ascii="Times New Roman" w:hAnsi="Times New Roman" w:cs="Times New Roman"/>
          <w:sz w:val="24"/>
          <w:szCs w:val="24"/>
        </w:rPr>
        <w:t>Antunez</w:t>
      </w:r>
      <w:proofErr w:type="spellEnd"/>
      <w:r w:rsidRPr="004B14AF">
        <w:rPr>
          <w:rFonts w:ascii="Times New Roman" w:hAnsi="Times New Roman" w:cs="Times New Roman"/>
          <w:sz w:val="24"/>
          <w:szCs w:val="24"/>
        </w:rPr>
        <w:t xml:space="preserve">, B. (2000). </w:t>
      </w:r>
      <w:r w:rsidRPr="004B14AF">
        <w:rPr>
          <w:rFonts w:ascii="Times New Roman" w:hAnsi="Times New Roman" w:cs="Times New Roman"/>
          <w:i/>
          <w:iCs/>
          <w:sz w:val="24"/>
          <w:szCs w:val="24"/>
        </w:rPr>
        <w:t>If your child learns in two languages. National Clearinghouse for Bilingual Education</w:t>
      </w:r>
      <w:r w:rsidRPr="004B14AF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Available at:</w:t>
      </w:r>
      <w:r w:rsidRPr="004B14AF">
        <w:rPr>
          <w:rFonts w:ascii="Times New Roman" w:hAnsi="Times New Roman" w:cs="Times New Roman"/>
          <w:sz w:val="24"/>
          <w:szCs w:val="24"/>
        </w:rPr>
        <w:t xml:space="preserve"> http://www.ncela.gwu. </w:t>
      </w:r>
      <w:proofErr w:type="spellStart"/>
      <w:r w:rsidRPr="004B14AF">
        <w:rPr>
          <w:rFonts w:ascii="Times New Roman" w:hAnsi="Times New Roman" w:cs="Times New Roman"/>
          <w:sz w:val="24"/>
          <w:szCs w:val="24"/>
        </w:rPr>
        <w:t>edu</w:t>
      </w:r>
      <w:proofErr w:type="spellEnd"/>
      <w:r w:rsidRPr="004B14AF">
        <w:rPr>
          <w:rFonts w:ascii="Times New Roman" w:hAnsi="Times New Roman" w:cs="Times New Roman"/>
          <w:sz w:val="24"/>
          <w:szCs w:val="24"/>
        </w:rPr>
        <w:t>/files/uploads/9/</w:t>
      </w:r>
      <w:proofErr w:type="spellStart"/>
      <w:r w:rsidRPr="004B14AF">
        <w:rPr>
          <w:rFonts w:ascii="Times New Roman" w:hAnsi="Times New Roman" w:cs="Times New Roman"/>
          <w:sz w:val="24"/>
          <w:szCs w:val="24"/>
        </w:rPr>
        <w:t>IfYourChild</w:t>
      </w:r>
      <w:proofErr w:type="spellEnd"/>
      <w:r w:rsidRPr="004B14AF">
        <w:rPr>
          <w:rFonts w:ascii="Times New Roman" w:hAnsi="Times New Roman" w:cs="Times New Roman"/>
          <w:sz w:val="24"/>
          <w:szCs w:val="24"/>
        </w:rPr>
        <w:t xml:space="preserve"> LearnsInTwoLangs_English.pdf</w:t>
      </w:r>
      <w:r>
        <w:rPr>
          <w:rFonts w:ascii="Times New Roman" w:hAnsi="Times New Roman" w:cs="Times New Roman"/>
          <w:sz w:val="24"/>
          <w:szCs w:val="24"/>
        </w:rPr>
        <w:t xml:space="preserve"> (Accessed on: 18/03/2020)</w:t>
      </w:r>
    </w:p>
    <w:p w14:paraId="1AB119B8" w14:textId="77777777" w:rsidR="004B14AF" w:rsidRPr="004B14AF" w:rsidRDefault="004B14AF" w:rsidP="004B14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4B14AF" w:rsidRPr="004B14AF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FEA9EE" w14:textId="77777777" w:rsidR="00C36EAD" w:rsidRDefault="00C36EAD" w:rsidP="004B14AF">
      <w:pPr>
        <w:spacing w:after="0" w:line="240" w:lineRule="auto"/>
      </w:pPr>
      <w:r>
        <w:separator/>
      </w:r>
    </w:p>
  </w:endnote>
  <w:endnote w:type="continuationSeparator" w:id="0">
    <w:p w14:paraId="71E46951" w14:textId="77777777" w:rsidR="00C36EAD" w:rsidRDefault="00C36EAD" w:rsidP="004B14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599994" w14:textId="77777777" w:rsidR="00C36EAD" w:rsidRDefault="00C36EAD" w:rsidP="004B14AF">
      <w:pPr>
        <w:spacing w:after="0" w:line="240" w:lineRule="auto"/>
      </w:pPr>
      <w:r>
        <w:separator/>
      </w:r>
    </w:p>
  </w:footnote>
  <w:footnote w:type="continuationSeparator" w:id="0">
    <w:p w14:paraId="009D3354" w14:textId="77777777" w:rsidR="00C36EAD" w:rsidRDefault="00C36EAD" w:rsidP="004B14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870915" w14:textId="73E2D3DA" w:rsidR="004B14AF" w:rsidRDefault="004B14AF">
    <w:pPr>
      <w:pStyle w:val="Header"/>
    </w:pPr>
    <w:r>
      <w:t>1909868</w:t>
    </w:r>
    <w:r>
      <w:ptab w:relativeTo="margin" w:alignment="center" w:leader="none"/>
    </w:r>
    <w:r>
      <w:t>EAEE4006/C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4B14AF"/>
    <w:rsid w:val="002171C7"/>
    <w:rsid w:val="004B14AF"/>
    <w:rsid w:val="005C729E"/>
    <w:rsid w:val="007C453D"/>
    <w:rsid w:val="008047F7"/>
    <w:rsid w:val="00972817"/>
    <w:rsid w:val="00C36E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2620F6"/>
  <w15:chartTrackingRefBased/>
  <w15:docId w15:val="{BE29B7BB-BC59-40F2-9E8D-B8AA99DF84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14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14AF"/>
  </w:style>
  <w:style w:type="paragraph" w:styleId="Footer">
    <w:name w:val="footer"/>
    <w:basedOn w:val="Normal"/>
    <w:link w:val="FooterChar"/>
    <w:uiPriority w:val="99"/>
    <w:unhideWhenUsed/>
    <w:rsid w:val="004B14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14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777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52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56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2</Pages>
  <Words>355</Words>
  <Characters>2026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Jewell (1909868)</dc:creator>
  <cp:keywords/>
  <dc:description/>
  <cp:lastModifiedBy>Aimee Jewell (1909868)</cp:lastModifiedBy>
  <cp:revision>2</cp:revision>
  <dcterms:created xsi:type="dcterms:W3CDTF">2020-04-06T20:56:00Z</dcterms:created>
  <dcterms:modified xsi:type="dcterms:W3CDTF">2020-04-07T10:58:00Z</dcterms:modified>
</cp:coreProperties>
</file>