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03753" w14:textId="77777777" w:rsidR="009F6F06" w:rsidRPr="00326600" w:rsidRDefault="007A1FA0" w:rsidP="00322BAB">
      <w:pPr>
        <w:spacing w:line="360" w:lineRule="auto"/>
        <w:jc w:val="center"/>
        <w:rPr>
          <w:rFonts w:ascii="Arial" w:hAnsi="Arial" w:cs="Arial"/>
          <w:b/>
          <w:bCs/>
          <w:sz w:val="40"/>
          <w:szCs w:val="40"/>
        </w:rPr>
      </w:pPr>
      <w:r w:rsidRPr="00326600">
        <w:rPr>
          <w:rFonts w:ascii="Arial" w:hAnsi="Arial" w:cs="Arial"/>
          <w:b/>
          <w:bCs/>
          <w:sz w:val="40"/>
          <w:szCs w:val="40"/>
        </w:rPr>
        <w:t>Programme:</w:t>
      </w:r>
    </w:p>
    <w:p w14:paraId="3543FF8E" w14:textId="4AC8584C" w:rsidR="007A1FA0" w:rsidRPr="00326600" w:rsidRDefault="007A1FA0" w:rsidP="00322BAB">
      <w:pPr>
        <w:spacing w:line="360" w:lineRule="auto"/>
        <w:jc w:val="center"/>
        <w:rPr>
          <w:rFonts w:ascii="Arial" w:hAnsi="Arial" w:cs="Arial"/>
          <w:sz w:val="40"/>
          <w:szCs w:val="40"/>
        </w:rPr>
      </w:pPr>
      <w:r w:rsidRPr="00326600">
        <w:rPr>
          <w:rFonts w:ascii="Arial" w:hAnsi="Arial" w:cs="Arial"/>
          <w:sz w:val="40"/>
          <w:szCs w:val="40"/>
        </w:rPr>
        <w:t>Certificate of Higher Education Skills for the Workplace (Health and Social Care)</w:t>
      </w:r>
    </w:p>
    <w:p w14:paraId="5D0F0810" w14:textId="0A41CD40" w:rsidR="007A1FA0" w:rsidRPr="00326600" w:rsidRDefault="007A1FA0" w:rsidP="00322BAB">
      <w:pPr>
        <w:spacing w:line="360" w:lineRule="auto"/>
        <w:jc w:val="center"/>
        <w:rPr>
          <w:rFonts w:ascii="Arial" w:hAnsi="Arial" w:cs="Arial"/>
          <w:b/>
          <w:bCs/>
          <w:sz w:val="40"/>
          <w:szCs w:val="40"/>
        </w:rPr>
      </w:pPr>
      <w:r w:rsidRPr="00326600">
        <w:rPr>
          <w:rFonts w:ascii="Arial" w:hAnsi="Arial" w:cs="Arial"/>
          <w:b/>
          <w:bCs/>
          <w:sz w:val="40"/>
          <w:szCs w:val="40"/>
        </w:rPr>
        <w:t>Module:</w:t>
      </w:r>
    </w:p>
    <w:p w14:paraId="19CCAC53" w14:textId="251D5691" w:rsidR="00BB1495" w:rsidRPr="00326600" w:rsidRDefault="00BB1495" w:rsidP="00322BAB">
      <w:pPr>
        <w:spacing w:line="360" w:lineRule="auto"/>
        <w:jc w:val="center"/>
        <w:rPr>
          <w:rFonts w:ascii="Arial" w:hAnsi="Arial" w:cs="Arial"/>
          <w:sz w:val="40"/>
          <w:szCs w:val="40"/>
        </w:rPr>
      </w:pPr>
      <w:r w:rsidRPr="00326600">
        <w:rPr>
          <w:rFonts w:ascii="Arial" w:hAnsi="Arial" w:cs="Arial"/>
          <w:sz w:val="40"/>
          <w:szCs w:val="40"/>
        </w:rPr>
        <w:t>Psychology in Health &amp; Social Care – LCHS4010</w:t>
      </w:r>
    </w:p>
    <w:p w14:paraId="62383AFD" w14:textId="77777777" w:rsidR="007A1FA0" w:rsidRPr="00326600" w:rsidRDefault="007A1FA0" w:rsidP="00322BAB">
      <w:pPr>
        <w:spacing w:line="360" w:lineRule="auto"/>
        <w:jc w:val="center"/>
        <w:rPr>
          <w:rFonts w:ascii="Arial" w:hAnsi="Arial" w:cs="Arial"/>
          <w:b/>
          <w:bCs/>
          <w:sz w:val="40"/>
          <w:szCs w:val="40"/>
        </w:rPr>
      </w:pPr>
      <w:r w:rsidRPr="00326600">
        <w:rPr>
          <w:rFonts w:ascii="Arial" w:hAnsi="Arial" w:cs="Arial"/>
          <w:b/>
          <w:bCs/>
          <w:sz w:val="40"/>
          <w:szCs w:val="40"/>
        </w:rPr>
        <w:t>Assignment Title:</w:t>
      </w:r>
    </w:p>
    <w:p w14:paraId="6B6866B7" w14:textId="3C0C0411" w:rsidR="007A1FA0" w:rsidRPr="00326600" w:rsidRDefault="007E0300" w:rsidP="00322BAB">
      <w:pPr>
        <w:spacing w:line="360" w:lineRule="auto"/>
        <w:jc w:val="center"/>
        <w:rPr>
          <w:rFonts w:ascii="Arial" w:hAnsi="Arial" w:cs="Arial"/>
          <w:sz w:val="40"/>
          <w:szCs w:val="40"/>
        </w:rPr>
      </w:pPr>
      <w:r w:rsidRPr="00326600">
        <w:rPr>
          <w:rFonts w:ascii="Arial" w:hAnsi="Arial" w:cs="Arial"/>
          <w:sz w:val="40"/>
          <w:szCs w:val="40"/>
        </w:rPr>
        <w:t>Bibliography &amp; report</w:t>
      </w:r>
    </w:p>
    <w:p w14:paraId="0DCC2F4B" w14:textId="564647FC" w:rsidR="007A1FA0" w:rsidRPr="00326600" w:rsidRDefault="007A1FA0" w:rsidP="00322BAB">
      <w:pPr>
        <w:spacing w:line="360" w:lineRule="auto"/>
        <w:jc w:val="center"/>
        <w:rPr>
          <w:rFonts w:ascii="Arial" w:hAnsi="Arial" w:cs="Arial"/>
          <w:b/>
          <w:bCs/>
          <w:sz w:val="40"/>
          <w:szCs w:val="40"/>
        </w:rPr>
      </w:pPr>
      <w:r w:rsidRPr="00326600">
        <w:rPr>
          <w:rFonts w:ascii="Arial" w:hAnsi="Arial" w:cs="Arial"/>
          <w:b/>
          <w:bCs/>
          <w:sz w:val="40"/>
          <w:szCs w:val="40"/>
        </w:rPr>
        <w:t>Student Name:</w:t>
      </w:r>
    </w:p>
    <w:p w14:paraId="739D1E37" w14:textId="77777777" w:rsidR="007A1FA0" w:rsidRPr="00326600" w:rsidRDefault="007A1FA0" w:rsidP="00322BAB">
      <w:pPr>
        <w:spacing w:line="360" w:lineRule="auto"/>
        <w:jc w:val="center"/>
        <w:rPr>
          <w:rFonts w:ascii="Arial" w:hAnsi="Arial" w:cs="Arial"/>
          <w:sz w:val="40"/>
          <w:szCs w:val="40"/>
        </w:rPr>
      </w:pPr>
      <w:r w:rsidRPr="00326600">
        <w:rPr>
          <w:rFonts w:ascii="Arial" w:hAnsi="Arial" w:cs="Arial"/>
          <w:sz w:val="40"/>
          <w:szCs w:val="40"/>
        </w:rPr>
        <w:t>Sabrina Cardoso</w:t>
      </w:r>
    </w:p>
    <w:p w14:paraId="317F3BAC" w14:textId="61445FB1" w:rsidR="007A1FA0" w:rsidRPr="00326600" w:rsidRDefault="007A1FA0" w:rsidP="00322BAB">
      <w:pPr>
        <w:spacing w:line="360" w:lineRule="auto"/>
        <w:jc w:val="center"/>
        <w:rPr>
          <w:rFonts w:ascii="Arial" w:hAnsi="Arial" w:cs="Arial"/>
          <w:b/>
          <w:bCs/>
          <w:sz w:val="40"/>
          <w:szCs w:val="40"/>
        </w:rPr>
      </w:pPr>
      <w:r w:rsidRPr="00326600">
        <w:rPr>
          <w:rFonts w:ascii="Arial" w:hAnsi="Arial" w:cs="Arial"/>
          <w:b/>
          <w:bCs/>
          <w:sz w:val="40"/>
          <w:szCs w:val="40"/>
        </w:rPr>
        <w:t>Student Number:</w:t>
      </w:r>
    </w:p>
    <w:p w14:paraId="02F2743A" w14:textId="77777777" w:rsidR="007A1FA0" w:rsidRPr="00326600" w:rsidRDefault="007A1FA0" w:rsidP="00322BAB">
      <w:pPr>
        <w:spacing w:line="360" w:lineRule="auto"/>
        <w:jc w:val="center"/>
        <w:rPr>
          <w:rFonts w:ascii="Arial" w:hAnsi="Arial" w:cs="Arial"/>
          <w:sz w:val="40"/>
          <w:szCs w:val="40"/>
        </w:rPr>
      </w:pPr>
      <w:r w:rsidRPr="00326600">
        <w:rPr>
          <w:rFonts w:ascii="Arial" w:hAnsi="Arial" w:cs="Arial"/>
          <w:sz w:val="40"/>
          <w:szCs w:val="40"/>
        </w:rPr>
        <w:t>2431942</w:t>
      </w:r>
    </w:p>
    <w:p w14:paraId="120059C0" w14:textId="1717FEA4" w:rsidR="007A1FA0" w:rsidRPr="00326600" w:rsidRDefault="007A1FA0" w:rsidP="00322BAB">
      <w:pPr>
        <w:spacing w:line="360" w:lineRule="auto"/>
        <w:jc w:val="center"/>
        <w:rPr>
          <w:rFonts w:ascii="Arial" w:hAnsi="Arial" w:cs="Arial"/>
          <w:b/>
          <w:bCs/>
          <w:sz w:val="40"/>
          <w:szCs w:val="40"/>
        </w:rPr>
      </w:pPr>
      <w:r w:rsidRPr="00326600">
        <w:rPr>
          <w:rFonts w:ascii="Arial" w:hAnsi="Arial" w:cs="Arial"/>
          <w:b/>
          <w:bCs/>
          <w:sz w:val="40"/>
          <w:szCs w:val="40"/>
        </w:rPr>
        <w:t>Lecturer:</w:t>
      </w:r>
    </w:p>
    <w:p w14:paraId="50D033AD" w14:textId="3AD64D95" w:rsidR="007A1FA0" w:rsidRPr="00326600" w:rsidRDefault="008F32B2" w:rsidP="00322BAB">
      <w:pPr>
        <w:spacing w:line="360" w:lineRule="auto"/>
        <w:jc w:val="center"/>
        <w:rPr>
          <w:rFonts w:ascii="Arial" w:hAnsi="Arial" w:cs="Arial"/>
          <w:sz w:val="40"/>
          <w:szCs w:val="40"/>
        </w:rPr>
      </w:pPr>
      <w:r w:rsidRPr="00326600">
        <w:rPr>
          <w:rFonts w:ascii="Arial" w:hAnsi="Arial" w:cs="Arial"/>
          <w:sz w:val="40"/>
          <w:szCs w:val="40"/>
        </w:rPr>
        <w:t>Alice Clayton</w:t>
      </w:r>
    </w:p>
    <w:p w14:paraId="79DE0F2F" w14:textId="77777777" w:rsidR="009F6F06" w:rsidRPr="00326600" w:rsidRDefault="007A1FA0" w:rsidP="00322BAB">
      <w:pPr>
        <w:spacing w:line="360" w:lineRule="auto"/>
        <w:jc w:val="center"/>
        <w:rPr>
          <w:rFonts w:ascii="Arial" w:hAnsi="Arial" w:cs="Arial"/>
          <w:b/>
          <w:bCs/>
          <w:sz w:val="40"/>
          <w:szCs w:val="40"/>
        </w:rPr>
      </w:pPr>
      <w:r w:rsidRPr="00326600">
        <w:rPr>
          <w:rFonts w:ascii="Arial" w:hAnsi="Arial" w:cs="Arial"/>
          <w:b/>
          <w:bCs/>
          <w:sz w:val="40"/>
          <w:szCs w:val="40"/>
        </w:rPr>
        <w:t>Word Count:</w:t>
      </w:r>
    </w:p>
    <w:p w14:paraId="110E6C61" w14:textId="77777777" w:rsidR="00326600" w:rsidRDefault="009F6F06" w:rsidP="00322BAB">
      <w:pPr>
        <w:spacing w:line="360" w:lineRule="auto"/>
        <w:jc w:val="center"/>
        <w:rPr>
          <w:rFonts w:ascii="Arial" w:hAnsi="Arial" w:cs="Arial"/>
          <w:sz w:val="40"/>
          <w:szCs w:val="40"/>
        </w:rPr>
      </w:pPr>
      <w:r w:rsidRPr="00326600">
        <w:rPr>
          <w:rFonts w:ascii="Arial" w:hAnsi="Arial" w:cs="Arial"/>
          <w:sz w:val="40"/>
          <w:szCs w:val="40"/>
        </w:rPr>
        <w:t xml:space="preserve">1500 </w:t>
      </w:r>
      <w:r w:rsidR="007A1FA0" w:rsidRPr="00326600">
        <w:rPr>
          <w:rFonts w:ascii="Arial" w:hAnsi="Arial" w:cs="Arial"/>
          <w:sz w:val="40"/>
          <w:szCs w:val="40"/>
        </w:rPr>
        <w:t>words</w:t>
      </w:r>
    </w:p>
    <w:p w14:paraId="37AAE36F" w14:textId="77777777" w:rsidR="00FB6767" w:rsidRDefault="00FB6767" w:rsidP="00322BAB">
      <w:pPr>
        <w:spacing w:line="360" w:lineRule="auto"/>
        <w:rPr>
          <w:rFonts w:ascii="Arial" w:hAnsi="Arial" w:cs="Arial"/>
          <w:sz w:val="40"/>
          <w:szCs w:val="40"/>
        </w:rPr>
      </w:pPr>
    </w:p>
    <w:p w14:paraId="4757168D" w14:textId="26DAEC60" w:rsidR="00906EC6" w:rsidRPr="00941069" w:rsidRDefault="008944C0" w:rsidP="00322BAB">
      <w:pPr>
        <w:spacing w:line="360" w:lineRule="auto"/>
        <w:rPr>
          <w:rFonts w:ascii="Arial" w:hAnsi="Arial" w:cs="Arial"/>
          <w:b/>
          <w:bCs/>
        </w:rPr>
      </w:pPr>
      <w:r w:rsidRPr="00941069">
        <w:rPr>
          <w:rFonts w:ascii="Arial" w:hAnsi="Arial" w:cs="Arial"/>
          <w:b/>
          <w:bCs/>
        </w:rPr>
        <w:t>Part A: Annotated Bibliography</w:t>
      </w:r>
    </w:p>
    <w:p w14:paraId="0BCEFB56" w14:textId="31216D63" w:rsidR="00906EC6" w:rsidRPr="008B1E8D" w:rsidRDefault="00906EC6" w:rsidP="00322BAB">
      <w:pPr>
        <w:spacing w:line="360" w:lineRule="auto"/>
        <w:rPr>
          <w:rFonts w:ascii="Arial" w:hAnsi="Arial" w:cs="Arial"/>
          <w:b/>
          <w:bCs/>
          <w:sz w:val="22"/>
          <w:szCs w:val="22"/>
        </w:rPr>
      </w:pPr>
      <w:r w:rsidRPr="008B1E8D">
        <w:rPr>
          <w:rFonts w:ascii="Arial" w:hAnsi="Arial" w:cs="Arial"/>
          <w:b/>
          <w:bCs/>
          <w:sz w:val="22"/>
          <w:szCs w:val="22"/>
        </w:rPr>
        <w:t>Source 1: Erikson’s Psychosocial Theory</w:t>
      </w:r>
    </w:p>
    <w:p w14:paraId="1C0AF8AE" w14:textId="0FE41F0F" w:rsidR="00906EC6" w:rsidRPr="00906EC6" w:rsidRDefault="00906EC6" w:rsidP="00322BAB">
      <w:pPr>
        <w:spacing w:line="360" w:lineRule="auto"/>
        <w:rPr>
          <w:rFonts w:ascii="Arial" w:hAnsi="Arial" w:cs="Arial"/>
          <w:b/>
          <w:bCs/>
          <w:sz w:val="22"/>
          <w:szCs w:val="22"/>
        </w:rPr>
      </w:pPr>
      <w:r w:rsidRPr="00906EC6">
        <w:rPr>
          <w:rFonts w:ascii="Arial" w:hAnsi="Arial" w:cs="Arial"/>
          <w:b/>
          <w:bCs/>
          <w:sz w:val="22"/>
          <w:szCs w:val="22"/>
        </w:rPr>
        <w:t>Erikson, E.H. (1998) The Life Cycle Completed. New York: W.W. Norton &amp; Company.</w:t>
      </w:r>
    </w:p>
    <w:p w14:paraId="5F86B569" w14:textId="77777777" w:rsidR="00906EC6" w:rsidRDefault="00906EC6" w:rsidP="00322BAB">
      <w:pPr>
        <w:spacing w:line="360" w:lineRule="auto"/>
        <w:rPr>
          <w:rFonts w:ascii="Arial" w:hAnsi="Arial" w:cs="Arial"/>
          <w:sz w:val="22"/>
          <w:szCs w:val="22"/>
        </w:rPr>
      </w:pPr>
      <w:r>
        <w:rPr>
          <w:rFonts w:ascii="Arial" w:hAnsi="Arial" w:cs="Arial"/>
          <w:sz w:val="22"/>
          <w:szCs w:val="22"/>
        </w:rPr>
        <w:t>Erikson’s psychosocial theory describes development as a lifelong journey through eight stages, each involving a psychological challenge. The final stage, ego integrity versus despair, takes place in later adulthood when individuals reflect on their lives and achievements. Successfully resolving this stage leads to acceptance, wisdom, and fulfilment, while unresolved reflection can result in regret and despair.</w:t>
      </w:r>
    </w:p>
    <w:p w14:paraId="3309485B" w14:textId="780D2826" w:rsidR="00906EC6" w:rsidRDefault="00906EC6" w:rsidP="00322BAB">
      <w:pPr>
        <w:spacing w:line="360" w:lineRule="auto"/>
        <w:rPr>
          <w:rFonts w:ascii="Arial" w:hAnsi="Arial" w:cs="Arial"/>
          <w:sz w:val="22"/>
          <w:szCs w:val="22"/>
        </w:rPr>
      </w:pPr>
      <w:r>
        <w:rPr>
          <w:rFonts w:ascii="Arial" w:hAnsi="Arial" w:cs="Arial"/>
          <w:sz w:val="22"/>
          <w:szCs w:val="22"/>
        </w:rPr>
        <w:t>The theory is highly applicable to health and social care, as many older adults experience bereavement, declining health, or reduced independence. Interventions such as reminiscence and life review can strengthen identity, encourage positive reflection, and support emotional wellbeing. Although the theory has been criticised for presenting development as a fixed sequence that may not reflect everyone’s experiences, it remains a valuable framework for promoting dignity, resilience, and person-centred care.</w:t>
      </w:r>
    </w:p>
    <w:p w14:paraId="4A294DE4" w14:textId="77777777" w:rsidR="00EE37C9" w:rsidRDefault="00EE37C9" w:rsidP="00322BAB">
      <w:pPr>
        <w:spacing w:line="360" w:lineRule="auto"/>
        <w:rPr>
          <w:rFonts w:ascii="Arial" w:hAnsi="Arial" w:cs="Arial"/>
          <w:sz w:val="22"/>
          <w:szCs w:val="22"/>
        </w:rPr>
      </w:pPr>
    </w:p>
    <w:p w14:paraId="5F67E643" w14:textId="2574360C" w:rsidR="00814064" w:rsidRPr="008D1339" w:rsidRDefault="00906EC6" w:rsidP="00322BAB">
      <w:pPr>
        <w:spacing w:line="360" w:lineRule="auto"/>
        <w:rPr>
          <w:rFonts w:ascii="Arial" w:hAnsi="Arial" w:cs="Arial"/>
          <w:b/>
          <w:bCs/>
          <w:sz w:val="22"/>
          <w:szCs w:val="22"/>
        </w:rPr>
      </w:pPr>
      <w:r w:rsidRPr="008B1E8D">
        <w:rPr>
          <w:rFonts w:ascii="Arial" w:hAnsi="Arial" w:cs="Arial"/>
          <w:b/>
          <w:bCs/>
          <w:sz w:val="22"/>
          <w:szCs w:val="22"/>
        </w:rPr>
        <w:t>Source 2: Reminiscence and Life Review Approaches</w:t>
      </w:r>
    </w:p>
    <w:p w14:paraId="121D53D5" w14:textId="764A4193" w:rsidR="00906EC6" w:rsidRPr="008D1339" w:rsidRDefault="00906EC6" w:rsidP="00322BAB">
      <w:pPr>
        <w:spacing w:line="360" w:lineRule="auto"/>
        <w:rPr>
          <w:rFonts w:ascii="Arial" w:hAnsi="Arial" w:cs="Arial"/>
          <w:b/>
          <w:bCs/>
          <w:sz w:val="22"/>
          <w:szCs w:val="22"/>
        </w:rPr>
      </w:pPr>
      <w:proofErr w:type="spellStart"/>
      <w:r w:rsidRPr="00EE37C9">
        <w:rPr>
          <w:rFonts w:ascii="Arial" w:hAnsi="Arial" w:cs="Arial"/>
          <w:b/>
          <w:bCs/>
          <w:sz w:val="22"/>
          <w:szCs w:val="22"/>
        </w:rPr>
        <w:t>Westerhof</w:t>
      </w:r>
      <w:proofErr w:type="spellEnd"/>
      <w:r w:rsidRPr="00EE37C9">
        <w:rPr>
          <w:rFonts w:ascii="Arial" w:hAnsi="Arial" w:cs="Arial"/>
          <w:b/>
          <w:bCs/>
          <w:sz w:val="22"/>
          <w:szCs w:val="22"/>
        </w:rPr>
        <w:t xml:space="preserve">, G.J. and </w:t>
      </w:r>
      <w:proofErr w:type="spellStart"/>
      <w:r w:rsidRPr="00EE37C9">
        <w:rPr>
          <w:rFonts w:ascii="Arial" w:hAnsi="Arial" w:cs="Arial"/>
          <w:b/>
          <w:bCs/>
          <w:sz w:val="22"/>
          <w:szCs w:val="22"/>
        </w:rPr>
        <w:t>Bohlmeijer</w:t>
      </w:r>
      <w:proofErr w:type="spellEnd"/>
      <w:r w:rsidRPr="00EE37C9">
        <w:rPr>
          <w:rFonts w:ascii="Arial" w:hAnsi="Arial" w:cs="Arial"/>
          <w:b/>
          <w:bCs/>
          <w:sz w:val="22"/>
          <w:szCs w:val="22"/>
        </w:rPr>
        <w:t xml:space="preserve">, E.T. (2014) ‘Celebrating fifty years of research and applications in reminiscence and life review’, Journal of Aging Studies, 29, pp.107–114. Available at: </w:t>
      </w:r>
      <w:hyperlink r:id="rId7" w:history="1">
        <w:r w:rsidRPr="00EE37C9">
          <w:rPr>
            <w:rStyle w:val="Hyperlink"/>
            <w:rFonts w:ascii="Arial" w:hAnsi="Arial" w:cs="Arial"/>
            <w:b/>
            <w:bCs/>
            <w:sz w:val="22"/>
            <w:szCs w:val="22"/>
          </w:rPr>
          <w:t>https://doi.org/10.1016/j.jaging.2014.02.003</w:t>
        </w:r>
      </w:hyperlink>
    </w:p>
    <w:p w14:paraId="0A25D1B2" w14:textId="0373650F" w:rsidR="00906EC6" w:rsidRDefault="00906EC6" w:rsidP="00322BAB">
      <w:pPr>
        <w:spacing w:line="360" w:lineRule="auto"/>
        <w:rPr>
          <w:rFonts w:ascii="Arial" w:hAnsi="Arial" w:cs="Arial"/>
          <w:sz w:val="22"/>
          <w:szCs w:val="22"/>
        </w:rPr>
      </w:pPr>
      <w:proofErr w:type="spellStart"/>
      <w:r>
        <w:rPr>
          <w:rFonts w:ascii="Arial" w:hAnsi="Arial" w:cs="Arial"/>
          <w:sz w:val="22"/>
          <w:szCs w:val="22"/>
        </w:rPr>
        <w:t>Westerhof</w:t>
      </w:r>
      <w:proofErr w:type="spellEnd"/>
      <w:r>
        <w:rPr>
          <w:rFonts w:ascii="Arial" w:hAnsi="Arial" w:cs="Arial"/>
          <w:sz w:val="22"/>
          <w:szCs w:val="22"/>
        </w:rPr>
        <w:t xml:space="preserve"> and </w:t>
      </w:r>
      <w:proofErr w:type="spellStart"/>
      <w:r>
        <w:rPr>
          <w:rFonts w:ascii="Arial" w:hAnsi="Arial" w:cs="Arial"/>
          <w:sz w:val="22"/>
          <w:szCs w:val="22"/>
        </w:rPr>
        <w:t>Bohlmeijer</w:t>
      </w:r>
      <w:proofErr w:type="spellEnd"/>
      <w:r>
        <w:rPr>
          <w:rFonts w:ascii="Arial" w:hAnsi="Arial" w:cs="Arial"/>
          <w:sz w:val="22"/>
          <w:szCs w:val="22"/>
        </w:rPr>
        <w:t xml:space="preserve"> (2014) explore the benefits of reminiscence and life review, linking these approaches to Erikson’s theory of ego integrity. Their review shows that reflecting on meaningful life experiences can improve emotional wellbeing, increase life satisfaction, reduce depression, and reinforce an individual’s sense of identity.</w:t>
      </w:r>
    </w:p>
    <w:p w14:paraId="2569EF8D" w14:textId="77777777" w:rsidR="00906EC6" w:rsidRDefault="00906EC6" w:rsidP="00322BAB">
      <w:pPr>
        <w:spacing w:line="360" w:lineRule="auto"/>
        <w:rPr>
          <w:rFonts w:ascii="Arial" w:hAnsi="Arial" w:cs="Arial"/>
          <w:sz w:val="22"/>
          <w:szCs w:val="22"/>
        </w:rPr>
      </w:pPr>
      <w:r>
        <w:rPr>
          <w:rFonts w:ascii="Arial" w:hAnsi="Arial" w:cs="Arial"/>
          <w:sz w:val="22"/>
          <w:szCs w:val="22"/>
        </w:rPr>
        <w:t>These findings are particularly relevant in residential care, where reminiscence activities using photographs, music, and familiar objects encourage communication, emotional expression, and social interaction. A key strength of the research is its strong evidence base; however, the effectiveness of reminiscence depends on individual circumstances and the practitioner’s ability to deliver the intervention sensitively.</w:t>
      </w:r>
    </w:p>
    <w:p w14:paraId="6C17B0EA" w14:textId="77777777" w:rsidR="00906EC6" w:rsidRDefault="00906EC6" w:rsidP="00322BAB">
      <w:pPr>
        <w:spacing w:line="360" w:lineRule="auto"/>
        <w:rPr>
          <w:rFonts w:ascii="Arial" w:hAnsi="Arial" w:cs="Arial"/>
          <w:sz w:val="22"/>
          <w:szCs w:val="22"/>
        </w:rPr>
      </w:pPr>
    </w:p>
    <w:p w14:paraId="63EADFCA" w14:textId="77777777" w:rsidR="00906EC6" w:rsidRPr="008B1E8D" w:rsidRDefault="00906EC6" w:rsidP="00322BAB">
      <w:pPr>
        <w:spacing w:line="360" w:lineRule="auto"/>
        <w:rPr>
          <w:rFonts w:ascii="Arial" w:hAnsi="Arial" w:cs="Arial"/>
          <w:b/>
          <w:bCs/>
          <w:sz w:val="22"/>
          <w:szCs w:val="22"/>
        </w:rPr>
      </w:pPr>
      <w:r w:rsidRPr="008B1E8D">
        <w:rPr>
          <w:rFonts w:ascii="Arial" w:hAnsi="Arial" w:cs="Arial"/>
          <w:b/>
          <w:bCs/>
          <w:sz w:val="22"/>
          <w:szCs w:val="22"/>
        </w:rPr>
        <w:t>Source 3: Positive Psychology and Wellbeing</w:t>
      </w:r>
    </w:p>
    <w:p w14:paraId="1FDDC2E9" w14:textId="77777777" w:rsidR="00906EC6" w:rsidRPr="00EE37C9" w:rsidRDefault="00906EC6" w:rsidP="00322BAB">
      <w:pPr>
        <w:spacing w:line="360" w:lineRule="auto"/>
        <w:rPr>
          <w:rFonts w:ascii="Arial" w:hAnsi="Arial" w:cs="Arial"/>
          <w:b/>
          <w:bCs/>
          <w:sz w:val="22"/>
          <w:szCs w:val="22"/>
        </w:rPr>
      </w:pPr>
      <w:r w:rsidRPr="00EE37C9">
        <w:rPr>
          <w:rFonts w:ascii="Arial" w:hAnsi="Arial" w:cs="Arial"/>
          <w:b/>
          <w:bCs/>
          <w:sz w:val="22"/>
          <w:szCs w:val="22"/>
        </w:rPr>
        <w:t xml:space="preserve">Seligman, M.E. (2011) Flourish: A New Understanding of Happiness and Well-being and How to Achieve Them. London: Nicholas </w:t>
      </w:r>
      <w:proofErr w:type="spellStart"/>
      <w:r w:rsidRPr="00EE37C9">
        <w:rPr>
          <w:rFonts w:ascii="Arial" w:hAnsi="Arial" w:cs="Arial"/>
          <w:b/>
          <w:bCs/>
          <w:sz w:val="22"/>
          <w:szCs w:val="22"/>
        </w:rPr>
        <w:t>Brealey</w:t>
      </w:r>
      <w:proofErr w:type="spellEnd"/>
      <w:r w:rsidRPr="00EE37C9">
        <w:rPr>
          <w:rFonts w:ascii="Arial" w:hAnsi="Arial" w:cs="Arial"/>
          <w:b/>
          <w:bCs/>
          <w:sz w:val="22"/>
          <w:szCs w:val="22"/>
        </w:rPr>
        <w:t>.</w:t>
      </w:r>
    </w:p>
    <w:p w14:paraId="09821F6B" w14:textId="67CFC2A0" w:rsidR="00906EC6" w:rsidRDefault="00906EC6" w:rsidP="00322BAB">
      <w:pPr>
        <w:spacing w:line="360" w:lineRule="auto"/>
        <w:rPr>
          <w:rFonts w:ascii="Arial" w:hAnsi="Arial" w:cs="Arial"/>
          <w:sz w:val="22"/>
          <w:szCs w:val="22"/>
        </w:rPr>
      </w:pPr>
      <w:r>
        <w:rPr>
          <w:rFonts w:ascii="Arial" w:hAnsi="Arial" w:cs="Arial"/>
          <w:sz w:val="22"/>
          <w:szCs w:val="22"/>
        </w:rPr>
        <w:t>Seligman’s Positive Psychology theory emphasises enhancing wellbeing by building on people’s strengths instead of focusing on illness or decline. The PERMA model identifies five elements that contribute to flourishing: Positive emotions, Engagement, Relationships, Meaning, and Accomplishment. Together, these promote resilience, motivation, strong social connections, and a greater sense of purpose.</w:t>
      </w:r>
    </w:p>
    <w:p w14:paraId="620F8489" w14:textId="121284D6" w:rsidR="00906EC6" w:rsidRDefault="00906EC6" w:rsidP="00322BAB">
      <w:pPr>
        <w:spacing w:line="360" w:lineRule="auto"/>
        <w:rPr>
          <w:rFonts w:ascii="Arial" w:hAnsi="Arial" w:cs="Arial"/>
          <w:sz w:val="22"/>
          <w:szCs w:val="22"/>
        </w:rPr>
      </w:pPr>
      <w:r>
        <w:rPr>
          <w:rFonts w:ascii="Arial" w:hAnsi="Arial" w:cs="Arial"/>
          <w:sz w:val="22"/>
          <w:szCs w:val="22"/>
        </w:rPr>
        <w:t>Within health and social care, this approach encourages professionals to recognise older adults’ abilities and support meaningful activities and relationships that enhance wellbeing. However, the theory may place less emphasis on the effects of physical illness, disability, and social disadvantage. Even so, it provides a useful strengths-based approach that supports person-centred care.</w:t>
      </w:r>
    </w:p>
    <w:p w14:paraId="085C6D4A" w14:textId="77777777" w:rsidR="00906EC6" w:rsidRDefault="00906EC6" w:rsidP="00322BAB">
      <w:pPr>
        <w:spacing w:line="360" w:lineRule="auto"/>
        <w:rPr>
          <w:rFonts w:ascii="Arial" w:hAnsi="Arial" w:cs="Arial"/>
          <w:sz w:val="22"/>
          <w:szCs w:val="22"/>
        </w:rPr>
      </w:pPr>
    </w:p>
    <w:p w14:paraId="17864B55" w14:textId="24599E3F" w:rsidR="003231CE" w:rsidRPr="00471894" w:rsidRDefault="00906EC6" w:rsidP="00322BAB">
      <w:pPr>
        <w:spacing w:line="360" w:lineRule="auto"/>
        <w:rPr>
          <w:rFonts w:ascii="Arial" w:hAnsi="Arial" w:cs="Arial"/>
          <w:b/>
          <w:bCs/>
          <w:sz w:val="22"/>
          <w:szCs w:val="22"/>
        </w:rPr>
      </w:pPr>
      <w:r w:rsidRPr="00255529">
        <w:rPr>
          <w:rFonts w:ascii="Arial" w:hAnsi="Arial" w:cs="Arial"/>
          <w:b/>
          <w:bCs/>
          <w:sz w:val="22"/>
          <w:szCs w:val="22"/>
        </w:rPr>
        <w:t>Source 4: Evidence for Positive Psychology Interventions</w:t>
      </w:r>
    </w:p>
    <w:p w14:paraId="6A31CFA8" w14:textId="45313FEC" w:rsidR="00906EC6" w:rsidRPr="00255529" w:rsidRDefault="00906EC6" w:rsidP="00322BAB">
      <w:pPr>
        <w:spacing w:line="360" w:lineRule="auto"/>
        <w:rPr>
          <w:rFonts w:ascii="Arial" w:hAnsi="Arial" w:cs="Arial"/>
          <w:b/>
          <w:bCs/>
          <w:sz w:val="22"/>
          <w:szCs w:val="22"/>
        </w:rPr>
      </w:pPr>
      <w:proofErr w:type="spellStart"/>
      <w:r w:rsidRPr="00EE37C9">
        <w:rPr>
          <w:rFonts w:ascii="Arial" w:hAnsi="Arial" w:cs="Arial"/>
          <w:b/>
          <w:bCs/>
          <w:sz w:val="22"/>
          <w:szCs w:val="22"/>
        </w:rPr>
        <w:t>Bolier</w:t>
      </w:r>
      <w:proofErr w:type="spellEnd"/>
      <w:r w:rsidRPr="00EE37C9">
        <w:rPr>
          <w:rFonts w:ascii="Arial" w:hAnsi="Arial" w:cs="Arial"/>
          <w:b/>
          <w:bCs/>
          <w:sz w:val="22"/>
          <w:szCs w:val="22"/>
        </w:rPr>
        <w:t xml:space="preserve">, L., </w:t>
      </w:r>
      <w:proofErr w:type="spellStart"/>
      <w:r w:rsidRPr="00EE37C9">
        <w:rPr>
          <w:rFonts w:ascii="Arial" w:hAnsi="Arial" w:cs="Arial"/>
          <w:b/>
          <w:bCs/>
          <w:sz w:val="22"/>
          <w:szCs w:val="22"/>
        </w:rPr>
        <w:t>Haverman</w:t>
      </w:r>
      <w:proofErr w:type="spellEnd"/>
      <w:r w:rsidRPr="00EE37C9">
        <w:rPr>
          <w:rFonts w:ascii="Arial" w:hAnsi="Arial" w:cs="Arial"/>
          <w:b/>
          <w:bCs/>
          <w:sz w:val="22"/>
          <w:szCs w:val="22"/>
        </w:rPr>
        <w:t xml:space="preserve">, M., </w:t>
      </w:r>
      <w:proofErr w:type="spellStart"/>
      <w:r w:rsidRPr="00EE37C9">
        <w:rPr>
          <w:rFonts w:ascii="Arial" w:hAnsi="Arial" w:cs="Arial"/>
          <w:b/>
          <w:bCs/>
          <w:sz w:val="22"/>
          <w:szCs w:val="22"/>
        </w:rPr>
        <w:t>Westerhof</w:t>
      </w:r>
      <w:proofErr w:type="spellEnd"/>
      <w:r w:rsidRPr="00EE37C9">
        <w:rPr>
          <w:rFonts w:ascii="Arial" w:hAnsi="Arial" w:cs="Arial"/>
          <w:b/>
          <w:bCs/>
          <w:sz w:val="22"/>
          <w:szCs w:val="22"/>
        </w:rPr>
        <w:t xml:space="preserve">, G.J., Riper, H., </w:t>
      </w:r>
      <w:proofErr w:type="spellStart"/>
      <w:r w:rsidRPr="00EE37C9">
        <w:rPr>
          <w:rFonts w:ascii="Arial" w:hAnsi="Arial" w:cs="Arial"/>
          <w:b/>
          <w:bCs/>
          <w:sz w:val="22"/>
          <w:szCs w:val="22"/>
        </w:rPr>
        <w:t>Smit</w:t>
      </w:r>
      <w:proofErr w:type="spellEnd"/>
      <w:r w:rsidRPr="00EE37C9">
        <w:rPr>
          <w:rFonts w:ascii="Arial" w:hAnsi="Arial" w:cs="Arial"/>
          <w:b/>
          <w:bCs/>
          <w:sz w:val="22"/>
          <w:szCs w:val="22"/>
        </w:rPr>
        <w:t xml:space="preserve">, F. And </w:t>
      </w:r>
      <w:proofErr w:type="spellStart"/>
      <w:r w:rsidRPr="00EE37C9">
        <w:rPr>
          <w:rFonts w:ascii="Arial" w:hAnsi="Arial" w:cs="Arial"/>
          <w:b/>
          <w:bCs/>
          <w:sz w:val="22"/>
          <w:szCs w:val="22"/>
        </w:rPr>
        <w:t>Bohlmeijer</w:t>
      </w:r>
      <w:proofErr w:type="spellEnd"/>
      <w:r w:rsidRPr="00EE37C9">
        <w:rPr>
          <w:rFonts w:ascii="Arial" w:hAnsi="Arial" w:cs="Arial"/>
          <w:b/>
          <w:bCs/>
          <w:sz w:val="22"/>
          <w:szCs w:val="22"/>
        </w:rPr>
        <w:t xml:space="preserve">, E. (2013) ‘Positive psychology interventions: A meta-analysis of randomized controlled studies’, BMC Public Health, 13, p.119. Available at: </w:t>
      </w:r>
      <w:hyperlink r:id="rId8" w:history="1">
        <w:r w:rsidRPr="00EE37C9">
          <w:rPr>
            <w:rStyle w:val="Hyperlink"/>
            <w:rFonts w:ascii="Arial" w:hAnsi="Arial" w:cs="Arial"/>
            <w:b/>
            <w:bCs/>
            <w:sz w:val="22"/>
            <w:szCs w:val="22"/>
          </w:rPr>
          <w:t>https://doi.org/10.1186/1471-2458-13-119</w:t>
        </w:r>
      </w:hyperlink>
    </w:p>
    <w:p w14:paraId="13F85CDD" w14:textId="77777777" w:rsidR="00906EC6" w:rsidRDefault="00906EC6" w:rsidP="00322BAB">
      <w:pPr>
        <w:spacing w:line="360" w:lineRule="auto"/>
        <w:rPr>
          <w:rFonts w:ascii="Arial" w:hAnsi="Arial" w:cs="Arial"/>
          <w:sz w:val="22"/>
          <w:szCs w:val="22"/>
        </w:rPr>
      </w:pPr>
      <w:proofErr w:type="spellStart"/>
      <w:r>
        <w:rPr>
          <w:rFonts w:ascii="Arial" w:hAnsi="Arial" w:cs="Arial"/>
          <w:sz w:val="22"/>
          <w:szCs w:val="22"/>
        </w:rPr>
        <w:t>Bolier</w:t>
      </w:r>
      <w:proofErr w:type="spellEnd"/>
      <w:r>
        <w:rPr>
          <w:rFonts w:ascii="Arial" w:hAnsi="Arial" w:cs="Arial"/>
          <w:sz w:val="22"/>
          <w:szCs w:val="22"/>
        </w:rPr>
        <w:t xml:space="preserve"> et al. (2013) analysed findings from multiple randomised controlled studies to evaluate the effectiveness of Positive Psychology interventions. The review concluded that approaches focusing on gratitude, optimism, and personal strengths can improve psychological wellbeing, increase life satisfaction, and reduce depressive symptoms.</w:t>
      </w:r>
    </w:p>
    <w:p w14:paraId="7947CAE6" w14:textId="12EA6E87" w:rsidR="00906EC6" w:rsidRPr="008A3A45" w:rsidRDefault="00906EC6" w:rsidP="00322BAB">
      <w:pPr>
        <w:spacing w:line="360" w:lineRule="auto"/>
        <w:rPr>
          <w:rFonts w:ascii="Arial" w:hAnsi="Arial" w:cs="Arial"/>
          <w:sz w:val="22"/>
          <w:szCs w:val="22"/>
        </w:rPr>
      </w:pPr>
      <w:r>
        <w:rPr>
          <w:rFonts w:ascii="Arial" w:hAnsi="Arial" w:cs="Arial"/>
          <w:sz w:val="22"/>
          <w:szCs w:val="22"/>
        </w:rPr>
        <w:t>The findings support the use of strengths-based interventions within health and social care by encouraging older adults to build positive relationships, recognise achievements, and participate in meaningful activities. A major strength of this review is the high quality of evidence included. However, the authors note that benefits vary between individuals, emphasising the importance of tailoring interventions to each person’s needs and circumstances.</w:t>
      </w:r>
    </w:p>
    <w:p w14:paraId="4C8FD29F" w14:textId="77777777" w:rsidR="003231CE" w:rsidRDefault="003231CE" w:rsidP="00322BAB">
      <w:pPr>
        <w:spacing w:line="360" w:lineRule="auto"/>
        <w:rPr>
          <w:rFonts w:ascii="Arial" w:hAnsi="Arial" w:cs="Arial"/>
          <w:sz w:val="22"/>
          <w:szCs w:val="22"/>
        </w:rPr>
      </w:pPr>
    </w:p>
    <w:p w14:paraId="6C699C8C" w14:textId="050FDCA1" w:rsidR="008944C0" w:rsidRPr="00941069" w:rsidRDefault="008944C0" w:rsidP="00322BAB">
      <w:pPr>
        <w:spacing w:line="360" w:lineRule="auto"/>
        <w:rPr>
          <w:rFonts w:ascii="Arial" w:hAnsi="Arial" w:cs="Arial"/>
          <w:b/>
          <w:bCs/>
        </w:rPr>
      </w:pPr>
      <w:r w:rsidRPr="00941069">
        <w:rPr>
          <w:rFonts w:ascii="Arial" w:hAnsi="Arial" w:cs="Arial"/>
          <w:b/>
          <w:bCs/>
        </w:rPr>
        <w:lastRenderedPageBreak/>
        <w:t>Part B: Short Report</w:t>
      </w:r>
    </w:p>
    <w:p w14:paraId="1898A064" w14:textId="77777777" w:rsidR="009633C9" w:rsidRDefault="009633C9" w:rsidP="00322BAB">
      <w:pPr>
        <w:spacing w:line="360" w:lineRule="auto"/>
        <w:rPr>
          <w:rFonts w:ascii="Arial" w:hAnsi="Arial" w:cs="Arial"/>
          <w:b/>
          <w:bCs/>
          <w:sz w:val="22"/>
          <w:szCs w:val="22"/>
        </w:rPr>
      </w:pPr>
      <w:r w:rsidRPr="00467707">
        <w:rPr>
          <w:rFonts w:ascii="Arial" w:hAnsi="Arial" w:cs="Arial"/>
          <w:b/>
          <w:bCs/>
          <w:sz w:val="22"/>
          <w:szCs w:val="22"/>
        </w:rPr>
        <w:t>Applying Erikson’s Psychosocial Theory to Enhance Psychological Wellbeing in Older Adults Living in Residential Care</w:t>
      </w:r>
    </w:p>
    <w:p w14:paraId="3CF380AD" w14:textId="77777777" w:rsidR="00EB027B" w:rsidRPr="00467707" w:rsidRDefault="00EB027B" w:rsidP="00322BAB">
      <w:pPr>
        <w:spacing w:line="360" w:lineRule="auto"/>
        <w:rPr>
          <w:rFonts w:ascii="Arial" w:hAnsi="Arial" w:cs="Arial"/>
          <w:b/>
          <w:bCs/>
          <w:sz w:val="22"/>
          <w:szCs w:val="22"/>
        </w:rPr>
      </w:pPr>
    </w:p>
    <w:p w14:paraId="324DE190" w14:textId="77777777" w:rsidR="009633C9" w:rsidRPr="008A3A45" w:rsidRDefault="009633C9" w:rsidP="00322BAB">
      <w:pPr>
        <w:spacing w:line="360" w:lineRule="auto"/>
        <w:rPr>
          <w:rFonts w:ascii="Arial" w:hAnsi="Arial" w:cs="Arial"/>
          <w:b/>
          <w:bCs/>
          <w:sz w:val="22"/>
          <w:szCs w:val="22"/>
        </w:rPr>
      </w:pPr>
      <w:r w:rsidRPr="008A3A45">
        <w:rPr>
          <w:rFonts w:ascii="Arial" w:hAnsi="Arial" w:cs="Arial"/>
          <w:b/>
          <w:bCs/>
          <w:sz w:val="22"/>
          <w:szCs w:val="22"/>
        </w:rPr>
        <w:t>Introduction</w:t>
      </w:r>
    </w:p>
    <w:p w14:paraId="70D324DB" w14:textId="77777777" w:rsidR="009633C9" w:rsidRPr="008A3A45" w:rsidRDefault="009633C9" w:rsidP="00322BAB">
      <w:pPr>
        <w:spacing w:line="360" w:lineRule="auto"/>
        <w:rPr>
          <w:rFonts w:ascii="Arial" w:hAnsi="Arial" w:cs="Arial"/>
          <w:sz w:val="22"/>
          <w:szCs w:val="22"/>
        </w:rPr>
      </w:pPr>
      <w:r w:rsidRPr="008A3A45">
        <w:rPr>
          <w:rFonts w:ascii="Arial" w:hAnsi="Arial" w:cs="Arial"/>
          <w:sz w:val="22"/>
          <w:szCs w:val="22"/>
        </w:rPr>
        <w:t>Promoting psychological wellbeing is an essential aspect of providing high-quality care for older adults living in residential settings. Older adulthood can involve significant life changes, including retirement, bereavement, reduced independence, health difficulties, and changes in social relationships. These experiences may affect an individual’s identity, confidence, and sense of purpose. Psychological theories of development provide valuable frameworks for understanding these challenges and supporting effective, person-centred care.</w:t>
      </w:r>
    </w:p>
    <w:p w14:paraId="6F39D3B3" w14:textId="77777777" w:rsidR="009633C9" w:rsidRDefault="009633C9" w:rsidP="00322BAB">
      <w:pPr>
        <w:spacing w:line="360" w:lineRule="auto"/>
        <w:rPr>
          <w:rFonts w:ascii="Arial" w:hAnsi="Arial" w:cs="Arial"/>
          <w:sz w:val="22"/>
          <w:szCs w:val="22"/>
        </w:rPr>
      </w:pPr>
      <w:r w:rsidRPr="008A3A45">
        <w:rPr>
          <w:rFonts w:ascii="Arial" w:hAnsi="Arial" w:cs="Arial"/>
          <w:sz w:val="22"/>
          <w:szCs w:val="22"/>
        </w:rPr>
        <w:t>Erikson’s psychosocial theory is particularly relevant to older adulthood because it focuses on the final developmental stage of ego integrity versus despair. This stage involves individuals reflecting on their life experiences and developing acceptance and meaning from their personal journey (Erikson, 1998). This report explains how Erikson’s theory can be applied within residential care settings to support psychological wellbeing through reminiscence-based activities. It also examines a practical example, identifies a challenge professionals may face, and suggests strategies to overcome this challenge.</w:t>
      </w:r>
    </w:p>
    <w:p w14:paraId="5DF54EBF" w14:textId="77777777" w:rsidR="00FB6767" w:rsidRPr="008A3A45" w:rsidRDefault="00FB6767" w:rsidP="00322BAB">
      <w:pPr>
        <w:spacing w:line="360" w:lineRule="auto"/>
        <w:rPr>
          <w:rFonts w:ascii="Arial" w:hAnsi="Arial" w:cs="Arial"/>
          <w:sz w:val="22"/>
          <w:szCs w:val="22"/>
        </w:rPr>
      </w:pPr>
    </w:p>
    <w:p w14:paraId="187B7AAF" w14:textId="77777777" w:rsidR="009633C9" w:rsidRPr="008A3A45" w:rsidRDefault="009633C9" w:rsidP="00322BAB">
      <w:pPr>
        <w:spacing w:line="360" w:lineRule="auto"/>
        <w:rPr>
          <w:rFonts w:ascii="Arial" w:hAnsi="Arial" w:cs="Arial"/>
          <w:b/>
          <w:bCs/>
          <w:sz w:val="22"/>
          <w:szCs w:val="22"/>
        </w:rPr>
      </w:pPr>
      <w:r w:rsidRPr="008A3A45">
        <w:rPr>
          <w:rFonts w:ascii="Arial" w:hAnsi="Arial" w:cs="Arial"/>
          <w:b/>
          <w:bCs/>
          <w:sz w:val="22"/>
          <w:szCs w:val="22"/>
        </w:rPr>
        <w:t>Applying Erikson’s Theory in Practice</w:t>
      </w:r>
    </w:p>
    <w:p w14:paraId="541E3A67" w14:textId="77777777" w:rsidR="009633C9" w:rsidRPr="008A3A45" w:rsidRDefault="009633C9" w:rsidP="00322BAB">
      <w:pPr>
        <w:spacing w:line="360" w:lineRule="auto"/>
        <w:rPr>
          <w:rFonts w:ascii="Arial" w:hAnsi="Arial" w:cs="Arial"/>
          <w:sz w:val="22"/>
          <w:szCs w:val="22"/>
        </w:rPr>
      </w:pPr>
      <w:r w:rsidRPr="008A3A45">
        <w:rPr>
          <w:rFonts w:ascii="Arial" w:hAnsi="Arial" w:cs="Arial"/>
          <w:sz w:val="22"/>
          <w:szCs w:val="22"/>
        </w:rPr>
        <w:t>According to Erikson (1998), older adults experience a process of reviewing their lives and evaluating their achievements, relationships, and experiences. Individuals who develop ego integrity are more likely to experience acceptance, wisdom, and fulfilment. In contrast, unresolved feelings about past events may contribute to regret, sadness, or despair.</w:t>
      </w:r>
    </w:p>
    <w:p w14:paraId="26B36F6A" w14:textId="77777777" w:rsidR="009633C9" w:rsidRPr="008A3A45" w:rsidRDefault="009633C9" w:rsidP="00322BAB">
      <w:pPr>
        <w:spacing w:line="360" w:lineRule="auto"/>
        <w:rPr>
          <w:rFonts w:ascii="Arial" w:hAnsi="Arial" w:cs="Arial"/>
          <w:sz w:val="22"/>
          <w:szCs w:val="22"/>
        </w:rPr>
      </w:pPr>
      <w:r w:rsidRPr="008A3A45">
        <w:rPr>
          <w:rFonts w:ascii="Arial" w:hAnsi="Arial" w:cs="Arial"/>
          <w:sz w:val="22"/>
          <w:szCs w:val="22"/>
        </w:rPr>
        <w:t>In residential care settings, professionals can support this stage by providing opportunities for meaningful reflection. One effective approach is reminiscence therapy, where individuals are encouraged to discuss important memories, relationships, and life achievements. Research suggests that reminiscence and life review activities can improve emotional wellbeing, increase life satisfaction, and reduce depressive symptoms among older adults (</w:t>
      </w:r>
      <w:proofErr w:type="spellStart"/>
      <w:r w:rsidRPr="008A3A45">
        <w:rPr>
          <w:rFonts w:ascii="Arial" w:hAnsi="Arial" w:cs="Arial"/>
          <w:sz w:val="22"/>
          <w:szCs w:val="22"/>
        </w:rPr>
        <w:t>Westerhof</w:t>
      </w:r>
      <w:proofErr w:type="spellEnd"/>
      <w:r w:rsidRPr="008A3A45">
        <w:rPr>
          <w:rFonts w:ascii="Arial" w:hAnsi="Arial" w:cs="Arial"/>
          <w:sz w:val="22"/>
          <w:szCs w:val="22"/>
        </w:rPr>
        <w:t xml:space="preserve"> and </w:t>
      </w:r>
      <w:proofErr w:type="spellStart"/>
      <w:r w:rsidRPr="008A3A45">
        <w:rPr>
          <w:rFonts w:ascii="Arial" w:hAnsi="Arial" w:cs="Arial"/>
          <w:sz w:val="22"/>
          <w:szCs w:val="22"/>
        </w:rPr>
        <w:t>Bohlmeijer</w:t>
      </w:r>
      <w:proofErr w:type="spellEnd"/>
      <w:r w:rsidRPr="008A3A45">
        <w:rPr>
          <w:rFonts w:ascii="Arial" w:hAnsi="Arial" w:cs="Arial"/>
          <w:sz w:val="22"/>
          <w:szCs w:val="22"/>
        </w:rPr>
        <w:t>, 2014).</w:t>
      </w:r>
    </w:p>
    <w:p w14:paraId="4CC601DC" w14:textId="77777777" w:rsidR="009633C9" w:rsidRPr="008A3A45" w:rsidRDefault="009633C9" w:rsidP="00322BAB">
      <w:pPr>
        <w:spacing w:line="360" w:lineRule="auto"/>
        <w:rPr>
          <w:rFonts w:ascii="Arial" w:hAnsi="Arial" w:cs="Arial"/>
          <w:sz w:val="22"/>
          <w:szCs w:val="22"/>
        </w:rPr>
      </w:pPr>
      <w:r w:rsidRPr="008A3A45">
        <w:rPr>
          <w:rFonts w:ascii="Arial" w:hAnsi="Arial" w:cs="Arial"/>
          <w:sz w:val="22"/>
          <w:szCs w:val="22"/>
        </w:rPr>
        <w:lastRenderedPageBreak/>
        <w:t>Care professionals can apply Erikson’s theory by:</w:t>
      </w:r>
    </w:p>
    <w:p w14:paraId="63423248" w14:textId="77777777" w:rsidR="009633C9" w:rsidRPr="008A3A45" w:rsidRDefault="009633C9" w:rsidP="00322BAB">
      <w:pPr>
        <w:pStyle w:val="ListParagraph"/>
        <w:numPr>
          <w:ilvl w:val="0"/>
          <w:numId w:val="2"/>
        </w:numPr>
        <w:spacing w:line="360" w:lineRule="auto"/>
        <w:rPr>
          <w:rFonts w:ascii="Arial" w:hAnsi="Arial" w:cs="Arial"/>
          <w:sz w:val="22"/>
          <w:szCs w:val="22"/>
        </w:rPr>
      </w:pPr>
      <w:r w:rsidRPr="008A3A45">
        <w:rPr>
          <w:rFonts w:ascii="Arial" w:hAnsi="Arial" w:cs="Arial"/>
          <w:sz w:val="22"/>
          <w:szCs w:val="22"/>
        </w:rPr>
        <w:t>Encouraging residents to share personal stories and important life experiences.</w:t>
      </w:r>
    </w:p>
    <w:p w14:paraId="7D8FDA6E" w14:textId="77777777" w:rsidR="009633C9" w:rsidRPr="008A3A45" w:rsidRDefault="009633C9" w:rsidP="00322BAB">
      <w:pPr>
        <w:pStyle w:val="ListParagraph"/>
        <w:numPr>
          <w:ilvl w:val="0"/>
          <w:numId w:val="3"/>
        </w:numPr>
        <w:spacing w:line="360" w:lineRule="auto"/>
        <w:rPr>
          <w:rFonts w:ascii="Arial" w:hAnsi="Arial" w:cs="Arial"/>
          <w:sz w:val="22"/>
          <w:szCs w:val="22"/>
        </w:rPr>
      </w:pPr>
      <w:r w:rsidRPr="008A3A45">
        <w:rPr>
          <w:rFonts w:ascii="Arial" w:hAnsi="Arial" w:cs="Arial"/>
          <w:sz w:val="22"/>
          <w:szCs w:val="22"/>
        </w:rPr>
        <w:t>Using photographs, music, objects, or personal belongings to stimulate memories.</w:t>
      </w:r>
    </w:p>
    <w:p w14:paraId="12BBABD8" w14:textId="77777777" w:rsidR="009633C9" w:rsidRPr="008A3A45" w:rsidRDefault="009633C9" w:rsidP="00322BAB">
      <w:pPr>
        <w:pStyle w:val="ListParagraph"/>
        <w:numPr>
          <w:ilvl w:val="0"/>
          <w:numId w:val="4"/>
        </w:numPr>
        <w:spacing w:line="360" w:lineRule="auto"/>
        <w:rPr>
          <w:rFonts w:ascii="Arial" w:hAnsi="Arial" w:cs="Arial"/>
          <w:sz w:val="22"/>
          <w:szCs w:val="22"/>
        </w:rPr>
      </w:pPr>
      <w:r w:rsidRPr="008A3A45">
        <w:rPr>
          <w:rFonts w:ascii="Arial" w:hAnsi="Arial" w:cs="Arial"/>
          <w:sz w:val="22"/>
          <w:szCs w:val="22"/>
        </w:rPr>
        <w:t>Creating group activities where residents can communicate and share experiences with others.</w:t>
      </w:r>
    </w:p>
    <w:p w14:paraId="44BC36F0" w14:textId="77777777" w:rsidR="009633C9" w:rsidRDefault="009633C9" w:rsidP="00322BAB">
      <w:pPr>
        <w:spacing w:line="360" w:lineRule="auto"/>
        <w:rPr>
          <w:rFonts w:ascii="Arial" w:hAnsi="Arial" w:cs="Arial"/>
          <w:sz w:val="22"/>
          <w:szCs w:val="22"/>
        </w:rPr>
      </w:pPr>
      <w:r w:rsidRPr="008A3A45">
        <w:rPr>
          <w:rFonts w:ascii="Arial" w:hAnsi="Arial" w:cs="Arial"/>
          <w:sz w:val="22"/>
          <w:szCs w:val="22"/>
        </w:rPr>
        <w:t>These approaches support person-centred care by recognising each individual as a unique person with their own history, values, and achievements. They can also strengthen relationships between residents and care staff by promoting meaningful conversations and emotional connection.</w:t>
      </w:r>
    </w:p>
    <w:p w14:paraId="4D605A59" w14:textId="77777777" w:rsidR="00F03865" w:rsidRDefault="00F03865" w:rsidP="00322BAB">
      <w:pPr>
        <w:spacing w:line="360" w:lineRule="auto"/>
        <w:rPr>
          <w:rFonts w:ascii="Arial" w:hAnsi="Arial" w:cs="Arial"/>
          <w:sz w:val="22"/>
          <w:szCs w:val="22"/>
        </w:rPr>
      </w:pPr>
    </w:p>
    <w:p w14:paraId="03947B3E" w14:textId="320D902A" w:rsidR="009633C9" w:rsidRPr="008A3A45" w:rsidRDefault="009633C9" w:rsidP="00322BAB">
      <w:pPr>
        <w:spacing w:line="360" w:lineRule="auto"/>
        <w:rPr>
          <w:rFonts w:ascii="Arial" w:hAnsi="Arial" w:cs="Arial"/>
          <w:b/>
          <w:bCs/>
          <w:sz w:val="22"/>
          <w:szCs w:val="22"/>
        </w:rPr>
      </w:pPr>
      <w:r w:rsidRPr="008A3A45">
        <w:rPr>
          <w:rFonts w:ascii="Arial" w:hAnsi="Arial" w:cs="Arial"/>
          <w:b/>
          <w:bCs/>
          <w:sz w:val="22"/>
          <w:szCs w:val="22"/>
        </w:rPr>
        <w:t>Case Scenario: Applying Erikson’s Theory in Practice</w:t>
      </w:r>
    </w:p>
    <w:p w14:paraId="7248BC22" w14:textId="77777777" w:rsidR="009633C9" w:rsidRPr="008A3A45" w:rsidRDefault="009633C9" w:rsidP="00322BAB">
      <w:pPr>
        <w:spacing w:line="360" w:lineRule="auto"/>
        <w:rPr>
          <w:rFonts w:ascii="Arial" w:hAnsi="Arial" w:cs="Arial"/>
          <w:sz w:val="22"/>
          <w:szCs w:val="22"/>
        </w:rPr>
      </w:pPr>
      <w:proofErr w:type="spellStart"/>
      <w:r w:rsidRPr="008A3A45">
        <w:rPr>
          <w:rFonts w:ascii="Arial" w:hAnsi="Arial" w:cs="Arial"/>
          <w:sz w:val="22"/>
          <w:szCs w:val="22"/>
        </w:rPr>
        <w:t>Orinthia</w:t>
      </w:r>
      <w:proofErr w:type="spellEnd"/>
      <w:r w:rsidRPr="008A3A45">
        <w:rPr>
          <w:rFonts w:ascii="Arial" w:hAnsi="Arial" w:cs="Arial"/>
          <w:sz w:val="22"/>
          <w:szCs w:val="22"/>
        </w:rPr>
        <w:t xml:space="preserve"> is an 83-year-old resident living in a residential care home. Following the death of her husband, she became increasingly withdrawn and showed signs of low mood and reduced social interaction. Staff recognised that this change affected her sense of identity and belonging.</w:t>
      </w:r>
    </w:p>
    <w:p w14:paraId="6B66508C" w14:textId="77777777" w:rsidR="009633C9" w:rsidRPr="008A3A45" w:rsidRDefault="009633C9" w:rsidP="00322BAB">
      <w:pPr>
        <w:spacing w:line="360" w:lineRule="auto"/>
        <w:rPr>
          <w:rFonts w:ascii="Arial" w:hAnsi="Arial" w:cs="Arial"/>
          <w:sz w:val="22"/>
          <w:szCs w:val="22"/>
        </w:rPr>
      </w:pPr>
      <w:r w:rsidRPr="008A3A45">
        <w:rPr>
          <w:rFonts w:ascii="Arial" w:hAnsi="Arial" w:cs="Arial"/>
          <w:sz w:val="22"/>
          <w:szCs w:val="22"/>
        </w:rPr>
        <w:t xml:space="preserve">Using Erikson’s theory, care staff introduced regular reminiscence sessions to encourage </w:t>
      </w:r>
      <w:proofErr w:type="spellStart"/>
      <w:r w:rsidRPr="008A3A45">
        <w:rPr>
          <w:rFonts w:ascii="Arial" w:hAnsi="Arial" w:cs="Arial"/>
          <w:sz w:val="22"/>
          <w:szCs w:val="22"/>
        </w:rPr>
        <w:t>Orinthia</w:t>
      </w:r>
      <w:proofErr w:type="spellEnd"/>
      <w:r w:rsidRPr="008A3A45">
        <w:rPr>
          <w:rFonts w:ascii="Arial" w:hAnsi="Arial" w:cs="Arial"/>
          <w:sz w:val="22"/>
          <w:szCs w:val="22"/>
        </w:rPr>
        <w:t xml:space="preserve"> to reflect on meaningful aspects of her life. She was supported to discuss her childhood, family relationships, career experiences, and personal achievements. Photographs and personal belongings were used as prompts to encourage discussion and positive memories.</w:t>
      </w:r>
    </w:p>
    <w:p w14:paraId="4F2CEFCA" w14:textId="77777777" w:rsidR="009633C9" w:rsidRPr="008A3A45" w:rsidRDefault="009633C9" w:rsidP="00322BAB">
      <w:pPr>
        <w:spacing w:line="360" w:lineRule="auto"/>
        <w:rPr>
          <w:rFonts w:ascii="Arial" w:hAnsi="Arial" w:cs="Arial"/>
          <w:sz w:val="22"/>
          <w:szCs w:val="22"/>
        </w:rPr>
      </w:pPr>
      <w:r w:rsidRPr="008A3A45">
        <w:rPr>
          <w:rFonts w:ascii="Arial" w:hAnsi="Arial" w:cs="Arial"/>
          <w:sz w:val="22"/>
          <w:szCs w:val="22"/>
        </w:rPr>
        <w:t xml:space="preserve">With </w:t>
      </w:r>
      <w:proofErr w:type="spellStart"/>
      <w:r w:rsidRPr="008A3A45">
        <w:rPr>
          <w:rFonts w:ascii="Arial" w:hAnsi="Arial" w:cs="Arial"/>
          <w:sz w:val="22"/>
          <w:szCs w:val="22"/>
        </w:rPr>
        <w:t>Orinthia’s</w:t>
      </w:r>
      <w:proofErr w:type="spellEnd"/>
      <w:r w:rsidRPr="008A3A45">
        <w:rPr>
          <w:rFonts w:ascii="Arial" w:hAnsi="Arial" w:cs="Arial"/>
          <w:sz w:val="22"/>
          <w:szCs w:val="22"/>
        </w:rPr>
        <w:t xml:space="preserve"> informed consent, selected memories were recorded and shared with her family. This allowed her experiences and achievements to be recognised and valued, strengthening connections with relatives. Over time, </w:t>
      </w:r>
      <w:proofErr w:type="spellStart"/>
      <w:r w:rsidRPr="008A3A45">
        <w:rPr>
          <w:rFonts w:ascii="Arial" w:hAnsi="Arial" w:cs="Arial"/>
          <w:sz w:val="22"/>
          <w:szCs w:val="22"/>
        </w:rPr>
        <w:t>Orinthia</w:t>
      </w:r>
      <w:proofErr w:type="spellEnd"/>
      <w:r w:rsidRPr="008A3A45">
        <w:rPr>
          <w:rFonts w:ascii="Arial" w:hAnsi="Arial" w:cs="Arial"/>
          <w:sz w:val="22"/>
          <w:szCs w:val="22"/>
        </w:rPr>
        <w:t xml:space="preserve"> became more engaged in social activities and demonstrated improvements in confidence and emotional wellbeing.</w:t>
      </w:r>
    </w:p>
    <w:p w14:paraId="53D107CC" w14:textId="152503B0" w:rsidR="00295924" w:rsidRDefault="009633C9" w:rsidP="00322BAB">
      <w:pPr>
        <w:spacing w:line="360" w:lineRule="auto"/>
        <w:rPr>
          <w:rFonts w:ascii="Arial" w:hAnsi="Arial" w:cs="Arial"/>
          <w:sz w:val="22"/>
          <w:szCs w:val="22"/>
        </w:rPr>
      </w:pPr>
      <w:r w:rsidRPr="008A3A45">
        <w:rPr>
          <w:rFonts w:ascii="Arial" w:hAnsi="Arial" w:cs="Arial"/>
          <w:sz w:val="22"/>
          <w:szCs w:val="22"/>
        </w:rPr>
        <w:t>This example demonstrates how applying Erikson’s theory can help care professionals support older adults in maintaining identity, purpose, and emotional resilience. Rather than focusing only on physical needs, the approach recognises the importance of psychological and social wellbeing.</w:t>
      </w:r>
    </w:p>
    <w:p w14:paraId="733B2A14" w14:textId="77777777" w:rsidR="00295924" w:rsidRPr="00295924" w:rsidRDefault="00295924" w:rsidP="00322BAB">
      <w:pPr>
        <w:spacing w:line="360" w:lineRule="auto"/>
        <w:rPr>
          <w:rFonts w:ascii="Arial" w:hAnsi="Arial" w:cs="Arial"/>
          <w:sz w:val="22"/>
          <w:szCs w:val="22"/>
        </w:rPr>
      </w:pPr>
    </w:p>
    <w:p w14:paraId="06315C1C" w14:textId="0476DFED" w:rsidR="009633C9" w:rsidRPr="008A3A45" w:rsidRDefault="009633C9" w:rsidP="00322BAB">
      <w:pPr>
        <w:spacing w:line="360" w:lineRule="auto"/>
        <w:rPr>
          <w:rFonts w:ascii="Arial" w:hAnsi="Arial" w:cs="Arial"/>
          <w:b/>
          <w:bCs/>
          <w:sz w:val="22"/>
          <w:szCs w:val="22"/>
        </w:rPr>
      </w:pPr>
      <w:r w:rsidRPr="008A3A45">
        <w:rPr>
          <w:rFonts w:ascii="Arial" w:hAnsi="Arial" w:cs="Arial"/>
          <w:b/>
          <w:bCs/>
          <w:sz w:val="22"/>
          <w:szCs w:val="22"/>
        </w:rPr>
        <w:t>Challenges When Applying Erikson’s Theory</w:t>
      </w:r>
    </w:p>
    <w:p w14:paraId="2EA752FF" w14:textId="77777777" w:rsidR="009633C9" w:rsidRPr="008A3A45" w:rsidRDefault="009633C9" w:rsidP="00322BAB">
      <w:pPr>
        <w:spacing w:line="360" w:lineRule="auto"/>
        <w:rPr>
          <w:rFonts w:ascii="Arial" w:hAnsi="Arial" w:cs="Arial"/>
          <w:sz w:val="22"/>
          <w:szCs w:val="22"/>
        </w:rPr>
      </w:pPr>
      <w:r w:rsidRPr="008A3A45">
        <w:rPr>
          <w:rFonts w:ascii="Arial" w:hAnsi="Arial" w:cs="Arial"/>
          <w:sz w:val="22"/>
          <w:szCs w:val="22"/>
        </w:rPr>
        <w:lastRenderedPageBreak/>
        <w:t>Although Erikson’s theory provides valuable guidance, professionals may face challenges when applying it in practice. One difficulty is that some older adults may be reluctant to reflect on their past, particularly if they have experienced trauma, bereavement, or difficult life events. Encouraging individuals to discuss personal memories without considering their emotional readiness may cause distress rather than improve wellbeing.</w:t>
      </w:r>
    </w:p>
    <w:p w14:paraId="6427DCA6" w14:textId="77777777" w:rsidR="009633C9" w:rsidRPr="008A3A45" w:rsidRDefault="009633C9" w:rsidP="00322BAB">
      <w:pPr>
        <w:spacing w:line="360" w:lineRule="auto"/>
        <w:rPr>
          <w:rFonts w:ascii="Arial" w:hAnsi="Arial" w:cs="Arial"/>
          <w:sz w:val="22"/>
          <w:szCs w:val="22"/>
        </w:rPr>
      </w:pPr>
      <w:r w:rsidRPr="008A3A45">
        <w:rPr>
          <w:rFonts w:ascii="Arial" w:hAnsi="Arial" w:cs="Arial"/>
          <w:sz w:val="22"/>
          <w:szCs w:val="22"/>
        </w:rPr>
        <w:t>Another challenge is supporting individuals with dementia or cognitive impairment, as memory difficulties may affect their ability to participate in traditional reminiscence activities. Therefore, professionals must adapt their approach according to each person’s abilities and preferences.</w:t>
      </w:r>
    </w:p>
    <w:p w14:paraId="202196AA" w14:textId="77777777" w:rsidR="00F109D7" w:rsidRDefault="00F109D7" w:rsidP="00322BAB">
      <w:pPr>
        <w:spacing w:line="360" w:lineRule="auto"/>
        <w:rPr>
          <w:rFonts w:ascii="Arial" w:hAnsi="Arial" w:cs="Arial"/>
          <w:b/>
          <w:bCs/>
          <w:sz w:val="22"/>
          <w:szCs w:val="22"/>
        </w:rPr>
      </w:pPr>
    </w:p>
    <w:p w14:paraId="6848A83D" w14:textId="224DDCF0" w:rsidR="009633C9" w:rsidRPr="008A3A45" w:rsidRDefault="009633C9" w:rsidP="00322BAB">
      <w:pPr>
        <w:spacing w:line="360" w:lineRule="auto"/>
        <w:rPr>
          <w:rFonts w:ascii="Arial" w:hAnsi="Arial" w:cs="Arial"/>
          <w:b/>
          <w:bCs/>
          <w:sz w:val="22"/>
          <w:szCs w:val="22"/>
        </w:rPr>
      </w:pPr>
      <w:r w:rsidRPr="008A3A45">
        <w:rPr>
          <w:rFonts w:ascii="Arial" w:hAnsi="Arial" w:cs="Arial"/>
          <w:b/>
          <w:bCs/>
          <w:sz w:val="22"/>
          <w:szCs w:val="22"/>
        </w:rPr>
        <w:t>Strategies to Overcome Challenges</w:t>
      </w:r>
    </w:p>
    <w:p w14:paraId="466B277E" w14:textId="77777777" w:rsidR="009633C9" w:rsidRPr="008A3A45" w:rsidRDefault="009633C9" w:rsidP="00322BAB">
      <w:pPr>
        <w:spacing w:line="360" w:lineRule="auto"/>
        <w:rPr>
          <w:rFonts w:ascii="Arial" w:hAnsi="Arial" w:cs="Arial"/>
          <w:sz w:val="22"/>
          <w:szCs w:val="22"/>
        </w:rPr>
      </w:pPr>
      <w:r w:rsidRPr="008A3A45">
        <w:rPr>
          <w:rFonts w:ascii="Arial" w:hAnsi="Arial" w:cs="Arial"/>
          <w:sz w:val="22"/>
          <w:szCs w:val="22"/>
        </w:rPr>
        <w:t>To address these challenges, care professionals should use flexible and sensitive approaches. Participation in reminiscence activities should always be voluntary, and individuals should have control over which memories they wish to discuss. Staff should receive appropriate training to understand how to support emotional conversations and respond to distress appropriately.</w:t>
      </w:r>
    </w:p>
    <w:p w14:paraId="17D6E5DE" w14:textId="77777777" w:rsidR="009633C9" w:rsidRPr="008A3A45" w:rsidRDefault="009633C9" w:rsidP="00322BAB">
      <w:pPr>
        <w:spacing w:line="360" w:lineRule="auto"/>
        <w:rPr>
          <w:rFonts w:ascii="Arial" w:hAnsi="Arial" w:cs="Arial"/>
          <w:sz w:val="22"/>
          <w:szCs w:val="22"/>
        </w:rPr>
      </w:pPr>
      <w:r w:rsidRPr="008A3A45">
        <w:rPr>
          <w:rFonts w:ascii="Arial" w:hAnsi="Arial" w:cs="Arial"/>
          <w:sz w:val="22"/>
          <w:szCs w:val="22"/>
        </w:rPr>
        <w:t>For individuals with cognitive impairment, alternative methods such as music, sensory activities, photographs, or familiar objects can be used to encourage emotional connection without relying heavily on verbal memory. Activities should be personalised and incorporated into daily routines to ensure they are realistic within busy care environments.</w:t>
      </w:r>
    </w:p>
    <w:p w14:paraId="36EEFE87" w14:textId="09A76048" w:rsidR="003B667E" w:rsidRDefault="009633C9" w:rsidP="00322BAB">
      <w:pPr>
        <w:spacing w:line="360" w:lineRule="auto"/>
        <w:rPr>
          <w:rFonts w:ascii="Arial" w:hAnsi="Arial" w:cs="Arial"/>
          <w:sz w:val="22"/>
          <w:szCs w:val="22"/>
        </w:rPr>
      </w:pPr>
      <w:r w:rsidRPr="008A3A45">
        <w:rPr>
          <w:rFonts w:ascii="Arial" w:hAnsi="Arial" w:cs="Arial"/>
          <w:sz w:val="22"/>
          <w:szCs w:val="22"/>
        </w:rPr>
        <w:t>A person-centred approach is essential when applying Erikson’s theory. Professionals should consider each individual’s life history, culture, relationships, and personal preferences. By doing so, care homes can create environments where older adults feel valued, respected, and supported.</w:t>
      </w:r>
    </w:p>
    <w:p w14:paraId="7034C8A4" w14:textId="77777777" w:rsidR="00295924" w:rsidRPr="00F03865" w:rsidRDefault="00295924" w:rsidP="00322BAB">
      <w:pPr>
        <w:spacing w:line="360" w:lineRule="auto"/>
        <w:rPr>
          <w:rFonts w:ascii="Arial" w:hAnsi="Arial" w:cs="Arial"/>
          <w:sz w:val="22"/>
          <w:szCs w:val="22"/>
        </w:rPr>
      </w:pPr>
    </w:p>
    <w:p w14:paraId="0734643E" w14:textId="439DC96E" w:rsidR="009633C9" w:rsidRPr="008A3A45" w:rsidRDefault="009633C9" w:rsidP="00322BAB">
      <w:pPr>
        <w:spacing w:line="360" w:lineRule="auto"/>
        <w:rPr>
          <w:rFonts w:ascii="Arial" w:hAnsi="Arial" w:cs="Arial"/>
          <w:b/>
          <w:bCs/>
          <w:sz w:val="22"/>
          <w:szCs w:val="22"/>
        </w:rPr>
      </w:pPr>
      <w:r w:rsidRPr="008A3A45">
        <w:rPr>
          <w:rFonts w:ascii="Arial" w:hAnsi="Arial" w:cs="Arial"/>
          <w:b/>
          <w:bCs/>
          <w:sz w:val="22"/>
          <w:szCs w:val="22"/>
        </w:rPr>
        <w:t>Conclusion</w:t>
      </w:r>
    </w:p>
    <w:p w14:paraId="36017611" w14:textId="77777777" w:rsidR="00295924" w:rsidRDefault="009633C9" w:rsidP="00322BAB">
      <w:pPr>
        <w:spacing w:line="360" w:lineRule="auto"/>
        <w:rPr>
          <w:rFonts w:ascii="Arial" w:hAnsi="Arial" w:cs="Arial"/>
          <w:sz w:val="22"/>
          <w:szCs w:val="22"/>
        </w:rPr>
      </w:pPr>
      <w:r w:rsidRPr="008A3A45">
        <w:rPr>
          <w:rFonts w:ascii="Arial" w:hAnsi="Arial" w:cs="Arial"/>
          <w:sz w:val="22"/>
          <w:szCs w:val="22"/>
        </w:rPr>
        <w:t>Erikson’s psychosocial theory provides an important framework for understanding psychological wellbeing in later adulthood. By supporting reflection, identity, and meaning, care professionals can help older adults develop a sense of ego integrity and maintain emotional wellbeing. When combined with evidence-based approaches such as reminiscence activities, Erikson’s theory can contribute to improved quality of life, stronger relationships, and more person-centred care within residential settings.</w:t>
      </w:r>
    </w:p>
    <w:p w14:paraId="37C827E2" w14:textId="498CB4D0" w:rsidR="00931228" w:rsidRPr="00295924" w:rsidRDefault="00CE5A67" w:rsidP="00322BAB">
      <w:pPr>
        <w:spacing w:line="360" w:lineRule="auto"/>
        <w:rPr>
          <w:rFonts w:ascii="Arial" w:hAnsi="Arial" w:cs="Arial"/>
          <w:sz w:val="22"/>
          <w:szCs w:val="22"/>
        </w:rPr>
      </w:pPr>
      <w:r w:rsidRPr="008A3A45">
        <w:rPr>
          <w:rFonts w:ascii="Arial" w:hAnsi="Arial" w:cs="Arial"/>
          <w:b/>
          <w:bCs/>
          <w:sz w:val="22"/>
          <w:szCs w:val="22"/>
        </w:rPr>
        <w:lastRenderedPageBreak/>
        <w:t>Reference list</w:t>
      </w:r>
    </w:p>
    <w:p w14:paraId="692FFF59" w14:textId="77777777" w:rsidR="00F109D7" w:rsidRDefault="00F109D7" w:rsidP="00322BAB">
      <w:pPr>
        <w:spacing w:line="360" w:lineRule="auto"/>
        <w:rPr>
          <w:rFonts w:ascii="Arial" w:hAnsi="Arial" w:cs="Arial"/>
          <w:sz w:val="22"/>
          <w:szCs w:val="22"/>
        </w:rPr>
      </w:pPr>
    </w:p>
    <w:p w14:paraId="76BAB4E6" w14:textId="57D6DED9" w:rsidR="00B2438A" w:rsidRPr="008A3A45" w:rsidRDefault="00B2438A" w:rsidP="00322BAB">
      <w:pPr>
        <w:spacing w:line="360" w:lineRule="auto"/>
        <w:rPr>
          <w:rFonts w:ascii="Arial" w:hAnsi="Arial" w:cs="Arial"/>
          <w:sz w:val="22"/>
          <w:szCs w:val="22"/>
        </w:rPr>
      </w:pPr>
      <w:r w:rsidRPr="008A3A45">
        <w:rPr>
          <w:rFonts w:ascii="Arial" w:hAnsi="Arial" w:cs="Arial"/>
          <w:sz w:val="22"/>
          <w:szCs w:val="22"/>
        </w:rPr>
        <w:t>Erikson, E. H. (1998). The Life Cycle Completed. New York: W.W. Norton &amp; Company.</w:t>
      </w:r>
    </w:p>
    <w:p w14:paraId="73BAC44D" w14:textId="77777777" w:rsidR="00B2438A" w:rsidRPr="008A3A45" w:rsidRDefault="00B2438A" w:rsidP="00322BAB">
      <w:pPr>
        <w:spacing w:line="360" w:lineRule="auto"/>
        <w:rPr>
          <w:rFonts w:ascii="Arial" w:hAnsi="Arial" w:cs="Arial"/>
          <w:sz w:val="22"/>
          <w:szCs w:val="22"/>
        </w:rPr>
      </w:pPr>
    </w:p>
    <w:p w14:paraId="5F09BBA0" w14:textId="2C3C52B6" w:rsidR="00B2438A" w:rsidRPr="008A3A45" w:rsidRDefault="00B2438A" w:rsidP="00322BAB">
      <w:pPr>
        <w:spacing w:line="360" w:lineRule="auto"/>
        <w:rPr>
          <w:rFonts w:ascii="Arial" w:hAnsi="Arial" w:cs="Arial"/>
          <w:sz w:val="22"/>
          <w:szCs w:val="22"/>
        </w:rPr>
      </w:pPr>
      <w:proofErr w:type="spellStart"/>
      <w:r w:rsidRPr="008A3A45">
        <w:rPr>
          <w:rFonts w:ascii="Arial" w:hAnsi="Arial" w:cs="Arial"/>
          <w:sz w:val="22"/>
          <w:szCs w:val="22"/>
        </w:rPr>
        <w:t>Westerhof</w:t>
      </w:r>
      <w:proofErr w:type="spellEnd"/>
      <w:r w:rsidRPr="008A3A45">
        <w:rPr>
          <w:rFonts w:ascii="Arial" w:hAnsi="Arial" w:cs="Arial"/>
          <w:sz w:val="22"/>
          <w:szCs w:val="22"/>
        </w:rPr>
        <w:t xml:space="preserve">, G. J., &amp; </w:t>
      </w:r>
      <w:proofErr w:type="spellStart"/>
      <w:r w:rsidRPr="008A3A45">
        <w:rPr>
          <w:rFonts w:ascii="Arial" w:hAnsi="Arial" w:cs="Arial"/>
          <w:sz w:val="22"/>
          <w:szCs w:val="22"/>
        </w:rPr>
        <w:t>Bohlmeijer</w:t>
      </w:r>
      <w:proofErr w:type="spellEnd"/>
      <w:r w:rsidRPr="008A3A45">
        <w:rPr>
          <w:rFonts w:ascii="Arial" w:hAnsi="Arial" w:cs="Arial"/>
          <w:sz w:val="22"/>
          <w:szCs w:val="22"/>
        </w:rPr>
        <w:t>, E. T. (2014). Celebrating fifty years of research and applications in reminiscence and life review. Journal of Aging Studies, 29, 107</w:t>
      </w:r>
      <w:r w:rsidR="00433503" w:rsidRPr="008A3A45">
        <w:rPr>
          <w:rFonts w:ascii="Arial" w:hAnsi="Arial" w:cs="Arial"/>
          <w:sz w:val="22"/>
          <w:szCs w:val="22"/>
        </w:rPr>
        <w:t>-</w:t>
      </w:r>
      <w:r w:rsidRPr="008A3A45">
        <w:rPr>
          <w:rFonts w:ascii="Arial" w:hAnsi="Arial" w:cs="Arial"/>
          <w:sz w:val="22"/>
          <w:szCs w:val="22"/>
        </w:rPr>
        <w:t xml:space="preserve">114. </w:t>
      </w:r>
      <w:hyperlink r:id="rId9" w:history="1">
        <w:r w:rsidRPr="008A3A45">
          <w:rPr>
            <w:rStyle w:val="Hyperlink"/>
            <w:rFonts w:ascii="Arial" w:hAnsi="Arial" w:cs="Arial"/>
            <w:sz w:val="22"/>
            <w:szCs w:val="22"/>
          </w:rPr>
          <w:t>https://doi.org/10.1016/j.jaging.2014.02.003</w:t>
        </w:r>
      </w:hyperlink>
    </w:p>
    <w:p w14:paraId="136FDA7F" w14:textId="77777777" w:rsidR="00B2438A" w:rsidRPr="008A3A45" w:rsidRDefault="00B2438A" w:rsidP="00322BAB">
      <w:pPr>
        <w:spacing w:line="360" w:lineRule="auto"/>
        <w:rPr>
          <w:rFonts w:ascii="Arial" w:hAnsi="Arial" w:cs="Arial"/>
          <w:sz w:val="22"/>
          <w:szCs w:val="22"/>
        </w:rPr>
      </w:pPr>
    </w:p>
    <w:p w14:paraId="451DE6CB" w14:textId="12F069E5" w:rsidR="00B2438A" w:rsidRPr="008A3A45" w:rsidRDefault="00B2438A" w:rsidP="00322BAB">
      <w:pPr>
        <w:spacing w:line="360" w:lineRule="auto"/>
        <w:rPr>
          <w:rFonts w:ascii="Arial" w:hAnsi="Arial" w:cs="Arial"/>
          <w:sz w:val="22"/>
          <w:szCs w:val="22"/>
        </w:rPr>
      </w:pPr>
      <w:proofErr w:type="spellStart"/>
      <w:r w:rsidRPr="008A3A45">
        <w:rPr>
          <w:rFonts w:ascii="Arial" w:hAnsi="Arial" w:cs="Arial"/>
          <w:sz w:val="22"/>
          <w:szCs w:val="22"/>
        </w:rPr>
        <w:t>Bohlmeijer</w:t>
      </w:r>
      <w:proofErr w:type="spellEnd"/>
      <w:r w:rsidRPr="008A3A45">
        <w:rPr>
          <w:rFonts w:ascii="Arial" w:hAnsi="Arial" w:cs="Arial"/>
          <w:sz w:val="22"/>
          <w:szCs w:val="22"/>
        </w:rPr>
        <w:t xml:space="preserve">, E., Roemer, M., </w:t>
      </w:r>
      <w:proofErr w:type="spellStart"/>
      <w:r w:rsidRPr="008A3A45">
        <w:rPr>
          <w:rFonts w:ascii="Arial" w:hAnsi="Arial" w:cs="Arial"/>
          <w:sz w:val="22"/>
          <w:szCs w:val="22"/>
        </w:rPr>
        <w:t>Cuijpers</w:t>
      </w:r>
      <w:proofErr w:type="spellEnd"/>
      <w:r w:rsidRPr="008A3A45">
        <w:rPr>
          <w:rFonts w:ascii="Arial" w:hAnsi="Arial" w:cs="Arial"/>
          <w:sz w:val="22"/>
          <w:szCs w:val="22"/>
        </w:rPr>
        <w:t xml:space="preserve">, P., &amp; </w:t>
      </w:r>
      <w:proofErr w:type="spellStart"/>
      <w:r w:rsidRPr="008A3A45">
        <w:rPr>
          <w:rFonts w:ascii="Arial" w:hAnsi="Arial" w:cs="Arial"/>
          <w:sz w:val="22"/>
          <w:szCs w:val="22"/>
        </w:rPr>
        <w:t>Smit</w:t>
      </w:r>
      <w:proofErr w:type="spellEnd"/>
      <w:r w:rsidRPr="008A3A45">
        <w:rPr>
          <w:rFonts w:ascii="Arial" w:hAnsi="Arial" w:cs="Arial"/>
          <w:sz w:val="22"/>
          <w:szCs w:val="22"/>
        </w:rPr>
        <w:t>, F. (2007). The effects of reminiscence on psychological well-being in older adults: A meta-analysis. Aging &amp; Mental Health, 11(3), 291</w:t>
      </w:r>
      <w:r w:rsidR="00433503" w:rsidRPr="008A3A45">
        <w:rPr>
          <w:rFonts w:ascii="Arial" w:hAnsi="Arial" w:cs="Arial"/>
          <w:sz w:val="22"/>
          <w:szCs w:val="22"/>
        </w:rPr>
        <w:t>-</w:t>
      </w:r>
      <w:r w:rsidRPr="008A3A45">
        <w:rPr>
          <w:rFonts w:ascii="Arial" w:hAnsi="Arial" w:cs="Arial"/>
          <w:sz w:val="22"/>
          <w:szCs w:val="22"/>
        </w:rPr>
        <w:t xml:space="preserve">300. </w:t>
      </w:r>
      <w:hyperlink r:id="rId10" w:history="1">
        <w:r w:rsidRPr="008A3A45">
          <w:rPr>
            <w:rStyle w:val="Hyperlink"/>
            <w:rFonts w:ascii="Arial" w:hAnsi="Arial" w:cs="Arial"/>
            <w:sz w:val="22"/>
            <w:szCs w:val="22"/>
          </w:rPr>
          <w:t>https://doi.org/10.1080/13607860600963547</w:t>
        </w:r>
      </w:hyperlink>
    </w:p>
    <w:p w14:paraId="272BDD7A" w14:textId="77777777" w:rsidR="00B2438A" w:rsidRPr="008A3A45" w:rsidRDefault="00B2438A" w:rsidP="00322BAB">
      <w:pPr>
        <w:spacing w:line="360" w:lineRule="auto"/>
        <w:rPr>
          <w:rFonts w:ascii="Arial" w:hAnsi="Arial" w:cs="Arial"/>
          <w:sz w:val="22"/>
          <w:szCs w:val="22"/>
        </w:rPr>
      </w:pPr>
    </w:p>
    <w:p w14:paraId="58DC6218" w14:textId="0B27FCDC" w:rsidR="00B2438A" w:rsidRPr="008A3A45" w:rsidRDefault="00B2438A" w:rsidP="00322BAB">
      <w:pPr>
        <w:spacing w:line="360" w:lineRule="auto"/>
        <w:rPr>
          <w:rFonts w:ascii="Arial" w:hAnsi="Arial" w:cs="Arial"/>
          <w:sz w:val="22"/>
          <w:szCs w:val="22"/>
        </w:rPr>
      </w:pPr>
      <w:r w:rsidRPr="008A3A45">
        <w:rPr>
          <w:rFonts w:ascii="Arial" w:hAnsi="Arial" w:cs="Arial"/>
          <w:sz w:val="22"/>
          <w:szCs w:val="22"/>
        </w:rPr>
        <w:t xml:space="preserve">Butler, R. N. (1963). The life review: An interpretation of reminiscence in the aged. Psychiatry, 26(1), 65–76. </w:t>
      </w:r>
      <w:hyperlink r:id="rId11" w:history="1">
        <w:r w:rsidRPr="008A3A45">
          <w:rPr>
            <w:rStyle w:val="Hyperlink"/>
            <w:rFonts w:ascii="Arial" w:hAnsi="Arial" w:cs="Arial"/>
            <w:sz w:val="22"/>
            <w:szCs w:val="22"/>
          </w:rPr>
          <w:t>https://doi.org/10.1080/00332747.1963.11023339</w:t>
        </w:r>
      </w:hyperlink>
    </w:p>
    <w:p w14:paraId="19AC0538" w14:textId="77777777" w:rsidR="00B2438A" w:rsidRPr="008A3A45" w:rsidRDefault="00B2438A" w:rsidP="00322BAB">
      <w:pPr>
        <w:spacing w:line="360" w:lineRule="auto"/>
        <w:rPr>
          <w:rFonts w:ascii="Arial" w:hAnsi="Arial" w:cs="Arial"/>
          <w:sz w:val="22"/>
          <w:szCs w:val="22"/>
        </w:rPr>
      </w:pPr>
    </w:p>
    <w:p w14:paraId="7750E84B" w14:textId="77777777" w:rsidR="00B2438A" w:rsidRPr="008A3A45" w:rsidRDefault="00B2438A" w:rsidP="00322BAB">
      <w:pPr>
        <w:spacing w:line="360" w:lineRule="auto"/>
        <w:rPr>
          <w:rFonts w:ascii="Arial" w:hAnsi="Arial" w:cs="Arial"/>
          <w:sz w:val="22"/>
          <w:szCs w:val="22"/>
        </w:rPr>
      </w:pPr>
      <w:r w:rsidRPr="008A3A45">
        <w:rPr>
          <w:rFonts w:ascii="Arial" w:hAnsi="Arial" w:cs="Arial"/>
          <w:sz w:val="22"/>
          <w:szCs w:val="22"/>
        </w:rPr>
        <w:t xml:space="preserve">Seligman, M. E. (2011). Flourish: A New Understanding of Happiness and Well-being and How to Achieve Them. Nicholas </w:t>
      </w:r>
      <w:proofErr w:type="spellStart"/>
      <w:r w:rsidRPr="008A3A45">
        <w:rPr>
          <w:rFonts w:ascii="Arial" w:hAnsi="Arial" w:cs="Arial"/>
          <w:sz w:val="22"/>
          <w:szCs w:val="22"/>
        </w:rPr>
        <w:t>Brealey</w:t>
      </w:r>
      <w:proofErr w:type="spellEnd"/>
      <w:r w:rsidRPr="008A3A45">
        <w:rPr>
          <w:rFonts w:ascii="Arial" w:hAnsi="Arial" w:cs="Arial"/>
          <w:sz w:val="22"/>
          <w:szCs w:val="22"/>
        </w:rPr>
        <w:t>.</w:t>
      </w:r>
    </w:p>
    <w:p w14:paraId="75EC72DD" w14:textId="77777777" w:rsidR="00B2438A" w:rsidRPr="008A3A45" w:rsidRDefault="00B2438A" w:rsidP="00322BAB">
      <w:pPr>
        <w:spacing w:line="360" w:lineRule="auto"/>
        <w:rPr>
          <w:rFonts w:ascii="Arial" w:hAnsi="Arial" w:cs="Arial"/>
          <w:sz w:val="22"/>
          <w:szCs w:val="22"/>
        </w:rPr>
      </w:pPr>
    </w:p>
    <w:p w14:paraId="0AFF7E9A" w14:textId="7918F956" w:rsidR="00B2438A" w:rsidRPr="008A3A45" w:rsidRDefault="00B2438A" w:rsidP="00322BAB">
      <w:pPr>
        <w:spacing w:line="360" w:lineRule="auto"/>
        <w:rPr>
          <w:rFonts w:ascii="Arial" w:hAnsi="Arial" w:cs="Arial"/>
          <w:sz w:val="22"/>
          <w:szCs w:val="22"/>
        </w:rPr>
      </w:pPr>
      <w:r w:rsidRPr="008A3A45">
        <w:rPr>
          <w:rFonts w:ascii="Arial" w:hAnsi="Arial" w:cs="Arial"/>
          <w:sz w:val="22"/>
          <w:szCs w:val="22"/>
        </w:rPr>
        <w:t xml:space="preserve">Seligman, M. E., &amp; </w:t>
      </w:r>
      <w:proofErr w:type="spellStart"/>
      <w:r w:rsidRPr="008A3A45">
        <w:rPr>
          <w:rFonts w:ascii="Arial" w:hAnsi="Arial" w:cs="Arial"/>
          <w:sz w:val="22"/>
          <w:szCs w:val="22"/>
        </w:rPr>
        <w:t>Csikszentmihalyi</w:t>
      </w:r>
      <w:proofErr w:type="spellEnd"/>
      <w:r w:rsidRPr="008A3A45">
        <w:rPr>
          <w:rFonts w:ascii="Arial" w:hAnsi="Arial" w:cs="Arial"/>
          <w:sz w:val="22"/>
          <w:szCs w:val="22"/>
        </w:rPr>
        <w:t>, M. (2000). Positive psychology: An introduction. The American Psychologist, 55(1), 5</w:t>
      </w:r>
      <w:r w:rsidR="00433503" w:rsidRPr="008A3A45">
        <w:rPr>
          <w:rFonts w:ascii="Arial" w:hAnsi="Arial" w:cs="Arial"/>
          <w:sz w:val="22"/>
          <w:szCs w:val="22"/>
        </w:rPr>
        <w:t xml:space="preserve"> -</w:t>
      </w:r>
      <w:r w:rsidRPr="008A3A45">
        <w:rPr>
          <w:rFonts w:ascii="Arial" w:hAnsi="Arial" w:cs="Arial"/>
          <w:sz w:val="22"/>
          <w:szCs w:val="22"/>
        </w:rPr>
        <w:t xml:space="preserve">14. </w:t>
      </w:r>
      <w:hyperlink r:id="rId12" w:history="1">
        <w:r w:rsidRPr="008A3A45">
          <w:rPr>
            <w:rStyle w:val="Hyperlink"/>
            <w:rFonts w:ascii="Arial" w:hAnsi="Arial" w:cs="Arial"/>
            <w:sz w:val="22"/>
            <w:szCs w:val="22"/>
          </w:rPr>
          <w:t>https://doi.org/10.1037//0003-066x.55.1.5</w:t>
        </w:r>
      </w:hyperlink>
    </w:p>
    <w:p w14:paraId="06A8863B" w14:textId="77777777" w:rsidR="00B2438A" w:rsidRPr="008A3A45" w:rsidRDefault="00B2438A" w:rsidP="00322BAB">
      <w:pPr>
        <w:spacing w:line="360" w:lineRule="auto"/>
        <w:rPr>
          <w:rFonts w:ascii="Arial" w:hAnsi="Arial" w:cs="Arial"/>
          <w:sz w:val="22"/>
          <w:szCs w:val="22"/>
        </w:rPr>
      </w:pPr>
    </w:p>
    <w:p w14:paraId="0A324653" w14:textId="5968D574" w:rsidR="00B2438A" w:rsidRPr="008A3A45" w:rsidRDefault="00B2438A" w:rsidP="00322BAB">
      <w:pPr>
        <w:spacing w:line="360" w:lineRule="auto"/>
        <w:rPr>
          <w:rFonts w:ascii="Arial" w:hAnsi="Arial" w:cs="Arial"/>
          <w:sz w:val="22"/>
          <w:szCs w:val="22"/>
        </w:rPr>
      </w:pPr>
      <w:proofErr w:type="spellStart"/>
      <w:r w:rsidRPr="008A3A45">
        <w:rPr>
          <w:rFonts w:ascii="Arial" w:hAnsi="Arial" w:cs="Arial"/>
          <w:sz w:val="22"/>
          <w:szCs w:val="22"/>
        </w:rPr>
        <w:t>Bolier</w:t>
      </w:r>
      <w:proofErr w:type="spellEnd"/>
      <w:r w:rsidRPr="008A3A45">
        <w:rPr>
          <w:rFonts w:ascii="Arial" w:hAnsi="Arial" w:cs="Arial"/>
          <w:sz w:val="22"/>
          <w:szCs w:val="22"/>
        </w:rPr>
        <w:t xml:space="preserve">, L., </w:t>
      </w:r>
      <w:proofErr w:type="spellStart"/>
      <w:r w:rsidRPr="008A3A45">
        <w:rPr>
          <w:rFonts w:ascii="Arial" w:hAnsi="Arial" w:cs="Arial"/>
          <w:sz w:val="22"/>
          <w:szCs w:val="22"/>
        </w:rPr>
        <w:t>Haverman</w:t>
      </w:r>
      <w:proofErr w:type="spellEnd"/>
      <w:r w:rsidRPr="008A3A45">
        <w:rPr>
          <w:rFonts w:ascii="Arial" w:hAnsi="Arial" w:cs="Arial"/>
          <w:sz w:val="22"/>
          <w:szCs w:val="22"/>
        </w:rPr>
        <w:t xml:space="preserve">, M., </w:t>
      </w:r>
      <w:proofErr w:type="spellStart"/>
      <w:r w:rsidRPr="008A3A45">
        <w:rPr>
          <w:rFonts w:ascii="Arial" w:hAnsi="Arial" w:cs="Arial"/>
          <w:sz w:val="22"/>
          <w:szCs w:val="22"/>
        </w:rPr>
        <w:t>Westerhof</w:t>
      </w:r>
      <w:proofErr w:type="spellEnd"/>
      <w:r w:rsidRPr="008A3A45">
        <w:rPr>
          <w:rFonts w:ascii="Arial" w:hAnsi="Arial" w:cs="Arial"/>
          <w:sz w:val="22"/>
          <w:szCs w:val="22"/>
        </w:rPr>
        <w:t xml:space="preserve">, G. J., Riper, H., </w:t>
      </w:r>
      <w:proofErr w:type="spellStart"/>
      <w:r w:rsidRPr="008A3A45">
        <w:rPr>
          <w:rFonts w:ascii="Arial" w:hAnsi="Arial" w:cs="Arial"/>
          <w:sz w:val="22"/>
          <w:szCs w:val="22"/>
        </w:rPr>
        <w:t>Smit</w:t>
      </w:r>
      <w:proofErr w:type="spellEnd"/>
      <w:r w:rsidRPr="008A3A45">
        <w:rPr>
          <w:rFonts w:ascii="Arial" w:hAnsi="Arial" w:cs="Arial"/>
          <w:sz w:val="22"/>
          <w:szCs w:val="22"/>
        </w:rPr>
        <w:t xml:space="preserve">, F., &amp; </w:t>
      </w:r>
      <w:proofErr w:type="spellStart"/>
      <w:r w:rsidRPr="008A3A45">
        <w:rPr>
          <w:rFonts w:ascii="Arial" w:hAnsi="Arial" w:cs="Arial"/>
          <w:sz w:val="22"/>
          <w:szCs w:val="22"/>
        </w:rPr>
        <w:t>Bohlmeijer</w:t>
      </w:r>
      <w:proofErr w:type="spellEnd"/>
      <w:r w:rsidRPr="008A3A45">
        <w:rPr>
          <w:rFonts w:ascii="Arial" w:hAnsi="Arial" w:cs="Arial"/>
          <w:sz w:val="22"/>
          <w:szCs w:val="22"/>
        </w:rPr>
        <w:t xml:space="preserve">, E. (2013). Positive psychology interventions: A meta-analysis of randomized controlled studies. BMC Public Health, 13, 119. </w:t>
      </w:r>
      <w:hyperlink r:id="rId13" w:history="1">
        <w:r w:rsidRPr="008A3A45">
          <w:rPr>
            <w:rStyle w:val="Hyperlink"/>
            <w:rFonts w:ascii="Arial" w:hAnsi="Arial" w:cs="Arial"/>
            <w:sz w:val="22"/>
            <w:szCs w:val="22"/>
          </w:rPr>
          <w:t>https://doi.org/10.1186/1471-2458-13-119</w:t>
        </w:r>
      </w:hyperlink>
    </w:p>
    <w:p w14:paraId="45C09D2B" w14:textId="77777777" w:rsidR="00B2438A" w:rsidRPr="008A3A45" w:rsidRDefault="00B2438A" w:rsidP="00322BAB">
      <w:pPr>
        <w:spacing w:line="360" w:lineRule="auto"/>
        <w:rPr>
          <w:rFonts w:ascii="Arial" w:hAnsi="Arial" w:cs="Arial"/>
          <w:sz w:val="22"/>
          <w:szCs w:val="22"/>
        </w:rPr>
      </w:pPr>
    </w:p>
    <w:p w14:paraId="2A3DC01E" w14:textId="7163F556" w:rsidR="008944C0" w:rsidRPr="008A3A45" w:rsidRDefault="00B2438A" w:rsidP="00322BAB">
      <w:pPr>
        <w:spacing w:line="360" w:lineRule="auto"/>
        <w:rPr>
          <w:rFonts w:ascii="Arial" w:hAnsi="Arial" w:cs="Arial"/>
          <w:sz w:val="22"/>
          <w:szCs w:val="22"/>
        </w:rPr>
      </w:pPr>
      <w:proofErr w:type="spellStart"/>
      <w:r w:rsidRPr="008A3A45">
        <w:rPr>
          <w:rFonts w:ascii="Arial" w:hAnsi="Arial" w:cs="Arial"/>
          <w:sz w:val="22"/>
          <w:szCs w:val="22"/>
        </w:rPr>
        <w:t>Kitwood</w:t>
      </w:r>
      <w:proofErr w:type="spellEnd"/>
      <w:r w:rsidRPr="008A3A45">
        <w:rPr>
          <w:rFonts w:ascii="Arial" w:hAnsi="Arial" w:cs="Arial"/>
          <w:sz w:val="22"/>
          <w:szCs w:val="22"/>
        </w:rPr>
        <w:t>, T. (1997). Dementia Reconsidered: The Person Comes First. Buckingham: Open University Press.</w:t>
      </w:r>
    </w:p>
    <w:sectPr w:rsidR="008944C0" w:rsidRPr="008A3A45">
      <w:footerReference w:type="even" r:id="rId14"/>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C73E1" w14:textId="77777777" w:rsidR="005131E1" w:rsidRDefault="005131E1" w:rsidP="003E2FEB">
      <w:pPr>
        <w:spacing w:after="0" w:line="240" w:lineRule="auto"/>
      </w:pPr>
      <w:r>
        <w:separator/>
      </w:r>
    </w:p>
  </w:endnote>
  <w:endnote w:type="continuationSeparator" w:id="0">
    <w:p w14:paraId="0863A78D" w14:textId="77777777" w:rsidR="005131E1" w:rsidRDefault="005131E1" w:rsidP="003E2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6898660"/>
      <w:docPartObj>
        <w:docPartGallery w:val="Page Numbers (Bottom of Page)"/>
        <w:docPartUnique/>
      </w:docPartObj>
    </w:sdtPr>
    <w:sdtContent>
      <w:p w14:paraId="0B2E04D7" w14:textId="6445C7F3" w:rsidR="003E2FEB" w:rsidRDefault="003E2FEB" w:rsidP="00401B4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DE88F5" w14:textId="77777777" w:rsidR="003E2FEB" w:rsidRDefault="003E2F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3925182"/>
      <w:docPartObj>
        <w:docPartGallery w:val="Page Numbers (Bottom of Page)"/>
        <w:docPartUnique/>
      </w:docPartObj>
    </w:sdtPr>
    <w:sdtContent>
      <w:p w14:paraId="0808FA12" w14:textId="5DCB3D82" w:rsidR="003E2FEB" w:rsidRDefault="003E2FEB" w:rsidP="00401B4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75B6970" w14:textId="77777777" w:rsidR="003E2FEB" w:rsidRDefault="003E2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A6830" w14:textId="77777777" w:rsidR="005131E1" w:rsidRDefault="005131E1" w:rsidP="003E2FEB">
      <w:pPr>
        <w:spacing w:after="0" w:line="240" w:lineRule="auto"/>
      </w:pPr>
      <w:r>
        <w:separator/>
      </w:r>
    </w:p>
  </w:footnote>
  <w:footnote w:type="continuationSeparator" w:id="0">
    <w:p w14:paraId="0D683240" w14:textId="77777777" w:rsidR="005131E1" w:rsidRDefault="005131E1" w:rsidP="003E2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6A73B1"/>
    <w:multiLevelType w:val="hybridMultilevel"/>
    <w:tmpl w:val="198A2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A41DAE"/>
    <w:multiLevelType w:val="hybridMultilevel"/>
    <w:tmpl w:val="8CB0A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5D3007"/>
    <w:multiLevelType w:val="hybridMultilevel"/>
    <w:tmpl w:val="6DD61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387E28"/>
    <w:multiLevelType w:val="hybridMultilevel"/>
    <w:tmpl w:val="557AA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5838509">
    <w:abstractNumId w:val="2"/>
  </w:num>
  <w:num w:numId="2" w16cid:durableId="2014986507">
    <w:abstractNumId w:val="3"/>
  </w:num>
  <w:num w:numId="3" w16cid:durableId="1935892114">
    <w:abstractNumId w:val="1"/>
  </w:num>
  <w:num w:numId="4" w16cid:durableId="1344937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4C0"/>
    <w:rsid w:val="000638C0"/>
    <w:rsid w:val="000C4563"/>
    <w:rsid w:val="000E0546"/>
    <w:rsid w:val="000F6D3B"/>
    <w:rsid w:val="0010385F"/>
    <w:rsid w:val="00116FAA"/>
    <w:rsid w:val="001626E8"/>
    <w:rsid w:val="001634DB"/>
    <w:rsid w:val="001668BC"/>
    <w:rsid w:val="00171BCE"/>
    <w:rsid w:val="00255529"/>
    <w:rsid w:val="0028682C"/>
    <w:rsid w:val="00295924"/>
    <w:rsid w:val="002A1243"/>
    <w:rsid w:val="002F2C66"/>
    <w:rsid w:val="00322BAB"/>
    <w:rsid w:val="003231CE"/>
    <w:rsid w:val="00326600"/>
    <w:rsid w:val="0033743F"/>
    <w:rsid w:val="00344F36"/>
    <w:rsid w:val="00373EAD"/>
    <w:rsid w:val="003808DA"/>
    <w:rsid w:val="003B0AF1"/>
    <w:rsid w:val="003B667E"/>
    <w:rsid w:val="003E2FEB"/>
    <w:rsid w:val="003F5666"/>
    <w:rsid w:val="003F77C7"/>
    <w:rsid w:val="00403B0D"/>
    <w:rsid w:val="00433503"/>
    <w:rsid w:val="004547AF"/>
    <w:rsid w:val="00467707"/>
    <w:rsid w:val="00471894"/>
    <w:rsid w:val="00495E96"/>
    <w:rsid w:val="004C0F7F"/>
    <w:rsid w:val="004C7E56"/>
    <w:rsid w:val="004E6817"/>
    <w:rsid w:val="004F3AD5"/>
    <w:rsid w:val="005131E1"/>
    <w:rsid w:val="0053565F"/>
    <w:rsid w:val="00563AEC"/>
    <w:rsid w:val="005C0D06"/>
    <w:rsid w:val="005D15FC"/>
    <w:rsid w:val="005D7F26"/>
    <w:rsid w:val="006B0838"/>
    <w:rsid w:val="006D33BB"/>
    <w:rsid w:val="006D6AEA"/>
    <w:rsid w:val="00753BAD"/>
    <w:rsid w:val="00793A97"/>
    <w:rsid w:val="007A1FA0"/>
    <w:rsid w:val="007E0300"/>
    <w:rsid w:val="00814064"/>
    <w:rsid w:val="008944C0"/>
    <w:rsid w:val="008A3A45"/>
    <w:rsid w:val="008B1E8D"/>
    <w:rsid w:val="008D1339"/>
    <w:rsid w:val="008E39DC"/>
    <w:rsid w:val="008E50BA"/>
    <w:rsid w:val="008F32B2"/>
    <w:rsid w:val="00906EC6"/>
    <w:rsid w:val="00931228"/>
    <w:rsid w:val="00941069"/>
    <w:rsid w:val="009633C9"/>
    <w:rsid w:val="009F6F06"/>
    <w:rsid w:val="00A97518"/>
    <w:rsid w:val="00AC1153"/>
    <w:rsid w:val="00AD6E72"/>
    <w:rsid w:val="00B22F47"/>
    <w:rsid w:val="00B2438A"/>
    <w:rsid w:val="00B4019D"/>
    <w:rsid w:val="00B42594"/>
    <w:rsid w:val="00B86505"/>
    <w:rsid w:val="00BA4DC5"/>
    <w:rsid w:val="00BB1495"/>
    <w:rsid w:val="00BC3796"/>
    <w:rsid w:val="00BD1A41"/>
    <w:rsid w:val="00BE25DF"/>
    <w:rsid w:val="00BE45B2"/>
    <w:rsid w:val="00C7223C"/>
    <w:rsid w:val="00C7526A"/>
    <w:rsid w:val="00C97F17"/>
    <w:rsid w:val="00CA3DA3"/>
    <w:rsid w:val="00CD6AFE"/>
    <w:rsid w:val="00CE5A67"/>
    <w:rsid w:val="00D5077E"/>
    <w:rsid w:val="00D61F6B"/>
    <w:rsid w:val="00D92CD0"/>
    <w:rsid w:val="00DD6ED3"/>
    <w:rsid w:val="00E02E6A"/>
    <w:rsid w:val="00E1663A"/>
    <w:rsid w:val="00E41387"/>
    <w:rsid w:val="00E56FBA"/>
    <w:rsid w:val="00E86B9F"/>
    <w:rsid w:val="00EB027B"/>
    <w:rsid w:val="00EC5FD2"/>
    <w:rsid w:val="00EE219B"/>
    <w:rsid w:val="00EE37C9"/>
    <w:rsid w:val="00EE5ADC"/>
    <w:rsid w:val="00F03865"/>
    <w:rsid w:val="00F04BB9"/>
    <w:rsid w:val="00F07CCE"/>
    <w:rsid w:val="00F109D7"/>
    <w:rsid w:val="00F277D1"/>
    <w:rsid w:val="00F50B76"/>
    <w:rsid w:val="00F66B8F"/>
    <w:rsid w:val="00FB6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4032B4"/>
  <w15:chartTrackingRefBased/>
  <w15:docId w15:val="{2D9633E0-C5AA-AB44-B018-E4E2F3160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4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44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44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4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4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4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4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4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4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4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44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44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4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4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4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4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4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4C0"/>
    <w:rPr>
      <w:rFonts w:eastAsiaTheme="majorEastAsia" w:cstheme="majorBidi"/>
      <w:color w:val="272727" w:themeColor="text1" w:themeTint="D8"/>
    </w:rPr>
  </w:style>
  <w:style w:type="paragraph" w:styleId="Title">
    <w:name w:val="Title"/>
    <w:basedOn w:val="Normal"/>
    <w:next w:val="Normal"/>
    <w:link w:val="TitleChar"/>
    <w:uiPriority w:val="10"/>
    <w:qFormat/>
    <w:rsid w:val="008944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4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4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4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4C0"/>
    <w:pPr>
      <w:spacing w:before="160"/>
      <w:jc w:val="center"/>
    </w:pPr>
    <w:rPr>
      <w:i/>
      <w:iCs/>
      <w:color w:val="404040" w:themeColor="text1" w:themeTint="BF"/>
    </w:rPr>
  </w:style>
  <w:style w:type="character" w:customStyle="1" w:styleId="QuoteChar">
    <w:name w:val="Quote Char"/>
    <w:basedOn w:val="DefaultParagraphFont"/>
    <w:link w:val="Quote"/>
    <w:uiPriority w:val="29"/>
    <w:rsid w:val="008944C0"/>
    <w:rPr>
      <w:i/>
      <w:iCs/>
      <w:color w:val="404040" w:themeColor="text1" w:themeTint="BF"/>
    </w:rPr>
  </w:style>
  <w:style w:type="paragraph" w:styleId="ListParagraph">
    <w:name w:val="List Paragraph"/>
    <w:basedOn w:val="Normal"/>
    <w:uiPriority w:val="34"/>
    <w:qFormat/>
    <w:rsid w:val="008944C0"/>
    <w:pPr>
      <w:ind w:left="720"/>
      <w:contextualSpacing/>
    </w:pPr>
  </w:style>
  <w:style w:type="character" w:styleId="IntenseEmphasis">
    <w:name w:val="Intense Emphasis"/>
    <w:basedOn w:val="DefaultParagraphFont"/>
    <w:uiPriority w:val="21"/>
    <w:qFormat/>
    <w:rsid w:val="008944C0"/>
    <w:rPr>
      <w:i/>
      <w:iCs/>
      <w:color w:val="0F4761" w:themeColor="accent1" w:themeShade="BF"/>
    </w:rPr>
  </w:style>
  <w:style w:type="paragraph" w:styleId="IntenseQuote">
    <w:name w:val="Intense Quote"/>
    <w:basedOn w:val="Normal"/>
    <w:next w:val="Normal"/>
    <w:link w:val="IntenseQuoteChar"/>
    <w:uiPriority w:val="30"/>
    <w:qFormat/>
    <w:rsid w:val="008944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4C0"/>
    <w:rPr>
      <w:i/>
      <w:iCs/>
      <w:color w:val="0F4761" w:themeColor="accent1" w:themeShade="BF"/>
    </w:rPr>
  </w:style>
  <w:style w:type="character" w:styleId="IntenseReference">
    <w:name w:val="Intense Reference"/>
    <w:basedOn w:val="DefaultParagraphFont"/>
    <w:uiPriority w:val="32"/>
    <w:qFormat/>
    <w:rsid w:val="008944C0"/>
    <w:rPr>
      <w:b/>
      <w:bCs/>
      <w:smallCaps/>
      <w:color w:val="0F4761" w:themeColor="accent1" w:themeShade="BF"/>
      <w:spacing w:val="5"/>
    </w:rPr>
  </w:style>
  <w:style w:type="character" w:styleId="Hyperlink">
    <w:name w:val="Hyperlink"/>
    <w:basedOn w:val="DefaultParagraphFont"/>
    <w:uiPriority w:val="99"/>
    <w:unhideWhenUsed/>
    <w:rsid w:val="008944C0"/>
    <w:rPr>
      <w:color w:val="467886" w:themeColor="hyperlink"/>
      <w:u w:val="single"/>
    </w:rPr>
  </w:style>
  <w:style w:type="character" w:styleId="UnresolvedMention">
    <w:name w:val="Unresolved Mention"/>
    <w:basedOn w:val="DefaultParagraphFont"/>
    <w:uiPriority w:val="99"/>
    <w:semiHidden/>
    <w:unhideWhenUsed/>
    <w:rsid w:val="008944C0"/>
    <w:rPr>
      <w:color w:val="605E5C"/>
      <w:shd w:val="clear" w:color="auto" w:fill="E1DFDD"/>
    </w:rPr>
  </w:style>
  <w:style w:type="paragraph" w:styleId="Header">
    <w:name w:val="header"/>
    <w:basedOn w:val="Normal"/>
    <w:link w:val="HeaderChar"/>
    <w:uiPriority w:val="99"/>
    <w:unhideWhenUsed/>
    <w:rsid w:val="003E2F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2FEB"/>
  </w:style>
  <w:style w:type="paragraph" w:styleId="Footer">
    <w:name w:val="footer"/>
    <w:basedOn w:val="Normal"/>
    <w:link w:val="FooterChar"/>
    <w:uiPriority w:val="99"/>
    <w:unhideWhenUsed/>
    <w:rsid w:val="003E2F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2FEB"/>
  </w:style>
  <w:style w:type="character" w:styleId="PageNumber">
    <w:name w:val="page number"/>
    <w:basedOn w:val="DefaultParagraphFont"/>
    <w:uiPriority w:val="99"/>
    <w:semiHidden/>
    <w:unhideWhenUsed/>
    <w:rsid w:val="003E2FEB"/>
  </w:style>
  <w:style w:type="paragraph" w:customStyle="1" w:styleId="TableParagraph">
    <w:name w:val="Table Paragraph"/>
    <w:basedOn w:val="Normal"/>
    <w:uiPriority w:val="1"/>
    <w:qFormat/>
    <w:rsid w:val="007E0300"/>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styleId="FollowedHyperlink">
    <w:name w:val="FollowedHyperlink"/>
    <w:basedOn w:val="DefaultParagraphFont"/>
    <w:uiPriority w:val="99"/>
    <w:semiHidden/>
    <w:unhideWhenUsed/>
    <w:rsid w:val="0032660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1471-2458-13-119" TargetMode="External" /><Relationship Id="rId13" Type="http://schemas.openxmlformats.org/officeDocument/2006/relationships/hyperlink" Target="https://doi.org/10.1186/1471-2458-13-119" TargetMode="External" /><Relationship Id="rId3" Type="http://schemas.openxmlformats.org/officeDocument/2006/relationships/settings" Target="settings.xml" /><Relationship Id="rId7" Type="http://schemas.openxmlformats.org/officeDocument/2006/relationships/hyperlink" Target="https://doi.org/10.1016/j.jaging.2014.02.003" TargetMode="External" /><Relationship Id="rId12" Type="http://schemas.openxmlformats.org/officeDocument/2006/relationships/hyperlink" Target="https://doi.org/10.1037//0003-066x.55.1.5"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80/00332747.1963.11023339" TargetMode="External" /><Relationship Id="rId5" Type="http://schemas.openxmlformats.org/officeDocument/2006/relationships/footnotes" Target="footnotes.xml" /><Relationship Id="rId15" Type="http://schemas.openxmlformats.org/officeDocument/2006/relationships/footer" Target="footer2.xml" /><Relationship Id="rId10" Type="http://schemas.openxmlformats.org/officeDocument/2006/relationships/hyperlink" Target="https://doi.org/10.1080/13607860600963547" TargetMode="External" /><Relationship Id="rId4" Type="http://schemas.openxmlformats.org/officeDocument/2006/relationships/webSettings" Target="webSettings.xml" /><Relationship Id="rId9" Type="http://schemas.openxmlformats.org/officeDocument/2006/relationships/hyperlink" Target="https://doi.org/10.1016/j.jaging.2014.02.003"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TotalTime>
  <Pages>7</Pages>
  <Words>1597</Words>
  <Characters>10664</Characters>
  <Application>Microsoft Office Word</Application>
  <DocSecurity>0</DocSecurity>
  <Lines>189</Lines>
  <Paragraphs>67</Paragraphs>
  <ScaleCrop>false</ScaleCrop>
  <Company/>
  <LinksUpToDate>false</LinksUpToDate>
  <CharactersWithSpaces>12196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Cardoso</dc:creator>
  <cp:keywords/>
  <dc:description/>
  <cp:lastModifiedBy>sabrinaraquellifestyle@gmail.com</cp:lastModifiedBy>
  <cp:revision>46</cp:revision>
  <dcterms:created xsi:type="dcterms:W3CDTF">2026-07-28T02:30:00Z</dcterms:created>
  <dcterms:modified xsi:type="dcterms:W3CDTF">2026-07-31T12:43:00Z</dcterms:modified>
</cp:coreProperties>
</file>