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7F878" w14:textId="77777777" w:rsidR="00974374" w:rsidRPr="00836E30" w:rsidRDefault="00974374" w:rsidP="00584FF8">
      <w:pPr>
        <w:pStyle w:val="NoSpacing"/>
        <w:spacing w:line="360" w:lineRule="auto"/>
      </w:pPr>
    </w:p>
    <w:p w14:paraId="55F2042D" w14:textId="77777777" w:rsidR="00974374" w:rsidRPr="00836E30" w:rsidRDefault="00974374" w:rsidP="00584FF8">
      <w:pPr>
        <w:spacing w:line="360" w:lineRule="auto"/>
        <w:rPr>
          <w:rFonts w:ascii="Arial" w:hAnsi="Arial" w:cs="Arial"/>
          <w:b/>
          <w:bCs/>
          <w:color w:val="0D0D0D" w:themeColor="text1" w:themeTint="F2"/>
          <w:sz w:val="22"/>
          <w:szCs w:val="22"/>
        </w:rPr>
      </w:pPr>
    </w:p>
    <w:p w14:paraId="5FEA61C4" w14:textId="7ED31D86" w:rsidR="00974374" w:rsidRPr="00836E30" w:rsidRDefault="00974374" w:rsidP="00584FF8">
      <w:pPr>
        <w:spacing w:line="360" w:lineRule="auto"/>
        <w:jc w:val="center"/>
        <w:rPr>
          <w:rFonts w:ascii="Arial" w:hAnsi="Arial" w:cs="Arial"/>
          <w:b/>
          <w:bCs/>
          <w:color w:val="0D0D0D" w:themeColor="text1" w:themeTint="F2"/>
          <w:sz w:val="22"/>
          <w:szCs w:val="22"/>
        </w:rPr>
      </w:pPr>
      <w:r w:rsidRPr="00836E30">
        <w:rPr>
          <w:noProof/>
          <w:color w:val="0D0D0D" w:themeColor="text1" w:themeTint="F2"/>
        </w:rPr>
        <w:drawing>
          <wp:inline distT="0" distB="0" distL="0" distR="0" wp14:anchorId="35432FAB" wp14:editId="12200E7D">
            <wp:extent cx="3101788" cy="1138848"/>
            <wp:effectExtent l="0" t="0" r="3810" b="4445"/>
            <wp:docPr id="1522705738"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8">
                      <a:extLst>
                        <a:ext uri="{28A0092B-C50C-407E-A947-70E740481C1C}">
                          <a14:useLocalDpi xmlns:a14="http://schemas.microsoft.com/office/drawing/2010/main" val="0"/>
                        </a:ext>
                      </a:extLst>
                    </a:blip>
                    <a:srcRect t="13155" b="13536"/>
                    <a:stretch>
                      <a:fillRect/>
                    </a:stretch>
                  </pic:blipFill>
                  <pic:spPr bwMode="auto">
                    <a:xfrm>
                      <a:off x="0" y="0"/>
                      <a:ext cx="3120384" cy="1145676"/>
                    </a:xfrm>
                    <a:prstGeom prst="rect">
                      <a:avLst/>
                    </a:prstGeom>
                    <a:noFill/>
                    <a:ln>
                      <a:noFill/>
                    </a:ln>
                    <a:extLst>
                      <a:ext uri="{53640926-AAD7-44D8-BBD7-CCE9431645EC}">
                        <a14:shadowObscured xmlns:a14="http://schemas.microsoft.com/office/drawing/2010/main"/>
                      </a:ext>
                    </a:extLst>
                  </pic:spPr>
                </pic:pic>
              </a:graphicData>
            </a:graphic>
          </wp:inline>
        </w:drawing>
      </w:r>
    </w:p>
    <w:p w14:paraId="10DB1370" w14:textId="77777777" w:rsidR="00974374" w:rsidRPr="00836E30" w:rsidRDefault="00974374" w:rsidP="00584FF8">
      <w:pPr>
        <w:spacing w:line="360" w:lineRule="auto"/>
        <w:jc w:val="center"/>
        <w:rPr>
          <w:rFonts w:ascii="Arial" w:hAnsi="Arial" w:cs="Arial"/>
          <w:b/>
          <w:bCs/>
          <w:color w:val="0D0D0D" w:themeColor="text1" w:themeTint="F2"/>
          <w:sz w:val="22"/>
          <w:szCs w:val="22"/>
        </w:rPr>
      </w:pPr>
    </w:p>
    <w:p w14:paraId="566A233D" w14:textId="132990BC"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Programme: MSc Public Health and Social Care in Practice</w:t>
      </w:r>
    </w:p>
    <w:p w14:paraId="1FC2E694"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0A96B3E5" w14:textId="7ACC3CF4"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Module: Practice-Based Research</w:t>
      </w:r>
    </w:p>
    <w:p w14:paraId="122D4D00"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7C85C142" w14:textId="41CE6DD7"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 xml:space="preserve">Lecturer: </w:t>
      </w:r>
      <w:proofErr w:type="spellStart"/>
      <w:r w:rsidRPr="00836E30">
        <w:rPr>
          <w:rFonts w:ascii="Arial" w:hAnsi="Arial" w:cs="Arial"/>
          <w:b/>
          <w:bCs/>
          <w:color w:val="0D0D0D" w:themeColor="text1" w:themeTint="F2"/>
          <w:sz w:val="32"/>
          <w:szCs w:val="32"/>
        </w:rPr>
        <w:t>Oluwadamilola</w:t>
      </w:r>
      <w:proofErr w:type="spellEnd"/>
      <w:r w:rsidRPr="00836E30">
        <w:rPr>
          <w:rFonts w:ascii="Arial" w:hAnsi="Arial" w:cs="Arial"/>
          <w:b/>
          <w:bCs/>
          <w:color w:val="0D0D0D" w:themeColor="text1" w:themeTint="F2"/>
          <w:sz w:val="32"/>
          <w:szCs w:val="32"/>
        </w:rPr>
        <w:t xml:space="preserve"> </w:t>
      </w:r>
      <w:proofErr w:type="spellStart"/>
      <w:r w:rsidRPr="00836E30">
        <w:rPr>
          <w:rFonts w:ascii="Arial" w:hAnsi="Arial" w:cs="Arial"/>
          <w:b/>
          <w:bCs/>
          <w:color w:val="0D0D0D" w:themeColor="text1" w:themeTint="F2"/>
          <w:sz w:val="32"/>
          <w:szCs w:val="32"/>
        </w:rPr>
        <w:t>Tay</w:t>
      </w:r>
      <w:r w:rsidR="00FB22E4">
        <w:rPr>
          <w:rFonts w:ascii="Arial" w:hAnsi="Arial" w:cs="Arial"/>
          <w:b/>
          <w:bCs/>
          <w:color w:val="0D0D0D" w:themeColor="text1" w:themeTint="F2"/>
          <w:sz w:val="32"/>
          <w:szCs w:val="32"/>
        </w:rPr>
        <w:t>o</w:t>
      </w:r>
      <w:proofErr w:type="spellEnd"/>
    </w:p>
    <w:p w14:paraId="7CA72B41"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661FB9BC" w14:textId="4E812A66"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 xml:space="preserve">Assignment Title: </w:t>
      </w:r>
      <w:r w:rsidR="0015538D">
        <w:rPr>
          <w:rFonts w:ascii="Arial" w:hAnsi="Arial" w:cs="Arial"/>
          <w:b/>
          <w:bCs/>
          <w:color w:val="0D0D0D" w:themeColor="text1" w:themeTint="F2"/>
          <w:sz w:val="32"/>
          <w:szCs w:val="32"/>
        </w:rPr>
        <w:t>“</w:t>
      </w:r>
      <w:r w:rsidR="007D52BC">
        <w:rPr>
          <w:rFonts w:ascii="Arial" w:hAnsi="Arial" w:cs="Arial"/>
          <w:b/>
          <w:bCs/>
          <w:color w:val="0D0D0D" w:themeColor="text1" w:themeTint="F2"/>
          <w:sz w:val="32"/>
          <w:szCs w:val="32"/>
        </w:rPr>
        <w:t>The effectiveness of</w:t>
      </w:r>
      <w:r w:rsidR="00A76A37">
        <w:rPr>
          <w:rFonts w:ascii="Arial" w:hAnsi="Arial" w:cs="Arial"/>
          <w:b/>
          <w:bCs/>
          <w:color w:val="0D0D0D" w:themeColor="text1" w:themeTint="F2"/>
          <w:sz w:val="32"/>
          <w:szCs w:val="32"/>
        </w:rPr>
        <w:t xml:space="preserve"> digital health interventions in managing Type 2 Diabetes Mellitus within the UK adult population: a systematic review</w:t>
      </w:r>
      <w:r w:rsidR="0015538D">
        <w:rPr>
          <w:rFonts w:ascii="Arial" w:hAnsi="Arial" w:cs="Arial"/>
          <w:b/>
          <w:bCs/>
          <w:color w:val="0D0D0D" w:themeColor="text1" w:themeTint="F2"/>
          <w:sz w:val="32"/>
          <w:szCs w:val="32"/>
        </w:rPr>
        <w:t>”</w:t>
      </w:r>
    </w:p>
    <w:p w14:paraId="31E9CAC2"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4AE46E3F" w14:textId="198C79C9"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Student Name:</w:t>
      </w:r>
      <w:r w:rsidR="00FB22E4">
        <w:rPr>
          <w:rFonts w:ascii="Arial" w:hAnsi="Arial" w:cs="Arial"/>
          <w:b/>
          <w:bCs/>
          <w:color w:val="0D0D0D" w:themeColor="text1" w:themeTint="F2"/>
          <w:sz w:val="32"/>
          <w:szCs w:val="32"/>
        </w:rPr>
        <w:t xml:space="preserve"> </w:t>
      </w:r>
      <w:proofErr w:type="spellStart"/>
      <w:r w:rsidR="00FB22E4">
        <w:rPr>
          <w:rFonts w:ascii="Arial" w:hAnsi="Arial" w:cs="Arial"/>
          <w:b/>
          <w:bCs/>
          <w:color w:val="0D0D0D" w:themeColor="text1" w:themeTint="F2"/>
          <w:sz w:val="32"/>
          <w:szCs w:val="32"/>
        </w:rPr>
        <w:t>Prathamkumar</w:t>
      </w:r>
      <w:proofErr w:type="spellEnd"/>
      <w:r w:rsidR="00FB22E4">
        <w:rPr>
          <w:rFonts w:ascii="Arial" w:hAnsi="Arial" w:cs="Arial"/>
          <w:b/>
          <w:bCs/>
          <w:color w:val="0D0D0D" w:themeColor="text1" w:themeTint="F2"/>
          <w:sz w:val="32"/>
          <w:szCs w:val="32"/>
        </w:rPr>
        <w:t xml:space="preserve"> </w:t>
      </w:r>
      <w:proofErr w:type="spellStart"/>
      <w:r w:rsidR="00FB22E4">
        <w:rPr>
          <w:rFonts w:ascii="Arial" w:hAnsi="Arial" w:cs="Arial"/>
          <w:b/>
          <w:bCs/>
          <w:color w:val="0D0D0D" w:themeColor="text1" w:themeTint="F2"/>
          <w:sz w:val="32"/>
          <w:szCs w:val="32"/>
        </w:rPr>
        <w:t>Vaghela</w:t>
      </w:r>
      <w:proofErr w:type="spellEnd"/>
    </w:p>
    <w:p w14:paraId="338EA547"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126195FF" w14:textId="21DC1E4C"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Student Number:</w:t>
      </w:r>
      <w:r w:rsidR="00FB22E4">
        <w:rPr>
          <w:rFonts w:ascii="Arial" w:hAnsi="Arial" w:cs="Arial"/>
          <w:b/>
          <w:bCs/>
          <w:color w:val="0D0D0D" w:themeColor="text1" w:themeTint="F2"/>
          <w:sz w:val="32"/>
          <w:szCs w:val="32"/>
        </w:rPr>
        <w:t xml:space="preserve"> 2531876</w:t>
      </w:r>
    </w:p>
    <w:p w14:paraId="0047189A" w14:textId="215343ED" w:rsidR="00974374" w:rsidRPr="00836E30" w:rsidRDefault="00974374" w:rsidP="00584FF8">
      <w:pPr>
        <w:spacing w:line="360" w:lineRule="auto"/>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br w:type="page"/>
      </w:r>
    </w:p>
    <w:sdt>
      <w:sdtPr>
        <w:rPr>
          <w:rFonts w:asciiTheme="minorHAnsi" w:eastAsiaTheme="minorHAnsi" w:hAnsiTheme="minorHAnsi" w:cstheme="minorBidi"/>
          <w:color w:val="auto"/>
          <w:kern w:val="2"/>
          <w:sz w:val="24"/>
          <w:szCs w:val="24"/>
          <w:lang w:val="en-GB"/>
          <w14:ligatures w14:val="standardContextual"/>
        </w:rPr>
        <w:id w:val="950211735"/>
        <w:docPartObj>
          <w:docPartGallery w:val="Table of Contents"/>
          <w:docPartUnique/>
        </w:docPartObj>
      </w:sdtPr>
      <w:sdtEndPr>
        <w:rPr>
          <w:b/>
          <w:bCs/>
          <w:noProof/>
        </w:rPr>
      </w:sdtEndPr>
      <w:sdtContent>
        <w:p w14:paraId="28B4404C" w14:textId="73583E34" w:rsidR="00836E30" w:rsidRPr="00836E30" w:rsidRDefault="00836E30" w:rsidP="00584FF8">
          <w:pPr>
            <w:pStyle w:val="TOCHeading"/>
            <w:spacing w:line="360" w:lineRule="auto"/>
            <w:jc w:val="center"/>
            <w:rPr>
              <w:rFonts w:ascii="Arial" w:hAnsi="Arial" w:cs="Arial"/>
              <w:b/>
              <w:bCs/>
              <w:color w:val="0D0D0D" w:themeColor="text1" w:themeTint="F2"/>
              <w:sz w:val="24"/>
              <w:szCs w:val="24"/>
            </w:rPr>
          </w:pPr>
          <w:r w:rsidRPr="00836E30">
            <w:rPr>
              <w:rFonts w:ascii="Arial" w:hAnsi="Arial" w:cs="Arial"/>
              <w:b/>
              <w:bCs/>
              <w:color w:val="0D0D0D" w:themeColor="text1" w:themeTint="F2"/>
              <w:sz w:val="24"/>
              <w:szCs w:val="24"/>
            </w:rPr>
            <w:t>Table of Contents</w:t>
          </w:r>
        </w:p>
        <w:p w14:paraId="6230C45F" w14:textId="14E1C99A" w:rsidR="005A1A70" w:rsidRPr="005A1A70" w:rsidRDefault="00836E30">
          <w:pPr>
            <w:pStyle w:val="TOC1"/>
            <w:tabs>
              <w:tab w:val="right" w:leader="dot" w:pos="9016"/>
            </w:tabs>
            <w:rPr>
              <w:rFonts w:ascii="Arial" w:eastAsiaTheme="minorEastAsia" w:hAnsi="Arial" w:cs="Arial"/>
              <w:noProof/>
              <w:sz w:val="22"/>
              <w:szCs w:val="22"/>
              <w:lang w:val="en-IN" w:eastAsia="en-IN"/>
            </w:rPr>
          </w:pPr>
          <w:r w:rsidRPr="00836E30">
            <w:rPr>
              <w:rFonts w:ascii="Arial" w:hAnsi="Arial" w:cs="Arial"/>
              <w:color w:val="0D0D0D" w:themeColor="text1" w:themeTint="F2"/>
              <w:sz w:val="22"/>
              <w:szCs w:val="22"/>
            </w:rPr>
            <w:fldChar w:fldCharType="begin"/>
          </w:r>
          <w:r w:rsidRPr="00836E30">
            <w:rPr>
              <w:rFonts w:ascii="Arial" w:hAnsi="Arial" w:cs="Arial"/>
              <w:color w:val="0D0D0D" w:themeColor="text1" w:themeTint="F2"/>
              <w:sz w:val="22"/>
              <w:szCs w:val="22"/>
            </w:rPr>
            <w:instrText xml:space="preserve"> TOC \o "1-3" \h \z \u </w:instrText>
          </w:r>
          <w:r w:rsidRPr="00836E30">
            <w:rPr>
              <w:rFonts w:ascii="Arial" w:hAnsi="Arial" w:cs="Arial"/>
              <w:color w:val="0D0D0D" w:themeColor="text1" w:themeTint="F2"/>
              <w:sz w:val="22"/>
              <w:szCs w:val="22"/>
            </w:rPr>
            <w:fldChar w:fldCharType="separate"/>
          </w:r>
          <w:hyperlink w:anchor="_Toc237716165" w:history="1">
            <w:r w:rsidR="005A1A70" w:rsidRPr="005A1A70">
              <w:rPr>
                <w:rStyle w:val="Hyperlink"/>
                <w:rFonts w:ascii="Arial" w:hAnsi="Arial" w:cs="Arial"/>
                <w:noProof/>
                <w:sz w:val="22"/>
                <w:szCs w:val="22"/>
              </w:rPr>
              <w:t>1. Proposed Research Title</w:t>
            </w:r>
            <w:r w:rsidR="005A1A70" w:rsidRPr="005A1A70">
              <w:rPr>
                <w:rFonts w:ascii="Arial" w:hAnsi="Arial" w:cs="Arial"/>
                <w:noProof/>
                <w:webHidden/>
                <w:sz w:val="22"/>
                <w:szCs w:val="22"/>
              </w:rPr>
              <w:tab/>
            </w:r>
            <w:r w:rsidR="005A1A70" w:rsidRPr="005A1A70">
              <w:rPr>
                <w:rFonts w:ascii="Arial" w:hAnsi="Arial" w:cs="Arial"/>
                <w:noProof/>
                <w:webHidden/>
                <w:sz w:val="22"/>
                <w:szCs w:val="22"/>
              </w:rPr>
              <w:fldChar w:fldCharType="begin"/>
            </w:r>
            <w:r w:rsidR="005A1A70" w:rsidRPr="005A1A70">
              <w:rPr>
                <w:rFonts w:ascii="Arial" w:hAnsi="Arial" w:cs="Arial"/>
                <w:noProof/>
                <w:webHidden/>
                <w:sz w:val="22"/>
                <w:szCs w:val="22"/>
              </w:rPr>
              <w:instrText xml:space="preserve"> PAGEREF _Toc237716165 \h </w:instrText>
            </w:r>
            <w:r w:rsidR="005A1A70" w:rsidRPr="005A1A70">
              <w:rPr>
                <w:rFonts w:ascii="Arial" w:hAnsi="Arial" w:cs="Arial"/>
                <w:noProof/>
                <w:webHidden/>
                <w:sz w:val="22"/>
                <w:szCs w:val="22"/>
              </w:rPr>
            </w:r>
            <w:r w:rsidR="005A1A70" w:rsidRPr="005A1A70">
              <w:rPr>
                <w:rFonts w:ascii="Arial" w:hAnsi="Arial" w:cs="Arial"/>
                <w:noProof/>
                <w:webHidden/>
                <w:sz w:val="22"/>
                <w:szCs w:val="22"/>
              </w:rPr>
              <w:fldChar w:fldCharType="separate"/>
            </w:r>
            <w:r w:rsidR="005A1A70" w:rsidRPr="005A1A70">
              <w:rPr>
                <w:rFonts w:ascii="Arial" w:hAnsi="Arial" w:cs="Arial"/>
                <w:noProof/>
                <w:webHidden/>
                <w:sz w:val="22"/>
                <w:szCs w:val="22"/>
              </w:rPr>
              <w:t>3</w:t>
            </w:r>
            <w:r w:rsidR="005A1A70" w:rsidRPr="005A1A70">
              <w:rPr>
                <w:rFonts w:ascii="Arial" w:hAnsi="Arial" w:cs="Arial"/>
                <w:noProof/>
                <w:webHidden/>
                <w:sz w:val="22"/>
                <w:szCs w:val="22"/>
              </w:rPr>
              <w:fldChar w:fldCharType="end"/>
            </w:r>
          </w:hyperlink>
        </w:p>
        <w:p w14:paraId="03EA69E6" w14:textId="56CA8074"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66" w:history="1">
            <w:r w:rsidRPr="005A1A70">
              <w:rPr>
                <w:rStyle w:val="Hyperlink"/>
                <w:rFonts w:ascii="Arial" w:hAnsi="Arial" w:cs="Arial"/>
                <w:noProof/>
                <w:sz w:val="22"/>
                <w:szCs w:val="22"/>
              </w:rPr>
              <w:t>2. Introduction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_Toc237716166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3</w:t>
            </w:r>
            <w:r w:rsidRPr="005A1A70">
              <w:rPr>
                <w:rFonts w:ascii="Arial" w:hAnsi="Arial" w:cs="Arial"/>
                <w:noProof/>
                <w:webHidden/>
                <w:sz w:val="22"/>
                <w:szCs w:val="22"/>
              </w:rPr>
              <w:fldChar w:fldCharType="end"/>
            </w:r>
          </w:hyperlink>
        </w:p>
        <w:p w14:paraId="52ED59EC" w14:textId="19798652"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67" w:history="1">
            <w:r w:rsidRPr="005A1A70">
              <w:rPr>
                <w:rStyle w:val="Hyperlink"/>
                <w:rFonts w:ascii="Arial" w:hAnsi="Arial" w:cs="Arial"/>
                <w:noProof/>
                <w:sz w:val="22"/>
                <w:szCs w:val="22"/>
              </w:rPr>
              <w:t>3. Prevalence</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_Toc237716167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3</w:t>
            </w:r>
            <w:r w:rsidRPr="005A1A70">
              <w:rPr>
                <w:rFonts w:ascii="Arial" w:hAnsi="Arial" w:cs="Arial"/>
                <w:noProof/>
                <w:webHidden/>
                <w:sz w:val="22"/>
                <w:szCs w:val="22"/>
              </w:rPr>
              <w:fldChar w:fldCharType="end"/>
            </w:r>
          </w:hyperlink>
        </w:p>
        <w:p w14:paraId="769F8381" w14:textId="5D950468"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68" w:history="1">
            <w:r w:rsidRPr="005A1A70">
              <w:rPr>
                <w:rStyle w:val="Hyperlink"/>
                <w:rFonts w:ascii="Arial" w:hAnsi="Arial" w:cs="Arial"/>
                <w:noProof/>
                <w:sz w:val="22"/>
                <w:szCs w:val="22"/>
              </w:rPr>
              <w:t>4. Research Problem, Rationale, and Evidence Gap</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_Toc237716168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5</w:t>
            </w:r>
            <w:r w:rsidRPr="005A1A70">
              <w:rPr>
                <w:rFonts w:ascii="Arial" w:hAnsi="Arial" w:cs="Arial"/>
                <w:noProof/>
                <w:webHidden/>
                <w:sz w:val="22"/>
                <w:szCs w:val="22"/>
              </w:rPr>
              <w:fldChar w:fldCharType="end"/>
            </w:r>
          </w:hyperlink>
        </w:p>
        <w:p w14:paraId="6084E4B9" w14:textId="2679E15A"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69" w:history="1">
            <w:r w:rsidRPr="005A1A70">
              <w:rPr>
                <w:rStyle w:val="Hyperlink"/>
                <w:rFonts w:ascii="Arial" w:hAnsi="Arial" w:cs="Arial"/>
                <w:noProof/>
                <w:sz w:val="22"/>
                <w:szCs w:val="22"/>
              </w:rPr>
              <w:t>5. Literature Review</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_Toc237716169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6</w:t>
            </w:r>
            <w:r w:rsidRPr="005A1A70">
              <w:rPr>
                <w:rFonts w:ascii="Arial" w:hAnsi="Arial" w:cs="Arial"/>
                <w:noProof/>
                <w:webHidden/>
                <w:sz w:val="22"/>
                <w:szCs w:val="22"/>
              </w:rPr>
              <w:fldChar w:fldCharType="end"/>
            </w:r>
          </w:hyperlink>
        </w:p>
        <w:p w14:paraId="65476698" w14:textId="66ECFE00"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0" w:history="1">
            <w:r w:rsidRPr="005A1A70">
              <w:rPr>
                <w:rStyle w:val="Hyperlink"/>
                <w:rFonts w:ascii="Arial" w:hAnsi="Arial" w:cs="Arial"/>
                <w:noProof/>
                <w:sz w:val="22"/>
                <w:szCs w:val="22"/>
              </w:rPr>
              <w:t>5.1 Glycaemic outcomes with CGM intervention among type 2 diabetes UK adults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_Toc237716170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6</w:t>
            </w:r>
            <w:r w:rsidRPr="005A1A70">
              <w:rPr>
                <w:rFonts w:ascii="Arial" w:hAnsi="Arial" w:cs="Arial"/>
                <w:noProof/>
                <w:webHidden/>
                <w:sz w:val="22"/>
                <w:szCs w:val="22"/>
              </w:rPr>
              <w:fldChar w:fldCharType="end"/>
            </w:r>
          </w:hyperlink>
        </w:p>
        <w:p w14:paraId="7F37C9CE" w14:textId="215984C3"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1" w:history="1">
            <w:r w:rsidRPr="005A1A70">
              <w:rPr>
                <w:rStyle w:val="Hyperlink"/>
                <w:rFonts w:ascii="Arial" w:hAnsi="Arial" w:cs="Arial"/>
                <w:noProof/>
                <w:sz w:val="22"/>
                <w:szCs w:val="22"/>
              </w:rPr>
              <w:t>5.2 Integration of wearable CGM technologies in the UK primary care</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_Toc237716171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6</w:t>
            </w:r>
            <w:r w:rsidRPr="005A1A70">
              <w:rPr>
                <w:rFonts w:ascii="Arial" w:hAnsi="Arial" w:cs="Arial"/>
                <w:noProof/>
                <w:webHidden/>
                <w:sz w:val="22"/>
                <w:szCs w:val="22"/>
              </w:rPr>
              <w:fldChar w:fldCharType="end"/>
            </w:r>
          </w:hyperlink>
        </w:p>
        <w:p w14:paraId="1A45D5F4" w14:textId="75FB3F5E"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2" w:history="1">
            <w:r w:rsidRPr="005A1A70">
              <w:rPr>
                <w:rStyle w:val="Hyperlink"/>
                <w:rFonts w:ascii="Arial" w:hAnsi="Arial" w:cs="Arial"/>
                <w:noProof/>
                <w:sz w:val="22"/>
                <w:szCs w:val="22"/>
              </w:rPr>
              <w:t>5.3 Patient and system level challenges to CGM and digital intervention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_Toc237716172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7</w:t>
            </w:r>
            <w:r w:rsidRPr="005A1A70">
              <w:rPr>
                <w:rFonts w:ascii="Arial" w:hAnsi="Arial" w:cs="Arial"/>
                <w:noProof/>
                <w:webHidden/>
                <w:sz w:val="22"/>
                <w:szCs w:val="22"/>
              </w:rPr>
              <w:fldChar w:fldCharType="end"/>
            </w:r>
          </w:hyperlink>
        </w:p>
        <w:p w14:paraId="042DBDB2" w14:textId="19A69E41"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3" w:history="1">
            <w:r w:rsidRPr="005A1A70">
              <w:rPr>
                <w:rStyle w:val="Hyperlink"/>
                <w:rFonts w:ascii="Arial" w:hAnsi="Arial" w:cs="Arial"/>
                <w:noProof/>
                <w:sz w:val="22"/>
                <w:szCs w:val="22"/>
              </w:rPr>
              <w:t>5.4 Scalable strategies to implement CGM the NHS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_Toc237716173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7</w:t>
            </w:r>
            <w:r w:rsidRPr="005A1A70">
              <w:rPr>
                <w:rFonts w:ascii="Arial" w:hAnsi="Arial" w:cs="Arial"/>
                <w:noProof/>
                <w:webHidden/>
                <w:sz w:val="22"/>
                <w:szCs w:val="22"/>
              </w:rPr>
              <w:fldChar w:fldCharType="end"/>
            </w:r>
          </w:hyperlink>
        </w:p>
        <w:p w14:paraId="69D31726" w14:textId="4F5000B5"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74" w:history="1">
            <w:r w:rsidRPr="005A1A70">
              <w:rPr>
                <w:rStyle w:val="Hyperlink"/>
                <w:rFonts w:ascii="Arial" w:hAnsi="Arial" w:cs="Arial"/>
                <w:noProof/>
                <w:sz w:val="22"/>
                <w:szCs w:val="22"/>
              </w:rPr>
              <w:t>6. Research Aim, Objectives and Question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_Toc237716174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7</w:t>
            </w:r>
            <w:r w:rsidRPr="005A1A70">
              <w:rPr>
                <w:rFonts w:ascii="Arial" w:hAnsi="Arial" w:cs="Arial"/>
                <w:noProof/>
                <w:webHidden/>
                <w:sz w:val="22"/>
                <w:szCs w:val="22"/>
              </w:rPr>
              <w:fldChar w:fldCharType="end"/>
            </w:r>
          </w:hyperlink>
        </w:p>
        <w:p w14:paraId="622C0390" w14:textId="3FA5546A"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5" w:history="1">
            <w:r w:rsidRPr="005A1A70">
              <w:rPr>
                <w:rStyle w:val="Hyperlink"/>
                <w:rFonts w:ascii="Arial" w:hAnsi="Arial" w:cs="Arial"/>
                <w:noProof/>
                <w:sz w:val="22"/>
                <w:szCs w:val="22"/>
              </w:rPr>
              <w:t>6.1 Aim</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_Toc237716175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7</w:t>
            </w:r>
            <w:r w:rsidRPr="005A1A70">
              <w:rPr>
                <w:rFonts w:ascii="Arial" w:hAnsi="Arial" w:cs="Arial"/>
                <w:noProof/>
                <w:webHidden/>
                <w:sz w:val="22"/>
                <w:szCs w:val="22"/>
              </w:rPr>
              <w:fldChar w:fldCharType="end"/>
            </w:r>
          </w:hyperlink>
        </w:p>
        <w:p w14:paraId="4D91A7B1" w14:textId="6B459383"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6" w:history="1">
            <w:r w:rsidRPr="005A1A70">
              <w:rPr>
                <w:rStyle w:val="Hyperlink"/>
                <w:rFonts w:ascii="Arial" w:hAnsi="Arial" w:cs="Arial"/>
                <w:noProof/>
                <w:sz w:val="22"/>
                <w:szCs w:val="22"/>
              </w:rPr>
              <w:t>6.2 Research Objectives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_Toc237716176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67DB1F38" w14:textId="0F7B234C"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7" w:history="1">
            <w:r w:rsidRPr="005A1A70">
              <w:rPr>
                <w:rStyle w:val="Hyperlink"/>
                <w:rFonts w:ascii="Arial" w:hAnsi="Arial" w:cs="Arial"/>
                <w:noProof/>
                <w:sz w:val="22"/>
                <w:szCs w:val="22"/>
              </w:rPr>
              <w:t>6.3 Research Question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_Toc237716177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5C499317" w14:textId="329DA0BA"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78" w:history="1">
            <w:r w:rsidRPr="005A1A70">
              <w:rPr>
                <w:rStyle w:val="Hyperlink"/>
                <w:rFonts w:ascii="Arial" w:hAnsi="Arial" w:cs="Arial"/>
                <w:noProof/>
                <w:sz w:val="22"/>
                <w:szCs w:val="22"/>
              </w:rPr>
              <w:t>7. Methodology</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_Toc237716178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0D9CBAD7" w14:textId="0051E48F"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9" w:history="1">
            <w:r w:rsidRPr="005A1A70">
              <w:rPr>
                <w:rStyle w:val="Hyperlink"/>
                <w:rFonts w:ascii="Arial" w:hAnsi="Arial" w:cs="Arial"/>
                <w:noProof/>
                <w:sz w:val="22"/>
                <w:szCs w:val="22"/>
              </w:rPr>
              <w:t>7.1 Research Approach</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_Toc237716179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50B889A5" w14:textId="57207E41"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0" w:history="1">
            <w:r w:rsidRPr="005A1A70">
              <w:rPr>
                <w:rStyle w:val="Hyperlink"/>
                <w:rFonts w:ascii="Arial" w:hAnsi="Arial" w:cs="Arial"/>
                <w:noProof/>
                <w:sz w:val="22"/>
                <w:szCs w:val="22"/>
              </w:rPr>
              <w:t>7.2 Research Design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_Toc237716180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528559FA" w14:textId="37DDD36E"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1" w:history="1">
            <w:r w:rsidRPr="005A1A70">
              <w:rPr>
                <w:rStyle w:val="Hyperlink"/>
                <w:rFonts w:ascii="Arial" w:hAnsi="Arial" w:cs="Arial"/>
                <w:noProof/>
                <w:sz w:val="22"/>
                <w:szCs w:val="22"/>
              </w:rPr>
              <w:t>7.3 Research strategy</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_Toc237716181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9</w:t>
            </w:r>
            <w:r w:rsidRPr="005A1A70">
              <w:rPr>
                <w:rFonts w:ascii="Arial" w:hAnsi="Arial" w:cs="Arial"/>
                <w:noProof/>
                <w:webHidden/>
                <w:sz w:val="22"/>
                <w:szCs w:val="22"/>
              </w:rPr>
              <w:fldChar w:fldCharType="end"/>
            </w:r>
          </w:hyperlink>
        </w:p>
        <w:p w14:paraId="60D9C042" w14:textId="5C29EFC0"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2" w:history="1">
            <w:r w:rsidRPr="005A1A70">
              <w:rPr>
                <w:rStyle w:val="Hyperlink"/>
                <w:rFonts w:ascii="Arial" w:hAnsi="Arial" w:cs="Arial"/>
                <w:noProof/>
                <w:sz w:val="22"/>
                <w:szCs w:val="22"/>
              </w:rPr>
              <w:t>7.4 Question Framework and Screening Process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_Toc237716182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9</w:t>
            </w:r>
            <w:r w:rsidRPr="005A1A70">
              <w:rPr>
                <w:rFonts w:ascii="Arial" w:hAnsi="Arial" w:cs="Arial"/>
                <w:noProof/>
                <w:webHidden/>
                <w:sz w:val="22"/>
                <w:szCs w:val="22"/>
              </w:rPr>
              <w:fldChar w:fldCharType="end"/>
            </w:r>
          </w:hyperlink>
        </w:p>
        <w:p w14:paraId="1CB18828" w14:textId="4BB74B75"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3" w:history="1">
            <w:r w:rsidRPr="005A1A70">
              <w:rPr>
                <w:rStyle w:val="Hyperlink"/>
                <w:rFonts w:ascii="Arial" w:hAnsi="Arial" w:cs="Arial"/>
                <w:noProof/>
                <w:sz w:val="22"/>
                <w:szCs w:val="22"/>
              </w:rPr>
              <w:t>7.5 Inclusion and Exclusion Criteria</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_Toc237716183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9</w:t>
            </w:r>
            <w:r w:rsidRPr="005A1A70">
              <w:rPr>
                <w:rFonts w:ascii="Arial" w:hAnsi="Arial" w:cs="Arial"/>
                <w:noProof/>
                <w:webHidden/>
                <w:sz w:val="22"/>
                <w:szCs w:val="22"/>
              </w:rPr>
              <w:fldChar w:fldCharType="end"/>
            </w:r>
          </w:hyperlink>
        </w:p>
        <w:p w14:paraId="61C13AC0" w14:textId="30DECB51"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4" w:history="1">
            <w:r w:rsidRPr="005A1A70">
              <w:rPr>
                <w:rStyle w:val="Hyperlink"/>
                <w:rFonts w:ascii="Arial" w:hAnsi="Arial" w:cs="Arial"/>
                <w:noProof/>
                <w:sz w:val="22"/>
                <w:szCs w:val="22"/>
              </w:rPr>
              <w:t>7.6 Materials/Data Collection Methods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_Toc237716184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10</w:t>
            </w:r>
            <w:r w:rsidRPr="005A1A70">
              <w:rPr>
                <w:rFonts w:ascii="Arial" w:hAnsi="Arial" w:cs="Arial"/>
                <w:noProof/>
                <w:webHidden/>
                <w:sz w:val="22"/>
                <w:szCs w:val="22"/>
              </w:rPr>
              <w:fldChar w:fldCharType="end"/>
            </w:r>
          </w:hyperlink>
        </w:p>
        <w:p w14:paraId="4CF7B7E2" w14:textId="75BC6E72"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5" w:history="1">
            <w:r w:rsidRPr="005A1A70">
              <w:rPr>
                <w:rStyle w:val="Hyperlink"/>
                <w:rFonts w:ascii="Arial" w:hAnsi="Arial" w:cs="Arial"/>
                <w:noProof/>
                <w:sz w:val="22"/>
                <w:szCs w:val="22"/>
              </w:rPr>
              <w:t>7.7 Data extraction method and synthesis approach</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_Toc237716185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10</w:t>
            </w:r>
            <w:r w:rsidRPr="005A1A70">
              <w:rPr>
                <w:rFonts w:ascii="Arial" w:hAnsi="Arial" w:cs="Arial"/>
                <w:noProof/>
                <w:webHidden/>
                <w:sz w:val="22"/>
                <w:szCs w:val="22"/>
              </w:rPr>
              <w:fldChar w:fldCharType="end"/>
            </w:r>
          </w:hyperlink>
        </w:p>
        <w:p w14:paraId="565634AA" w14:textId="0A3C1676"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86" w:history="1">
            <w:r w:rsidRPr="005A1A70">
              <w:rPr>
                <w:rStyle w:val="Hyperlink"/>
                <w:rFonts w:ascii="Arial" w:hAnsi="Arial" w:cs="Arial"/>
                <w:noProof/>
                <w:sz w:val="22"/>
                <w:szCs w:val="22"/>
              </w:rPr>
              <w:t>8. Ethical Considerations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_Toc237716186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10</w:t>
            </w:r>
            <w:r w:rsidRPr="005A1A70">
              <w:rPr>
                <w:rFonts w:ascii="Arial" w:hAnsi="Arial" w:cs="Arial"/>
                <w:noProof/>
                <w:webHidden/>
                <w:sz w:val="22"/>
                <w:szCs w:val="22"/>
              </w:rPr>
              <w:fldChar w:fldCharType="end"/>
            </w:r>
          </w:hyperlink>
        </w:p>
        <w:p w14:paraId="442F3640" w14:textId="49346975"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87" w:history="1">
            <w:r w:rsidRPr="005A1A70">
              <w:rPr>
                <w:rStyle w:val="Hyperlink"/>
                <w:rFonts w:ascii="Arial" w:hAnsi="Arial" w:cs="Arial"/>
                <w:noProof/>
                <w:sz w:val="22"/>
                <w:szCs w:val="22"/>
              </w:rPr>
              <w:t>9. Limitations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_Toc237716187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10</w:t>
            </w:r>
            <w:r w:rsidRPr="005A1A70">
              <w:rPr>
                <w:rFonts w:ascii="Arial" w:hAnsi="Arial" w:cs="Arial"/>
                <w:noProof/>
                <w:webHidden/>
                <w:sz w:val="22"/>
                <w:szCs w:val="22"/>
              </w:rPr>
              <w:fldChar w:fldCharType="end"/>
            </w:r>
          </w:hyperlink>
        </w:p>
        <w:p w14:paraId="6240FC94" w14:textId="79C8733C"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88" w:history="1">
            <w:r w:rsidRPr="005A1A70">
              <w:rPr>
                <w:rStyle w:val="Hyperlink"/>
                <w:rFonts w:ascii="Arial" w:hAnsi="Arial" w:cs="Arial"/>
                <w:noProof/>
                <w:sz w:val="22"/>
                <w:szCs w:val="22"/>
              </w:rPr>
              <w:t>10. Timeline and Expected Contribution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_Toc237716188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11</w:t>
            </w:r>
            <w:r w:rsidRPr="005A1A70">
              <w:rPr>
                <w:rFonts w:ascii="Arial" w:hAnsi="Arial" w:cs="Arial"/>
                <w:noProof/>
                <w:webHidden/>
                <w:sz w:val="22"/>
                <w:szCs w:val="22"/>
              </w:rPr>
              <w:fldChar w:fldCharType="end"/>
            </w:r>
          </w:hyperlink>
        </w:p>
        <w:p w14:paraId="7226B6F8" w14:textId="1AF985ED"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9" w:history="1">
            <w:r w:rsidRPr="005A1A70">
              <w:rPr>
                <w:rStyle w:val="Hyperlink"/>
                <w:rFonts w:ascii="Arial" w:hAnsi="Arial" w:cs="Arial"/>
                <w:noProof/>
                <w:sz w:val="22"/>
                <w:szCs w:val="22"/>
              </w:rPr>
              <w:t>10.1 Timeline</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_Toc237716189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11</w:t>
            </w:r>
            <w:r w:rsidRPr="005A1A70">
              <w:rPr>
                <w:rFonts w:ascii="Arial" w:hAnsi="Arial" w:cs="Arial"/>
                <w:noProof/>
                <w:webHidden/>
                <w:sz w:val="22"/>
                <w:szCs w:val="22"/>
              </w:rPr>
              <w:fldChar w:fldCharType="end"/>
            </w:r>
          </w:hyperlink>
        </w:p>
        <w:p w14:paraId="524635F0" w14:textId="46274757"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90" w:history="1">
            <w:r w:rsidRPr="005A1A70">
              <w:rPr>
                <w:rStyle w:val="Hyperlink"/>
                <w:rFonts w:ascii="Arial" w:hAnsi="Arial" w:cs="Arial"/>
                <w:noProof/>
                <w:sz w:val="22"/>
                <w:szCs w:val="22"/>
              </w:rPr>
              <w:t>10.2 Implication and Expected Outcome</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_Toc237716190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12</w:t>
            </w:r>
            <w:r w:rsidRPr="005A1A70">
              <w:rPr>
                <w:rFonts w:ascii="Arial" w:hAnsi="Arial" w:cs="Arial"/>
                <w:noProof/>
                <w:webHidden/>
                <w:sz w:val="22"/>
                <w:szCs w:val="22"/>
              </w:rPr>
              <w:fldChar w:fldCharType="end"/>
            </w:r>
          </w:hyperlink>
        </w:p>
        <w:p w14:paraId="6A901D1D" w14:textId="563FF6B1"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91" w:history="1">
            <w:r w:rsidRPr="005A1A70">
              <w:rPr>
                <w:rStyle w:val="Hyperlink"/>
                <w:rFonts w:ascii="Arial" w:hAnsi="Arial" w:cs="Arial"/>
                <w:noProof/>
                <w:sz w:val="22"/>
                <w:szCs w:val="22"/>
              </w:rPr>
              <w:t>11. Reference List</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_Toc237716191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13</w:t>
            </w:r>
            <w:r w:rsidRPr="005A1A70">
              <w:rPr>
                <w:rFonts w:ascii="Arial" w:hAnsi="Arial" w:cs="Arial"/>
                <w:noProof/>
                <w:webHidden/>
                <w:sz w:val="22"/>
                <w:szCs w:val="22"/>
              </w:rPr>
              <w:fldChar w:fldCharType="end"/>
            </w:r>
          </w:hyperlink>
        </w:p>
        <w:p w14:paraId="261360D4" w14:textId="35B9D513" w:rsidR="00836E30" w:rsidRDefault="00836E30" w:rsidP="00584FF8">
          <w:pPr>
            <w:spacing w:line="360" w:lineRule="auto"/>
            <w:jc w:val="both"/>
          </w:pPr>
          <w:r w:rsidRPr="00836E30">
            <w:rPr>
              <w:rFonts w:ascii="Arial" w:hAnsi="Arial" w:cs="Arial"/>
              <w:b/>
              <w:bCs/>
              <w:noProof/>
              <w:color w:val="0D0D0D" w:themeColor="text1" w:themeTint="F2"/>
              <w:sz w:val="22"/>
              <w:szCs w:val="22"/>
            </w:rPr>
            <w:fldChar w:fldCharType="end"/>
          </w:r>
        </w:p>
      </w:sdtContent>
    </w:sdt>
    <w:p w14:paraId="7EAC8C39" w14:textId="77777777" w:rsidR="00974374" w:rsidRPr="00836E30" w:rsidRDefault="00974374" w:rsidP="00584FF8">
      <w:pPr>
        <w:spacing w:line="360" w:lineRule="auto"/>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br w:type="page"/>
      </w:r>
    </w:p>
    <w:p w14:paraId="7C0DF49B" w14:textId="3F857A2B" w:rsidR="00791C19" w:rsidRPr="00836E30" w:rsidRDefault="00B80232" w:rsidP="00584FF8">
      <w:pPr>
        <w:pStyle w:val="Heading1"/>
        <w:rPr>
          <w:color w:val="0D0D0D" w:themeColor="text1" w:themeTint="F2"/>
        </w:rPr>
      </w:pPr>
      <w:bookmarkStart w:id="0" w:name="_Toc237716165"/>
      <w:r w:rsidRPr="00836E30">
        <w:rPr>
          <w:color w:val="0D0D0D" w:themeColor="text1" w:themeTint="F2"/>
        </w:rPr>
        <w:t xml:space="preserve">1. </w:t>
      </w:r>
      <w:r w:rsidR="00791C19" w:rsidRPr="00836E30">
        <w:rPr>
          <w:color w:val="0D0D0D" w:themeColor="text1" w:themeTint="F2"/>
        </w:rPr>
        <w:t>Proposed Research Title</w:t>
      </w:r>
      <w:bookmarkEnd w:id="0"/>
    </w:p>
    <w:p w14:paraId="35E30667" w14:textId="4F951335" w:rsidR="00B80232" w:rsidRPr="00836E30" w:rsidRDefault="00B80232" w:rsidP="00584FF8">
      <w:pPr>
        <w:spacing w:line="360" w:lineRule="auto"/>
        <w:jc w:val="both"/>
        <w:rPr>
          <w:rFonts w:ascii="Arial" w:hAnsi="Arial" w:cs="Arial"/>
          <w:color w:val="0D0D0D" w:themeColor="text1" w:themeTint="F2"/>
          <w:sz w:val="22"/>
          <w:szCs w:val="22"/>
          <w:lang w:val="en-IN" w:eastAsia="en-IN"/>
        </w:rPr>
      </w:pPr>
      <w:r w:rsidRPr="00836E30">
        <w:rPr>
          <w:rFonts w:ascii="Arial" w:hAnsi="Arial" w:cs="Arial"/>
          <w:color w:val="0D0D0D" w:themeColor="text1" w:themeTint="F2"/>
          <w:sz w:val="22"/>
          <w:szCs w:val="22"/>
          <w:lang w:val="en-IN" w:eastAsia="en-IN"/>
        </w:rPr>
        <w:t>"The effectiveness of digital health interventions in managing Type 2 Diabetes Mellitus within the UK adult population: a systematic review."</w:t>
      </w:r>
    </w:p>
    <w:p w14:paraId="5EDF9CEB" w14:textId="1DC6D6D5" w:rsidR="00456CE1" w:rsidRPr="00456CE1" w:rsidRDefault="004157F9" w:rsidP="004157F9">
      <w:pPr>
        <w:pStyle w:val="Heading1"/>
      </w:pPr>
      <w:bookmarkStart w:id="1" w:name="_Toc237716166"/>
      <w:r>
        <w:t xml:space="preserve">2. </w:t>
      </w:r>
      <w:r w:rsidR="00456CE1" w:rsidRPr="00456CE1">
        <w:t>Introduction</w:t>
      </w:r>
      <w:bookmarkEnd w:id="1"/>
      <w:r w:rsidR="00456CE1" w:rsidRPr="00456CE1">
        <w:t xml:space="preserve"> </w:t>
      </w:r>
    </w:p>
    <w:p w14:paraId="61CBF6E4" w14:textId="007EBEE0" w:rsidR="00456CE1" w:rsidRDefault="00487433"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Type </w:t>
      </w:r>
      <w:r w:rsidR="00C6285A" w:rsidRPr="00836E30">
        <w:rPr>
          <w:rFonts w:ascii="Arial" w:hAnsi="Arial" w:cs="Arial"/>
          <w:color w:val="0D0D0D" w:themeColor="text1" w:themeTint="F2"/>
          <w:sz w:val="22"/>
          <w:szCs w:val="22"/>
        </w:rPr>
        <w:t xml:space="preserve">2 Diabetes Mellitus (T2DM) </w:t>
      </w:r>
      <w:r w:rsidRPr="00836E30">
        <w:rPr>
          <w:rFonts w:ascii="Arial" w:hAnsi="Arial" w:cs="Arial"/>
          <w:color w:val="0D0D0D" w:themeColor="text1" w:themeTint="F2"/>
          <w:sz w:val="22"/>
          <w:szCs w:val="22"/>
        </w:rPr>
        <w:t>is one of the significant chronic metabolic disorder which significantly create insulin resistance and progressive pancreatic β-cell dysfunction.</w:t>
      </w:r>
      <w:r w:rsidR="00371C28" w:rsidRPr="00836E30">
        <w:rPr>
          <w:rFonts w:ascii="Arial" w:hAnsi="Arial" w:cs="Arial"/>
          <w:color w:val="0D0D0D" w:themeColor="text1" w:themeTint="F2"/>
          <w:sz w:val="22"/>
          <w:szCs w:val="22"/>
        </w:rPr>
        <w:t xml:space="preserve"> </w:t>
      </w:r>
      <w:proofErr w:type="spellStart"/>
      <w:r w:rsidR="00E179D9" w:rsidRPr="00836E30">
        <w:rPr>
          <w:rFonts w:ascii="Arial" w:hAnsi="Arial" w:cs="Arial"/>
          <w:color w:val="0D0D0D" w:themeColor="text1" w:themeTint="F2"/>
          <w:sz w:val="22"/>
          <w:szCs w:val="22"/>
          <w:shd w:val="clear" w:color="auto" w:fill="FFFFFF"/>
        </w:rPr>
        <w:t>Ceriello</w:t>
      </w:r>
      <w:proofErr w:type="spellEnd"/>
      <w:r w:rsidR="00E179D9" w:rsidRPr="00836E30">
        <w:rPr>
          <w:rFonts w:ascii="Arial" w:hAnsi="Arial" w:cs="Arial"/>
          <w:color w:val="0D0D0D" w:themeColor="text1" w:themeTint="F2"/>
          <w:sz w:val="22"/>
          <w:szCs w:val="22"/>
        </w:rPr>
        <w:t xml:space="preserve"> </w:t>
      </w:r>
      <w:r w:rsidR="00E179D9" w:rsidRPr="00836E30">
        <w:rPr>
          <w:rFonts w:ascii="Arial" w:hAnsi="Arial" w:cs="Arial"/>
          <w:i/>
          <w:iCs/>
          <w:color w:val="0D0D0D" w:themeColor="text1" w:themeTint="F2"/>
          <w:sz w:val="22"/>
          <w:szCs w:val="22"/>
        </w:rPr>
        <w:t xml:space="preserve">et al. </w:t>
      </w:r>
      <w:r w:rsidR="00371C28" w:rsidRPr="00836E30">
        <w:rPr>
          <w:rFonts w:ascii="Arial" w:hAnsi="Arial" w:cs="Arial"/>
          <w:color w:val="0D0D0D" w:themeColor="text1" w:themeTint="F2"/>
          <w:sz w:val="22"/>
          <w:szCs w:val="22"/>
        </w:rPr>
        <w:t>(</w:t>
      </w:r>
      <w:r w:rsidR="00E179D9" w:rsidRPr="00836E30">
        <w:rPr>
          <w:rFonts w:ascii="Arial" w:hAnsi="Arial" w:cs="Arial"/>
          <w:color w:val="0D0D0D" w:themeColor="text1" w:themeTint="F2"/>
          <w:sz w:val="22"/>
          <w:szCs w:val="22"/>
        </w:rPr>
        <w:t>2022</w:t>
      </w:r>
      <w:r w:rsidR="00371C28" w:rsidRPr="00836E30">
        <w:rPr>
          <w:rFonts w:ascii="Arial" w:hAnsi="Arial" w:cs="Arial"/>
          <w:color w:val="0D0D0D" w:themeColor="text1" w:themeTint="F2"/>
          <w:sz w:val="22"/>
          <w:szCs w:val="22"/>
        </w:rPr>
        <w:t xml:space="preserve">) </w:t>
      </w:r>
      <w:r w:rsidR="00C6285A" w:rsidRPr="00836E30">
        <w:rPr>
          <w:rFonts w:ascii="Arial" w:hAnsi="Arial" w:cs="Arial"/>
          <w:color w:val="0D0D0D" w:themeColor="text1" w:themeTint="F2"/>
          <w:sz w:val="22"/>
          <w:szCs w:val="22"/>
        </w:rPr>
        <w:t>a</w:t>
      </w:r>
      <w:r w:rsidR="00371C28" w:rsidRPr="00836E30">
        <w:rPr>
          <w:rFonts w:ascii="Arial" w:hAnsi="Arial" w:cs="Arial"/>
          <w:color w:val="0D0D0D" w:themeColor="text1" w:themeTint="F2"/>
          <w:sz w:val="22"/>
          <w:szCs w:val="22"/>
        </w:rPr>
        <w:t>rticulated due to persistent hyperglycaemia the lifelong issues like minimising the risk of complications can be raised</w:t>
      </w:r>
      <w:r w:rsidR="00456CE1">
        <w:rPr>
          <w:rFonts w:ascii="Arial" w:hAnsi="Arial" w:cs="Arial"/>
          <w:color w:val="0D0D0D" w:themeColor="text1" w:themeTint="F2"/>
          <w:sz w:val="22"/>
          <w:szCs w:val="22"/>
        </w:rPr>
        <w:t>. I</w:t>
      </w:r>
      <w:r w:rsidR="00371C28" w:rsidRPr="00836E30">
        <w:rPr>
          <w:rFonts w:ascii="Arial" w:hAnsi="Arial" w:cs="Arial"/>
          <w:color w:val="0D0D0D" w:themeColor="text1" w:themeTint="F2"/>
          <w:sz w:val="22"/>
          <w:szCs w:val="22"/>
        </w:rPr>
        <w:t>t can be the most effective and common form of diabetes that can account approximately 90% of diabetes cases.</w:t>
      </w:r>
      <w:r w:rsidR="001938E8">
        <w:rPr>
          <w:rFonts w:ascii="Arial" w:hAnsi="Arial" w:cs="Arial"/>
          <w:color w:val="0D0D0D" w:themeColor="text1" w:themeTint="F2"/>
          <w:sz w:val="22"/>
          <w:szCs w:val="22"/>
        </w:rPr>
        <w:t xml:space="preserve"> </w:t>
      </w:r>
      <w:r w:rsidR="001938E8" w:rsidRPr="00836E30">
        <w:rPr>
          <w:rFonts w:ascii="Arial" w:hAnsi="Arial" w:cs="Arial"/>
          <w:color w:val="0D0D0D" w:themeColor="text1" w:themeTint="F2"/>
          <w:sz w:val="22"/>
          <w:szCs w:val="22"/>
        </w:rPr>
        <w:t xml:space="preserve">Overall, the condition can affect the health inequalities and socio-economic disadvantage for the UK population by assessing effective self-management support. </w:t>
      </w:r>
      <w:r w:rsidR="00371C28" w:rsidRPr="00836E30">
        <w:rPr>
          <w:rFonts w:ascii="Arial" w:hAnsi="Arial" w:cs="Arial"/>
          <w:color w:val="0D0D0D" w:themeColor="text1" w:themeTint="F2"/>
          <w:sz w:val="22"/>
          <w:szCs w:val="22"/>
        </w:rPr>
        <w:t xml:space="preserve"> </w:t>
      </w:r>
    </w:p>
    <w:p w14:paraId="21FE68EA" w14:textId="060BB4E3" w:rsidR="00456CE1" w:rsidRPr="00456CE1" w:rsidRDefault="004157F9" w:rsidP="004157F9">
      <w:pPr>
        <w:pStyle w:val="Heading1"/>
      </w:pPr>
      <w:bookmarkStart w:id="2" w:name="_Toc237716167"/>
      <w:r>
        <w:t xml:space="preserve">3. </w:t>
      </w:r>
      <w:r w:rsidR="00456CE1" w:rsidRPr="00456CE1">
        <w:t>Prevalence</w:t>
      </w:r>
      <w:bookmarkEnd w:id="2"/>
    </w:p>
    <w:p w14:paraId="152ED200" w14:textId="018337C0" w:rsidR="0065239D" w:rsidRPr="00836E30" w:rsidRDefault="00371C28"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Therefore</w:t>
      </w:r>
      <w:r w:rsidR="00C6285A" w:rsidRPr="00836E30">
        <w:rPr>
          <w:rFonts w:ascii="Arial" w:hAnsi="Arial" w:cs="Arial"/>
          <w:color w:val="0D0D0D" w:themeColor="text1" w:themeTint="F2"/>
          <w:sz w:val="22"/>
          <w:szCs w:val="22"/>
        </w:rPr>
        <w:t xml:space="preserve">, </w:t>
      </w:r>
      <w:r w:rsidRPr="00836E30">
        <w:rPr>
          <w:rFonts w:ascii="Arial" w:hAnsi="Arial" w:cs="Arial"/>
          <w:color w:val="0D0D0D" w:themeColor="text1" w:themeTint="F2"/>
          <w:sz w:val="22"/>
          <w:szCs w:val="22"/>
        </w:rPr>
        <w:t>the modifiable risks can be raised within the UK adult population like obesity poor dietary habits and physical inactivity. Effective glycaemic control can fundamentally prevent different disease progression thus the digital health technologies can particularly focus on Continuous Glucose Monitoring means CGM based recognition with valuable tools and personalised diabetes management with clinical decision making (</w:t>
      </w:r>
      <w:r w:rsidR="007D360A" w:rsidRPr="00836E30">
        <w:rPr>
          <w:rFonts w:ascii="Arial" w:hAnsi="Arial" w:cs="Arial"/>
          <w:color w:val="0D0D0D" w:themeColor="text1" w:themeTint="F2"/>
          <w:sz w:val="22"/>
          <w:szCs w:val="22"/>
        </w:rPr>
        <w:t>Diabetes, 2026</w:t>
      </w:r>
      <w:r w:rsidRPr="00836E30">
        <w:rPr>
          <w:rFonts w:ascii="Arial" w:hAnsi="Arial" w:cs="Arial"/>
          <w:color w:val="0D0D0D" w:themeColor="text1" w:themeTint="F2"/>
          <w:sz w:val="22"/>
          <w:szCs w:val="22"/>
        </w:rPr>
        <w:t xml:space="preserve">). </w:t>
      </w:r>
    </w:p>
    <w:p w14:paraId="727FD0F6" w14:textId="52CBEA3B" w:rsidR="0065239D" w:rsidRPr="00836E30" w:rsidRDefault="0065239D" w:rsidP="00584FF8">
      <w:pPr>
        <w:spacing w:line="360" w:lineRule="auto"/>
        <w:jc w:val="center"/>
        <w:rPr>
          <w:color w:val="0D0D0D" w:themeColor="text1" w:themeTint="F2"/>
        </w:rPr>
      </w:pPr>
      <w:r w:rsidRPr="00836E30">
        <w:rPr>
          <w:noProof/>
          <w:color w:val="0D0D0D" w:themeColor="text1" w:themeTint="F2"/>
        </w:rPr>
        <w:drawing>
          <wp:inline distT="0" distB="0" distL="0" distR="0" wp14:anchorId="73E5AAF4" wp14:editId="2737C209">
            <wp:extent cx="2959245" cy="2552700"/>
            <wp:effectExtent l="76200" t="76200" r="127000" b="133350"/>
            <wp:docPr id="43809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95732" name=""/>
                    <pic:cNvPicPr/>
                  </pic:nvPicPr>
                  <pic:blipFill>
                    <a:blip r:embed="rId9"/>
                    <a:stretch>
                      <a:fillRect/>
                    </a:stretch>
                  </pic:blipFill>
                  <pic:spPr>
                    <a:xfrm>
                      <a:off x="0" y="0"/>
                      <a:ext cx="2970023" cy="25619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2C2DAB" w14:textId="4F478ACF" w:rsidR="0065239D" w:rsidRPr="00836E30" w:rsidRDefault="0065239D" w:rsidP="00584FF8">
      <w:pPr>
        <w:spacing w:line="360" w:lineRule="auto"/>
        <w:jc w:val="center"/>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t>Figure 1: Estimated total diagnosed and undiagnosed type 2 diabetes</w:t>
      </w:r>
    </w:p>
    <w:p w14:paraId="02903509" w14:textId="38F03A0E" w:rsidR="0065239D" w:rsidRPr="00836E30" w:rsidRDefault="0065239D" w:rsidP="00584FF8">
      <w:pPr>
        <w:spacing w:line="360" w:lineRule="auto"/>
        <w:jc w:val="center"/>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(Source: </w:t>
      </w:r>
      <w:r w:rsidR="007D360A" w:rsidRPr="00836E30">
        <w:rPr>
          <w:rFonts w:ascii="Arial" w:hAnsi="Arial" w:cs="Arial"/>
          <w:color w:val="0D0D0D" w:themeColor="text1" w:themeTint="F2"/>
          <w:sz w:val="22"/>
          <w:szCs w:val="22"/>
        </w:rPr>
        <w:t>GOV, 2025a</w:t>
      </w:r>
      <w:r w:rsidRPr="00836E30">
        <w:rPr>
          <w:rFonts w:ascii="Arial" w:hAnsi="Arial" w:cs="Arial"/>
          <w:color w:val="0D0D0D" w:themeColor="text1" w:themeTint="F2"/>
          <w:sz w:val="22"/>
          <w:szCs w:val="22"/>
        </w:rPr>
        <w:t>)</w:t>
      </w:r>
    </w:p>
    <w:p w14:paraId="0084DEEC" w14:textId="0EFBD710" w:rsidR="0065239D" w:rsidRPr="00836E30" w:rsidRDefault="00C6285A"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On the other side</w:t>
      </w:r>
      <w:r w:rsidR="00E179D9"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the type two diabetes mellitus has increased in the recent years across United Kingdom which has created significant challenges in the healthcare industry and NHS services. As per the research from </w:t>
      </w:r>
      <w:r w:rsidR="007D360A" w:rsidRPr="00836E30">
        <w:rPr>
          <w:rFonts w:ascii="Arial" w:hAnsi="Arial" w:cs="Arial"/>
          <w:color w:val="0D0D0D" w:themeColor="text1" w:themeTint="F2"/>
          <w:sz w:val="22"/>
          <w:szCs w:val="22"/>
        </w:rPr>
        <w:t xml:space="preserve">GOV </w:t>
      </w:r>
      <w:r w:rsidRPr="00836E30">
        <w:rPr>
          <w:rFonts w:ascii="Arial" w:hAnsi="Arial" w:cs="Arial"/>
          <w:color w:val="0D0D0D" w:themeColor="text1" w:themeTint="F2"/>
          <w:sz w:val="22"/>
          <w:szCs w:val="22"/>
        </w:rPr>
        <w:t>(</w:t>
      </w:r>
      <w:r w:rsidR="007D360A" w:rsidRPr="00836E30">
        <w:rPr>
          <w:rFonts w:ascii="Arial" w:hAnsi="Arial" w:cs="Arial"/>
          <w:color w:val="0D0D0D" w:themeColor="text1" w:themeTint="F2"/>
          <w:sz w:val="22"/>
          <w:szCs w:val="22"/>
        </w:rPr>
        <w:t>2025b</w:t>
      </w:r>
      <w:r w:rsidRPr="00836E30">
        <w:rPr>
          <w:rFonts w:ascii="Arial" w:hAnsi="Arial" w:cs="Arial"/>
          <w:color w:val="0D0D0D" w:themeColor="text1" w:themeTint="F2"/>
          <w:sz w:val="22"/>
          <w:szCs w:val="22"/>
        </w:rPr>
        <w:t>), near about 6 million people in the UK are facing diabetes and more than 4.7 million cases have been diagnosed and 1.3 million individuals are still undiagnosed with type 2 diabetes. Moreover in 2023 to 2025 the registered patient number has increased more than 1,55,000 Which can continue to create burden on the growth of healthcare services in the UK for adults (</w:t>
      </w:r>
      <w:r w:rsidR="007D360A" w:rsidRPr="00836E30">
        <w:rPr>
          <w:rFonts w:ascii="Arial" w:hAnsi="Arial" w:cs="Arial"/>
          <w:color w:val="0D0D0D" w:themeColor="text1" w:themeTint="F2"/>
          <w:sz w:val="22"/>
          <w:szCs w:val="22"/>
        </w:rPr>
        <w:t>NHS UK, 2023</w:t>
      </w:r>
      <w:r w:rsidRPr="00836E30">
        <w:rPr>
          <w:rFonts w:ascii="Arial" w:hAnsi="Arial" w:cs="Arial"/>
          <w:color w:val="0D0D0D" w:themeColor="text1" w:themeTint="F2"/>
          <w:sz w:val="22"/>
          <w:szCs w:val="22"/>
        </w:rPr>
        <w:t>). Besides this as per the records of 2024 to 2025 it is seen 3.7 million people in the UK were recorded who are leaving with type to diabetes and sustained there demand for treatment on NHS is primary and community health care services (</w:t>
      </w:r>
      <w:r w:rsidR="007D360A" w:rsidRPr="00836E30">
        <w:rPr>
          <w:rFonts w:ascii="Arial" w:hAnsi="Arial" w:cs="Arial"/>
          <w:color w:val="0D0D0D" w:themeColor="text1" w:themeTint="F2"/>
          <w:sz w:val="22"/>
          <w:szCs w:val="22"/>
        </w:rPr>
        <w:t>NHS UK, 2026</w:t>
      </w:r>
      <w:r w:rsidRPr="00836E30">
        <w:rPr>
          <w:rFonts w:ascii="Arial" w:hAnsi="Arial" w:cs="Arial"/>
          <w:color w:val="0D0D0D" w:themeColor="text1" w:themeTint="F2"/>
          <w:sz w:val="22"/>
          <w:szCs w:val="22"/>
        </w:rPr>
        <w:t xml:space="preserve">). </w:t>
      </w:r>
    </w:p>
    <w:p w14:paraId="0468A9BA" w14:textId="77777777" w:rsidR="0065239D" w:rsidRPr="00836E30" w:rsidRDefault="0065239D" w:rsidP="00584FF8">
      <w:pPr>
        <w:spacing w:line="360" w:lineRule="auto"/>
        <w:jc w:val="center"/>
        <w:rPr>
          <w:color w:val="0D0D0D" w:themeColor="text1" w:themeTint="F2"/>
        </w:rPr>
      </w:pPr>
      <w:r w:rsidRPr="00836E30">
        <w:rPr>
          <w:rFonts w:ascii="Arial" w:hAnsi="Arial" w:cs="Arial"/>
          <w:noProof/>
          <w:color w:val="0D0D0D" w:themeColor="text1" w:themeTint="F2"/>
          <w:sz w:val="22"/>
          <w:szCs w:val="22"/>
        </w:rPr>
        <w:drawing>
          <wp:inline distT="0" distB="0" distL="0" distR="0" wp14:anchorId="5116DB73" wp14:editId="74EDA955">
            <wp:extent cx="4252334" cy="3627157"/>
            <wp:effectExtent l="76200" t="76200" r="129540" b="125730"/>
            <wp:docPr id="1725660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60676" name=""/>
                    <pic:cNvPicPr/>
                  </pic:nvPicPr>
                  <pic:blipFill>
                    <a:blip r:embed="rId10"/>
                    <a:stretch>
                      <a:fillRect/>
                    </a:stretch>
                  </pic:blipFill>
                  <pic:spPr>
                    <a:xfrm>
                      <a:off x="0" y="0"/>
                      <a:ext cx="4270011" cy="3642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43FB92" w14:textId="6746B165" w:rsidR="0065239D" w:rsidRPr="00836E30" w:rsidRDefault="0065239D" w:rsidP="00584FF8">
      <w:pPr>
        <w:spacing w:line="360" w:lineRule="auto"/>
        <w:jc w:val="center"/>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t>Figure 2: People with diabetes received care processes</w:t>
      </w:r>
    </w:p>
    <w:p w14:paraId="73D9D00E" w14:textId="07A7518D" w:rsidR="0065239D" w:rsidRPr="00836E30" w:rsidRDefault="0065239D" w:rsidP="00584FF8">
      <w:pPr>
        <w:spacing w:line="360" w:lineRule="auto"/>
        <w:jc w:val="center"/>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(Source: </w:t>
      </w:r>
      <w:r w:rsidR="007D360A" w:rsidRPr="00836E30">
        <w:rPr>
          <w:rFonts w:ascii="Arial" w:hAnsi="Arial" w:cs="Arial"/>
          <w:color w:val="0D0D0D" w:themeColor="text1" w:themeTint="F2"/>
          <w:sz w:val="22"/>
          <w:szCs w:val="22"/>
        </w:rPr>
        <w:t>GOV, 2025a</w:t>
      </w:r>
      <w:r w:rsidRPr="00836E30">
        <w:rPr>
          <w:rFonts w:ascii="Arial" w:hAnsi="Arial" w:cs="Arial"/>
          <w:color w:val="0D0D0D" w:themeColor="text1" w:themeTint="F2"/>
          <w:sz w:val="22"/>
          <w:szCs w:val="22"/>
        </w:rPr>
        <w:t>)</w:t>
      </w:r>
    </w:p>
    <w:p w14:paraId="1F0EFCC2" w14:textId="6FC4064C" w:rsidR="0033640D" w:rsidRPr="00836E30" w:rsidRDefault="00E179D9"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Mohammed</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C6285A"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2025</w:t>
      </w:r>
      <w:r w:rsidR="00C6285A" w:rsidRPr="00836E30">
        <w:rPr>
          <w:rFonts w:ascii="Arial" w:hAnsi="Arial" w:cs="Arial"/>
          <w:color w:val="0D0D0D" w:themeColor="text1" w:themeTint="F2"/>
          <w:sz w:val="22"/>
          <w:szCs w:val="22"/>
        </w:rPr>
        <w:t xml:space="preserve">) contradicted poor control over type two diabetes mellitus leads to serious microbus cooler and </w:t>
      </w:r>
      <w:proofErr w:type="spellStart"/>
      <w:r w:rsidR="00C6285A" w:rsidRPr="00836E30">
        <w:rPr>
          <w:rFonts w:ascii="Arial" w:hAnsi="Arial" w:cs="Arial"/>
          <w:color w:val="0D0D0D" w:themeColor="text1" w:themeTint="F2"/>
          <w:sz w:val="22"/>
          <w:szCs w:val="22"/>
        </w:rPr>
        <w:t>macrovascular</w:t>
      </w:r>
      <w:proofErr w:type="spellEnd"/>
      <w:r w:rsidR="00C6285A" w:rsidRPr="00836E30">
        <w:rPr>
          <w:rFonts w:ascii="Arial" w:hAnsi="Arial" w:cs="Arial"/>
          <w:color w:val="0D0D0D" w:themeColor="text1" w:themeTint="F2"/>
          <w:sz w:val="22"/>
          <w:szCs w:val="22"/>
        </w:rPr>
        <w:t xml:space="preserve"> complications which leads to raise cardiovascular disease chronic kidney disease retinopathy lower limb amputation and neuropathy means different adverse physical and psychological health issues can be raised which can affect the quality life of UK adults. </w:t>
      </w:r>
      <w:r w:rsidR="000C17C0" w:rsidRPr="00836E30">
        <w:rPr>
          <w:rFonts w:ascii="Arial" w:hAnsi="Arial" w:cs="Arial"/>
          <w:color w:val="0D0D0D" w:themeColor="text1" w:themeTint="F2"/>
          <w:sz w:val="22"/>
          <w:szCs w:val="22"/>
        </w:rPr>
        <w:t xml:space="preserve">Conversely, </w:t>
      </w:r>
      <w:r w:rsidRPr="00836E30">
        <w:rPr>
          <w:rFonts w:ascii="Arial" w:hAnsi="Arial" w:cs="Arial"/>
          <w:color w:val="0D0D0D" w:themeColor="text1" w:themeTint="F2"/>
          <w:sz w:val="22"/>
          <w:szCs w:val="22"/>
          <w:shd w:val="clear" w:color="auto" w:fill="FFFFFF"/>
        </w:rPr>
        <w:t>Wilson</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0C17C0"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2025</w:t>
      </w:r>
      <w:r w:rsidR="000C17C0" w:rsidRPr="00836E30">
        <w:rPr>
          <w:rFonts w:ascii="Arial" w:hAnsi="Arial" w:cs="Arial"/>
          <w:color w:val="0D0D0D" w:themeColor="text1" w:themeTint="F2"/>
          <w:sz w:val="22"/>
          <w:szCs w:val="22"/>
        </w:rPr>
        <w:t xml:space="preserve">) </w:t>
      </w:r>
      <w:r w:rsidRPr="00836E30">
        <w:rPr>
          <w:rFonts w:ascii="Arial" w:hAnsi="Arial" w:cs="Arial"/>
          <w:color w:val="0D0D0D" w:themeColor="text1" w:themeTint="F2"/>
          <w:sz w:val="22"/>
          <w:szCs w:val="22"/>
        </w:rPr>
        <w:t>c</w:t>
      </w:r>
      <w:r w:rsidR="000C17C0" w:rsidRPr="00836E30">
        <w:rPr>
          <w:rFonts w:ascii="Arial" w:hAnsi="Arial" w:cs="Arial"/>
          <w:color w:val="0D0D0D" w:themeColor="text1" w:themeTint="F2"/>
          <w:sz w:val="22"/>
          <w:szCs w:val="22"/>
        </w:rPr>
        <w:t xml:space="preserve">ontradicted there are huge number of individuals who required regular monitoring and long term management in terms of type two diabetes mellitus which leads to effect the pressure on NHS primary care and reinforce the innovative and patient centred approaches towards diabetes care. Thus the systemic review can evaluate the effectiveness of </w:t>
      </w:r>
      <w:r w:rsidR="007D360A" w:rsidRPr="00836E30">
        <w:rPr>
          <w:rFonts w:ascii="Arial" w:hAnsi="Arial" w:cs="Arial"/>
          <w:color w:val="0D0D0D" w:themeColor="text1" w:themeTint="F2"/>
          <w:sz w:val="22"/>
          <w:szCs w:val="22"/>
        </w:rPr>
        <w:t>CGM</w:t>
      </w:r>
      <w:r w:rsidR="000C17C0" w:rsidRPr="00836E30">
        <w:rPr>
          <w:rFonts w:ascii="Arial" w:hAnsi="Arial" w:cs="Arial"/>
          <w:color w:val="0D0D0D" w:themeColor="text1" w:themeTint="F2"/>
          <w:sz w:val="22"/>
          <w:szCs w:val="22"/>
        </w:rPr>
        <w:t xml:space="preserve"> based digital health interventions that can improve glycaemic outcomes among UK adults with type two diabetes mellitus by examining their integration to NHS primary care for equitable diabetes management.</w:t>
      </w:r>
    </w:p>
    <w:p w14:paraId="61991385" w14:textId="77C25B17" w:rsidR="00791C19" w:rsidRPr="00836E30" w:rsidRDefault="004157F9" w:rsidP="00584FF8">
      <w:pPr>
        <w:pStyle w:val="Heading1"/>
        <w:rPr>
          <w:color w:val="0D0D0D" w:themeColor="text1" w:themeTint="F2"/>
        </w:rPr>
      </w:pPr>
      <w:bookmarkStart w:id="3" w:name="_Toc237716168"/>
      <w:r>
        <w:rPr>
          <w:color w:val="0D0D0D" w:themeColor="text1" w:themeTint="F2"/>
        </w:rPr>
        <w:t>4</w:t>
      </w:r>
      <w:r w:rsidR="00B80232" w:rsidRPr="00836E30">
        <w:rPr>
          <w:color w:val="0D0D0D" w:themeColor="text1" w:themeTint="F2"/>
        </w:rPr>
        <w:t xml:space="preserve">. </w:t>
      </w:r>
      <w:r w:rsidR="00791C19" w:rsidRPr="00836E30">
        <w:rPr>
          <w:color w:val="0D0D0D" w:themeColor="text1" w:themeTint="F2"/>
        </w:rPr>
        <w:t>Research Problem, Rationale</w:t>
      </w:r>
      <w:r w:rsidR="00584FF8">
        <w:rPr>
          <w:color w:val="0D0D0D" w:themeColor="text1" w:themeTint="F2"/>
        </w:rPr>
        <w:t>,</w:t>
      </w:r>
      <w:r w:rsidR="00791C19" w:rsidRPr="00836E30">
        <w:rPr>
          <w:color w:val="0D0D0D" w:themeColor="text1" w:themeTint="F2"/>
        </w:rPr>
        <w:t xml:space="preserve"> and Evidence Gap</w:t>
      </w:r>
      <w:bookmarkEnd w:id="3"/>
      <w:r w:rsidR="00791C19" w:rsidRPr="00836E30">
        <w:rPr>
          <w:color w:val="0D0D0D" w:themeColor="text1" w:themeTint="F2"/>
        </w:rPr>
        <w:t xml:space="preserve"> </w:t>
      </w:r>
    </w:p>
    <w:p w14:paraId="0D21A6A3" w14:textId="5FB8B083" w:rsidR="0065239D" w:rsidRPr="00836E30" w:rsidRDefault="00316C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The National Health Services (NHS) UK Has initiated digital transformation </w:t>
      </w:r>
      <w:r w:rsidR="00577A79" w:rsidRPr="00836E30">
        <w:rPr>
          <w:rFonts w:ascii="Arial" w:hAnsi="Arial" w:cs="Arial"/>
          <w:color w:val="0D0D0D" w:themeColor="text1" w:themeTint="F2"/>
          <w:sz w:val="22"/>
          <w:szCs w:val="22"/>
        </w:rPr>
        <w:t>to</w:t>
      </w:r>
      <w:r w:rsidRPr="00836E30">
        <w:rPr>
          <w:rFonts w:ascii="Arial" w:hAnsi="Arial" w:cs="Arial"/>
          <w:color w:val="0D0D0D" w:themeColor="text1" w:themeTint="F2"/>
          <w:sz w:val="22"/>
          <w:szCs w:val="22"/>
        </w:rPr>
        <w:t xml:space="preserve"> manage type 2 diabetes mellitus with continuous glucose monitoring process that can improve the glucose level and monitor personalise diabetes care for the individuals. As per the research </w:t>
      </w:r>
      <w:r w:rsidR="00E179D9" w:rsidRPr="00836E30">
        <w:rPr>
          <w:rFonts w:ascii="Arial" w:hAnsi="Arial" w:cs="Arial"/>
          <w:color w:val="0D0D0D" w:themeColor="text1" w:themeTint="F2"/>
          <w:sz w:val="22"/>
          <w:szCs w:val="22"/>
        </w:rPr>
        <w:t xml:space="preserve">of </w:t>
      </w:r>
      <w:proofErr w:type="spellStart"/>
      <w:r w:rsidR="00E179D9" w:rsidRPr="00836E30">
        <w:rPr>
          <w:rFonts w:ascii="Arial" w:hAnsi="Arial" w:cs="Arial"/>
          <w:color w:val="0D0D0D" w:themeColor="text1" w:themeTint="F2"/>
          <w:sz w:val="22"/>
          <w:szCs w:val="22"/>
          <w:shd w:val="clear" w:color="auto" w:fill="FFFFFF"/>
        </w:rPr>
        <w:t>Seidu</w:t>
      </w:r>
      <w:proofErr w:type="spellEnd"/>
      <w:r w:rsidR="00E179D9" w:rsidRPr="00836E30">
        <w:rPr>
          <w:rFonts w:ascii="Arial" w:hAnsi="Arial" w:cs="Arial"/>
          <w:color w:val="0D0D0D" w:themeColor="text1" w:themeTint="F2"/>
          <w:sz w:val="22"/>
          <w:szCs w:val="22"/>
        </w:rPr>
        <w:t xml:space="preserve"> </w:t>
      </w:r>
      <w:r w:rsidR="00E179D9" w:rsidRPr="00836E30">
        <w:rPr>
          <w:rFonts w:ascii="Arial" w:hAnsi="Arial" w:cs="Arial"/>
          <w:i/>
          <w:iCs/>
          <w:color w:val="0D0D0D" w:themeColor="text1" w:themeTint="F2"/>
          <w:sz w:val="22"/>
          <w:szCs w:val="22"/>
        </w:rPr>
        <w:t xml:space="preserve">et al. </w:t>
      </w:r>
      <w:r w:rsidRPr="00836E30">
        <w:rPr>
          <w:rFonts w:ascii="Arial" w:hAnsi="Arial" w:cs="Arial"/>
          <w:color w:val="0D0D0D" w:themeColor="text1" w:themeTint="F2"/>
          <w:sz w:val="22"/>
          <w:szCs w:val="22"/>
        </w:rPr>
        <w:t>(</w:t>
      </w:r>
      <w:r w:rsidR="00E179D9" w:rsidRPr="00836E30">
        <w:rPr>
          <w:rFonts w:ascii="Arial" w:hAnsi="Arial" w:cs="Arial"/>
          <w:color w:val="0D0D0D" w:themeColor="text1" w:themeTint="F2"/>
          <w:sz w:val="22"/>
          <w:szCs w:val="22"/>
        </w:rPr>
        <w:t>2025</w:t>
      </w:r>
      <w:r w:rsidRPr="00836E30">
        <w:rPr>
          <w:rFonts w:ascii="Arial" w:hAnsi="Arial" w:cs="Arial"/>
          <w:color w:val="0D0D0D" w:themeColor="text1" w:themeTint="F2"/>
          <w:sz w:val="22"/>
          <w:szCs w:val="22"/>
        </w:rPr>
        <w:t>), CGM has specifically focused on a group of adults for type two diabetes with insulin treated process and the entire implementation has accompanied the professional expertise as well as ongoing review of clinical benefits. Therefore, the health authorities in the UK can translate the CGM into a routine UK primary care initiative in order to break the inconsistency and integrate clinical workflow as well as long term effectiveness in the treatment process of diabetes type 2 with real world setting (</w:t>
      </w:r>
      <w:r w:rsidR="00E179D9" w:rsidRPr="00836E30">
        <w:rPr>
          <w:rFonts w:ascii="Arial" w:hAnsi="Arial" w:cs="Arial"/>
          <w:color w:val="0D0D0D" w:themeColor="text1" w:themeTint="F2"/>
          <w:sz w:val="22"/>
          <w:szCs w:val="22"/>
          <w:shd w:val="clear" w:color="auto" w:fill="FFFFFF"/>
        </w:rPr>
        <w:t xml:space="preserve">Ahmad </w:t>
      </w:r>
      <w:r w:rsidR="00E179D9" w:rsidRPr="00836E30">
        <w:rPr>
          <w:rFonts w:ascii="Arial" w:hAnsi="Arial" w:cs="Arial"/>
          <w:i/>
          <w:iCs/>
          <w:color w:val="0D0D0D" w:themeColor="text1" w:themeTint="F2"/>
          <w:sz w:val="22"/>
          <w:szCs w:val="22"/>
          <w:shd w:val="clear" w:color="auto" w:fill="FFFFFF"/>
        </w:rPr>
        <w:t xml:space="preserve">et al. </w:t>
      </w:r>
      <w:r w:rsidR="00E179D9" w:rsidRPr="00836E30">
        <w:rPr>
          <w:rFonts w:ascii="Arial" w:hAnsi="Arial" w:cs="Arial"/>
          <w:color w:val="0D0D0D" w:themeColor="text1" w:themeTint="F2"/>
          <w:sz w:val="22"/>
          <w:szCs w:val="22"/>
          <w:shd w:val="clear" w:color="auto" w:fill="FFFFFF"/>
        </w:rPr>
        <w:t>2022</w:t>
      </w:r>
      <w:r w:rsidRPr="00836E30">
        <w:rPr>
          <w:rFonts w:ascii="Arial" w:hAnsi="Arial" w:cs="Arial"/>
          <w:color w:val="0D0D0D" w:themeColor="text1" w:themeTint="F2"/>
          <w:sz w:val="22"/>
          <w:szCs w:val="22"/>
        </w:rPr>
        <w:t xml:space="preserve">). The research has significantly focused on a specific problem as there are several existing and predominant evaluation that shows clinical efficacy of CGM process is under control trial where the implementation of it in the everyday services of NHS primary care could be less effective. </w:t>
      </w:r>
    </w:p>
    <w:p w14:paraId="7CCD3D6A" w14:textId="7D960549" w:rsidR="0065239D" w:rsidRPr="00836E30" w:rsidRDefault="00FD06EF" w:rsidP="00584FF8">
      <w:pPr>
        <w:spacing w:line="360" w:lineRule="auto"/>
        <w:jc w:val="both"/>
        <w:rPr>
          <w:rFonts w:ascii="Arial" w:hAnsi="Arial" w:cs="Arial"/>
          <w:color w:val="0D0D0D" w:themeColor="text1" w:themeTint="F2"/>
          <w:sz w:val="22"/>
          <w:szCs w:val="22"/>
        </w:rPr>
      </w:pPr>
      <w:r w:rsidRPr="00836E30">
        <w:rPr>
          <w:rFonts w:ascii="Arial" w:hAnsi="Arial" w:cs="Arial"/>
          <w:noProof/>
          <w:color w:val="0D0D0D" w:themeColor="text1" w:themeTint="F2"/>
          <w:sz w:val="22"/>
          <w:szCs w:val="22"/>
        </w:rPr>
        <w:drawing>
          <wp:inline distT="0" distB="0" distL="0" distR="0" wp14:anchorId="7F55B7E7" wp14:editId="63B6C619">
            <wp:extent cx="5301204" cy="3122225"/>
            <wp:effectExtent l="76200" t="76200" r="128270" b="135890"/>
            <wp:docPr id="1779043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43756" name=""/>
                    <pic:cNvPicPr/>
                  </pic:nvPicPr>
                  <pic:blipFill>
                    <a:blip r:embed="rId11"/>
                    <a:stretch>
                      <a:fillRect/>
                    </a:stretch>
                  </pic:blipFill>
                  <pic:spPr>
                    <a:xfrm>
                      <a:off x="0" y="0"/>
                      <a:ext cx="5306969" cy="31256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874129" w14:textId="719BB3F7" w:rsidR="00FD06EF" w:rsidRPr="00836E30" w:rsidRDefault="00FD06EF" w:rsidP="00584FF8">
      <w:pPr>
        <w:spacing w:line="360" w:lineRule="auto"/>
        <w:jc w:val="center"/>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t>Figure 3: People with diabetes received care processes</w:t>
      </w:r>
    </w:p>
    <w:p w14:paraId="5EEC3593" w14:textId="11A9A15A" w:rsidR="00FD06EF" w:rsidRPr="00836E30" w:rsidRDefault="00FD06EF" w:rsidP="00584FF8">
      <w:pPr>
        <w:spacing w:line="360" w:lineRule="auto"/>
        <w:jc w:val="center"/>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(Source: </w:t>
      </w:r>
      <w:r w:rsidR="00E179D9" w:rsidRPr="00836E30">
        <w:rPr>
          <w:rFonts w:ascii="Arial" w:hAnsi="Arial" w:cs="Arial"/>
          <w:color w:val="0D0D0D" w:themeColor="text1" w:themeTint="F2"/>
          <w:sz w:val="22"/>
          <w:szCs w:val="22"/>
        </w:rPr>
        <w:t>Diabetes, 2026</w:t>
      </w:r>
      <w:r w:rsidRPr="00836E30">
        <w:rPr>
          <w:rFonts w:ascii="Arial" w:hAnsi="Arial" w:cs="Arial"/>
          <w:color w:val="0D0D0D" w:themeColor="text1" w:themeTint="F2"/>
          <w:sz w:val="22"/>
          <w:szCs w:val="22"/>
        </w:rPr>
        <w:t>)</w:t>
      </w:r>
    </w:p>
    <w:p w14:paraId="43019257" w14:textId="1B26A0BD" w:rsidR="00316C7B" w:rsidRPr="00836E30" w:rsidRDefault="00316C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In order to encounter this context, </w:t>
      </w:r>
      <w:r w:rsidR="00E179D9" w:rsidRPr="00836E30">
        <w:rPr>
          <w:rFonts w:ascii="Arial" w:hAnsi="Arial" w:cs="Arial"/>
          <w:color w:val="0D0D0D" w:themeColor="text1" w:themeTint="F2"/>
          <w:sz w:val="22"/>
          <w:szCs w:val="22"/>
          <w:shd w:val="clear" w:color="auto" w:fill="FFFFFF"/>
        </w:rPr>
        <w:t>Tobias</w:t>
      </w:r>
      <w:r w:rsidR="00E179D9" w:rsidRPr="00836E30">
        <w:rPr>
          <w:rFonts w:ascii="Arial" w:hAnsi="Arial" w:cs="Arial"/>
          <w:color w:val="0D0D0D" w:themeColor="text1" w:themeTint="F2"/>
          <w:sz w:val="22"/>
          <w:szCs w:val="22"/>
        </w:rPr>
        <w:t xml:space="preserve"> </w:t>
      </w:r>
      <w:r w:rsidR="00E179D9" w:rsidRPr="00836E30">
        <w:rPr>
          <w:rFonts w:ascii="Arial" w:hAnsi="Arial" w:cs="Arial"/>
          <w:i/>
          <w:iCs/>
          <w:color w:val="0D0D0D" w:themeColor="text1" w:themeTint="F2"/>
          <w:sz w:val="22"/>
          <w:szCs w:val="22"/>
        </w:rPr>
        <w:t xml:space="preserve">et al. </w:t>
      </w:r>
      <w:r w:rsidRPr="00836E30">
        <w:rPr>
          <w:rFonts w:ascii="Arial" w:hAnsi="Arial" w:cs="Arial"/>
          <w:color w:val="0D0D0D" w:themeColor="text1" w:themeTint="F2"/>
          <w:sz w:val="22"/>
          <w:szCs w:val="22"/>
        </w:rPr>
        <w:t>(</w:t>
      </w:r>
      <w:r w:rsidR="00E179D9" w:rsidRPr="00836E30">
        <w:rPr>
          <w:rFonts w:ascii="Arial" w:hAnsi="Arial" w:cs="Arial"/>
          <w:color w:val="0D0D0D" w:themeColor="text1" w:themeTint="F2"/>
          <w:sz w:val="22"/>
          <w:szCs w:val="22"/>
        </w:rPr>
        <w:t>2023</w:t>
      </w:r>
      <w:r w:rsidRPr="00836E30">
        <w:rPr>
          <w:rFonts w:ascii="Arial" w:hAnsi="Arial" w:cs="Arial"/>
          <w:color w:val="0D0D0D" w:themeColor="text1" w:themeTint="F2"/>
          <w:sz w:val="22"/>
          <w:szCs w:val="22"/>
        </w:rPr>
        <w:t>) elucidated the recent expert consensus has declared there are several constant barriers in the treatment process of diabetes type 2 including limited clinical training</w:t>
      </w:r>
      <w:r w:rsidR="0065239D"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inadequate electronic health record system</w:t>
      </w:r>
      <w:r w:rsidR="0065239D"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resource management issues </w:t>
      </w:r>
      <w:r w:rsidR="0065239D"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and variations in service delivery process </w:t>
      </w:r>
      <w:r w:rsidR="0065239D" w:rsidRPr="00836E30">
        <w:rPr>
          <w:rFonts w:ascii="Arial" w:hAnsi="Arial" w:cs="Arial"/>
          <w:color w:val="0D0D0D" w:themeColor="text1" w:themeTint="F2"/>
          <w:sz w:val="22"/>
          <w:szCs w:val="22"/>
        </w:rPr>
        <w:t>that</w:t>
      </w:r>
      <w:r w:rsidRPr="00836E30">
        <w:rPr>
          <w:rFonts w:ascii="Arial" w:hAnsi="Arial" w:cs="Arial"/>
          <w:color w:val="0D0D0D" w:themeColor="text1" w:themeTint="F2"/>
          <w:sz w:val="22"/>
          <w:szCs w:val="22"/>
        </w:rPr>
        <w:t xml:space="preserve"> affect</w:t>
      </w:r>
      <w:r w:rsidR="0065239D" w:rsidRPr="00836E30">
        <w:rPr>
          <w:rFonts w:ascii="Arial" w:hAnsi="Arial" w:cs="Arial"/>
          <w:color w:val="0D0D0D" w:themeColor="text1" w:themeTint="F2"/>
          <w:sz w:val="22"/>
          <w:szCs w:val="22"/>
        </w:rPr>
        <w:t>s</w:t>
      </w:r>
      <w:r w:rsidRPr="00836E30">
        <w:rPr>
          <w:rFonts w:ascii="Arial" w:hAnsi="Arial" w:cs="Arial"/>
          <w:color w:val="0D0D0D" w:themeColor="text1" w:themeTint="F2"/>
          <w:sz w:val="22"/>
          <w:szCs w:val="22"/>
        </w:rPr>
        <w:t xml:space="preserve"> the routine adaptation of CGM technologies in the healthcare system. Along with this, there are challenges with the older population in the UK related to digital health intervention like lack of digital literacy cognitive declination manual dexterity and potential negligence towards the wearable technologies in primary care. Therefore</w:t>
      </w:r>
      <w:r w:rsidR="0065239D"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there is an evident gap not the absence of strong research about </w:t>
      </w:r>
      <w:r w:rsidR="0065239D" w:rsidRPr="00836E30">
        <w:rPr>
          <w:rFonts w:ascii="Arial" w:hAnsi="Arial" w:cs="Arial"/>
          <w:color w:val="0D0D0D" w:themeColor="text1" w:themeTint="F2"/>
          <w:sz w:val="22"/>
          <w:szCs w:val="22"/>
        </w:rPr>
        <w:t>CGM</w:t>
      </w:r>
      <w:r w:rsidRPr="00836E30">
        <w:rPr>
          <w:rFonts w:ascii="Arial" w:hAnsi="Arial" w:cs="Arial"/>
          <w:color w:val="0D0D0D" w:themeColor="text1" w:themeTint="F2"/>
          <w:sz w:val="22"/>
          <w:szCs w:val="22"/>
        </w:rPr>
        <w:t xml:space="preserve"> rather focussing on limited knowledge about </w:t>
      </w:r>
      <w:r w:rsidR="0065239D" w:rsidRPr="00836E30">
        <w:rPr>
          <w:rFonts w:ascii="Arial" w:hAnsi="Arial" w:cs="Arial"/>
          <w:color w:val="0D0D0D" w:themeColor="text1" w:themeTint="F2"/>
          <w:sz w:val="22"/>
          <w:szCs w:val="22"/>
        </w:rPr>
        <w:t>UK</w:t>
      </w:r>
      <w:r w:rsidRPr="00836E30">
        <w:rPr>
          <w:rFonts w:ascii="Arial" w:hAnsi="Arial" w:cs="Arial"/>
          <w:color w:val="0D0D0D" w:themeColor="text1" w:themeTint="F2"/>
          <w:sz w:val="22"/>
          <w:szCs w:val="22"/>
        </w:rPr>
        <w:t xml:space="preserve"> specific influence over </w:t>
      </w:r>
      <w:r w:rsidR="0065239D" w:rsidRPr="00836E30">
        <w:rPr>
          <w:rFonts w:ascii="Arial" w:hAnsi="Arial" w:cs="Arial"/>
          <w:color w:val="0D0D0D" w:themeColor="text1" w:themeTint="F2"/>
          <w:sz w:val="22"/>
          <w:szCs w:val="22"/>
        </w:rPr>
        <w:t>CGM</w:t>
      </w:r>
      <w:r w:rsidRPr="00836E30">
        <w:rPr>
          <w:rFonts w:ascii="Arial" w:hAnsi="Arial" w:cs="Arial"/>
          <w:color w:val="0D0D0D" w:themeColor="text1" w:themeTint="F2"/>
          <w:sz w:val="22"/>
          <w:szCs w:val="22"/>
        </w:rPr>
        <w:t xml:space="preserve"> </w:t>
      </w:r>
      <w:r w:rsidR="0065239D" w:rsidRPr="00836E30">
        <w:rPr>
          <w:rFonts w:ascii="Arial" w:hAnsi="Arial" w:cs="Arial"/>
          <w:color w:val="0D0D0D" w:themeColor="text1" w:themeTint="F2"/>
          <w:sz w:val="22"/>
          <w:szCs w:val="22"/>
        </w:rPr>
        <w:t>glycaemic</w:t>
      </w:r>
      <w:r w:rsidRPr="00836E30">
        <w:rPr>
          <w:rFonts w:ascii="Arial" w:hAnsi="Arial" w:cs="Arial"/>
          <w:color w:val="0D0D0D" w:themeColor="text1" w:themeTint="F2"/>
          <w:sz w:val="22"/>
          <w:szCs w:val="22"/>
        </w:rPr>
        <w:t xml:space="preserve"> outcome that can simulate the implementation of patient centric healthcare system in the primary </w:t>
      </w:r>
      <w:r w:rsidR="0065239D" w:rsidRPr="00836E30">
        <w:rPr>
          <w:rFonts w:ascii="Arial" w:hAnsi="Arial" w:cs="Arial"/>
          <w:color w:val="0D0D0D" w:themeColor="text1" w:themeTint="F2"/>
          <w:sz w:val="22"/>
          <w:szCs w:val="22"/>
        </w:rPr>
        <w:t>NHS</w:t>
      </w:r>
      <w:r w:rsidRPr="00836E30">
        <w:rPr>
          <w:rFonts w:ascii="Arial" w:hAnsi="Arial" w:cs="Arial"/>
          <w:color w:val="0D0D0D" w:themeColor="text1" w:themeTint="F2"/>
          <w:sz w:val="22"/>
          <w:szCs w:val="22"/>
        </w:rPr>
        <w:t xml:space="preserve"> care</w:t>
      </w:r>
      <w:r w:rsidR="0065239D" w:rsidRPr="00836E30">
        <w:rPr>
          <w:rFonts w:ascii="Arial" w:hAnsi="Arial" w:cs="Arial"/>
          <w:color w:val="0D0D0D" w:themeColor="text1" w:themeTint="F2"/>
          <w:sz w:val="22"/>
          <w:szCs w:val="22"/>
        </w:rPr>
        <w:t xml:space="preserve"> (</w:t>
      </w:r>
      <w:r w:rsidR="00E179D9" w:rsidRPr="00836E30">
        <w:rPr>
          <w:rFonts w:ascii="Arial" w:hAnsi="Arial" w:cs="Arial"/>
          <w:color w:val="0D0D0D" w:themeColor="text1" w:themeTint="F2"/>
          <w:sz w:val="22"/>
          <w:szCs w:val="22"/>
          <w:shd w:val="clear" w:color="auto" w:fill="FFFFFF"/>
        </w:rPr>
        <w:t xml:space="preserve">Fernando </w:t>
      </w:r>
      <w:r w:rsidR="00E179D9" w:rsidRPr="00836E30">
        <w:rPr>
          <w:rFonts w:ascii="Arial" w:hAnsi="Arial" w:cs="Arial"/>
          <w:i/>
          <w:iCs/>
          <w:color w:val="0D0D0D" w:themeColor="text1" w:themeTint="F2"/>
          <w:sz w:val="22"/>
          <w:szCs w:val="22"/>
          <w:shd w:val="clear" w:color="auto" w:fill="FFFFFF"/>
        </w:rPr>
        <w:t xml:space="preserve">et al. </w:t>
      </w:r>
      <w:r w:rsidR="00E179D9" w:rsidRPr="00836E30">
        <w:rPr>
          <w:rFonts w:ascii="Arial" w:hAnsi="Arial" w:cs="Arial"/>
          <w:color w:val="0D0D0D" w:themeColor="text1" w:themeTint="F2"/>
          <w:sz w:val="22"/>
          <w:szCs w:val="22"/>
          <w:shd w:val="clear" w:color="auto" w:fill="FFFFFF"/>
        </w:rPr>
        <w:t>2025</w:t>
      </w:r>
      <w:r w:rsidR="0065239D" w:rsidRPr="00836E30">
        <w:rPr>
          <w:rFonts w:ascii="Arial" w:hAnsi="Arial" w:cs="Arial"/>
          <w:color w:val="0D0D0D" w:themeColor="text1" w:themeTint="F2"/>
          <w:sz w:val="22"/>
          <w:szCs w:val="22"/>
        </w:rPr>
        <w:t xml:space="preserve">). Overall, the existing review has combined the international population by focusing solely on clinical effectiveness however the systematic review needs to address different dimensions to understand the </w:t>
      </w:r>
      <w:r w:rsidR="00577A79" w:rsidRPr="00836E30">
        <w:rPr>
          <w:rFonts w:ascii="Arial" w:hAnsi="Arial" w:cs="Arial"/>
          <w:color w:val="0D0D0D" w:themeColor="text1" w:themeTint="F2"/>
          <w:sz w:val="22"/>
          <w:szCs w:val="22"/>
        </w:rPr>
        <w:t>up-to-date</w:t>
      </w:r>
      <w:r w:rsidR="0065239D" w:rsidRPr="00836E30">
        <w:rPr>
          <w:rFonts w:ascii="Arial" w:hAnsi="Arial" w:cs="Arial"/>
          <w:color w:val="0D0D0D" w:themeColor="text1" w:themeTint="F2"/>
          <w:sz w:val="22"/>
          <w:szCs w:val="22"/>
        </w:rPr>
        <w:t xml:space="preserve"> synthesis of UK older population over digital intervention for type 2 diabetes mellitus treatment. </w:t>
      </w:r>
    </w:p>
    <w:p w14:paraId="7CD2ABC3" w14:textId="4A6E6118" w:rsidR="00791C19" w:rsidRPr="00836E30" w:rsidRDefault="004157F9" w:rsidP="00584FF8">
      <w:pPr>
        <w:pStyle w:val="Heading1"/>
        <w:rPr>
          <w:color w:val="0D0D0D" w:themeColor="text1" w:themeTint="F2"/>
        </w:rPr>
      </w:pPr>
      <w:bookmarkStart w:id="4" w:name="_Toc237716169"/>
      <w:r>
        <w:rPr>
          <w:color w:val="0D0D0D" w:themeColor="text1" w:themeTint="F2"/>
        </w:rPr>
        <w:t>5</w:t>
      </w:r>
      <w:r w:rsidR="00B80232" w:rsidRPr="00836E30">
        <w:rPr>
          <w:color w:val="0D0D0D" w:themeColor="text1" w:themeTint="F2"/>
        </w:rPr>
        <w:t xml:space="preserve">. </w:t>
      </w:r>
      <w:r w:rsidR="00791C19" w:rsidRPr="00836E30">
        <w:rPr>
          <w:color w:val="0D0D0D" w:themeColor="text1" w:themeTint="F2"/>
        </w:rPr>
        <w:t>Literature Review</w:t>
      </w:r>
      <w:bookmarkEnd w:id="4"/>
      <w:r w:rsidR="00791C19" w:rsidRPr="00836E30">
        <w:rPr>
          <w:color w:val="0D0D0D" w:themeColor="text1" w:themeTint="F2"/>
        </w:rPr>
        <w:t xml:space="preserve"> </w:t>
      </w:r>
    </w:p>
    <w:p w14:paraId="1A4E3F24" w14:textId="2D4C1E43" w:rsidR="002F2C53" w:rsidRPr="00836E30" w:rsidRDefault="004157F9" w:rsidP="00584FF8">
      <w:pPr>
        <w:pStyle w:val="Heading2"/>
      </w:pPr>
      <w:bookmarkStart w:id="5" w:name="_Toc237716170"/>
      <w:r>
        <w:t>5</w:t>
      </w:r>
      <w:r w:rsidR="00427EC1" w:rsidRPr="00836E30">
        <w:t xml:space="preserve">.1 </w:t>
      </w:r>
      <w:r w:rsidR="002F2C53" w:rsidRPr="00836E30">
        <w:t xml:space="preserve">Glycaemic </w:t>
      </w:r>
      <w:r w:rsidR="002F2C53" w:rsidRPr="00584FF8">
        <w:t>outcomes</w:t>
      </w:r>
      <w:r w:rsidR="002F2C53" w:rsidRPr="00836E30">
        <w:t xml:space="preserve"> with CGM intervention among type 2 diabetes UK adults</w:t>
      </w:r>
      <w:bookmarkEnd w:id="5"/>
    </w:p>
    <w:p w14:paraId="2074045C" w14:textId="65D441D1" w:rsidR="002F2C53" w:rsidRPr="00836E30" w:rsidRDefault="00BC0C91" w:rsidP="00584FF8">
      <w:pPr>
        <w:spacing w:line="360" w:lineRule="auto"/>
        <w:jc w:val="both"/>
        <w:rPr>
          <w:rFonts w:ascii="Arial" w:hAnsi="Arial" w:cs="Arial"/>
          <w:color w:val="0D0D0D" w:themeColor="text1" w:themeTint="F2"/>
          <w:sz w:val="22"/>
          <w:szCs w:val="22"/>
        </w:rPr>
      </w:pPr>
      <w:proofErr w:type="spellStart"/>
      <w:r w:rsidRPr="00836E30">
        <w:rPr>
          <w:rFonts w:ascii="Arial" w:hAnsi="Arial" w:cs="Arial"/>
          <w:color w:val="0D0D0D" w:themeColor="text1" w:themeTint="F2"/>
          <w:sz w:val="22"/>
          <w:szCs w:val="22"/>
          <w:shd w:val="clear" w:color="auto" w:fill="FFFFFF"/>
        </w:rPr>
        <w:t>Uhl</w:t>
      </w:r>
      <w:proofErr w:type="spellEnd"/>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2F2C53"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2024</w:t>
      </w:r>
      <w:r w:rsidR="002F2C53" w:rsidRPr="00836E30">
        <w:rPr>
          <w:rFonts w:ascii="Arial" w:hAnsi="Arial" w:cs="Arial"/>
          <w:color w:val="0D0D0D" w:themeColor="text1" w:themeTint="F2"/>
          <w:sz w:val="22"/>
          <w:szCs w:val="22"/>
        </w:rPr>
        <w:t xml:space="preserve">) asserted continuous glucose monitoring means CGM can improve the glycaemic level among the adults with type 2 diabetes mellitus which could reduce the level of HbA1C and improve time in range compared to the traditional blood sugar monitoring. Therefore the meta-analysis strongly demonstrates broader agreement towards clinical benefits of both real time and intermittently scanned CGM to justify the magnitude of improvement according to the insulin use and patient characteristics. </w:t>
      </w:r>
      <w:r w:rsidRPr="00836E30">
        <w:rPr>
          <w:rFonts w:ascii="Arial" w:hAnsi="Arial" w:cs="Arial"/>
          <w:color w:val="0D0D0D" w:themeColor="text1" w:themeTint="F2"/>
          <w:sz w:val="22"/>
          <w:szCs w:val="22"/>
          <w:shd w:val="clear" w:color="auto" w:fill="FFFFFF"/>
        </w:rPr>
        <w:t>Raj</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2F2C53"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2022</w:t>
      </w:r>
      <w:r w:rsidR="002F2C53" w:rsidRPr="00836E30">
        <w:rPr>
          <w:rFonts w:ascii="Arial" w:hAnsi="Arial" w:cs="Arial"/>
          <w:color w:val="0D0D0D" w:themeColor="text1" w:themeTint="F2"/>
          <w:sz w:val="22"/>
          <w:szCs w:val="22"/>
        </w:rPr>
        <w:t xml:space="preserve">) </w:t>
      </w:r>
      <w:r w:rsidR="00B7247B" w:rsidRPr="00836E30">
        <w:rPr>
          <w:rFonts w:ascii="Arial" w:hAnsi="Arial" w:cs="Arial"/>
          <w:color w:val="0D0D0D" w:themeColor="text1" w:themeTint="F2"/>
          <w:sz w:val="22"/>
          <w:szCs w:val="22"/>
        </w:rPr>
        <w:t>a</w:t>
      </w:r>
      <w:r w:rsidR="002F2C53" w:rsidRPr="00836E30">
        <w:rPr>
          <w:rFonts w:ascii="Arial" w:hAnsi="Arial" w:cs="Arial"/>
          <w:color w:val="0D0D0D" w:themeColor="text1" w:themeTint="F2"/>
          <w:sz w:val="22"/>
          <w:szCs w:val="22"/>
        </w:rPr>
        <w:t xml:space="preserve">rticulated the international randomised control trials define UK elderly people are focusing on CGM effectiveness as primary care setting. Therefore, the restriction can define the clinical benefits into routine NHS practises also highlight the need for UK focused systematic review. </w:t>
      </w:r>
    </w:p>
    <w:p w14:paraId="4BD46C6E" w14:textId="7B2C2F24" w:rsidR="002F2C53" w:rsidRPr="00836E30" w:rsidRDefault="004157F9" w:rsidP="004157F9">
      <w:pPr>
        <w:pStyle w:val="Heading2"/>
      </w:pPr>
      <w:bookmarkStart w:id="6" w:name="_Toc237716171"/>
      <w:r>
        <w:t>5</w:t>
      </w:r>
      <w:r w:rsidR="00427EC1" w:rsidRPr="00836E30">
        <w:t xml:space="preserve">.2 </w:t>
      </w:r>
      <w:r w:rsidR="002F2C53" w:rsidRPr="00836E30">
        <w:t>Integration of wearable CGM technologies in the UK primary care</w:t>
      </w:r>
      <w:bookmarkEnd w:id="6"/>
    </w:p>
    <w:p w14:paraId="6B9363FC" w14:textId="2E981162" w:rsidR="002F2C53" w:rsidRPr="00836E30" w:rsidRDefault="00BC0C91"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Fernando</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3A19E6"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2025</w:t>
      </w:r>
      <w:r w:rsidR="003A19E6" w:rsidRPr="00836E30">
        <w:rPr>
          <w:rFonts w:ascii="Arial" w:hAnsi="Arial" w:cs="Arial"/>
          <w:color w:val="0D0D0D" w:themeColor="text1" w:themeTint="F2"/>
          <w:sz w:val="22"/>
          <w:szCs w:val="22"/>
        </w:rPr>
        <w:t xml:space="preserve">) investigated variable CGM technologies can significantly empower diabetes management process in the UK primary care setting by enabling the real time glucose monitoring personalised treatment and remote patient support with digitalisation. Therefore it should be agreed that successful integration can approach multidisciplinary collaboration and the strong emphasis on electronic health record management could structurally educate the patients about their health condition. Whereas, </w:t>
      </w:r>
      <w:r w:rsidRPr="00836E30">
        <w:rPr>
          <w:rFonts w:ascii="Arial" w:hAnsi="Arial" w:cs="Arial"/>
          <w:color w:val="0D0D0D" w:themeColor="text1" w:themeTint="F2"/>
          <w:sz w:val="22"/>
          <w:szCs w:val="22"/>
          <w:shd w:val="clear" w:color="auto" w:fill="FFFFFF"/>
        </w:rPr>
        <w:t>Powell and Godfrey</w:t>
      </w:r>
      <w:r w:rsidRPr="00836E30">
        <w:rPr>
          <w:rFonts w:ascii="Arial" w:hAnsi="Arial" w:cs="Arial"/>
          <w:color w:val="0D0D0D" w:themeColor="text1" w:themeTint="F2"/>
          <w:sz w:val="22"/>
          <w:szCs w:val="22"/>
        </w:rPr>
        <w:t xml:space="preserve"> </w:t>
      </w:r>
      <w:r w:rsidR="003A19E6"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2023</w:t>
      </w:r>
      <w:r w:rsidR="003A19E6" w:rsidRPr="00836E30">
        <w:rPr>
          <w:rFonts w:ascii="Arial" w:hAnsi="Arial" w:cs="Arial"/>
          <w:color w:val="0D0D0D" w:themeColor="text1" w:themeTint="F2"/>
          <w:sz w:val="22"/>
          <w:szCs w:val="22"/>
        </w:rPr>
        <w:t xml:space="preserve">) contradicted inconsistency in the NHS primary care setting could lead to effect the confidence of clinicians digital infrastructure and generate organisational readiness. Overall, the expert consensus to generate cg can define the implementation of real world evaluation also acknowledge UK specific assessment towards routine primary care pathways. </w:t>
      </w:r>
    </w:p>
    <w:p w14:paraId="280EB880" w14:textId="2843EA15" w:rsidR="002F2C53" w:rsidRPr="00836E30" w:rsidRDefault="004157F9" w:rsidP="00584FF8">
      <w:pPr>
        <w:pStyle w:val="Heading2"/>
        <w:rPr>
          <w:color w:val="0D0D0D" w:themeColor="text1" w:themeTint="F2"/>
        </w:rPr>
      </w:pPr>
      <w:bookmarkStart w:id="7" w:name="_Toc237716172"/>
      <w:r>
        <w:rPr>
          <w:color w:val="0D0D0D" w:themeColor="text1" w:themeTint="F2"/>
        </w:rPr>
        <w:t>5</w:t>
      </w:r>
      <w:r w:rsidR="00427EC1" w:rsidRPr="00836E30">
        <w:rPr>
          <w:color w:val="0D0D0D" w:themeColor="text1" w:themeTint="F2"/>
        </w:rPr>
        <w:t xml:space="preserve">.3 </w:t>
      </w:r>
      <w:r w:rsidR="002F2C53" w:rsidRPr="00836E30">
        <w:rPr>
          <w:color w:val="0D0D0D" w:themeColor="text1" w:themeTint="F2"/>
        </w:rPr>
        <w:t>Patient and system level challenges to CGM and digital intervention</w:t>
      </w:r>
      <w:bookmarkEnd w:id="7"/>
    </w:p>
    <w:p w14:paraId="64CBC941" w14:textId="707EF0CC" w:rsidR="002F2C53" w:rsidRPr="00836E30" w:rsidRDefault="00BC0C91"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Hepburn</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3A19E6"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2025</w:t>
      </w:r>
      <w:r w:rsidR="003A19E6" w:rsidRPr="00836E30">
        <w:rPr>
          <w:rFonts w:ascii="Arial" w:hAnsi="Arial" w:cs="Arial"/>
          <w:color w:val="0D0D0D" w:themeColor="text1" w:themeTint="F2"/>
          <w:sz w:val="22"/>
          <w:szCs w:val="22"/>
        </w:rPr>
        <w:t xml:space="preserve">) examined Effective continuous glucose monitoring can influence the digital intervention both in patient and system level. The health authorities in the UK must focus on digital literacy limited technological adaptation and age related constraints with dexterity impairment within the UK adults thus the usability of the technologies could be the major barrier. </w:t>
      </w:r>
      <w:proofErr w:type="spellStart"/>
      <w:r w:rsidRPr="00836E30">
        <w:rPr>
          <w:rFonts w:ascii="Arial" w:hAnsi="Arial" w:cs="Arial"/>
          <w:color w:val="0D0D0D" w:themeColor="text1" w:themeTint="F2"/>
          <w:sz w:val="22"/>
          <w:szCs w:val="22"/>
          <w:shd w:val="clear" w:color="auto" w:fill="FFFFFF"/>
        </w:rPr>
        <w:t>Bertolazzi</w:t>
      </w:r>
      <w:proofErr w:type="spellEnd"/>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3A19E6"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2024</w:t>
      </w:r>
      <w:r w:rsidR="003A19E6" w:rsidRPr="00836E30">
        <w:rPr>
          <w:rFonts w:ascii="Arial" w:hAnsi="Arial" w:cs="Arial"/>
          <w:color w:val="0D0D0D" w:themeColor="text1" w:themeTint="F2"/>
          <w:sz w:val="22"/>
          <w:szCs w:val="22"/>
        </w:rPr>
        <w:t xml:space="preserve">) asserted in the health system level electronic health record management and regional variation can define the hope service provision with widespread implementation. Overall, it can be disagreed that regarding most effective implementation strategies across primary care settings could consequently affect the UK specific evidence to understand these barriers and affect the equitable purpose of CGM adaptation. </w:t>
      </w:r>
    </w:p>
    <w:p w14:paraId="5F309120" w14:textId="26EB899F" w:rsidR="002F2C53" w:rsidRPr="00836E30" w:rsidRDefault="004157F9" w:rsidP="00584FF8">
      <w:pPr>
        <w:pStyle w:val="Heading2"/>
        <w:rPr>
          <w:color w:val="0D0D0D" w:themeColor="text1" w:themeTint="F2"/>
        </w:rPr>
      </w:pPr>
      <w:bookmarkStart w:id="8" w:name="_Toc237716173"/>
      <w:r>
        <w:rPr>
          <w:color w:val="0D0D0D" w:themeColor="text1" w:themeTint="F2"/>
        </w:rPr>
        <w:t>5</w:t>
      </w:r>
      <w:r w:rsidR="00427EC1" w:rsidRPr="00836E30">
        <w:rPr>
          <w:color w:val="0D0D0D" w:themeColor="text1" w:themeTint="F2"/>
        </w:rPr>
        <w:t xml:space="preserve">.4 </w:t>
      </w:r>
      <w:r w:rsidR="002F2C53" w:rsidRPr="00836E30">
        <w:rPr>
          <w:color w:val="0D0D0D" w:themeColor="text1" w:themeTint="F2"/>
        </w:rPr>
        <w:t>Scalable strategies to implement CGM the NHS</w:t>
      </w:r>
      <w:bookmarkEnd w:id="8"/>
    </w:p>
    <w:p w14:paraId="6C085505" w14:textId="7D1CFD4E" w:rsidR="002F2C53" w:rsidRPr="00836E30" w:rsidRDefault="00BC0C91" w:rsidP="00584FF8">
      <w:pPr>
        <w:spacing w:line="360" w:lineRule="auto"/>
        <w:jc w:val="both"/>
        <w:rPr>
          <w:rFonts w:ascii="Arial" w:hAnsi="Arial" w:cs="Arial"/>
          <w:color w:val="0D0D0D" w:themeColor="text1" w:themeTint="F2"/>
          <w:sz w:val="22"/>
          <w:szCs w:val="22"/>
          <w:lang w:val="en-IN" w:eastAsia="en-IN"/>
        </w:rPr>
      </w:pPr>
      <w:proofErr w:type="spellStart"/>
      <w:r w:rsidRPr="00836E30">
        <w:rPr>
          <w:rFonts w:ascii="Arial" w:hAnsi="Arial" w:cs="Arial"/>
          <w:color w:val="0D0D0D" w:themeColor="text1" w:themeTint="F2"/>
          <w:sz w:val="22"/>
          <w:szCs w:val="22"/>
          <w:shd w:val="clear" w:color="auto" w:fill="FFFFFF"/>
        </w:rPr>
        <w:t>Micocci</w:t>
      </w:r>
      <w:proofErr w:type="spellEnd"/>
      <w:r w:rsidRPr="00836E30">
        <w:rPr>
          <w:rFonts w:ascii="Arial" w:hAnsi="Arial" w:cs="Arial"/>
          <w:color w:val="0D0D0D" w:themeColor="text1" w:themeTint="F2"/>
          <w:sz w:val="22"/>
          <w:szCs w:val="22"/>
          <w:lang w:val="en-IN" w:eastAsia="en-IN"/>
        </w:rPr>
        <w:t xml:space="preserve"> </w:t>
      </w:r>
      <w:r w:rsidRPr="00836E30">
        <w:rPr>
          <w:rFonts w:ascii="Arial" w:hAnsi="Arial" w:cs="Arial"/>
          <w:i/>
          <w:iCs/>
          <w:color w:val="0D0D0D" w:themeColor="text1" w:themeTint="F2"/>
          <w:sz w:val="22"/>
          <w:szCs w:val="22"/>
          <w:lang w:val="en-IN" w:eastAsia="en-IN"/>
        </w:rPr>
        <w:t xml:space="preserve">et al. </w:t>
      </w:r>
      <w:r w:rsidR="003A19E6" w:rsidRPr="00836E30">
        <w:rPr>
          <w:rFonts w:ascii="Arial" w:hAnsi="Arial" w:cs="Arial"/>
          <w:color w:val="0D0D0D" w:themeColor="text1" w:themeTint="F2"/>
          <w:sz w:val="22"/>
          <w:szCs w:val="22"/>
          <w:lang w:val="en-IN" w:eastAsia="en-IN"/>
        </w:rPr>
        <w:t>(</w:t>
      </w:r>
      <w:r w:rsidRPr="00836E30">
        <w:rPr>
          <w:rFonts w:ascii="Arial" w:hAnsi="Arial" w:cs="Arial"/>
          <w:color w:val="0D0D0D" w:themeColor="text1" w:themeTint="F2"/>
          <w:sz w:val="22"/>
          <w:szCs w:val="22"/>
          <w:lang w:val="en-IN" w:eastAsia="en-IN"/>
        </w:rPr>
        <w:t>2026</w:t>
      </w:r>
      <w:r w:rsidR="003A19E6" w:rsidRPr="00836E30">
        <w:rPr>
          <w:rFonts w:ascii="Arial" w:hAnsi="Arial" w:cs="Arial"/>
          <w:color w:val="0D0D0D" w:themeColor="text1" w:themeTint="F2"/>
          <w:sz w:val="22"/>
          <w:szCs w:val="22"/>
          <w:lang w:val="en-IN" w:eastAsia="en-IN"/>
        </w:rPr>
        <w:t xml:space="preserve">) elucidated scalability towards the continuous glucose monitoring process can coordinate the policy as well as workforce development setting in NHS with digital infrastructure. Therefore the study broadly agreed that standardised critical protocol and health care professional training can improve patient education and integrate the CGM data with electronic health records to support the routine primary care in NHS. Whereas, </w:t>
      </w:r>
      <w:proofErr w:type="spellStart"/>
      <w:r w:rsidRPr="00836E30">
        <w:rPr>
          <w:rFonts w:ascii="Arial" w:hAnsi="Arial" w:cs="Arial"/>
          <w:color w:val="0D0D0D" w:themeColor="text1" w:themeTint="F2"/>
          <w:sz w:val="22"/>
          <w:szCs w:val="22"/>
          <w:shd w:val="clear" w:color="auto" w:fill="FFFFFF"/>
        </w:rPr>
        <w:t>Ebekozien</w:t>
      </w:r>
      <w:proofErr w:type="spellEnd"/>
      <w:r w:rsidRPr="00836E30">
        <w:rPr>
          <w:rFonts w:ascii="Arial" w:hAnsi="Arial" w:cs="Arial"/>
          <w:color w:val="0D0D0D" w:themeColor="text1" w:themeTint="F2"/>
          <w:sz w:val="22"/>
          <w:szCs w:val="22"/>
          <w:lang w:val="en-IN" w:eastAsia="en-IN"/>
        </w:rPr>
        <w:t xml:space="preserve"> </w:t>
      </w:r>
      <w:r w:rsidRPr="00836E30">
        <w:rPr>
          <w:rFonts w:ascii="Arial" w:hAnsi="Arial" w:cs="Arial"/>
          <w:i/>
          <w:iCs/>
          <w:color w:val="0D0D0D" w:themeColor="text1" w:themeTint="F2"/>
          <w:sz w:val="22"/>
          <w:szCs w:val="22"/>
          <w:lang w:val="en-IN" w:eastAsia="en-IN"/>
        </w:rPr>
        <w:t xml:space="preserve">et al. </w:t>
      </w:r>
      <w:r w:rsidR="003A19E6" w:rsidRPr="00836E30">
        <w:rPr>
          <w:rFonts w:ascii="Arial" w:hAnsi="Arial" w:cs="Arial"/>
          <w:color w:val="0D0D0D" w:themeColor="text1" w:themeTint="F2"/>
          <w:sz w:val="22"/>
          <w:szCs w:val="22"/>
          <w:lang w:val="en-IN" w:eastAsia="en-IN"/>
        </w:rPr>
        <w:t>(</w:t>
      </w:r>
      <w:r w:rsidRPr="00836E30">
        <w:rPr>
          <w:rFonts w:ascii="Arial" w:hAnsi="Arial" w:cs="Arial"/>
          <w:color w:val="0D0D0D" w:themeColor="text1" w:themeTint="F2"/>
          <w:sz w:val="22"/>
          <w:szCs w:val="22"/>
          <w:lang w:val="en-IN" w:eastAsia="en-IN"/>
        </w:rPr>
        <w:t>2024</w:t>
      </w:r>
      <w:r w:rsidR="003A19E6" w:rsidRPr="00836E30">
        <w:rPr>
          <w:rFonts w:ascii="Arial" w:hAnsi="Arial" w:cs="Arial"/>
          <w:color w:val="0D0D0D" w:themeColor="text1" w:themeTint="F2"/>
          <w:sz w:val="22"/>
          <w:szCs w:val="22"/>
          <w:lang w:val="en-IN" w:eastAsia="en-IN"/>
        </w:rPr>
        <w:t>) encountered strong emphasis towards equitable access of diabetes technologies can reduce the regional and socio economic disparities thus the real world evidence can empower the long term scalability and cost effectiveness of CGM implementation. Therefore, the UK focused systematic literature review can define the current evidence by optimising CGM adaptation.</w:t>
      </w:r>
    </w:p>
    <w:p w14:paraId="35627960" w14:textId="101093F6" w:rsidR="00791C19" w:rsidRPr="00836E30" w:rsidRDefault="004157F9" w:rsidP="00584FF8">
      <w:pPr>
        <w:pStyle w:val="Heading1"/>
        <w:rPr>
          <w:color w:val="0D0D0D" w:themeColor="text1" w:themeTint="F2"/>
        </w:rPr>
      </w:pPr>
      <w:bookmarkStart w:id="9" w:name="_Toc237716174"/>
      <w:r>
        <w:rPr>
          <w:color w:val="0D0D0D" w:themeColor="text1" w:themeTint="F2"/>
        </w:rPr>
        <w:t>6</w:t>
      </w:r>
      <w:r w:rsidR="00B80232" w:rsidRPr="00836E30">
        <w:rPr>
          <w:color w:val="0D0D0D" w:themeColor="text1" w:themeTint="F2"/>
        </w:rPr>
        <w:t xml:space="preserve">. </w:t>
      </w:r>
      <w:r w:rsidR="00791C19" w:rsidRPr="00836E30">
        <w:rPr>
          <w:color w:val="0D0D0D" w:themeColor="text1" w:themeTint="F2"/>
        </w:rPr>
        <w:t>Research Aim, Objectives and Question</w:t>
      </w:r>
      <w:bookmarkEnd w:id="9"/>
      <w:r w:rsidR="00791C19" w:rsidRPr="00836E30">
        <w:rPr>
          <w:color w:val="0D0D0D" w:themeColor="text1" w:themeTint="F2"/>
        </w:rPr>
        <w:t xml:space="preserve"> </w:t>
      </w:r>
    </w:p>
    <w:p w14:paraId="470083CD" w14:textId="5F18BFA1" w:rsidR="00B80232" w:rsidRPr="00836E30" w:rsidRDefault="004157F9" w:rsidP="00584FF8">
      <w:pPr>
        <w:pStyle w:val="Heading2"/>
        <w:rPr>
          <w:color w:val="0D0D0D" w:themeColor="text1" w:themeTint="F2"/>
        </w:rPr>
      </w:pPr>
      <w:bookmarkStart w:id="10" w:name="_Toc237716175"/>
      <w:r>
        <w:rPr>
          <w:color w:val="0D0D0D" w:themeColor="text1" w:themeTint="F2"/>
        </w:rPr>
        <w:t>6</w:t>
      </w:r>
      <w:r w:rsidR="00427EC1" w:rsidRPr="00836E30">
        <w:rPr>
          <w:color w:val="0D0D0D" w:themeColor="text1" w:themeTint="F2"/>
        </w:rPr>
        <w:t xml:space="preserve">.1 </w:t>
      </w:r>
      <w:r w:rsidR="00B80232" w:rsidRPr="00836E30">
        <w:rPr>
          <w:color w:val="0D0D0D" w:themeColor="text1" w:themeTint="F2"/>
        </w:rPr>
        <w:t>Aim</w:t>
      </w:r>
      <w:bookmarkEnd w:id="10"/>
      <w:r w:rsidR="00B80232" w:rsidRPr="00836E30">
        <w:rPr>
          <w:color w:val="0D0D0D" w:themeColor="text1" w:themeTint="F2"/>
        </w:rPr>
        <w:t xml:space="preserve"> </w:t>
      </w:r>
    </w:p>
    <w:p w14:paraId="0EB23404" w14:textId="77DDEA6A" w:rsidR="00B80232" w:rsidRPr="00836E30" w:rsidRDefault="00B80232" w:rsidP="00584FF8">
      <w:pPr>
        <w:spacing w:line="360" w:lineRule="auto"/>
        <w:jc w:val="both"/>
        <w:rPr>
          <w:rFonts w:ascii="Arial" w:hAnsi="Arial" w:cs="Arial"/>
          <w:color w:val="0D0D0D" w:themeColor="text1" w:themeTint="F2"/>
          <w:sz w:val="22"/>
          <w:szCs w:val="22"/>
          <w:lang w:val="en-IN" w:eastAsia="en-IN"/>
        </w:rPr>
      </w:pPr>
      <w:r w:rsidRPr="00836E30">
        <w:rPr>
          <w:rFonts w:ascii="Arial" w:hAnsi="Arial" w:cs="Arial"/>
          <w:color w:val="0D0D0D" w:themeColor="text1" w:themeTint="F2"/>
          <w:sz w:val="22"/>
          <w:szCs w:val="22"/>
          <w:lang w:val="en-IN" w:eastAsia="en-IN"/>
        </w:rPr>
        <w:t>The research aims to evaluate the clinical effectiveness of CGM-based (</w:t>
      </w:r>
      <w:r w:rsidRPr="00836E30">
        <w:rPr>
          <w:rFonts w:ascii="Arial" w:hAnsi="Arial" w:cs="Arial"/>
          <w:color w:val="0D0D0D" w:themeColor="text1" w:themeTint="F2"/>
          <w:sz w:val="22"/>
          <w:szCs w:val="22"/>
        </w:rPr>
        <w:t>Continuous Glucose Monitor</w:t>
      </w:r>
      <w:r w:rsidRPr="00836E30">
        <w:rPr>
          <w:rFonts w:ascii="Arial" w:hAnsi="Arial" w:cs="Arial"/>
          <w:color w:val="0D0D0D" w:themeColor="text1" w:themeTint="F2"/>
          <w:sz w:val="22"/>
          <w:szCs w:val="22"/>
          <w:lang w:val="en-IN" w:eastAsia="en-IN"/>
        </w:rPr>
        <w:t>) digital health interventions in managing type 2 diabetes mellitus among UK primary care adult patients systematic review.</w:t>
      </w:r>
    </w:p>
    <w:p w14:paraId="6843DE40" w14:textId="678AB4DD" w:rsidR="00B80232" w:rsidRPr="00836E30" w:rsidRDefault="004157F9" w:rsidP="00584FF8">
      <w:pPr>
        <w:pStyle w:val="Heading2"/>
        <w:rPr>
          <w:color w:val="0D0D0D" w:themeColor="text1" w:themeTint="F2"/>
        </w:rPr>
      </w:pPr>
      <w:bookmarkStart w:id="11" w:name="_Toc237716176"/>
      <w:r>
        <w:rPr>
          <w:color w:val="0D0D0D" w:themeColor="text1" w:themeTint="F2"/>
        </w:rPr>
        <w:t>6</w:t>
      </w:r>
      <w:r w:rsidR="00427EC1" w:rsidRPr="00836E30">
        <w:rPr>
          <w:color w:val="0D0D0D" w:themeColor="text1" w:themeTint="F2"/>
        </w:rPr>
        <w:t xml:space="preserve">.2 </w:t>
      </w:r>
      <w:r w:rsidR="00B80232" w:rsidRPr="00836E30">
        <w:rPr>
          <w:color w:val="0D0D0D" w:themeColor="text1" w:themeTint="F2"/>
        </w:rPr>
        <w:t>Research Objectives</w:t>
      </w:r>
      <w:bookmarkEnd w:id="11"/>
      <w:r w:rsidR="00B80232" w:rsidRPr="00836E30">
        <w:rPr>
          <w:color w:val="0D0D0D" w:themeColor="text1" w:themeTint="F2"/>
        </w:rPr>
        <w:t xml:space="preserve"> </w:t>
      </w:r>
    </w:p>
    <w:p w14:paraId="1C1FB445" w14:textId="534B5FDE" w:rsidR="00B80232" w:rsidRPr="00836E30" w:rsidRDefault="00B80232"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Here are the objectives of the study-</w:t>
      </w:r>
    </w:p>
    <w:p w14:paraId="3C46C97E" w14:textId="17ED8E39" w:rsidR="00B80232" w:rsidRPr="00836E30" w:rsidRDefault="00B80232" w:rsidP="00584FF8">
      <w:pPr>
        <w:pStyle w:val="ListParagraph"/>
        <w:numPr>
          <w:ilvl w:val="0"/>
          <w:numId w:val="1"/>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To analyse secondary data on glycaemic outcomes, including HbA1c reductions and time-in-range achieved using CGM interventions among older adults in the UK.</w:t>
      </w:r>
    </w:p>
    <w:p w14:paraId="02ACB2FB" w14:textId="0F75EC8A" w:rsidR="00B80232" w:rsidRPr="00836E30" w:rsidRDefault="00B80232" w:rsidP="00584FF8">
      <w:pPr>
        <w:pStyle w:val="ListParagraph"/>
        <w:numPr>
          <w:ilvl w:val="0"/>
          <w:numId w:val="1"/>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To analyse the integration and delivery models of wearable CGM technologies within UK primary care clinical workflows.</w:t>
      </w:r>
    </w:p>
    <w:p w14:paraId="365AF03F" w14:textId="3A0016B7" w:rsidR="00B80232" w:rsidRPr="00836E30" w:rsidRDefault="00B80232" w:rsidP="00584FF8">
      <w:pPr>
        <w:pStyle w:val="ListParagraph"/>
        <w:numPr>
          <w:ilvl w:val="0"/>
          <w:numId w:val="1"/>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To identify systemic and patient-level challenges, including digital literacy, age-related dexterity issues, and resource constraints within NHS primary care.</w:t>
      </w:r>
    </w:p>
    <w:p w14:paraId="59BF690B" w14:textId="3074473E" w:rsidR="00B80232" w:rsidRPr="00836E30" w:rsidRDefault="00B80232" w:rsidP="00584FF8">
      <w:pPr>
        <w:pStyle w:val="ListParagraph"/>
        <w:numPr>
          <w:ilvl w:val="0"/>
          <w:numId w:val="1"/>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To formulate evidence-based, scalable strategic recommendations for NHS stakeholders to optimise CGM adoption and equity for adult diabetic populations.</w:t>
      </w:r>
    </w:p>
    <w:p w14:paraId="0B891363" w14:textId="4F094AA5" w:rsidR="00B80232" w:rsidRPr="00836E30" w:rsidRDefault="004157F9" w:rsidP="00584FF8">
      <w:pPr>
        <w:pStyle w:val="Heading2"/>
        <w:rPr>
          <w:color w:val="0D0D0D" w:themeColor="text1" w:themeTint="F2"/>
        </w:rPr>
      </w:pPr>
      <w:bookmarkStart w:id="12" w:name="_Toc237716177"/>
      <w:r>
        <w:rPr>
          <w:color w:val="0D0D0D" w:themeColor="text1" w:themeTint="F2"/>
        </w:rPr>
        <w:t>6</w:t>
      </w:r>
      <w:r w:rsidR="00427EC1" w:rsidRPr="00836E30">
        <w:rPr>
          <w:color w:val="0D0D0D" w:themeColor="text1" w:themeTint="F2"/>
        </w:rPr>
        <w:t xml:space="preserve">.3 </w:t>
      </w:r>
      <w:r w:rsidR="00B80232" w:rsidRPr="00836E30">
        <w:rPr>
          <w:color w:val="0D0D0D" w:themeColor="text1" w:themeTint="F2"/>
        </w:rPr>
        <w:t>Research Question</w:t>
      </w:r>
      <w:bookmarkEnd w:id="12"/>
      <w:r w:rsidR="00B80232" w:rsidRPr="00836E30">
        <w:rPr>
          <w:color w:val="0D0D0D" w:themeColor="text1" w:themeTint="F2"/>
        </w:rPr>
        <w:t xml:space="preserve"> </w:t>
      </w:r>
    </w:p>
    <w:p w14:paraId="29383A1E" w14:textId="6D9E13E3" w:rsidR="00B80232" w:rsidRPr="00836E30" w:rsidRDefault="00B80232"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The Primary Research Question is-</w:t>
      </w:r>
    </w:p>
    <w:p w14:paraId="4162AF3A" w14:textId="23C216DD" w:rsidR="00B80232" w:rsidRPr="00836E30" w:rsidRDefault="00B80232" w:rsidP="00584FF8">
      <w:pPr>
        <w:pStyle w:val="ListParagraph"/>
        <w:numPr>
          <w:ilvl w:val="0"/>
          <w:numId w:val="2"/>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What specific improvement in glycaemic outcomes, including HbA1c reductions and time-in-range is demonstrated in secondary data for adults utilising CGMs in the UK?</w:t>
      </w:r>
    </w:p>
    <w:p w14:paraId="3568C515" w14:textId="2E9B4848" w:rsidR="00791C19" w:rsidRPr="00836E30" w:rsidRDefault="004157F9" w:rsidP="00584FF8">
      <w:pPr>
        <w:pStyle w:val="Heading1"/>
        <w:rPr>
          <w:color w:val="0D0D0D" w:themeColor="text1" w:themeTint="F2"/>
        </w:rPr>
      </w:pPr>
      <w:bookmarkStart w:id="13" w:name="_Toc237716178"/>
      <w:r>
        <w:rPr>
          <w:color w:val="0D0D0D" w:themeColor="text1" w:themeTint="F2"/>
        </w:rPr>
        <w:t>7</w:t>
      </w:r>
      <w:r w:rsidR="00B80232" w:rsidRPr="00836E30">
        <w:rPr>
          <w:color w:val="0D0D0D" w:themeColor="text1" w:themeTint="F2"/>
        </w:rPr>
        <w:t xml:space="preserve">. </w:t>
      </w:r>
      <w:r w:rsidR="00791C19" w:rsidRPr="00836E30">
        <w:rPr>
          <w:color w:val="0D0D0D" w:themeColor="text1" w:themeTint="F2"/>
        </w:rPr>
        <w:t>Methodology</w:t>
      </w:r>
      <w:bookmarkEnd w:id="13"/>
      <w:r w:rsidR="00791C19" w:rsidRPr="00836E30">
        <w:rPr>
          <w:color w:val="0D0D0D" w:themeColor="text1" w:themeTint="F2"/>
        </w:rPr>
        <w:t xml:space="preserve"> </w:t>
      </w:r>
    </w:p>
    <w:p w14:paraId="6B9F4EA5" w14:textId="6859AF74" w:rsidR="00455558" w:rsidRPr="00836E30" w:rsidRDefault="004157F9" w:rsidP="00584FF8">
      <w:pPr>
        <w:pStyle w:val="Heading2"/>
        <w:rPr>
          <w:color w:val="0D0D0D" w:themeColor="text1" w:themeTint="F2"/>
        </w:rPr>
      </w:pPr>
      <w:bookmarkStart w:id="14" w:name="_Toc237716179"/>
      <w:r>
        <w:rPr>
          <w:color w:val="0D0D0D" w:themeColor="text1" w:themeTint="F2"/>
        </w:rPr>
        <w:t>7</w:t>
      </w:r>
      <w:r w:rsidR="00427EC1" w:rsidRPr="00836E30">
        <w:rPr>
          <w:color w:val="0D0D0D" w:themeColor="text1" w:themeTint="F2"/>
        </w:rPr>
        <w:t>.</w:t>
      </w:r>
      <w:r w:rsidR="00263A93">
        <w:rPr>
          <w:color w:val="0D0D0D" w:themeColor="text1" w:themeTint="F2"/>
        </w:rPr>
        <w:t>1</w:t>
      </w:r>
      <w:r w:rsidR="00427EC1" w:rsidRPr="00836E30">
        <w:rPr>
          <w:color w:val="0D0D0D" w:themeColor="text1" w:themeTint="F2"/>
        </w:rPr>
        <w:t xml:space="preserve"> </w:t>
      </w:r>
      <w:r w:rsidR="00455558" w:rsidRPr="00836E30">
        <w:rPr>
          <w:color w:val="0D0D0D" w:themeColor="text1" w:themeTint="F2"/>
        </w:rPr>
        <w:t>Research Approach</w:t>
      </w:r>
      <w:bookmarkEnd w:id="14"/>
      <w:r w:rsidR="00455558" w:rsidRPr="00836E30">
        <w:rPr>
          <w:color w:val="0D0D0D" w:themeColor="text1" w:themeTint="F2"/>
        </w:rPr>
        <w:t xml:space="preserve"> </w:t>
      </w:r>
    </w:p>
    <w:p w14:paraId="224AF0A6" w14:textId="443F63FB" w:rsidR="00EC3D6A" w:rsidRPr="00836E30" w:rsidRDefault="00836E30"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Phillips</w:t>
      </w:r>
      <w:r w:rsidRPr="00836E30">
        <w:rPr>
          <w:rFonts w:ascii="Arial" w:hAnsi="Arial" w:cs="Arial"/>
          <w:color w:val="0D0D0D" w:themeColor="text1" w:themeTint="F2"/>
          <w:sz w:val="22"/>
          <w:szCs w:val="22"/>
        </w:rPr>
        <w:t xml:space="preserve"> </w:t>
      </w:r>
      <w:r w:rsidR="00A34565"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2023</w:t>
      </w:r>
      <w:r w:rsidR="00A34565" w:rsidRPr="00836E30">
        <w:rPr>
          <w:rFonts w:ascii="Arial" w:hAnsi="Arial" w:cs="Arial"/>
          <w:color w:val="0D0D0D" w:themeColor="text1" w:themeTint="F2"/>
          <w:sz w:val="22"/>
          <w:szCs w:val="22"/>
        </w:rPr>
        <w:t xml:space="preserve">) articulated approach focuses on the logical process that can be used to develop the knowledge and link the theory with evidently analysis for data analysis purpose to address the research question. In this study to justify the existing theories and empirical evidence regarding type 2 diabetes mellitus and its effective intervention with digital health services </w:t>
      </w:r>
      <w:r w:rsidR="00A34565" w:rsidRPr="00836E30">
        <w:rPr>
          <w:rFonts w:ascii="Arial" w:hAnsi="Arial" w:cs="Arial"/>
          <w:b/>
          <w:bCs/>
          <w:i/>
          <w:iCs/>
          <w:color w:val="0D0D0D" w:themeColor="text1" w:themeTint="F2"/>
          <w:sz w:val="22"/>
          <w:szCs w:val="22"/>
        </w:rPr>
        <w:t>deductive research approach</w:t>
      </w:r>
      <w:r w:rsidR="00A34565" w:rsidRPr="00836E30">
        <w:rPr>
          <w:rFonts w:ascii="Arial" w:hAnsi="Arial" w:cs="Arial"/>
          <w:color w:val="0D0D0D" w:themeColor="text1" w:themeTint="F2"/>
          <w:sz w:val="22"/>
          <w:szCs w:val="22"/>
        </w:rPr>
        <w:t xml:space="preserve"> would be followed. </w:t>
      </w:r>
      <w:r w:rsidRPr="00836E30">
        <w:rPr>
          <w:rFonts w:ascii="Arial" w:hAnsi="Arial" w:cs="Arial"/>
          <w:color w:val="0D0D0D" w:themeColor="text1" w:themeTint="F2"/>
          <w:sz w:val="22"/>
          <w:szCs w:val="22"/>
          <w:shd w:val="clear" w:color="auto" w:fill="FFFFFF"/>
        </w:rPr>
        <w:t xml:space="preserve">Kumar and </w:t>
      </w:r>
      <w:proofErr w:type="spellStart"/>
      <w:r w:rsidRPr="00836E30">
        <w:rPr>
          <w:rFonts w:ascii="Arial" w:hAnsi="Arial" w:cs="Arial"/>
          <w:color w:val="0D0D0D" w:themeColor="text1" w:themeTint="F2"/>
          <w:sz w:val="22"/>
          <w:szCs w:val="22"/>
          <w:shd w:val="clear" w:color="auto" w:fill="FFFFFF"/>
        </w:rPr>
        <w:t>Ujire</w:t>
      </w:r>
      <w:proofErr w:type="spellEnd"/>
      <w:r w:rsidRPr="00836E30">
        <w:rPr>
          <w:rFonts w:ascii="Arial" w:hAnsi="Arial" w:cs="Arial"/>
          <w:color w:val="0D0D0D" w:themeColor="text1" w:themeTint="F2"/>
          <w:sz w:val="22"/>
          <w:szCs w:val="22"/>
        </w:rPr>
        <w:t xml:space="preserve"> </w:t>
      </w:r>
      <w:r w:rsidR="00A34565"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2024</w:t>
      </w:r>
      <w:r w:rsidR="00A34565" w:rsidRPr="00836E30">
        <w:rPr>
          <w:rFonts w:ascii="Arial" w:hAnsi="Arial" w:cs="Arial"/>
          <w:color w:val="0D0D0D" w:themeColor="text1" w:themeTint="F2"/>
          <w:sz w:val="22"/>
          <w:szCs w:val="22"/>
        </w:rPr>
        <w:t>) asserted deductive research approach would be appropriate for this study as the systemic review must evaluate the published evidence. The choice of deductive research approach would help to fulfil the research aim and objectives and investigate the study by reviewing the synthesis of secondary data</w:t>
      </w:r>
      <w:r w:rsidR="00B85230">
        <w:rPr>
          <w:rFonts w:ascii="Arial" w:hAnsi="Arial" w:cs="Arial"/>
          <w:color w:val="0D0D0D" w:themeColor="text1" w:themeTint="F2"/>
          <w:sz w:val="22"/>
          <w:szCs w:val="22"/>
        </w:rPr>
        <w:t xml:space="preserve">. </w:t>
      </w:r>
    </w:p>
    <w:p w14:paraId="7E752A49" w14:textId="2BE5B2CF" w:rsidR="00455558" w:rsidRPr="00836E30" w:rsidRDefault="004157F9" w:rsidP="00584FF8">
      <w:pPr>
        <w:pStyle w:val="Heading2"/>
        <w:rPr>
          <w:color w:val="0D0D0D" w:themeColor="text1" w:themeTint="F2"/>
        </w:rPr>
      </w:pPr>
      <w:bookmarkStart w:id="15" w:name="_Toc237716180"/>
      <w:r>
        <w:rPr>
          <w:color w:val="0D0D0D" w:themeColor="text1" w:themeTint="F2"/>
        </w:rPr>
        <w:t>7</w:t>
      </w:r>
      <w:r w:rsidR="00427EC1" w:rsidRPr="00836E30">
        <w:rPr>
          <w:color w:val="0D0D0D" w:themeColor="text1" w:themeTint="F2"/>
        </w:rPr>
        <w:t>.</w:t>
      </w:r>
      <w:r w:rsidR="00604E07">
        <w:rPr>
          <w:color w:val="0D0D0D" w:themeColor="text1" w:themeTint="F2"/>
        </w:rPr>
        <w:t>2</w:t>
      </w:r>
      <w:r w:rsidR="00427EC1" w:rsidRPr="00836E30">
        <w:rPr>
          <w:color w:val="0D0D0D" w:themeColor="text1" w:themeTint="F2"/>
        </w:rPr>
        <w:t xml:space="preserve"> </w:t>
      </w:r>
      <w:r w:rsidR="00455558" w:rsidRPr="00836E30">
        <w:rPr>
          <w:color w:val="0D0D0D" w:themeColor="text1" w:themeTint="F2"/>
        </w:rPr>
        <w:t>Research Design</w:t>
      </w:r>
      <w:bookmarkEnd w:id="15"/>
      <w:r w:rsidR="00455558" w:rsidRPr="00836E30">
        <w:rPr>
          <w:color w:val="0D0D0D" w:themeColor="text1" w:themeTint="F2"/>
        </w:rPr>
        <w:t xml:space="preserve"> </w:t>
      </w:r>
    </w:p>
    <w:p w14:paraId="232DB2D3" w14:textId="77777777" w:rsidR="005D719B" w:rsidRDefault="00836E30" w:rsidP="00584FF8">
      <w:pPr>
        <w:spacing w:line="360" w:lineRule="auto"/>
        <w:jc w:val="both"/>
        <w:rPr>
          <w:rFonts w:ascii="Arial" w:hAnsi="Arial" w:cs="Arial"/>
          <w:color w:val="0D0D0D" w:themeColor="text1" w:themeTint="F2"/>
          <w:sz w:val="22"/>
          <w:szCs w:val="22"/>
        </w:rPr>
      </w:pPr>
      <w:proofErr w:type="spellStart"/>
      <w:r w:rsidRPr="00836E30">
        <w:rPr>
          <w:rFonts w:ascii="Arial" w:hAnsi="Arial" w:cs="Arial"/>
          <w:color w:val="0D0D0D" w:themeColor="text1" w:themeTint="F2"/>
          <w:sz w:val="22"/>
          <w:szCs w:val="22"/>
          <w:shd w:val="clear" w:color="auto" w:fill="FFFFFF"/>
        </w:rPr>
        <w:t>Takona</w:t>
      </w:r>
      <w:proofErr w:type="spellEnd"/>
      <w:r w:rsidRPr="00836E30">
        <w:rPr>
          <w:rFonts w:ascii="Arial" w:hAnsi="Arial" w:cs="Arial"/>
          <w:color w:val="0D0D0D" w:themeColor="text1" w:themeTint="F2"/>
          <w:sz w:val="22"/>
          <w:szCs w:val="22"/>
        </w:rPr>
        <w:t xml:space="preserve"> </w:t>
      </w:r>
      <w:r w:rsidR="00A34565"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2024</w:t>
      </w:r>
      <w:r w:rsidR="00A34565" w:rsidRPr="00836E30">
        <w:rPr>
          <w:rFonts w:ascii="Arial" w:hAnsi="Arial" w:cs="Arial"/>
          <w:color w:val="0D0D0D" w:themeColor="text1" w:themeTint="F2"/>
          <w:sz w:val="22"/>
          <w:szCs w:val="22"/>
        </w:rPr>
        <w:t xml:space="preserve">) elucidated research design significantly defined the overall structure and framework of the study from planning organising execution to ultimate outcome of the study by systematically addressing the rigorous objectives and question. In this study </w:t>
      </w:r>
      <w:r w:rsidR="00A34565" w:rsidRPr="00836E30">
        <w:rPr>
          <w:rFonts w:ascii="Arial" w:hAnsi="Arial" w:cs="Arial"/>
          <w:b/>
          <w:bCs/>
          <w:i/>
          <w:iCs/>
          <w:color w:val="0D0D0D" w:themeColor="text1" w:themeTint="F2"/>
          <w:sz w:val="22"/>
          <w:szCs w:val="22"/>
        </w:rPr>
        <w:t>explanatory research design</w:t>
      </w:r>
      <w:r w:rsidR="00A34565" w:rsidRPr="00836E30">
        <w:rPr>
          <w:rFonts w:ascii="Arial" w:hAnsi="Arial" w:cs="Arial"/>
          <w:color w:val="0D0D0D" w:themeColor="text1" w:themeTint="F2"/>
          <w:sz w:val="22"/>
          <w:szCs w:val="22"/>
        </w:rPr>
        <w:t xml:space="preserve"> would be followed as it helps to evaluate the existing evidence and enhance the credibility and reliability of the findings. </w:t>
      </w:r>
      <w:r w:rsidRPr="00836E30">
        <w:rPr>
          <w:rFonts w:ascii="Arial" w:hAnsi="Arial" w:cs="Arial"/>
          <w:color w:val="0D0D0D" w:themeColor="text1" w:themeTint="F2"/>
          <w:sz w:val="22"/>
          <w:szCs w:val="22"/>
          <w:shd w:val="clear" w:color="auto" w:fill="FFFFFF"/>
        </w:rPr>
        <w:t xml:space="preserve">Skinner and </w:t>
      </w:r>
      <w:proofErr w:type="spellStart"/>
      <w:r w:rsidRPr="00836E30">
        <w:rPr>
          <w:rFonts w:ascii="Arial" w:hAnsi="Arial" w:cs="Arial"/>
          <w:color w:val="0D0D0D" w:themeColor="text1" w:themeTint="F2"/>
          <w:sz w:val="22"/>
          <w:szCs w:val="22"/>
          <w:shd w:val="clear" w:color="auto" w:fill="FFFFFF"/>
        </w:rPr>
        <w:t>Dancis</w:t>
      </w:r>
      <w:proofErr w:type="spellEnd"/>
      <w:r w:rsidRPr="00836E30">
        <w:rPr>
          <w:rFonts w:ascii="Arial" w:hAnsi="Arial" w:cs="Arial"/>
          <w:color w:val="0D0D0D" w:themeColor="text1" w:themeTint="F2"/>
          <w:sz w:val="22"/>
          <w:szCs w:val="22"/>
        </w:rPr>
        <w:t xml:space="preserve"> </w:t>
      </w:r>
      <w:r w:rsidR="00A34565"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2026</w:t>
      </w:r>
      <w:r w:rsidR="00A34565" w:rsidRPr="00836E30">
        <w:rPr>
          <w:rFonts w:ascii="Arial" w:hAnsi="Arial" w:cs="Arial"/>
          <w:color w:val="0D0D0D" w:themeColor="text1" w:themeTint="F2"/>
          <w:sz w:val="22"/>
          <w:szCs w:val="22"/>
        </w:rPr>
        <w:t>) asserted explanatory research design would significantly define the CGM based digital health intervention and evaluate the glycaemic outcome among UK adults with type 2 diabetes mellitus by evaluating the primary care initiatives by National Health Services.</w:t>
      </w:r>
      <w:r w:rsidR="005D719B">
        <w:rPr>
          <w:rFonts w:ascii="Arial" w:hAnsi="Arial" w:cs="Arial"/>
          <w:color w:val="0D0D0D" w:themeColor="text1" w:themeTint="F2"/>
          <w:sz w:val="22"/>
          <w:szCs w:val="22"/>
        </w:rPr>
        <w:t xml:space="preserve"> </w:t>
      </w:r>
    </w:p>
    <w:p w14:paraId="2B321CE0" w14:textId="537F9CF9" w:rsidR="005D719B" w:rsidRPr="00836E30" w:rsidRDefault="004157F9" w:rsidP="005D719B">
      <w:pPr>
        <w:pStyle w:val="Heading2"/>
        <w:rPr>
          <w:color w:val="0D0D0D" w:themeColor="text1" w:themeTint="F2"/>
        </w:rPr>
      </w:pPr>
      <w:bookmarkStart w:id="16" w:name="_Toc237716181"/>
      <w:r>
        <w:rPr>
          <w:color w:val="0D0D0D" w:themeColor="text1" w:themeTint="F2"/>
        </w:rPr>
        <w:t>7</w:t>
      </w:r>
      <w:r w:rsidR="005D719B" w:rsidRPr="00836E30">
        <w:rPr>
          <w:color w:val="0D0D0D" w:themeColor="text1" w:themeTint="F2"/>
        </w:rPr>
        <w:t>.</w:t>
      </w:r>
      <w:r w:rsidR="005D719B">
        <w:rPr>
          <w:color w:val="0D0D0D" w:themeColor="text1" w:themeTint="F2"/>
        </w:rPr>
        <w:t>3</w:t>
      </w:r>
      <w:r w:rsidR="005D719B" w:rsidRPr="00836E30">
        <w:rPr>
          <w:color w:val="0D0D0D" w:themeColor="text1" w:themeTint="F2"/>
        </w:rPr>
        <w:t xml:space="preserve"> </w:t>
      </w:r>
      <w:r w:rsidR="005D719B">
        <w:rPr>
          <w:color w:val="0D0D0D" w:themeColor="text1" w:themeTint="F2"/>
        </w:rPr>
        <w:t>Research strategy</w:t>
      </w:r>
      <w:bookmarkEnd w:id="16"/>
    </w:p>
    <w:p w14:paraId="1E0505E0" w14:textId="227CAEA5" w:rsidR="005D719B" w:rsidRPr="005D719B" w:rsidRDefault="005D719B" w:rsidP="005D719B">
      <w:pPr>
        <w:spacing w:line="360" w:lineRule="auto"/>
        <w:jc w:val="both"/>
        <w:rPr>
          <w:rFonts w:ascii="Arial" w:hAnsi="Arial" w:cs="Arial"/>
          <w:b/>
          <w:bCs/>
          <w:i/>
          <w:iCs/>
          <w:color w:val="0D0D0D" w:themeColor="text1" w:themeTint="F2"/>
          <w:sz w:val="22"/>
          <w:szCs w:val="22"/>
        </w:rPr>
      </w:pPr>
      <w:proofErr w:type="spellStart"/>
      <w:r w:rsidRPr="00836E30">
        <w:rPr>
          <w:rFonts w:ascii="Arial" w:hAnsi="Arial" w:cs="Arial"/>
          <w:color w:val="0D0D0D" w:themeColor="text1" w:themeTint="F2"/>
          <w:sz w:val="22"/>
          <w:szCs w:val="22"/>
          <w:shd w:val="clear" w:color="auto" w:fill="FFFFFF"/>
        </w:rPr>
        <w:t>Hossan</w:t>
      </w:r>
      <w:proofErr w:type="spellEnd"/>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Pr="00836E30">
        <w:rPr>
          <w:rFonts w:ascii="Arial" w:hAnsi="Arial" w:cs="Arial"/>
          <w:color w:val="0D0D0D" w:themeColor="text1" w:themeTint="F2"/>
          <w:sz w:val="22"/>
          <w:szCs w:val="22"/>
        </w:rPr>
        <w:t xml:space="preserve">(2023) evaluated </w:t>
      </w:r>
      <w:r>
        <w:rPr>
          <w:rFonts w:ascii="Arial" w:hAnsi="Arial" w:cs="Arial"/>
          <w:color w:val="0D0D0D" w:themeColor="text1" w:themeTint="F2"/>
          <w:sz w:val="22"/>
          <w:szCs w:val="22"/>
        </w:rPr>
        <w:t>database</w:t>
      </w:r>
      <w:r w:rsidRPr="00836E30">
        <w:rPr>
          <w:rFonts w:ascii="Arial" w:hAnsi="Arial" w:cs="Arial"/>
          <w:color w:val="0D0D0D" w:themeColor="text1" w:themeTint="F2"/>
          <w:sz w:val="22"/>
          <w:szCs w:val="22"/>
        </w:rPr>
        <w:t xml:space="preserve"> refers to the selection of effective sources or units of analysis that are relevant to the research objectives and aim in order to answer the research question. </w:t>
      </w:r>
      <w:r w:rsidRPr="00263A93">
        <w:rPr>
          <w:rFonts w:ascii="Arial" w:hAnsi="Arial" w:cs="Arial"/>
          <w:color w:val="0D0D0D" w:themeColor="text1" w:themeTint="F2"/>
          <w:sz w:val="22"/>
          <w:szCs w:val="22"/>
        </w:rPr>
        <w:t xml:space="preserve">With this </w:t>
      </w:r>
      <w:r>
        <w:rPr>
          <w:rFonts w:ascii="Arial" w:hAnsi="Arial" w:cs="Arial"/>
          <w:color w:val="0D0D0D" w:themeColor="text1" w:themeTint="F2"/>
          <w:sz w:val="22"/>
          <w:szCs w:val="22"/>
        </w:rPr>
        <w:t>database</w:t>
      </w:r>
      <w:r w:rsidRPr="00263A93">
        <w:rPr>
          <w:rFonts w:ascii="Arial" w:hAnsi="Arial" w:cs="Arial"/>
          <w:color w:val="0D0D0D" w:themeColor="text1" w:themeTint="F2"/>
          <w:sz w:val="22"/>
          <w:szCs w:val="22"/>
        </w:rPr>
        <w:t xml:space="preserve"> method the researcher will focus on some electronic database including PubMed, Scopus, Google Scholar and so on as well as the data sources would be screened with the utilisation of PRISMA 2020 framework</w:t>
      </w:r>
      <w:r>
        <w:rPr>
          <w:rFonts w:ascii="Arial" w:hAnsi="Arial" w:cs="Arial"/>
          <w:color w:val="0D0D0D" w:themeColor="text1" w:themeTint="F2"/>
          <w:sz w:val="22"/>
          <w:szCs w:val="22"/>
        </w:rPr>
        <w:t>.</w:t>
      </w:r>
    </w:p>
    <w:p w14:paraId="7B88DED2" w14:textId="0C299AD5" w:rsidR="00263A93" w:rsidRDefault="005D719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In order to justify the </w:t>
      </w:r>
      <w:r w:rsidRPr="008A7CCA">
        <w:rPr>
          <w:rFonts w:ascii="Arial" w:hAnsi="Arial" w:cs="Arial"/>
          <w:b/>
          <w:bCs/>
          <w:i/>
          <w:iCs/>
          <w:color w:val="0D0D0D" w:themeColor="text1" w:themeTint="F2"/>
          <w:sz w:val="22"/>
          <w:szCs w:val="22"/>
        </w:rPr>
        <w:t>search strategy and terms</w:t>
      </w:r>
      <w:r w:rsidRPr="00836E30">
        <w:rPr>
          <w:rFonts w:ascii="Arial" w:hAnsi="Arial" w:cs="Arial"/>
          <w:color w:val="0D0D0D" w:themeColor="text1" w:themeTint="F2"/>
          <w:sz w:val="22"/>
          <w:szCs w:val="22"/>
        </w:rPr>
        <w:t xml:space="preserve"> there would be some keyword that can be utilised while searching the articles like “type 2 diabetes”, “time in range”, “primary care”, “continuous glucose monitoring”, “digital health interventions”, HbA1C”, “United Kingdom”</w:t>
      </w:r>
      <w:r>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and “NHS”. Along with this, The </w:t>
      </w:r>
      <w:r w:rsidRPr="008A7CCA">
        <w:rPr>
          <w:rFonts w:ascii="Arial" w:hAnsi="Arial" w:cs="Arial"/>
          <w:b/>
          <w:bCs/>
          <w:i/>
          <w:iCs/>
          <w:color w:val="0D0D0D" w:themeColor="text1" w:themeTint="F2"/>
          <w:sz w:val="22"/>
          <w:szCs w:val="22"/>
        </w:rPr>
        <w:t>Boolean operators</w:t>
      </w:r>
      <w:r w:rsidRPr="00836E30">
        <w:rPr>
          <w:rFonts w:ascii="Arial" w:hAnsi="Arial" w:cs="Arial"/>
          <w:color w:val="0D0D0D" w:themeColor="text1" w:themeTint="F2"/>
          <w:sz w:val="22"/>
          <w:szCs w:val="22"/>
        </w:rPr>
        <w:t xml:space="preserve"> that would be utilised while searching the articles are </w:t>
      </w:r>
      <w:r w:rsidRPr="008A7CCA">
        <w:rPr>
          <w:rFonts w:ascii="Arial" w:hAnsi="Arial" w:cs="Arial"/>
          <w:b/>
          <w:bCs/>
          <w:i/>
          <w:iCs/>
          <w:color w:val="0D0D0D" w:themeColor="text1" w:themeTint="F2"/>
          <w:sz w:val="22"/>
          <w:szCs w:val="22"/>
        </w:rPr>
        <w:t>and, or, and not</w:t>
      </w:r>
      <w:r w:rsidRPr="00836E30">
        <w:rPr>
          <w:rFonts w:ascii="Arial" w:hAnsi="Arial" w:cs="Arial"/>
          <w:color w:val="0D0D0D" w:themeColor="text1" w:themeTint="F2"/>
          <w:sz w:val="22"/>
          <w:szCs w:val="22"/>
        </w:rPr>
        <w:t xml:space="preserve"> to improve the retrieval accuracy. </w:t>
      </w:r>
    </w:p>
    <w:p w14:paraId="3F2068C8" w14:textId="18890C2C" w:rsidR="00263A93" w:rsidRPr="00263A93" w:rsidRDefault="004157F9" w:rsidP="001E472D">
      <w:pPr>
        <w:pStyle w:val="Heading2"/>
      </w:pPr>
      <w:bookmarkStart w:id="17" w:name="_Toc237716182"/>
      <w:r>
        <w:t>7</w:t>
      </w:r>
      <w:r w:rsidR="00604E07">
        <w:t>.</w:t>
      </w:r>
      <w:r w:rsidR="005D719B">
        <w:t>4</w:t>
      </w:r>
      <w:r w:rsidR="00604E07">
        <w:t xml:space="preserve"> Question Framework and </w:t>
      </w:r>
      <w:r w:rsidR="00263A93" w:rsidRPr="00263A93">
        <w:t>Screening Process</w:t>
      </w:r>
      <w:bookmarkEnd w:id="17"/>
    </w:p>
    <w:p w14:paraId="0C96D605" w14:textId="46B3A382" w:rsidR="00A34565" w:rsidRPr="00836E30" w:rsidRDefault="00A34565"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The entire research would focus on examining the systematic review with transparent and reproducible framework in order to justify the stages like identify screening eligibility synthesis and inclusion with relevant published studies. Also the design would help the researcher to justify the existing empirical evidence that can create variations in different components like adaptation challenges evidence based recommendation time in range and HbA1C reduction. </w:t>
      </w:r>
      <w:r w:rsidR="00263A93" w:rsidRPr="00836E30">
        <w:rPr>
          <w:rFonts w:ascii="Arial" w:hAnsi="Arial" w:cs="Arial"/>
          <w:color w:val="0D0D0D" w:themeColor="text1" w:themeTint="F2"/>
          <w:sz w:val="22"/>
          <w:szCs w:val="22"/>
        </w:rPr>
        <w:t xml:space="preserve">With this </w:t>
      </w:r>
      <w:r w:rsidR="00B85230">
        <w:rPr>
          <w:rFonts w:ascii="Arial" w:hAnsi="Arial" w:cs="Arial"/>
          <w:color w:val="0D0D0D" w:themeColor="text1" w:themeTint="F2"/>
          <w:sz w:val="22"/>
          <w:szCs w:val="22"/>
        </w:rPr>
        <w:t>screening</w:t>
      </w:r>
      <w:r w:rsidR="00263A93" w:rsidRPr="00836E30">
        <w:rPr>
          <w:rFonts w:ascii="Arial" w:hAnsi="Arial" w:cs="Arial"/>
          <w:color w:val="0D0D0D" w:themeColor="text1" w:themeTint="F2"/>
          <w:sz w:val="22"/>
          <w:szCs w:val="22"/>
        </w:rPr>
        <w:t xml:space="preserve"> method the researcher will focus on some electronic database including </w:t>
      </w:r>
      <w:r w:rsidR="00263A93" w:rsidRPr="00836E30">
        <w:rPr>
          <w:rFonts w:ascii="Arial" w:hAnsi="Arial" w:cs="Arial"/>
          <w:b/>
          <w:bCs/>
          <w:i/>
          <w:iCs/>
          <w:color w:val="0D0D0D" w:themeColor="text1" w:themeTint="F2"/>
          <w:sz w:val="22"/>
          <w:szCs w:val="22"/>
        </w:rPr>
        <w:t>PubMed,</w:t>
      </w:r>
      <w:r w:rsidR="005D719B">
        <w:rPr>
          <w:rFonts w:ascii="Arial" w:hAnsi="Arial" w:cs="Arial"/>
          <w:b/>
          <w:bCs/>
          <w:i/>
          <w:iCs/>
          <w:color w:val="0D0D0D" w:themeColor="text1" w:themeTint="F2"/>
          <w:sz w:val="22"/>
          <w:szCs w:val="22"/>
        </w:rPr>
        <w:t xml:space="preserve"> E</w:t>
      </w:r>
      <w:r w:rsidR="004B1B4E">
        <w:rPr>
          <w:rFonts w:ascii="Arial" w:hAnsi="Arial" w:cs="Arial"/>
          <w:b/>
          <w:bCs/>
          <w:i/>
          <w:iCs/>
          <w:color w:val="0D0D0D" w:themeColor="text1" w:themeTint="F2"/>
          <w:sz w:val="22"/>
          <w:szCs w:val="22"/>
        </w:rPr>
        <w:t>BSCO</w:t>
      </w:r>
      <w:r w:rsidR="005D719B">
        <w:rPr>
          <w:rFonts w:ascii="Arial" w:hAnsi="Arial" w:cs="Arial"/>
          <w:b/>
          <w:bCs/>
          <w:i/>
          <w:iCs/>
          <w:color w:val="0D0D0D" w:themeColor="text1" w:themeTint="F2"/>
          <w:sz w:val="22"/>
          <w:szCs w:val="22"/>
        </w:rPr>
        <w:t xml:space="preserve">, Web of Science </w:t>
      </w:r>
      <w:r w:rsidR="00263A93" w:rsidRPr="00836E30">
        <w:rPr>
          <w:rFonts w:ascii="Arial" w:hAnsi="Arial" w:cs="Arial"/>
          <w:color w:val="0D0D0D" w:themeColor="text1" w:themeTint="F2"/>
          <w:sz w:val="22"/>
          <w:szCs w:val="22"/>
        </w:rPr>
        <w:t xml:space="preserve">and so on as well as the data sources would be screened with the utilisation of </w:t>
      </w:r>
      <w:r w:rsidR="00263A93" w:rsidRPr="004157F9">
        <w:rPr>
          <w:rFonts w:ascii="Arial" w:hAnsi="Arial" w:cs="Arial"/>
          <w:color w:val="0D0D0D" w:themeColor="text1" w:themeTint="F2"/>
          <w:sz w:val="22"/>
          <w:szCs w:val="22"/>
        </w:rPr>
        <w:t>PRISMA framework</w:t>
      </w:r>
      <w:r w:rsidR="00263A93" w:rsidRPr="00836E30">
        <w:rPr>
          <w:rFonts w:ascii="Arial" w:hAnsi="Arial" w:cs="Arial"/>
          <w:b/>
          <w:bCs/>
          <w:i/>
          <w:iCs/>
          <w:color w:val="0D0D0D" w:themeColor="text1" w:themeTint="F2"/>
          <w:sz w:val="22"/>
          <w:szCs w:val="22"/>
        </w:rPr>
        <w:t>.</w:t>
      </w:r>
    </w:p>
    <w:p w14:paraId="00B0C0C8" w14:textId="342F063D" w:rsidR="00B85230" w:rsidRDefault="004157F9" w:rsidP="00584FF8">
      <w:pPr>
        <w:pStyle w:val="Heading2"/>
        <w:rPr>
          <w:rFonts w:cs="Arial"/>
          <w:szCs w:val="22"/>
        </w:rPr>
      </w:pPr>
      <w:bookmarkStart w:id="18" w:name="_Toc237716183"/>
      <w:r>
        <w:t>7</w:t>
      </w:r>
      <w:r w:rsidR="00B85230">
        <w:t>.5 I</w:t>
      </w:r>
      <w:r w:rsidR="00B85230" w:rsidRPr="00B85230">
        <w:t xml:space="preserve">nclusion and </w:t>
      </w:r>
      <w:r w:rsidR="00B85230">
        <w:t>E</w:t>
      </w:r>
      <w:r w:rsidR="00B85230" w:rsidRPr="00B85230">
        <w:t xml:space="preserve">xclusion </w:t>
      </w:r>
      <w:r w:rsidR="00B85230">
        <w:t>C</w:t>
      </w:r>
      <w:r w:rsidR="00B85230" w:rsidRPr="00B85230">
        <w:t>riteria</w:t>
      </w:r>
      <w:bookmarkEnd w:id="18"/>
    </w:p>
    <w:p w14:paraId="06271C81" w14:textId="5069AA22" w:rsidR="00A34565" w:rsidRPr="00836E30" w:rsidRDefault="00325F41"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As inclusion criteria the researcher will only focus on the English language, full text, and peer reviewed articles which were published between </w:t>
      </w:r>
      <w:r w:rsidRPr="00836E30">
        <w:rPr>
          <w:rFonts w:ascii="Arial" w:hAnsi="Arial" w:cs="Arial"/>
          <w:b/>
          <w:bCs/>
          <w:i/>
          <w:iCs/>
          <w:color w:val="0D0D0D" w:themeColor="text1" w:themeTint="F2"/>
          <w:sz w:val="22"/>
          <w:szCs w:val="22"/>
        </w:rPr>
        <w:t>2020 to 2026</w:t>
      </w:r>
      <w:r w:rsidRPr="00836E30">
        <w:rPr>
          <w:rFonts w:ascii="Arial" w:hAnsi="Arial" w:cs="Arial"/>
          <w:color w:val="0D0D0D" w:themeColor="text1" w:themeTint="F2"/>
          <w:sz w:val="22"/>
          <w:szCs w:val="22"/>
        </w:rPr>
        <w:t xml:space="preserve"> and strongly reporting glycaemic outcome HbA1C and time in range among UK adults. Lastly, for the exclusion criteria the researcher would avoid the studies which are focusing on diabetes type 1, paediatric population, non English publication, conference abstracts, duplicate records, and unrelated articles with the objectives to ensure the robustness of the methodology.</w:t>
      </w:r>
    </w:p>
    <w:p w14:paraId="326D67AE" w14:textId="5DB38937" w:rsidR="00455558" w:rsidRPr="00836E30" w:rsidRDefault="004157F9" w:rsidP="00584FF8">
      <w:pPr>
        <w:pStyle w:val="Heading2"/>
        <w:rPr>
          <w:color w:val="0D0D0D" w:themeColor="text1" w:themeTint="F2"/>
        </w:rPr>
      </w:pPr>
      <w:bookmarkStart w:id="19" w:name="_Toc237716184"/>
      <w:r>
        <w:rPr>
          <w:color w:val="0D0D0D" w:themeColor="text1" w:themeTint="F2"/>
        </w:rPr>
        <w:t>7</w:t>
      </w:r>
      <w:r w:rsidR="00427EC1" w:rsidRPr="00836E30">
        <w:rPr>
          <w:color w:val="0D0D0D" w:themeColor="text1" w:themeTint="F2"/>
        </w:rPr>
        <w:t>.</w:t>
      </w:r>
      <w:r w:rsidR="00B85230">
        <w:rPr>
          <w:color w:val="0D0D0D" w:themeColor="text1" w:themeTint="F2"/>
        </w:rPr>
        <w:t>6</w:t>
      </w:r>
      <w:r w:rsidR="00427EC1" w:rsidRPr="00836E30">
        <w:rPr>
          <w:color w:val="0D0D0D" w:themeColor="text1" w:themeTint="F2"/>
        </w:rPr>
        <w:t xml:space="preserve"> </w:t>
      </w:r>
      <w:r w:rsidR="00455558" w:rsidRPr="00836E30">
        <w:rPr>
          <w:color w:val="0D0D0D" w:themeColor="text1" w:themeTint="F2"/>
        </w:rPr>
        <w:t>Materials/Data Collection Methods</w:t>
      </w:r>
      <w:bookmarkEnd w:id="19"/>
      <w:r w:rsidR="00FD06EF" w:rsidRPr="00836E30">
        <w:rPr>
          <w:color w:val="0D0D0D" w:themeColor="text1" w:themeTint="F2"/>
        </w:rPr>
        <w:t xml:space="preserve"> </w:t>
      </w:r>
    </w:p>
    <w:p w14:paraId="16FB301A" w14:textId="41A36535" w:rsidR="00B85230" w:rsidRDefault="00836E30" w:rsidP="00584FF8">
      <w:pPr>
        <w:spacing w:line="360" w:lineRule="auto"/>
        <w:jc w:val="both"/>
        <w:rPr>
          <w:rFonts w:ascii="Arial" w:hAnsi="Arial" w:cs="Arial"/>
          <w:color w:val="0D0D0D" w:themeColor="text1" w:themeTint="F2"/>
          <w:sz w:val="22"/>
          <w:szCs w:val="22"/>
        </w:rPr>
      </w:pPr>
      <w:proofErr w:type="spellStart"/>
      <w:r w:rsidRPr="00836E30">
        <w:rPr>
          <w:rFonts w:ascii="Arial" w:hAnsi="Arial" w:cs="Arial"/>
          <w:color w:val="0D0D0D" w:themeColor="text1" w:themeTint="F2"/>
          <w:sz w:val="22"/>
          <w:szCs w:val="22"/>
          <w:shd w:val="clear" w:color="auto" w:fill="FFFFFF"/>
        </w:rPr>
        <w:t>Mwita</w:t>
      </w:r>
      <w:proofErr w:type="spellEnd"/>
      <w:r w:rsidRPr="00836E30">
        <w:rPr>
          <w:rFonts w:ascii="Arial" w:hAnsi="Arial" w:cs="Arial"/>
          <w:color w:val="0D0D0D" w:themeColor="text1" w:themeTint="F2"/>
          <w:sz w:val="22"/>
          <w:szCs w:val="22"/>
        </w:rPr>
        <w:t xml:space="preserve"> </w:t>
      </w:r>
      <w:r w:rsidR="00325F41"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2022</w:t>
      </w:r>
      <w:r w:rsidR="00325F41" w:rsidRPr="00836E30">
        <w:rPr>
          <w:rFonts w:ascii="Arial" w:hAnsi="Arial" w:cs="Arial"/>
          <w:color w:val="0D0D0D" w:themeColor="text1" w:themeTint="F2"/>
          <w:sz w:val="22"/>
          <w:szCs w:val="22"/>
        </w:rPr>
        <w:t xml:space="preserve">) </w:t>
      </w:r>
      <w:r w:rsidRPr="00836E30">
        <w:rPr>
          <w:rFonts w:ascii="Arial" w:hAnsi="Arial" w:cs="Arial"/>
          <w:color w:val="0D0D0D" w:themeColor="text1" w:themeTint="F2"/>
          <w:sz w:val="22"/>
          <w:szCs w:val="22"/>
        </w:rPr>
        <w:t>s</w:t>
      </w:r>
      <w:r w:rsidR="00325F41" w:rsidRPr="00836E30">
        <w:rPr>
          <w:rFonts w:ascii="Arial" w:hAnsi="Arial" w:cs="Arial"/>
          <w:color w:val="0D0D0D" w:themeColor="text1" w:themeTint="F2"/>
          <w:sz w:val="22"/>
          <w:szCs w:val="22"/>
        </w:rPr>
        <w:t xml:space="preserve">tated materials and data collection method significantly focus on the sources of information and procedure that can be used to obtain evidence to justify the research question. In the systematic literature review </w:t>
      </w:r>
      <w:r w:rsidR="00325F41" w:rsidRPr="00836E30">
        <w:rPr>
          <w:rFonts w:ascii="Arial" w:hAnsi="Arial" w:cs="Arial"/>
          <w:b/>
          <w:bCs/>
          <w:i/>
          <w:iCs/>
          <w:color w:val="0D0D0D" w:themeColor="text1" w:themeTint="F2"/>
          <w:sz w:val="22"/>
          <w:szCs w:val="22"/>
        </w:rPr>
        <w:t>secondary qualitative data collection method</w:t>
      </w:r>
      <w:r w:rsidR="00325F41" w:rsidRPr="00836E30">
        <w:rPr>
          <w:rFonts w:ascii="Arial" w:hAnsi="Arial" w:cs="Arial"/>
          <w:color w:val="0D0D0D" w:themeColor="text1" w:themeTint="F2"/>
          <w:sz w:val="22"/>
          <w:szCs w:val="22"/>
        </w:rPr>
        <w:t xml:space="preserve"> would be utilised with peer reviewed journal and article analysis retrieved from PubMed, Scopus, Google Scholar and so on.</w:t>
      </w:r>
      <w:r w:rsidR="00357B04">
        <w:rPr>
          <w:rFonts w:ascii="Arial" w:hAnsi="Arial" w:cs="Arial"/>
          <w:color w:val="0D0D0D" w:themeColor="text1" w:themeTint="F2"/>
          <w:sz w:val="22"/>
          <w:szCs w:val="22"/>
        </w:rPr>
        <w:t xml:space="preserve"> </w:t>
      </w:r>
      <w:r w:rsidR="00357B04" w:rsidRPr="00836E30">
        <w:rPr>
          <w:rFonts w:ascii="Arial" w:hAnsi="Arial" w:cs="Arial"/>
          <w:color w:val="0D0D0D" w:themeColor="text1" w:themeTint="F2"/>
          <w:sz w:val="22"/>
          <w:szCs w:val="22"/>
        </w:rPr>
        <w:t xml:space="preserve">The gathered sources will be strategically screened as for inclusion and exclusion criteria with the help of </w:t>
      </w:r>
      <w:proofErr w:type="spellStart"/>
      <w:r w:rsidR="00357B04" w:rsidRPr="00357B04">
        <w:rPr>
          <w:rFonts w:ascii="Arial" w:hAnsi="Arial" w:cs="Arial"/>
          <w:b/>
          <w:bCs/>
          <w:i/>
          <w:iCs/>
          <w:color w:val="0D0D0D" w:themeColor="text1" w:themeTint="F2"/>
          <w:sz w:val="22"/>
          <w:szCs w:val="22"/>
        </w:rPr>
        <w:t>Prisma</w:t>
      </w:r>
      <w:proofErr w:type="spellEnd"/>
      <w:r w:rsidR="00357B04" w:rsidRPr="00357B04">
        <w:rPr>
          <w:rFonts w:ascii="Arial" w:hAnsi="Arial" w:cs="Arial"/>
          <w:b/>
          <w:bCs/>
          <w:i/>
          <w:iCs/>
          <w:color w:val="0D0D0D" w:themeColor="text1" w:themeTint="F2"/>
          <w:sz w:val="22"/>
          <w:szCs w:val="22"/>
        </w:rPr>
        <w:t xml:space="preserve"> Framework</w:t>
      </w:r>
      <w:r w:rsidR="00357B04" w:rsidRPr="00836E30">
        <w:rPr>
          <w:rFonts w:ascii="Arial" w:hAnsi="Arial" w:cs="Arial"/>
          <w:color w:val="0D0D0D" w:themeColor="text1" w:themeTint="F2"/>
          <w:sz w:val="22"/>
          <w:szCs w:val="22"/>
        </w:rPr>
        <w:t xml:space="preserve"> and the data would be extracted in a standardised table by characterising the study with glycaemic outcome and ensure consistency throughout the review. </w:t>
      </w:r>
      <w:r w:rsidR="00325F41" w:rsidRPr="00836E30">
        <w:rPr>
          <w:rFonts w:ascii="Arial" w:hAnsi="Arial" w:cs="Arial"/>
          <w:color w:val="0D0D0D" w:themeColor="text1" w:themeTint="F2"/>
          <w:sz w:val="22"/>
          <w:szCs w:val="22"/>
        </w:rPr>
        <w:t xml:space="preserve"> </w:t>
      </w:r>
    </w:p>
    <w:p w14:paraId="1F7F749B" w14:textId="34115FB8" w:rsidR="00357B04" w:rsidRDefault="00357B04" w:rsidP="00584FF8">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F</w:t>
      </w:r>
      <w:r w:rsidRPr="00836E30">
        <w:rPr>
          <w:rFonts w:ascii="Arial" w:hAnsi="Arial" w:cs="Arial"/>
          <w:color w:val="0D0D0D" w:themeColor="text1" w:themeTint="F2"/>
          <w:sz w:val="22"/>
          <w:szCs w:val="22"/>
        </w:rPr>
        <w:t xml:space="preserve">ollowing the </w:t>
      </w:r>
      <w:proofErr w:type="spellStart"/>
      <w:r w:rsidRPr="00836E30">
        <w:rPr>
          <w:rFonts w:ascii="Arial" w:hAnsi="Arial" w:cs="Arial"/>
          <w:color w:val="0D0D0D" w:themeColor="text1" w:themeTint="F2"/>
          <w:sz w:val="22"/>
          <w:szCs w:val="22"/>
        </w:rPr>
        <w:t>Prisma</w:t>
      </w:r>
      <w:proofErr w:type="spellEnd"/>
      <w:r w:rsidRPr="00836E30">
        <w:rPr>
          <w:rFonts w:ascii="Arial" w:hAnsi="Arial" w:cs="Arial"/>
          <w:color w:val="0D0D0D" w:themeColor="text1" w:themeTint="F2"/>
          <w:sz w:val="22"/>
          <w:szCs w:val="22"/>
        </w:rPr>
        <w:t xml:space="preserve"> framework to justify the methodological quality and maintain proper accessibility of the data sources the </w:t>
      </w:r>
      <w:r w:rsidRPr="00836E30">
        <w:rPr>
          <w:rFonts w:ascii="Arial" w:hAnsi="Arial" w:cs="Arial"/>
          <w:b/>
          <w:bCs/>
          <w:i/>
          <w:iCs/>
          <w:color w:val="0D0D0D" w:themeColor="text1" w:themeTint="F2"/>
          <w:sz w:val="22"/>
          <w:szCs w:val="22"/>
        </w:rPr>
        <w:t>CASP tool means Critical Appraisal Skills Programme</w:t>
      </w:r>
      <w:r w:rsidRPr="00836E30">
        <w:rPr>
          <w:rFonts w:ascii="Arial" w:hAnsi="Arial" w:cs="Arial"/>
          <w:color w:val="0D0D0D" w:themeColor="text1" w:themeTint="F2"/>
          <w:sz w:val="22"/>
          <w:szCs w:val="22"/>
        </w:rPr>
        <w:t xml:space="preserve"> would be ensured. Also</w:t>
      </w:r>
      <w:r>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in the time of data extraction the researcher would systematically compare the characteristics of the individual article with the research objectives and denote analytical approach to identify the recurring themes gaps and possible recommendations to optimise CGM based digital intervention in the UK primary care. </w:t>
      </w:r>
    </w:p>
    <w:p w14:paraId="16F642B7" w14:textId="6D5A5C69" w:rsidR="00455558" w:rsidRPr="00836E30" w:rsidRDefault="004157F9" w:rsidP="00584FF8">
      <w:pPr>
        <w:pStyle w:val="Heading2"/>
        <w:rPr>
          <w:color w:val="0D0D0D" w:themeColor="text1" w:themeTint="F2"/>
        </w:rPr>
      </w:pPr>
      <w:bookmarkStart w:id="20" w:name="_Toc237716185"/>
      <w:r>
        <w:rPr>
          <w:color w:val="0D0D0D" w:themeColor="text1" w:themeTint="F2"/>
        </w:rPr>
        <w:t>7</w:t>
      </w:r>
      <w:r w:rsidR="00427EC1" w:rsidRPr="00836E30">
        <w:rPr>
          <w:color w:val="0D0D0D" w:themeColor="text1" w:themeTint="F2"/>
        </w:rPr>
        <w:t>.</w:t>
      </w:r>
      <w:r w:rsidR="001E472D">
        <w:rPr>
          <w:color w:val="0D0D0D" w:themeColor="text1" w:themeTint="F2"/>
        </w:rPr>
        <w:t>7</w:t>
      </w:r>
      <w:r w:rsidR="00427EC1" w:rsidRPr="00836E30">
        <w:rPr>
          <w:color w:val="0D0D0D" w:themeColor="text1" w:themeTint="F2"/>
        </w:rPr>
        <w:t xml:space="preserve"> </w:t>
      </w:r>
      <w:r w:rsidR="00263A93">
        <w:rPr>
          <w:color w:val="0D0D0D" w:themeColor="text1" w:themeTint="F2"/>
        </w:rPr>
        <w:t>D</w:t>
      </w:r>
      <w:r w:rsidR="00263A93" w:rsidRPr="00263A93">
        <w:rPr>
          <w:color w:val="0D0D0D" w:themeColor="text1" w:themeTint="F2"/>
        </w:rPr>
        <w:t>ata extraction method and synthesis</w:t>
      </w:r>
      <w:r w:rsidR="00263A93">
        <w:rPr>
          <w:color w:val="0D0D0D" w:themeColor="text1" w:themeTint="F2"/>
        </w:rPr>
        <w:t xml:space="preserve"> </w:t>
      </w:r>
      <w:r w:rsidR="00263A93" w:rsidRPr="00263A93">
        <w:rPr>
          <w:color w:val="0D0D0D" w:themeColor="text1" w:themeTint="F2"/>
        </w:rPr>
        <w:t>approach</w:t>
      </w:r>
      <w:bookmarkEnd w:id="20"/>
    </w:p>
    <w:p w14:paraId="78B88D59" w14:textId="77777777" w:rsidR="00263A93" w:rsidRDefault="00836E30" w:rsidP="00584FF8">
      <w:pPr>
        <w:spacing w:line="360" w:lineRule="auto"/>
        <w:jc w:val="both"/>
        <w:rPr>
          <w:rFonts w:ascii="Arial" w:hAnsi="Arial" w:cs="Arial"/>
          <w:color w:val="0D0D0D" w:themeColor="text1" w:themeTint="F2"/>
          <w:sz w:val="22"/>
          <w:szCs w:val="22"/>
        </w:rPr>
      </w:pPr>
      <w:proofErr w:type="spellStart"/>
      <w:r w:rsidRPr="00836E30">
        <w:rPr>
          <w:rFonts w:ascii="Arial" w:hAnsi="Arial" w:cs="Arial"/>
          <w:color w:val="0D0D0D" w:themeColor="text1" w:themeTint="F2"/>
          <w:sz w:val="22"/>
          <w:szCs w:val="22"/>
          <w:shd w:val="clear" w:color="auto" w:fill="FFFFFF"/>
        </w:rPr>
        <w:t>Khoa</w:t>
      </w:r>
      <w:proofErr w:type="spellEnd"/>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2F2C53"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2023</w:t>
      </w:r>
      <w:r w:rsidR="002F2C53" w:rsidRPr="00836E30">
        <w:rPr>
          <w:rFonts w:ascii="Arial" w:hAnsi="Arial" w:cs="Arial"/>
          <w:color w:val="0D0D0D" w:themeColor="text1" w:themeTint="F2"/>
          <w:sz w:val="22"/>
          <w:szCs w:val="22"/>
        </w:rPr>
        <w:t xml:space="preserve">) stated data </w:t>
      </w:r>
      <w:r w:rsidR="00263A93">
        <w:rPr>
          <w:rFonts w:ascii="Arial" w:hAnsi="Arial" w:cs="Arial"/>
          <w:color w:val="0D0D0D" w:themeColor="text1" w:themeTint="F2"/>
          <w:sz w:val="22"/>
          <w:szCs w:val="22"/>
        </w:rPr>
        <w:t>extraction</w:t>
      </w:r>
      <w:r w:rsidR="002F2C53" w:rsidRPr="00836E30">
        <w:rPr>
          <w:rFonts w:ascii="Arial" w:hAnsi="Arial" w:cs="Arial"/>
          <w:color w:val="0D0D0D" w:themeColor="text1" w:themeTint="F2"/>
          <w:sz w:val="22"/>
          <w:szCs w:val="22"/>
        </w:rPr>
        <w:t xml:space="preserve"> is a systematic process of organising evaluating and synthesising collected information to answer the research question. In the systematic literature review the study would apply </w:t>
      </w:r>
      <w:r w:rsidR="002F2C53" w:rsidRPr="00836E30">
        <w:rPr>
          <w:rFonts w:ascii="Arial" w:hAnsi="Arial" w:cs="Arial"/>
          <w:b/>
          <w:bCs/>
          <w:i/>
          <w:iCs/>
          <w:color w:val="0D0D0D" w:themeColor="text1" w:themeTint="F2"/>
          <w:sz w:val="22"/>
          <w:szCs w:val="22"/>
        </w:rPr>
        <w:t>thematic narrative analysis</w:t>
      </w:r>
      <w:r w:rsidR="002F2C53" w:rsidRPr="00836E30">
        <w:rPr>
          <w:rFonts w:ascii="Arial" w:hAnsi="Arial" w:cs="Arial"/>
          <w:color w:val="0D0D0D" w:themeColor="text1" w:themeTint="F2"/>
          <w:sz w:val="22"/>
          <w:szCs w:val="22"/>
        </w:rPr>
        <w:t xml:space="preserve"> by gathering the suitable secondary data sources from the existing peer reviewed articles and journals. </w:t>
      </w:r>
    </w:p>
    <w:p w14:paraId="3E6EC744" w14:textId="69A20615" w:rsidR="00791C19" w:rsidRPr="00836E30" w:rsidRDefault="004157F9" w:rsidP="00584FF8">
      <w:pPr>
        <w:pStyle w:val="Heading1"/>
        <w:rPr>
          <w:color w:val="0D0D0D" w:themeColor="text1" w:themeTint="F2"/>
        </w:rPr>
      </w:pPr>
      <w:bookmarkStart w:id="21" w:name="_Toc237716186"/>
      <w:r>
        <w:rPr>
          <w:color w:val="0D0D0D" w:themeColor="text1" w:themeTint="F2"/>
        </w:rPr>
        <w:t>8</w:t>
      </w:r>
      <w:r w:rsidR="00B80232" w:rsidRPr="00836E30">
        <w:rPr>
          <w:color w:val="0D0D0D" w:themeColor="text1" w:themeTint="F2"/>
        </w:rPr>
        <w:t xml:space="preserve">. </w:t>
      </w:r>
      <w:r w:rsidR="00791C19" w:rsidRPr="00836E30">
        <w:rPr>
          <w:color w:val="0D0D0D" w:themeColor="text1" w:themeTint="F2"/>
        </w:rPr>
        <w:t>Ethical Considerations</w:t>
      </w:r>
      <w:bookmarkEnd w:id="21"/>
      <w:r w:rsidR="00791C19" w:rsidRPr="00836E30">
        <w:rPr>
          <w:color w:val="0D0D0D" w:themeColor="text1" w:themeTint="F2"/>
        </w:rPr>
        <w:t xml:space="preserve"> </w:t>
      </w:r>
    </w:p>
    <w:p w14:paraId="4C46E782" w14:textId="0748A322" w:rsidR="003A19E6" w:rsidRPr="00836E30" w:rsidRDefault="00B724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The study will focus on secondary data analysis process thus to obtain the published peer reviewed journals and articles from the official health care websites</w:t>
      </w:r>
      <w:r w:rsidR="00357B04">
        <w:rPr>
          <w:rFonts w:ascii="Arial" w:hAnsi="Arial" w:cs="Arial"/>
          <w:color w:val="0D0D0D" w:themeColor="text1" w:themeTint="F2"/>
          <w:sz w:val="22"/>
          <w:szCs w:val="22"/>
        </w:rPr>
        <w:t>. N</w:t>
      </w:r>
      <w:r w:rsidRPr="00836E30">
        <w:rPr>
          <w:rFonts w:ascii="Arial" w:hAnsi="Arial" w:cs="Arial"/>
          <w:color w:val="0D0D0D" w:themeColor="text1" w:themeTint="F2"/>
          <w:sz w:val="22"/>
          <w:szCs w:val="22"/>
        </w:rPr>
        <w:t xml:space="preserve">o human participants will be entertained and there </w:t>
      </w:r>
      <w:r w:rsidRPr="00AD2DAB">
        <w:rPr>
          <w:rFonts w:ascii="Arial" w:hAnsi="Arial" w:cs="Arial"/>
          <w:color w:val="0D0D0D" w:themeColor="text1" w:themeTint="F2"/>
          <w:sz w:val="22"/>
          <w:szCs w:val="22"/>
        </w:rPr>
        <w:t>won’t</w:t>
      </w:r>
      <w:r w:rsidRPr="00836E30">
        <w:rPr>
          <w:rFonts w:ascii="Arial" w:hAnsi="Arial" w:cs="Arial"/>
          <w:color w:val="0D0D0D" w:themeColor="text1" w:themeTint="F2"/>
          <w:sz w:val="22"/>
          <w:szCs w:val="22"/>
        </w:rPr>
        <w:t xml:space="preserve"> be any informed consent. </w:t>
      </w:r>
      <w:r w:rsidR="00357B04">
        <w:rPr>
          <w:rFonts w:ascii="Arial" w:hAnsi="Arial" w:cs="Arial"/>
          <w:color w:val="0D0D0D" w:themeColor="text1" w:themeTint="F2"/>
          <w:sz w:val="22"/>
          <w:szCs w:val="22"/>
        </w:rPr>
        <w:t xml:space="preserve">However approval will be taken from </w:t>
      </w:r>
      <w:r w:rsidR="00357B04" w:rsidRPr="00357B04">
        <w:rPr>
          <w:rFonts w:ascii="Arial" w:hAnsi="Arial" w:cs="Arial"/>
          <w:color w:val="0D0D0D" w:themeColor="text1" w:themeTint="F2"/>
          <w:sz w:val="22"/>
          <w:szCs w:val="22"/>
        </w:rPr>
        <w:t xml:space="preserve">UWTSD Ethics </w:t>
      </w:r>
      <w:r w:rsidR="00357B04">
        <w:rPr>
          <w:rFonts w:ascii="Arial" w:hAnsi="Arial" w:cs="Arial"/>
          <w:color w:val="0D0D0D" w:themeColor="text1" w:themeTint="F2"/>
          <w:sz w:val="22"/>
          <w:szCs w:val="22"/>
        </w:rPr>
        <w:t xml:space="preserve">committee. </w:t>
      </w:r>
      <w:r w:rsidRPr="00836E30">
        <w:rPr>
          <w:rFonts w:ascii="Arial" w:hAnsi="Arial" w:cs="Arial"/>
          <w:color w:val="0D0D0D" w:themeColor="text1" w:themeTint="F2"/>
          <w:sz w:val="22"/>
          <w:szCs w:val="22"/>
        </w:rPr>
        <w:t xml:space="preserve">Besides this the review would focus on strong academic integrity principles and accurately cite all the sources as per ensuring transparency and avoid plagiarism according to the </w:t>
      </w:r>
      <w:proofErr w:type="spellStart"/>
      <w:r w:rsidRPr="00836E30">
        <w:rPr>
          <w:rFonts w:ascii="Arial" w:hAnsi="Arial" w:cs="Arial"/>
          <w:color w:val="0D0D0D" w:themeColor="text1" w:themeTint="F2"/>
          <w:sz w:val="22"/>
          <w:szCs w:val="22"/>
        </w:rPr>
        <w:t>Prisma</w:t>
      </w:r>
      <w:proofErr w:type="spellEnd"/>
      <w:r w:rsidRPr="00836E30">
        <w:rPr>
          <w:rFonts w:ascii="Arial" w:hAnsi="Arial" w:cs="Arial"/>
          <w:color w:val="0D0D0D" w:themeColor="text1" w:themeTint="F2"/>
          <w:sz w:val="22"/>
          <w:szCs w:val="22"/>
        </w:rPr>
        <w:t xml:space="preserve"> Framework guidelines. Lastly to maintain the ethicality and reliability of the resources Data Protection Act 2018 would be followed to ensure data privacy and proper storage. </w:t>
      </w:r>
    </w:p>
    <w:p w14:paraId="5EE97A36" w14:textId="5944BC91" w:rsidR="00791C19" w:rsidRPr="00836E30" w:rsidRDefault="004157F9" w:rsidP="00584FF8">
      <w:pPr>
        <w:pStyle w:val="Heading1"/>
        <w:rPr>
          <w:color w:val="0D0D0D" w:themeColor="text1" w:themeTint="F2"/>
        </w:rPr>
      </w:pPr>
      <w:bookmarkStart w:id="22" w:name="_Toc237716187"/>
      <w:r>
        <w:rPr>
          <w:color w:val="0D0D0D" w:themeColor="text1" w:themeTint="F2"/>
        </w:rPr>
        <w:t>9</w:t>
      </w:r>
      <w:r w:rsidR="00B80232" w:rsidRPr="00836E30">
        <w:rPr>
          <w:color w:val="0D0D0D" w:themeColor="text1" w:themeTint="F2"/>
        </w:rPr>
        <w:t xml:space="preserve">. </w:t>
      </w:r>
      <w:r w:rsidR="00791C19" w:rsidRPr="00836E30">
        <w:rPr>
          <w:color w:val="0D0D0D" w:themeColor="text1" w:themeTint="F2"/>
        </w:rPr>
        <w:t>Limitations</w:t>
      </w:r>
      <w:bookmarkEnd w:id="22"/>
      <w:r w:rsidR="00791C19" w:rsidRPr="00836E30">
        <w:rPr>
          <w:color w:val="0D0D0D" w:themeColor="text1" w:themeTint="F2"/>
        </w:rPr>
        <w:t xml:space="preserve"> </w:t>
      </w:r>
    </w:p>
    <w:p w14:paraId="5B037535" w14:textId="473FEF9B" w:rsidR="00B7247B" w:rsidRPr="00836E30" w:rsidRDefault="00B724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The major limitation of the entire study is limited availability of the UK specific studies related to continuous glucose monitoring among UK adults with diabetes type 2 mellitus. Also by restricting only English language and peer reviewed articles with a specific timeframe of 2020 to 2026 the researcher will be unable to focus on the unpublished literature and the intervention duration of the characteristics of the studies can create direct comparison with the generalizability of the findings.</w:t>
      </w:r>
    </w:p>
    <w:p w14:paraId="57FB0DFF" w14:textId="5FB3CE57" w:rsidR="00791C19" w:rsidRPr="00836E30" w:rsidRDefault="004157F9" w:rsidP="00584FF8">
      <w:pPr>
        <w:pStyle w:val="Heading1"/>
        <w:rPr>
          <w:color w:val="0D0D0D" w:themeColor="text1" w:themeTint="F2"/>
        </w:rPr>
      </w:pPr>
      <w:bookmarkStart w:id="23" w:name="_Toc237716188"/>
      <w:r>
        <w:rPr>
          <w:color w:val="0D0D0D" w:themeColor="text1" w:themeTint="F2"/>
        </w:rPr>
        <w:t>10</w:t>
      </w:r>
      <w:r w:rsidR="00B80232" w:rsidRPr="00836E30">
        <w:rPr>
          <w:color w:val="0D0D0D" w:themeColor="text1" w:themeTint="F2"/>
        </w:rPr>
        <w:t xml:space="preserve">. </w:t>
      </w:r>
      <w:r w:rsidR="003A19E6" w:rsidRPr="00836E30">
        <w:rPr>
          <w:color w:val="0D0D0D" w:themeColor="text1" w:themeTint="F2"/>
        </w:rPr>
        <w:t xml:space="preserve">Timeline and </w:t>
      </w:r>
      <w:r w:rsidR="00791C19" w:rsidRPr="00836E30">
        <w:rPr>
          <w:color w:val="0D0D0D" w:themeColor="text1" w:themeTint="F2"/>
        </w:rPr>
        <w:t>Expected Contribution</w:t>
      </w:r>
      <w:bookmarkEnd w:id="23"/>
      <w:r w:rsidR="00791C19" w:rsidRPr="00836E30">
        <w:rPr>
          <w:color w:val="0D0D0D" w:themeColor="text1" w:themeTint="F2"/>
        </w:rPr>
        <w:t xml:space="preserve"> </w:t>
      </w:r>
    </w:p>
    <w:p w14:paraId="643CA0A0" w14:textId="2DA3997C" w:rsidR="00B7247B" w:rsidRPr="00836E30" w:rsidRDefault="004157F9" w:rsidP="00584FF8">
      <w:pPr>
        <w:pStyle w:val="Heading2"/>
        <w:rPr>
          <w:color w:val="0D0D0D" w:themeColor="text1" w:themeTint="F2"/>
        </w:rPr>
      </w:pPr>
      <w:bookmarkStart w:id="24" w:name="_Toc237716189"/>
      <w:r>
        <w:rPr>
          <w:color w:val="0D0D0D" w:themeColor="text1" w:themeTint="F2"/>
        </w:rPr>
        <w:t>10</w:t>
      </w:r>
      <w:r w:rsidR="00427EC1" w:rsidRPr="00836E30">
        <w:rPr>
          <w:color w:val="0D0D0D" w:themeColor="text1" w:themeTint="F2"/>
        </w:rPr>
        <w:t xml:space="preserve">.1 </w:t>
      </w:r>
      <w:r w:rsidR="00B7247B" w:rsidRPr="00836E30">
        <w:rPr>
          <w:color w:val="0D0D0D" w:themeColor="text1" w:themeTint="F2"/>
        </w:rPr>
        <w:t>Timeline</w:t>
      </w:r>
      <w:bookmarkEnd w:id="24"/>
    </w:p>
    <w:p w14:paraId="178D2167" w14:textId="75F445FD" w:rsidR="00B7247B" w:rsidRDefault="00072DEC" w:rsidP="00072DEC">
      <w:pPr>
        <w:spacing w:line="360" w:lineRule="auto"/>
        <w:jc w:val="center"/>
        <w:rPr>
          <w:rFonts w:ascii="Arial" w:hAnsi="Arial" w:cs="Arial"/>
          <w:b/>
          <w:bCs/>
          <w:color w:val="0D0D0D" w:themeColor="text1" w:themeTint="F2"/>
          <w:sz w:val="22"/>
          <w:szCs w:val="22"/>
        </w:rPr>
      </w:pPr>
      <w:r w:rsidRPr="00072DEC">
        <w:rPr>
          <w:rFonts w:ascii="Arial" w:hAnsi="Arial" w:cs="Arial"/>
          <w:b/>
          <w:bCs/>
          <w:noProof/>
          <w:color w:val="0D0D0D" w:themeColor="text1" w:themeTint="F2"/>
          <w:sz w:val="22"/>
          <w:szCs w:val="22"/>
        </w:rPr>
        <w:drawing>
          <wp:inline distT="0" distB="0" distL="0" distR="0" wp14:anchorId="372DE682" wp14:editId="3150AD12">
            <wp:extent cx="5731510" cy="2176780"/>
            <wp:effectExtent l="76200" t="76200" r="135890" b="128270"/>
            <wp:docPr id="1531515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515170" name=""/>
                    <pic:cNvPicPr/>
                  </pic:nvPicPr>
                  <pic:blipFill>
                    <a:blip r:embed="rId12"/>
                    <a:stretch>
                      <a:fillRect/>
                    </a:stretch>
                  </pic:blipFill>
                  <pic:spPr>
                    <a:xfrm>
                      <a:off x="0" y="0"/>
                      <a:ext cx="5731510" cy="2176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074700" w14:textId="172E08BB" w:rsidR="00072DEC" w:rsidRPr="00836E30" w:rsidRDefault="00072DEC" w:rsidP="00072DEC">
      <w:pPr>
        <w:spacing w:line="360" w:lineRule="auto"/>
        <w:jc w:val="center"/>
        <w:rPr>
          <w:rFonts w:ascii="Arial" w:hAnsi="Arial" w:cs="Arial"/>
          <w:b/>
          <w:bCs/>
          <w:color w:val="0D0D0D" w:themeColor="text1" w:themeTint="F2"/>
          <w:sz w:val="22"/>
          <w:szCs w:val="22"/>
        </w:rPr>
      </w:pPr>
      <w:r w:rsidRPr="00072DEC">
        <w:rPr>
          <w:rFonts w:ascii="Arial" w:hAnsi="Arial" w:cs="Arial"/>
          <w:b/>
          <w:bCs/>
          <w:noProof/>
          <w:color w:val="0D0D0D" w:themeColor="text1" w:themeTint="F2"/>
          <w:sz w:val="22"/>
          <w:szCs w:val="22"/>
        </w:rPr>
        <w:drawing>
          <wp:inline distT="0" distB="0" distL="0" distR="0" wp14:anchorId="5C119951" wp14:editId="328C9B1C">
            <wp:extent cx="5731510" cy="2804160"/>
            <wp:effectExtent l="76200" t="76200" r="135890" b="129540"/>
            <wp:docPr id="536722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722292" name=""/>
                    <pic:cNvPicPr/>
                  </pic:nvPicPr>
                  <pic:blipFill>
                    <a:blip r:embed="rId13"/>
                    <a:stretch>
                      <a:fillRect/>
                    </a:stretch>
                  </pic:blipFill>
                  <pic:spPr>
                    <a:xfrm>
                      <a:off x="0" y="0"/>
                      <a:ext cx="5731510" cy="2804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0EE79D" w14:textId="30E16312" w:rsidR="00B7247B" w:rsidRPr="00836E30" w:rsidRDefault="00B7247B" w:rsidP="00584FF8">
      <w:pPr>
        <w:spacing w:line="360" w:lineRule="auto"/>
        <w:jc w:val="center"/>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t xml:space="preserve">Figure </w:t>
      </w:r>
      <w:r w:rsidR="00CD5625">
        <w:rPr>
          <w:rFonts w:ascii="Arial" w:hAnsi="Arial" w:cs="Arial"/>
          <w:b/>
          <w:bCs/>
          <w:color w:val="0D0D0D" w:themeColor="text1" w:themeTint="F2"/>
          <w:sz w:val="22"/>
          <w:szCs w:val="22"/>
        </w:rPr>
        <w:t>4</w:t>
      </w:r>
      <w:r w:rsidRPr="00836E30">
        <w:rPr>
          <w:rFonts w:ascii="Arial" w:hAnsi="Arial" w:cs="Arial"/>
          <w:b/>
          <w:bCs/>
          <w:color w:val="0D0D0D" w:themeColor="text1" w:themeTint="F2"/>
          <w:sz w:val="22"/>
          <w:szCs w:val="22"/>
        </w:rPr>
        <w:t>: Gantt Chart</w:t>
      </w:r>
    </w:p>
    <w:p w14:paraId="2320A5CC" w14:textId="49817220" w:rsidR="00B7247B" w:rsidRPr="00836E30" w:rsidRDefault="00B7247B" w:rsidP="00584FF8">
      <w:pPr>
        <w:spacing w:line="360" w:lineRule="auto"/>
        <w:jc w:val="center"/>
        <w:rPr>
          <w:rFonts w:ascii="Arial" w:hAnsi="Arial" w:cs="Arial"/>
          <w:color w:val="0D0D0D" w:themeColor="text1" w:themeTint="F2"/>
          <w:sz w:val="22"/>
          <w:szCs w:val="22"/>
        </w:rPr>
      </w:pPr>
      <w:r w:rsidRPr="00836E30">
        <w:rPr>
          <w:rFonts w:ascii="Arial" w:hAnsi="Arial" w:cs="Arial"/>
          <w:color w:val="0D0D0D" w:themeColor="text1" w:themeTint="F2"/>
          <w:sz w:val="22"/>
          <w:szCs w:val="22"/>
        </w:rPr>
        <w:t>(Source: Developed in MS Project)</w:t>
      </w:r>
    </w:p>
    <w:p w14:paraId="41E917B3" w14:textId="6F79EC97" w:rsidR="00B7247B" w:rsidRPr="00836E30" w:rsidRDefault="004157F9" w:rsidP="00584FF8">
      <w:pPr>
        <w:pStyle w:val="Heading2"/>
        <w:rPr>
          <w:color w:val="0D0D0D" w:themeColor="text1" w:themeTint="F2"/>
        </w:rPr>
      </w:pPr>
      <w:bookmarkStart w:id="25" w:name="_Toc237716190"/>
      <w:r>
        <w:rPr>
          <w:color w:val="0D0D0D" w:themeColor="text1" w:themeTint="F2"/>
        </w:rPr>
        <w:t>10</w:t>
      </w:r>
      <w:r w:rsidR="00427EC1" w:rsidRPr="00836E30">
        <w:rPr>
          <w:color w:val="0D0D0D" w:themeColor="text1" w:themeTint="F2"/>
        </w:rPr>
        <w:t xml:space="preserve">.2 </w:t>
      </w:r>
      <w:r w:rsidR="00B7247B" w:rsidRPr="00836E30">
        <w:rPr>
          <w:color w:val="0D0D0D" w:themeColor="text1" w:themeTint="F2"/>
        </w:rPr>
        <w:t>Implication and Expected Outcome</w:t>
      </w:r>
      <w:bookmarkEnd w:id="25"/>
    </w:p>
    <w:p w14:paraId="778EE3B1" w14:textId="3ACB98C5" w:rsidR="00B80232" w:rsidRPr="00836E30" w:rsidRDefault="00B724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The overall implication and expected outcome of the research significantly focuses on providing up to date synthesis over diabetes mellitus and its strong impact on the </w:t>
      </w:r>
      <w:proofErr w:type="spellStart"/>
      <w:r w:rsidRPr="00836E30">
        <w:rPr>
          <w:rFonts w:ascii="Arial" w:hAnsi="Arial" w:cs="Arial"/>
          <w:color w:val="0D0D0D" w:themeColor="text1" w:themeTint="F2"/>
          <w:sz w:val="22"/>
          <w:szCs w:val="22"/>
        </w:rPr>
        <w:t>uk</w:t>
      </w:r>
      <w:proofErr w:type="spellEnd"/>
      <w:r w:rsidRPr="00836E30">
        <w:rPr>
          <w:rFonts w:ascii="Arial" w:hAnsi="Arial" w:cs="Arial"/>
          <w:color w:val="0D0D0D" w:themeColor="text1" w:themeTint="F2"/>
          <w:sz w:val="22"/>
          <w:szCs w:val="22"/>
        </w:rPr>
        <w:t xml:space="preserve"> adults. The study also focuses on identifying the continuous glucose monitoring based digital interventions to understand the glycaemic outcome and define the barriers that can create challenges in primary care system of NHS. Also the study will identify the gap and generic practical strategies to support healthcare professionals and NHS stakeholders for improving CGM technologies that can strengthen digital diabetes care for clinical practise.</w:t>
      </w:r>
      <w:r w:rsidR="00B80232" w:rsidRPr="00836E30">
        <w:rPr>
          <w:rFonts w:ascii="Arial" w:hAnsi="Arial" w:cs="Arial"/>
          <w:color w:val="0D0D0D" w:themeColor="text1" w:themeTint="F2"/>
          <w:sz w:val="22"/>
          <w:szCs w:val="22"/>
        </w:rPr>
        <w:br w:type="page"/>
      </w:r>
    </w:p>
    <w:p w14:paraId="605A05C1" w14:textId="5A8FEBA7" w:rsidR="00791C19" w:rsidRDefault="00B80232" w:rsidP="00584FF8">
      <w:pPr>
        <w:pStyle w:val="Heading1"/>
        <w:rPr>
          <w:color w:val="0D0D0D" w:themeColor="text1" w:themeTint="F2"/>
        </w:rPr>
      </w:pPr>
      <w:bookmarkStart w:id="26" w:name="_Toc237716191"/>
      <w:r w:rsidRPr="00836E30">
        <w:rPr>
          <w:color w:val="0D0D0D" w:themeColor="text1" w:themeTint="F2"/>
        </w:rPr>
        <w:t>1</w:t>
      </w:r>
      <w:r w:rsidR="004157F9">
        <w:rPr>
          <w:color w:val="0D0D0D" w:themeColor="text1" w:themeTint="F2"/>
        </w:rPr>
        <w:t>1</w:t>
      </w:r>
      <w:r w:rsidRPr="00836E30">
        <w:rPr>
          <w:color w:val="0D0D0D" w:themeColor="text1" w:themeTint="F2"/>
        </w:rPr>
        <w:t xml:space="preserve">. </w:t>
      </w:r>
      <w:r w:rsidR="00791C19" w:rsidRPr="00836E30">
        <w:rPr>
          <w:color w:val="0D0D0D" w:themeColor="text1" w:themeTint="F2"/>
        </w:rPr>
        <w:t>Reference List</w:t>
      </w:r>
      <w:bookmarkEnd w:id="26"/>
    </w:p>
    <w:p w14:paraId="0D67CED9"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 xml:space="preserve">Ahmad, E., Lim, S., </w:t>
      </w:r>
      <w:proofErr w:type="spellStart"/>
      <w:r w:rsidRPr="00143751">
        <w:rPr>
          <w:rFonts w:ascii="Arial" w:hAnsi="Arial" w:cs="Arial"/>
          <w:color w:val="0D0D0D" w:themeColor="text1" w:themeTint="F2"/>
          <w:sz w:val="22"/>
          <w:szCs w:val="22"/>
          <w:shd w:val="clear" w:color="auto" w:fill="FFFFFF"/>
        </w:rPr>
        <w:t>Lamptey</w:t>
      </w:r>
      <w:proofErr w:type="spellEnd"/>
      <w:r w:rsidRPr="00143751">
        <w:rPr>
          <w:rFonts w:ascii="Arial" w:hAnsi="Arial" w:cs="Arial"/>
          <w:color w:val="0D0D0D" w:themeColor="text1" w:themeTint="F2"/>
          <w:sz w:val="22"/>
          <w:szCs w:val="22"/>
          <w:shd w:val="clear" w:color="auto" w:fill="FFFFFF"/>
        </w:rPr>
        <w:t>, R., Webb, D.R. and Davies, M.J., 2022. Type 2 diabetes. </w:t>
      </w:r>
      <w:r w:rsidRPr="00143751">
        <w:rPr>
          <w:rFonts w:ascii="Arial" w:hAnsi="Arial" w:cs="Arial"/>
          <w:i/>
          <w:iCs/>
          <w:color w:val="0D0D0D" w:themeColor="text1" w:themeTint="F2"/>
          <w:sz w:val="22"/>
          <w:szCs w:val="22"/>
          <w:shd w:val="clear" w:color="auto" w:fill="FFFFFF"/>
        </w:rPr>
        <w:t>The Lancet</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400</w:t>
      </w:r>
      <w:r w:rsidRPr="00143751">
        <w:rPr>
          <w:rFonts w:ascii="Arial" w:hAnsi="Arial" w:cs="Arial"/>
          <w:color w:val="0D0D0D" w:themeColor="text1" w:themeTint="F2"/>
          <w:sz w:val="22"/>
          <w:szCs w:val="22"/>
          <w:shd w:val="clear" w:color="auto" w:fill="FFFFFF"/>
        </w:rPr>
        <w:t>(10365), pp.1803-1820.</w:t>
      </w:r>
    </w:p>
    <w:p w14:paraId="62771C64"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proofErr w:type="spellStart"/>
      <w:r w:rsidRPr="00143751">
        <w:rPr>
          <w:rFonts w:ascii="Arial" w:hAnsi="Arial" w:cs="Arial"/>
          <w:color w:val="0D0D0D" w:themeColor="text1" w:themeTint="F2"/>
          <w:sz w:val="22"/>
          <w:szCs w:val="22"/>
          <w:shd w:val="clear" w:color="auto" w:fill="FFFFFF"/>
        </w:rPr>
        <w:t>Bertolazzi</w:t>
      </w:r>
      <w:proofErr w:type="spellEnd"/>
      <w:r w:rsidRPr="00143751">
        <w:rPr>
          <w:rFonts w:ascii="Arial" w:hAnsi="Arial" w:cs="Arial"/>
          <w:color w:val="0D0D0D" w:themeColor="text1" w:themeTint="F2"/>
          <w:sz w:val="22"/>
          <w:szCs w:val="22"/>
          <w:shd w:val="clear" w:color="auto" w:fill="FFFFFF"/>
        </w:rPr>
        <w:t xml:space="preserve">, A., </w:t>
      </w:r>
      <w:proofErr w:type="spellStart"/>
      <w:r w:rsidRPr="00143751">
        <w:rPr>
          <w:rFonts w:ascii="Arial" w:hAnsi="Arial" w:cs="Arial"/>
          <w:color w:val="0D0D0D" w:themeColor="text1" w:themeTint="F2"/>
          <w:sz w:val="22"/>
          <w:szCs w:val="22"/>
          <w:shd w:val="clear" w:color="auto" w:fill="FFFFFF"/>
        </w:rPr>
        <w:t>Quaglia</w:t>
      </w:r>
      <w:proofErr w:type="spellEnd"/>
      <w:r w:rsidRPr="00143751">
        <w:rPr>
          <w:rFonts w:ascii="Arial" w:hAnsi="Arial" w:cs="Arial"/>
          <w:color w:val="0D0D0D" w:themeColor="text1" w:themeTint="F2"/>
          <w:sz w:val="22"/>
          <w:szCs w:val="22"/>
          <w:shd w:val="clear" w:color="auto" w:fill="FFFFFF"/>
        </w:rPr>
        <w:t xml:space="preserve">, V. and </w:t>
      </w:r>
      <w:proofErr w:type="spellStart"/>
      <w:r w:rsidRPr="00143751">
        <w:rPr>
          <w:rFonts w:ascii="Arial" w:hAnsi="Arial" w:cs="Arial"/>
          <w:color w:val="0D0D0D" w:themeColor="text1" w:themeTint="F2"/>
          <w:sz w:val="22"/>
          <w:szCs w:val="22"/>
          <w:shd w:val="clear" w:color="auto" w:fill="FFFFFF"/>
        </w:rPr>
        <w:t>Bongelli</w:t>
      </w:r>
      <w:proofErr w:type="spellEnd"/>
      <w:r w:rsidRPr="00143751">
        <w:rPr>
          <w:rFonts w:ascii="Arial" w:hAnsi="Arial" w:cs="Arial"/>
          <w:color w:val="0D0D0D" w:themeColor="text1" w:themeTint="F2"/>
          <w:sz w:val="22"/>
          <w:szCs w:val="22"/>
          <w:shd w:val="clear" w:color="auto" w:fill="FFFFFF"/>
        </w:rPr>
        <w:t>, R., 2024. Barriers and facilitators to health technology adoption by older adults with chronic diseases: an integrative systematic review. </w:t>
      </w:r>
      <w:r w:rsidRPr="00143751">
        <w:rPr>
          <w:rFonts w:ascii="Arial" w:hAnsi="Arial" w:cs="Arial"/>
          <w:i/>
          <w:iCs/>
          <w:color w:val="0D0D0D" w:themeColor="text1" w:themeTint="F2"/>
          <w:sz w:val="22"/>
          <w:szCs w:val="22"/>
          <w:shd w:val="clear" w:color="auto" w:fill="FFFFFF"/>
        </w:rPr>
        <w:t>BMC public health</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24</w:t>
      </w:r>
      <w:r w:rsidRPr="00143751">
        <w:rPr>
          <w:rFonts w:ascii="Arial" w:hAnsi="Arial" w:cs="Arial"/>
          <w:color w:val="0D0D0D" w:themeColor="text1" w:themeTint="F2"/>
          <w:sz w:val="22"/>
          <w:szCs w:val="22"/>
          <w:shd w:val="clear" w:color="auto" w:fill="FFFFFF"/>
        </w:rPr>
        <w:t>(1), p.506.</w:t>
      </w:r>
    </w:p>
    <w:p w14:paraId="0E892610"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proofErr w:type="spellStart"/>
      <w:r w:rsidRPr="00143751">
        <w:rPr>
          <w:rFonts w:ascii="Arial" w:hAnsi="Arial" w:cs="Arial"/>
          <w:color w:val="0D0D0D" w:themeColor="text1" w:themeTint="F2"/>
          <w:sz w:val="22"/>
          <w:szCs w:val="22"/>
          <w:shd w:val="clear" w:color="auto" w:fill="FFFFFF"/>
        </w:rPr>
        <w:t>Ceriello</w:t>
      </w:r>
      <w:proofErr w:type="spellEnd"/>
      <w:r w:rsidRPr="00143751">
        <w:rPr>
          <w:rFonts w:ascii="Arial" w:hAnsi="Arial" w:cs="Arial"/>
          <w:color w:val="0D0D0D" w:themeColor="text1" w:themeTint="F2"/>
          <w:sz w:val="22"/>
          <w:szCs w:val="22"/>
          <w:shd w:val="clear" w:color="auto" w:fill="FFFFFF"/>
        </w:rPr>
        <w:t xml:space="preserve">, A., </w:t>
      </w:r>
      <w:proofErr w:type="spellStart"/>
      <w:r w:rsidRPr="00143751">
        <w:rPr>
          <w:rFonts w:ascii="Arial" w:hAnsi="Arial" w:cs="Arial"/>
          <w:color w:val="0D0D0D" w:themeColor="text1" w:themeTint="F2"/>
          <w:sz w:val="22"/>
          <w:szCs w:val="22"/>
          <w:shd w:val="clear" w:color="auto" w:fill="FFFFFF"/>
        </w:rPr>
        <w:t>Prattichizzo</w:t>
      </w:r>
      <w:proofErr w:type="spellEnd"/>
      <w:r w:rsidRPr="00143751">
        <w:rPr>
          <w:rFonts w:ascii="Arial" w:hAnsi="Arial" w:cs="Arial"/>
          <w:color w:val="0D0D0D" w:themeColor="text1" w:themeTint="F2"/>
          <w:sz w:val="22"/>
          <w:szCs w:val="22"/>
          <w:shd w:val="clear" w:color="auto" w:fill="FFFFFF"/>
        </w:rPr>
        <w:t xml:space="preserve">, F., Phillip, M., Hirsch, I.B., Mathieu, C. and </w:t>
      </w:r>
      <w:proofErr w:type="spellStart"/>
      <w:r w:rsidRPr="00143751">
        <w:rPr>
          <w:rFonts w:ascii="Arial" w:hAnsi="Arial" w:cs="Arial"/>
          <w:color w:val="0D0D0D" w:themeColor="text1" w:themeTint="F2"/>
          <w:sz w:val="22"/>
          <w:szCs w:val="22"/>
          <w:shd w:val="clear" w:color="auto" w:fill="FFFFFF"/>
        </w:rPr>
        <w:t>Battelino</w:t>
      </w:r>
      <w:proofErr w:type="spellEnd"/>
      <w:r w:rsidRPr="00143751">
        <w:rPr>
          <w:rFonts w:ascii="Arial" w:hAnsi="Arial" w:cs="Arial"/>
          <w:color w:val="0D0D0D" w:themeColor="text1" w:themeTint="F2"/>
          <w:sz w:val="22"/>
          <w:szCs w:val="22"/>
          <w:shd w:val="clear" w:color="auto" w:fill="FFFFFF"/>
        </w:rPr>
        <w:t>, T., 2022. Glycaemic management in diabetes: old and new approaches. </w:t>
      </w:r>
      <w:r w:rsidRPr="00143751">
        <w:rPr>
          <w:rFonts w:ascii="Arial" w:hAnsi="Arial" w:cs="Arial"/>
          <w:i/>
          <w:iCs/>
          <w:color w:val="0D0D0D" w:themeColor="text1" w:themeTint="F2"/>
          <w:sz w:val="22"/>
          <w:szCs w:val="22"/>
          <w:shd w:val="clear" w:color="auto" w:fill="FFFFFF"/>
        </w:rPr>
        <w:t>The lancet Diabetes &amp; endocrinology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10</w:t>
      </w:r>
      <w:r w:rsidRPr="00143751">
        <w:rPr>
          <w:rFonts w:ascii="Arial" w:hAnsi="Arial" w:cs="Arial"/>
          <w:color w:val="0D0D0D" w:themeColor="text1" w:themeTint="F2"/>
          <w:sz w:val="22"/>
          <w:szCs w:val="22"/>
          <w:shd w:val="clear" w:color="auto" w:fill="FFFFFF"/>
        </w:rPr>
        <w:t>(1), pp.75-84.</w:t>
      </w:r>
    </w:p>
    <w:p w14:paraId="3E85DF59" w14:textId="77777777" w:rsidR="00836E30" w:rsidRPr="00143751" w:rsidRDefault="00836E30" w:rsidP="00584FF8">
      <w:pPr>
        <w:spacing w:line="360" w:lineRule="auto"/>
        <w:jc w:val="both"/>
        <w:rPr>
          <w:rFonts w:ascii="Arial" w:hAnsi="Arial" w:cs="Arial"/>
          <w:color w:val="0D0D0D" w:themeColor="text1" w:themeTint="F2"/>
          <w:sz w:val="22"/>
          <w:szCs w:val="22"/>
        </w:rPr>
      </w:pPr>
      <w:r w:rsidRPr="00143751">
        <w:rPr>
          <w:rFonts w:ascii="Arial" w:hAnsi="Arial" w:cs="Arial"/>
          <w:color w:val="0D0D0D" w:themeColor="text1" w:themeTint="F2"/>
          <w:sz w:val="22"/>
          <w:szCs w:val="22"/>
        </w:rPr>
        <w:t xml:space="preserve">Diabetes, 2026. How many people in the UK have diabetes?. [Online] Available at: </w:t>
      </w:r>
      <w:hyperlink r:id="rId14" w:history="1">
        <w:r w:rsidRPr="00143751">
          <w:rPr>
            <w:rStyle w:val="Hyperlink"/>
            <w:rFonts w:ascii="Arial" w:hAnsi="Arial" w:cs="Arial"/>
            <w:color w:val="0D0D0D" w:themeColor="text1" w:themeTint="F2"/>
            <w:sz w:val="22"/>
            <w:szCs w:val="22"/>
            <w:u w:val="none"/>
          </w:rPr>
          <w:t>https://www.diabetes.org.uk/about-us/about-the-charity/our-strategy/statistics</w:t>
        </w:r>
      </w:hyperlink>
      <w:r w:rsidRPr="00143751">
        <w:rPr>
          <w:rFonts w:ascii="Arial" w:hAnsi="Arial" w:cs="Arial"/>
          <w:color w:val="0D0D0D" w:themeColor="text1" w:themeTint="F2"/>
          <w:sz w:val="22"/>
          <w:szCs w:val="22"/>
        </w:rPr>
        <w:t xml:space="preserve"> [Accessed on 4th August 2026]</w:t>
      </w:r>
    </w:p>
    <w:p w14:paraId="30D62144"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proofErr w:type="spellStart"/>
      <w:r w:rsidRPr="00143751">
        <w:rPr>
          <w:rFonts w:ascii="Arial" w:hAnsi="Arial" w:cs="Arial"/>
          <w:color w:val="0D0D0D" w:themeColor="text1" w:themeTint="F2"/>
          <w:sz w:val="22"/>
          <w:szCs w:val="22"/>
          <w:shd w:val="clear" w:color="auto" w:fill="FFFFFF"/>
        </w:rPr>
        <w:t>Ebekozien</w:t>
      </w:r>
      <w:proofErr w:type="spellEnd"/>
      <w:r w:rsidRPr="00143751">
        <w:rPr>
          <w:rFonts w:ascii="Arial" w:hAnsi="Arial" w:cs="Arial"/>
          <w:color w:val="0D0D0D" w:themeColor="text1" w:themeTint="F2"/>
          <w:sz w:val="22"/>
          <w:szCs w:val="22"/>
          <w:shd w:val="clear" w:color="auto" w:fill="FFFFFF"/>
        </w:rPr>
        <w:t xml:space="preserve">, O., Fantasia, K., </w:t>
      </w:r>
      <w:proofErr w:type="spellStart"/>
      <w:r w:rsidRPr="00143751">
        <w:rPr>
          <w:rFonts w:ascii="Arial" w:hAnsi="Arial" w:cs="Arial"/>
          <w:color w:val="0D0D0D" w:themeColor="text1" w:themeTint="F2"/>
          <w:sz w:val="22"/>
          <w:szCs w:val="22"/>
          <w:shd w:val="clear" w:color="auto" w:fill="FFFFFF"/>
        </w:rPr>
        <w:t>Farrokhi</w:t>
      </w:r>
      <w:proofErr w:type="spellEnd"/>
      <w:r w:rsidRPr="00143751">
        <w:rPr>
          <w:rFonts w:ascii="Arial" w:hAnsi="Arial" w:cs="Arial"/>
          <w:color w:val="0D0D0D" w:themeColor="text1" w:themeTint="F2"/>
          <w:sz w:val="22"/>
          <w:szCs w:val="22"/>
          <w:shd w:val="clear" w:color="auto" w:fill="FFFFFF"/>
        </w:rPr>
        <w:t>, F., Sabharwal, A. and Kerr, D., 2024. Technology and health inequities in diabetes care: how do we widen access to underserved populations and utilize technology to improve outcomes for all?. </w:t>
      </w:r>
      <w:r w:rsidRPr="00143751">
        <w:rPr>
          <w:rFonts w:ascii="Arial" w:hAnsi="Arial" w:cs="Arial"/>
          <w:i/>
          <w:iCs/>
          <w:color w:val="0D0D0D" w:themeColor="text1" w:themeTint="F2"/>
          <w:sz w:val="22"/>
          <w:szCs w:val="22"/>
          <w:shd w:val="clear" w:color="auto" w:fill="FFFFFF"/>
        </w:rPr>
        <w:t>Diabetes, Obesity and Metabolism</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26</w:t>
      </w:r>
      <w:r w:rsidRPr="00143751">
        <w:rPr>
          <w:rFonts w:ascii="Arial" w:hAnsi="Arial" w:cs="Arial"/>
          <w:color w:val="0D0D0D" w:themeColor="text1" w:themeTint="F2"/>
          <w:sz w:val="22"/>
          <w:szCs w:val="22"/>
          <w:shd w:val="clear" w:color="auto" w:fill="FFFFFF"/>
        </w:rPr>
        <w:t>, pp.3-13.</w:t>
      </w:r>
    </w:p>
    <w:p w14:paraId="21C6EF91"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 xml:space="preserve">Fernando, K., </w:t>
      </w:r>
      <w:proofErr w:type="spellStart"/>
      <w:r w:rsidRPr="00143751">
        <w:rPr>
          <w:rFonts w:ascii="Arial" w:hAnsi="Arial" w:cs="Arial"/>
          <w:color w:val="0D0D0D" w:themeColor="text1" w:themeTint="F2"/>
          <w:sz w:val="22"/>
          <w:szCs w:val="22"/>
          <w:shd w:val="clear" w:color="auto" w:fill="FFFFFF"/>
        </w:rPr>
        <w:t>Alabraba</w:t>
      </w:r>
      <w:proofErr w:type="spellEnd"/>
      <w:r w:rsidRPr="00143751">
        <w:rPr>
          <w:rFonts w:ascii="Arial" w:hAnsi="Arial" w:cs="Arial"/>
          <w:color w:val="0D0D0D" w:themeColor="text1" w:themeTint="F2"/>
          <w:sz w:val="22"/>
          <w:szCs w:val="22"/>
          <w:shd w:val="clear" w:color="auto" w:fill="FFFFFF"/>
        </w:rPr>
        <w:t xml:space="preserve">, V., Welsh, J.B., </w:t>
      </w:r>
      <w:proofErr w:type="spellStart"/>
      <w:r w:rsidRPr="00143751">
        <w:rPr>
          <w:rFonts w:ascii="Arial" w:hAnsi="Arial" w:cs="Arial"/>
          <w:color w:val="0D0D0D" w:themeColor="text1" w:themeTint="F2"/>
          <w:sz w:val="22"/>
          <w:szCs w:val="22"/>
          <w:shd w:val="clear" w:color="auto" w:fill="FFFFFF"/>
        </w:rPr>
        <w:t>Seidu</w:t>
      </w:r>
      <w:proofErr w:type="spellEnd"/>
      <w:r w:rsidRPr="00143751">
        <w:rPr>
          <w:rFonts w:ascii="Arial" w:hAnsi="Arial" w:cs="Arial"/>
          <w:color w:val="0D0D0D" w:themeColor="text1" w:themeTint="F2"/>
          <w:sz w:val="22"/>
          <w:szCs w:val="22"/>
          <w:shd w:val="clear" w:color="auto" w:fill="FFFFFF"/>
        </w:rPr>
        <w:t>, S., Strain, W.D., Bell, H.E., Davies, S. and Evans, M., 2025. Practical approaches to continuous glucose monitoring in primary care: a UK-based consensus opinion. </w:t>
      </w:r>
      <w:r w:rsidRPr="00143751">
        <w:rPr>
          <w:rFonts w:ascii="Arial" w:hAnsi="Arial" w:cs="Arial"/>
          <w:i/>
          <w:iCs/>
          <w:color w:val="0D0D0D" w:themeColor="text1" w:themeTint="F2"/>
          <w:sz w:val="22"/>
          <w:szCs w:val="22"/>
          <w:shd w:val="clear" w:color="auto" w:fill="FFFFFF"/>
        </w:rPr>
        <w:t>Diabetes Therapy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16</w:t>
      </w:r>
      <w:r w:rsidRPr="00143751">
        <w:rPr>
          <w:rFonts w:ascii="Arial" w:hAnsi="Arial" w:cs="Arial"/>
          <w:color w:val="0D0D0D" w:themeColor="text1" w:themeTint="F2"/>
          <w:sz w:val="22"/>
          <w:szCs w:val="22"/>
          <w:shd w:val="clear" w:color="auto" w:fill="FFFFFF"/>
        </w:rPr>
        <w:t>(4), pp.749-762.</w:t>
      </w:r>
    </w:p>
    <w:p w14:paraId="67E15A8D"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 xml:space="preserve">Fernando, K., </w:t>
      </w:r>
      <w:proofErr w:type="spellStart"/>
      <w:r w:rsidRPr="00143751">
        <w:rPr>
          <w:rFonts w:ascii="Arial" w:hAnsi="Arial" w:cs="Arial"/>
          <w:color w:val="0D0D0D" w:themeColor="text1" w:themeTint="F2"/>
          <w:sz w:val="22"/>
          <w:szCs w:val="22"/>
          <w:shd w:val="clear" w:color="auto" w:fill="FFFFFF"/>
        </w:rPr>
        <w:t>Alabraba</w:t>
      </w:r>
      <w:proofErr w:type="spellEnd"/>
      <w:r w:rsidRPr="00143751">
        <w:rPr>
          <w:rFonts w:ascii="Arial" w:hAnsi="Arial" w:cs="Arial"/>
          <w:color w:val="0D0D0D" w:themeColor="text1" w:themeTint="F2"/>
          <w:sz w:val="22"/>
          <w:szCs w:val="22"/>
          <w:shd w:val="clear" w:color="auto" w:fill="FFFFFF"/>
        </w:rPr>
        <w:t xml:space="preserve">, V., Welsh, J.B., </w:t>
      </w:r>
      <w:proofErr w:type="spellStart"/>
      <w:r w:rsidRPr="00143751">
        <w:rPr>
          <w:rFonts w:ascii="Arial" w:hAnsi="Arial" w:cs="Arial"/>
          <w:color w:val="0D0D0D" w:themeColor="text1" w:themeTint="F2"/>
          <w:sz w:val="22"/>
          <w:szCs w:val="22"/>
          <w:shd w:val="clear" w:color="auto" w:fill="FFFFFF"/>
        </w:rPr>
        <w:t>Seidu</w:t>
      </w:r>
      <w:proofErr w:type="spellEnd"/>
      <w:r w:rsidRPr="00143751">
        <w:rPr>
          <w:rFonts w:ascii="Arial" w:hAnsi="Arial" w:cs="Arial"/>
          <w:color w:val="0D0D0D" w:themeColor="text1" w:themeTint="F2"/>
          <w:sz w:val="22"/>
          <w:szCs w:val="22"/>
          <w:shd w:val="clear" w:color="auto" w:fill="FFFFFF"/>
        </w:rPr>
        <w:t>, S., Strain, W.D., Bell, H.E., Davies, S. and Evans, M., 2025. Practical approaches to continuous glucose monitoring in primary care: a UK-based consensus opinion. </w:t>
      </w:r>
      <w:r w:rsidRPr="00143751">
        <w:rPr>
          <w:rFonts w:ascii="Arial" w:hAnsi="Arial" w:cs="Arial"/>
          <w:i/>
          <w:iCs/>
          <w:color w:val="0D0D0D" w:themeColor="text1" w:themeTint="F2"/>
          <w:sz w:val="22"/>
          <w:szCs w:val="22"/>
          <w:shd w:val="clear" w:color="auto" w:fill="FFFFFF"/>
        </w:rPr>
        <w:t>Diabetes Therapy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16</w:t>
      </w:r>
      <w:r w:rsidRPr="00143751">
        <w:rPr>
          <w:rFonts w:ascii="Arial" w:hAnsi="Arial" w:cs="Arial"/>
          <w:color w:val="0D0D0D" w:themeColor="text1" w:themeTint="F2"/>
          <w:sz w:val="22"/>
          <w:szCs w:val="22"/>
          <w:shd w:val="clear" w:color="auto" w:fill="FFFFFF"/>
        </w:rPr>
        <w:t>(4), pp.749-762.</w:t>
      </w:r>
    </w:p>
    <w:p w14:paraId="4B5BBAFF" w14:textId="77777777" w:rsidR="00836E30" w:rsidRPr="00143751" w:rsidRDefault="00836E30" w:rsidP="00584FF8">
      <w:pPr>
        <w:spacing w:line="360" w:lineRule="auto"/>
        <w:jc w:val="both"/>
        <w:rPr>
          <w:rStyle w:val="Hyperlink"/>
          <w:rFonts w:ascii="Arial" w:hAnsi="Arial" w:cs="Arial"/>
          <w:color w:val="0D0D0D" w:themeColor="text1" w:themeTint="F2"/>
          <w:sz w:val="22"/>
          <w:szCs w:val="22"/>
          <w:u w:val="none"/>
        </w:rPr>
      </w:pPr>
      <w:r w:rsidRPr="00143751">
        <w:rPr>
          <w:rFonts w:ascii="Arial" w:hAnsi="Arial" w:cs="Arial"/>
          <w:color w:val="0D0D0D" w:themeColor="text1" w:themeTint="F2"/>
          <w:sz w:val="22"/>
          <w:szCs w:val="22"/>
        </w:rPr>
        <w:t xml:space="preserve">GOV, 2025a. Diabetes profile: statistical commentary, March 2025. [Online] Available at: </w:t>
      </w:r>
      <w:hyperlink r:id="rId15" w:history="1">
        <w:r w:rsidRPr="00143751">
          <w:rPr>
            <w:rStyle w:val="Hyperlink"/>
            <w:rFonts w:ascii="Arial" w:hAnsi="Arial" w:cs="Arial"/>
            <w:color w:val="0D0D0D" w:themeColor="text1" w:themeTint="F2"/>
            <w:sz w:val="22"/>
            <w:szCs w:val="22"/>
            <w:u w:val="none"/>
          </w:rPr>
          <w:t>https://www.gov.uk/government/statistics/diabetes-profile-update-march-2025/diabetes-profile-statistical-commentary-march-2025</w:t>
        </w:r>
      </w:hyperlink>
      <w:r w:rsidRPr="00143751">
        <w:rPr>
          <w:rFonts w:ascii="Arial" w:hAnsi="Arial" w:cs="Arial"/>
          <w:color w:val="0D0D0D" w:themeColor="text1" w:themeTint="F2"/>
          <w:sz w:val="22"/>
          <w:szCs w:val="22"/>
        </w:rPr>
        <w:t xml:space="preserve"> [Accessed on 4th August 2026]</w:t>
      </w:r>
    </w:p>
    <w:p w14:paraId="1921B86F" w14:textId="77777777" w:rsidR="00836E30" w:rsidRPr="00143751" w:rsidRDefault="00836E30" w:rsidP="00584FF8">
      <w:pPr>
        <w:spacing w:line="360" w:lineRule="auto"/>
        <w:jc w:val="both"/>
        <w:rPr>
          <w:rFonts w:ascii="Arial" w:hAnsi="Arial" w:cs="Arial"/>
          <w:color w:val="0D0D0D" w:themeColor="text1" w:themeTint="F2"/>
          <w:sz w:val="22"/>
          <w:szCs w:val="22"/>
        </w:rPr>
      </w:pPr>
      <w:r w:rsidRPr="00143751">
        <w:rPr>
          <w:rFonts w:ascii="Arial" w:hAnsi="Arial" w:cs="Arial"/>
          <w:color w:val="0D0D0D" w:themeColor="text1" w:themeTint="F2"/>
          <w:sz w:val="22"/>
          <w:szCs w:val="22"/>
        </w:rPr>
        <w:t xml:space="preserve">GOV, 2025b. Health trends and variation in England, 2025 (accessible version). Online] Available at: </w:t>
      </w:r>
      <w:hyperlink r:id="rId16" w:history="1">
        <w:r w:rsidRPr="00143751">
          <w:rPr>
            <w:rStyle w:val="Hyperlink"/>
            <w:rFonts w:ascii="Arial" w:hAnsi="Arial" w:cs="Arial"/>
            <w:color w:val="0D0D0D" w:themeColor="text1" w:themeTint="F2"/>
            <w:sz w:val="22"/>
            <w:szCs w:val="22"/>
            <w:u w:val="none"/>
          </w:rPr>
          <w:t>https://www.gov.uk/government/publications/health-trends-and-variation-in-england-2025-a-chief-medical-officer-report/health-trends-and-variation-in-england-2025-accessible-version</w:t>
        </w:r>
      </w:hyperlink>
      <w:r w:rsidRPr="00143751">
        <w:rPr>
          <w:rFonts w:ascii="Arial" w:hAnsi="Arial" w:cs="Arial"/>
          <w:color w:val="0D0D0D" w:themeColor="text1" w:themeTint="F2"/>
          <w:sz w:val="22"/>
          <w:szCs w:val="22"/>
        </w:rPr>
        <w:t xml:space="preserve"> [Accessed on 4th August 2026]</w:t>
      </w:r>
    </w:p>
    <w:p w14:paraId="3DAD2E1A"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Hepburn, J., Williams, L. and McCann, L., 2025. Barriers to and facilitators of digital health technology adoption among older adults with chronic diseases: updated systematic review. </w:t>
      </w:r>
      <w:r w:rsidRPr="00143751">
        <w:rPr>
          <w:rFonts w:ascii="Arial" w:hAnsi="Arial" w:cs="Arial"/>
          <w:i/>
          <w:iCs/>
          <w:color w:val="0D0D0D" w:themeColor="text1" w:themeTint="F2"/>
          <w:sz w:val="22"/>
          <w:szCs w:val="22"/>
          <w:shd w:val="clear" w:color="auto" w:fill="FFFFFF"/>
        </w:rPr>
        <w:t>JMIR aging</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8</w:t>
      </w:r>
      <w:r w:rsidRPr="00143751">
        <w:rPr>
          <w:rFonts w:ascii="Arial" w:hAnsi="Arial" w:cs="Arial"/>
          <w:color w:val="0D0D0D" w:themeColor="text1" w:themeTint="F2"/>
          <w:sz w:val="22"/>
          <w:szCs w:val="22"/>
          <w:shd w:val="clear" w:color="auto" w:fill="FFFFFF"/>
        </w:rPr>
        <w:t>, p.e80000.</w:t>
      </w:r>
    </w:p>
    <w:p w14:paraId="03AA8366"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proofErr w:type="spellStart"/>
      <w:r w:rsidRPr="00143751">
        <w:rPr>
          <w:rFonts w:ascii="Arial" w:hAnsi="Arial" w:cs="Arial"/>
          <w:color w:val="0D0D0D" w:themeColor="text1" w:themeTint="F2"/>
          <w:sz w:val="22"/>
          <w:szCs w:val="22"/>
          <w:shd w:val="clear" w:color="auto" w:fill="FFFFFF"/>
        </w:rPr>
        <w:t>Hossan</w:t>
      </w:r>
      <w:proofErr w:type="spellEnd"/>
      <w:r w:rsidRPr="00143751">
        <w:rPr>
          <w:rFonts w:ascii="Arial" w:hAnsi="Arial" w:cs="Arial"/>
          <w:color w:val="0D0D0D" w:themeColor="text1" w:themeTint="F2"/>
          <w:sz w:val="22"/>
          <w:szCs w:val="22"/>
          <w:shd w:val="clear" w:color="auto" w:fill="FFFFFF"/>
        </w:rPr>
        <w:t xml:space="preserve">, D., </w:t>
      </w:r>
      <w:proofErr w:type="spellStart"/>
      <w:r w:rsidRPr="00143751">
        <w:rPr>
          <w:rFonts w:ascii="Arial" w:hAnsi="Arial" w:cs="Arial"/>
          <w:color w:val="0D0D0D" w:themeColor="text1" w:themeTint="F2"/>
          <w:sz w:val="22"/>
          <w:szCs w:val="22"/>
          <w:shd w:val="clear" w:color="auto" w:fill="FFFFFF"/>
        </w:rPr>
        <w:t>Dato’Mansor</w:t>
      </w:r>
      <w:proofErr w:type="spellEnd"/>
      <w:r w:rsidRPr="00143751">
        <w:rPr>
          <w:rFonts w:ascii="Arial" w:hAnsi="Arial" w:cs="Arial"/>
          <w:color w:val="0D0D0D" w:themeColor="text1" w:themeTint="F2"/>
          <w:sz w:val="22"/>
          <w:szCs w:val="22"/>
          <w:shd w:val="clear" w:color="auto" w:fill="FFFFFF"/>
        </w:rPr>
        <w:t xml:space="preserve">, Z. and </w:t>
      </w:r>
      <w:proofErr w:type="spellStart"/>
      <w:r w:rsidRPr="00143751">
        <w:rPr>
          <w:rFonts w:ascii="Arial" w:hAnsi="Arial" w:cs="Arial"/>
          <w:color w:val="0D0D0D" w:themeColor="text1" w:themeTint="F2"/>
          <w:sz w:val="22"/>
          <w:szCs w:val="22"/>
          <w:shd w:val="clear" w:color="auto" w:fill="FFFFFF"/>
        </w:rPr>
        <w:t>Jaharuddin</w:t>
      </w:r>
      <w:proofErr w:type="spellEnd"/>
      <w:r w:rsidRPr="00143751">
        <w:rPr>
          <w:rFonts w:ascii="Arial" w:hAnsi="Arial" w:cs="Arial"/>
          <w:color w:val="0D0D0D" w:themeColor="text1" w:themeTint="F2"/>
          <w:sz w:val="22"/>
          <w:szCs w:val="22"/>
          <w:shd w:val="clear" w:color="auto" w:fill="FFFFFF"/>
        </w:rPr>
        <w:t>, N.S., 2023. Research population and sampling in quantitative study. </w:t>
      </w:r>
      <w:r w:rsidRPr="00143751">
        <w:rPr>
          <w:rFonts w:ascii="Arial" w:hAnsi="Arial" w:cs="Arial"/>
          <w:i/>
          <w:iCs/>
          <w:color w:val="0D0D0D" w:themeColor="text1" w:themeTint="F2"/>
          <w:sz w:val="22"/>
          <w:szCs w:val="22"/>
          <w:shd w:val="clear" w:color="auto" w:fill="FFFFFF"/>
        </w:rPr>
        <w:t xml:space="preserve">International Journal of Business and </w:t>
      </w:r>
      <w:proofErr w:type="spellStart"/>
      <w:r w:rsidRPr="00143751">
        <w:rPr>
          <w:rFonts w:ascii="Arial" w:hAnsi="Arial" w:cs="Arial"/>
          <w:i/>
          <w:iCs/>
          <w:color w:val="0D0D0D" w:themeColor="text1" w:themeTint="F2"/>
          <w:sz w:val="22"/>
          <w:szCs w:val="22"/>
          <w:shd w:val="clear" w:color="auto" w:fill="FFFFFF"/>
        </w:rPr>
        <w:t>Technopreneurship</w:t>
      </w:r>
      <w:proofErr w:type="spellEnd"/>
      <w:r w:rsidRPr="00143751">
        <w:rPr>
          <w:rFonts w:ascii="Arial" w:hAnsi="Arial" w:cs="Arial"/>
          <w:i/>
          <w:iCs/>
          <w:color w:val="0D0D0D" w:themeColor="text1" w:themeTint="F2"/>
          <w:sz w:val="22"/>
          <w:szCs w:val="22"/>
          <w:shd w:val="clear" w:color="auto" w:fill="FFFFFF"/>
        </w:rPr>
        <w:t xml:space="preserve"> (IJBT)</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13</w:t>
      </w:r>
      <w:r w:rsidRPr="00143751">
        <w:rPr>
          <w:rFonts w:ascii="Arial" w:hAnsi="Arial" w:cs="Arial"/>
          <w:color w:val="0D0D0D" w:themeColor="text1" w:themeTint="F2"/>
          <w:sz w:val="22"/>
          <w:szCs w:val="22"/>
          <w:shd w:val="clear" w:color="auto" w:fill="FFFFFF"/>
        </w:rPr>
        <w:t>(3), pp.209-222.</w:t>
      </w:r>
    </w:p>
    <w:p w14:paraId="1AC78B8A" w14:textId="77777777" w:rsidR="00836E30" w:rsidRPr="00143751" w:rsidRDefault="00836E30" w:rsidP="00584FF8">
      <w:pPr>
        <w:spacing w:line="360" w:lineRule="auto"/>
        <w:jc w:val="both"/>
        <w:rPr>
          <w:rFonts w:ascii="Arial" w:hAnsi="Arial" w:cs="Arial"/>
          <w:color w:val="0D0D0D" w:themeColor="text1" w:themeTint="F2"/>
        </w:rPr>
      </w:pPr>
      <w:proofErr w:type="spellStart"/>
      <w:r w:rsidRPr="00143751">
        <w:rPr>
          <w:rFonts w:ascii="Arial" w:hAnsi="Arial" w:cs="Arial"/>
          <w:color w:val="0D0D0D" w:themeColor="text1" w:themeTint="F2"/>
          <w:sz w:val="22"/>
          <w:szCs w:val="22"/>
          <w:shd w:val="clear" w:color="auto" w:fill="FFFFFF"/>
        </w:rPr>
        <w:t>Khoa</w:t>
      </w:r>
      <w:proofErr w:type="spellEnd"/>
      <w:r w:rsidRPr="00143751">
        <w:rPr>
          <w:rFonts w:ascii="Arial" w:hAnsi="Arial" w:cs="Arial"/>
          <w:color w:val="0D0D0D" w:themeColor="text1" w:themeTint="F2"/>
          <w:sz w:val="22"/>
          <w:szCs w:val="22"/>
          <w:shd w:val="clear" w:color="auto" w:fill="FFFFFF"/>
        </w:rPr>
        <w:t xml:space="preserve">, B.T., Hung, B.P. and </w:t>
      </w:r>
      <w:proofErr w:type="spellStart"/>
      <w:r w:rsidRPr="00143751">
        <w:rPr>
          <w:rFonts w:ascii="Arial" w:hAnsi="Arial" w:cs="Arial"/>
          <w:color w:val="0D0D0D" w:themeColor="text1" w:themeTint="F2"/>
          <w:sz w:val="22"/>
          <w:szCs w:val="22"/>
          <w:shd w:val="clear" w:color="auto" w:fill="FFFFFF"/>
        </w:rPr>
        <w:t>Hejsalem</w:t>
      </w:r>
      <w:proofErr w:type="spellEnd"/>
      <w:r w:rsidRPr="00143751">
        <w:rPr>
          <w:rFonts w:ascii="Arial" w:hAnsi="Arial" w:cs="Arial"/>
          <w:color w:val="0D0D0D" w:themeColor="text1" w:themeTint="F2"/>
          <w:sz w:val="22"/>
          <w:szCs w:val="22"/>
          <w:shd w:val="clear" w:color="auto" w:fill="FFFFFF"/>
        </w:rPr>
        <w:t>-Brahmi, M., 2023. Qualitative research in social sciences: data collection, data analysis and report writing. </w:t>
      </w:r>
      <w:r w:rsidRPr="00143751">
        <w:rPr>
          <w:rFonts w:ascii="Arial" w:hAnsi="Arial" w:cs="Arial"/>
          <w:i/>
          <w:iCs/>
          <w:color w:val="0D0D0D" w:themeColor="text1" w:themeTint="F2"/>
          <w:sz w:val="22"/>
          <w:szCs w:val="22"/>
          <w:shd w:val="clear" w:color="auto" w:fill="FFFFFF"/>
        </w:rPr>
        <w:t>International Journal of Public Sector Performance Management</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12</w:t>
      </w:r>
      <w:r w:rsidRPr="00143751">
        <w:rPr>
          <w:rFonts w:ascii="Arial" w:hAnsi="Arial" w:cs="Arial"/>
          <w:color w:val="0D0D0D" w:themeColor="text1" w:themeTint="F2"/>
          <w:sz w:val="22"/>
          <w:szCs w:val="22"/>
          <w:shd w:val="clear" w:color="auto" w:fill="FFFFFF"/>
        </w:rPr>
        <w:t>(1-2), pp.187-209.</w:t>
      </w:r>
    </w:p>
    <w:p w14:paraId="7440F36A" w14:textId="77777777" w:rsidR="00836E30" w:rsidRPr="00143751" w:rsidRDefault="00836E30" w:rsidP="00584FF8">
      <w:pPr>
        <w:spacing w:line="360" w:lineRule="auto"/>
        <w:jc w:val="both"/>
        <w:rPr>
          <w:rFonts w:ascii="Arial" w:hAnsi="Arial" w:cs="Arial"/>
          <w:color w:val="0D0D0D" w:themeColor="text1" w:themeTint="F2"/>
          <w:shd w:val="clear" w:color="auto" w:fill="FFFFFF"/>
        </w:rPr>
      </w:pPr>
      <w:r w:rsidRPr="00143751">
        <w:rPr>
          <w:rFonts w:ascii="Arial" w:hAnsi="Arial" w:cs="Arial"/>
          <w:color w:val="0D0D0D" w:themeColor="text1" w:themeTint="F2"/>
          <w:sz w:val="22"/>
          <w:szCs w:val="22"/>
          <w:shd w:val="clear" w:color="auto" w:fill="FFFFFF"/>
        </w:rPr>
        <w:t xml:space="preserve">Kumar, S. and </w:t>
      </w:r>
      <w:proofErr w:type="spellStart"/>
      <w:r w:rsidRPr="00143751">
        <w:rPr>
          <w:rFonts w:ascii="Arial" w:hAnsi="Arial" w:cs="Arial"/>
          <w:color w:val="0D0D0D" w:themeColor="text1" w:themeTint="F2"/>
          <w:sz w:val="22"/>
          <w:szCs w:val="22"/>
          <w:shd w:val="clear" w:color="auto" w:fill="FFFFFF"/>
        </w:rPr>
        <w:t>Ujire</w:t>
      </w:r>
      <w:proofErr w:type="spellEnd"/>
      <w:r w:rsidRPr="00143751">
        <w:rPr>
          <w:rFonts w:ascii="Arial" w:hAnsi="Arial" w:cs="Arial"/>
          <w:color w:val="0D0D0D" w:themeColor="text1" w:themeTint="F2"/>
          <w:sz w:val="22"/>
          <w:szCs w:val="22"/>
          <w:shd w:val="clear" w:color="auto" w:fill="FFFFFF"/>
        </w:rPr>
        <w:t>, D.K., 2024. Inductive and deductive approaches to qualitative research. </w:t>
      </w:r>
      <w:r w:rsidRPr="00143751">
        <w:rPr>
          <w:rFonts w:ascii="Arial" w:hAnsi="Arial" w:cs="Arial"/>
          <w:i/>
          <w:iCs/>
          <w:color w:val="0D0D0D" w:themeColor="text1" w:themeTint="F2"/>
          <w:sz w:val="22"/>
          <w:szCs w:val="22"/>
          <w:shd w:val="clear" w:color="auto" w:fill="FFFFFF"/>
        </w:rPr>
        <w:t>International Journal of Multidisciplinary Educational Research</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13</w:t>
      </w:r>
      <w:r w:rsidRPr="00143751">
        <w:rPr>
          <w:rFonts w:ascii="Arial" w:hAnsi="Arial" w:cs="Arial"/>
          <w:color w:val="0D0D0D" w:themeColor="text1" w:themeTint="F2"/>
          <w:sz w:val="22"/>
          <w:szCs w:val="22"/>
          <w:shd w:val="clear" w:color="auto" w:fill="FFFFFF"/>
        </w:rPr>
        <w:t>(1), pp.58-63.</w:t>
      </w:r>
    </w:p>
    <w:p w14:paraId="7AC711E1"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proofErr w:type="spellStart"/>
      <w:r w:rsidRPr="00143751">
        <w:rPr>
          <w:rFonts w:ascii="Arial" w:hAnsi="Arial" w:cs="Arial"/>
          <w:color w:val="0D0D0D" w:themeColor="text1" w:themeTint="F2"/>
          <w:sz w:val="22"/>
          <w:szCs w:val="22"/>
          <w:shd w:val="clear" w:color="auto" w:fill="FFFFFF"/>
        </w:rPr>
        <w:t>Micocci</w:t>
      </w:r>
      <w:proofErr w:type="spellEnd"/>
      <w:r w:rsidRPr="00143751">
        <w:rPr>
          <w:rFonts w:ascii="Arial" w:hAnsi="Arial" w:cs="Arial"/>
          <w:color w:val="0D0D0D" w:themeColor="text1" w:themeTint="F2"/>
          <w:sz w:val="22"/>
          <w:szCs w:val="22"/>
          <w:shd w:val="clear" w:color="auto" w:fill="FFFFFF"/>
        </w:rPr>
        <w:t>, M., Butt, O., Zhou, S., El-</w:t>
      </w:r>
      <w:proofErr w:type="spellStart"/>
      <w:r w:rsidRPr="00143751">
        <w:rPr>
          <w:rFonts w:ascii="Arial" w:hAnsi="Arial" w:cs="Arial"/>
          <w:color w:val="0D0D0D" w:themeColor="text1" w:themeTint="F2"/>
          <w:sz w:val="22"/>
          <w:szCs w:val="22"/>
          <w:shd w:val="clear" w:color="auto" w:fill="FFFFFF"/>
        </w:rPr>
        <w:t>Osta</w:t>
      </w:r>
      <w:proofErr w:type="spellEnd"/>
      <w:r w:rsidRPr="00143751">
        <w:rPr>
          <w:rFonts w:ascii="Arial" w:hAnsi="Arial" w:cs="Arial"/>
          <w:color w:val="0D0D0D" w:themeColor="text1" w:themeTint="F2"/>
          <w:sz w:val="22"/>
          <w:szCs w:val="22"/>
          <w:shd w:val="clear" w:color="auto" w:fill="FFFFFF"/>
        </w:rPr>
        <w:t>, A., Buckle, P. and Hanna, G.B., 2026. Integrating remote blood pressure monitoring into NHS primary care: a human factors perspective. </w:t>
      </w:r>
      <w:r w:rsidRPr="00143751">
        <w:rPr>
          <w:rFonts w:ascii="Arial" w:hAnsi="Arial" w:cs="Arial"/>
          <w:i/>
          <w:iCs/>
          <w:color w:val="0D0D0D" w:themeColor="text1" w:themeTint="F2"/>
          <w:sz w:val="22"/>
          <w:szCs w:val="22"/>
          <w:shd w:val="clear" w:color="auto" w:fill="FFFFFF"/>
        </w:rPr>
        <w:t>Frontiers in Digital Health</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8</w:t>
      </w:r>
      <w:r w:rsidRPr="00143751">
        <w:rPr>
          <w:rFonts w:ascii="Arial" w:hAnsi="Arial" w:cs="Arial"/>
          <w:color w:val="0D0D0D" w:themeColor="text1" w:themeTint="F2"/>
          <w:sz w:val="22"/>
          <w:szCs w:val="22"/>
          <w:shd w:val="clear" w:color="auto" w:fill="FFFFFF"/>
        </w:rPr>
        <w:t>, p.1697787.</w:t>
      </w:r>
    </w:p>
    <w:p w14:paraId="4205E5FD"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 xml:space="preserve">Mohammed, S., Muhammed, H., Shetty, T.V. and </w:t>
      </w:r>
      <w:proofErr w:type="spellStart"/>
      <w:r w:rsidRPr="00143751">
        <w:rPr>
          <w:rFonts w:ascii="Arial" w:hAnsi="Arial" w:cs="Arial"/>
          <w:color w:val="0D0D0D" w:themeColor="text1" w:themeTint="F2"/>
          <w:sz w:val="22"/>
          <w:szCs w:val="22"/>
          <w:shd w:val="clear" w:color="auto" w:fill="FFFFFF"/>
        </w:rPr>
        <w:t>Shanavas</w:t>
      </w:r>
      <w:proofErr w:type="spellEnd"/>
      <w:r w:rsidRPr="00143751">
        <w:rPr>
          <w:rFonts w:ascii="Arial" w:hAnsi="Arial" w:cs="Arial"/>
          <w:color w:val="0D0D0D" w:themeColor="text1" w:themeTint="F2"/>
          <w:sz w:val="22"/>
          <w:szCs w:val="22"/>
          <w:shd w:val="clear" w:color="auto" w:fill="FFFFFF"/>
        </w:rPr>
        <w:t xml:space="preserve">, S., 2025. Micro and </w:t>
      </w:r>
      <w:proofErr w:type="spellStart"/>
      <w:r w:rsidRPr="00143751">
        <w:rPr>
          <w:rFonts w:ascii="Arial" w:hAnsi="Arial" w:cs="Arial"/>
          <w:color w:val="0D0D0D" w:themeColor="text1" w:themeTint="F2"/>
          <w:sz w:val="22"/>
          <w:szCs w:val="22"/>
          <w:shd w:val="clear" w:color="auto" w:fill="FFFFFF"/>
        </w:rPr>
        <w:t>macrovascular</w:t>
      </w:r>
      <w:proofErr w:type="spellEnd"/>
      <w:r w:rsidRPr="00143751">
        <w:rPr>
          <w:rFonts w:ascii="Arial" w:hAnsi="Arial" w:cs="Arial"/>
          <w:color w:val="0D0D0D" w:themeColor="text1" w:themeTint="F2"/>
          <w:sz w:val="22"/>
          <w:szCs w:val="22"/>
          <w:shd w:val="clear" w:color="auto" w:fill="FFFFFF"/>
        </w:rPr>
        <w:t xml:space="preserve"> complications in diabetes mellitus. </w:t>
      </w:r>
      <w:r w:rsidRPr="00143751">
        <w:rPr>
          <w:rFonts w:ascii="Arial" w:hAnsi="Arial" w:cs="Arial"/>
          <w:i/>
          <w:iCs/>
          <w:color w:val="0D0D0D" w:themeColor="text1" w:themeTint="F2"/>
          <w:sz w:val="22"/>
          <w:szCs w:val="22"/>
          <w:shd w:val="clear" w:color="auto" w:fill="FFFFFF"/>
        </w:rPr>
        <w:t>Yangtze Medicine</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9</w:t>
      </w:r>
      <w:r w:rsidRPr="00143751">
        <w:rPr>
          <w:rFonts w:ascii="Arial" w:hAnsi="Arial" w:cs="Arial"/>
          <w:color w:val="0D0D0D" w:themeColor="text1" w:themeTint="F2"/>
          <w:sz w:val="22"/>
          <w:szCs w:val="22"/>
          <w:shd w:val="clear" w:color="auto" w:fill="FFFFFF"/>
        </w:rPr>
        <w:t>(1), pp.96-123.</w:t>
      </w:r>
    </w:p>
    <w:p w14:paraId="7755017C" w14:textId="77777777" w:rsidR="00836E30" w:rsidRPr="00143751" w:rsidRDefault="00836E30" w:rsidP="00584FF8">
      <w:pPr>
        <w:spacing w:line="360" w:lineRule="auto"/>
        <w:jc w:val="both"/>
        <w:rPr>
          <w:rFonts w:ascii="Arial" w:hAnsi="Arial" w:cs="Arial"/>
          <w:color w:val="0D0D0D" w:themeColor="text1" w:themeTint="F2"/>
          <w:sz w:val="28"/>
          <w:szCs w:val="28"/>
        </w:rPr>
      </w:pPr>
      <w:proofErr w:type="spellStart"/>
      <w:r w:rsidRPr="00143751">
        <w:rPr>
          <w:rFonts w:ascii="Arial" w:hAnsi="Arial" w:cs="Arial"/>
          <w:color w:val="0D0D0D" w:themeColor="text1" w:themeTint="F2"/>
          <w:sz w:val="22"/>
          <w:szCs w:val="22"/>
          <w:shd w:val="clear" w:color="auto" w:fill="FFFFFF"/>
        </w:rPr>
        <w:t>Mwita</w:t>
      </w:r>
      <w:proofErr w:type="spellEnd"/>
      <w:r w:rsidRPr="00143751">
        <w:rPr>
          <w:rFonts w:ascii="Arial" w:hAnsi="Arial" w:cs="Arial"/>
          <w:color w:val="0D0D0D" w:themeColor="text1" w:themeTint="F2"/>
          <w:sz w:val="22"/>
          <w:szCs w:val="22"/>
          <w:shd w:val="clear" w:color="auto" w:fill="FFFFFF"/>
        </w:rPr>
        <w:t>, K., 2022. Factors to consider when choosing data collection methods. </w:t>
      </w:r>
      <w:r w:rsidRPr="00143751">
        <w:rPr>
          <w:rFonts w:ascii="Arial" w:hAnsi="Arial" w:cs="Arial"/>
          <w:i/>
          <w:iCs/>
          <w:color w:val="0D0D0D" w:themeColor="text1" w:themeTint="F2"/>
          <w:sz w:val="22"/>
          <w:szCs w:val="22"/>
          <w:shd w:val="clear" w:color="auto" w:fill="FFFFFF"/>
        </w:rPr>
        <w:t>International Journal of Research in Business and Social Science (2147-4478)</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11</w:t>
      </w:r>
      <w:r w:rsidRPr="00143751">
        <w:rPr>
          <w:rFonts w:ascii="Arial" w:hAnsi="Arial" w:cs="Arial"/>
          <w:color w:val="0D0D0D" w:themeColor="text1" w:themeTint="F2"/>
          <w:sz w:val="22"/>
          <w:szCs w:val="22"/>
          <w:shd w:val="clear" w:color="auto" w:fill="FFFFFF"/>
        </w:rPr>
        <w:t>(5), pp.532-538.</w:t>
      </w:r>
    </w:p>
    <w:p w14:paraId="1326E571" w14:textId="77777777" w:rsidR="00836E30" w:rsidRPr="00143751" w:rsidRDefault="00836E30" w:rsidP="00584FF8">
      <w:pPr>
        <w:spacing w:line="360" w:lineRule="auto"/>
        <w:jc w:val="both"/>
        <w:rPr>
          <w:rFonts w:ascii="Arial" w:hAnsi="Arial" w:cs="Arial"/>
          <w:color w:val="0D0D0D" w:themeColor="text1" w:themeTint="F2"/>
          <w:sz w:val="22"/>
          <w:szCs w:val="22"/>
        </w:rPr>
      </w:pPr>
      <w:r w:rsidRPr="00143751">
        <w:rPr>
          <w:rFonts w:ascii="Arial" w:hAnsi="Arial" w:cs="Arial"/>
          <w:color w:val="0D0D0D" w:themeColor="text1" w:themeTint="F2"/>
          <w:sz w:val="22"/>
          <w:szCs w:val="22"/>
        </w:rPr>
        <w:t xml:space="preserve">NHS UK, 2023. National Diabetes Audit 2021-22, Report 1: Care Processes and Treatment Targets, Overview. </w:t>
      </w:r>
      <w:hyperlink r:id="rId17" w:history="1">
        <w:r w:rsidRPr="00143751">
          <w:rPr>
            <w:rFonts w:ascii="Arial" w:hAnsi="Arial" w:cs="Arial"/>
            <w:color w:val="0D0D0D" w:themeColor="text1" w:themeTint="F2"/>
            <w:sz w:val="22"/>
            <w:szCs w:val="22"/>
          </w:rPr>
          <w:t xml:space="preserve">[Online] Available at: </w:t>
        </w:r>
        <w:r w:rsidRPr="00143751">
          <w:rPr>
            <w:rStyle w:val="Hyperlink"/>
            <w:rFonts w:ascii="Arial" w:hAnsi="Arial" w:cs="Arial"/>
            <w:color w:val="0D0D0D" w:themeColor="text1" w:themeTint="F2"/>
            <w:sz w:val="22"/>
            <w:szCs w:val="22"/>
            <w:u w:val="none"/>
          </w:rPr>
          <w:t>https://digital.nhs.uk/data-and-information/publications/statistical/national-diabetes-audit/core-1-2021-22-overview</w:t>
        </w:r>
      </w:hyperlink>
      <w:r w:rsidRPr="00143751">
        <w:rPr>
          <w:rFonts w:ascii="Arial" w:hAnsi="Arial" w:cs="Arial"/>
          <w:color w:val="0D0D0D" w:themeColor="text1" w:themeTint="F2"/>
          <w:sz w:val="22"/>
          <w:szCs w:val="22"/>
        </w:rPr>
        <w:t xml:space="preserve"> [Accessed on 4th August 2026]</w:t>
      </w:r>
    </w:p>
    <w:p w14:paraId="563CC909" w14:textId="77777777" w:rsidR="00836E30" w:rsidRPr="00143751" w:rsidRDefault="00836E30" w:rsidP="00584FF8">
      <w:pPr>
        <w:spacing w:line="360" w:lineRule="auto"/>
        <w:jc w:val="both"/>
        <w:rPr>
          <w:rFonts w:ascii="Arial" w:hAnsi="Arial" w:cs="Arial"/>
          <w:color w:val="0D0D0D" w:themeColor="text1" w:themeTint="F2"/>
          <w:sz w:val="22"/>
          <w:szCs w:val="22"/>
        </w:rPr>
      </w:pPr>
      <w:r w:rsidRPr="00143751">
        <w:rPr>
          <w:rFonts w:ascii="Arial" w:hAnsi="Arial" w:cs="Arial"/>
          <w:color w:val="0D0D0D" w:themeColor="text1" w:themeTint="F2"/>
          <w:sz w:val="22"/>
          <w:szCs w:val="22"/>
        </w:rPr>
        <w:t xml:space="preserve">NHS UK, 2026. Health Survey for England, 2024. [Online] Available at: </w:t>
      </w:r>
      <w:hyperlink r:id="rId18" w:history="1">
        <w:r w:rsidRPr="00143751">
          <w:rPr>
            <w:rStyle w:val="Hyperlink"/>
            <w:rFonts w:ascii="Arial" w:hAnsi="Arial" w:cs="Arial"/>
            <w:color w:val="0D0D0D" w:themeColor="text1" w:themeTint="F2"/>
            <w:sz w:val="22"/>
            <w:szCs w:val="22"/>
            <w:u w:val="none"/>
          </w:rPr>
          <w:t>https://digital.nhs.uk/data-and-information/publications/statistical/health-survey-for-england/2024/adults-health</w:t>
        </w:r>
      </w:hyperlink>
      <w:r w:rsidRPr="00143751">
        <w:rPr>
          <w:rFonts w:ascii="Arial" w:hAnsi="Arial" w:cs="Arial"/>
          <w:color w:val="0D0D0D" w:themeColor="text1" w:themeTint="F2"/>
          <w:sz w:val="22"/>
          <w:szCs w:val="22"/>
        </w:rPr>
        <w:t xml:space="preserve"> [Accessed on 4th August 2026]</w:t>
      </w:r>
    </w:p>
    <w:p w14:paraId="74F945D1"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 xml:space="preserve">Phillips, M.J., 2023. Towards a social constructionist, </w:t>
      </w:r>
      <w:proofErr w:type="spellStart"/>
      <w:r w:rsidRPr="00143751">
        <w:rPr>
          <w:rFonts w:ascii="Arial" w:hAnsi="Arial" w:cs="Arial"/>
          <w:color w:val="0D0D0D" w:themeColor="text1" w:themeTint="F2"/>
          <w:sz w:val="22"/>
          <w:szCs w:val="22"/>
          <w:shd w:val="clear" w:color="auto" w:fill="FFFFFF"/>
        </w:rPr>
        <w:t>criticalist</w:t>
      </w:r>
      <w:proofErr w:type="spellEnd"/>
      <w:r w:rsidRPr="00143751">
        <w:rPr>
          <w:rFonts w:ascii="Arial" w:hAnsi="Arial" w:cs="Arial"/>
          <w:color w:val="0D0D0D" w:themeColor="text1" w:themeTint="F2"/>
          <w:sz w:val="22"/>
          <w:szCs w:val="22"/>
          <w:shd w:val="clear" w:color="auto" w:fill="FFFFFF"/>
        </w:rPr>
        <w:t xml:space="preserve">, </w:t>
      </w:r>
      <w:proofErr w:type="spellStart"/>
      <w:r w:rsidRPr="00143751">
        <w:rPr>
          <w:rFonts w:ascii="Arial" w:hAnsi="Arial" w:cs="Arial"/>
          <w:color w:val="0D0D0D" w:themeColor="text1" w:themeTint="F2"/>
          <w:sz w:val="22"/>
          <w:szCs w:val="22"/>
          <w:shd w:val="clear" w:color="auto" w:fill="FFFFFF"/>
        </w:rPr>
        <w:t>Foucauldian</w:t>
      </w:r>
      <w:proofErr w:type="spellEnd"/>
      <w:r w:rsidRPr="00143751">
        <w:rPr>
          <w:rFonts w:ascii="Arial" w:hAnsi="Arial" w:cs="Arial"/>
          <w:color w:val="0D0D0D" w:themeColor="text1" w:themeTint="F2"/>
          <w:sz w:val="22"/>
          <w:szCs w:val="22"/>
          <w:shd w:val="clear" w:color="auto" w:fill="FFFFFF"/>
        </w:rPr>
        <w:t>-informed qualitative research approach: Opportunities and challenges. </w:t>
      </w:r>
      <w:r w:rsidRPr="00143751">
        <w:rPr>
          <w:rFonts w:ascii="Arial" w:hAnsi="Arial" w:cs="Arial"/>
          <w:i/>
          <w:iCs/>
          <w:color w:val="0D0D0D" w:themeColor="text1" w:themeTint="F2"/>
          <w:sz w:val="22"/>
          <w:szCs w:val="22"/>
          <w:shd w:val="clear" w:color="auto" w:fill="FFFFFF"/>
        </w:rPr>
        <w:t>SN Social Sciences</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3</w:t>
      </w:r>
      <w:r w:rsidRPr="00143751">
        <w:rPr>
          <w:rFonts w:ascii="Arial" w:hAnsi="Arial" w:cs="Arial"/>
          <w:color w:val="0D0D0D" w:themeColor="text1" w:themeTint="F2"/>
          <w:sz w:val="22"/>
          <w:szCs w:val="22"/>
          <w:shd w:val="clear" w:color="auto" w:fill="FFFFFF"/>
        </w:rPr>
        <w:t>(10), p.175.</w:t>
      </w:r>
    </w:p>
    <w:p w14:paraId="19F8642E" w14:textId="77777777" w:rsidR="00836E30" w:rsidRPr="00143751" w:rsidRDefault="00836E30" w:rsidP="00584FF8">
      <w:pPr>
        <w:spacing w:line="360" w:lineRule="auto"/>
        <w:jc w:val="both"/>
        <w:rPr>
          <w:rFonts w:ascii="Arial" w:hAnsi="Arial" w:cs="Arial"/>
          <w:color w:val="0D0D0D" w:themeColor="text1" w:themeTint="F2"/>
          <w:sz w:val="32"/>
          <w:szCs w:val="32"/>
        </w:rPr>
      </w:pPr>
      <w:r w:rsidRPr="00143751">
        <w:rPr>
          <w:rFonts w:ascii="Arial" w:hAnsi="Arial" w:cs="Arial"/>
          <w:color w:val="0D0D0D" w:themeColor="text1" w:themeTint="F2"/>
          <w:sz w:val="22"/>
          <w:szCs w:val="22"/>
          <w:shd w:val="clear" w:color="auto" w:fill="FFFFFF"/>
        </w:rPr>
        <w:t>Powell, D. and Godfrey, A., 2023. Considerations for integrating wearables into the everyday healthcare practice. </w:t>
      </w:r>
      <w:r w:rsidRPr="00143751">
        <w:rPr>
          <w:rFonts w:ascii="Arial" w:hAnsi="Arial" w:cs="Arial"/>
          <w:i/>
          <w:iCs/>
          <w:color w:val="0D0D0D" w:themeColor="text1" w:themeTint="F2"/>
          <w:sz w:val="22"/>
          <w:szCs w:val="22"/>
          <w:shd w:val="clear" w:color="auto" w:fill="FFFFFF"/>
        </w:rPr>
        <w:t>NPJ Digital Medicine</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6</w:t>
      </w:r>
      <w:r w:rsidRPr="00143751">
        <w:rPr>
          <w:rFonts w:ascii="Arial" w:hAnsi="Arial" w:cs="Arial"/>
          <w:color w:val="0D0D0D" w:themeColor="text1" w:themeTint="F2"/>
          <w:sz w:val="22"/>
          <w:szCs w:val="22"/>
          <w:shd w:val="clear" w:color="auto" w:fill="FFFFFF"/>
        </w:rPr>
        <w:t>(1), p.70.</w:t>
      </w:r>
    </w:p>
    <w:p w14:paraId="6927F8EC"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 xml:space="preserve">Raj, R., Mishra, R., </w:t>
      </w:r>
      <w:proofErr w:type="spellStart"/>
      <w:r w:rsidRPr="00143751">
        <w:rPr>
          <w:rFonts w:ascii="Arial" w:hAnsi="Arial" w:cs="Arial"/>
          <w:color w:val="0D0D0D" w:themeColor="text1" w:themeTint="F2"/>
          <w:sz w:val="22"/>
          <w:szCs w:val="22"/>
          <w:shd w:val="clear" w:color="auto" w:fill="FFFFFF"/>
        </w:rPr>
        <w:t>Jha</w:t>
      </w:r>
      <w:proofErr w:type="spellEnd"/>
      <w:r w:rsidRPr="00143751">
        <w:rPr>
          <w:rFonts w:ascii="Arial" w:hAnsi="Arial" w:cs="Arial"/>
          <w:color w:val="0D0D0D" w:themeColor="text1" w:themeTint="F2"/>
          <w:sz w:val="22"/>
          <w:szCs w:val="22"/>
          <w:shd w:val="clear" w:color="auto" w:fill="FFFFFF"/>
        </w:rPr>
        <w:t xml:space="preserve">, N., Joshi, V., Correa, R. and Kern, P.A., 2022. </w:t>
      </w:r>
      <w:r w:rsidRPr="00143751">
        <w:rPr>
          <w:rFonts w:ascii="Arial" w:hAnsi="Arial" w:cs="Arial"/>
          <w:i/>
          <w:iCs/>
          <w:color w:val="0D0D0D" w:themeColor="text1" w:themeTint="F2"/>
          <w:sz w:val="22"/>
          <w:szCs w:val="22"/>
          <w:shd w:val="clear" w:color="auto" w:fill="FFFFFF"/>
        </w:rPr>
        <w:t>Time in range, as measured by continuous glucose monitor, as a predictor of microvascular complications in type 2 diabetes: a systematic review. BMJ Open Diabetes Res Care. 2022; 10 (1): e002573</w:t>
      </w:r>
      <w:r w:rsidRPr="00143751">
        <w:rPr>
          <w:rFonts w:ascii="Arial" w:hAnsi="Arial" w:cs="Arial"/>
          <w:color w:val="0D0D0D" w:themeColor="text1" w:themeTint="F2"/>
          <w:sz w:val="22"/>
          <w:szCs w:val="22"/>
          <w:shd w:val="clear" w:color="auto" w:fill="FFFFFF"/>
        </w:rPr>
        <w:t> [online]</w:t>
      </w:r>
    </w:p>
    <w:p w14:paraId="3D856920"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proofErr w:type="spellStart"/>
      <w:r w:rsidRPr="00143751">
        <w:rPr>
          <w:rFonts w:ascii="Arial" w:hAnsi="Arial" w:cs="Arial"/>
          <w:color w:val="0D0D0D" w:themeColor="text1" w:themeTint="F2"/>
          <w:sz w:val="22"/>
          <w:szCs w:val="22"/>
          <w:shd w:val="clear" w:color="auto" w:fill="FFFFFF"/>
        </w:rPr>
        <w:t>Seidu</w:t>
      </w:r>
      <w:proofErr w:type="spellEnd"/>
      <w:r w:rsidRPr="00143751">
        <w:rPr>
          <w:rFonts w:ascii="Arial" w:hAnsi="Arial" w:cs="Arial"/>
          <w:color w:val="0D0D0D" w:themeColor="text1" w:themeTint="F2"/>
          <w:sz w:val="22"/>
          <w:szCs w:val="22"/>
          <w:shd w:val="clear" w:color="auto" w:fill="FFFFFF"/>
        </w:rPr>
        <w:t xml:space="preserve">, S., Avery, L., Bell, H., Brown, P., Diggle, J., Down, S., </w:t>
      </w:r>
      <w:proofErr w:type="spellStart"/>
      <w:r w:rsidRPr="00143751">
        <w:rPr>
          <w:rFonts w:ascii="Arial" w:hAnsi="Arial" w:cs="Arial"/>
          <w:color w:val="0D0D0D" w:themeColor="text1" w:themeTint="F2"/>
          <w:sz w:val="22"/>
          <w:szCs w:val="22"/>
          <w:shd w:val="clear" w:color="auto" w:fill="FFFFFF"/>
        </w:rPr>
        <w:t>Dua</w:t>
      </w:r>
      <w:proofErr w:type="spellEnd"/>
      <w:r w:rsidRPr="00143751">
        <w:rPr>
          <w:rFonts w:ascii="Arial" w:hAnsi="Arial" w:cs="Arial"/>
          <w:color w:val="0D0D0D" w:themeColor="text1" w:themeTint="F2"/>
          <w:sz w:val="22"/>
          <w:szCs w:val="22"/>
          <w:shd w:val="clear" w:color="auto" w:fill="FFFFFF"/>
        </w:rPr>
        <w:t>, R., Holmes, P., Mohan, R., Milne, N. and Min, T., 2025. Removing barriers to management of adults with type 2 diabetes on insulin using continuous glucose monitoring in UK primary care practice: An expert consensus. </w:t>
      </w:r>
      <w:r w:rsidRPr="00143751">
        <w:rPr>
          <w:rFonts w:ascii="Arial" w:hAnsi="Arial" w:cs="Arial"/>
          <w:i/>
          <w:iCs/>
          <w:color w:val="0D0D0D" w:themeColor="text1" w:themeTint="F2"/>
          <w:sz w:val="22"/>
          <w:szCs w:val="22"/>
          <w:shd w:val="clear" w:color="auto" w:fill="FFFFFF"/>
        </w:rPr>
        <w:t>Diabetic Medicine</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42</w:t>
      </w:r>
      <w:r w:rsidRPr="00143751">
        <w:rPr>
          <w:rFonts w:ascii="Arial" w:hAnsi="Arial" w:cs="Arial"/>
          <w:color w:val="0D0D0D" w:themeColor="text1" w:themeTint="F2"/>
          <w:sz w:val="22"/>
          <w:szCs w:val="22"/>
          <w:shd w:val="clear" w:color="auto" w:fill="FFFFFF"/>
        </w:rPr>
        <w:t>(3), p.e15500.</w:t>
      </w:r>
    </w:p>
    <w:p w14:paraId="421EBFF9"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 xml:space="preserve">Skinner, E. and </w:t>
      </w:r>
      <w:proofErr w:type="spellStart"/>
      <w:r w:rsidRPr="00143751">
        <w:rPr>
          <w:rFonts w:ascii="Arial" w:hAnsi="Arial" w:cs="Arial"/>
          <w:color w:val="0D0D0D" w:themeColor="text1" w:themeTint="F2"/>
          <w:sz w:val="22"/>
          <w:szCs w:val="22"/>
          <w:shd w:val="clear" w:color="auto" w:fill="FFFFFF"/>
        </w:rPr>
        <w:t>Dancis</w:t>
      </w:r>
      <w:proofErr w:type="spellEnd"/>
      <w:r w:rsidRPr="00143751">
        <w:rPr>
          <w:rFonts w:ascii="Arial" w:hAnsi="Arial" w:cs="Arial"/>
          <w:color w:val="0D0D0D" w:themeColor="text1" w:themeTint="F2"/>
          <w:sz w:val="22"/>
          <w:szCs w:val="22"/>
          <w:shd w:val="clear" w:color="auto" w:fill="FFFFFF"/>
        </w:rPr>
        <w:t>, J., 2026. Descriptive and explanatory designs. </w:t>
      </w:r>
      <w:r w:rsidRPr="00143751">
        <w:rPr>
          <w:rFonts w:ascii="Arial" w:hAnsi="Arial" w:cs="Arial"/>
          <w:i/>
          <w:iCs/>
          <w:color w:val="0D0D0D" w:themeColor="text1" w:themeTint="F2"/>
          <w:sz w:val="22"/>
          <w:szCs w:val="22"/>
          <w:shd w:val="clear" w:color="auto" w:fill="FFFFFF"/>
        </w:rPr>
        <w:t>Human Development-Revision</w:t>
      </w:r>
      <w:r w:rsidRPr="00143751">
        <w:rPr>
          <w:rFonts w:ascii="Arial" w:hAnsi="Arial" w:cs="Arial"/>
          <w:color w:val="0D0D0D" w:themeColor="text1" w:themeTint="F2"/>
          <w:sz w:val="22"/>
          <w:szCs w:val="22"/>
          <w:shd w:val="clear" w:color="auto" w:fill="FFFFFF"/>
        </w:rPr>
        <w:t>.</w:t>
      </w:r>
    </w:p>
    <w:p w14:paraId="30B79B02"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proofErr w:type="spellStart"/>
      <w:r w:rsidRPr="00143751">
        <w:rPr>
          <w:rFonts w:ascii="Arial" w:hAnsi="Arial" w:cs="Arial"/>
          <w:color w:val="0D0D0D" w:themeColor="text1" w:themeTint="F2"/>
          <w:sz w:val="22"/>
          <w:szCs w:val="22"/>
          <w:shd w:val="clear" w:color="auto" w:fill="FFFFFF"/>
        </w:rPr>
        <w:t>Takona</w:t>
      </w:r>
      <w:proofErr w:type="spellEnd"/>
      <w:r w:rsidRPr="00143751">
        <w:rPr>
          <w:rFonts w:ascii="Arial" w:hAnsi="Arial" w:cs="Arial"/>
          <w:color w:val="0D0D0D" w:themeColor="text1" w:themeTint="F2"/>
          <w:sz w:val="22"/>
          <w:szCs w:val="22"/>
          <w:shd w:val="clear" w:color="auto" w:fill="FFFFFF"/>
        </w:rPr>
        <w:t>, J.P., 2024. Research design: qualitative, quantitative, and mixed methods approaches. </w:t>
      </w:r>
      <w:r w:rsidRPr="00143751">
        <w:rPr>
          <w:rFonts w:ascii="Arial" w:hAnsi="Arial" w:cs="Arial"/>
          <w:i/>
          <w:iCs/>
          <w:color w:val="0D0D0D" w:themeColor="text1" w:themeTint="F2"/>
          <w:sz w:val="22"/>
          <w:szCs w:val="22"/>
          <w:shd w:val="clear" w:color="auto" w:fill="FFFFFF"/>
        </w:rPr>
        <w:t>Quality &amp; Quantity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58</w:t>
      </w:r>
      <w:r w:rsidRPr="00143751">
        <w:rPr>
          <w:rFonts w:ascii="Arial" w:hAnsi="Arial" w:cs="Arial"/>
          <w:color w:val="0D0D0D" w:themeColor="text1" w:themeTint="F2"/>
          <w:sz w:val="22"/>
          <w:szCs w:val="22"/>
          <w:shd w:val="clear" w:color="auto" w:fill="FFFFFF"/>
        </w:rPr>
        <w:t>(1), pp.1011-1013.</w:t>
      </w:r>
    </w:p>
    <w:p w14:paraId="0EC2769E"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 xml:space="preserve">Tobias, D.K., Merino, J., Ahmad, A., Aiken, C., </w:t>
      </w:r>
      <w:proofErr w:type="spellStart"/>
      <w:r w:rsidRPr="00143751">
        <w:rPr>
          <w:rFonts w:ascii="Arial" w:hAnsi="Arial" w:cs="Arial"/>
          <w:color w:val="0D0D0D" w:themeColor="text1" w:themeTint="F2"/>
          <w:sz w:val="22"/>
          <w:szCs w:val="22"/>
          <w:shd w:val="clear" w:color="auto" w:fill="FFFFFF"/>
        </w:rPr>
        <w:t>Benham</w:t>
      </w:r>
      <w:proofErr w:type="spellEnd"/>
      <w:r w:rsidRPr="00143751">
        <w:rPr>
          <w:rFonts w:ascii="Arial" w:hAnsi="Arial" w:cs="Arial"/>
          <w:color w:val="0D0D0D" w:themeColor="text1" w:themeTint="F2"/>
          <w:sz w:val="22"/>
          <w:szCs w:val="22"/>
          <w:shd w:val="clear" w:color="auto" w:fill="FFFFFF"/>
        </w:rPr>
        <w:t xml:space="preserve">, J.L., </w:t>
      </w:r>
      <w:proofErr w:type="spellStart"/>
      <w:r w:rsidRPr="00143751">
        <w:rPr>
          <w:rFonts w:ascii="Arial" w:hAnsi="Arial" w:cs="Arial"/>
          <w:color w:val="0D0D0D" w:themeColor="text1" w:themeTint="F2"/>
          <w:sz w:val="22"/>
          <w:szCs w:val="22"/>
          <w:shd w:val="clear" w:color="auto" w:fill="FFFFFF"/>
        </w:rPr>
        <w:t>Bodhini</w:t>
      </w:r>
      <w:proofErr w:type="spellEnd"/>
      <w:r w:rsidRPr="00143751">
        <w:rPr>
          <w:rFonts w:ascii="Arial" w:hAnsi="Arial" w:cs="Arial"/>
          <w:color w:val="0D0D0D" w:themeColor="text1" w:themeTint="F2"/>
          <w:sz w:val="22"/>
          <w:szCs w:val="22"/>
          <w:shd w:val="clear" w:color="auto" w:fill="FFFFFF"/>
        </w:rPr>
        <w:t xml:space="preserve">, D., Clark, A.L., Colclough, K., </w:t>
      </w:r>
      <w:proofErr w:type="spellStart"/>
      <w:r w:rsidRPr="00143751">
        <w:rPr>
          <w:rFonts w:ascii="Arial" w:hAnsi="Arial" w:cs="Arial"/>
          <w:color w:val="0D0D0D" w:themeColor="text1" w:themeTint="F2"/>
          <w:sz w:val="22"/>
          <w:szCs w:val="22"/>
          <w:shd w:val="clear" w:color="auto" w:fill="FFFFFF"/>
        </w:rPr>
        <w:t>Corcoy</w:t>
      </w:r>
      <w:proofErr w:type="spellEnd"/>
      <w:r w:rsidRPr="00143751">
        <w:rPr>
          <w:rFonts w:ascii="Arial" w:hAnsi="Arial" w:cs="Arial"/>
          <w:color w:val="0D0D0D" w:themeColor="text1" w:themeTint="F2"/>
          <w:sz w:val="22"/>
          <w:szCs w:val="22"/>
          <w:shd w:val="clear" w:color="auto" w:fill="FFFFFF"/>
        </w:rPr>
        <w:t xml:space="preserve">, R., Cromer, S.J. and </w:t>
      </w:r>
      <w:proofErr w:type="spellStart"/>
      <w:r w:rsidRPr="00143751">
        <w:rPr>
          <w:rFonts w:ascii="Arial" w:hAnsi="Arial" w:cs="Arial"/>
          <w:color w:val="0D0D0D" w:themeColor="text1" w:themeTint="F2"/>
          <w:sz w:val="22"/>
          <w:szCs w:val="22"/>
          <w:shd w:val="clear" w:color="auto" w:fill="FFFFFF"/>
        </w:rPr>
        <w:t>Duan</w:t>
      </w:r>
      <w:proofErr w:type="spellEnd"/>
      <w:r w:rsidRPr="00143751">
        <w:rPr>
          <w:rFonts w:ascii="Arial" w:hAnsi="Arial" w:cs="Arial"/>
          <w:color w:val="0D0D0D" w:themeColor="text1" w:themeTint="F2"/>
          <w:sz w:val="22"/>
          <w:szCs w:val="22"/>
          <w:shd w:val="clear" w:color="auto" w:fill="FFFFFF"/>
        </w:rPr>
        <w:t>, D., 2023. Second international consensus report on gaps and opportunities for the clinical translation of precision diabetes medicine. </w:t>
      </w:r>
      <w:r w:rsidRPr="00143751">
        <w:rPr>
          <w:rFonts w:ascii="Arial" w:hAnsi="Arial" w:cs="Arial"/>
          <w:i/>
          <w:iCs/>
          <w:color w:val="0D0D0D" w:themeColor="text1" w:themeTint="F2"/>
          <w:sz w:val="22"/>
          <w:szCs w:val="22"/>
          <w:shd w:val="clear" w:color="auto" w:fill="FFFFFF"/>
        </w:rPr>
        <w:t>Nature medicine</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29</w:t>
      </w:r>
      <w:r w:rsidRPr="00143751">
        <w:rPr>
          <w:rFonts w:ascii="Arial" w:hAnsi="Arial" w:cs="Arial"/>
          <w:color w:val="0D0D0D" w:themeColor="text1" w:themeTint="F2"/>
          <w:sz w:val="22"/>
          <w:szCs w:val="22"/>
          <w:shd w:val="clear" w:color="auto" w:fill="FFFFFF"/>
        </w:rPr>
        <w:t>(10), pp.2438-2457.</w:t>
      </w:r>
    </w:p>
    <w:p w14:paraId="554D4B89"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proofErr w:type="spellStart"/>
      <w:r w:rsidRPr="00143751">
        <w:rPr>
          <w:rFonts w:ascii="Arial" w:hAnsi="Arial" w:cs="Arial"/>
          <w:color w:val="0D0D0D" w:themeColor="text1" w:themeTint="F2"/>
          <w:sz w:val="22"/>
          <w:szCs w:val="22"/>
          <w:shd w:val="clear" w:color="auto" w:fill="FFFFFF"/>
        </w:rPr>
        <w:t>Uhl</w:t>
      </w:r>
      <w:proofErr w:type="spellEnd"/>
      <w:r w:rsidRPr="00143751">
        <w:rPr>
          <w:rFonts w:ascii="Arial" w:hAnsi="Arial" w:cs="Arial"/>
          <w:color w:val="0D0D0D" w:themeColor="text1" w:themeTint="F2"/>
          <w:sz w:val="22"/>
          <w:szCs w:val="22"/>
          <w:shd w:val="clear" w:color="auto" w:fill="FFFFFF"/>
        </w:rPr>
        <w:t xml:space="preserve">, S., </w:t>
      </w:r>
      <w:proofErr w:type="spellStart"/>
      <w:r w:rsidRPr="00143751">
        <w:rPr>
          <w:rFonts w:ascii="Arial" w:hAnsi="Arial" w:cs="Arial"/>
          <w:color w:val="0D0D0D" w:themeColor="text1" w:themeTint="F2"/>
          <w:sz w:val="22"/>
          <w:szCs w:val="22"/>
          <w:shd w:val="clear" w:color="auto" w:fill="FFFFFF"/>
        </w:rPr>
        <w:t>Choure</w:t>
      </w:r>
      <w:proofErr w:type="spellEnd"/>
      <w:r w:rsidRPr="00143751">
        <w:rPr>
          <w:rFonts w:ascii="Arial" w:hAnsi="Arial" w:cs="Arial"/>
          <w:color w:val="0D0D0D" w:themeColor="text1" w:themeTint="F2"/>
          <w:sz w:val="22"/>
          <w:szCs w:val="22"/>
          <w:shd w:val="clear" w:color="auto" w:fill="FFFFFF"/>
        </w:rPr>
        <w:t xml:space="preserve">, A., Rouse, B., </w:t>
      </w:r>
      <w:proofErr w:type="spellStart"/>
      <w:r w:rsidRPr="00143751">
        <w:rPr>
          <w:rFonts w:ascii="Arial" w:hAnsi="Arial" w:cs="Arial"/>
          <w:color w:val="0D0D0D" w:themeColor="text1" w:themeTint="F2"/>
          <w:sz w:val="22"/>
          <w:szCs w:val="22"/>
          <w:shd w:val="clear" w:color="auto" w:fill="FFFFFF"/>
        </w:rPr>
        <w:t>Loblack</w:t>
      </w:r>
      <w:proofErr w:type="spellEnd"/>
      <w:r w:rsidRPr="00143751">
        <w:rPr>
          <w:rFonts w:ascii="Arial" w:hAnsi="Arial" w:cs="Arial"/>
          <w:color w:val="0D0D0D" w:themeColor="text1" w:themeTint="F2"/>
          <w:sz w:val="22"/>
          <w:szCs w:val="22"/>
          <w:shd w:val="clear" w:color="auto" w:fill="FFFFFF"/>
        </w:rPr>
        <w:t xml:space="preserve">, A. and </w:t>
      </w:r>
      <w:proofErr w:type="spellStart"/>
      <w:r w:rsidRPr="00143751">
        <w:rPr>
          <w:rFonts w:ascii="Arial" w:hAnsi="Arial" w:cs="Arial"/>
          <w:color w:val="0D0D0D" w:themeColor="text1" w:themeTint="F2"/>
          <w:sz w:val="22"/>
          <w:szCs w:val="22"/>
          <w:shd w:val="clear" w:color="auto" w:fill="FFFFFF"/>
        </w:rPr>
        <w:t>Reaven</w:t>
      </w:r>
      <w:proofErr w:type="spellEnd"/>
      <w:r w:rsidRPr="00143751">
        <w:rPr>
          <w:rFonts w:ascii="Arial" w:hAnsi="Arial" w:cs="Arial"/>
          <w:color w:val="0D0D0D" w:themeColor="text1" w:themeTint="F2"/>
          <w:sz w:val="22"/>
          <w:szCs w:val="22"/>
          <w:shd w:val="clear" w:color="auto" w:fill="FFFFFF"/>
        </w:rPr>
        <w:t xml:space="preserve">, P., 2024. Effectiveness of continuous glucose monitoring on metrics of </w:t>
      </w:r>
      <w:proofErr w:type="spellStart"/>
      <w:r w:rsidRPr="00143751">
        <w:rPr>
          <w:rFonts w:ascii="Arial" w:hAnsi="Arial" w:cs="Arial"/>
          <w:color w:val="0D0D0D" w:themeColor="text1" w:themeTint="F2"/>
          <w:sz w:val="22"/>
          <w:szCs w:val="22"/>
          <w:shd w:val="clear" w:color="auto" w:fill="FFFFFF"/>
        </w:rPr>
        <w:t>glycemic</w:t>
      </w:r>
      <w:proofErr w:type="spellEnd"/>
      <w:r w:rsidRPr="00143751">
        <w:rPr>
          <w:rFonts w:ascii="Arial" w:hAnsi="Arial" w:cs="Arial"/>
          <w:color w:val="0D0D0D" w:themeColor="text1" w:themeTint="F2"/>
          <w:sz w:val="22"/>
          <w:szCs w:val="22"/>
          <w:shd w:val="clear" w:color="auto" w:fill="FFFFFF"/>
        </w:rPr>
        <w:t xml:space="preserve"> control in type 2 diabetes mellitus: a systematic review and meta-analysis of randomized controlled trials. </w:t>
      </w:r>
      <w:r w:rsidRPr="00143751">
        <w:rPr>
          <w:rFonts w:ascii="Arial" w:hAnsi="Arial" w:cs="Arial"/>
          <w:i/>
          <w:iCs/>
          <w:color w:val="0D0D0D" w:themeColor="text1" w:themeTint="F2"/>
          <w:sz w:val="22"/>
          <w:szCs w:val="22"/>
          <w:shd w:val="clear" w:color="auto" w:fill="FFFFFF"/>
        </w:rPr>
        <w:t>The Journal of Clinical Endocrinology &amp; Metabolism</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109</w:t>
      </w:r>
      <w:r w:rsidRPr="00143751">
        <w:rPr>
          <w:rFonts w:ascii="Arial" w:hAnsi="Arial" w:cs="Arial"/>
          <w:color w:val="0D0D0D" w:themeColor="text1" w:themeTint="F2"/>
          <w:sz w:val="22"/>
          <w:szCs w:val="22"/>
          <w:shd w:val="clear" w:color="auto" w:fill="FFFFFF"/>
        </w:rPr>
        <w:t>(4), pp.1119-1131.</w:t>
      </w:r>
    </w:p>
    <w:p w14:paraId="1157B332"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Wilson, A., Morrison, D., Sainsbury, C. and Jones, G., 2025. Narrative review: continuous glucose monitoring (CGM) in older adults with diabetes. </w:t>
      </w:r>
      <w:r w:rsidRPr="00143751">
        <w:rPr>
          <w:rFonts w:ascii="Arial" w:hAnsi="Arial" w:cs="Arial"/>
          <w:i/>
          <w:iCs/>
          <w:color w:val="0D0D0D" w:themeColor="text1" w:themeTint="F2"/>
          <w:sz w:val="22"/>
          <w:szCs w:val="22"/>
          <w:shd w:val="clear" w:color="auto" w:fill="FFFFFF"/>
        </w:rPr>
        <w:t>Diabetes Therapy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16</w:t>
      </w:r>
      <w:r w:rsidRPr="00143751">
        <w:rPr>
          <w:rFonts w:ascii="Arial" w:hAnsi="Arial" w:cs="Arial"/>
          <w:color w:val="0D0D0D" w:themeColor="text1" w:themeTint="F2"/>
          <w:sz w:val="22"/>
          <w:szCs w:val="22"/>
          <w:shd w:val="clear" w:color="auto" w:fill="FFFFFF"/>
        </w:rPr>
        <w:t>(6), pp.1139-1154.</w:t>
      </w:r>
    </w:p>
    <w:p w14:paraId="6B17DC35" w14:textId="77777777" w:rsidR="00836E30" w:rsidRPr="00836E30" w:rsidRDefault="00836E30" w:rsidP="00584FF8">
      <w:pPr>
        <w:spacing w:line="360" w:lineRule="auto"/>
      </w:pPr>
    </w:p>
    <w:p w14:paraId="0DF08CE6"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67C07C49"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1F455B15"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3623F413"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6337406A"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18D3E224" w14:textId="77777777" w:rsidR="008B5F8A" w:rsidRPr="00836E30" w:rsidRDefault="008B5F8A" w:rsidP="00584FF8">
      <w:pPr>
        <w:spacing w:line="360" w:lineRule="auto"/>
        <w:jc w:val="both"/>
        <w:rPr>
          <w:rFonts w:ascii="Arial" w:hAnsi="Arial" w:cs="Arial"/>
          <w:b/>
          <w:bCs/>
          <w:color w:val="0D0D0D" w:themeColor="text1" w:themeTint="F2"/>
          <w:sz w:val="22"/>
          <w:szCs w:val="22"/>
        </w:rPr>
      </w:pPr>
    </w:p>
    <w:sectPr w:rsidR="008B5F8A" w:rsidRPr="00836E30" w:rsidSect="00954A3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64A3E" w14:textId="77777777" w:rsidR="003B647E" w:rsidRDefault="003B647E" w:rsidP="00791C19">
      <w:pPr>
        <w:spacing w:after="0" w:line="240" w:lineRule="auto"/>
      </w:pPr>
      <w:r>
        <w:separator/>
      </w:r>
    </w:p>
  </w:endnote>
  <w:endnote w:type="continuationSeparator" w:id="0">
    <w:p w14:paraId="7E41B75C" w14:textId="77777777" w:rsidR="003B647E" w:rsidRDefault="003B647E" w:rsidP="00791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5047415"/>
      <w:docPartObj>
        <w:docPartGallery w:val="Page Numbers (Bottom of Page)"/>
        <w:docPartUnique/>
      </w:docPartObj>
    </w:sdtPr>
    <w:sdtEndPr>
      <w:rPr>
        <w:rFonts w:ascii="Arial" w:hAnsi="Arial" w:cs="Arial"/>
        <w:noProof/>
        <w:sz w:val="20"/>
        <w:szCs w:val="20"/>
      </w:rPr>
    </w:sdtEndPr>
    <w:sdtContent>
      <w:p w14:paraId="19C5813F" w14:textId="066E42BB" w:rsidR="00791C19" w:rsidRPr="00974374" w:rsidRDefault="00791C19">
        <w:pPr>
          <w:pStyle w:val="Footer"/>
          <w:jc w:val="right"/>
          <w:rPr>
            <w:rFonts w:ascii="Arial" w:hAnsi="Arial" w:cs="Arial"/>
            <w:sz w:val="20"/>
            <w:szCs w:val="20"/>
          </w:rPr>
        </w:pPr>
        <w:r w:rsidRPr="00974374">
          <w:rPr>
            <w:rFonts w:ascii="Arial" w:hAnsi="Arial" w:cs="Arial"/>
            <w:sz w:val="20"/>
            <w:szCs w:val="20"/>
          </w:rPr>
          <w:fldChar w:fldCharType="begin"/>
        </w:r>
        <w:r w:rsidRPr="00974374">
          <w:rPr>
            <w:rFonts w:ascii="Arial" w:hAnsi="Arial" w:cs="Arial"/>
            <w:sz w:val="20"/>
            <w:szCs w:val="20"/>
          </w:rPr>
          <w:instrText xml:space="preserve"> PAGE   \* MERGEFORMAT </w:instrText>
        </w:r>
        <w:r w:rsidRPr="00974374">
          <w:rPr>
            <w:rFonts w:ascii="Arial" w:hAnsi="Arial" w:cs="Arial"/>
            <w:sz w:val="20"/>
            <w:szCs w:val="20"/>
          </w:rPr>
          <w:fldChar w:fldCharType="separate"/>
        </w:r>
        <w:r w:rsidRPr="00974374">
          <w:rPr>
            <w:rFonts w:ascii="Arial" w:hAnsi="Arial" w:cs="Arial"/>
            <w:noProof/>
            <w:sz w:val="20"/>
            <w:szCs w:val="20"/>
          </w:rPr>
          <w:t>2</w:t>
        </w:r>
        <w:r w:rsidRPr="00974374">
          <w:rPr>
            <w:rFonts w:ascii="Arial" w:hAnsi="Arial" w:cs="Arial"/>
            <w:noProof/>
            <w:sz w:val="20"/>
            <w:szCs w:val="20"/>
          </w:rPr>
          <w:fldChar w:fldCharType="end"/>
        </w:r>
      </w:p>
    </w:sdtContent>
  </w:sdt>
  <w:p w14:paraId="40BBCC11" w14:textId="77777777" w:rsidR="00791C19" w:rsidRDefault="00791C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D3947" w14:textId="77777777" w:rsidR="003B647E" w:rsidRDefault="003B647E" w:rsidP="00791C19">
      <w:pPr>
        <w:spacing w:after="0" w:line="240" w:lineRule="auto"/>
      </w:pPr>
      <w:r>
        <w:separator/>
      </w:r>
    </w:p>
  </w:footnote>
  <w:footnote w:type="continuationSeparator" w:id="0">
    <w:p w14:paraId="0420933A" w14:textId="77777777" w:rsidR="003B647E" w:rsidRDefault="003B647E" w:rsidP="00791C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6A82E" w14:textId="7AFCD719" w:rsidR="00B80232" w:rsidRPr="00B80232" w:rsidRDefault="00B80232" w:rsidP="00B80232">
    <w:pPr>
      <w:spacing w:line="360" w:lineRule="auto"/>
      <w:jc w:val="both"/>
      <w:rPr>
        <w:rFonts w:ascii="Arial" w:hAnsi="Arial" w:cs="Arial"/>
        <w:color w:val="000000" w:themeColor="text1"/>
        <w:sz w:val="22"/>
        <w:szCs w:val="22"/>
        <w:lang w:val="en-IN" w:eastAsia="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6302C"/>
    <w:multiLevelType w:val="hybridMultilevel"/>
    <w:tmpl w:val="6AF0E7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927878"/>
    <w:multiLevelType w:val="hybridMultilevel"/>
    <w:tmpl w:val="B344E7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08187255">
    <w:abstractNumId w:val="1"/>
  </w:num>
  <w:num w:numId="2" w16cid:durableId="2058426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C19"/>
    <w:rsid w:val="000204CD"/>
    <w:rsid w:val="00072DEC"/>
    <w:rsid w:val="000A79CF"/>
    <w:rsid w:val="000C17C0"/>
    <w:rsid w:val="00134C3F"/>
    <w:rsid w:val="0015538D"/>
    <w:rsid w:val="001938E8"/>
    <w:rsid w:val="001D1EE3"/>
    <w:rsid w:val="001E472D"/>
    <w:rsid w:val="001F4C2D"/>
    <w:rsid w:val="001F5432"/>
    <w:rsid w:val="002418CC"/>
    <w:rsid w:val="00263A93"/>
    <w:rsid w:val="002F2C53"/>
    <w:rsid w:val="00313BF1"/>
    <w:rsid w:val="00316C7B"/>
    <w:rsid w:val="00320509"/>
    <w:rsid w:val="00325F41"/>
    <w:rsid w:val="0033640D"/>
    <w:rsid w:val="00357B04"/>
    <w:rsid w:val="00371C28"/>
    <w:rsid w:val="003A19E6"/>
    <w:rsid w:val="003A60DB"/>
    <w:rsid w:val="003B647E"/>
    <w:rsid w:val="003B7AD6"/>
    <w:rsid w:val="003E0D05"/>
    <w:rsid w:val="0041314B"/>
    <w:rsid w:val="004157F9"/>
    <w:rsid w:val="00427EC1"/>
    <w:rsid w:val="00455558"/>
    <w:rsid w:val="00456CE1"/>
    <w:rsid w:val="00487433"/>
    <w:rsid w:val="004A4174"/>
    <w:rsid w:val="004B1B4E"/>
    <w:rsid w:val="004F0838"/>
    <w:rsid w:val="00577A79"/>
    <w:rsid w:val="00584FF8"/>
    <w:rsid w:val="005A1A70"/>
    <w:rsid w:val="005D719B"/>
    <w:rsid w:val="00604E07"/>
    <w:rsid w:val="00645A75"/>
    <w:rsid w:val="0065239D"/>
    <w:rsid w:val="0078127A"/>
    <w:rsid w:val="00791C19"/>
    <w:rsid w:val="007979C7"/>
    <w:rsid w:val="007D360A"/>
    <w:rsid w:val="007D52BC"/>
    <w:rsid w:val="00813416"/>
    <w:rsid w:val="00836E30"/>
    <w:rsid w:val="00894402"/>
    <w:rsid w:val="008A7CCA"/>
    <w:rsid w:val="008B5F8A"/>
    <w:rsid w:val="008C12A1"/>
    <w:rsid w:val="00954A31"/>
    <w:rsid w:val="00974374"/>
    <w:rsid w:val="00A34565"/>
    <w:rsid w:val="00A74873"/>
    <w:rsid w:val="00A76A37"/>
    <w:rsid w:val="00AD2DAB"/>
    <w:rsid w:val="00AE52E5"/>
    <w:rsid w:val="00AF56CB"/>
    <w:rsid w:val="00B142B0"/>
    <w:rsid w:val="00B2193B"/>
    <w:rsid w:val="00B7247B"/>
    <w:rsid w:val="00B80232"/>
    <w:rsid w:val="00B85230"/>
    <w:rsid w:val="00BC0C91"/>
    <w:rsid w:val="00C16529"/>
    <w:rsid w:val="00C45434"/>
    <w:rsid w:val="00C6285A"/>
    <w:rsid w:val="00C653C0"/>
    <w:rsid w:val="00CD5625"/>
    <w:rsid w:val="00CE0E77"/>
    <w:rsid w:val="00D5505A"/>
    <w:rsid w:val="00DD4903"/>
    <w:rsid w:val="00E02484"/>
    <w:rsid w:val="00E179D9"/>
    <w:rsid w:val="00E7179A"/>
    <w:rsid w:val="00EA53E5"/>
    <w:rsid w:val="00EC3D6A"/>
    <w:rsid w:val="00FB22E4"/>
    <w:rsid w:val="00FD06EF"/>
    <w:rsid w:val="00FE776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19A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C19"/>
    <w:pPr>
      <w:spacing w:line="278" w:lineRule="auto"/>
    </w:pPr>
    <w:rPr>
      <w:sz w:val="24"/>
      <w:szCs w:val="24"/>
      <w:lang w:val="en-GB"/>
    </w:rPr>
  </w:style>
  <w:style w:type="paragraph" w:styleId="Heading1">
    <w:name w:val="heading 1"/>
    <w:basedOn w:val="Normal"/>
    <w:next w:val="Normal"/>
    <w:link w:val="Heading1Char"/>
    <w:uiPriority w:val="9"/>
    <w:qFormat/>
    <w:rsid w:val="00584FF8"/>
    <w:pPr>
      <w:keepNext/>
      <w:keepLines/>
      <w:spacing w:before="360" w:after="80" w:line="360" w:lineRule="auto"/>
      <w:jc w:val="both"/>
      <w:outlineLvl w:val="0"/>
    </w:pPr>
    <w:rPr>
      <w:rFonts w:ascii="Arial" w:eastAsiaTheme="majorEastAsia" w:hAnsi="Arial" w:cstheme="majorBidi"/>
      <w:b/>
      <w:color w:val="000000" w:themeColor="text1"/>
      <w:szCs w:val="40"/>
    </w:rPr>
  </w:style>
  <w:style w:type="paragraph" w:styleId="Heading2">
    <w:name w:val="heading 2"/>
    <w:basedOn w:val="Heading1"/>
    <w:next w:val="Normal"/>
    <w:link w:val="Heading2Char"/>
    <w:uiPriority w:val="9"/>
    <w:unhideWhenUsed/>
    <w:qFormat/>
    <w:rsid w:val="00B85230"/>
    <w:pPr>
      <w:outlineLvl w:val="1"/>
    </w:pPr>
    <w:rPr>
      <w:sz w:val="22"/>
    </w:rPr>
  </w:style>
  <w:style w:type="paragraph" w:styleId="Heading3">
    <w:name w:val="heading 3"/>
    <w:basedOn w:val="Normal"/>
    <w:next w:val="Normal"/>
    <w:link w:val="Heading3Char"/>
    <w:rsid w:val="00AF56CB"/>
    <w:pPr>
      <w:keepNext/>
      <w:keepLines/>
      <w:spacing w:before="320" w:after="80" w:line="480" w:lineRule="auto"/>
      <w:outlineLvl w:val="2"/>
    </w:pPr>
    <w:rPr>
      <w:rFonts w:ascii="Times New Roman" w:eastAsia="Arial" w:hAnsi="Times New Roman" w:cs="Arial"/>
      <w:b/>
      <w:color w:val="000000" w:themeColor="text1"/>
      <w:kern w:val="0"/>
      <w:szCs w:val="28"/>
      <w:lang w:val="en"/>
      <w14:ligatures w14:val="none"/>
    </w:rPr>
  </w:style>
  <w:style w:type="paragraph" w:styleId="Heading4">
    <w:name w:val="heading 4"/>
    <w:basedOn w:val="Normal"/>
    <w:next w:val="Normal"/>
    <w:link w:val="Heading4Char"/>
    <w:uiPriority w:val="9"/>
    <w:semiHidden/>
    <w:unhideWhenUsed/>
    <w:qFormat/>
    <w:rsid w:val="00791C19"/>
    <w:pPr>
      <w:keepNext/>
      <w:keepLines/>
      <w:spacing w:before="80" w:after="40" w:line="259" w:lineRule="auto"/>
      <w:outlineLvl w:val="3"/>
    </w:pPr>
    <w:rPr>
      <w:rFonts w:eastAsiaTheme="majorEastAsia" w:cstheme="majorBidi"/>
      <w:i/>
      <w:iCs/>
      <w:color w:val="2F5496" w:themeColor="accent1" w:themeShade="BF"/>
      <w:sz w:val="22"/>
      <w:szCs w:val="22"/>
    </w:rPr>
  </w:style>
  <w:style w:type="paragraph" w:styleId="Heading5">
    <w:name w:val="heading 5"/>
    <w:basedOn w:val="Normal"/>
    <w:next w:val="Normal"/>
    <w:link w:val="Heading5Char"/>
    <w:uiPriority w:val="9"/>
    <w:semiHidden/>
    <w:unhideWhenUsed/>
    <w:qFormat/>
    <w:rsid w:val="00791C19"/>
    <w:pPr>
      <w:keepNext/>
      <w:keepLines/>
      <w:spacing w:before="80" w:after="40" w:line="259" w:lineRule="auto"/>
      <w:outlineLvl w:val="4"/>
    </w:pPr>
    <w:rPr>
      <w:rFonts w:eastAsiaTheme="majorEastAsia" w:cstheme="majorBidi"/>
      <w:color w:val="2F5496" w:themeColor="accent1" w:themeShade="BF"/>
      <w:sz w:val="22"/>
      <w:szCs w:val="22"/>
    </w:rPr>
  </w:style>
  <w:style w:type="paragraph" w:styleId="Heading6">
    <w:name w:val="heading 6"/>
    <w:basedOn w:val="Normal"/>
    <w:next w:val="Normal"/>
    <w:link w:val="Heading6Char"/>
    <w:uiPriority w:val="9"/>
    <w:semiHidden/>
    <w:unhideWhenUsed/>
    <w:qFormat/>
    <w:rsid w:val="00791C19"/>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791C19"/>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791C19"/>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791C19"/>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AF56CB"/>
    <w:rPr>
      <w:rFonts w:ascii="Times New Roman" w:eastAsia="Arial" w:hAnsi="Times New Roman" w:cs="Arial"/>
      <w:b/>
      <w:color w:val="000000" w:themeColor="text1"/>
      <w:kern w:val="0"/>
      <w:sz w:val="24"/>
      <w:szCs w:val="28"/>
      <w:lang w:val="en"/>
      <w14:ligatures w14:val="none"/>
    </w:rPr>
  </w:style>
  <w:style w:type="character" w:customStyle="1" w:styleId="Heading1Char">
    <w:name w:val="Heading 1 Char"/>
    <w:basedOn w:val="DefaultParagraphFont"/>
    <w:link w:val="Heading1"/>
    <w:uiPriority w:val="9"/>
    <w:rsid w:val="00584FF8"/>
    <w:rPr>
      <w:rFonts w:ascii="Arial" w:eastAsiaTheme="majorEastAsia" w:hAnsi="Arial" w:cstheme="majorBidi"/>
      <w:b/>
      <w:color w:val="000000" w:themeColor="text1"/>
      <w:sz w:val="24"/>
      <w:szCs w:val="40"/>
      <w:lang w:val="en-GB"/>
    </w:rPr>
  </w:style>
  <w:style w:type="character" w:customStyle="1" w:styleId="Heading2Char">
    <w:name w:val="Heading 2 Char"/>
    <w:basedOn w:val="DefaultParagraphFont"/>
    <w:link w:val="Heading2"/>
    <w:uiPriority w:val="9"/>
    <w:rsid w:val="00B85230"/>
    <w:rPr>
      <w:rFonts w:ascii="Arial" w:eastAsiaTheme="majorEastAsia" w:hAnsi="Arial" w:cstheme="majorBidi"/>
      <w:b/>
      <w:color w:val="000000" w:themeColor="text1"/>
      <w:szCs w:val="40"/>
      <w:lang w:val="en-GB"/>
    </w:rPr>
  </w:style>
  <w:style w:type="character" w:customStyle="1" w:styleId="Heading4Char">
    <w:name w:val="Heading 4 Char"/>
    <w:basedOn w:val="DefaultParagraphFont"/>
    <w:link w:val="Heading4"/>
    <w:uiPriority w:val="9"/>
    <w:semiHidden/>
    <w:rsid w:val="00791C1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91C1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791C1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91C1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91C1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91C1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91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C1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91C19"/>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C1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91C19"/>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791C19"/>
    <w:rPr>
      <w:i/>
      <w:iCs/>
      <w:color w:val="404040" w:themeColor="text1" w:themeTint="BF"/>
      <w:lang w:val="en-GB"/>
    </w:rPr>
  </w:style>
  <w:style w:type="paragraph" w:styleId="ListParagraph">
    <w:name w:val="List Paragraph"/>
    <w:basedOn w:val="Normal"/>
    <w:uiPriority w:val="34"/>
    <w:qFormat/>
    <w:rsid w:val="00791C19"/>
    <w:pPr>
      <w:spacing w:line="259" w:lineRule="auto"/>
      <w:ind w:left="720"/>
      <w:contextualSpacing/>
    </w:pPr>
    <w:rPr>
      <w:sz w:val="22"/>
      <w:szCs w:val="22"/>
    </w:rPr>
  </w:style>
  <w:style w:type="character" w:styleId="IntenseEmphasis">
    <w:name w:val="Intense Emphasis"/>
    <w:basedOn w:val="DefaultParagraphFont"/>
    <w:uiPriority w:val="21"/>
    <w:qFormat/>
    <w:rsid w:val="00791C19"/>
    <w:rPr>
      <w:i/>
      <w:iCs/>
      <w:color w:val="2F5496" w:themeColor="accent1" w:themeShade="BF"/>
    </w:rPr>
  </w:style>
  <w:style w:type="paragraph" w:styleId="IntenseQuote">
    <w:name w:val="Intense Quote"/>
    <w:basedOn w:val="Normal"/>
    <w:next w:val="Normal"/>
    <w:link w:val="IntenseQuoteChar"/>
    <w:uiPriority w:val="30"/>
    <w:qFormat/>
    <w:rsid w:val="00791C19"/>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sz w:val="22"/>
      <w:szCs w:val="22"/>
    </w:rPr>
  </w:style>
  <w:style w:type="character" w:customStyle="1" w:styleId="IntenseQuoteChar">
    <w:name w:val="Intense Quote Char"/>
    <w:basedOn w:val="DefaultParagraphFont"/>
    <w:link w:val="IntenseQuote"/>
    <w:uiPriority w:val="30"/>
    <w:rsid w:val="00791C19"/>
    <w:rPr>
      <w:i/>
      <w:iCs/>
      <w:color w:val="2F5496" w:themeColor="accent1" w:themeShade="BF"/>
      <w:lang w:val="en-GB"/>
    </w:rPr>
  </w:style>
  <w:style w:type="character" w:styleId="IntenseReference">
    <w:name w:val="Intense Reference"/>
    <w:basedOn w:val="DefaultParagraphFont"/>
    <w:uiPriority w:val="32"/>
    <w:qFormat/>
    <w:rsid w:val="00791C19"/>
    <w:rPr>
      <w:b/>
      <w:bCs/>
      <w:smallCaps/>
      <w:color w:val="2F5496" w:themeColor="accent1" w:themeShade="BF"/>
      <w:spacing w:val="5"/>
    </w:rPr>
  </w:style>
  <w:style w:type="paragraph" w:styleId="Header">
    <w:name w:val="header"/>
    <w:basedOn w:val="Normal"/>
    <w:link w:val="HeaderChar"/>
    <w:uiPriority w:val="99"/>
    <w:unhideWhenUsed/>
    <w:rsid w:val="00791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C19"/>
    <w:rPr>
      <w:sz w:val="24"/>
      <w:szCs w:val="24"/>
      <w:lang w:val="en-GB"/>
    </w:rPr>
  </w:style>
  <w:style w:type="paragraph" w:styleId="Footer">
    <w:name w:val="footer"/>
    <w:basedOn w:val="Normal"/>
    <w:link w:val="FooterChar"/>
    <w:uiPriority w:val="99"/>
    <w:unhideWhenUsed/>
    <w:rsid w:val="00791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C19"/>
    <w:rPr>
      <w:sz w:val="24"/>
      <w:szCs w:val="24"/>
      <w:lang w:val="en-GB"/>
    </w:rPr>
  </w:style>
  <w:style w:type="character" w:styleId="Hyperlink">
    <w:name w:val="Hyperlink"/>
    <w:basedOn w:val="DefaultParagraphFont"/>
    <w:uiPriority w:val="99"/>
    <w:unhideWhenUsed/>
    <w:rsid w:val="00836E30"/>
    <w:rPr>
      <w:color w:val="0563C1" w:themeColor="hyperlink"/>
      <w:u w:val="single"/>
    </w:rPr>
  </w:style>
  <w:style w:type="paragraph" w:styleId="TOCHeading">
    <w:name w:val="TOC Heading"/>
    <w:basedOn w:val="Heading1"/>
    <w:next w:val="Normal"/>
    <w:uiPriority w:val="39"/>
    <w:unhideWhenUsed/>
    <w:qFormat/>
    <w:rsid w:val="00836E3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36E30"/>
    <w:pPr>
      <w:spacing w:after="100"/>
    </w:pPr>
  </w:style>
  <w:style w:type="paragraph" w:styleId="TOC2">
    <w:name w:val="toc 2"/>
    <w:basedOn w:val="Normal"/>
    <w:next w:val="Normal"/>
    <w:autoRedefine/>
    <w:uiPriority w:val="39"/>
    <w:unhideWhenUsed/>
    <w:rsid w:val="00836E30"/>
    <w:pPr>
      <w:spacing w:after="100"/>
      <w:ind w:left="240"/>
    </w:pPr>
  </w:style>
  <w:style w:type="paragraph" w:styleId="NoSpacing">
    <w:name w:val="No Spacing"/>
    <w:uiPriority w:val="1"/>
    <w:qFormat/>
    <w:rsid w:val="00263A93"/>
    <w:pPr>
      <w:spacing w:after="0" w:line="240" w:lineRule="auto"/>
    </w:pPr>
    <w:rPr>
      <w:sz w:val="24"/>
      <w:szCs w:val="24"/>
      <w:lang w:val="en-GB"/>
    </w:rPr>
  </w:style>
  <w:style w:type="character" w:styleId="CommentReference">
    <w:name w:val="annotation reference"/>
    <w:basedOn w:val="DefaultParagraphFont"/>
    <w:uiPriority w:val="99"/>
    <w:semiHidden/>
    <w:unhideWhenUsed/>
    <w:rsid w:val="00577A79"/>
    <w:rPr>
      <w:sz w:val="16"/>
      <w:szCs w:val="16"/>
    </w:rPr>
  </w:style>
  <w:style w:type="paragraph" w:styleId="CommentText">
    <w:name w:val="annotation text"/>
    <w:basedOn w:val="Normal"/>
    <w:link w:val="CommentTextChar"/>
    <w:uiPriority w:val="99"/>
    <w:unhideWhenUsed/>
    <w:rsid w:val="00577A79"/>
    <w:pPr>
      <w:spacing w:line="240" w:lineRule="auto"/>
    </w:pPr>
    <w:rPr>
      <w:sz w:val="20"/>
      <w:szCs w:val="20"/>
    </w:rPr>
  </w:style>
  <w:style w:type="character" w:customStyle="1" w:styleId="CommentTextChar">
    <w:name w:val="Comment Text Char"/>
    <w:basedOn w:val="DefaultParagraphFont"/>
    <w:link w:val="CommentText"/>
    <w:uiPriority w:val="99"/>
    <w:rsid w:val="00577A79"/>
    <w:rPr>
      <w:sz w:val="20"/>
      <w:szCs w:val="20"/>
      <w:lang w:val="en-GB"/>
    </w:rPr>
  </w:style>
  <w:style w:type="paragraph" w:styleId="CommentSubject">
    <w:name w:val="annotation subject"/>
    <w:basedOn w:val="CommentText"/>
    <w:next w:val="CommentText"/>
    <w:link w:val="CommentSubjectChar"/>
    <w:uiPriority w:val="99"/>
    <w:semiHidden/>
    <w:unhideWhenUsed/>
    <w:rsid w:val="00577A79"/>
    <w:rPr>
      <w:b/>
      <w:bCs/>
    </w:rPr>
  </w:style>
  <w:style w:type="character" w:customStyle="1" w:styleId="CommentSubjectChar">
    <w:name w:val="Comment Subject Char"/>
    <w:basedOn w:val="CommentTextChar"/>
    <w:link w:val="CommentSubject"/>
    <w:uiPriority w:val="99"/>
    <w:semiHidden/>
    <w:rsid w:val="00577A79"/>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hyperlink" Target="https://digital.nhs.uk/data-and-information/publications/statistical/health-survey-for-england/2024/adults-health"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digital.nhs.uk/data-and-information/publications/statistical/national-diabetes-audit/core-1-2021-22-overview" TargetMode="External" /><Relationship Id="rId2" Type="http://schemas.openxmlformats.org/officeDocument/2006/relationships/numbering" Target="numbering.xml" /><Relationship Id="rId16" Type="http://schemas.openxmlformats.org/officeDocument/2006/relationships/hyperlink" Target="https://www.gov.uk/government/publications/health-trends-and-variation-in-england-2025-a-chief-medical-officer-report/health-trends-and-variation-in-england-2025-accessible-version"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www.gov.uk/government/statistics/diabetes-profile-update-march-2025/diabetes-profile-statistical-commentary-march-2025" TargetMode="External" /><Relationship Id="rId10" Type="http://schemas.openxmlformats.org/officeDocument/2006/relationships/image" Target="media/image3.png"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diabetes.org.uk/about-us/about-the-charity/our-strategy/statistics"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66C82-B878-4DE8-90FB-33E50D3B3F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4103</Words>
  <Characters>23392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2026-08-18T00:34:00Z</dcterms:created>
  <dcterms:modified xsi:type="dcterms:W3CDTF">2026-08-18T00:34:00Z</dcterms:modified>
</cp:coreProperties>
</file>