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bookmarkStart w:id="0" w:name="_GoBack"/>
      <w:bookmarkEnd w:id="0"/>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Pr="000E445A" w:rsidRDefault="000E445A" w:rsidP="000E445A">
      <w:pPr>
        <w:pStyle w:val="NoSpacing"/>
        <w:spacing w:line="360" w:lineRule="auto"/>
        <w:jc w:val="center"/>
        <w:rPr>
          <w:rFonts w:ascii="Times New Roman" w:hAnsi="Times New Roman" w:cs="Times New Roman"/>
          <w:b/>
          <w:bCs/>
          <w:iCs/>
          <w:color w:val="000000"/>
          <w:sz w:val="72"/>
          <w:szCs w:val="72"/>
        </w:rPr>
      </w:pPr>
      <w:r w:rsidRPr="000E445A">
        <w:rPr>
          <w:rFonts w:ascii="Times New Roman" w:hAnsi="Times New Roman" w:cs="Times New Roman"/>
          <w:b/>
          <w:bCs/>
          <w:iCs/>
          <w:color w:val="000000"/>
          <w:sz w:val="72"/>
          <w:szCs w:val="72"/>
        </w:rPr>
        <w:t>Kellogg’s Organisation</w:t>
      </w: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Default="000E445A" w:rsidP="000E445A">
      <w:pPr>
        <w:pStyle w:val="NoSpacing"/>
        <w:spacing w:line="360" w:lineRule="auto"/>
        <w:jc w:val="center"/>
        <w:rPr>
          <w:rFonts w:ascii="Times New Roman" w:hAnsi="Times New Roman" w:cs="Times New Roman"/>
          <w:b/>
          <w:bCs/>
          <w:iCs/>
          <w:color w:val="000000"/>
          <w:sz w:val="48"/>
          <w:szCs w:val="48"/>
        </w:rPr>
      </w:pPr>
      <w:r>
        <w:rPr>
          <w:rFonts w:ascii="Times New Roman" w:hAnsi="Times New Roman" w:cs="Times New Roman"/>
          <w:b/>
          <w:bCs/>
          <w:iCs/>
          <w:color w:val="000000"/>
          <w:sz w:val="48"/>
          <w:szCs w:val="48"/>
        </w:rPr>
        <w:lastRenderedPageBreak/>
        <w:t xml:space="preserve">  </w:t>
      </w:r>
    </w:p>
    <w:p w:rsidR="000E445A" w:rsidRDefault="000E445A" w:rsidP="000E445A">
      <w:pPr>
        <w:pStyle w:val="NoSpacing"/>
        <w:spacing w:line="360" w:lineRule="auto"/>
        <w:jc w:val="center"/>
        <w:rPr>
          <w:rFonts w:ascii="Times New Roman" w:hAnsi="Times New Roman" w:cs="Times New Roman"/>
          <w:b/>
          <w:bCs/>
          <w:iCs/>
          <w:color w:val="000000"/>
          <w:sz w:val="48"/>
          <w:szCs w:val="48"/>
        </w:rPr>
      </w:pPr>
    </w:p>
    <w:p w:rsidR="000E445A" w:rsidRPr="00145B62" w:rsidRDefault="000E445A" w:rsidP="000E445A">
      <w:pPr>
        <w:pStyle w:val="NoSpacing"/>
        <w:spacing w:line="360" w:lineRule="auto"/>
        <w:ind w:left="720"/>
        <w:rPr>
          <w:rFonts w:ascii="Times New Roman" w:hAnsi="Times New Roman" w:cs="Times New Roman"/>
          <w:b/>
          <w:bCs/>
          <w:iCs/>
          <w:color w:val="000000"/>
          <w:sz w:val="48"/>
          <w:szCs w:val="48"/>
        </w:rPr>
      </w:pPr>
      <w:r w:rsidRPr="00145B62">
        <w:rPr>
          <w:rFonts w:ascii="Times New Roman" w:hAnsi="Times New Roman" w:cs="Times New Roman"/>
          <w:b/>
          <w:bCs/>
          <w:iCs/>
          <w:color w:val="000000"/>
          <w:sz w:val="48"/>
          <w:szCs w:val="48"/>
        </w:rPr>
        <w:t xml:space="preserve">Module Title:Introducing The </w:t>
      </w:r>
      <w:r>
        <w:rPr>
          <w:rFonts w:ascii="Times New Roman" w:hAnsi="Times New Roman" w:cs="Times New Roman"/>
          <w:b/>
          <w:bCs/>
          <w:iCs/>
          <w:color w:val="000000"/>
          <w:sz w:val="48"/>
          <w:szCs w:val="48"/>
        </w:rPr>
        <w:t xml:space="preserve">Modern                    </w:t>
      </w:r>
      <w:r w:rsidRPr="00145B62">
        <w:rPr>
          <w:rFonts w:ascii="Times New Roman" w:hAnsi="Times New Roman" w:cs="Times New Roman"/>
          <w:b/>
          <w:bCs/>
          <w:iCs/>
          <w:color w:val="000000"/>
          <w:sz w:val="48"/>
          <w:szCs w:val="48"/>
        </w:rPr>
        <w:t>Workplace</w:t>
      </w:r>
    </w:p>
    <w:p w:rsidR="000E445A" w:rsidRPr="00145B62" w:rsidRDefault="000E445A" w:rsidP="000E445A">
      <w:pPr>
        <w:pStyle w:val="NoSpacing"/>
        <w:spacing w:line="360" w:lineRule="auto"/>
        <w:jc w:val="center"/>
        <w:rPr>
          <w:rFonts w:ascii="Times New Roman" w:hAnsi="Times New Roman" w:cs="Times New Roman"/>
          <w:b/>
          <w:bCs/>
          <w:iCs/>
          <w:color w:val="000000"/>
          <w:sz w:val="48"/>
          <w:szCs w:val="48"/>
        </w:rPr>
      </w:pPr>
      <w:r>
        <w:rPr>
          <w:rFonts w:ascii="Times New Roman" w:hAnsi="Times New Roman" w:cs="Times New Roman"/>
          <w:b/>
          <w:bCs/>
          <w:iCs/>
          <w:color w:val="000000"/>
          <w:sz w:val="48"/>
          <w:szCs w:val="48"/>
        </w:rPr>
        <w:t xml:space="preserve">  </w:t>
      </w:r>
      <w:r>
        <w:rPr>
          <w:rFonts w:ascii="Times New Roman" w:hAnsi="Times New Roman" w:cs="Times New Roman"/>
          <w:b/>
          <w:bCs/>
          <w:iCs/>
          <w:color w:val="000000"/>
          <w:sz w:val="48"/>
          <w:szCs w:val="48"/>
        </w:rPr>
        <w:t xml:space="preserve">  </w:t>
      </w:r>
      <w:r w:rsidRPr="00145B62">
        <w:rPr>
          <w:rFonts w:ascii="Times New Roman" w:hAnsi="Times New Roman" w:cs="Times New Roman"/>
          <w:b/>
          <w:bCs/>
          <w:iCs/>
          <w:color w:val="000000"/>
          <w:sz w:val="48"/>
          <w:szCs w:val="48"/>
        </w:rPr>
        <w:t>Student Name:</w:t>
      </w:r>
      <w:r>
        <w:rPr>
          <w:rFonts w:ascii="Times New Roman" w:hAnsi="Times New Roman" w:cs="Times New Roman"/>
          <w:b/>
          <w:bCs/>
          <w:iCs/>
          <w:color w:val="000000"/>
          <w:sz w:val="48"/>
          <w:szCs w:val="48"/>
        </w:rPr>
        <w:t>Neculai Constantin Prostire</w:t>
      </w:r>
    </w:p>
    <w:p w:rsidR="000E445A" w:rsidRPr="00145B62" w:rsidRDefault="000E445A" w:rsidP="000E445A">
      <w:pPr>
        <w:pStyle w:val="NoSpacing"/>
        <w:spacing w:line="360" w:lineRule="auto"/>
        <w:rPr>
          <w:rFonts w:ascii="Times New Roman" w:hAnsi="Times New Roman" w:cs="Times New Roman"/>
          <w:b/>
          <w:bCs/>
          <w:iCs/>
          <w:color w:val="000000"/>
          <w:sz w:val="48"/>
          <w:szCs w:val="48"/>
        </w:rPr>
      </w:pPr>
      <w:r>
        <w:rPr>
          <w:rFonts w:ascii="Times New Roman" w:hAnsi="Times New Roman" w:cs="Times New Roman"/>
          <w:b/>
          <w:bCs/>
          <w:iCs/>
          <w:color w:val="000000"/>
          <w:sz w:val="48"/>
          <w:szCs w:val="48"/>
        </w:rPr>
        <w:t xml:space="preserve">     </w:t>
      </w:r>
      <w:r w:rsidRPr="00145B62">
        <w:rPr>
          <w:rFonts w:ascii="Times New Roman" w:hAnsi="Times New Roman" w:cs="Times New Roman"/>
          <w:b/>
          <w:bCs/>
          <w:iCs/>
          <w:color w:val="000000"/>
          <w:sz w:val="48"/>
          <w:szCs w:val="48"/>
        </w:rPr>
        <w:t>Student Number:</w:t>
      </w:r>
      <w:r>
        <w:rPr>
          <w:rFonts w:ascii="Times New Roman" w:hAnsi="Times New Roman" w:cs="Times New Roman"/>
          <w:b/>
          <w:bCs/>
          <w:iCs/>
          <w:color w:val="000000"/>
          <w:sz w:val="48"/>
          <w:szCs w:val="48"/>
        </w:rPr>
        <w:t>1814107</w:t>
      </w:r>
    </w:p>
    <w:p w:rsidR="000E445A" w:rsidRPr="00145B62" w:rsidRDefault="000E445A" w:rsidP="000E445A">
      <w:pPr>
        <w:pStyle w:val="NoSpacing"/>
        <w:spacing w:line="360" w:lineRule="auto"/>
        <w:rPr>
          <w:rFonts w:ascii="Times New Roman" w:hAnsi="Times New Roman" w:cs="Times New Roman"/>
          <w:b/>
          <w:bCs/>
          <w:iCs/>
          <w:color w:val="000000"/>
          <w:sz w:val="48"/>
          <w:szCs w:val="48"/>
          <w:lang w:val="ro-RO"/>
        </w:rPr>
      </w:pPr>
      <w:r>
        <w:rPr>
          <w:rFonts w:ascii="Times New Roman" w:hAnsi="Times New Roman" w:cs="Times New Roman"/>
          <w:b/>
          <w:bCs/>
          <w:iCs/>
          <w:color w:val="000000"/>
          <w:sz w:val="48"/>
          <w:szCs w:val="48"/>
        </w:rPr>
        <w:t xml:space="preserve">     </w:t>
      </w:r>
      <w:r w:rsidRPr="00145B62">
        <w:rPr>
          <w:rFonts w:ascii="Times New Roman" w:hAnsi="Times New Roman" w:cs="Times New Roman"/>
          <w:b/>
          <w:bCs/>
          <w:iCs/>
          <w:color w:val="000000"/>
          <w:sz w:val="48"/>
          <w:szCs w:val="48"/>
        </w:rPr>
        <w:t>Lecturer:</w:t>
      </w:r>
      <w:r>
        <w:rPr>
          <w:rFonts w:ascii="Times New Roman" w:hAnsi="Times New Roman" w:cs="Times New Roman"/>
          <w:b/>
          <w:bCs/>
          <w:iCs/>
          <w:color w:val="000000"/>
          <w:sz w:val="48"/>
          <w:szCs w:val="48"/>
        </w:rPr>
        <w:t>Husam Helmi</w:t>
      </w:r>
    </w:p>
    <w:p w:rsidR="000E445A" w:rsidRPr="00145B62" w:rsidRDefault="000E445A" w:rsidP="000E445A">
      <w:pPr>
        <w:pStyle w:val="NoSpacing"/>
        <w:spacing w:line="360" w:lineRule="auto"/>
        <w:rPr>
          <w:rFonts w:ascii="open sansregular" w:hAnsi="open sansregular" w:cs="open sansregular"/>
          <w:b/>
          <w:bCs/>
          <w:color w:val="333333"/>
          <w:sz w:val="48"/>
          <w:szCs w:val="48"/>
        </w:rPr>
      </w:pPr>
      <w:r>
        <w:rPr>
          <w:rFonts w:ascii="Times New Roman" w:hAnsi="Times New Roman" w:cs="Times New Roman"/>
          <w:b/>
          <w:bCs/>
          <w:iCs/>
          <w:color w:val="000000"/>
          <w:sz w:val="48"/>
          <w:szCs w:val="48"/>
        </w:rPr>
        <w:t xml:space="preserve">     Module Number: (LCBB400</w:t>
      </w:r>
      <w:r w:rsidRPr="00145B62">
        <w:rPr>
          <w:rFonts w:ascii="Times New Roman" w:hAnsi="Times New Roman" w:cs="Times New Roman"/>
          <w:b/>
          <w:bCs/>
          <w:iCs/>
          <w:color w:val="000000"/>
          <w:sz w:val="48"/>
          <w:szCs w:val="48"/>
        </w:rPr>
        <w:t>3)</w:t>
      </w:r>
    </w:p>
    <w:p w:rsidR="004E026F" w:rsidRDefault="004E026F" w:rsidP="00450ABA">
      <w:pPr>
        <w:spacing w:line="480" w:lineRule="auto"/>
      </w:pPr>
    </w:p>
    <w:p w:rsidR="006245EF" w:rsidRDefault="006245EF">
      <w:pPr>
        <w:spacing w:line="276" w:lineRule="auto"/>
        <w:jc w:val="left"/>
      </w:pPr>
      <w:r>
        <w:br w:type="page"/>
      </w:r>
    </w:p>
    <w:sdt>
      <w:sdtPr>
        <w:rPr>
          <w:rFonts w:ascii="Times New Roman" w:eastAsiaTheme="minorHAnsi" w:hAnsi="Times New Roman" w:cstheme="minorBidi"/>
          <w:b w:val="0"/>
          <w:bCs w:val="0"/>
          <w:color w:val="auto"/>
          <w:sz w:val="24"/>
          <w:szCs w:val="22"/>
          <w:lang w:val="en-GB"/>
        </w:rPr>
        <w:id w:val="218528"/>
        <w:docPartObj>
          <w:docPartGallery w:val="Table of Contents"/>
          <w:docPartUnique/>
        </w:docPartObj>
      </w:sdtPr>
      <w:sdtEndPr/>
      <w:sdtContent>
        <w:p w:rsidR="006245EF" w:rsidRDefault="006245EF">
          <w:pPr>
            <w:pStyle w:val="TOCHeading"/>
          </w:pPr>
          <w:r>
            <w:t>Contents</w:t>
          </w:r>
        </w:p>
        <w:p w:rsidR="006245EF" w:rsidRDefault="006245EF">
          <w:pPr>
            <w:pStyle w:val="TOC1"/>
            <w:tabs>
              <w:tab w:val="right" w:leader="dot" w:pos="9350"/>
            </w:tabs>
            <w:rPr>
              <w:noProof/>
            </w:rPr>
          </w:pPr>
          <w:r>
            <w:fldChar w:fldCharType="begin"/>
          </w:r>
          <w:r>
            <w:instrText xml:space="preserve"> TOC \o "1-3" \h \z \u </w:instrText>
          </w:r>
          <w:r>
            <w:fldChar w:fldCharType="separate"/>
          </w:r>
          <w:hyperlink w:anchor="_Toc16702832" w:history="1">
            <w:r w:rsidRPr="00087131">
              <w:rPr>
                <w:rStyle w:val="Hyperlink"/>
                <w:noProof/>
              </w:rPr>
              <w:t>Introduction</w:t>
            </w:r>
            <w:r>
              <w:rPr>
                <w:noProof/>
                <w:webHidden/>
              </w:rPr>
              <w:tab/>
            </w:r>
            <w:r>
              <w:rPr>
                <w:noProof/>
                <w:webHidden/>
              </w:rPr>
              <w:fldChar w:fldCharType="begin"/>
            </w:r>
            <w:r>
              <w:rPr>
                <w:noProof/>
                <w:webHidden/>
              </w:rPr>
              <w:instrText xml:space="preserve"> PAGEREF _Toc16702832 \h </w:instrText>
            </w:r>
            <w:r>
              <w:rPr>
                <w:noProof/>
                <w:webHidden/>
              </w:rPr>
            </w:r>
            <w:r>
              <w:rPr>
                <w:noProof/>
                <w:webHidden/>
              </w:rPr>
              <w:fldChar w:fldCharType="separate"/>
            </w:r>
            <w:r>
              <w:rPr>
                <w:noProof/>
                <w:webHidden/>
              </w:rPr>
              <w:t>3</w:t>
            </w:r>
            <w:r>
              <w:rPr>
                <w:noProof/>
                <w:webHidden/>
              </w:rPr>
              <w:fldChar w:fldCharType="end"/>
            </w:r>
          </w:hyperlink>
        </w:p>
        <w:p w:rsidR="006245EF" w:rsidRDefault="009E0751">
          <w:pPr>
            <w:pStyle w:val="TOC1"/>
            <w:tabs>
              <w:tab w:val="right" w:leader="dot" w:pos="9350"/>
            </w:tabs>
            <w:rPr>
              <w:noProof/>
            </w:rPr>
          </w:pPr>
          <w:hyperlink w:anchor="_Toc16702833" w:history="1">
            <w:r w:rsidR="006245EF" w:rsidRPr="00087131">
              <w:rPr>
                <w:rStyle w:val="Hyperlink"/>
                <w:noProof/>
              </w:rPr>
              <w:t>Main Body</w:t>
            </w:r>
            <w:r w:rsidR="006245EF">
              <w:rPr>
                <w:noProof/>
                <w:webHidden/>
              </w:rPr>
              <w:tab/>
            </w:r>
            <w:r w:rsidR="006245EF">
              <w:rPr>
                <w:noProof/>
                <w:webHidden/>
              </w:rPr>
              <w:fldChar w:fldCharType="begin"/>
            </w:r>
            <w:r w:rsidR="006245EF">
              <w:rPr>
                <w:noProof/>
                <w:webHidden/>
              </w:rPr>
              <w:instrText xml:space="preserve"> PAGEREF _Toc16702833 \h </w:instrText>
            </w:r>
            <w:r w:rsidR="006245EF">
              <w:rPr>
                <w:noProof/>
                <w:webHidden/>
              </w:rPr>
            </w:r>
            <w:r w:rsidR="006245EF">
              <w:rPr>
                <w:noProof/>
                <w:webHidden/>
              </w:rPr>
              <w:fldChar w:fldCharType="separate"/>
            </w:r>
            <w:r w:rsidR="006245EF">
              <w:rPr>
                <w:noProof/>
                <w:webHidden/>
              </w:rPr>
              <w:t>3</w:t>
            </w:r>
            <w:r w:rsidR="006245EF">
              <w:rPr>
                <w:noProof/>
                <w:webHidden/>
              </w:rPr>
              <w:fldChar w:fldCharType="end"/>
            </w:r>
          </w:hyperlink>
        </w:p>
        <w:p w:rsidR="006245EF" w:rsidRDefault="009E0751">
          <w:pPr>
            <w:pStyle w:val="TOC1"/>
            <w:tabs>
              <w:tab w:val="right" w:leader="dot" w:pos="9350"/>
            </w:tabs>
            <w:rPr>
              <w:noProof/>
            </w:rPr>
          </w:pPr>
          <w:hyperlink w:anchor="_Toc16702834" w:history="1">
            <w:r w:rsidR="006245EF" w:rsidRPr="00087131">
              <w:rPr>
                <w:rStyle w:val="Hyperlink"/>
                <w:noProof/>
              </w:rPr>
              <w:t>Conclusion</w:t>
            </w:r>
            <w:r w:rsidR="006245EF">
              <w:rPr>
                <w:noProof/>
                <w:webHidden/>
              </w:rPr>
              <w:tab/>
            </w:r>
            <w:r w:rsidR="006245EF">
              <w:rPr>
                <w:noProof/>
                <w:webHidden/>
              </w:rPr>
              <w:fldChar w:fldCharType="begin"/>
            </w:r>
            <w:r w:rsidR="006245EF">
              <w:rPr>
                <w:noProof/>
                <w:webHidden/>
              </w:rPr>
              <w:instrText xml:space="preserve"> PAGEREF _Toc16702834 \h </w:instrText>
            </w:r>
            <w:r w:rsidR="006245EF">
              <w:rPr>
                <w:noProof/>
                <w:webHidden/>
              </w:rPr>
            </w:r>
            <w:r w:rsidR="006245EF">
              <w:rPr>
                <w:noProof/>
                <w:webHidden/>
              </w:rPr>
              <w:fldChar w:fldCharType="separate"/>
            </w:r>
            <w:r w:rsidR="006245EF">
              <w:rPr>
                <w:noProof/>
                <w:webHidden/>
              </w:rPr>
              <w:t>10</w:t>
            </w:r>
            <w:r w:rsidR="006245EF">
              <w:rPr>
                <w:noProof/>
                <w:webHidden/>
              </w:rPr>
              <w:fldChar w:fldCharType="end"/>
            </w:r>
          </w:hyperlink>
        </w:p>
        <w:p w:rsidR="006245EF" w:rsidRDefault="009E0751">
          <w:pPr>
            <w:pStyle w:val="TOC1"/>
            <w:tabs>
              <w:tab w:val="right" w:leader="dot" w:pos="9350"/>
            </w:tabs>
            <w:rPr>
              <w:noProof/>
            </w:rPr>
          </w:pPr>
          <w:hyperlink w:anchor="_Toc16702835" w:history="1">
            <w:r w:rsidR="006245EF" w:rsidRPr="00087131">
              <w:rPr>
                <w:rStyle w:val="Hyperlink"/>
                <w:noProof/>
              </w:rPr>
              <w:t>References</w:t>
            </w:r>
            <w:r w:rsidR="006245EF">
              <w:rPr>
                <w:noProof/>
                <w:webHidden/>
              </w:rPr>
              <w:tab/>
            </w:r>
            <w:r w:rsidR="006245EF">
              <w:rPr>
                <w:noProof/>
                <w:webHidden/>
              </w:rPr>
              <w:fldChar w:fldCharType="begin"/>
            </w:r>
            <w:r w:rsidR="006245EF">
              <w:rPr>
                <w:noProof/>
                <w:webHidden/>
              </w:rPr>
              <w:instrText xml:space="preserve"> PAGEREF _Toc16702835 \h </w:instrText>
            </w:r>
            <w:r w:rsidR="006245EF">
              <w:rPr>
                <w:noProof/>
                <w:webHidden/>
              </w:rPr>
            </w:r>
            <w:r w:rsidR="006245EF">
              <w:rPr>
                <w:noProof/>
                <w:webHidden/>
              </w:rPr>
              <w:fldChar w:fldCharType="separate"/>
            </w:r>
            <w:r w:rsidR="006245EF">
              <w:rPr>
                <w:noProof/>
                <w:webHidden/>
              </w:rPr>
              <w:t>11</w:t>
            </w:r>
            <w:r w:rsidR="006245EF">
              <w:rPr>
                <w:noProof/>
                <w:webHidden/>
              </w:rPr>
              <w:fldChar w:fldCharType="end"/>
            </w:r>
          </w:hyperlink>
        </w:p>
        <w:p w:rsidR="006245EF" w:rsidRDefault="006245EF">
          <w:r>
            <w:fldChar w:fldCharType="end"/>
          </w:r>
        </w:p>
      </w:sdtContent>
    </w:sdt>
    <w:p w:rsidR="006245EF" w:rsidRDefault="006245EF">
      <w:pPr>
        <w:spacing w:line="276" w:lineRule="auto"/>
        <w:jc w:val="left"/>
      </w:pPr>
      <w:r>
        <w:br w:type="page"/>
      </w:r>
    </w:p>
    <w:p w:rsidR="004E026F" w:rsidRDefault="004E026F" w:rsidP="00450ABA">
      <w:pPr>
        <w:spacing w:line="480" w:lineRule="auto"/>
      </w:pPr>
    </w:p>
    <w:p w:rsidR="004E026F" w:rsidRPr="00450ABA" w:rsidRDefault="00314230" w:rsidP="00450ABA">
      <w:pPr>
        <w:pStyle w:val="Heading1"/>
      </w:pPr>
      <w:bookmarkStart w:id="1" w:name="_Toc16702832"/>
      <w:r w:rsidRPr="00450ABA">
        <w:t>Introduction</w:t>
      </w:r>
      <w:bookmarkEnd w:id="1"/>
      <w:r w:rsidRPr="00450ABA">
        <w:t xml:space="preserve"> </w:t>
      </w:r>
    </w:p>
    <w:p w:rsidR="00314230" w:rsidRDefault="00450ABA" w:rsidP="00450ABA">
      <w:pPr>
        <w:spacing w:line="480" w:lineRule="auto"/>
      </w:pPr>
      <w:r w:rsidRPr="00450ABA">
        <w:rPr>
          <w:b/>
        </w:rPr>
        <w:t>Organisational culture</w:t>
      </w:r>
      <w:r>
        <w:t xml:space="preserve"> can be referred to the set of shared values and behavioural ethics that is followed within an organisational context for controlling behavioural outcomes</w:t>
      </w:r>
      <w:r w:rsidRPr="00450ABA">
        <w:t xml:space="preserve"> </w:t>
      </w:r>
      <w:r>
        <w:t>of people within an organisational context in accordance with basic code of conduct</w:t>
      </w:r>
      <w:r w:rsidR="00EA7EE8">
        <w:t xml:space="preserve"> </w:t>
      </w:r>
      <w:r w:rsidR="00EA7EE8" w:rsidRPr="00EA7EE8">
        <w:t>(Muls</w:t>
      </w:r>
      <w:r w:rsidR="00EA7EE8">
        <w:t xml:space="preserve"> et al., </w:t>
      </w:r>
      <w:r w:rsidR="00EA7EE8" w:rsidRPr="00EA7EE8">
        <w:t>2015)</w:t>
      </w:r>
      <w:r>
        <w:t xml:space="preserve">. On the other hand, </w:t>
      </w:r>
      <w:r w:rsidRPr="00450ABA">
        <w:rPr>
          <w:b/>
        </w:rPr>
        <w:t>organisational structure</w:t>
      </w:r>
      <w:r>
        <w:t xml:space="preserve"> can be referred to the structural system of an organisation that controls flow of work instructions at different operational levels through managing activities task allocation, coordination and supervision</w:t>
      </w:r>
      <w:r w:rsidR="00EA7EE8">
        <w:t xml:space="preserve"> </w:t>
      </w:r>
      <w:r w:rsidR="00EA7EE8" w:rsidRPr="00EA7EE8">
        <w:t>(E</w:t>
      </w:r>
      <w:r w:rsidR="00EA7EE8">
        <w:t xml:space="preserve">lsmore, </w:t>
      </w:r>
      <w:r w:rsidR="00EA7EE8" w:rsidRPr="00EA7EE8">
        <w:t>2017)</w:t>
      </w:r>
      <w:r>
        <w:t xml:space="preserve">. It is said organisational culture and structure could play vital roles in directing management-employee relationship and performance of business organisations. Hence, the main purpose of the following study is to illustrate the ways in which organisational culture and structure influence </w:t>
      </w:r>
      <w:r w:rsidR="00761951">
        <w:t xml:space="preserve">management and leadership quality, </w:t>
      </w:r>
      <w:r w:rsidR="00AC61CA">
        <w:t xml:space="preserve">individual behaviour and performance within modern generation organisations. </w:t>
      </w:r>
    </w:p>
    <w:p w:rsidR="00314230" w:rsidRDefault="00314230" w:rsidP="00AC61CA">
      <w:pPr>
        <w:pStyle w:val="Heading1"/>
      </w:pPr>
      <w:bookmarkStart w:id="2" w:name="_Toc16702833"/>
      <w:r>
        <w:t>Main Body</w:t>
      </w:r>
      <w:bookmarkEnd w:id="2"/>
      <w:r>
        <w:t xml:space="preserve"> </w:t>
      </w:r>
    </w:p>
    <w:p w:rsidR="00314230" w:rsidRDefault="00AC488C" w:rsidP="00450ABA">
      <w:pPr>
        <w:spacing w:line="480" w:lineRule="auto"/>
      </w:pPr>
      <w:r>
        <w:t xml:space="preserve">To realise the impacts of organisational culture on organisational performance, first it is important to shed light on its typology. One of the most effective theoretical approaches that clearly classify different types of organisational culture is </w:t>
      </w:r>
      <w:r w:rsidRPr="00AC488C">
        <w:rPr>
          <w:b/>
        </w:rPr>
        <w:t>Charles Handy’s model of Cultural Typology</w:t>
      </w:r>
      <w:r>
        <w:t xml:space="preserve">. According to this model, there are four types of organisational culture that could be found in business organisations which are power, role, task and person culture. </w:t>
      </w:r>
    </w:p>
    <w:p w:rsidR="00AC488C" w:rsidRDefault="00AC488C" w:rsidP="00AC488C">
      <w:pPr>
        <w:spacing w:line="480" w:lineRule="auto"/>
        <w:jc w:val="center"/>
      </w:pPr>
      <w:r>
        <w:rPr>
          <w:noProof/>
          <w:lang w:val="ro-RO" w:eastAsia="ro-RO"/>
        </w:rPr>
        <w:lastRenderedPageBreak/>
        <w:drawing>
          <wp:inline distT="0" distB="0" distL="0" distR="0">
            <wp:extent cx="5386883" cy="3031174"/>
            <wp:effectExtent l="19050" t="0" r="4267" b="0"/>
            <wp:docPr id="1" name="Picture 1" descr="C:\Users\Subho\Desktop\task files\maxresdefaul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ubho\Desktop\task files\maxresdefault (2).jpg"/>
                    <pic:cNvPicPr>
                      <a:picLocks noChangeAspect="1" noChangeArrowheads="1"/>
                    </pic:cNvPicPr>
                  </pic:nvPicPr>
                  <pic:blipFill>
                    <a:blip r:embed="rId7"/>
                    <a:srcRect/>
                    <a:stretch>
                      <a:fillRect/>
                    </a:stretch>
                  </pic:blipFill>
                  <pic:spPr bwMode="auto">
                    <a:xfrm>
                      <a:off x="0" y="0"/>
                      <a:ext cx="5389123" cy="3032434"/>
                    </a:xfrm>
                    <a:prstGeom prst="rect">
                      <a:avLst/>
                    </a:prstGeom>
                    <a:noFill/>
                    <a:ln w="9525">
                      <a:noFill/>
                      <a:miter lim="800000"/>
                      <a:headEnd/>
                      <a:tailEnd/>
                    </a:ln>
                  </pic:spPr>
                </pic:pic>
              </a:graphicData>
            </a:graphic>
          </wp:inline>
        </w:drawing>
      </w:r>
    </w:p>
    <w:p w:rsidR="00AC488C" w:rsidRDefault="00AC488C" w:rsidP="00AC488C">
      <w:pPr>
        <w:spacing w:line="480" w:lineRule="auto"/>
        <w:jc w:val="center"/>
      </w:pPr>
      <w:r>
        <w:t xml:space="preserve">Source: </w:t>
      </w:r>
      <w:r w:rsidR="00EE6BC1">
        <w:t>(</w:t>
      </w:r>
      <w:r w:rsidR="00EE6BC1" w:rsidRPr="00EA7EE8">
        <w:t>Muls</w:t>
      </w:r>
      <w:r w:rsidR="00EE6BC1">
        <w:t xml:space="preserve"> et al., </w:t>
      </w:r>
      <w:r w:rsidR="00EE6BC1" w:rsidRPr="00EA7EE8">
        <w:t>2015</w:t>
      </w:r>
      <w:r w:rsidR="00EE6BC1">
        <w:t>)</w:t>
      </w:r>
    </w:p>
    <w:p w:rsidR="00AC488C" w:rsidRDefault="00AC488C" w:rsidP="00450ABA">
      <w:pPr>
        <w:spacing w:line="480" w:lineRule="auto"/>
      </w:pPr>
      <w:r w:rsidRPr="00AC488C">
        <w:rPr>
          <w:b/>
        </w:rPr>
        <w:t>Power culture</w:t>
      </w:r>
      <w:r>
        <w:t xml:space="preserve"> in organisation limits the authority of decision making power in the hands of fewer management or leadership individuals and staffs are controlled by strict policies and instructions to follow the decisions of empowered managers or leaders</w:t>
      </w:r>
      <w:r w:rsidR="00EA7EE8">
        <w:t xml:space="preserve"> </w:t>
      </w:r>
      <w:r w:rsidR="00EA7EE8" w:rsidRPr="00EA7EE8">
        <w:t>(Muls</w:t>
      </w:r>
      <w:r w:rsidR="00EA7EE8">
        <w:t xml:space="preserve"> et al., </w:t>
      </w:r>
      <w:r w:rsidR="00EA7EE8" w:rsidRPr="00EA7EE8">
        <w:t>2015)</w:t>
      </w:r>
      <w:r>
        <w:t xml:space="preserve">. This kind of </w:t>
      </w:r>
      <w:r w:rsidR="002B1F4C">
        <w:t>organisational</w:t>
      </w:r>
      <w:r>
        <w:t xml:space="preserve"> culture is highly useful for smaller aspect </w:t>
      </w:r>
      <w:r w:rsidR="002B1F4C">
        <w:t>organisations</w:t>
      </w:r>
      <w:r>
        <w:t xml:space="preserve"> and </w:t>
      </w:r>
      <w:r w:rsidR="002B1F4C">
        <w:t>it is also useful for quick decision making needs in bigger aspect organisations as well. Organisations requiring better workforce control can also make effective use of this kind of culture as well. However, there are several disadvantages like lack of staff involvement, lack of workforce motivation, bigger losses caused by inappropriate strategic decisions of empowered leaders or managers, etc</w:t>
      </w:r>
      <w:r w:rsidR="00191391">
        <w:t xml:space="preserve"> </w:t>
      </w:r>
      <w:r w:rsidR="00191391" w:rsidRPr="00EA7EE8">
        <w:t>(</w:t>
      </w:r>
      <w:r w:rsidR="00191391">
        <w:t xml:space="preserve">Mohelska &amp; Sokolova, </w:t>
      </w:r>
      <w:r w:rsidR="00191391" w:rsidRPr="00EA7EE8">
        <w:t>2015)</w:t>
      </w:r>
      <w:r w:rsidR="002B1F4C">
        <w:t xml:space="preserve">. </w:t>
      </w:r>
    </w:p>
    <w:p w:rsidR="002B1F4C" w:rsidRDefault="002B1F4C" w:rsidP="00450ABA">
      <w:pPr>
        <w:spacing w:line="480" w:lineRule="auto"/>
      </w:pPr>
      <w:r>
        <w:t xml:space="preserve">To justify the impacts of power culture on organisations, the case study of Ryanair can be discussed. Ryanair, low cost airline brand has faced severe strikes by pilots in multiple operational regions like Ireland, Sweden, Belgium, Germany and Netherlands. Pilots of Ryanair are common </w:t>
      </w:r>
      <w:r>
        <w:lastRenderedPageBreak/>
        <w:t xml:space="preserve">members in trade union called BALPA and they have united against the management policies of the organisation for treating pilots with self-employed status and limited pay. Stubborn management decision of authorities of Ryanair without discussion with pilot trade unions and even pilots caused this severe strike </w:t>
      </w:r>
      <w:r w:rsidR="00D349B8">
        <w:t xml:space="preserve">and cancellation of over 100 flights. </w:t>
      </w:r>
    </w:p>
    <w:p w:rsidR="00D349B8" w:rsidRDefault="00D349B8" w:rsidP="00450ABA">
      <w:pPr>
        <w:spacing w:line="480" w:lineRule="auto"/>
      </w:pPr>
      <w:r w:rsidRPr="00D349B8">
        <w:rPr>
          <w:b/>
        </w:rPr>
        <w:t>Role culture</w:t>
      </w:r>
      <w:r>
        <w:t xml:space="preserve"> is referred to one of the most effective organisational cultures because it assigns certain level of decision making authority to each individual employed within an organisation in accordance with his or her role in the operation system</w:t>
      </w:r>
      <w:r w:rsidR="00EA7EE8">
        <w:t xml:space="preserve"> </w:t>
      </w:r>
      <w:r w:rsidR="00EA7EE8" w:rsidRPr="00EA7EE8">
        <w:t>(E</w:t>
      </w:r>
      <w:r w:rsidR="00EA7EE8">
        <w:t xml:space="preserve">lsmore, </w:t>
      </w:r>
      <w:r w:rsidR="00EA7EE8" w:rsidRPr="00EA7EE8">
        <w:t>2017)</w:t>
      </w:r>
      <w:r>
        <w:t xml:space="preserve">. This kind of organisational culture is referred to have highest level of employee work engagement and motivational benefits due to their highest level of decision making autonomy as per employed job role. However, sometimes role culture can lead to severe implications and policy breaches in organisations due to high level of staff empowerment. </w:t>
      </w:r>
    </w:p>
    <w:p w:rsidR="00D349B8" w:rsidRDefault="00D349B8" w:rsidP="00450ABA">
      <w:pPr>
        <w:spacing w:line="480" w:lineRule="auto"/>
      </w:pPr>
      <w:r>
        <w:t xml:space="preserve">For justification of the impacts of </w:t>
      </w:r>
      <w:r w:rsidR="00513930">
        <w:t>role culture in organisations, the case study of Google can be mentioned. Google has a very positive work culture for allowing staffs to flexibly manage their work time and use internal resources and certain proportion of working hours for own innovative projects. This high level of employee empowerment in Google has also paid off the organisation in the form of revolutionary service innovations, for example Innovation of Gmail services by Google developer Paul Buchheit</w:t>
      </w:r>
      <w:r w:rsidR="00EA7EE8">
        <w:t xml:space="preserve"> </w:t>
      </w:r>
      <w:r w:rsidR="00EA7EE8" w:rsidRPr="00EA7EE8">
        <w:t>(Muls</w:t>
      </w:r>
      <w:r w:rsidR="00EA7EE8">
        <w:t xml:space="preserve"> et al., </w:t>
      </w:r>
      <w:r w:rsidR="00EA7EE8" w:rsidRPr="00EA7EE8">
        <w:t>2015)</w:t>
      </w:r>
      <w:r w:rsidR="00513930">
        <w:t xml:space="preserve">. </w:t>
      </w:r>
    </w:p>
    <w:p w:rsidR="00513930" w:rsidRDefault="00513930" w:rsidP="00450ABA">
      <w:pPr>
        <w:spacing w:line="480" w:lineRule="auto"/>
      </w:pPr>
      <w:r>
        <w:t xml:space="preserve">Another important organisational culture is the </w:t>
      </w:r>
      <w:r w:rsidRPr="00513930">
        <w:rPr>
          <w:b/>
        </w:rPr>
        <w:t>task culture</w:t>
      </w:r>
      <w:r>
        <w:t xml:space="preserve"> which guides leaders and managers in organisations to work in participative nature and prioritise team based decision making process</w:t>
      </w:r>
      <w:r w:rsidR="00191391">
        <w:t xml:space="preserve"> </w:t>
      </w:r>
      <w:r w:rsidR="00191391" w:rsidRPr="00EA7EE8">
        <w:t>(</w:t>
      </w:r>
      <w:r w:rsidR="00191391">
        <w:t xml:space="preserve">Mohelska &amp; Sokolova, </w:t>
      </w:r>
      <w:r w:rsidR="00191391" w:rsidRPr="00EA7EE8">
        <w:t>2015)</w:t>
      </w:r>
      <w:r>
        <w:t xml:space="preserve">. This work culture offers an organisation with strong employee motivation benefits due to their equal involvement in decision making process and it also triggers the development teamwork based operational culture as well. However, slow decision making in </w:t>
      </w:r>
      <w:r>
        <w:lastRenderedPageBreak/>
        <w:t xml:space="preserve">critical situation due to diversity of views among staffs could be a huge drawback of this organisational culture. </w:t>
      </w:r>
    </w:p>
    <w:p w:rsidR="00513930" w:rsidRDefault="00513930" w:rsidP="00450ABA">
      <w:pPr>
        <w:spacing w:line="480" w:lineRule="auto"/>
      </w:pPr>
      <w:r>
        <w:t>Organisational example that can be mentioned to further explain task culture is Premier Inn, the largest hotel chain operator in the UK. Premier Inn is a completely owned subsidiary brand of Whitbread Plc</w:t>
      </w:r>
      <w:r w:rsidR="00EA7EE8">
        <w:t xml:space="preserve"> </w:t>
      </w:r>
      <w:r w:rsidR="00EA7EE8" w:rsidRPr="00EA7EE8">
        <w:t>(E</w:t>
      </w:r>
      <w:r w:rsidR="00EA7EE8">
        <w:t xml:space="preserve">lsmore, </w:t>
      </w:r>
      <w:r w:rsidR="00EA7EE8" w:rsidRPr="00EA7EE8">
        <w:t>2017)</w:t>
      </w:r>
      <w:r>
        <w:t xml:space="preserve">. Management of Whitbread Plc and top management authority of Premier Inn only </w:t>
      </w:r>
      <w:r w:rsidR="00D00E83">
        <w:t xml:space="preserve">determines the basic employment and </w:t>
      </w:r>
      <w:r>
        <w:t xml:space="preserve">behavioural policies </w:t>
      </w:r>
      <w:r w:rsidR="00D00E83">
        <w:t xml:space="preserve">and quality indicators for the hotels but operation management decisions sin individual Premier Inn hotels are made by managers and staffs in individual functional areas based on team based decision making process. </w:t>
      </w:r>
    </w:p>
    <w:p w:rsidR="00D00E83" w:rsidRDefault="00AD7E8E" w:rsidP="00450ABA">
      <w:pPr>
        <w:spacing w:line="480" w:lineRule="auto"/>
      </w:pPr>
      <w:r>
        <w:t xml:space="preserve">According to Handy’s Model, the most negative form of organisational culture is </w:t>
      </w:r>
      <w:r w:rsidRPr="00AD7E8E">
        <w:rPr>
          <w:b/>
        </w:rPr>
        <w:t>person culture</w:t>
      </w:r>
      <w:r>
        <w:t xml:space="preserve"> because in this kind of work culture people within an organisation use internal politics for acquiring greater decision making power and authority to fulfil own benefits and interested instead of prioritising organisational goals</w:t>
      </w:r>
      <w:r w:rsidR="00EA7EE8">
        <w:t xml:space="preserve"> </w:t>
      </w:r>
      <w:r w:rsidR="00EA7EE8" w:rsidRPr="00EA7EE8">
        <w:t>(Muls</w:t>
      </w:r>
      <w:r w:rsidR="00EA7EE8">
        <w:t xml:space="preserve"> et al., </w:t>
      </w:r>
      <w:r w:rsidR="00EA7EE8" w:rsidRPr="00EA7EE8">
        <w:t>2015)</w:t>
      </w:r>
      <w:r>
        <w:t>. Thus kind of organisational culture provides an organisation with limitless disadvantages instead of benefits. Poor work engagement of staffs, lesser priority of organisational benefits, etc are some of the most implicating disadvantages of person culture in organisations</w:t>
      </w:r>
      <w:r w:rsidR="00EA7EE8">
        <w:t xml:space="preserve"> </w:t>
      </w:r>
      <w:r w:rsidR="00EA7EE8" w:rsidRPr="00EA7EE8">
        <w:t>(</w:t>
      </w:r>
      <w:r w:rsidR="00EA7EE8">
        <w:t xml:space="preserve">Mohelska &amp; Sokolova, </w:t>
      </w:r>
      <w:r w:rsidR="00EA7EE8" w:rsidRPr="00EA7EE8">
        <w:t>2015)</w:t>
      </w:r>
      <w:r>
        <w:t xml:space="preserve">. </w:t>
      </w:r>
    </w:p>
    <w:p w:rsidR="00AD7E8E" w:rsidRDefault="00AD7E8E" w:rsidP="00450ABA">
      <w:pPr>
        <w:spacing w:line="480" w:lineRule="auto"/>
      </w:pPr>
      <w:r>
        <w:t xml:space="preserve">One of the most relevant examples of person that can be given in this regard is failure of Kodak. Kodak used to be the global leader in the camera industry and it is one of the rarest organisations in 1966v to reach a sales volume of over </w:t>
      </w:r>
      <w:r w:rsidRPr="00AD7E8E">
        <w:t>$2 billion</w:t>
      </w:r>
      <w:r>
        <w:t xml:space="preserve">. However, the leaders or CEO in Kodak at that point focused on their interest to protect their income from film business across the world and neglected the innovation of digital camera by one of their staffs, </w:t>
      </w:r>
      <w:r w:rsidRPr="00AD7E8E">
        <w:t>Steve Sasson</w:t>
      </w:r>
      <w:r>
        <w:t xml:space="preserve"> in 1975. Latterly, increasing global market popularity of digital camera and obsoleteness of film based camera caused th</w:t>
      </w:r>
      <w:r w:rsidR="00EA7EE8">
        <w:t xml:space="preserve">e bankruptcy of Kodak in 2012 </w:t>
      </w:r>
      <w:r w:rsidR="00EA7EE8" w:rsidRPr="00EA7EE8">
        <w:t>(E</w:t>
      </w:r>
      <w:r w:rsidR="00EA7EE8">
        <w:t xml:space="preserve">lsmore, </w:t>
      </w:r>
      <w:r w:rsidR="00EA7EE8" w:rsidRPr="00EA7EE8">
        <w:t>2017)</w:t>
      </w:r>
      <w:r w:rsidR="00EA7EE8">
        <w:t xml:space="preserve">. </w:t>
      </w:r>
    </w:p>
    <w:p w:rsidR="0087536B" w:rsidRDefault="00AD7E8E" w:rsidP="00450ABA">
      <w:pPr>
        <w:spacing w:line="480" w:lineRule="auto"/>
      </w:pPr>
      <w:r>
        <w:lastRenderedPageBreak/>
        <w:t xml:space="preserve">Explaining the impacts of leadership and management quality on staff behaviour and organisational performance is also another significant purpose of the following study. To accomplish this purpose, first of all different forms of power within an organisation needs to be explained. The most effective theory that classifies different forms of power in modern generation business entities is </w:t>
      </w:r>
      <w:r w:rsidRPr="0087536B">
        <w:rPr>
          <w:b/>
        </w:rPr>
        <w:t>French and Raven’s Power Theory</w:t>
      </w:r>
      <w:r>
        <w:t xml:space="preserve">. </w:t>
      </w:r>
      <w:r w:rsidR="0087536B">
        <w:t xml:space="preserve">The theory primarily suggests 5 forms of power in organisations which are coercive, reward, referent, legitimate and expert power. These five forms of power </w:t>
      </w:r>
    </w:p>
    <w:p w:rsidR="002B77A7" w:rsidRDefault="002B77A7" w:rsidP="00450ABA">
      <w:pPr>
        <w:spacing w:line="480" w:lineRule="auto"/>
      </w:pPr>
      <w:r w:rsidRPr="00727F04">
        <w:rPr>
          <w:b/>
        </w:rPr>
        <w:t>Reward power</w:t>
      </w:r>
      <w:r>
        <w:t xml:space="preserve"> refers to approach of leaders and management in organisation to get things done by staffs depending on rewards for targeted performance benchmarks. It is one of the most effective and motivational form of power in organisations to inspire staffs to follow management instructions by offering rewards as per their expectations</w:t>
      </w:r>
      <w:r w:rsidR="00EA7EE8">
        <w:t xml:space="preserve"> </w:t>
      </w:r>
      <w:r w:rsidR="00EA7EE8" w:rsidRPr="00EA7EE8">
        <w:t>(</w:t>
      </w:r>
      <w:r w:rsidR="00EA7EE8">
        <w:t xml:space="preserve">Pratto, </w:t>
      </w:r>
      <w:r w:rsidR="00EA7EE8" w:rsidRPr="00EA7EE8">
        <w:t>2016)</w:t>
      </w:r>
      <w:r>
        <w:t xml:space="preserve">. On the other hand, </w:t>
      </w:r>
      <w:r w:rsidRPr="00727F04">
        <w:rPr>
          <w:b/>
        </w:rPr>
        <w:t>coercive power</w:t>
      </w:r>
      <w:r>
        <w:t xml:space="preserve"> is the opposite form of power in organisations in which people are forced to follow managerial instructions and meet performance targets based on penalisation. Unlike the reward power, coercive power makes very little contribution in staff motivation as they are under continuous threat for being penalised for not meeting performance targets or not following instructions</w:t>
      </w:r>
      <w:r w:rsidR="00EA7EE8">
        <w:t xml:space="preserve"> </w:t>
      </w:r>
      <w:r w:rsidR="00EA7EE8" w:rsidRPr="00EA7EE8">
        <w:t>(</w:t>
      </w:r>
      <w:r w:rsidR="00EA7EE8">
        <w:t xml:space="preserve">Raven, </w:t>
      </w:r>
      <w:r w:rsidR="00EA7EE8" w:rsidRPr="00EA7EE8">
        <w:t>2017)</w:t>
      </w:r>
      <w:r>
        <w:t xml:space="preserve">. </w:t>
      </w:r>
    </w:p>
    <w:p w:rsidR="00727F04" w:rsidRDefault="002B77A7" w:rsidP="00450ABA">
      <w:pPr>
        <w:spacing w:line="480" w:lineRule="auto"/>
      </w:pPr>
      <w:r>
        <w:t xml:space="preserve">Another important form of power according to this model is </w:t>
      </w:r>
      <w:r w:rsidRPr="00727F04">
        <w:rPr>
          <w:b/>
        </w:rPr>
        <w:t>legitimate power</w:t>
      </w:r>
      <w:r>
        <w:t xml:space="preserve"> in which powers and authority of individuals are assigned as per their role in the operation system and hierarchy. Generally legitimate power promotes the concept of role culture as peop</w:t>
      </w:r>
      <w:r w:rsidR="00727F04">
        <w:t>le within an organisation enjoy</w:t>
      </w:r>
      <w:r>
        <w:t xml:space="preserve"> a certain level of autonomy based on won contributions and role in the operation system</w:t>
      </w:r>
      <w:r w:rsidR="00EA7EE8">
        <w:t xml:space="preserve"> </w:t>
      </w:r>
      <w:r w:rsidR="00EA7EE8" w:rsidRPr="00EA7EE8">
        <w:t>(Muls</w:t>
      </w:r>
      <w:r w:rsidR="00EA7EE8">
        <w:t xml:space="preserve"> et al., </w:t>
      </w:r>
      <w:r w:rsidR="00EA7EE8" w:rsidRPr="00EA7EE8">
        <w:t>2015)</w:t>
      </w:r>
      <w:r>
        <w:t xml:space="preserve">. </w:t>
      </w:r>
      <w:r w:rsidR="00727F04">
        <w:t xml:space="preserve">Now it should also be mentioned that the above three forms of power in the </w:t>
      </w:r>
      <w:r w:rsidR="00727F04" w:rsidRPr="00727F04">
        <w:t>French and Raven’s Power Theory</w:t>
      </w:r>
      <w:r w:rsidR="00727F04">
        <w:t xml:space="preserve"> are categorised as positional power as these are based on position based allocation of power. </w:t>
      </w:r>
    </w:p>
    <w:p w:rsidR="002B77A7" w:rsidRDefault="00727F04" w:rsidP="00450ABA">
      <w:pPr>
        <w:spacing w:line="480" w:lineRule="auto"/>
      </w:pPr>
      <w:r>
        <w:lastRenderedPageBreak/>
        <w:t xml:space="preserve">Another category of power in this model is personal power in which power of an individual leader is considered and it includes two types of powers which are expert and referent power. </w:t>
      </w:r>
      <w:r w:rsidRPr="00727F04">
        <w:rPr>
          <w:b/>
        </w:rPr>
        <w:t>Referent power</w:t>
      </w:r>
      <w:r>
        <w:t xml:space="preserve"> can be referred to the approach for providing a leader within an organisation with greater decision making authority based on his charismatic quality, characteristic traits and executive presence for influencing staff obedience</w:t>
      </w:r>
      <w:r w:rsidR="00EA7EE8">
        <w:t xml:space="preserve"> </w:t>
      </w:r>
      <w:r w:rsidR="00EA7EE8" w:rsidRPr="00EA7EE8">
        <w:t>(</w:t>
      </w:r>
      <w:r w:rsidR="00EA7EE8">
        <w:t xml:space="preserve">Raven, </w:t>
      </w:r>
      <w:r w:rsidR="00EA7EE8" w:rsidRPr="00EA7EE8">
        <w:t>2017)</w:t>
      </w:r>
      <w:r>
        <w:t xml:space="preserve">. On the other hand, </w:t>
      </w:r>
      <w:r w:rsidRPr="00727F04">
        <w:rPr>
          <w:b/>
        </w:rPr>
        <w:t>expert power</w:t>
      </w:r>
      <w:r>
        <w:t xml:space="preserve"> approach guides an organisation to empower leaders based on their presence of mind, expertise and knowledge for adopting justified leadership approach and techniques for getting desired level of cooperation from staffs</w:t>
      </w:r>
      <w:r w:rsidR="00EA7EE8">
        <w:t xml:space="preserve"> </w:t>
      </w:r>
      <w:r w:rsidR="00EA7EE8" w:rsidRPr="00EA7EE8">
        <w:t>(</w:t>
      </w:r>
      <w:r w:rsidR="00EA7EE8">
        <w:t xml:space="preserve">Pratto, </w:t>
      </w:r>
      <w:r w:rsidR="00EA7EE8" w:rsidRPr="00EA7EE8">
        <w:t>2016)</w:t>
      </w:r>
      <w:r>
        <w:t xml:space="preserve">. </w:t>
      </w:r>
    </w:p>
    <w:p w:rsidR="00D85C86" w:rsidRDefault="00727F04" w:rsidP="00450ABA">
      <w:pPr>
        <w:spacing w:line="480" w:lineRule="auto"/>
      </w:pPr>
      <w:r>
        <w:t xml:space="preserve">Apart from the above mentioned 5 types of power, Raven latterly added another form of power in this theory which is called as informational power. </w:t>
      </w:r>
      <w:r w:rsidRPr="00D85C86">
        <w:rPr>
          <w:b/>
        </w:rPr>
        <w:t>Informational power</w:t>
      </w:r>
      <w:r>
        <w:t xml:space="preserve"> of a leader in organisation refers to his capabilities for driving workforce </w:t>
      </w:r>
      <w:r w:rsidR="00D85C86">
        <w:t>activities</w:t>
      </w:r>
      <w:r>
        <w:t xml:space="preserve"> and </w:t>
      </w:r>
      <w:r w:rsidR="00D85C86">
        <w:t>cooperation in accordance with targeted organisational goals by sharing valid information about organisational objectives, job roles, guidance and constructive feedbacks</w:t>
      </w:r>
      <w:r w:rsidR="00EA7EE8">
        <w:t xml:space="preserve"> </w:t>
      </w:r>
      <w:r w:rsidR="00EA7EE8" w:rsidRPr="00EA7EE8">
        <w:t>(</w:t>
      </w:r>
      <w:r w:rsidR="00EA7EE8">
        <w:t xml:space="preserve">Raven, </w:t>
      </w:r>
      <w:r w:rsidR="00EA7EE8" w:rsidRPr="00EA7EE8">
        <w:t>2017)</w:t>
      </w:r>
      <w:r w:rsidR="00D85C86">
        <w:t xml:space="preserve">. </w:t>
      </w:r>
    </w:p>
    <w:p w:rsidR="00D85C86" w:rsidRDefault="00D85C86" w:rsidP="00450ABA">
      <w:pPr>
        <w:spacing w:line="480" w:lineRule="auto"/>
      </w:pPr>
      <w:r>
        <w:t>It can be said that all 6 different forms of power could have diverse impacts on workforce behaviour or individual behaviour within an organisational context. Reward power can generate competitive work environment within an organisational context by driving individual staffs to achieve greater incentives and performance benefits in the form of reward. For example, Thomas Cook reward system for sales executives based on sales performance and achievement of monthly sales targets</w:t>
      </w:r>
      <w:r w:rsidR="00EA7EE8">
        <w:t xml:space="preserve"> </w:t>
      </w:r>
      <w:r w:rsidR="00EA7EE8" w:rsidRPr="00EA7EE8">
        <w:t>(</w:t>
      </w:r>
      <w:r w:rsidR="00EA7EE8">
        <w:t xml:space="preserve">Pratto, </w:t>
      </w:r>
      <w:r w:rsidR="00EA7EE8" w:rsidRPr="00EA7EE8">
        <w:t>2016)</w:t>
      </w:r>
      <w:r>
        <w:t>. On the other hand, coercive power of leadership and management in organisation can unite staffs against the leadership authority due to their deprivation form basic rights. For example, pilot strike and operational freeze faced by British Airways in recent times due to employee dissatisfaction and protestation against low pay</w:t>
      </w:r>
      <w:r w:rsidR="00EA7EE8">
        <w:t xml:space="preserve"> </w:t>
      </w:r>
      <w:r w:rsidR="00EA7EE8" w:rsidRPr="00EA7EE8">
        <w:t>(</w:t>
      </w:r>
      <w:r w:rsidR="00EA7EE8">
        <w:t xml:space="preserve">Popli &amp; Rizvi, </w:t>
      </w:r>
      <w:r w:rsidR="00EA7EE8" w:rsidRPr="00EA7EE8">
        <w:t>2016)</w:t>
      </w:r>
      <w:r>
        <w:t xml:space="preserve">. </w:t>
      </w:r>
    </w:p>
    <w:p w:rsidR="00727F04" w:rsidRDefault="00D85C86" w:rsidP="00450ABA">
      <w:pPr>
        <w:spacing w:line="480" w:lineRule="auto"/>
      </w:pPr>
      <w:r>
        <w:lastRenderedPageBreak/>
        <w:t xml:space="preserve">If an ideal example of referent power needs to be given, the name of Steve Jobs, former Apple CEO can be mentioned because it is his charisma and innovation abilities that inspired staffs to follow his footprints. On the other hand, example of expert power can be given through mentioning the name of </w:t>
      </w:r>
      <w:r w:rsidRPr="00D85C86">
        <w:t>Howard Schultz</w:t>
      </w:r>
      <w:r>
        <w:t xml:space="preserve"> who bought loss making Starbucks business from its 3 founding members in 1987 and established it as a globally successful </w:t>
      </w:r>
      <w:r w:rsidR="00F3466D">
        <w:t>coffeehouse chain</w:t>
      </w:r>
      <w:r w:rsidR="00EA7EE8">
        <w:t xml:space="preserve"> </w:t>
      </w:r>
      <w:r w:rsidR="00EA7EE8" w:rsidRPr="00EA7EE8">
        <w:t>(</w:t>
      </w:r>
      <w:r w:rsidR="00EA7EE8">
        <w:t xml:space="preserve">Raven, </w:t>
      </w:r>
      <w:r w:rsidR="00EA7EE8" w:rsidRPr="00EA7EE8">
        <w:t>2017)</w:t>
      </w:r>
      <w:r w:rsidR="00F3466D">
        <w:t xml:space="preserve">. </w:t>
      </w:r>
    </w:p>
    <w:p w:rsidR="00D65496" w:rsidRDefault="00F3466D" w:rsidP="00450ABA">
      <w:pPr>
        <w:spacing w:line="480" w:lineRule="auto"/>
      </w:pPr>
      <w:r>
        <w:t>Apart from theoretical explanation of impacts of organisational culture, structure and power in organisations on staff behaviour and performance, it should be mentioned that there are certain drivers that could significantly influence individual behaviour within modern generation organisations. Hertzberg’s Two Factor is one of the most important theoretical concepts that clearly summarise the most impactful behaviour drivers for people within organisations. The theory divides behaviour drivers for people into two categories which are motivation and hygiene factors. Motivation factor includes motivational drivers like career growth, performance recognition, sense of achievement, etc</w:t>
      </w:r>
      <w:r w:rsidR="00EA7EE8">
        <w:t xml:space="preserve"> </w:t>
      </w:r>
      <w:r w:rsidR="00EA7EE8" w:rsidRPr="00EA7EE8">
        <w:t>(</w:t>
      </w:r>
      <w:r w:rsidR="00EA7EE8">
        <w:t xml:space="preserve">Pratto, </w:t>
      </w:r>
      <w:r w:rsidR="00EA7EE8" w:rsidRPr="00EA7EE8">
        <w:t>2016)</w:t>
      </w:r>
      <w:r>
        <w:t xml:space="preserve">. On the other hand, hygiene factor in this theory sheds light on basic factors that keeps staff behaviour in the favour of employer, for example – good pay, positive supervision, employee-management relationship, </w:t>
      </w:r>
      <w:r w:rsidR="00D65496">
        <w:t>working conditions, etc</w:t>
      </w:r>
      <w:r w:rsidR="00EA7EE8">
        <w:t xml:space="preserve"> </w:t>
      </w:r>
      <w:r w:rsidR="00EA7EE8" w:rsidRPr="00EA7EE8">
        <w:t>(</w:t>
      </w:r>
      <w:r w:rsidR="00EA7EE8">
        <w:t xml:space="preserve">Popli &amp; Rizvi, </w:t>
      </w:r>
      <w:r w:rsidR="00EA7EE8" w:rsidRPr="00EA7EE8">
        <w:t>2016)</w:t>
      </w:r>
      <w:r w:rsidR="00D65496">
        <w:t xml:space="preserve">. </w:t>
      </w:r>
    </w:p>
    <w:p w:rsidR="00314230" w:rsidRDefault="00D65496" w:rsidP="00450ABA">
      <w:pPr>
        <w:spacing w:line="480" w:lineRule="auto"/>
      </w:pPr>
      <w:r>
        <w:t xml:space="preserve">Hertzberg’s Theory summarises the basic drivers of employee behaviour within workplace but there are certain factors that causes diversity of individual behaviour within an organisational context as well. Individual behavioural differences </w:t>
      </w:r>
      <w:r w:rsidR="003367AA">
        <w:t xml:space="preserve">within an organisational context largely vary based on psychological perception of people towards work. That is the reason X and Y Theory of motivation represent two different sort of work culture among people, people belonging to X category avoids bigger responsibilities and task and people belonging to Y category shows active motivation to take bigger roles and responsibilities to grow their career reputation. Career </w:t>
      </w:r>
      <w:r w:rsidR="003367AA">
        <w:lastRenderedPageBreak/>
        <w:t>objective, cultural background, fulfilment of esteem needs, self-actualisation within workplace, etc</w:t>
      </w:r>
      <w:r w:rsidR="00EA7EE8">
        <w:t xml:space="preserve"> are also important factors for</w:t>
      </w:r>
      <w:r w:rsidR="003367AA">
        <w:t xml:space="preserve"> diversifying individual behaviour within organisations as well</w:t>
      </w:r>
      <w:r w:rsidR="00EA7EE8">
        <w:t xml:space="preserve"> </w:t>
      </w:r>
      <w:r w:rsidR="00EA7EE8" w:rsidRPr="00EA7EE8">
        <w:t>(</w:t>
      </w:r>
      <w:r w:rsidR="00EA7EE8">
        <w:t xml:space="preserve">Popli &amp; Rizvi, </w:t>
      </w:r>
      <w:r w:rsidR="00EA7EE8" w:rsidRPr="00EA7EE8">
        <w:t>2016)</w:t>
      </w:r>
      <w:r w:rsidR="003367AA">
        <w:t xml:space="preserve">. </w:t>
      </w:r>
    </w:p>
    <w:p w:rsidR="00314230" w:rsidRDefault="00314230" w:rsidP="003367AA">
      <w:pPr>
        <w:pStyle w:val="Heading1"/>
      </w:pPr>
      <w:bookmarkStart w:id="3" w:name="_Toc16702834"/>
      <w:r>
        <w:t>Conclusion</w:t>
      </w:r>
      <w:bookmarkEnd w:id="3"/>
      <w:r>
        <w:t xml:space="preserve"> </w:t>
      </w:r>
    </w:p>
    <w:p w:rsidR="00314230" w:rsidRDefault="003367AA" w:rsidP="00450ABA">
      <w:pPr>
        <w:spacing w:line="480" w:lineRule="auto"/>
      </w:pPr>
      <w:r>
        <w:t>To conclude this study, it can be mentioned that culture, structure, power, leaders and mangers are significant factors for driving performance and employee behaviour within an organisational context. However, suitability of chosen strategies and approaches with workforce nature and working conditions of an organisation is the key for ultimate success. For example, reward power may be suitable for staff motivation retail and other highly commercial industries but it is not enough for staff motivation in healthcare organisations because there is a huge difference between meeting sales tar</w:t>
      </w:r>
      <w:r w:rsidR="00EA7EE8">
        <w:t>gets and care needs of people. S</w:t>
      </w:r>
      <w:r>
        <w:t xml:space="preserve">taffs in healthcare organisations require </w:t>
      </w:r>
      <w:r w:rsidR="00EA7EE8">
        <w:t xml:space="preserve">legitimate power for putting their own innovation and experiences for diversifying care initiatives according to needs of individual patients. Similarly, an organisation with x-category of workforce cannot adopt role or task culture because staffs will show lesser engagement to work in the interest of their employer. Coercive power and power culture is the best suitable to control this kind of workforce based on strict instructions. </w:t>
      </w:r>
    </w:p>
    <w:p w:rsidR="006245EF" w:rsidRDefault="006245EF" w:rsidP="00EA7EE8">
      <w:pPr>
        <w:pStyle w:val="Heading1"/>
      </w:pPr>
    </w:p>
    <w:p w:rsidR="006245EF" w:rsidRDefault="006245EF" w:rsidP="00EA7EE8">
      <w:pPr>
        <w:pStyle w:val="Heading1"/>
      </w:pPr>
    </w:p>
    <w:p w:rsidR="00314230" w:rsidRDefault="00314230" w:rsidP="00EA7EE8">
      <w:pPr>
        <w:pStyle w:val="Heading1"/>
      </w:pPr>
      <w:bookmarkStart w:id="4" w:name="_Toc16702835"/>
      <w:r>
        <w:t>References</w:t>
      </w:r>
      <w:bookmarkEnd w:id="4"/>
      <w:r>
        <w:t xml:space="preserve"> </w:t>
      </w:r>
    </w:p>
    <w:p w:rsidR="006245EF" w:rsidRDefault="006245EF" w:rsidP="00450ABA">
      <w:pPr>
        <w:spacing w:line="480" w:lineRule="auto"/>
      </w:pPr>
      <w:r w:rsidRPr="00EA7EE8">
        <w:t>Elsmore, P. (2017). Organisational Culture: Organisational Change?: Organisational Change?. Routledge.</w:t>
      </w:r>
    </w:p>
    <w:p w:rsidR="006245EF" w:rsidRDefault="006245EF" w:rsidP="00450ABA">
      <w:pPr>
        <w:spacing w:line="480" w:lineRule="auto"/>
      </w:pPr>
      <w:r w:rsidRPr="00EA7EE8">
        <w:t>Mohelska, H., &amp; Sokolova, M. (2015). Organisational culture and leadership–joint vessels?. Procedia-Social and Behavioral Sciences, 171, 1011-1016.</w:t>
      </w:r>
    </w:p>
    <w:p w:rsidR="006245EF" w:rsidRDefault="006245EF" w:rsidP="00450ABA">
      <w:pPr>
        <w:spacing w:line="480" w:lineRule="auto"/>
      </w:pPr>
      <w:r w:rsidRPr="00EA7EE8">
        <w:t>Muls, A., Dougherty, L., Doyle, N., Shaw, C., Soanes, L., &amp; Stevens, A. M. (2015). Influencing organisational culture: a leadership challenge. British Journal of Nursing, 24(12), 633-638.</w:t>
      </w:r>
    </w:p>
    <w:p w:rsidR="006245EF" w:rsidRDefault="006245EF" w:rsidP="00450ABA">
      <w:pPr>
        <w:spacing w:line="480" w:lineRule="auto"/>
      </w:pPr>
      <w:r w:rsidRPr="00EA7EE8">
        <w:t>Popli, S., &amp; Rizvi, I. A. (2016). Drivers of employee engagement: The role of leadership style. Global Business Review, 17(4), 965-979.</w:t>
      </w:r>
    </w:p>
    <w:p w:rsidR="006245EF" w:rsidRDefault="006245EF" w:rsidP="00450ABA">
      <w:pPr>
        <w:spacing w:line="480" w:lineRule="auto"/>
      </w:pPr>
      <w:r w:rsidRPr="00EA7EE8">
        <w:t>Pratto, F. (2016). On power and empowerment. British journal of social psychology, 55(1), 1-20.</w:t>
      </w:r>
    </w:p>
    <w:p w:rsidR="006245EF" w:rsidRDefault="006245EF" w:rsidP="00450ABA">
      <w:pPr>
        <w:spacing w:line="480" w:lineRule="auto"/>
      </w:pPr>
      <w:r w:rsidRPr="00EA7EE8">
        <w:t>Raven, B. H. (2017). The comparative analysis of power and power preference. In Social power and political influence (pp. 172-198). Routledge.</w:t>
      </w:r>
    </w:p>
    <w:p w:rsidR="004E026F" w:rsidRDefault="004E026F" w:rsidP="00450ABA">
      <w:pPr>
        <w:spacing w:line="480" w:lineRule="auto"/>
      </w:pPr>
    </w:p>
    <w:sectPr w:rsidR="004E026F" w:rsidSect="0039470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0751" w:rsidRDefault="009E0751" w:rsidP="00314230">
      <w:pPr>
        <w:spacing w:after="0" w:line="240" w:lineRule="auto"/>
      </w:pPr>
      <w:r>
        <w:separator/>
      </w:r>
    </w:p>
  </w:endnote>
  <w:endnote w:type="continuationSeparator" w:id="0">
    <w:p w:rsidR="009E0751" w:rsidRDefault="009E0751" w:rsidP="00314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nos">
    <w:altName w:val="MS Gothic"/>
    <w:charset w:val="80"/>
    <w:family w:val="roman"/>
    <w:pitch w:val="variable"/>
  </w:font>
  <w:font w:name="Droid Sans">
    <w:charset w:val="80"/>
    <w:family w:val="auto"/>
    <w:pitch w:val="variable"/>
  </w:font>
  <w:font w:name="DejaVu Sans">
    <w:altName w:val="Yu Gothic"/>
    <w:charset w:val="80"/>
    <w:family w:val="auto"/>
    <w:pitch w:val="variable"/>
  </w:font>
  <w:font w:name="open sansregular">
    <w:altName w:val="MS Gothic"/>
    <w:charset w:val="80"/>
    <w:family w:val="auto"/>
    <w:pitch w:val="default"/>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0751" w:rsidRDefault="009E0751" w:rsidP="00314230">
      <w:pPr>
        <w:spacing w:after="0" w:line="240" w:lineRule="auto"/>
      </w:pPr>
      <w:r>
        <w:separator/>
      </w:r>
    </w:p>
  </w:footnote>
  <w:footnote w:type="continuationSeparator" w:id="0">
    <w:p w:rsidR="009E0751" w:rsidRDefault="009E0751" w:rsidP="00314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5053189"/>
      <w:docPartObj>
        <w:docPartGallery w:val="Page Numbers (Top of Page)"/>
        <w:docPartUnique/>
      </w:docPartObj>
    </w:sdtPr>
    <w:sdtEndPr/>
    <w:sdtContent>
      <w:p w:rsidR="003367AA" w:rsidRDefault="003367AA">
        <w:pPr>
          <w:pStyle w:val="Header"/>
          <w:jc w:val="right"/>
        </w:pPr>
        <w:r>
          <w:t xml:space="preserve">Page </w:t>
        </w:r>
        <w:r>
          <w:rPr>
            <w:b/>
            <w:szCs w:val="24"/>
          </w:rPr>
          <w:fldChar w:fldCharType="begin"/>
        </w:r>
        <w:r>
          <w:rPr>
            <w:b/>
          </w:rPr>
          <w:instrText xml:space="preserve"> PAGE </w:instrText>
        </w:r>
        <w:r>
          <w:rPr>
            <w:b/>
            <w:szCs w:val="24"/>
          </w:rPr>
          <w:fldChar w:fldCharType="separate"/>
        </w:r>
        <w:r w:rsidR="000E445A">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445A">
          <w:rPr>
            <w:b/>
            <w:noProof/>
          </w:rPr>
          <w:t>12</w:t>
        </w:r>
        <w:r>
          <w:rPr>
            <w:b/>
            <w:szCs w:val="24"/>
          </w:rPr>
          <w:fldChar w:fldCharType="end"/>
        </w:r>
      </w:p>
    </w:sdtContent>
  </w:sdt>
  <w:p w:rsidR="003367AA" w:rsidRDefault="003367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026F"/>
    <w:rsid w:val="00061093"/>
    <w:rsid w:val="000E445A"/>
    <w:rsid w:val="00191391"/>
    <w:rsid w:val="001D6140"/>
    <w:rsid w:val="002B1F4C"/>
    <w:rsid w:val="002B77A7"/>
    <w:rsid w:val="00314230"/>
    <w:rsid w:val="003367AA"/>
    <w:rsid w:val="003803C2"/>
    <w:rsid w:val="00394702"/>
    <w:rsid w:val="003F38CE"/>
    <w:rsid w:val="00423A88"/>
    <w:rsid w:val="00435F2A"/>
    <w:rsid w:val="00450ABA"/>
    <w:rsid w:val="00486388"/>
    <w:rsid w:val="004C20F9"/>
    <w:rsid w:val="004E026F"/>
    <w:rsid w:val="00513930"/>
    <w:rsid w:val="00567958"/>
    <w:rsid w:val="005F1075"/>
    <w:rsid w:val="006245EF"/>
    <w:rsid w:val="006863CC"/>
    <w:rsid w:val="006A4F30"/>
    <w:rsid w:val="00727F04"/>
    <w:rsid w:val="00761951"/>
    <w:rsid w:val="0087536B"/>
    <w:rsid w:val="00882D4D"/>
    <w:rsid w:val="00896690"/>
    <w:rsid w:val="008D2C74"/>
    <w:rsid w:val="009558EC"/>
    <w:rsid w:val="009E0751"/>
    <w:rsid w:val="009E0A66"/>
    <w:rsid w:val="00AC488C"/>
    <w:rsid w:val="00AC61CA"/>
    <w:rsid w:val="00AD7E8E"/>
    <w:rsid w:val="00B922CD"/>
    <w:rsid w:val="00CE6238"/>
    <w:rsid w:val="00D00E83"/>
    <w:rsid w:val="00D349B8"/>
    <w:rsid w:val="00D65496"/>
    <w:rsid w:val="00D85C86"/>
    <w:rsid w:val="00DD61B4"/>
    <w:rsid w:val="00DF368E"/>
    <w:rsid w:val="00E02495"/>
    <w:rsid w:val="00EA7EE8"/>
    <w:rsid w:val="00EE6BC1"/>
    <w:rsid w:val="00F3466D"/>
    <w:rsid w:val="00F75DB5"/>
    <w:rsid w:val="00F943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062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669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50ABA"/>
    <w:pPr>
      <w:keepNext/>
      <w:keepLines/>
      <w:spacing w:before="480" w:after="0"/>
      <w:outlineLvl w:val="0"/>
    </w:pPr>
    <w:rPr>
      <w:rFonts w:asciiTheme="majorHAnsi" w:eastAsiaTheme="majorEastAsia" w:hAnsiTheme="majorHAnsi" w:cstheme="majorBidi"/>
      <w:b/>
      <w:bCs/>
      <w:color w:val="244061" w:themeColor="accent1" w:themeShade="8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2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4230"/>
    <w:rPr>
      <w:rFonts w:ascii="Times New Roman" w:hAnsi="Times New Roman"/>
      <w:sz w:val="24"/>
      <w:lang w:val="en-GB"/>
    </w:rPr>
  </w:style>
  <w:style w:type="paragraph" w:styleId="Footer">
    <w:name w:val="footer"/>
    <w:basedOn w:val="Normal"/>
    <w:link w:val="FooterChar"/>
    <w:uiPriority w:val="99"/>
    <w:semiHidden/>
    <w:unhideWhenUsed/>
    <w:rsid w:val="0031423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14230"/>
    <w:rPr>
      <w:rFonts w:ascii="Times New Roman" w:hAnsi="Times New Roman"/>
      <w:sz w:val="24"/>
      <w:lang w:val="en-GB"/>
    </w:rPr>
  </w:style>
  <w:style w:type="character" w:customStyle="1" w:styleId="Heading1Char">
    <w:name w:val="Heading 1 Char"/>
    <w:basedOn w:val="DefaultParagraphFont"/>
    <w:link w:val="Heading1"/>
    <w:uiPriority w:val="9"/>
    <w:rsid w:val="00450ABA"/>
    <w:rPr>
      <w:rFonts w:asciiTheme="majorHAnsi" w:eastAsiaTheme="majorEastAsia" w:hAnsiTheme="majorHAnsi" w:cstheme="majorBidi"/>
      <w:b/>
      <w:bCs/>
      <w:color w:val="244061" w:themeColor="accent1" w:themeShade="80"/>
      <w:sz w:val="28"/>
      <w:szCs w:val="28"/>
      <w:lang w:val="en-GB"/>
    </w:rPr>
  </w:style>
  <w:style w:type="paragraph" w:styleId="BalloonText">
    <w:name w:val="Balloon Text"/>
    <w:basedOn w:val="Normal"/>
    <w:link w:val="BalloonTextChar"/>
    <w:uiPriority w:val="99"/>
    <w:semiHidden/>
    <w:unhideWhenUsed/>
    <w:rsid w:val="00AC48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88C"/>
    <w:rPr>
      <w:rFonts w:ascii="Tahoma" w:hAnsi="Tahoma" w:cs="Tahoma"/>
      <w:sz w:val="16"/>
      <w:szCs w:val="16"/>
      <w:lang w:val="en-GB"/>
    </w:rPr>
  </w:style>
  <w:style w:type="paragraph" w:styleId="TOCHeading">
    <w:name w:val="TOC Heading"/>
    <w:basedOn w:val="Heading1"/>
    <w:next w:val="Normal"/>
    <w:uiPriority w:val="39"/>
    <w:semiHidden/>
    <w:unhideWhenUsed/>
    <w:qFormat/>
    <w:rsid w:val="006245EF"/>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6245EF"/>
    <w:pPr>
      <w:spacing w:after="100"/>
    </w:pPr>
  </w:style>
  <w:style w:type="character" w:styleId="Hyperlink">
    <w:name w:val="Hyperlink"/>
    <w:basedOn w:val="DefaultParagraphFont"/>
    <w:uiPriority w:val="99"/>
    <w:unhideWhenUsed/>
    <w:rsid w:val="006245EF"/>
    <w:rPr>
      <w:color w:val="0000FF" w:themeColor="hyperlink"/>
      <w:u w:val="single"/>
    </w:rPr>
  </w:style>
  <w:style w:type="paragraph" w:styleId="NoSpacing">
    <w:name w:val="No Spacing"/>
    <w:qFormat/>
    <w:rsid w:val="000E445A"/>
    <w:pPr>
      <w:suppressAutoHyphens/>
      <w:spacing w:after="0"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1539186">
      <w:bodyDiv w:val="1"/>
      <w:marLeft w:val="0"/>
      <w:marRight w:val="0"/>
      <w:marTop w:val="0"/>
      <w:marBottom w:val="0"/>
      <w:divBdr>
        <w:top w:val="none" w:sz="0" w:space="0" w:color="auto"/>
        <w:left w:val="none" w:sz="0" w:space="0" w:color="auto"/>
        <w:bottom w:val="none" w:sz="0" w:space="0" w:color="auto"/>
        <w:right w:val="none" w:sz="0" w:space="0" w:color="auto"/>
      </w:divBdr>
    </w:div>
    <w:div w:id="559361786">
      <w:bodyDiv w:val="1"/>
      <w:marLeft w:val="0"/>
      <w:marRight w:val="0"/>
      <w:marTop w:val="0"/>
      <w:marBottom w:val="0"/>
      <w:divBdr>
        <w:top w:val="none" w:sz="0" w:space="0" w:color="auto"/>
        <w:left w:val="none" w:sz="0" w:space="0" w:color="auto"/>
        <w:bottom w:val="none" w:sz="0" w:space="0" w:color="auto"/>
        <w:right w:val="none" w:sz="0" w:space="0" w:color="auto"/>
      </w:divBdr>
    </w:div>
    <w:div w:id="1131941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C9E747-9BAD-4CC1-8773-2172E9A68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2252</Words>
  <Characters>13063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2019-08-15T12:16:00Z</dcterms:created>
  <dcterms:modified xsi:type="dcterms:W3CDTF">2019-08-15T12:35:00Z</dcterms:modified>
</cp:coreProperties>
</file>