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0BE8A8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9122EC">
        <w:rPr>
          <w:rFonts w:ascii="Arial" w:hAnsi="Arial" w:cs="Arial"/>
          <w:b/>
          <w:bCs/>
          <w:i/>
          <w:iCs/>
          <w:sz w:val="24"/>
          <w:szCs w:val="24"/>
        </w:rPr>
        <w:t>References</w:t>
      </w:r>
    </w:p>
    <w:p w14:paraId="17E94A9A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2EC">
        <w:rPr>
          <w:rFonts w:ascii="Arial" w:hAnsi="Arial" w:cs="Arial"/>
          <w:sz w:val="24"/>
          <w:szCs w:val="24"/>
        </w:rPr>
        <w:t xml:space="preserve">Cambridge Dictionary (2021) </w:t>
      </w:r>
      <w:r w:rsidRPr="009122EC">
        <w:rPr>
          <w:rFonts w:ascii="Arial" w:hAnsi="Arial" w:cs="Arial"/>
          <w:i/>
          <w:iCs/>
          <w:sz w:val="24"/>
          <w:szCs w:val="24"/>
        </w:rPr>
        <w:t>Health</w:t>
      </w:r>
      <w:r w:rsidRPr="009122EC">
        <w:rPr>
          <w:rFonts w:ascii="Arial" w:hAnsi="Arial" w:cs="Arial"/>
          <w:sz w:val="24"/>
          <w:szCs w:val="24"/>
        </w:rPr>
        <w:t xml:space="preserve">. Available at: </w:t>
      </w:r>
      <w:hyperlink r:id="rId6" w:history="1">
        <w:r w:rsidRPr="009122EC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https://dictionary.cambridge.org/dictionary/english/health</w:t>
        </w:r>
      </w:hyperlink>
      <w:r w:rsidRPr="009122EC">
        <w:rPr>
          <w:rFonts w:ascii="Arial" w:hAnsi="Arial" w:cs="Arial"/>
          <w:sz w:val="24"/>
          <w:szCs w:val="24"/>
        </w:rPr>
        <w:t xml:space="preserve"> (Accessed: 27 June 2021).</w:t>
      </w:r>
    </w:p>
    <w:p w14:paraId="6BDFBA0E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F18933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2EC">
        <w:rPr>
          <w:rFonts w:ascii="Arial" w:hAnsi="Arial" w:cs="Arial"/>
          <w:sz w:val="24"/>
          <w:szCs w:val="24"/>
        </w:rPr>
        <w:t xml:space="preserve">Department of Health (2014) </w:t>
      </w:r>
      <w:r w:rsidRPr="009122EC">
        <w:rPr>
          <w:rFonts w:ascii="Arial" w:hAnsi="Arial" w:cs="Arial"/>
          <w:i/>
          <w:iCs/>
          <w:sz w:val="24"/>
          <w:szCs w:val="24"/>
        </w:rPr>
        <w:t>The relationship between wellbeing and health.</w:t>
      </w:r>
      <w:r w:rsidRPr="009122EC">
        <w:rPr>
          <w:rFonts w:ascii="Arial" w:hAnsi="Arial" w:cs="Arial"/>
          <w:sz w:val="24"/>
          <w:szCs w:val="24"/>
        </w:rPr>
        <w:t xml:space="preserve"> Available at: </w:t>
      </w:r>
      <w:hyperlink r:id="rId7" w:history="1">
        <w:r w:rsidRPr="009122EC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https://assets.publishing.service.gov.uk/government/uploads/system/uploads/attachment_data/file/295474/The_relationship_between_wellbeing_and_health.pdf</w:t>
        </w:r>
      </w:hyperlink>
      <w:r w:rsidRPr="009122EC">
        <w:rPr>
          <w:rFonts w:ascii="Arial" w:hAnsi="Arial" w:cs="Arial"/>
          <w:sz w:val="24"/>
          <w:szCs w:val="24"/>
        </w:rPr>
        <w:t xml:space="preserve"> (Accessed: 27 June 2021).</w:t>
      </w:r>
    </w:p>
    <w:p w14:paraId="4D292266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E1977BA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122EC">
        <w:rPr>
          <w:rFonts w:ascii="Arial" w:hAnsi="Arial" w:cs="Arial"/>
          <w:sz w:val="24"/>
          <w:szCs w:val="24"/>
        </w:rPr>
        <w:t>Mameli</w:t>
      </w:r>
      <w:proofErr w:type="spellEnd"/>
      <w:r w:rsidRPr="009122EC">
        <w:rPr>
          <w:rFonts w:ascii="Arial" w:hAnsi="Arial" w:cs="Arial"/>
          <w:sz w:val="24"/>
          <w:szCs w:val="24"/>
        </w:rPr>
        <w:t xml:space="preserve">, C., Galli, E., </w:t>
      </w:r>
      <w:proofErr w:type="spellStart"/>
      <w:r w:rsidRPr="009122EC">
        <w:rPr>
          <w:rFonts w:ascii="Arial" w:hAnsi="Arial" w:cs="Arial"/>
          <w:sz w:val="24"/>
          <w:szCs w:val="24"/>
        </w:rPr>
        <w:t>Dilillo</w:t>
      </w:r>
      <w:proofErr w:type="spellEnd"/>
      <w:r w:rsidRPr="009122EC">
        <w:rPr>
          <w:rFonts w:ascii="Arial" w:hAnsi="Arial" w:cs="Arial"/>
          <w:sz w:val="24"/>
          <w:szCs w:val="24"/>
        </w:rPr>
        <w:t xml:space="preserve">, D., </w:t>
      </w:r>
      <w:proofErr w:type="spellStart"/>
      <w:r w:rsidRPr="009122EC">
        <w:rPr>
          <w:rFonts w:ascii="Arial" w:hAnsi="Arial" w:cs="Arial"/>
          <w:sz w:val="24"/>
          <w:szCs w:val="24"/>
        </w:rPr>
        <w:t>Alemanno</w:t>
      </w:r>
      <w:proofErr w:type="spellEnd"/>
      <w:r w:rsidRPr="009122EC">
        <w:rPr>
          <w:rFonts w:ascii="Arial" w:hAnsi="Arial" w:cs="Arial"/>
          <w:sz w:val="24"/>
          <w:szCs w:val="24"/>
        </w:rPr>
        <w:t xml:space="preserve">, A., </w:t>
      </w:r>
      <w:proofErr w:type="spellStart"/>
      <w:r w:rsidRPr="009122EC">
        <w:rPr>
          <w:rFonts w:ascii="Arial" w:hAnsi="Arial" w:cs="Arial"/>
          <w:sz w:val="24"/>
          <w:szCs w:val="24"/>
        </w:rPr>
        <w:t>Catalani</w:t>
      </w:r>
      <w:proofErr w:type="spellEnd"/>
      <w:r w:rsidRPr="009122EC">
        <w:rPr>
          <w:rFonts w:ascii="Arial" w:hAnsi="Arial" w:cs="Arial"/>
          <w:sz w:val="24"/>
          <w:szCs w:val="24"/>
        </w:rPr>
        <w:t xml:space="preserve">, L., </w:t>
      </w:r>
      <w:proofErr w:type="spellStart"/>
      <w:r w:rsidRPr="009122EC">
        <w:rPr>
          <w:rFonts w:ascii="Arial" w:hAnsi="Arial" w:cs="Arial"/>
          <w:sz w:val="24"/>
          <w:szCs w:val="24"/>
        </w:rPr>
        <w:t>Cau</w:t>
      </w:r>
      <w:proofErr w:type="spellEnd"/>
      <w:r w:rsidRPr="009122EC">
        <w:rPr>
          <w:rFonts w:ascii="Arial" w:hAnsi="Arial" w:cs="Arial"/>
          <w:sz w:val="24"/>
          <w:szCs w:val="24"/>
        </w:rPr>
        <w:t xml:space="preserve">, S., </w:t>
      </w:r>
      <w:proofErr w:type="spellStart"/>
      <w:r w:rsidRPr="009122EC">
        <w:rPr>
          <w:rFonts w:ascii="Arial" w:hAnsi="Arial" w:cs="Arial"/>
          <w:sz w:val="24"/>
          <w:szCs w:val="24"/>
        </w:rPr>
        <w:t>Fransos</w:t>
      </w:r>
      <w:proofErr w:type="spellEnd"/>
      <w:r w:rsidRPr="009122EC">
        <w:rPr>
          <w:rFonts w:ascii="Arial" w:hAnsi="Arial" w:cs="Arial"/>
          <w:sz w:val="24"/>
          <w:szCs w:val="24"/>
        </w:rPr>
        <w:t xml:space="preserve">, L., </w:t>
      </w:r>
      <w:proofErr w:type="spellStart"/>
      <w:r w:rsidRPr="009122EC">
        <w:rPr>
          <w:rFonts w:ascii="Arial" w:hAnsi="Arial" w:cs="Arial"/>
          <w:sz w:val="24"/>
          <w:szCs w:val="24"/>
        </w:rPr>
        <w:t>Lucidi</w:t>
      </w:r>
      <w:proofErr w:type="spellEnd"/>
      <w:r w:rsidRPr="009122EC">
        <w:rPr>
          <w:rFonts w:ascii="Arial" w:hAnsi="Arial" w:cs="Arial"/>
          <w:sz w:val="24"/>
          <w:szCs w:val="24"/>
        </w:rPr>
        <w:t xml:space="preserve">, F., </w:t>
      </w:r>
      <w:proofErr w:type="spellStart"/>
      <w:r w:rsidRPr="009122EC">
        <w:rPr>
          <w:rFonts w:ascii="Arial" w:hAnsi="Arial" w:cs="Arial"/>
          <w:sz w:val="24"/>
          <w:szCs w:val="24"/>
        </w:rPr>
        <w:t>Macrì</w:t>
      </w:r>
      <w:proofErr w:type="spellEnd"/>
      <w:r w:rsidRPr="009122EC">
        <w:rPr>
          <w:rFonts w:ascii="Arial" w:hAnsi="Arial" w:cs="Arial"/>
          <w:sz w:val="24"/>
          <w:szCs w:val="24"/>
        </w:rPr>
        <w:t xml:space="preserve">, A., Marconi, P., </w:t>
      </w:r>
      <w:proofErr w:type="spellStart"/>
      <w:r w:rsidRPr="009122EC">
        <w:rPr>
          <w:rFonts w:ascii="Arial" w:hAnsi="Arial" w:cs="Arial"/>
          <w:sz w:val="24"/>
          <w:szCs w:val="24"/>
        </w:rPr>
        <w:t>Mostaccio</w:t>
      </w:r>
      <w:proofErr w:type="spellEnd"/>
      <w:r w:rsidRPr="009122EC">
        <w:rPr>
          <w:rFonts w:ascii="Arial" w:hAnsi="Arial" w:cs="Arial"/>
          <w:sz w:val="24"/>
          <w:szCs w:val="24"/>
        </w:rPr>
        <w:t xml:space="preserve">, A., </w:t>
      </w:r>
      <w:proofErr w:type="spellStart"/>
      <w:r w:rsidRPr="009122EC">
        <w:rPr>
          <w:rFonts w:ascii="Arial" w:hAnsi="Arial" w:cs="Arial"/>
          <w:sz w:val="24"/>
          <w:szCs w:val="24"/>
        </w:rPr>
        <w:t>Presti</w:t>
      </w:r>
      <w:proofErr w:type="spellEnd"/>
      <w:r w:rsidRPr="009122EC">
        <w:rPr>
          <w:rFonts w:ascii="Arial" w:hAnsi="Arial" w:cs="Arial"/>
          <w:sz w:val="24"/>
          <w:szCs w:val="24"/>
        </w:rPr>
        <w:t xml:space="preserve">, G., </w:t>
      </w:r>
      <w:proofErr w:type="spellStart"/>
      <w:r w:rsidRPr="009122EC">
        <w:rPr>
          <w:rFonts w:ascii="Arial" w:hAnsi="Arial" w:cs="Arial"/>
          <w:sz w:val="24"/>
          <w:szCs w:val="24"/>
        </w:rPr>
        <w:t>Rovera</w:t>
      </w:r>
      <w:proofErr w:type="spellEnd"/>
      <w:r w:rsidRPr="009122EC">
        <w:rPr>
          <w:rFonts w:ascii="Arial" w:hAnsi="Arial" w:cs="Arial"/>
          <w:sz w:val="24"/>
          <w:szCs w:val="24"/>
        </w:rPr>
        <w:t xml:space="preserve">, G., </w:t>
      </w:r>
      <w:proofErr w:type="spellStart"/>
      <w:r w:rsidRPr="009122EC">
        <w:rPr>
          <w:rFonts w:ascii="Arial" w:hAnsi="Arial" w:cs="Arial"/>
          <w:sz w:val="24"/>
          <w:szCs w:val="24"/>
        </w:rPr>
        <w:t>Rotilio</w:t>
      </w:r>
      <w:proofErr w:type="spellEnd"/>
      <w:r w:rsidRPr="009122EC">
        <w:rPr>
          <w:rFonts w:ascii="Arial" w:hAnsi="Arial" w:cs="Arial"/>
          <w:sz w:val="24"/>
          <w:szCs w:val="24"/>
        </w:rPr>
        <w:t xml:space="preserve">, G., </w:t>
      </w:r>
      <w:proofErr w:type="spellStart"/>
      <w:r w:rsidRPr="009122EC">
        <w:rPr>
          <w:rFonts w:ascii="Arial" w:hAnsi="Arial" w:cs="Arial"/>
          <w:sz w:val="24"/>
          <w:szCs w:val="24"/>
        </w:rPr>
        <w:t>Rubeo</w:t>
      </w:r>
      <w:proofErr w:type="spellEnd"/>
      <w:r w:rsidRPr="009122EC">
        <w:rPr>
          <w:rFonts w:ascii="Arial" w:hAnsi="Arial" w:cs="Arial"/>
          <w:sz w:val="24"/>
          <w:szCs w:val="24"/>
        </w:rPr>
        <w:t xml:space="preserve">, M., </w:t>
      </w:r>
      <w:proofErr w:type="spellStart"/>
      <w:r w:rsidRPr="009122EC">
        <w:rPr>
          <w:rFonts w:ascii="Arial" w:hAnsi="Arial" w:cs="Arial"/>
          <w:sz w:val="24"/>
          <w:szCs w:val="24"/>
        </w:rPr>
        <w:t>Tisiot</w:t>
      </w:r>
      <w:proofErr w:type="spellEnd"/>
      <w:r w:rsidRPr="009122EC">
        <w:rPr>
          <w:rFonts w:ascii="Arial" w:hAnsi="Arial" w:cs="Arial"/>
          <w:sz w:val="24"/>
          <w:szCs w:val="24"/>
        </w:rPr>
        <w:t xml:space="preserve">, C. and Zuccotti, G. (2014) ‘Psychosocial, behavioural, pedagogical, and nutritional proposals about how to encourage eating a healthy breakfast’, </w:t>
      </w:r>
      <w:r w:rsidRPr="009122EC">
        <w:rPr>
          <w:rFonts w:ascii="Arial" w:hAnsi="Arial" w:cs="Arial"/>
          <w:i/>
          <w:iCs/>
          <w:sz w:val="24"/>
          <w:szCs w:val="24"/>
        </w:rPr>
        <w:t xml:space="preserve">Italian Journal of </w:t>
      </w:r>
      <w:proofErr w:type="spellStart"/>
      <w:r w:rsidRPr="009122EC">
        <w:rPr>
          <w:rFonts w:ascii="Arial" w:hAnsi="Arial" w:cs="Arial"/>
          <w:i/>
          <w:iCs/>
          <w:sz w:val="24"/>
          <w:szCs w:val="24"/>
        </w:rPr>
        <w:t>Pediatrics</w:t>
      </w:r>
      <w:proofErr w:type="spellEnd"/>
      <w:r w:rsidRPr="009122EC">
        <w:rPr>
          <w:rFonts w:ascii="Arial" w:hAnsi="Arial" w:cs="Arial"/>
          <w:i/>
          <w:iCs/>
          <w:sz w:val="24"/>
          <w:szCs w:val="24"/>
        </w:rPr>
        <w:t>,</w:t>
      </w:r>
      <w:r w:rsidRPr="009122EC">
        <w:rPr>
          <w:rFonts w:ascii="Arial" w:hAnsi="Arial" w:cs="Arial"/>
          <w:sz w:val="24"/>
          <w:szCs w:val="24"/>
        </w:rPr>
        <w:t xml:space="preserve"> 40(73). Available at: </w:t>
      </w:r>
      <w:hyperlink r:id="rId8" w:anchor="citeas" w:history="1">
        <w:r w:rsidRPr="009122EC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https://ijponline.biomedcentral.com/articles/10.1186/s13052-014-0073-7#citeas</w:t>
        </w:r>
      </w:hyperlink>
      <w:r w:rsidRPr="009122EC">
        <w:rPr>
          <w:rFonts w:ascii="Arial" w:hAnsi="Arial" w:cs="Arial"/>
          <w:sz w:val="24"/>
          <w:szCs w:val="24"/>
        </w:rPr>
        <w:t xml:space="preserve"> (Accessed: 30 June 2021).</w:t>
      </w:r>
    </w:p>
    <w:p w14:paraId="7212E33F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A4EF6E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color w:val="0563C1" w:themeColor="hyperlink"/>
          <w:sz w:val="24"/>
          <w:szCs w:val="24"/>
          <w:u w:val="single"/>
        </w:rPr>
      </w:pPr>
      <w:r w:rsidRPr="009122EC">
        <w:rPr>
          <w:rFonts w:ascii="Arial" w:hAnsi="Arial" w:cs="Arial"/>
          <w:sz w:val="24"/>
          <w:szCs w:val="24"/>
        </w:rPr>
        <w:t>GCPH, (2016)</w:t>
      </w:r>
      <w:r w:rsidRPr="009122EC">
        <w:t xml:space="preserve"> </w:t>
      </w:r>
      <w:r w:rsidRPr="009122EC">
        <w:rPr>
          <w:rFonts w:ascii="Arial" w:hAnsi="Arial" w:cs="Arial"/>
          <w:sz w:val="24"/>
          <w:szCs w:val="24"/>
        </w:rPr>
        <w:t xml:space="preserve">Health and early years, </w:t>
      </w:r>
      <w:proofErr w:type="gramStart"/>
      <w:r w:rsidRPr="009122EC">
        <w:rPr>
          <w:rFonts w:ascii="Arial" w:hAnsi="Arial" w:cs="Arial"/>
          <w:sz w:val="24"/>
          <w:szCs w:val="24"/>
        </w:rPr>
        <w:t>children</w:t>
      </w:r>
      <w:proofErr w:type="gramEnd"/>
      <w:r w:rsidRPr="009122EC">
        <w:rPr>
          <w:rFonts w:ascii="Arial" w:hAnsi="Arial" w:cs="Arial"/>
          <w:sz w:val="24"/>
          <w:szCs w:val="24"/>
        </w:rPr>
        <w:t xml:space="preserve"> and young people a GCPH synthesis, Available at: </w:t>
      </w:r>
      <w:hyperlink r:id="rId9" w:history="1">
        <w:r w:rsidRPr="009122EC">
          <w:rPr>
            <w:rFonts w:ascii="Arial" w:hAnsi="Arial" w:cs="Arial"/>
            <w:color w:val="4472C4" w:themeColor="accent1"/>
            <w:sz w:val="24"/>
            <w:szCs w:val="24"/>
            <w:u w:val="single"/>
          </w:rPr>
          <w:t>https://www.gcph.co.uk/assets/0000/5754/Early_years_synthesis.pdf</w:t>
        </w:r>
      </w:hyperlink>
      <w:r w:rsidRPr="009122EC">
        <w:rPr>
          <w:rFonts w:ascii="Arial" w:hAnsi="Arial" w:cs="Arial"/>
          <w:color w:val="0563C1" w:themeColor="hyperlink"/>
          <w:sz w:val="24"/>
          <w:szCs w:val="24"/>
          <w:u w:val="single"/>
        </w:rPr>
        <w:t xml:space="preserve"> </w:t>
      </w:r>
    </w:p>
    <w:p w14:paraId="27823F6E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2EC">
        <w:rPr>
          <w:rFonts w:ascii="Arial" w:hAnsi="Arial" w:cs="Arial"/>
          <w:sz w:val="24"/>
          <w:szCs w:val="24"/>
        </w:rPr>
        <w:t>(Accessed 30June 2021).</w:t>
      </w:r>
    </w:p>
    <w:p w14:paraId="4AC82B16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B9F5C1F" w14:textId="77777777" w:rsidR="009122EC" w:rsidRDefault="009122EC" w:rsidP="009122EC">
      <w:pPr>
        <w:shd w:val="clear" w:color="auto" w:fill="FFFFFF"/>
        <w:spacing w:after="900" w:line="360" w:lineRule="auto"/>
        <w:jc w:val="both"/>
        <w:outlineLvl w:val="0"/>
        <w:rPr>
          <w:rFonts w:ascii="Arial" w:eastAsia="Times New Roman" w:hAnsi="Arial" w:cs="Arial"/>
          <w:color w:val="222222"/>
          <w:spacing w:val="10"/>
          <w:kern w:val="36"/>
          <w:sz w:val="24"/>
          <w:szCs w:val="24"/>
          <w:lang w:eastAsia="en-GB"/>
        </w:rPr>
      </w:pPr>
      <w:r w:rsidRPr="009122EC">
        <w:rPr>
          <w:rFonts w:ascii="Arial" w:eastAsia="Times New Roman" w:hAnsi="Arial" w:cs="Arial"/>
          <w:kern w:val="36"/>
          <w:sz w:val="24"/>
          <w:szCs w:val="24"/>
          <w:lang w:eastAsia="en-GB"/>
        </w:rPr>
        <w:t>Jasper Nutrition Counselling (2017)</w:t>
      </w:r>
      <w:r w:rsidRPr="009122EC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 xml:space="preserve"> </w:t>
      </w:r>
      <w:r w:rsidRPr="009122EC">
        <w:rPr>
          <w:rFonts w:ascii="Arial" w:eastAsia="Times New Roman" w:hAnsi="Arial" w:cs="Arial"/>
          <w:color w:val="222222"/>
          <w:spacing w:val="10"/>
          <w:kern w:val="36"/>
          <w:sz w:val="24"/>
          <w:szCs w:val="24"/>
          <w:lang w:eastAsia="en-GB"/>
        </w:rPr>
        <w:t xml:space="preserve">A Hierarchy of Food &amp; Nutrition Available at: </w:t>
      </w:r>
      <w:hyperlink r:id="rId10" w:history="1">
        <w:r w:rsidRPr="009122EC">
          <w:rPr>
            <w:rFonts w:ascii="Arial" w:eastAsia="Times New Roman" w:hAnsi="Arial" w:cs="Arial"/>
            <w:color w:val="0563C1" w:themeColor="hyperlink"/>
            <w:spacing w:val="10"/>
            <w:kern w:val="36"/>
            <w:sz w:val="24"/>
            <w:szCs w:val="24"/>
            <w:u w:val="single"/>
            <w:lang w:eastAsia="en-GB"/>
          </w:rPr>
          <w:t>https://www.jasper-nutrition.com/blog/2017/12/17/a-hierarchy-of-food-nutrition</w:t>
        </w:r>
      </w:hyperlink>
      <w:r w:rsidRPr="009122EC">
        <w:rPr>
          <w:rFonts w:ascii="Arial" w:eastAsia="Times New Roman" w:hAnsi="Arial" w:cs="Arial"/>
          <w:color w:val="222222"/>
          <w:spacing w:val="10"/>
          <w:kern w:val="36"/>
          <w:sz w:val="24"/>
          <w:szCs w:val="24"/>
          <w:lang w:eastAsia="en-GB"/>
        </w:rPr>
        <w:t xml:space="preserve"> (Accessed 16 July 2021).</w:t>
      </w:r>
    </w:p>
    <w:p w14:paraId="43B01D5C" w14:textId="77777777" w:rsidR="009122EC" w:rsidRDefault="009122EC" w:rsidP="009122EC">
      <w:pPr>
        <w:shd w:val="clear" w:color="auto" w:fill="FFFFFF"/>
        <w:spacing w:after="900" w:line="360" w:lineRule="auto"/>
        <w:jc w:val="both"/>
        <w:outlineLvl w:val="0"/>
        <w:rPr>
          <w:rFonts w:ascii="Arial" w:eastAsia="Times New Roman" w:hAnsi="Arial" w:cs="Arial"/>
          <w:color w:val="222222"/>
          <w:spacing w:val="10"/>
          <w:kern w:val="36"/>
          <w:sz w:val="24"/>
          <w:szCs w:val="24"/>
          <w:lang w:eastAsia="en-GB"/>
        </w:rPr>
      </w:pPr>
    </w:p>
    <w:p w14:paraId="49E02AA6" w14:textId="56632C69" w:rsidR="009122EC" w:rsidRPr="009122EC" w:rsidRDefault="009122EC" w:rsidP="009122EC">
      <w:pPr>
        <w:shd w:val="clear" w:color="auto" w:fill="FFFFFF"/>
        <w:spacing w:after="900" w:line="360" w:lineRule="auto"/>
        <w:jc w:val="both"/>
        <w:outlineLvl w:val="0"/>
        <w:rPr>
          <w:rFonts w:ascii="Arial" w:eastAsia="Times New Roman" w:hAnsi="Arial" w:cs="Arial"/>
          <w:color w:val="222222"/>
          <w:spacing w:val="10"/>
          <w:kern w:val="36"/>
          <w:sz w:val="24"/>
          <w:szCs w:val="24"/>
          <w:lang w:eastAsia="en-GB"/>
        </w:rPr>
      </w:pPr>
      <w:r w:rsidRPr="009122EC">
        <w:rPr>
          <w:rFonts w:ascii="Arial" w:hAnsi="Arial" w:cs="Arial"/>
          <w:color w:val="222222"/>
          <w:spacing w:val="10"/>
          <w:sz w:val="24"/>
          <w:szCs w:val="24"/>
        </w:rPr>
        <w:lastRenderedPageBreak/>
        <w:t xml:space="preserve">McMillan, M (1919) </w:t>
      </w:r>
      <w:r w:rsidRPr="009122EC">
        <w:rPr>
          <w:rFonts w:ascii="Arial" w:hAnsi="Arial" w:cs="Arial"/>
          <w:sz w:val="24"/>
          <w:szCs w:val="24"/>
        </w:rPr>
        <w:t>THE NURSERY SCHOOL LONDON AND TORONTO J. M. DENT &amp; SONS, LTD. NEW YORK : E. P. BUTTON &amp; CO. Available at:</w:t>
      </w:r>
      <w:r w:rsidRPr="009122EC">
        <w:rPr>
          <w:rFonts w:ascii="Arial" w:hAnsi="Arial" w:cs="Arial"/>
          <w:b/>
          <w:bCs/>
          <w:sz w:val="24"/>
          <w:szCs w:val="24"/>
        </w:rPr>
        <w:t xml:space="preserve"> </w:t>
      </w:r>
      <w:hyperlink r:id="rId11" w:history="1">
        <w:r w:rsidRPr="009122EC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https://ia802802.us.archive.org/20/items/nurseryschool00mcmiuoft/nurseryschool00mcmiuoft.pdf</w:t>
        </w:r>
      </w:hyperlink>
      <w:r w:rsidRPr="009122EC">
        <w:rPr>
          <w:rFonts w:ascii="Arial" w:hAnsi="Arial" w:cs="Arial"/>
          <w:sz w:val="24"/>
          <w:szCs w:val="24"/>
        </w:rPr>
        <w:t xml:space="preserve"> </w:t>
      </w:r>
      <w:r w:rsidRPr="009122EC">
        <w:rPr>
          <w:rFonts w:ascii="Arial" w:eastAsia="Times New Roman" w:hAnsi="Arial" w:cs="Arial"/>
          <w:color w:val="222222"/>
          <w:spacing w:val="10"/>
          <w:kern w:val="36"/>
          <w:sz w:val="24"/>
          <w:szCs w:val="24"/>
          <w:lang w:eastAsia="en-GB"/>
        </w:rPr>
        <w:t>(Accessed 16 July 2021)</w:t>
      </w:r>
    </w:p>
    <w:p w14:paraId="37D0F45A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2EC">
        <w:rPr>
          <w:rFonts w:ascii="Arial" w:hAnsi="Arial" w:cs="Arial"/>
          <w:sz w:val="24"/>
          <w:szCs w:val="24"/>
        </w:rPr>
        <w:t xml:space="preserve">Musgrave, J. (2017) </w:t>
      </w:r>
      <w:r w:rsidRPr="009122EC">
        <w:rPr>
          <w:rFonts w:ascii="Arial" w:hAnsi="Arial" w:cs="Arial"/>
          <w:i/>
          <w:iCs/>
          <w:sz w:val="24"/>
          <w:szCs w:val="24"/>
        </w:rPr>
        <w:t>Supporting Children’s Health and Wellbeing</w:t>
      </w:r>
      <w:r w:rsidRPr="009122EC">
        <w:rPr>
          <w:rFonts w:ascii="Arial" w:hAnsi="Arial" w:cs="Arial"/>
          <w:sz w:val="24"/>
          <w:szCs w:val="24"/>
        </w:rPr>
        <w:t>. London: Sage Publications.</w:t>
      </w:r>
    </w:p>
    <w:p w14:paraId="663AF690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11D24B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2EC">
        <w:rPr>
          <w:rFonts w:ascii="Arial" w:hAnsi="Arial" w:cs="Arial"/>
          <w:sz w:val="24"/>
          <w:szCs w:val="24"/>
        </w:rPr>
        <w:t xml:space="preserve">Public Health Action Support Team (PHAST) (2020) </w:t>
      </w:r>
      <w:r w:rsidRPr="009122EC">
        <w:rPr>
          <w:rFonts w:ascii="Arial" w:hAnsi="Arial" w:cs="Arial"/>
          <w:i/>
          <w:iCs/>
          <w:sz w:val="24"/>
          <w:szCs w:val="24"/>
        </w:rPr>
        <w:t>Section 3: Concepts of health and wellbeing.</w:t>
      </w:r>
      <w:r w:rsidRPr="009122EC">
        <w:rPr>
          <w:rFonts w:ascii="Arial" w:hAnsi="Arial" w:cs="Arial"/>
          <w:sz w:val="24"/>
          <w:szCs w:val="24"/>
        </w:rPr>
        <w:t xml:space="preserve"> Available at: </w:t>
      </w:r>
      <w:hyperlink r:id="rId12" w:history="1">
        <w:r w:rsidRPr="009122EC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https://www.healthknowledge.org.uk/public-health-textbook/medical-sociology-policy-economics/4a-concepts-health-illness/section2/activity3</w:t>
        </w:r>
      </w:hyperlink>
      <w:r w:rsidRPr="009122EC">
        <w:rPr>
          <w:rFonts w:ascii="Arial" w:hAnsi="Arial" w:cs="Arial"/>
          <w:sz w:val="24"/>
          <w:szCs w:val="24"/>
        </w:rPr>
        <w:t xml:space="preserve"> (Accessed: 22 June 2021).</w:t>
      </w:r>
    </w:p>
    <w:p w14:paraId="69BD7B3C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52D8D88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2EC">
        <w:rPr>
          <w:rFonts w:ascii="Arial" w:hAnsi="Arial" w:cs="Arial"/>
          <w:sz w:val="24"/>
          <w:szCs w:val="24"/>
        </w:rPr>
        <w:t xml:space="preserve">Rush University (2021) </w:t>
      </w:r>
      <w:r w:rsidRPr="009122EC">
        <w:rPr>
          <w:rFonts w:ascii="Arial" w:hAnsi="Arial" w:cs="Arial"/>
          <w:i/>
          <w:iCs/>
          <w:sz w:val="24"/>
          <w:szCs w:val="24"/>
        </w:rPr>
        <w:t>Why You Should Eat Breakfast: The benefits of starting your day with a nutritious meal.</w:t>
      </w:r>
      <w:r w:rsidRPr="009122EC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Pr="009122EC">
          <w:rPr>
            <w:rFonts w:ascii="Arial" w:hAnsi="Arial" w:cs="Arial"/>
            <w:sz w:val="24"/>
            <w:szCs w:val="24"/>
            <w:u w:val="single"/>
          </w:rPr>
          <w:t>https://www.rush.edu/news/why-you-should-eat-breakfast</w:t>
        </w:r>
      </w:hyperlink>
      <w:r w:rsidRPr="009122EC">
        <w:rPr>
          <w:rFonts w:ascii="Arial" w:hAnsi="Arial" w:cs="Arial"/>
          <w:sz w:val="24"/>
          <w:szCs w:val="24"/>
        </w:rPr>
        <w:t xml:space="preserve"> (Accessed: 30 June 2021).</w:t>
      </w:r>
    </w:p>
    <w:p w14:paraId="5F9B60FD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66E4A7CB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2EC">
        <w:rPr>
          <w:rFonts w:ascii="Arial" w:hAnsi="Arial" w:cs="Arial"/>
          <w:i/>
          <w:iCs/>
          <w:sz w:val="24"/>
          <w:szCs w:val="24"/>
        </w:rPr>
        <w:t>School Standards and Organisation (Wales) Act 2013</w:t>
      </w:r>
      <w:r w:rsidRPr="009122EC">
        <w:rPr>
          <w:rFonts w:ascii="Arial" w:hAnsi="Arial" w:cs="Arial"/>
          <w:sz w:val="24"/>
          <w:szCs w:val="24"/>
        </w:rPr>
        <w:t xml:space="preserve">. Available at: </w:t>
      </w:r>
      <w:hyperlink r:id="rId14" w:anchor=":~:text=School%20Standards%20and%20Organisation%20%28Wales%29%20Act%202013%2C%20Section,in%20the%20content%20and%20are%20referenced%20with%20annotations" w:history="1">
        <w:r w:rsidRPr="009122EC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https://www.legislation.gov.uk/anaw/2013/1/section/88#:~:text=School%20Standards%20and%20Organisation%20%28Wales%29%20Act%202013%2C%20Section,in%20the%20content%20and%20are%20referenced%20with%20annotations</w:t>
        </w:r>
      </w:hyperlink>
      <w:r w:rsidRPr="009122EC">
        <w:rPr>
          <w:rFonts w:ascii="Arial" w:hAnsi="Arial" w:cs="Arial"/>
          <w:sz w:val="24"/>
          <w:szCs w:val="24"/>
        </w:rPr>
        <w:t xml:space="preserve"> (Accessed: 30 June 2021).</w:t>
      </w:r>
    </w:p>
    <w:p w14:paraId="6D060770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5834B9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122EC">
        <w:rPr>
          <w:rFonts w:ascii="Arial" w:hAnsi="Arial" w:cs="Arial"/>
          <w:sz w:val="24"/>
          <w:szCs w:val="24"/>
        </w:rPr>
        <w:t>Stoewen</w:t>
      </w:r>
      <w:proofErr w:type="spellEnd"/>
      <w:r w:rsidRPr="009122EC">
        <w:rPr>
          <w:rFonts w:ascii="Arial" w:hAnsi="Arial" w:cs="Arial"/>
          <w:sz w:val="24"/>
          <w:szCs w:val="24"/>
        </w:rPr>
        <w:t xml:space="preserve">, D. L. (2017) ‘Dimensions of wellness: Change your habits, change your life’, </w:t>
      </w:r>
      <w:r w:rsidRPr="009122EC">
        <w:rPr>
          <w:rFonts w:ascii="Arial" w:hAnsi="Arial" w:cs="Arial"/>
          <w:i/>
          <w:iCs/>
          <w:sz w:val="24"/>
          <w:szCs w:val="24"/>
        </w:rPr>
        <w:t>Canadian Veterinary Journal</w:t>
      </w:r>
      <w:r w:rsidRPr="009122EC">
        <w:rPr>
          <w:rFonts w:ascii="Arial" w:hAnsi="Arial" w:cs="Arial"/>
          <w:sz w:val="24"/>
          <w:szCs w:val="24"/>
        </w:rPr>
        <w:t xml:space="preserve">, 58(8), pp. 861–862. Available at: </w:t>
      </w:r>
      <w:hyperlink r:id="rId15" w:history="1">
        <w:r w:rsidRPr="009122EC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https://www.ncbi.nlm.nih.gov/pmc/articles/PMC5508938/</w:t>
        </w:r>
      </w:hyperlink>
      <w:r w:rsidRPr="009122EC">
        <w:rPr>
          <w:rFonts w:ascii="Arial" w:hAnsi="Arial" w:cs="Arial"/>
          <w:sz w:val="24"/>
          <w:szCs w:val="24"/>
        </w:rPr>
        <w:t xml:space="preserve"> (Accessed: 30 June 2021). </w:t>
      </w:r>
    </w:p>
    <w:p w14:paraId="21EB5960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CD08C3E" w14:textId="76FE22BB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2EC">
        <w:rPr>
          <w:rFonts w:ascii="Arial" w:hAnsi="Arial" w:cs="Arial"/>
          <w:sz w:val="24"/>
          <w:szCs w:val="24"/>
        </w:rPr>
        <w:lastRenderedPageBreak/>
        <w:t>The United Nations Convention on the Rights of the Child, (2010) Article 24, Available at:</w:t>
      </w:r>
      <w:hyperlink r:id="rId16" w:history="1">
        <w:r w:rsidRPr="009122EC">
          <w:rPr>
            <w:rStyle w:val="Hyperlink"/>
            <w:rFonts w:ascii="Arial" w:hAnsi="Arial" w:cs="Arial"/>
            <w:sz w:val="24"/>
            <w:szCs w:val="24"/>
          </w:rPr>
          <w:t>https://www.unicef.org.uk/wpcontent/uploads/2010/05/UNCRC_united_nations_convention_on_the_rights_of_the_child.pdf</w:t>
        </w:r>
      </w:hyperlink>
      <w:r w:rsidRPr="009122EC">
        <w:rPr>
          <w:rFonts w:ascii="Arial" w:hAnsi="Arial" w:cs="Arial"/>
          <w:sz w:val="24"/>
          <w:szCs w:val="24"/>
        </w:rPr>
        <w:t xml:space="preserve"> (Accessed 16 July 2021).</w:t>
      </w:r>
    </w:p>
    <w:p w14:paraId="47A11498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99FDE8B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2EC">
        <w:rPr>
          <w:rFonts w:ascii="Arial" w:hAnsi="Arial" w:cs="Arial"/>
          <w:sz w:val="24"/>
          <w:szCs w:val="24"/>
        </w:rPr>
        <w:t xml:space="preserve">Welsh Assembly Government (2008) Primary Schools Free Breakfast Initiative, Available at: </w:t>
      </w:r>
      <w:hyperlink r:id="rId17" w:history="1">
        <w:r w:rsidRPr="009122EC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https://dera.ioe.ac.uk/539/2/free-breakfast-guidance-e.pdf_lang=en</w:t>
        </w:r>
      </w:hyperlink>
      <w:r w:rsidRPr="009122EC">
        <w:rPr>
          <w:rFonts w:ascii="Arial" w:hAnsi="Arial" w:cs="Arial"/>
          <w:sz w:val="24"/>
          <w:szCs w:val="24"/>
        </w:rPr>
        <w:t xml:space="preserve"> (Accessed: 30 June 2021).</w:t>
      </w:r>
    </w:p>
    <w:p w14:paraId="55292D5F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7BE7C2A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9122EC">
        <w:rPr>
          <w:rFonts w:ascii="Arial" w:hAnsi="Arial" w:cs="Arial"/>
          <w:sz w:val="24"/>
          <w:szCs w:val="24"/>
        </w:rPr>
        <w:t xml:space="preserve">Welsh Government (2009) </w:t>
      </w:r>
      <w:r w:rsidRPr="009122EC">
        <w:rPr>
          <w:rFonts w:ascii="Arial" w:hAnsi="Arial" w:cs="Arial"/>
          <w:i/>
          <w:iCs/>
          <w:sz w:val="24"/>
          <w:szCs w:val="24"/>
        </w:rPr>
        <w:t xml:space="preserve">Healthy eating in maintained Schools: Statutory guidance for local authorities and governing bodies. </w:t>
      </w:r>
      <w:r w:rsidRPr="009122EC">
        <w:rPr>
          <w:rFonts w:ascii="Arial" w:hAnsi="Arial" w:cs="Arial"/>
          <w:sz w:val="24"/>
          <w:szCs w:val="24"/>
        </w:rPr>
        <w:t>Available at:</w:t>
      </w:r>
      <w:r w:rsidRPr="009122EC">
        <w:t xml:space="preserve"> </w:t>
      </w:r>
      <w:hyperlink r:id="rId18" w:anchor=":~:text=The%20Healthy%20Eating%20in%20Schools%20%28Nutritional%20Standards%20and,charge%2C%20on%20the%20premises%20of%20any%20maintained%20school" w:history="1">
        <w:r w:rsidRPr="009122EC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gov.wales/sites/default/files/publications/2018-12/healthy-eating-in-maintained-schools-statutory-guidance-for-local-authorities-and-governing-bodies.pdf#:~:text=The%20Healthy%20Eating%20in%20Schools%20%28Nutritional%20Standards%20and,charge%2C%20on%20the%20premises%20of%20any%20maintained%20school</w:t>
        </w:r>
      </w:hyperlink>
      <w:r w:rsidRPr="009122EC">
        <w:rPr>
          <w:rFonts w:ascii="Arial" w:hAnsi="Arial" w:cs="Arial"/>
          <w:sz w:val="24"/>
          <w:szCs w:val="24"/>
        </w:rPr>
        <w:t xml:space="preserve"> (Accessed: 30 June 2021).</w:t>
      </w:r>
    </w:p>
    <w:p w14:paraId="51AE2B40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BE27D8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22EC">
        <w:rPr>
          <w:rFonts w:ascii="Arial" w:hAnsi="Arial" w:cs="Arial"/>
          <w:sz w:val="24"/>
          <w:szCs w:val="24"/>
        </w:rPr>
        <w:t xml:space="preserve">Welsh Government (2014) Free breakfast in primary schools. Available at: </w:t>
      </w:r>
      <w:hyperlink r:id="rId19" w:history="1">
        <w:r w:rsidRPr="009122EC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file:///C:/Users/invate/OneDrive%20-%20University%20of%20Wales%20Trinity%20Saint%20David/140627-free-breakfast-primary-guidance-en.pdf</w:t>
        </w:r>
      </w:hyperlink>
      <w:r w:rsidRPr="009122EC">
        <w:rPr>
          <w:rFonts w:ascii="Arial" w:hAnsi="Arial" w:cs="Arial"/>
          <w:sz w:val="24"/>
          <w:szCs w:val="24"/>
        </w:rPr>
        <w:t xml:space="preserve"> ( Accessed 22 June 2021).</w:t>
      </w:r>
    </w:p>
    <w:p w14:paraId="170B4B09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74A4946" w14:textId="77777777" w:rsidR="009122EC" w:rsidRPr="009122EC" w:rsidRDefault="009122EC" w:rsidP="009122EC">
      <w:pPr>
        <w:spacing w:line="360" w:lineRule="auto"/>
        <w:jc w:val="both"/>
        <w:rPr>
          <w:rFonts w:ascii="Arial" w:hAnsi="Arial" w:cs="Arial"/>
          <w:color w:val="70AD47" w:themeColor="accent6"/>
          <w:sz w:val="24"/>
          <w:szCs w:val="24"/>
        </w:rPr>
      </w:pPr>
      <w:r w:rsidRPr="009122EC">
        <w:rPr>
          <w:rFonts w:ascii="Arial" w:hAnsi="Arial" w:cs="Arial"/>
          <w:sz w:val="24"/>
          <w:szCs w:val="24"/>
        </w:rPr>
        <w:t xml:space="preserve">World health organisation Europe (2012), Measurement of and target setting for well-being: an initiative by the WHO Regional Office for Europe Available at: </w:t>
      </w:r>
      <w:hyperlink r:id="rId20" w:history="1">
        <w:r w:rsidRPr="009122EC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https://www.euro.who.int/__data/assets/pdf_file/0009/181449/e96732.pdf</w:t>
        </w:r>
      </w:hyperlink>
      <w:r w:rsidRPr="009122EC">
        <w:rPr>
          <w:rFonts w:ascii="Arial" w:hAnsi="Arial" w:cs="Arial"/>
          <w:sz w:val="24"/>
          <w:szCs w:val="24"/>
        </w:rPr>
        <w:t xml:space="preserve"> (Accessed 12 July 2021).</w:t>
      </w:r>
    </w:p>
    <w:p w14:paraId="67E9D453" w14:textId="77777777" w:rsidR="009122EC" w:rsidRPr="009122EC" w:rsidRDefault="009122EC" w:rsidP="009122EC">
      <w:pPr>
        <w:rPr>
          <w:rFonts w:ascii="Arial" w:hAnsi="Arial" w:cs="Arial"/>
          <w:sz w:val="24"/>
          <w:szCs w:val="24"/>
        </w:rPr>
      </w:pPr>
    </w:p>
    <w:p w14:paraId="5E6896E1" w14:textId="77777777" w:rsidR="004A7685" w:rsidRDefault="009122EC"/>
    <w:sectPr w:rsidR="004A7685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3C5D2D" w14:textId="77777777" w:rsidR="009122EC" w:rsidRDefault="009122EC" w:rsidP="009122EC">
      <w:pPr>
        <w:spacing w:after="0" w:line="240" w:lineRule="auto"/>
      </w:pPr>
      <w:r>
        <w:separator/>
      </w:r>
    </w:p>
  </w:endnote>
  <w:endnote w:type="continuationSeparator" w:id="0">
    <w:p w14:paraId="28CCD8B1" w14:textId="77777777" w:rsidR="009122EC" w:rsidRDefault="009122EC" w:rsidP="00912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AE8A6C" w14:textId="77777777" w:rsidR="009122EC" w:rsidRDefault="009122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23797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584621" w14:textId="23CCC630" w:rsidR="009122EC" w:rsidRDefault="009122E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61D596" w14:textId="77777777" w:rsidR="009122EC" w:rsidRDefault="009122E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9799BB" w14:textId="77777777" w:rsidR="009122EC" w:rsidRDefault="009122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D30442" w14:textId="77777777" w:rsidR="009122EC" w:rsidRDefault="009122EC" w:rsidP="009122EC">
      <w:pPr>
        <w:spacing w:after="0" w:line="240" w:lineRule="auto"/>
      </w:pPr>
      <w:r>
        <w:separator/>
      </w:r>
    </w:p>
  </w:footnote>
  <w:footnote w:type="continuationSeparator" w:id="0">
    <w:p w14:paraId="177147DD" w14:textId="77777777" w:rsidR="009122EC" w:rsidRDefault="009122EC" w:rsidP="009122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F44FF" w14:textId="77777777" w:rsidR="009122EC" w:rsidRDefault="009122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98B16E" w14:textId="3F68816A" w:rsidR="009122EC" w:rsidRPr="009122EC" w:rsidRDefault="009122EC">
    <w:pPr>
      <w:pStyle w:val="Header"/>
      <w:rPr>
        <w:rFonts w:ascii="Arial" w:hAnsi="Arial" w:cs="Arial"/>
        <w:sz w:val="24"/>
        <w:szCs w:val="24"/>
      </w:rPr>
    </w:pPr>
    <w:r w:rsidRPr="009122EC">
      <w:rPr>
        <w:rFonts w:ascii="Arial" w:hAnsi="Arial" w:cs="Arial"/>
        <w:sz w:val="24"/>
        <w:szCs w:val="24"/>
      </w:rPr>
      <w:t>ECEY5003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1907459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58DC7B" w14:textId="77777777" w:rsidR="009122EC" w:rsidRDefault="009122E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7A0MTc0MzcwMjKwNDJT0lEKTi0uzszPAykwrAUA0HnE8SwAAAA="/>
  </w:docVars>
  <w:rsids>
    <w:rsidRoot w:val="009122EC"/>
    <w:rsid w:val="0076527F"/>
    <w:rsid w:val="009122EC"/>
    <w:rsid w:val="00DF1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3D1D9"/>
  <w15:chartTrackingRefBased/>
  <w15:docId w15:val="{AD8E8AD9-5A9C-4FE6-83A2-5B7D61B1D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2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2EC"/>
  </w:style>
  <w:style w:type="paragraph" w:styleId="Footer">
    <w:name w:val="footer"/>
    <w:basedOn w:val="Normal"/>
    <w:link w:val="FooterChar"/>
    <w:uiPriority w:val="99"/>
    <w:unhideWhenUsed/>
    <w:rsid w:val="009122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2EC"/>
  </w:style>
  <w:style w:type="character" w:styleId="Hyperlink">
    <w:name w:val="Hyperlink"/>
    <w:basedOn w:val="DefaultParagraphFont"/>
    <w:uiPriority w:val="99"/>
    <w:unhideWhenUsed/>
    <w:rsid w:val="009122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22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jponline.biomedcentral.com/articles/10.1186/s13052-014-0073-7" TargetMode="External"/><Relationship Id="rId13" Type="http://schemas.openxmlformats.org/officeDocument/2006/relationships/hyperlink" Target="https://www.rush.edu/news/why-you-should-eat-breakfast" TargetMode="External"/><Relationship Id="rId18" Type="http://schemas.openxmlformats.org/officeDocument/2006/relationships/hyperlink" Target="https://gov.wales/sites/default/files/publications/2018-12/healthy-eating-in-maintained-schools-statutory-guidance-for-local-authorities-and-governing-bodies.pdf" TargetMode="External"/><Relationship Id="rId26" Type="http://schemas.openxmlformats.org/officeDocument/2006/relationships/footer" Target="footer3.xm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assets.publishing.service.gov.uk/government/uploads/system/uploads/attachment_data/file/295474/The_relationship_between_wellbeing_and_health.pdf" TargetMode="External"/><Relationship Id="rId12" Type="http://schemas.openxmlformats.org/officeDocument/2006/relationships/hyperlink" Target="https://www.healthknowledge.org.uk/public-health-textbook/medical-sociology-policy-economics/4a-concepts-health-illness/section2/activity3" TargetMode="External"/><Relationship Id="rId17" Type="http://schemas.openxmlformats.org/officeDocument/2006/relationships/hyperlink" Target="https://dera.ioe.ac.uk/539/2/free-breakfast-guidance-e.pdf_lang=en" TargetMode="External"/><Relationship Id="rId25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hyperlink" Target="https://www.unicef.org.uk/wpcontent/uploads/2010/05/UNCRC_united_nations_convention_on_the_rights_of_the_child.pdf" TargetMode="External"/><Relationship Id="rId20" Type="http://schemas.openxmlformats.org/officeDocument/2006/relationships/hyperlink" Target="https://www.euro.who.int/__data/assets/pdf_file/0009/181449/e96732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dictionary.cambridge.org/dictionary/english/health" TargetMode="External"/><Relationship Id="rId11" Type="http://schemas.openxmlformats.org/officeDocument/2006/relationships/hyperlink" Target="https://ia802802.us.archive.org/20/items/nurseryschool00mcmiuoft/nurseryschool00mcmiuoft.pdf" TargetMode="External"/><Relationship Id="rId24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https://www.ncbi.nlm.nih.gov/pmc/articles/PMC5508938/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www.jasper-nutrition.com/blog/2017/12/17/a-hierarchy-of-food-nutrition" TargetMode="External"/><Relationship Id="rId19" Type="http://schemas.openxmlformats.org/officeDocument/2006/relationships/hyperlink" Target="file:///C:/Users/invate/OneDrive%20-%20University%20of%20Wales%20Trinity%20Saint%20David/140627-free-breakfast-primary-guidance-en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gcph.co.uk/assets/0000/5754/Early_years_synthesis.pdf" TargetMode="External"/><Relationship Id="rId14" Type="http://schemas.openxmlformats.org/officeDocument/2006/relationships/hyperlink" Target="https://www.legislation.gov.uk/anaw/2013/1/section/88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887</Words>
  <Characters>5059</Characters>
  <Application>Microsoft Office Word</Application>
  <DocSecurity>0</DocSecurity>
  <Lines>42</Lines>
  <Paragraphs>11</Paragraphs>
  <ScaleCrop>false</ScaleCrop>
  <Company/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comey</dc:creator>
  <cp:keywords/>
  <dc:description/>
  <cp:lastModifiedBy>amanda comey</cp:lastModifiedBy>
  <cp:revision>1</cp:revision>
  <dcterms:created xsi:type="dcterms:W3CDTF">2021-07-16T22:12:00Z</dcterms:created>
  <dcterms:modified xsi:type="dcterms:W3CDTF">2021-07-16T22:18:00Z</dcterms:modified>
</cp:coreProperties>
</file>