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406C1" w14:textId="77777777" w:rsidR="00D77726" w:rsidRPr="00D77726" w:rsidRDefault="00D77726" w:rsidP="00D77726">
      <w:pPr>
        <w:jc w:val="center"/>
        <w:rPr>
          <w:rFonts w:ascii="Arial" w:eastAsia="Calibri" w:hAnsi="Arial" w:cs="Times New Roman"/>
          <w:noProof/>
          <w:kern w:val="0"/>
          <w:szCs w:val="22"/>
          <w14:ligatures w14:val="none"/>
        </w:rPr>
      </w:pPr>
    </w:p>
    <w:p w14:paraId="61542720" w14:textId="77777777" w:rsidR="00D77726" w:rsidRPr="00D77726" w:rsidRDefault="00D77726" w:rsidP="00D77726">
      <w:pPr>
        <w:jc w:val="center"/>
        <w:rPr>
          <w:rFonts w:ascii="Arial" w:eastAsia="Calibri" w:hAnsi="Arial" w:cs="Times New Roman"/>
          <w:noProof/>
          <w:kern w:val="0"/>
          <w:szCs w:val="22"/>
          <w14:ligatures w14:val="none"/>
        </w:rPr>
      </w:pPr>
      <w:r w:rsidRPr="00D77726">
        <w:rPr>
          <w:rFonts w:ascii="Arial" w:eastAsia="Calibri" w:hAnsi="Arial" w:cs="Times New Roman"/>
          <w:noProof/>
          <w:color w:val="000000"/>
          <w:kern w:val="0"/>
          <w14:ligatures w14:val="none"/>
        </w:rPr>
        <w:drawing>
          <wp:inline distT="0" distB="0" distL="0" distR="0" wp14:anchorId="224826EE" wp14:editId="450A2A5D">
            <wp:extent cx="3108961" cy="1295400"/>
            <wp:effectExtent l="0" t="0" r="0" b="0"/>
            <wp:docPr id="38432527"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4816" cy="1302006"/>
                    </a:xfrm>
                    <a:prstGeom prst="rect">
                      <a:avLst/>
                    </a:prstGeom>
                    <a:noFill/>
                    <a:ln>
                      <a:noFill/>
                    </a:ln>
                  </pic:spPr>
                </pic:pic>
              </a:graphicData>
            </a:graphic>
          </wp:inline>
        </w:drawing>
      </w:r>
    </w:p>
    <w:p w14:paraId="746DF121" w14:textId="77777777"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Master of Business Administration</w:t>
      </w:r>
    </w:p>
    <w:p w14:paraId="38C87E84" w14:textId="77777777" w:rsidR="00D77726" w:rsidRPr="00D77726" w:rsidRDefault="00D77726" w:rsidP="00D77726">
      <w:pPr>
        <w:jc w:val="center"/>
        <w:rPr>
          <w:rFonts w:ascii="Arial" w:eastAsia="Calibri" w:hAnsi="Arial" w:cs="Times New Roman"/>
          <w:b/>
          <w:bCs/>
          <w:noProof/>
          <w:kern w:val="0"/>
          <w:szCs w:val="22"/>
          <w14:ligatures w14:val="none"/>
        </w:rPr>
      </w:pPr>
    </w:p>
    <w:p w14:paraId="6B429E12" w14:textId="641027FE"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 xml:space="preserve">Module Name: </w:t>
      </w:r>
      <w:r w:rsidRPr="00C257C5">
        <w:rPr>
          <w:rFonts w:ascii="Arial" w:eastAsia="Calibri" w:hAnsi="Arial" w:cs="Times New Roman"/>
          <w:noProof/>
          <w:kern w:val="0"/>
          <w:szCs w:val="22"/>
          <w14:ligatures w14:val="none"/>
        </w:rPr>
        <w:t>Marketing Management</w:t>
      </w:r>
    </w:p>
    <w:p w14:paraId="75B701A9" w14:textId="1FF206FA"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 xml:space="preserve">Module Code: </w:t>
      </w:r>
      <w:r w:rsidRPr="00C257C5">
        <w:rPr>
          <w:rFonts w:ascii="Arial" w:eastAsia="Calibri" w:hAnsi="Arial" w:cs="Times New Roman"/>
          <w:noProof/>
          <w:kern w:val="0"/>
          <w:szCs w:val="22"/>
          <w14:ligatures w14:val="none"/>
        </w:rPr>
        <w:t>LCMB7024</w:t>
      </w:r>
    </w:p>
    <w:p w14:paraId="6EE8B9AC" w14:textId="79CDC756" w:rsidR="00D77726" w:rsidRPr="00D77726" w:rsidRDefault="00D77726" w:rsidP="00B12C4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 xml:space="preserve">Assessment </w:t>
      </w:r>
      <w:r w:rsidR="003C29A6" w:rsidRPr="00EF327D">
        <w:rPr>
          <w:rFonts w:ascii="Arial" w:eastAsia="Calibri" w:hAnsi="Arial" w:cs="Times New Roman"/>
          <w:b/>
          <w:bCs/>
          <w:noProof/>
          <w:kern w:val="0"/>
          <w:szCs w:val="22"/>
          <w14:ligatures w14:val="none"/>
        </w:rPr>
        <w:t>Title</w:t>
      </w:r>
      <w:r w:rsidR="00C257C5">
        <w:rPr>
          <w:rFonts w:ascii="Arial" w:eastAsia="Calibri" w:hAnsi="Arial" w:cs="Times New Roman"/>
          <w:b/>
          <w:bCs/>
          <w:noProof/>
          <w:kern w:val="0"/>
          <w:szCs w:val="22"/>
          <w14:ligatures w14:val="none"/>
        </w:rPr>
        <w:t>:</w:t>
      </w:r>
      <w:r w:rsidRPr="00D77726">
        <w:rPr>
          <w:rFonts w:ascii="Arial" w:eastAsia="Calibri" w:hAnsi="Arial" w:cs="Times New Roman"/>
          <w:b/>
          <w:bCs/>
          <w:noProof/>
          <w:kern w:val="0"/>
          <w:szCs w:val="22"/>
          <w14:ligatures w14:val="none"/>
        </w:rPr>
        <w:t xml:space="preserve"> </w:t>
      </w:r>
      <w:r w:rsidRPr="00C257C5">
        <w:rPr>
          <w:rFonts w:ascii="Arial" w:eastAsia="Calibri" w:hAnsi="Arial" w:cs="Times New Roman"/>
          <w:noProof/>
          <w:kern w:val="0"/>
          <w:szCs w:val="22"/>
          <w14:ligatures w14:val="none"/>
        </w:rPr>
        <w:t xml:space="preserve">Portfolio Task on IKEA: </w:t>
      </w:r>
      <w:r w:rsidR="00067774" w:rsidRPr="00C257C5">
        <w:rPr>
          <w:rFonts w:ascii="Arial" w:eastAsia="Calibri" w:hAnsi="Arial" w:cs="Times New Roman"/>
          <w:noProof/>
          <w:kern w:val="0"/>
          <w:szCs w:val="22"/>
          <w14:ligatures w14:val="none"/>
        </w:rPr>
        <w:t>IKEA Circular Living+</w:t>
      </w:r>
    </w:p>
    <w:p w14:paraId="7127F29E" w14:textId="6D674342"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Lecturer:</w:t>
      </w:r>
      <w:r w:rsidR="00B12C46">
        <w:rPr>
          <w:rFonts w:ascii="Arial" w:eastAsia="Calibri" w:hAnsi="Arial" w:cs="Times New Roman"/>
          <w:b/>
          <w:bCs/>
          <w:noProof/>
          <w:kern w:val="0"/>
          <w:szCs w:val="22"/>
          <w14:ligatures w14:val="none"/>
        </w:rPr>
        <w:t xml:space="preserve"> </w:t>
      </w:r>
      <w:r w:rsidR="00B12C46" w:rsidRPr="00B12C46">
        <w:rPr>
          <w:rFonts w:ascii="Arial" w:eastAsia="Calibri" w:hAnsi="Arial" w:cs="Times New Roman"/>
          <w:noProof/>
          <w:kern w:val="0"/>
          <w:szCs w:val="22"/>
          <w14:ligatures w14:val="none"/>
        </w:rPr>
        <w:t>Laila Maazouz  Taonga Kaonga SobereSnithers</w:t>
      </w:r>
      <w:r w:rsidR="00B12C46" w:rsidRPr="00B12C46">
        <w:rPr>
          <w:rFonts w:ascii="Arial" w:eastAsia="Calibri" w:hAnsi="Arial" w:cs="Times New Roman"/>
          <w:b/>
          <w:bCs/>
          <w:noProof/>
          <w:kern w:val="0"/>
          <w:szCs w:val="22"/>
          <w14:ligatures w14:val="none"/>
        </w:rPr>
        <w:t xml:space="preserve">  </w:t>
      </w:r>
    </w:p>
    <w:p w14:paraId="24939069" w14:textId="2AA55304"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Student Name:</w:t>
      </w:r>
      <w:r w:rsidR="00B12C46">
        <w:rPr>
          <w:rFonts w:ascii="Arial" w:eastAsia="Calibri" w:hAnsi="Arial" w:cs="Times New Roman"/>
          <w:b/>
          <w:bCs/>
          <w:noProof/>
          <w:kern w:val="0"/>
          <w:szCs w:val="22"/>
          <w14:ligatures w14:val="none"/>
        </w:rPr>
        <w:t xml:space="preserve"> </w:t>
      </w:r>
      <w:r w:rsidR="00B12C46" w:rsidRPr="00B12C46">
        <w:rPr>
          <w:rFonts w:ascii="Arial" w:eastAsia="Calibri" w:hAnsi="Arial" w:cs="Times New Roman"/>
          <w:noProof/>
          <w:kern w:val="0"/>
          <w:szCs w:val="22"/>
          <w14:ligatures w14:val="none"/>
        </w:rPr>
        <w:t>Kathan Sanjaykumar Joshi</w:t>
      </w:r>
    </w:p>
    <w:p w14:paraId="4C17CD1B" w14:textId="6F22B685" w:rsidR="00D77726" w:rsidRPr="00B12C46" w:rsidRDefault="00D77726" w:rsidP="00D77726">
      <w:pPr>
        <w:jc w:val="center"/>
        <w:rPr>
          <w:rFonts w:ascii="Arial" w:eastAsia="Calibri" w:hAnsi="Arial" w:cs="Times New Roman"/>
          <w:noProof/>
          <w:kern w:val="0"/>
          <w:szCs w:val="22"/>
          <w14:ligatures w14:val="none"/>
        </w:rPr>
      </w:pPr>
      <w:r w:rsidRPr="00D77726">
        <w:rPr>
          <w:rFonts w:ascii="Arial" w:eastAsia="Calibri" w:hAnsi="Arial" w:cs="Times New Roman"/>
          <w:b/>
          <w:bCs/>
          <w:noProof/>
          <w:kern w:val="0"/>
          <w:szCs w:val="22"/>
          <w14:ligatures w14:val="none"/>
        </w:rPr>
        <w:t>Student ID:</w:t>
      </w:r>
      <w:r w:rsidR="00B12C46">
        <w:rPr>
          <w:rFonts w:ascii="Arial" w:eastAsia="Calibri" w:hAnsi="Arial" w:cs="Times New Roman"/>
          <w:b/>
          <w:bCs/>
          <w:noProof/>
          <w:kern w:val="0"/>
          <w:szCs w:val="22"/>
          <w14:ligatures w14:val="none"/>
        </w:rPr>
        <w:t xml:space="preserve"> </w:t>
      </w:r>
      <w:r w:rsidR="00B12C46">
        <w:rPr>
          <w:rFonts w:ascii="Arial" w:eastAsia="Calibri" w:hAnsi="Arial" w:cs="Times New Roman"/>
          <w:noProof/>
          <w:kern w:val="0"/>
          <w:szCs w:val="22"/>
          <w14:ligatures w14:val="none"/>
        </w:rPr>
        <w:t>2538334</w:t>
      </w:r>
    </w:p>
    <w:p w14:paraId="48247128" w14:textId="77777777"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 xml:space="preserve">Reference Style: </w:t>
      </w:r>
      <w:r w:rsidRPr="00D77726">
        <w:rPr>
          <w:rFonts w:ascii="Arial" w:eastAsia="Calibri" w:hAnsi="Arial" w:cs="Times New Roman"/>
          <w:noProof/>
          <w:kern w:val="0"/>
          <w:szCs w:val="22"/>
          <w14:ligatures w14:val="none"/>
        </w:rPr>
        <w:t>Harvard</w:t>
      </w:r>
    </w:p>
    <w:p w14:paraId="3915D809" w14:textId="2ABD820E" w:rsidR="00D77726" w:rsidRPr="00D77726" w:rsidRDefault="00D77726" w:rsidP="00D77726">
      <w:pPr>
        <w:jc w:val="center"/>
        <w:rPr>
          <w:rFonts w:ascii="Arial" w:eastAsia="Calibri" w:hAnsi="Arial" w:cs="Times New Roman"/>
          <w:b/>
          <w:bCs/>
          <w:noProof/>
          <w:kern w:val="0"/>
          <w:szCs w:val="22"/>
          <w14:ligatures w14:val="none"/>
        </w:rPr>
      </w:pPr>
      <w:r w:rsidRPr="00D77726">
        <w:rPr>
          <w:rFonts w:ascii="Arial" w:eastAsia="Calibri" w:hAnsi="Arial" w:cs="Times New Roman"/>
          <w:b/>
          <w:bCs/>
          <w:noProof/>
          <w:kern w:val="0"/>
          <w:szCs w:val="22"/>
          <w14:ligatures w14:val="none"/>
        </w:rPr>
        <w:t xml:space="preserve">Word Count: </w:t>
      </w:r>
      <w:r w:rsidR="0082037A">
        <w:rPr>
          <w:rFonts w:ascii="Arial" w:eastAsia="Calibri" w:hAnsi="Arial" w:cs="Times New Roman"/>
          <w:noProof/>
          <w:kern w:val="0"/>
          <w:szCs w:val="22"/>
          <w14:ligatures w14:val="none"/>
        </w:rPr>
        <w:t>2640</w:t>
      </w:r>
    </w:p>
    <w:p w14:paraId="160D9635" w14:textId="08B7448F" w:rsidR="003C29A6" w:rsidRPr="00B12C46" w:rsidRDefault="00D77726" w:rsidP="00D77726">
      <w:pPr>
        <w:jc w:val="center"/>
      </w:pPr>
      <w:r w:rsidRPr="00D77726">
        <w:rPr>
          <w:rFonts w:ascii="Arial" w:eastAsia="Calibri" w:hAnsi="Arial" w:cs="Times New Roman"/>
          <w:b/>
          <w:bCs/>
          <w:noProof/>
          <w:kern w:val="0"/>
          <w:szCs w:val="22"/>
          <w14:ligatures w14:val="none"/>
        </w:rPr>
        <w:t>Submission Date:</w:t>
      </w:r>
      <w:r w:rsidR="00B12C46">
        <w:rPr>
          <w:rFonts w:ascii="Arial" w:eastAsia="Calibri" w:hAnsi="Arial" w:cs="Times New Roman"/>
          <w:b/>
          <w:bCs/>
          <w:noProof/>
          <w:kern w:val="0"/>
          <w:szCs w:val="22"/>
          <w14:ligatures w14:val="none"/>
        </w:rPr>
        <w:t xml:space="preserve"> </w:t>
      </w:r>
      <w:r w:rsidR="00B12C46" w:rsidRPr="00B12C46">
        <w:rPr>
          <w:rFonts w:ascii="Arial" w:eastAsia="Calibri" w:hAnsi="Arial" w:cs="Times New Roman"/>
          <w:noProof/>
          <w:kern w:val="0"/>
          <w:szCs w:val="22"/>
          <w14:ligatures w14:val="none"/>
        </w:rPr>
        <w:t>14-08-26</w:t>
      </w:r>
    </w:p>
    <w:p w14:paraId="431F5499" w14:textId="23FD4488" w:rsidR="00700133" w:rsidRDefault="00700133">
      <w:pPr>
        <w:spacing w:line="278" w:lineRule="auto"/>
        <w:jc w:val="left"/>
      </w:pPr>
      <w:r>
        <w:br w:type="page"/>
      </w:r>
    </w:p>
    <w:sdt>
      <w:sdtPr>
        <w:rPr>
          <w:rFonts w:ascii="Arial" w:eastAsiaTheme="minorHAnsi" w:hAnsi="Arial" w:cstheme="minorBidi"/>
          <w:color w:val="000000" w:themeColor="text1"/>
          <w:kern w:val="2"/>
          <w:szCs w:val="24"/>
          <w:lang w:val="en-GB"/>
          <w14:ligatures w14:val="standardContextual"/>
        </w:rPr>
        <w:id w:val="812291030"/>
        <w:docPartObj>
          <w:docPartGallery w:val="Table of Contents"/>
          <w:docPartUnique/>
        </w:docPartObj>
      </w:sdtPr>
      <w:sdtEndPr>
        <w:rPr>
          <w:b/>
          <w:bCs/>
          <w:noProof/>
          <w:color w:val="auto"/>
        </w:rPr>
      </w:sdtEndPr>
      <w:sdtContent>
        <w:p w14:paraId="6F9360BE" w14:textId="05A7FA2C" w:rsidR="002A17CD" w:rsidRPr="00EF327D" w:rsidRDefault="002A17CD" w:rsidP="00AB5B4E">
          <w:pPr>
            <w:pStyle w:val="TOCHeading"/>
            <w:spacing w:line="360" w:lineRule="auto"/>
            <w:jc w:val="center"/>
            <w:rPr>
              <w:rFonts w:ascii="Arial" w:hAnsi="Arial"/>
              <w:b/>
              <w:bCs/>
              <w:color w:val="000000" w:themeColor="text1"/>
              <w:szCs w:val="24"/>
              <w:lang w:val="en-GB"/>
            </w:rPr>
          </w:pPr>
          <w:r w:rsidRPr="00EF327D">
            <w:rPr>
              <w:rFonts w:ascii="Arial" w:hAnsi="Arial"/>
              <w:b/>
              <w:bCs/>
              <w:color w:val="000000" w:themeColor="text1"/>
              <w:szCs w:val="24"/>
              <w:lang w:val="en-GB"/>
            </w:rPr>
            <w:t>Table of Contents</w:t>
          </w:r>
        </w:p>
        <w:p w14:paraId="774491B1" w14:textId="112D8567" w:rsidR="00AB5B4E" w:rsidRPr="00EF327D" w:rsidRDefault="002A17CD" w:rsidP="00AB5B4E">
          <w:pPr>
            <w:pStyle w:val="TOC1"/>
            <w:tabs>
              <w:tab w:val="right" w:leader="dot" w:pos="9016"/>
            </w:tabs>
            <w:rPr>
              <w:rFonts w:ascii="Arial" w:eastAsiaTheme="minorEastAsia" w:hAnsi="Arial" w:cs="Arial"/>
              <w:noProof/>
              <w:color w:val="000000" w:themeColor="text1"/>
              <w:lang w:eastAsia="en-GB"/>
            </w:rPr>
          </w:pPr>
          <w:r w:rsidRPr="00EF327D">
            <w:rPr>
              <w:rFonts w:ascii="Arial" w:hAnsi="Arial" w:cs="Arial"/>
              <w:color w:val="000000" w:themeColor="text1"/>
            </w:rPr>
            <w:fldChar w:fldCharType="begin"/>
          </w:r>
          <w:r w:rsidRPr="00EF327D">
            <w:rPr>
              <w:rFonts w:ascii="Arial" w:hAnsi="Arial" w:cs="Arial"/>
              <w:color w:val="000000" w:themeColor="text1"/>
            </w:rPr>
            <w:instrText xml:space="preserve"> TOC \o "1-3" \h \z \u </w:instrText>
          </w:r>
          <w:r w:rsidRPr="00EF327D">
            <w:rPr>
              <w:rFonts w:ascii="Arial" w:hAnsi="Arial" w:cs="Arial"/>
              <w:color w:val="000000" w:themeColor="text1"/>
            </w:rPr>
            <w:fldChar w:fldCharType="separate"/>
          </w:r>
          <w:hyperlink w:anchor="_Toc237612488" w:history="1">
            <w:r w:rsidR="00AB5B4E" w:rsidRPr="00EF327D">
              <w:rPr>
                <w:rStyle w:val="Hyperlink"/>
                <w:rFonts w:ascii="Arial" w:hAnsi="Arial" w:cs="Arial"/>
                <w:noProof/>
                <w:color w:val="000000" w:themeColor="text1"/>
              </w:rPr>
              <w:t>Element 1: Sustainable Brand Extension Poster Presentation</w:t>
            </w:r>
            <w:r w:rsidR="00AB5B4E" w:rsidRPr="00EF327D">
              <w:rPr>
                <w:rFonts w:ascii="Arial" w:hAnsi="Arial" w:cs="Arial"/>
                <w:noProof/>
                <w:webHidden/>
                <w:color w:val="000000" w:themeColor="text1"/>
              </w:rPr>
              <w:tab/>
            </w:r>
            <w:r w:rsidR="00AB5B4E" w:rsidRPr="00EF327D">
              <w:rPr>
                <w:rFonts w:ascii="Arial" w:hAnsi="Arial" w:cs="Arial"/>
                <w:noProof/>
                <w:webHidden/>
                <w:color w:val="000000" w:themeColor="text1"/>
              </w:rPr>
              <w:fldChar w:fldCharType="begin"/>
            </w:r>
            <w:r w:rsidR="00AB5B4E" w:rsidRPr="00EF327D">
              <w:rPr>
                <w:rFonts w:ascii="Arial" w:hAnsi="Arial" w:cs="Arial"/>
                <w:noProof/>
                <w:webHidden/>
                <w:color w:val="000000" w:themeColor="text1"/>
              </w:rPr>
              <w:instrText xml:space="preserve"> PAGEREF _Toc237612488 \h </w:instrText>
            </w:r>
            <w:r w:rsidR="00AB5B4E" w:rsidRPr="00EF327D">
              <w:rPr>
                <w:rFonts w:ascii="Arial" w:hAnsi="Arial" w:cs="Arial"/>
                <w:noProof/>
                <w:webHidden/>
                <w:color w:val="000000" w:themeColor="text1"/>
              </w:rPr>
            </w:r>
            <w:r w:rsidR="00AB5B4E"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3</w:t>
            </w:r>
            <w:r w:rsidR="00AB5B4E" w:rsidRPr="00EF327D">
              <w:rPr>
                <w:rFonts w:ascii="Arial" w:hAnsi="Arial" w:cs="Arial"/>
                <w:noProof/>
                <w:webHidden/>
                <w:color w:val="000000" w:themeColor="text1"/>
              </w:rPr>
              <w:fldChar w:fldCharType="end"/>
            </w:r>
          </w:hyperlink>
        </w:p>
        <w:p w14:paraId="1C9630E2" w14:textId="7322D837" w:rsidR="00AB5B4E" w:rsidRPr="00EF327D" w:rsidRDefault="00AB5B4E" w:rsidP="00AB5B4E">
          <w:pPr>
            <w:pStyle w:val="TOC1"/>
            <w:tabs>
              <w:tab w:val="right" w:leader="dot" w:pos="9016"/>
            </w:tabs>
            <w:rPr>
              <w:rFonts w:ascii="Arial" w:eastAsiaTheme="minorEastAsia" w:hAnsi="Arial" w:cs="Arial"/>
              <w:noProof/>
              <w:color w:val="000000" w:themeColor="text1"/>
              <w:lang w:eastAsia="en-GB"/>
            </w:rPr>
          </w:pPr>
          <w:hyperlink w:anchor="_Toc237612489" w:history="1">
            <w:r w:rsidRPr="00EF327D">
              <w:rPr>
                <w:rStyle w:val="Hyperlink"/>
                <w:rFonts w:ascii="Arial" w:hAnsi="Arial" w:cs="Arial"/>
                <w:noProof/>
                <w:color w:val="000000" w:themeColor="text1"/>
              </w:rPr>
              <w:t>Element 2: Develop a Segmentation, Targeting, Differentiation, and Positioning (STDP) Analysis for the brand extension</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_Toc237612489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5</w:t>
            </w:r>
            <w:r w:rsidRPr="00EF327D">
              <w:rPr>
                <w:rFonts w:ascii="Arial" w:hAnsi="Arial" w:cs="Arial"/>
                <w:noProof/>
                <w:webHidden/>
                <w:color w:val="000000" w:themeColor="text1"/>
              </w:rPr>
              <w:fldChar w:fldCharType="end"/>
            </w:r>
          </w:hyperlink>
        </w:p>
        <w:p w14:paraId="48DE1210" w14:textId="6051A0B7"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0" w:history="1">
            <w:r w:rsidRPr="00EF327D">
              <w:rPr>
                <w:rStyle w:val="Hyperlink"/>
                <w:rFonts w:ascii="Arial" w:hAnsi="Arial" w:cs="Arial"/>
                <w:noProof/>
                <w:color w:val="000000" w:themeColor="text1"/>
              </w:rPr>
              <w:t>2.1 Market Segmentation</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_Toc237612490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5</w:t>
            </w:r>
            <w:r w:rsidRPr="00EF327D">
              <w:rPr>
                <w:rFonts w:ascii="Arial" w:hAnsi="Arial" w:cs="Arial"/>
                <w:noProof/>
                <w:webHidden/>
                <w:color w:val="000000" w:themeColor="text1"/>
              </w:rPr>
              <w:fldChar w:fldCharType="end"/>
            </w:r>
          </w:hyperlink>
        </w:p>
        <w:p w14:paraId="0A67BFFD" w14:textId="37663D2D"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1" w:history="1">
            <w:r w:rsidRPr="00EF327D">
              <w:rPr>
                <w:rStyle w:val="Hyperlink"/>
                <w:rFonts w:ascii="Arial" w:hAnsi="Arial" w:cs="Arial"/>
                <w:noProof/>
                <w:color w:val="000000" w:themeColor="text1"/>
              </w:rPr>
              <w:t>2.2 Targeting</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_Toc237612491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7</w:t>
            </w:r>
            <w:r w:rsidRPr="00EF327D">
              <w:rPr>
                <w:rFonts w:ascii="Arial" w:hAnsi="Arial" w:cs="Arial"/>
                <w:noProof/>
                <w:webHidden/>
                <w:color w:val="000000" w:themeColor="text1"/>
              </w:rPr>
              <w:fldChar w:fldCharType="end"/>
            </w:r>
          </w:hyperlink>
        </w:p>
        <w:p w14:paraId="493D0E06" w14:textId="55D20E77"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2" w:history="1">
            <w:r w:rsidRPr="00EF327D">
              <w:rPr>
                <w:rStyle w:val="Hyperlink"/>
                <w:rFonts w:ascii="Arial" w:hAnsi="Arial" w:cs="Arial"/>
                <w:noProof/>
                <w:color w:val="000000" w:themeColor="text1"/>
              </w:rPr>
              <w:t>2.3 Differentiation</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_Toc237612492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8</w:t>
            </w:r>
            <w:r w:rsidRPr="00EF327D">
              <w:rPr>
                <w:rFonts w:ascii="Arial" w:hAnsi="Arial" w:cs="Arial"/>
                <w:noProof/>
                <w:webHidden/>
                <w:color w:val="000000" w:themeColor="text1"/>
              </w:rPr>
              <w:fldChar w:fldCharType="end"/>
            </w:r>
          </w:hyperlink>
        </w:p>
        <w:p w14:paraId="464FD019" w14:textId="6AF0BB07"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3" w:history="1">
            <w:r w:rsidRPr="00EF327D">
              <w:rPr>
                <w:rStyle w:val="Hyperlink"/>
                <w:rFonts w:ascii="Arial" w:hAnsi="Arial" w:cs="Arial"/>
                <w:noProof/>
                <w:color w:val="000000" w:themeColor="text1"/>
              </w:rPr>
              <w:t>2.4 Positioning</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_Toc237612493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8</w:t>
            </w:r>
            <w:r w:rsidRPr="00EF327D">
              <w:rPr>
                <w:rFonts w:ascii="Arial" w:hAnsi="Arial" w:cs="Arial"/>
                <w:noProof/>
                <w:webHidden/>
                <w:color w:val="000000" w:themeColor="text1"/>
              </w:rPr>
              <w:fldChar w:fldCharType="end"/>
            </w:r>
          </w:hyperlink>
        </w:p>
        <w:p w14:paraId="7EEF39B4" w14:textId="3A1AEBC6" w:rsidR="00AB5B4E" w:rsidRPr="00EF327D" w:rsidRDefault="00AB5B4E" w:rsidP="00AB5B4E">
          <w:pPr>
            <w:pStyle w:val="TOC1"/>
            <w:tabs>
              <w:tab w:val="right" w:leader="dot" w:pos="9016"/>
            </w:tabs>
            <w:rPr>
              <w:rFonts w:ascii="Arial" w:eastAsiaTheme="minorEastAsia" w:hAnsi="Arial" w:cs="Arial"/>
              <w:noProof/>
              <w:color w:val="000000" w:themeColor="text1"/>
              <w:lang w:eastAsia="en-GB"/>
            </w:rPr>
          </w:pPr>
          <w:hyperlink w:anchor="_Toc237612494" w:history="1">
            <w:r w:rsidRPr="00EF327D">
              <w:rPr>
                <w:rStyle w:val="Hyperlink"/>
                <w:rFonts w:ascii="Arial" w:hAnsi="Arial" w:cs="Arial"/>
                <w:noProof/>
                <w:color w:val="000000" w:themeColor="text1"/>
              </w:rPr>
              <w:t>Element 3: Marketing Mix</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_Toc237612494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9</w:t>
            </w:r>
            <w:r w:rsidRPr="00EF327D">
              <w:rPr>
                <w:rFonts w:ascii="Arial" w:hAnsi="Arial" w:cs="Arial"/>
                <w:noProof/>
                <w:webHidden/>
                <w:color w:val="000000" w:themeColor="text1"/>
              </w:rPr>
              <w:fldChar w:fldCharType="end"/>
            </w:r>
          </w:hyperlink>
        </w:p>
        <w:p w14:paraId="3A859A70" w14:textId="1C0D95FA"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5" w:history="1">
            <w:r w:rsidRPr="00EF327D">
              <w:rPr>
                <w:rStyle w:val="Hyperlink"/>
                <w:rFonts w:ascii="Arial" w:hAnsi="Arial" w:cs="Arial"/>
                <w:noProof/>
                <w:color w:val="000000" w:themeColor="text1"/>
              </w:rPr>
              <w:t>3.1 Product</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_Toc237612495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9</w:t>
            </w:r>
            <w:r w:rsidRPr="00EF327D">
              <w:rPr>
                <w:rFonts w:ascii="Arial" w:hAnsi="Arial" w:cs="Arial"/>
                <w:noProof/>
                <w:webHidden/>
                <w:color w:val="000000" w:themeColor="text1"/>
              </w:rPr>
              <w:fldChar w:fldCharType="end"/>
            </w:r>
          </w:hyperlink>
        </w:p>
        <w:p w14:paraId="328291D5" w14:textId="26AB9A9F"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6" w:history="1">
            <w:r w:rsidRPr="00EF327D">
              <w:rPr>
                <w:rStyle w:val="Hyperlink"/>
                <w:rFonts w:ascii="Arial" w:hAnsi="Arial" w:cs="Arial"/>
                <w:noProof/>
                <w:color w:val="000000" w:themeColor="text1"/>
              </w:rPr>
              <w:t>3.2 Price</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_Toc237612496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9</w:t>
            </w:r>
            <w:r w:rsidRPr="00EF327D">
              <w:rPr>
                <w:rFonts w:ascii="Arial" w:hAnsi="Arial" w:cs="Arial"/>
                <w:noProof/>
                <w:webHidden/>
                <w:color w:val="000000" w:themeColor="text1"/>
              </w:rPr>
              <w:fldChar w:fldCharType="end"/>
            </w:r>
          </w:hyperlink>
        </w:p>
        <w:p w14:paraId="5621555F" w14:textId="5845BA26"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7" w:history="1">
            <w:r w:rsidRPr="00EF327D">
              <w:rPr>
                <w:rStyle w:val="Hyperlink"/>
                <w:rFonts w:ascii="Arial" w:hAnsi="Arial" w:cs="Arial"/>
                <w:noProof/>
                <w:color w:val="000000" w:themeColor="text1"/>
              </w:rPr>
              <w:t>3.3 Place</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_Toc237612497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10</w:t>
            </w:r>
            <w:r w:rsidRPr="00EF327D">
              <w:rPr>
                <w:rFonts w:ascii="Arial" w:hAnsi="Arial" w:cs="Arial"/>
                <w:noProof/>
                <w:webHidden/>
                <w:color w:val="000000" w:themeColor="text1"/>
              </w:rPr>
              <w:fldChar w:fldCharType="end"/>
            </w:r>
          </w:hyperlink>
        </w:p>
        <w:p w14:paraId="57D4F1CE" w14:textId="4155ABF3"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8" w:history="1">
            <w:r w:rsidRPr="00EF327D">
              <w:rPr>
                <w:rStyle w:val="Hyperlink"/>
                <w:rFonts w:ascii="Arial" w:hAnsi="Arial" w:cs="Arial"/>
                <w:noProof/>
                <w:color w:val="000000" w:themeColor="text1"/>
              </w:rPr>
              <w:t>3.4 Promotion</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_Toc237612498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10</w:t>
            </w:r>
            <w:r w:rsidRPr="00EF327D">
              <w:rPr>
                <w:rFonts w:ascii="Arial" w:hAnsi="Arial" w:cs="Arial"/>
                <w:noProof/>
                <w:webHidden/>
                <w:color w:val="000000" w:themeColor="text1"/>
              </w:rPr>
              <w:fldChar w:fldCharType="end"/>
            </w:r>
          </w:hyperlink>
        </w:p>
        <w:p w14:paraId="1F4D52F1" w14:textId="6B5DB568"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499" w:history="1">
            <w:r w:rsidRPr="00EF327D">
              <w:rPr>
                <w:rStyle w:val="Hyperlink"/>
                <w:rFonts w:ascii="Arial" w:hAnsi="Arial" w:cs="Arial"/>
                <w:noProof/>
                <w:color w:val="000000" w:themeColor="text1"/>
              </w:rPr>
              <w:t>3.5 People</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_Toc237612499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11</w:t>
            </w:r>
            <w:r w:rsidRPr="00EF327D">
              <w:rPr>
                <w:rFonts w:ascii="Arial" w:hAnsi="Arial" w:cs="Arial"/>
                <w:noProof/>
                <w:webHidden/>
                <w:color w:val="000000" w:themeColor="text1"/>
              </w:rPr>
              <w:fldChar w:fldCharType="end"/>
            </w:r>
          </w:hyperlink>
        </w:p>
        <w:p w14:paraId="747398A0" w14:textId="35ED15A4"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500" w:history="1">
            <w:r w:rsidRPr="00EF327D">
              <w:rPr>
                <w:rStyle w:val="Hyperlink"/>
                <w:rFonts w:ascii="Arial" w:hAnsi="Arial" w:cs="Arial"/>
                <w:noProof/>
                <w:color w:val="000000" w:themeColor="text1"/>
              </w:rPr>
              <w:t>3.6 Process</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_Toc237612500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11</w:t>
            </w:r>
            <w:r w:rsidRPr="00EF327D">
              <w:rPr>
                <w:rFonts w:ascii="Arial" w:hAnsi="Arial" w:cs="Arial"/>
                <w:noProof/>
                <w:webHidden/>
                <w:color w:val="000000" w:themeColor="text1"/>
              </w:rPr>
              <w:fldChar w:fldCharType="end"/>
            </w:r>
          </w:hyperlink>
        </w:p>
        <w:p w14:paraId="11B3315B" w14:textId="0F7E9C93" w:rsidR="00AB5B4E" w:rsidRPr="00EF327D" w:rsidRDefault="00AB5B4E" w:rsidP="00AB5B4E">
          <w:pPr>
            <w:pStyle w:val="TOC2"/>
            <w:tabs>
              <w:tab w:val="right" w:leader="dot" w:pos="9016"/>
            </w:tabs>
            <w:rPr>
              <w:rFonts w:ascii="Arial" w:eastAsiaTheme="minorEastAsia" w:hAnsi="Arial" w:cs="Arial"/>
              <w:noProof/>
              <w:color w:val="000000" w:themeColor="text1"/>
              <w:lang w:eastAsia="en-GB"/>
            </w:rPr>
          </w:pPr>
          <w:hyperlink w:anchor="_Toc237612501" w:history="1">
            <w:r w:rsidRPr="00EF327D">
              <w:rPr>
                <w:rStyle w:val="Hyperlink"/>
                <w:rFonts w:ascii="Arial" w:hAnsi="Arial" w:cs="Arial"/>
                <w:noProof/>
                <w:color w:val="000000" w:themeColor="text1"/>
              </w:rPr>
              <w:t>3.7 Physical Evidence</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_Toc237612501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12</w:t>
            </w:r>
            <w:r w:rsidRPr="00EF327D">
              <w:rPr>
                <w:rFonts w:ascii="Arial" w:hAnsi="Arial" w:cs="Arial"/>
                <w:noProof/>
                <w:webHidden/>
                <w:color w:val="000000" w:themeColor="text1"/>
              </w:rPr>
              <w:fldChar w:fldCharType="end"/>
            </w:r>
          </w:hyperlink>
        </w:p>
        <w:p w14:paraId="22793405" w14:textId="25DCF8D6" w:rsidR="00AB5B4E" w:rsidRPr="00EF327D" w:rsidRDefault="00AB5B4E" w:rsidP="00AB5B4E">
          <w:pPr>
            <w:pStyle w:val="TOC1"/>
            <w:tabs>
              <w:tab w:val="right" w:leader="dot" w:pos="9016"/>
            </w:tabs>
            <w:rPr>
              <w:rFonts w:ascii="Arial" w:eastAsiaTheme="minorEastAsia" w:hAnsi="Arial" w:cs="Arial"/>
              <w:noProof/>
              <w:color w:val="000000" w:themeColor="text1"/>
              <w:lang w:eastAsia="en-GB"/>
            </w:rPr>
          </w:pPr>
          <w:hyperlink w:anchor="_Toc237612502" w:history="1">
            <w:r w:rsidRPr="00EF327D">
              <w:rPr>
                <w:rStyle w:val="Hyperlink"/>
                <w:rFonts w:ascii="Arial" w:hAnsi="Arial" w:cs="Arial"/>
                <w:noProof/>
                <w:color w:val="000000" w:themeColor="text1"/>
              </w:rPr>
              <w:t>Element 4: Reflection</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_Toc237612502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13</w:t>
            </w:r>
            <w:r w:rsidRPr="00EF327D">
              <w:rPr>
                <w:rFonts w:ascii="Arial" w:hAnsi="Arial" w:cs="Arial"/>
                <w:noProof/>
                <w:webHidden/>
                <w:color w:val="000000" w:themeColor="text1"/>
              </w:rPr>
              <w:fldChar w:fldCharType="end"/>
            </w:r>
          </w:hyperlink>
        </w:p>
        <w:p w14:paraId="1ECD73FE" w14:textId="062793C5" w:rsidR="00AB5B4E" w:rsidRPr="00EF327D" w:rsidRDefault="00AB5B4E" w:rsidP="00AB5B4E">
          <w:pPr>
            <w:pStyle w:val="TOC1"/>
            <w:tabs>
              <w:tab w:val="right" w:leader="dot" w:pos="9016"/>
            </w:tabs>
            <w:rPr>
              <w:rFonts w:ascii="Arial" w:eastAsiaTheme="minorEastAsia" w:hAnsi="Arial" w:cs="Arial"/>
              <w:noProof/>
              <w:color w:val="000000" w:themeColor="text1"/>
              <w:lang w:eastAsia="en-GB"/>
            </w:rPr>
          </w:pPr>
          <w:hyperlink w:anchor="_Toc237612503" w:history="1">
            <w:r w:rsidRPr="00EF327D">
              <w:rPr>
                <w:rStyle w:val="Hyperlink"/>
                <w:rFonts w:ascii="Arial" w:hAnsi="Arial" w:cs="Arial"/>
                <w:noProof/>
                <w:color w:val="000000" w:themeColor="text1"/>
              </w:rPr>
              <w:t>References</w:t>
            </w:r>
            <w:r w:rsidRPr="00EF327D">
              <w:rPr>
                <w:rFonts w:ascii="Arial" w:hAnsi="Arial" w:cs="Arial"/>
                <w:noProof/>
                <w:webHidden/>
                <w:color w:val="000000" w:themeColor="text1"/>
              </w:rPr>
              <w:tab/>
            </w:r>
            <w:r w:rsidRPr="00EF327D">
              <w:rPr>
                <w:rFonts w:ascii="Arial" w:hAnsi="Arial" w:cs="Arial"/>
                <w:noProof/>
                <w:webHidden/>
                <w:color w:val="000000" w:themeColor="text1"/>
              </w:rPr>
              <w:fldChar w:fldCharType="begin"/>
            </w:r>
            <w:r w:rsidRPr="00EF327D">
              <w:rPr>
                <w:rFonts w:ascii="Arial" w:hAnsi="Arial" w:cs="Arial"/>
                <w:noProof/>
                <w:webHidden/>
                <w:color w:val="000000" w:themeColor="text1"/>
              </w:rPr>
              <w:instrText xml:space="preserve"> PAGEREF _Toc237612503 \h </w:instrText>
            </w:r>
            <w:r w:rsidRPr="00EF327D">
              <w:rPr>
                <w:rFonts w:ascii="Arial" w:hAnsi="Arial" w:cs="Arial"/>
                <w:noProof/>
                <w:webHidden/>
                <w:color w:val="000000" w:themeColor="text1"/>
              </w:rPr>
            </w:r>
            <w:r w:rsidRPr="00EF327D">
              <w:rPr>
                <w:rFonts w:ascii="Arial" w:hAnsi="Arial" w:cs="Arial"/>
                <w:noProof/>
                <w:webHidden/>
                <w:color w:val="000000" w:themeColor="text1"/>
              </w:rPr>
              <w:fldChar w:fldCharType="separate"/>
            </w:r>
            <w:r w:rsidR="00262AE0">
              <w:rPr>
                <w:rFonts w:ascii="Arial" w:hAnsi="Arial" w:cs="Arial"/>
                <w:noProof/>
                <w:webHidden/>
                <w:color w:val="000000" w:themeColor="text1"/>
              </w:rPr>
              <w:t>15</w:t>
            </w:r>
            <w:r w:rsidRPr="00EF327D">
              <w:rPr>
                <w:rFonts w:ascii="Arial" w:hAnsi="Arial" w:cs="Arial"/>
                <w:noProof/>
                <w:webHidden/>
                <w:color w:val="000000" w:themeColor="text1"/>
              </w:rPr>
              <w:fldChar w:fldCharType="end"/>
            </w:r>
          </w:hyperlink>
        </w:p>
        <w:p w14:paraId="03F34FF0" w14:textId="4AE79863" w:rsidR="002A17CD" w:rsidRPr="00EF327D" w:rsidRDefault="002A17CD" w:rsidP="00AB5B4E">
          <w:pPr>
            <w:rPr>
              <w:rFonts w:ascii="Arial" w:hAnsi="Arial" w:cs="Arial"/>
              <w:b/>
              <w:bCs/>
              <w:noProof/>
            </w:rPr>
          </w:pPr>
          <w:r w:rsidRPr="00EF327D">
            <w:rPr>
              <w:rFonts w:ascii="Arial" w:hAnsi="Arial" w:cs="Arial"/>
              <w:b/>
              <w:bCs/>
              <w:noProof/>
              <w:color w:val="000000" w:themeColor="text1"/>
            </w:rPr>
            <w:fldChar w:fldCharType="end"/>
          </w:r>
        </w:p>
      </w:sdtContent>
    </w:sdt>
    <w:p w14:paraId="70FDC4AE" w14:textId="77777777" w:rsidR="00C752BA" w:rsidRPr="00EF327D" w:rsidRDefault="00C752BA">
      <w:pPr>
        <w:rPr>
          <w:rFonts w:ascii="Arial" w:hAnsi="Arial" w:cs="Arial"/>
          <w:b/>
          <w:bCs/>
          <w:noProof/>
        </w:rPr>
      </w:pPr>
    </w:p>
    <w:p w14:paraId="11F9A07F" w14:textId="308EE7D4" w:rsidR="00C752BA" w:rsidRPr="00EF327D" w:rsidRDefault="00C752BA">
      <w:pPr>
        <w:spacing w:line="278" w:lineRule="auto"/>
        <w:jc w:val="left"/>
        <w:rPr>
          <w:rFonts w:ascii="Arial" w:hAnsi="Arial" w:cs="Arial"/>
          <w:b/>
          <w:bCs/>
          <w:noProof/>
        </w:rPr>
      </w:pPr>
      <w:r w:rsidRPr="00EF327D">
        <w:rPr>
          <w:rFonts w:ascii="Arial" w:hAnsi="Arial" w:cs="Arial"/>
          <w:b/>
          <w:bCs/>
          <w:noProof/>
        </w:rPr>
        <w:br w:type="page"/>
      </w:r>
    </w:p>
    <w:p w14:paraId="31E23DF8" w14:textId="2437EB09" w:rsidR="002A17CD" w:rsidRPr="00EF327D" w:rsidRDefault="00C752BA" w:rsidP="00E61E41">
      <w:pPr>
        <w:pStyle w:val="Heading1"/>
      </w:pPr>
      <w:bookmarkStart w:id="0" w:name="_Toc237612488"/>
      <w:r w:rsidRPr="00EF327D">
        <w:lastRenderedPageBreak/>
        <w:t>Element 1: Sustainable Brand Extension Poster Presentation</w:t>
      </w:r>
      <w:bookmarkEnd w:id="0"/>
    </w:p>
    <w:p w14:paraId="1EF7C93B" w14:textId="22393151" w:rsidR="00C752BA" w:rsidRDefault="002965AA" w:rsidP="00C752BA">
      <w:pPr>
        <w:jc w:val="center"/>
        <w:rPr>
          <w:rFonts w:ascii="Arial" w:hAnsi="Arial" w:cs="Arial"/>
        </w:rPr>
      </w:pPr>
      <w:r w:rsidRPr="00EF327D">
        <w:rPr>
          <w:noProof/>
        </w:rPr>
        <w:drawing>
          <wp:inline distT="0" distB="0" distL="0" distR="0" wp14:anchorId="0725B151" wp14:editId="4C102F71">
            <wp:extent cx="5314950" cy="7505700"/>
            <wp:effectExtent l="0" t="0" r="0" b="0"/>
            <wp:docPr id="119865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659045" name=""/>
                    <pic:cNvPicPr/>
                  </pic:nvPicPr>
                  <pic:blipFill>
                    <a:blip r:embed="rId9"/>
                    <a:stretch>
                      <a:fillRect/>
                    </a:stretch>
                  </pic:blipFill>
                  <pic:spPr>
                    <a:xfrm>
                      <a:off x="0" y="0"/>
                      <a:ext cx="5314950" cy="7505700"/>
                    </a:xfrm>
                    <a:prstGeom prst="rect">
                      <a:avLst/>
                    </a:prstGeom>
                  </pic:spPr>
                </pic:pic>
              </a:graphicData>
            </a:graphic>
          </wp:inline>
        </w:drawing>
      </w:r>
    </w:p>
    <w:p w14:paraId="468C0E17" w14:textId="77777777" w:rsidR="00191D7F" w:rsidRPr="000A29EA" w:rsidRDefault="00191D7F" w:rsidP="00191D7F">
      <w:pPr>
        <w:rPr>
          <w:rFonts w:ascii="Arial" w:hAnsi="Arial" w:cs="Arial"/>
          <w:lang w:val="en-IN"/>
        </w:rPr>
      </w:pPr>
      <w:r w:rsidRPr="000A29EA">
        <w:rPr>
          <w:rFonts w:ascii="Arial" w:hAnsi="Arial" w:cs="Arial"/>
          <w:lang w:val="en-IN"/>
        </w:rPr>
        <w:t>In Element 1, IKEA Circular Living+ is a sustainable brand extension being introduced to the UK market. The idea offers a furniture subscription scheme with applied solutions of rental, exchange, repair, refurbishment, and reuse as an alternative to re-</w:t>
      </w:r>
      <w:r w:rsidRPr="000A29EA">
        <w:rPr>
          <w:rFonts w:ascii="Arial" w:hAnsi="Arial" w:cs="Arial"/>
          <w:lang w:val="en-IN"/>
        </w:rPr>
        <w:lastRenderedPageBreak/>
        <w:t>buying furniture. The poster recognizes young people aged 18-30 who are urban renters, especially students, graduates, and young professionals beginning their careers, as the target audience. The extension is based on their affordability, flexibility and convenience requirements. The idea is based on the current circle operations and sustainable-business vision of IKEA as well.</w:t>
      </w:r>
    </w:p>
    <w:p w14:paraId="154E1A5C" w14:textId="288E569B" w:rsidR="0089465C" w:rsidRDefault="00191D7F" w:rsidP="0035092C">
      <w:pPr>
        <w:rPr>
          <w:rFonts w:ascii="Arial" w:hAnsi="Arial" w:cs="Arial"/>
          <w:lang w:val="en-IN"/>
        </w:rPr>
      </w:pPr>
      <w:r w:rsidRPr="000A29EA">
        <w:rPr>
          <w:rFonts w:ascii="Arial" w:hAnsi="Arial" w:cs="Arial"/>
          <w:lang w:val="en-IN"/>
        </w:rPr>
        <w:t>The poster also conveys the proposed value proposition and strategy of Circular Living</w:t>
      </w:r>
      <w:r w:rsidR="00C36BF2" w:rsidRPr="000A29EA">
        <w:rPr>
          <w:rFonts w:ascii="Arial" w:hAnsi="Arial" w:cs="Arial"/>
          <w:lang w:val="en-IN"/>
        </w:rPr>
        <w:t>+</w:t>
      </w:r>
      <w:r w:rsidRPr="000A29EA">
        <w:rPr>
          <w:rFonts w:ascii="Arial" w:hAnsi="Arial" w:cs="Arial"/>
          <w:lang w:val="en-IN"/>
        </w:rPr>
        <w:t xml:space="preserve">, </w:t>
      </w:r>
      <w:r w:rsidR="00AD5FC3" w:rsidRPr="000A29EA">
        <w:rPr>
          <w:rFonts w:ascii="Arial" w:hAnsi="Arial" w:cs="Arial"/>
          <w:lang w:val="en-IN"/>
        </w:rPr>
        <w:t xml:space="preserve">which is </w:t>
      </w:r>
      <w:r w:rsidRPr="000A29EA">
        <w:rPr>
          <w:rFonts w:ascii="Arial" w:hAnsi="Arial" w:cs="Arial"/>
          <w:lang w:val="en-IN"/>
        </w:rPr>
        <w:t>inexpensive access to furniture with a convenient and sustainable consumption. The extension distinguishes IKEA by a closed-loop furniture ecosystem that is controlled, instead of competing by pricing alone. This includes selection, delivery, maintenance, exchange, collection and refurbishment. This model leverages the current capabilities of IKEA, but it will respond to the real-life requirements of the customers residing in temporary housing. The proposed extension consequently links convenience, affordability and circularity to customers</w:t>
      </w:r>
      <w:r w:rsidR="000A29EA">
        <w:rPr>
          <w:rFonts w:ascii="Arial" w:hAnsi="Arial" w:cs="Arial"/>
          <w:lang w:val="en-IN"/>
        </w:rPr>
        <w:t>. Moreover, it addressed the requirements of both IKEA and the target customers while ensuring compliance with United Nations Sustainable Goal (UNSDG)</w:t>
      </w:r>
      <w:r w:rsidRPr="000A29EA">
        <w:rPr>
          <w:rFonts w:ascii="Arial" w:hAnsi="Arial" w:cs="Arial"/>
          <w:lang w:val="en-IN"/>
        </w:rPr>
        <w:t xml:space="preserve"> </w:t>
      </w:r>
      <w:r w:rsidR="000A29EA">
        <w:rPr>
          <w:rFonts w:ascii="Arial" w:hAnsi="Arial" w:cs="Arial"/>
          <w:lang w:val="en-IN"/>
        </w:rPr>
        <w:t>12 for responsible consumption and production.</w:t>
      </w:r>
    </w:p>
    <w:p w14:paraId="779D3C44" w14:textId="77777777" w:rsidR="0089465C" w:rsidRDefault="0089465C">
      <w:pPr>
        <w:spacing w:line="278" w:lineRule="auto"/>
        <w:jc w:val="left"/>
        <w:rPr>
          <w:rFonts w:ascii="Arial" w:hAnsi="Arial" w:cs="Arial"/>
          <w:lang w:val="en-IN"/>
        </w:rPr>
      </w:pPr>
      <w:r>
        <w:rPr>
          <w:rFonts w:ascii="Arial" w:hAnsi="Arial" w:cs="Arial"/>
          <w:lang w:val="en-IN"/>
        </w:rPr>
        <w:br w:type="page"/>
      </w:r>
    </w:p>
    <w:p w14:paraId="0A6BB321" w14:textId="00A76DAF" w:rsidR="00F74A86" w:rsidRPr="00EF327D" w:rsidRDefault="00736224" w:rsidP="00E61E41">
      <w:pPr>
        <w:pStyle w:val="Heading1"/>
      </w:pPr>
      <w:bookmarkStart w:id="1" w:name="_Toc237612489"/>
      <w:r w:rsidRPr="00EF327D">
        <w:lastRenderedPageBreak/>
        <w:t>Element 2: Develop a Segmentation, Targeting, Differentiation, and Positioning (STDP) Analysis for the brand extension</w:t>
      </w:r>
      <w:bookmarkEnd w:id="1"/>
    </w:p>
    <w:p w14:paraId="26F842ED" w14:textId="77777777" w:rsidR="00736224" w:rsidRPr="00EF327D" w:rsidRDefault="00736224" w:rsidP="002A17CD">
      <w:pPr>
        <w:pStyle w:val="Heading2"/>
        <w:rPr>
          <w:rFonts w:ascii="Arial" w:hAnsi="Arial" w:cs="Arial"/>
          <w:sz w:val="24"/>
          <w:szCs w:val="24"/>
        </w:rPr>
      </w:pPr>
      <w:bookmarkStart w:id="2" w:name="_Toc237612490"/>
      <w:r w:rsidRPr="00EF327D">
        <w:rPr>
          <w:rFonts w:ascii="Arial" w:hAnsi="Arial" w:cs="Arial"/>
          <w:sz w:val="24"/>
          <w:szCs w:val="24"/>
        </w:rPr>
        <w:t>2.1 Market Segmentation</w:t>
      </w:r>
      <w:bookmarkEnd w:id="2"/>
    </w:p>
    <w:p w14:paraId="1D2C4BBA" w14:textId="77777777" w:rsidR="00736224" w:rsidRPr="00EF327D" w:rsidRDefault="00736224" w:rsidP="00736224">
      <w:pPr>
        <w:rPr>
          <w:rFonts w:ascii="Arial" w:hAnsi="Arial" w:cs="Arial"/>
          <w:b/>
          <w:bCs/>
          <w:color w:val="000000" w:themeColor="text1"/>
          <w:u w:val="single"/>
        </w:rPr>
      </w:pPr>
      <w:r w:rsidRPr="00EF327D">
        <w:rPr>
          <w:rFonts w:ascii="Arial" w:hAnsi="Arial" w:cs="Arial"/>
          <w:b/>
          <w:bCs/>
          <w:color w:val="000000" w:themeColor="text1"/>
          <w:u w:val="single"/>
        </w:rPr>
        <w:t>Geographic Segmentation</w:t>
      </w:r>
    </w:p>
    <w:p w14:paraId="65701989" w14:textId="14049AE2" w:rsidR="005F7720" w:rsidRPr="00EF327D" w:rsidRDefault="002E1A16" w:rsidP="00736224">
      <w:pPr>
        <w:rPr>
          <w:rFonts w:ascii="Arial" w:hAnsi="Arial" w:cs="Arial"/>
          <w:color w:val="000000" w:themeColor="text1"/>
        </w:rPr>
      </w:pPr>
      <w:r w:rsidRPr="00EF327D">
        <w:rPr>
          <w:rFonts w:ascii="Arial" w:hAnsi="Arial" w:cs="Arial"/>
          <w:color w:val="000000" w:themeColor="text1"/>
        </w:rPr>
        <w:t xml:space="preserve">The primary region for expansion considered are </w:t>
      </w:r>
      <w:r w:rsidR="00736224" w:rsidRPr="00EF327D">
        <w:rPr>
          <w:rFonts w:ascii="Arial" w:hAnsi="Arial" w:cs="Arial"/>
          <w:color w:val="000000" w:themeColor="text1"/>
        </w:rPr>
        <w:t>London, Manchester, Birmingham and Leeds</w:t>
      </w:r>
      <w:r w:rsidRPr="00EF327D">
        <w:rPr>
          <w:rFonts w:ascii="Arial" w:hAnsi="Arial" w:cs="Arial"/>
          <w:color w:val="000000" w:themeColor="text1"/>
        </w:rPr>
        <w:t xml:space="preserve">. These areas are considered because they hold urban population </w:t>
      </w:r>
      <w:r w:rsidR="00736224" w:rsidRPr="00EF327D">
        <w:rPr>
          <w:rFonts w:ascii="Arial" w:hAnsi="Arial" w:cs="Arial"/>
          <w:color w:val="000000" w:themeColor="text1"/>
        </w:rPr>
        <w:t xml:space="preserve">and </w:t>
      </w:r>
      <w:r w:rsidRPr="00EF327D">
        <w:rPr>
          <w:rFonts w:ascii="Arial" w:hAnsi="Arial" w:cs="Arial"/>
          <w:color w:val="000000" w:themeColor="text1"/>
        </w:rPr>
        <w:t xml:space="preserve">has demand for </w:t>
      </w:r>
      <w:r w:rsidR="00736224" w:rsidRPr="00EF327D">
        <w:rPr>
          <w:rFonts w:ascii="Arial" w:hAnsi="Arial" w:cs="Arial"/>
          <w:color w:val="000000" w:themeColor="text1"/>
        </w:rPr>
        <w:t xml:space="preserve">temporary housing </w:t>
      </w:r>
      <w:r w:rsidRPr="00EF327D">
        <w:rPr>
          <w:rFonts w:ascii="Arial" w:hAnsi="Arial" w:cs="Arial"/>
          <w:color w:val="000000" w:themeColor="text1"/>
        </w:rPr>
        <w:t xml:space="preserve">which necessitates </w:t>
      </w:r>
      <w:r w:rsidR="00736224" w:rsidRPr="00EF327D">
        <w:rPr>
          <w:rFonts w:ascii="Arial" w:hAnsi="Arial" w:cs="Arial"/>
          <w:color w:val="000000" w:themeColor="text1"/>
        </w:rPr>
        <w:t>greater demand of flexible furniture</w:t>
      </w:r>
      <w:r w:rsidRPr="00EF327D">
        <w:rPr>
          <w:rFonts w:ascii="Arial" w:hAnsi="Arial" w:cs="Arial"/>
          <w:color w:val="000000" w:themeColor="text1"/>
        </w:rPr>
        <w:t xml:space="preserve"> acquisition</w:t>
      </w:r>
      <w:r w:rsidR="00DC49E4" w:rsidRPr="00EF327D">
        <w:rPr>
          <w:rFonts w:ascii="Arial" w:hAnsi="Arial" w:cs="Arial"/>
          <w:color w:val="000000" w:themeColor="text1"/>
        </w:rPr>
        <w:t xml:space="preserve"> (Savills, 2026)</w:t>
      </w:r>
      <w:r w:rsidR="00736224" w:rsidRPr="00EF327D">
        <w:rPr>
          <w:rFonts w:ascii="Arial" w:hAnsi="Arial" w:cs="Arial"/>
          <w:color w:val="000000" w:themeColor="text1"/>
        </w:rPr>
        <w:t>.</w:t>
      </w:r>
      <w:r w:rsidR="005F7720" w:rsidRPr="00EF327D">
        <w:rPr>
          <w:rFonts w:ascii="Arial" w:hAnsi="Arial" w:cs="Arial"/>
          <w:color w:val="000000" w:themeColor="text1"/>
        </w:rPr>
        <w:t xml:space="preserve"> 21% of UK customers are labelled as “planet protectors” showing the growing demand for sustainable solutions, as of 2024 (Figure 1) (YouGov, 2024).</w:t>
      </w:r>
      <w:r w:rsidR="00736224" w:rsidRPr="00EF327D">
        <w:rPr>
          <w:rFonts w:ascii="Arial" w:hAnsi="Arial" w:cs="Arial"/>
          <w:color w:val="000000" w:themeColor="text1"/>
        </w:rPr>
        <w:t xml:space="preserve"> It is a strategic preference to an immediate national introduction since the furniture subscription involves the collection, refurbishment and redistribution. </w:t>
      </w:r>
    </w:p>
    <w:p w14:paraId="7D19C2B0" w14:textId="250752FA" w:rsidR="005F7720" w:rsidRPr="00EF327D" w:rsidRDefault="005F7720" w:rsidP="005F7720">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250719D6" wp14:editId="028C1ED1">
            <wp:extent cx="4283710" cy="2336440"/>
            <wp:effectExtent l="19050" t="19050" r="21590" b="26035"/>
            <wp:docPr id="184536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361389" name=""/>
                    <pic:cNvPicPr/>
                  </pic:nvPicPr>
                  <pic:blipFill>
                    <a:blip r:embed="rId10"/>
                    <a:stretch>
                      <a:fillRect/>
                    </a:stretch>
                  </pic:blipFill>
                  <pic:spPr>
                    <a:xfrm>
                      <a:off x="0" y="0"/>
                      <a:ext cx="4286391" cy="2337902"/>
                    </a:xfrm>
                    <a:prstGeom prst="rect">
                      <a:avLst/>
                    </a:prstGeom>
                    <a:ln>
                      <a:solidFill>
                        <a:schemeClr val="tx1"/>
                      </a:solidFill>
                    </a:ln>
                  </pic:spPr>
                </pic:pic>
              </a:graphicData>
            </a:graphic>
          </wp:inline>
        </w:drawing>
      </w:r>
    </w:p>
    <w:p w14:paraId="58912E1D" w14:textId="1B4BEFEE" w:rsidR="005F7720" w:rsidRPr="00EF327D" w:rsidRDefault="005F7720" w:rsidP="005F7720">
      <w:pPr>
        <w:jc w:val="center"/>
        <w:rPr>
          <w:rFonts w:ascii="Arial" w:hAnsi="Arial" w:cs="Arial"/>
          <w:b/>
          <w:bCs/>
          <w:color w:val="000000" w:themeColor="text1"/>
        </w:rPr>
      </w:pPr>
      <w:r w:rsidRPr="00EF327D">
        <w:rPr>
          <w:rFonts w:ascii="Arial" w:hAnsi="Arial" w:cs="Arial"/>
          <w:b/>
          <w:bCs/>
          <w:color w:val="000000" w:themeColor="text1"/>
        </w:rPr>
        <w:t>Figure 1: Preference for Sustainable Products among UK customers</w:t>
      </w:r>
    </w:p>
    <w:p w14:paraId="79DB8AC2" w14:textId="676CF46B" w:rsidR="005F7720" w:rsidRPr="00EF327D" w:rsidRDefault="005F7720" w:rsidP="005F7720">
      <w:pPr>
        <w:jc w:val="center"/>
        <w:rPr>
          <w:rFonts w:ascii="Arial" w:hAnsi="Arial" w:cs="Arial"/>
          <w:color w:val="000000" w:themeColor="text1"/>
        </w:rPr>
      </w:pPr>
      <w:r w:rsidRPr="00EF327D">
        <w:rPr>
          <w:rFonts w:ascii="Arial" w:hAnsi="Arial" w:cs="Arial"/>
          <w:color w:val="000000" w:themeColor="text1"/>
        </w:rPr>
        <w:t>(Source: YouGov, 2024)</w:t>
      </w:r>
    </w:p>
    <w:p w14:paraId="4761D8F0" w14:textId="36AE8E14" w:rsidR="00736224" w:rsidRPr="00EF327D" w:rsidRDefault="00736224" w:rsidP="00736224">
      <w:pPr>
        <w:rPr>
          <w:rFonts w:ascii="Arial" w:hAnsi="Arial" w:cs="Arial"/>
          <w:color w:val="000000" w:themeColor="text1"/>
        </w:rPr>
      </w:pPr>
      <w:r w:rsidRPr="00EF327D">
        <w:rPr>
          <w:rFonts w:ascii="Arial" w:hAnsi="Arial" w:cs="Arial"/>
          <w:color w:val="000000" w:themeColor="text1"/>
        </w:rPr>
        <w:t>IKEA is already undertaking circular operations in the UK, such as Buyback and Re-shop &amp; Re-use and is sourcing 56,546 used IKEA products in 2025</w:t>
      </w:r>
      <w:r w:rsidR="00DC49E4" w:rsidRPr="00EF327D">
        <w:rPr>
          <w:rFonts w:ascii="Arial" w:hAnsi="Arial" w:cs="Arial"/>
          <w:color w:val="000000" w:themeColor="text1"/>
        </w:rPr>
        <w:t xml:space="preserve"> (IKEA, 2026)</w:t>
      </w:r>
      <w:r w:rsidRPr="00EF327D">
        <w:rPr>
          <w:rFonts w:ascii="Arial" w:hAnsi="Arial" w:cs="Arial"/>
          <w:color w:val="000000" w:themeColor="text1"/>
        </w:rPr>
        <w:t>.</w:t>
      </w:r>
      <w:r w:rsidR="005F7720" w:rsidRPr="00EF327D">
        <w:rPr>
          <w:rFonts w:ascii="Arial" w:hAnsi="Arial" w:cs="Arial"/>
          <w:color w:val="000000" w:themeColor="text1"/>
        </w:rPr>
        <w:t xml:space="preserve"> Hence, UK consumers would be chosen as part of g</w:t>
      </w:r>
      <w:r w:rsidRPr="00EF327D">
        <w:rPr>
          <w:rFonts w:ascii="Arial" w:hAnsi="Arial" w:cs="Arial"/>
          <w:color w:val="000000" w:themeColor="text1"/>
        </w:rPr>
        <w:t>eographical</w:t>
      </w:r>
      <w:r w:rsidR="005F7720" w:rsidRPr="00EF327D">
        <w:rPr>
          <w:rFonts w:ascii="Arial" w:hAnsi="Arial" w:cs="Arial"/>
          <w:color w:val="000000" w:themeColor="text1"/>
        </w:rPr>
        <w:t xml:space="preserve"> segmentation to</w:t>
      </w:r>
      <w:r w:rsidRPr="00EF327D">
        <w:rPr>
          <w:rFonts w:ascii="Arial" w:hAnsi="Arial" w:cs="Arial"/>
          <w:color w:val="000000" w:themeColor="text1"/>
        </w:rPr>
        <w:t xml:space="preserve"> enhance the efficiency of reverse-logistics and utilisation of assets. </w:t>
      </w:r>
    </w:p>
    <w:p w14:paraId="0FCC5C23" w14:textId="77777777" w:rsidR="00736224" w:rsidRPr="00EF327D" w:rsidRDefault="00736224" w:rsidP="00736224">
      <w:pPr>
        <w:rPr>
          <w:rFonts w:ascii="Arial" w:hAnsi="Arial" w:cs="Arial"/>
          <w:b/>
          <w:bCs/>
          <w:color w:val="000000" w:themeColor="text1"/>
          <w:u w:val="single"/>
        </w:rPr>
      </w:pPr>
      <w:r w:rsidRPr="00EF327D">
        <w:rPr>
          <w:rFonts w:ascii="Arial" w:hAnsi="Arial" w:cs="Arial"/>
          <w:b/>
          <w:bCs/>
          <w:color w:val="000000" w:themeColor="text1"/>
          <w:u w:val="single"/>
        </w:rPr>
        <w:t>Demographic Segmentation</w:t>
      </w:r>
    </w:p>
    <w:p w14:paraId="368DC19B" w14:textId="624EA875" w:rsidR="00BE2087" w:rsidRPr="00EF327D" w:rsidRDefault="00736224" w:rsidP="00736224">
      <w:pPr>
        <w:rPr>
          <w:rFonts w:ascii="Arial" w:hAnsi="Arial" w:cs="Arial"/>
          <w:color w:val="000000" w:themeColor="text1"/>
        </w:rPr>
      </w:pPr>
      <w:r w:rsidRPr="00EF327D">
        <w:rPr>
          <w:rFonts w:ascii="Arial" w:hAnsi="Arial" w:cs="Arial"/>
          <w:color w:val="000000" w:themeColor="text1"/>
        </w:rPr>
        <w:t xml:space="preserve">The demographic groups that are most applicable are university students, graduates and young professionals between 18 and 30 years old and those who rent their accommodation. </w:t>
      </w:r>
      <w:r w:rsidR="00BE2087" w:rsidRPr="00EF327D">
        <w:rPr>
          <w:rFonts w:ascii="Arial" w:hAnsi="Arial" w:cs="Arial"/>
          <w:color w:val="000000" w:themeColor="text1"/>
        </w:rPr>
        <w:t xml:space="preserve">As indicated in figure 2, 70% of Gen Z customers are concerned </w:t>
      </w:r>
      <w:r w:rsidR="00BE2087" w:rsidRPr="00EF327D">
        <w:rPr>
          <w:rFonts w:ascii="Arial" w:hAnsi="Arial" w:cs="Arial"/>
          <w:color w:val="000000" w:themeColor="text1"/>
        </w:rPr>
        <w:lastRenderedPageBreak/>
        <w:t>about climate change risks in 2024 (YouGov, 2024). This shows the drive for sustainable consumption among this group.</w:t>
      </w:r>
    </w:p>
    <w:p w14:paraId="4D039B15" w14:textId="0D6D02EC" w:rsidR="00BE2087" w:rsidRPr="00EF327D" w:rsidRDefault="00BE2087" w:rsidP="00BE2087">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2A15D3D4" wp14:editId="1CFC6224">
            <wp:extent cx="5261610" cy="1860550"/>
            <wp:effectExtent l="19050" t="19050" r="15240" b="25400"/>
            <wp:docPr id="59297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974719" name=""/>
                    <pic:cNvPicPr/>
                  </pic:nvPicPr>
                  <pic:blipFill>
                    <a:blip r:embed="rId11"/>
                    <a:stretch>
                      <a:fillRect/>
                    </a:stretch>
                  </pic:blipFill>
                  <pic:spPr>
                    <a:xfrm>
                      <a:off x="0" y="0"/>
                      <a:ext cx="5261610" cy="1860550"/>
                    </a:xfrm>
                    <a:prstGeom prst="rect">
                      <a:avLst/>
                    </a:prstGeom>
                    <a:ln>
                      <a:solidFill>
                        <a:schemeClr val="tx1"/>
                      </a:solidFill>
                    </a:ln>
                  </pic:spPr>
                </pic:pic>
              </a:graphicData>
            </a:graphic>
          </wp:inline>
        </w:drawing>
      </w:r>
    </w:p>
    <w:p w14:paraId="071AC2F7" w14:textId="2C84A9F5" w:rsidR="00BE2087" w:rsidRPr="00BE2087" w:rsidRDefault="00BE2087" w:rsidP="00BE2087">
      <w:pPr>
        <w:jc w:val="center"/>
        <w:rPr>
          <w:rFonts w:ascii="Arial" w:hAnsi="Arial" w:cs="Arial"/>
          <w:b/>
          <w:bCs/>
          <w:color w:val="000000" w:themeColor="text1"/>
        </w:rPr>
      </w:pPr>
      <w:r w:rsidRPr="00BE2087">
        <w:rPr>
          <w:rFonts w:ascii="Arial" w:hAnsi="Arial" w:cs="Arial"/>
          <w:b/>
          <w:bCs/>
          <w:color w:val="000000" w:themeColor="text1"/>
        </w:rPr>
        <w:t xml:space="preserve">Figure </w:t>
      </w:r>
      <w:r w:rsidRPr="00EF327D">
        <w:rPr>
          <w:rFonts w:ascii="Arial" w:hAnsi="Arial" w:cs="Arial"/>
          <w:b/>
          <w:bCs/>
          <w:color w:val="000000" w:themeColor="text1"/>
        </w:rPr>
        <w:t>2</w:t>
      </w:r>
      <w:r w:rsidRPr="00BE2087">
        <w:rPr>
          <w:rFonts w:ascii="Arial" w:hAnsi="Arial" w:cs="Arial"/>
          <w:b/>
          <w:bCs/>
          <w:color w:val="000000" w:themeColor="text1"/>
        </w:rPr>
        <w:t>:</w:t>
      </w:r>
      <w:r w:rsidRPr="00EF327D">
        <w:rPr>
          <w:rFonts w:ascii="Arial" w:hAnsi="Arial" w:cs="Arial"/>
          <w:b/>
          <w:bCs/>
          <w:color w:val="000000" w:themeColor="text1"/>
        </w:rPr>
        <w:t xml:space="preserve"> Climate change concern among Generational Cohort</w:t>
      </w:r>
      <w:r w:rsidR="003438DB" w:rsidRPr="00EF327D">
        <w:rPr>
          <w:rFonts w:ascii="Arial" w:hAnsi="Arial" w:cs="Arial"/>
          <w:b/>
          <w:bCs/>
          <w:color w:val="000000" w:themeColor="text1"/>
        </w:rPr>
        <w:t xml:space="preserve">s in </w:t>
      </w:r>
      <w:r w:rsidRPr="00BE2087">
        <w:rPr>
          <w:rFonts w:ascii="Arial" w:hAnsi="Arial" w:cs="Arial"/>
          <w:b/>
          <w:bCs/>
          <w:color w:val="000000" w:themeColor="text1"/>
        </w:rPr>
        <w:t>UK</w:t>
      </w:r>
    </w:p>
    <w:p w14:paraId="28B62F7C" w14:textId="77777777" w:rsidR="00BE2087" w:rsidRPr="00BE2087" w:rsidRDefault="00BE2087" w:rsidP="00BE2087">
      <w:pPr>
        <w:jc w:val="center"/>
        <w:rPr>
          <w:rFonts w:ascii="Arial" w:hAnsi="Arial" w:cs="Arial"/>
          <w:color w:val="000000" w:themeColor="text1"/>
        </w:rPr>
      </w:pPr>
      <w:r w:rsidRPr="00BE2087">
        <w:rPr>
          <w:rFonts w:ascii="Arial" w:hAnsi="Arial" w:cs="Arial"/>
          <w:color w:val="000000" w:themeColor="text1"/>
        </w:rPr>
        <w:t>(Source: YouGov, 2024)</w:t>
      </w:r>
    </w:p>
    <w:p w14:paraId="2DF7623D" w14:textId="14894B23" w:rsidR="00736224" w:rsidRPr="00EF327D" w:rsidRDefault="00736224" w:rsidP="00736224">
      <w:pPr>
        <w:rPr>
          <w:rFonts w:ascii="Arial" w:hAnsi="Arial" w:cs="Arial"/>
          <w:color w:val="000000" w:themeColor="text1"/>
        </w:rPr>
      </w:pPr>
      <w:r w:rsidRPr="00EF327D">
        <w:rPr>
          <w:rFonts w:ascii="Arial" w:hAnsi="Arial" w:cs="Arial"/>
          <w:color w:val="000000" w:themeColor="text1"/>
        </w:rPr>
        <w:t xml:space="preserve">These customers have a higher mobility in life-stage as compared to the established households and permanent ownership of furniture is less appealing. According to </w:t>
      </w:r>
      <w:r w:rsidR="00DC49E4" w:rsidRPr="00EF327D">
        <w:rPr>
          <w:rFonts w:ascii="Arial" w:hAnsi="Arial" w:cs="Arial"/>
          <w:color w:val="000000" w:themeColor="text1"/>
        </w:rPr>
        <w:t xml:space="preserve">YouGov </w:t>
      </w:r>
      <w:r w:rsidR="00EE3102" w:rsidRPr="00EF327D">
        <w:rPr>
          <w:rFonts w:ascii="Arial" w:hAnsi="Arial" w:cs="Arial"/>
          <w:color w:val="000000" w:themeColor="text1"/>
        </w:rPr>
        <w:t>(</w:t>
      </w:r>
      <w:r w:rsidR="00DC49E4" w:rsidRPr="00EF327D">
        <w:rPr>
          <w:rFonts w:ascii="Arial" w:hAnsi="Arial" w:cs="Arial"/>
          <w:color w:val="000000" w:themeColor="text1"/>
        </w:rPr>
        <w:t>2024</w:t>
      </w:r>
      <w:r w:rsidR="00EE3102" w:rsidRPr="00EF327D">
        <w:rPr>
          <w:rFonts w:ascii="Arial" w:hAnsi="Arial" w:cs="Arial"/>
          <w:color w:val="000000" w:themeColor="text1"/>
        </w:rPr>
        <w:t>)</w:t>
      </w:r>
      <w:r w:rsidRPr="00EF327D">
        <w:rPr>
          <w:rFonts w:ascii="Arial" w:hAnsi="Arial" w:cs="Arial"/>
          <w:color w:val="000000" w:themeColor="text1"/>
        </w:rPr>
        <w:t xml:space="preserve">, </w:t>
      </w:r>
      <w:r w:rsidR="00DC49E4" w:rsidRPr="00EF327D">
        <w:rPr>
          <w:rFonts w:ascii="Arial" w:hAnsi="Arial" w:cs="Arial"/>
          <w:color w:val="000000" w:themeColor="text1"/>
        </w:rPr>
        <w:t>64</w:t>
      </w:r>
      <w:r w:rsidR="00F35176" w:rsidRPr="00EF327D">
        <w:rPr>
          <w:rFonts w:ascii="Arial" w:hAnsi="Arial" w:cs="Arial"/>
          <w:color w:val="000000" w:themeColor="text1"/>
        </w:rPr>
        <w:t xml:space="preserve">% </w:t>
      </w:r>
      <w:r w:rsidRPr="00EF327D">
        <w:rPr>
          <w:rFonts w:ascii="Arial" w:hAnsi="Arial" w:cs="Arial"/>
          <w:color w:val="000000" w:themeColor="text1"/>
        </w:rPr>
        <w:t>consumers in UK</w:t>
      </w:r>
      <w:r w:rsidR="005F7720" w:rsidRPr="00EF327D">
        <w:rPr>
          <w:rFonts w:ascii="Arial" w:hAnsi="Arial" w:cs="Arial"/>
          <w:color w:val="000000" w:themeColor="text1"/>
        </w:rPr>
        <w:t>, in 2024,</w:t>
      </w:r>
      <w:r w:rsidRPr="00EF327D">
        <w:rPr>
          <w:rFonts w:ascii="Arial" w:hAnsi="Arial" w:cs="Arial"/>
          <w:color w:val="000000" w:themeColor="text1"/>
        </w:rPr>
        <w:t xml:space="preserve"> seem to find cost as </w:t>
      </w:r>
      <w:r w:rsidR="00EE3102" w:rsidRPr="00EF327D">
        <w:rPr>
          <w:rFonts w:ascii="Arial" w:hAnsi="Arial" w:cs="Arial"/>
          <w:color w:val="000000" w:themeColor="text1"/>
        </w:rPr>
        <w:t>one of the core</w:t>
      </w:r>
      <w:r w:rsidR="00F35176" w:rsidRPr="00EF327D">
        <w:rPr>
          <w:rFonts w:ascii="Arial" w:hAnsi="Arial" w:cs="Arial"/>
          <w:color w:val="000000" w:themeColor="text1"/>
        </w:rPr>
        <w:t xml:space="preserve"> </w:t>
      </w:r>
      <w:r w:rsidR="00EE3102" w:rsidRPr="00EF327D">
        <w:rPr>
          <w:rFonts w:ascii="Arial" w:hAnsi="Arial" w:cs="Arial"/>
          <w:color w:val="000000" w:themeColor="text1"/>
        </w:rPr>
        <w:t xml:space="preserve">challenges needed to follow </w:t>
      </w:r>
      <w:r w:rsidRPr="00EF327D">
        <w:rPr>
          <w:rFonts w:ascii="Arial" w:hAnsi="Arial" w:cs="Arial"/>
          <w:color w:val="000000" w:themeColor="text1"/>
        </w:rPr>
        <w:t>sustainable consumption</w:t>
      </w:r>
      <w:r w:rsidR="00EE3102" w:rsidRPr="00EF327D">
        <w:rPr>
          <w:rFonts w:ascii="Arial" w:hAnsi="Arial" w:cs="Arial"/>
          <w:color w:val="000000" w:themeColor="text1"/>
        </w:rPr>
        <w:t xml:space="preserve">. This indicates </w:t>
      </w:r>
      <w:r w:rsidRPr="00EF327D">
        <w:rPr>
          <w:rFonts w:ascii="Arial" w:hAnsi="Arial" w:cs="Arial"/>
          <w:color w:val="000000" w:themeColor="text1"/>
        </w:rPr>
        <w:t xml:space="preserve">that when it comes to promoting sustainable behaviour; affordability is paramount. </w:t>
      </w:r>
    </w:p>
    <w:p w14:paraId="0680887E" w14:textId="77777777" w:rsidR="00736224" w:rsidRPr="00EF327D" w:rsidRDefault="00736224" w:rsidP="00736224">
      <w:pPr>
        <w:rPr>
          <w:rFonts w:ascii="Arial" w:hAnsi="Arial" w:cs="Arial"/>
          <w:b/>
          <w:bCs/>
          <w:color w:val="000000" w:themeColor="text1"/>
          <w:u w:val="single"/>
        </w:rPr>
      </w:pPr>
      <w:r w:rsidRPr="00EF327D">
        <w:rPr>
          <w:rFonts w:ascii="Arial" w:hAnsi="Arial" w:cs="Arial"/>
          <w:b/>
          <w:bCs/>
          <w:color w:val="000000" w:themeColor="text1"/>
          <w:u w:val="single"/>
        </w:rPr>
        <w:t>Psychographic Segmentation</w:t>
      </w:r>
    </w:p>
    <w:p w14:paraId="0C010472" w14:textId="1FFA8B57" w:rsidR="00736224" w:rsidRPr="00EF327D" w:rsidRDefault="00736224" w:rsidP="00736224">
      <w:pPr>
        <w:rPr>
          <w:rFonts w:ascii="Arial" w:hAnsi="Arial" w:cs="Arial"/>
          <w:color w:val="000000" w:themeColor="text1"/>
        </w:rPr>
      </w:pPr>
      <w:r w:rsidRPr="00EF327D">
        <w:rPr>
          <w:rFonts w:ascii="Arial" w:hAnsi="Arial" w:cs="Arial"/>
          <w:color w:val="000000" w:themeColor="text1"/>
        </w:rPr>
        <w:t xml:space="preserve">Flexibility-seeking, convenience-oriented, design-conscious and sustainability conscious consumers should be targeted by IKEA </w:t>
      </w:r>
      <w:r w:rsidR="00EE3102" w:rsidRPr="00EF327D">
        <w:rPr>
          <w:rFonts w:ascii="Arial" w:hAnsi="Arial" w:cs="Arial"/>
          <w:color w:val="000000" w:themeColor="text1"/>
        </w:rPr>
        <w:t>rather than the customers that follow environmental prospect</w:t>
      </w:r>
      <w:r w:rsidRPr="00EF327D">
        <w:rPr>
          <w:rFonts w:ascii="Arial" w:hAnsi="Arial" w:cs="Arial"/>
          <w:color w:val="000000" w:themeColor="text1"/>
        </w:rPr>
        <w:t xml:space="preserve">. This is a significant difference since the attitudes towards sustainability may not necessarily translate into purchasing behaviour. </w:t>
      </w:r>
      <w:r w:rsidR="00F17270" w:rsidRPr="00EF327D">
        <w:rPr>
          <w:rFonts w:ascii="Arial" w:hAnsi="Arial" w:cs="Arial"/>
          <w:color w:val="000000" w:themeColor="text1"/>
        </w:rPr>
        <w:t>In 2024,</w:t>
      </w:r>
      <w:r w:rsidRPr="00EF327D">
        <w:rPr>
          <w:rFonts w:ascii="Arial" w:hAnsi="Arial" w:cs="Arial"/>
          <w:color w:val="000000" w:themeColor="text1"/>
        </w:rPr>
        <w:t xml:space="preserve"> one out of four (4</w:t>
      </w:r>
      <w:r w:rsidR="00F17270" w:rsidRPr="00EF327D">
        <w:rPr>
          <w:rFonts w:ascii="Arial" w:hAnsi="Arial" w:cs="Arial"/>
          <w:color w:val="000000" w:themeColor="text1"/>
        </w:rPr>
        <w:t>7%</w:t>
      </w:r>
      <w:r w:rsidRPr="00EF327D">
        <w:rPr>
          <w:rFonts w:ascii="Arial" w:hAnsi="Arial" w:cs="Arial"/>
          <w:color w:val="000000" w:themeColor="text1"/>
        </w:rPr>
        <w:t>) consumers in UK feels that a shift towards a sustainable lifestyle is irrelevant, and a quarter of consumers (45</w:t>
      </w:r>
      <w:r w:rsidR="00F17270" w:rsidRPr="00EF327D">
        <w:rPr>
          <w:rFonts w:ascii="Arial" w:hAnsi="Arial" w:cs="Arial"/>
          <w:color w:val="000000" w:themeColor="text1"/>
        </w:rPr>
        <w:t>%</w:t>
      </w:r>
      <w:r w:rsidRPr="00EF327D">
        <w:rPr>
          <w:rFonts w:ascii="Arial" w:hAnsi="Arial" w:cs="Arial"/>
          <w:color w:val="000000" w:themeColor="text1"/>
        </w:rPr>
        <w:t>) want business to offer sustainable products and services as the norm</w:t>
      </w:r>
      <w:r w:rsidR="00F17270" w:rsidRPr="00EF327D">
        <w:rPr>
          <w:rFonts w:ascii="Arial" w:hAnsi="Arial" w:cs="Arial"/>
          <w:color w:val="000000" w:themeColor="text1"/>
        </w:rPr>
        <w:t xml:space="preserve"> (Deloitte, 2024)</w:t>
      </w:r>
      <w:r w:rsidRPr="00EF327D">
        <w:rPr>
          <w:rFonts w:ascii="Arial" w:hAnsi="Arial" w:cs="Arial"/>
          <w:color w:val="000000" w:themeColor="text1"/>
        </w:rPr>
        <w:t xml:space="preserve">. Circular Living+ therefore </w:t>
      </w:r>
      <w:r w:rsidR="005A482D" w:rsidRPr="00EF327D">
        <w:rPr>
          <w:rFonts w:ascii="Arial" w:hAnsi="Arial" w:cs="Arial"/>
          <w:color w:val="000000" w:themeColor="text1"/>
        </w:rPr>
        <w:t>should</w:t>
      </w:r>
      <w:r w:rsidRPr="00EF327D">
        <w:rPr>
          <w:rFonts w:ascii="Arial" w:hAnsi="Arial" w:cs="Arial"/>
          <w:color w:val="000000" w:themeColor="text1"/>
        </w:rPr>
        <w:t xml:space="preserve"> market lifestyle flexibility, with the value of circularity being added to the emotional and other value propositions.</w:t>
      </w:r>
    </w:p>
    <w:p w14:paraId="1E144582" w14:textId="77777777" w:rsidR="00736224" w:rsidRPr="00EF327D" w:rsidRDefault="00736224" w:rsidP="00736224">
      <w:pPr>
        <w:rPr>
          <w:rFonts w:ascii="Arial" w:hAnsi="Arial" w:cs="Arial"/>
          <w:b/>
          <w:bCs/>
          <w:color w:val="000000" w:themeColor="text1"/>
          <w:u w:val="single"/>
        </w:rPr>
      </w:pPr>
      <w:r w:rsidRPr="00EF327D">
        <w:rPr>
          <w:rFonts w:ascii="Arial" w:hAnsi="Arial" w:cs="Arial"/>
          <w:b/>
          <w:bCs/>
          <w:color w:val="000000" w:themeColor="text1"/>
          <w:u w:val="single"/>
        </w:rPr>
        <w:t>Behavioural Segmentation</w:t>
      </w:r>
    </w:p>
    <w:p w14:paraId="0ABB59A2" w14:textId="4D28BB39" w:rsidR="00736224" w:rsidRPr="00EF327D" w:rsidRDefault="00736224" w:rsidP="00736224">
      <w:pPr>
        <w:rPr>
          <w:rFonts w:ascii="Arial" w:hAnsi="Arial" w:cs="Arial"/>
          <w:color w:val="000000" w:themeColor="text1"/>
        </w:rPr>
      </w:pPr>
      <w:r w:rsidRPr="00EF327D">
        <w:rPr>
          <w:rFonts w:ascii="Arial" w:hAnsi="Arial" w:cs="Arial"/>
          <w:color w:val="000000" w:themeColor="text1"/>
        </w:rPr>
        <w:t xml:space="preserve">The most robust segment is behavioural which includes frequent movers, first time renters and current users of subscription. </w:t>
      </w:r>
      <w:r w:rsidR="009D125A" w:rsidRPr="00EF327D">
        <w:rPr>
          <w:rFonts w:ascii="Arial" w:hAnsi="Arial" w:cs="Arial"/>
          <w:color w:val="000000" w:themeColor="text1"/>
        </w:rPr>
        <w:t>Recent data from national survey in 2024 foun</w:t>
      </w:r>
      <w:r w:rsidR="00AF1479" w:rsidRPr="00EF327D">
        <w:rPr>
          <w:rFonts w:ascii="Arial" w:hAnsi="Arial" w:cs="Arial"/>
          <w:color w:val="000000" w:themeColor="text1"/>
        </w:rPr>
        <w:t xml:space="preserve">d that </w:t>
      </w:r>
      <w:r w:rsidRPr="00EF327D">
        <w:rPr>
          <w:rFonts w:ascii="Arial" w:hAnsi="Arial" w:cs="Arial"/>
          <w:color w:val="000000" w:themeColor="text1"/>
        </w:rPr>
        <w:t xml:space="preserve">93% of Gen Z consumers </w:t>
      </w:r>
      <w:r w:rsidR="00AF1479" w:rsidRPr="00EF327D">
        <w:rPr>
          <w:rFonts w:ascii="Arial" w:hAnsi="Arial" w:cs="Arial"/>
          <w:color w:val="000000" w:themeColor="text1"/>
        </w:rPr>
        <w:t xml:space="preserve">hold </w:t>
      </w:r>
      <w:r w:rsidRPr="00EF327D">
        <w:rPr>
          <w:rFonts w:ascii="Arial" w:hAnsi="Arial" w:cs="Arial"/>
          <w:color w:val="000000" w:themeColor="text1"/>
        </w:rPr>
        <w:t xml:space="preserve">at least one subscription, with the average </w:t>
      </w:r>
      <w:r w:rsidRPr="00EF327D">
        <w:rPr>
          <w:rFonts w:ascii="Arial" w:hAnsi="Arial" w:cs="Arial"/>
          <w:color w:val="000000" w:themeColor="text1"/>
        </w:rPr>
        <w:lastRenderedPageBreak/>
        <w:t>expenditure of</w:t>
      </w:r>
      <w:r w:rsidR="00AF1479" w:rsidRPr="00EF327D">
        <w:rPr>
          <w:rFonts w:ascii="Arial" w:hAnsi="Arial" w:cs="Arial"/>
          <w:color w:val="000000" w:themeColor="text1"/>
        </w:rPr>
        <w:t xml:space="preserve"> $411 (£305) (VISA, 2025)</w:t>
      </w:r>
      <w:r w:rsidRPr="00EF327D">
        <w:rPr>
          <w:rFonts w:ascii="Arial" w:hAnsi="Arial" w:cs="Arial"/>
          <w:color w:val="000000" w:themeColor="text1"/>
        </w:rPr>
        <w:t xml:space="preserve">. This </w:t>
      </w:r>
      <w:r w:rsidR="00AF1479" w:rsidRPr="00EF327D">
        <w:rPr>
          <w:rFonts w:ascii="Arial" w:hAnsi="Arial" w:cs="Arial"/>
          <w:color w:val="000000" w:themeColor="text1"/>
        </w:rPr>
        <w:t xml:space="preserve">reflects association with </w:t>
      </w:r>
      <w:r w:rsidRPr="00EF327D">
        <w:rPr>
          <w:rFonts w:ascii="Arial" w:hAnsi="Arial" w:cs="Arial"/>
          <w:color w:val="000000" w:themeColor="text1"/>
        </w:rPr>
        <w:t>recurring-access models,</w:t>
      </w:r>
      <w:r w:rsidR="00AF1479" w:rsidRPr="00EF327D">
        <w:rPr>
          <w:rFonts w:ascii="Arial" w:hAnsi="Arial" w:cs="Arial"/>
          <w:color w:val="000000" w:themeColor="text1"/>
        </w:rPr>
        <w:t xml:space="preserve"> as furniture purchase includes high involvement of customers</w:t>
      </w:r>
      <w:r w:rsidRPr="00EF327D">
        <w:rPr>
          <w:rFonts w:ascii="Arial" w:hAnsi="Arial" w:cs="Arial"/>
          <w:color w:val="000000" w:themeColor="text1"/>
        </w:rPr>
        <w:t xml:space="preserve">. The current Buyback used by IKEA </w:t>
      </w:r>
      <w:r w:rsidR="00AF1479" w:rsidRPr="00EF327D">
        <w:rPr>
          <w:rFonts w:ascii="Arial" w:hAnsi="Arial" w:cs="Arial"/>
          <w:color w:val="000000" w:themeColor="text1"/>
        </w:rPr>
        <w:t xml:space="preserve">indicates the </w:t>
      </w:r>
      <w:r w:rsidRPr="00EF327D">
        <w:rPr>
          <w:rFonts w:ascii="Arial" w:hAnsi="Arial" w:cs="Arial"/>
          <w:color w:val="000000" w:themeColor="text1"/>
        </w:rPr>
        <w:t>re-use of furniture</w:t>
      </w:r>
      <w:r w:rsidR="00AF1479" w:rsidRPr="00EF327D">
        <w:rPr>
          <w:rFonts w:ascii="Arial" w:hAnsi="Arial" w:cs="Arial"/>
          <w:color w:val="000000" w:themeColor="text1"/>
        </w:rPr>
        <w:t xml:space="preserve"> actively by the customers</w:t>
      </w:r>
      <w:r w:rsidRPr="00EF327D">
        <w:rPr>
          <w:rFonts w:ascii="Arial" w:hAnsi="Arial" w:cs="Arial"/>
          <w:color w:val="000000" w:themeColor="text1"/>
        </w:rPr>
        <w:t xml:space="preserve">. </w:t>
      </w:r>
    </w:p>
    <w:p w14:paraId="506A4151" w14:textId="77777777" w:rsidR="00736224" w:rsidRPr="00EF327D" w:rsidRDefault="00736224" w:rsidP="002A17CD">
      <w:pPr>
        <w:pStyle w:val="Heading2"/>
        <w:rPr>
          <w:rFonts w:ascii="Arial" w:hAnsi="Arial" w:cs="Arial"/>
          <w:sz w:val="24"/>
          <w:szCs w:val="24"/>
        </w:rPr>
      </w:pPr>
      <w:bookmarkStart w:id="3" w:name="_Toc237612491"/>
      <w:r w:rsidRPr="00EF327D">
        <w:rPr>
          <w:rFonts w:ascii="Arial" w:hAnsi="Arial" w:cs="Arial"/>
          <w:sz w:val="24"/>
          <w:szCs w:val="24"/>
        </w:rPr>
        <w:t>2.2 Targeting</w:t>
      </w:r>
      <w:bookmarkEnd w:id="3"/>
    </w:p>
    <w:p w14:paraId="32751E03" w14:textId="0FB6915E" w:rsidR="00622B5A" w:rsidRPr="00EF327D" w:rsidRDefault="00827035" w:rsidP="00827035">
      <w:pPr>
        <w:rPr>
          <w:rFonts w:ascii="Arial" w:hAnsi="Arial" w:cs="Arial"/>
          <w:color w:val="000000" w:themeColor="text1"/>
        </w:rPr>
      </w:pPr>
      <w:r w:rsidRPr="00EF327D">
        <w:rPr>
          <w:rFonts w:ascii="Arial" w:hAnsi="Arial" w:cs="Arial"/>
          <w:color w:val="000000" w:themeColor="text1"/>
        </w:rPr>
        <w:t xml:space="preserve">IKEA should consider using a concentrated targeting strategy as to target GenZ and millennials renters that are between 18-30 years old. </w:t>
      </w:r>
      <w:r w:rsidR="00736224" w:rsidRPr="00EF327D">
        <w:rPr>
          <w:rFonts w:ascii="Arial" w:hAnsi="Arial" w:cs="Arial"/>
          <w:color w:val="000000" w:themeColor="text1"/>
        </w:rPr>
        <w:t>The university students, graduates and early-career professionals are supposed to be a particular target of this as they are likely to move or frequently shift their living location</w:t>
      </w:r>
      <w:r w:rsidR="00DC49E4" w:rsidRPr="00EF327D">
        <w:rPr>
          <w:rFonts w:ascii="Arial" w:hAnsi="Arial" w:cs="Arial"/>
          <w:color w:val="000000" w:themeColor="text1"/>
        </w:rPr>
        <w:t xml:space="preserve"> (Office for Students, 2021)</w:t>
      </w:r>
      <w:r w:rsidR="00736224" w:rsidRPr="00EF327D">
        <w:rPr>
          <w:rFonts w:ascii="Arial" w:hAnsi="Arial" w:cs="Arial"/>
          <w:color w:val="000000" w:themeColor="text1"/>
        </w:rPr>
        <w:t xml:space="preserve">. </w:t>
      </w:r>
      <w:r w:rsidRPr="00EF327D">
        <w:rPr>
          <w:rFonts w:ascii="Arial" w:hAnsi="Arial" w:cs="Arial"/>
          <w:color w:val="000000" w:themeColor="text1"/>
        </w:rPr>
        <w:t xml:space="preserve">The use of a concentrated marketing </w:t>
      </w:r>
      <w:r w:rsidR="00E9498D" w:rsidRPr="00EF327D">
        <w:rPr>
          <w:rFonts w:ascii="Arial" w:hAnsi="Arial" w:cs="Arial"/>
          <w:color w:val="000000" w:themeColor="text1"/>
        </w:rPr>
        <w:t>requires companies to concentrate their resources on a highly defined segment or the segments withs specialised needs. As of 2024</w:t>
      </w:r>
      <w:r w:rsidR="00622B5A" w:rsidRPr="00EF327D">
        <w:rPr>
          <w:rFonts w:ascii="Arial" w:hAnsi="Arial" w:cs="Arial"/>
          <w:color w:val="000000" w:themeColor="text1"/>
        </w:rPr>
        <w:t>-25</w:t>
      </w:r>
      <w:r w:rsidR="00E9498D" w:rsidRPr="00EF327D">
        <w:rPr>
          <w:rFonts w:ascii="Arial" w:hAnsi="Arial" w:cs="Arial"/>
          <w:color w:val="000000" w:themeColor="text1"/>
        </w:rPr>
        <w:t>,</w:t>
      </w:r>
      <w:r w:rsidR="00622B5A" w:rsidRPr="00EF327D">
        <w:rPr>
          <w:rFonts w:ascii="Arial" w:hAnsi="Arial" w:cs="Arial"/>
          <w:color w:val="000000" w:themeColor="text1"/>
        </w:rPr>
        <w:t xml:space="preserve"> private renters between the age-group of 16-24 were the majority (69%) of households with household reference person (HRP) in UK (Figure 3) (</w:t>
      </w:r>
      <w:r w:rsidR="00622B5A" w:rsidRPr="00622B5A">
        <w:rPr>
          <w:rFonts w:ascii="Arial" w:hAnsi="Arial" w:cs="Arial"/>
          <w:color w:val="000000" w:themeColor="text1"/>
        </w:rPr>
        <w:t>G</w:t>
      </w:r>
      <w:r w:rsidR="00622B5A" w:rsidRPr="00EF327D">
        <w:rPr>
          <w:rFonts w:ascii="Arial" w:hAnsi="Arial" w:cs="Arial"/>
          <w:color w:val="000000" w:themeColor="text1"/>
        </w:rPr>
        <w:t>OV.UK</w:t>
      </w:r>
      <w:r w:rsidR="00622B5A" w:rsidRPr="00622B5A">
        <w:rPr>
          <w:rFonts w:ascii="Arial" w:hAnsi="Arial" w:cs="Arial"/>
          <w:color w:val="000000" w:themeColor="text1"/>
        </w:rPr>
        <w:t>, 202</w:t>
      </w:r>
      <w:r w:rsidR="00622B5A" w:rsidRPr="00EF327D">
        <w:rPr>
          <w:rFonts w:ascii="Arial" w:hAnsi="Arial" w:cs="Arial"/>
          <w:color w:val="000000" w:themeColor="text1"/>
        </w:rPr>
        <w:t>5). Hence, targeting this niche market would be appropriate for IKEA.</w:t>
      </w:r>
    </w:p>
    <w:p w14:paraId="1693C729" w14:textId="77777777" w:rsidR="00622B5A" w:rsidRPr="00EF327D" w:rsidRDefault="00622B5A" w:rsidP="00622B5A">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60033CE6" wp14:editId="5AA6E387">
            <wp:extent cx="5071110" cy="2851867"/>
            <wp:effectExtent l="19050" t="19050" r="15240" b="24765"/>
            <wp:docPr id="1495930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930388" name=""/>
                    <pic:cNvPicPr/>
                  </pic:nvPicPr>
                  <pic:blipFill>
                    <a:blip r:embed="rId12"/>
                    <a:stretch>
                      <a:fillRect/>
                    </a:stretch>
                  </pic:blipFill>
                  <pic:spPr>
                    <a:xfrm>
                      <a:off x="0" y="0"/>
                      <a:ext cx="5077266" cy="2855329"/>
                    </a:xfrm>
                    <a:prstGeom prst="rect">
                      <a:avLst/>
                    </a:prstGeom>
                    <a:ln>
                      <a:solidFill>
                        <a:schemeClr val="tx1"/>
                      </a:solidFill>
                    </a:ln>
                  </pic:spPr>
                </pic:pic>
              </a:graphicData>
            </a:graphic>
          </wp:inline>
        </w:drawing>
      </w:r>
    </w:p>
    <w:p w14:paraId="0E990F2E" w14:textId="500BE221" w:rsidR="00622B5A" w:rsidRPr="00622B5A" w:rsidRDefault="00622B5A" w:rsidP="00622B5A">
      <w:pPr>
        <w:jc w:val="center"/>
        <w:rPr>
          <w:rFonts w:ascii="Arial" w:hAnsi="Arial" w:cs="Arial"/>
          <w:b/>
          <w:bCs/>
          <w:color w:val="000000" w:themeColor="text1"/>
        </w:rPr>
      </w:pPr>
      <w:r w:rsidRPr="00622B5A">
        <w:rPr>
          <w:rFonts w:ascii="Arial" w:hAnsi="Arial" w:cs="Arial"/>
          <w:b/>
          <w:bCs/>
          <w:color w:val="000000" w:themeColor="text1"/>
        </w:rPr>
        <w:t xml:space="preserve">Figure </w:t>
      </w:r>
      <w:r w:rsidRPr="00EF327D">
        <w:rPr>
          <w:rFonts w:ascii="Arial" w:hAnsi="Arial" w:cs="Arial"/>
          <w:b/>
          <w:bCs/>
          <w:color w:val="000000" w:themeColor="text1"/>
        </w:rPr>
        <w:t>3</w:t>
      </w:r>
      <w:r w:rsidRPr="00622B5A">
        <w:rPr>
          <w:rFonts w:ascii="Arial" w:hAnsi="Arial" w:cs="Arial"/>
          <w:b/>
          <w:bCs/>
          <w:color w:val="000000" w:themeColor="text1"/>
        </w:rPr>
        <w:t xml:space="preserve">: </w:t>
      </w:r>
      <w:r w:rsidRPr="00EF327D">
        <w:rPr>
          <w:rFonts w:ascii="Arial" w:hAnsi="Arial" w:cs="Arial"/>
          <w:b/>
          <w:bCs/>
          <w:color w:val="000000" w:themeColor="text1"/>
        </w:rPr>
        <w:t>Age-group distribution of HRP</w:t>
      </w:r>
      <w:r w:rsidRPr="00622B5A">
        <w:rPr>
          <w:rFonts w:ascii="Arial" w:hAnsi="Arial" w:cs="Arial"/>
          <w:b/>
          <w:bCs/>
          <w:color w:val="000000" w:themeColor="text1"/>
        </w:rPr>
        <w:t xml:space="preserve"> in UK</w:t>
      </w:r>
      <w:r w:rsidRPr="00EF327D">
        <w:rPr>
          <w:rFonts w:ascii="Arial" w:hAnsi="Arial" w:cs="Arial"/>
          <w:b/>
          <w:bCs/>
          <w:color w:val="000000" w:themeColor="text1"/>
        </w:rPr>
        <w:t xml:space="preserve"> (2024-2025)</w:t>
      </w:r>
    </w:p>
    <w:p w14:paraId="20E81B26" w14:textId="091621EA" w:rsidR="00622B5A" w:rsidRPr="00622B5A" w:rsidRDefault="00622B5A" w:rsidP="00622B5A">
      <w:pPr>
        <w:jc w:val="center"/>
        <w:rPr>
          <w:rFonts w:ascii="Arial" w:hAnsi="Arial" w:cs="Arial"/>
          <w:color w:val="000000" w:themeColor="text1"/>
        </w:rPr>
      </w:pPr>
      <w:r w:rsidRPr="00622B5A">
        <w:rPr>
          <w:rFonts w:ascii="Arial" w:hAnsi="Arial" w:cs="Arial"/>
          <w:color w:val="000000" w:themeColor="text1"/>
        </w:rPr>
        <w:t>(Source: G</w:t>
      </w:r>
      <w:r w:rsidRPr="00EF327D">
        <w:rPr>
          <w:rFonts w:ascii="Arial" w:hAnsi="Arial" w:cs="Arial"/>
          <w:color w:val="000000" w:themeColor="text1"/>
        </w:rPr>
        <w:t>OV.UK</w:t>
      </w:r>
      <w:r w:rsidRPr="00622B5A">
        <w:rPr>
          <w:rFonts w:ascii="Arial" w:hAnsi="Arial" w:cs="Arial"/>
          <w:color w:val="000000" w:themeColor="text1"/>
        </w:rPr>
        <w:t>, 202</w:t>
      </w:r>
      <w:r w:rsidRPr="00EF327D">
        <w:rPr>
          <w:rFonts w:ascii="Arial" w:hAnsi="Arial" w:cs="Arial"/>
          <w:color w:val="000000" w:themeColor="text1"/>
        </w:rPr>
        <w:t>5</w:t>
      </w:r>
      <w:r w:rsidRPr="00622B5A">
        <w:rPr>
          <w:rFonts w:ascii="Arial" w:hAnsi="Arial" w:cs="Arial"/>
          <w:color w:val="000000" w:themeColor="text1"/>
        </w:rPr>
        <w:t>)</w:t>
      </w:r>
    </w:p>
    <w:p w14:paraId="17589360" w14:textId="372A12CA" w:rsidR="00736224" w:rsidRPr="00EF327D" w:rsidRDefault="00403C37" w:rsidP="00827035">
      <w:pPr>
        <w:rPr>
          <w:rFonts w:ascii="Arial" w:hAnsi="Arial" w:cs="Arial"/>
          <w:color w:val="000000" w:themeColor="text1"/>
        </w:rPr>
      </w:pPr>
      <w:r w:rsidRPr="00EF327D">
        <w:rPr>
          <w:rFonts w:ascii="Arial" w:hAnsi="Arial" w:cs="Arial"/>
          <w:color w:val="000000" w:themeColor="text1"/>
        </w:rPr>
        <w:t>This market size is limited but it can be effective for the IKEA concentrated targeting as the market is transitioning towards affordability due to rising price of living.</w:t>
      </w:r>
    </w:p>
    <w:p w14:paraId="3C1A8046" w14:textId="77777777" w:rsidR="00736224" w:rsidRPr="00EF327D" w:rsidRDefault="00736224" w:rsidP="002A17CD">
      <w:pPr>
        <w:pStyle w:val="Heading2"/>
        <w:rPr>
          <w:rFonts w:ascii="Arial" w:hAnsi="Arial" w:cs="Arial"/>
          <w:sz w:val="24"/>
          <w:szCs w:val="24"/>
        </w:rPr>
      </w:pPr>
      <w:bookmarkStart w:id="4" w:name="_Toc237612492"/>
      <w:r w:rsidRPr="00EF327D">
        <w:rPr>
          <w:rFonts w:ascii="Arial" w:hAnsi="Arial" w:cs="Arial"/>
          <w:sz w:val="24"/>
          <w:szCs w:val="24"/>
        </w:rPr>
        <w:lastRenderedPageBreak/>
        <w:t>2.3 Differentiation</w:t>
      </w:r>
      <w:bookmarkEnd w:id="4"/>
      <w:r w:rsidRPr="00EF327D">
        <w:rPr>
          <w:rFonts w:ascii="Arial" w:hAnsi="Arial" w:cs="Arial"/>
          <w:sz w:val="24"/>
          <w:szCs w:val="24"/>
        </w:rPr>
        <w:t> </w:t>
      </w:r>
    </w:p>
    <w:p w14:paraId="5FB7D252" w14:textId="5CE3E886" w:rsidR="00736224" w:rsidRPr="00EF327D" w:rsidRDefault="00736224" w:rsidP="00736224">
      <w:pPr>
        <w:rPr>
          <w:rFonts w:ascii="Arial" w:hAnsi="Arial" w:cs="Arial"/>
          <w:color w:val="000000" w:themeColor="text1"/>
        </w:rPr>
      </w:pPr>
      <w:r w:rsidRPr="00EF327D">
        <w:rPr>
          <w:rFonts w:ascii="Arial" w:hAnsi="Arial" w:cs="Arial"/>
          <w:color w:val="000000" w:themeColor="text1"/>
        </w:rPr>
        <w:t xml:space="preserve">Circular Living+ ought to differentiate with a controlled closed-loop furniture ecosystem, as opposed to pricing. The traditional second-hand markets are cheap but customers have to find, evaluate the quality, arrange a transportation and finally resell goods themselves. These selection, delivery, assembly, maintenance, exchange, collection and refurbishment can be combined at IKEA, resulting in a much more convenient customer experience. </w:t>
      </w:r>
      <w:r w:rsidR="00E17502" w:rsidRPr="00EF327D">
        <w:rPr>
          <w:rFonts w:ascii="Arial" w:hAnsi="Arial" w:cs="Arial"/>
          <w:color w:val="000000" w:themeColor="text1"/>
        </w:rPr>
        <w:t xml:space="preserve">As of </w:t>
      </w:r>
      <w:r w:rsidRPr="00EF327D">
        <w:rPr>
          <w:rFonts w:ascii="Arial" w:hAnsi="Arial" w:cs="Arial"/>
          <w:color w:val="000000" w:themeColor="text1"/>
        </w:rPr>
        <w:t>2025 alone IKEA has already supplied 517,970 free spares in the UK with its Buyback service recycling tens of thousands of used products</w:t>
      </w:r>
      <w:r w:rsidR="00DC49E4" w:rsidRPr="00EF327D">
        <w:rPr>
          <w:rFonts w:ascii="Arial" w:hAnsi="Arial" w:cs="Arial"/>
          <w:color w:val="000000" w:themeColor="text1"/>
        </w:rPr>
        <w:t xml:space="preserve"> (IKEA, 2026)</w:t>
      </w:r>
      <w:r w:rsidRPr="00EF327D">
        <w:rPr>
          <w:rFonts w:ascii="Arial" w:hAnsi="Arial" w:cs="Arial"/>
          <w:color w:val="000000" w:themeColor="text1"/>
        </w:rPr>
        <w:t xml:space="preserve">. </w:t>
      </w:r>
      <w:r w:rsidR="00DC49E4" w:rsidRPr="00EF327D">
        <w:rPr>
          <w:rFonts w:ascii="Arial" w:hAnsi="Arial" w:cs="Arial"/>
          <w:color w:val="000000" w:themeColor="text1"/>
        </w:rPr>
        <w:t xml:space="preserve">While effective, consistent collection </w:t>
      </w:r>
      <w:r w:rsidRPr="00EF327D">
        <w:rPr>
          <w:rFonts w:ascii="Arial" w:hAnsi="Arial" w:cs="Arial"/>
          <w:color w:val="000000" w:themeColor="text1"/>
        </w:rPr>
        <w:t>and renovation will cause operating expenses, so price leadership would not be an easy task to continue</w:t>
      </w:r>
      <w:r w:rsidR="00DC49E4" w:rsidRPr="00EF327D">
        <w:rPr>
          <w:rFonts w:ascii="Arial" w:hAnsi="Arial" w:cs="Arial"/>
          <w:color w:val="000000" w:themeColor="text1"/>
        </w:rPr>
        <w:t xml:space="preserve"> (PwC, 2025)</w:t>
      </w:r>
      <w:r w:rsidRPr="00EF327D">
        <w:rPr>
          <w:rFonts w:ascii="Arial" w:hAnsi="Arial" w:cs="Arial"/>
          <w:color w:val="000000" w:themeColor="text1"/>
        </w:rPr>
        <w:t>. Thus, IKEA must differentiate based on trusted quality, convenience and circularity and transform existing infrastructure into a unique service benefit.</w:t>
      </w:r>
    </w:p>
    <w:p w14:paraId="1D239DEE" w14:textId="30E2B5C1" w:rsidR="00082792" w:rsidRPr="00EF327D" w:rsidRDefault="00736224" w:rsidP="009D609A">
      <w:pPr>
        <w:pStyle w:val="Heading2"/>
        <w:rPr>
          <w:rFonts w:ascii="Arial" w:hAnsi="Arial" w:cs="Arial"/>
          <w:sz w:val="24"/>
          <w:szCs w:val="24"/>
        </w:rPr>
      </w:pPr>
      <w:bookmarkStart w:id="5" w:name="_Toc237612493"/>
      <w:r w:rsidRPr="00EF327D">
        <w:rPr>
          <w:rFonts w:ascii="Arial" w:hAnsi="Arial" w:cs="Arial"/>
          <w:sz w:val="24"/>
          <w:szCs w:val="24"/>
        </w:rPr>
        <w:t>2.4 Positioning</w:t>
      </w:r>
      <w:bookmarkEnd w:id="5"/>
    </w:p>
    <w:p w14:paraId="53D79639" w14:textId="7C5C00F6" w:rsidR="002D7E67" w:rsidRPr="00EF327D" w:rsidRDefault="002D7E67" w:rsidP="002D7E67">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709DD387" wp14:editId="71C8CD1D">
            <wp:extent cx="4864350" cy="4140413"/>
            <wp:effectExtent l="0" t="0" r="0" b="0"/>
            <wp:docPr id="1998556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56060" name=""/>
                    <pic:cNvPicPr/>
                  </pic:nvPicPr>
                  <pic:blipFill>
                    <a:blip r:embed="rId13"/>
                    <a:stretch>
                      <a:fillRect/>
                    </a:stretch>
                  </pic:blipFill>
                  <pic:spPr>
                    <a:xfrm>
                      <a:off x="0" y="0"/>
                      <a:ext cx="4864350" cy="4140413"/>
                    </a:xfrm>
                    <a:prstGeom prst="rect">
                      <a:avLst/>
                    </a:prstGeom>
                  </pic:spPr>
                </pic:pic>
              </a:graphicData>
            </a:graphic>
          </wp:inline>
        </w:drawing>
      </w:r>
    </w:p>
    <w:p w14:paraId="0A09EE1F" w14:textId="7A7192F7" w:rsidR="002D7E67" w:rsidRPr="00EF327D" w:rsidRDefault="002D7E67" w:rsidP="002D7E67">
      <w:pPr>
        <w:jc w:val="center"/>
        <w:rPr>
          <w:rFonts w:ascii="Arial" w:hAnsi="Arial" w:cs="Arial"/>
          <w:b/>
          <w:bCs/>
          <w:color w:val="000000" w:themeColor="text1"/>
        </w:rPr>
      </w:pPr>
      <w:r w:rsidRPr="00EF327D">
        <w:rPr>
          <w:rFonts w:ascii="Arial" w:hAnsi="Arial" w:cs="Arial"/>
          <w:b/>
          <w:bCs/>
          <w:color w:val="000000" w:themeColor="text1"/>
        </w:rPr>
        <w:t>Fig</w:t>
      </w:r>
      <w:r w:rsidR="00336DD6" w:rsidRPr="00EF327D">
        <w:rPr>
          <w:rFonts w:ascii="Arial" w:hAnsi="Arial" w:cs="Arial"/>
          <w:b/>
          <w:bCs/>
          <w:color w:val="000000" w:themeColor="text1"/>
        </w:rPr>
        <w:t>ure 4</w:t>
      </w:r>
      <w:r w:rsidRPr="00EF327D">
        <w:rPr>
          <w:rFonts w:ascii="Arial" w:hAnsi="Arial" w:cs="Arial"/>
          <w:b/>
          <w:bCs/>
          <w:color w:val="000000" w:themeColor="text1"/>
        </w:rPr>
        <w:t>: Positioning Map</w:t>
      </w:r>
    </w:p>
    <w:p w14:paraId="4E707405" w14:textId="0AA03BBA" w:rsidR="002D7E67" w:rsidRPr="00EF327D" w:rsidRDefault="002D7E67" w:rsidP="002D7E67">
      <w:pPr>
        <w:jc w:val="center"/>
        <w:rPr>
          <w:rFonts w:ascii="Arial" w:hAnsi="Arial" w:cs="Arial"/>
          <w:color w:val="000000" w:themeColor="text1"/>
        </w:rPr>
      </w:pPr>
      <w:r w:rsidRPr="00EF327D">
        <w:rPr>
          <w:rFonts w:ascii="Arial" w:hAnsi="Arial" w:cs="Arial"/>
          <w:color w:val="000000" w:themeColor="text1"/>
        </w:rPr>
        <w:t>(Source: Created by the learner)</w:t>
      </w:r>
    </w:p>
    <w:p w14:paraId="3E6E3644" w14:textId="308DDE0B" w:rsidR="00736224" w:rsidRPr="00EF327D" w:rsidRDefault="00736224" w:rsidP="00736224">
      <w:pPr>
        <w:rPr>
          <w:rFonts w:ascii="Arial" w:hAnsi="Arial" w:cs="Arial"/>
          <w:color w:val="000000" w:themeColor="text1"/>
        </w:rPr>
      </w:pPr>
      <w:r w:rsidRPr="00EF327D">
        <w:rPr>
          <w:rFonts w:ascii="Arial" w:hAnsi="Arial" w:cs="Arial"/>
          <w:color w:val="000000" w:themeColor="text1"/>
        </w:rPr>
        <w:lastRenderedPageBreak/>
        <w:t xml:space="preserve">IKEA Circular Living+ needs to be positioned as cheap eco-friendly furniture that is versatile and can be used in any location in the city. </w:t>
      </w:r>
      <w:r w:rsidR="00DC49E4" w:rsidRPr="00EF327D">
        <w:rPr>
          <w:rFonts w:ascii="Arial" w:hAnsi="Arial" w:cs="Arial"/>
          <w:color w:val="000000" w:themeColor="text1"/>
        </w:rPr>
        <w:t xml:space="preserve">The positioning uses the existing competencies </w:t>
      </w:r>
      <w:r w:rsidRPr="00EF327D">
        <w:rPr>
          <w:rFonts w:ascii="Arial" w:hAnsi="Arial" w:cs="Arial"/>
          <w:color w:val="000000" w:themeColor="text1"/>
        </w:rPr>
        <w:t xml:space="preserve">of IKEA, </w:t>
      </w:r>
      <w:r w:rsidR="00DC49E4" w:rsidRPr="00EF327D">
        <w:rPr>
          <w:rFonts w:ascii="Arial" w:hAnsi="Arial" w:cs="Arial"/>
          <w:color w:val="000000" w:themeColor="text1"/>
        </w:rPr>
        <w:t xml:space="preserve">which relies on </w:t>
      </w:r>
      <w:r w:rsidRPr="00EF327D">
        <w:rPr>
          <w:rFonts w:ascii="Arial" w:hAnsi="Arial" w:cs="Arial"/>
          <w:color w:val="000000" w:themeColor="text1"/>
        </w:rPr>
        <w:t>affordability and design with a proposition of access-over-ownership</w:t>
      </w:r>
      <w:r w:rsidR="00336DD6" w:rsidRPr="00EF327D">
        <w:rPr>
          <w:rFonts w:ascii="Arial" w:hAnsi="Arial" w:cs="Arial"/>
          <w:color w:val="000000" w:themeColor="text1"/>
        </w:rPr>
        <w:t xml:space="preserve"> (Figure 4) </w:t>
      </w:r>
      <w:r w:rsidR="00DC49E4" w:rsidRPr="00EF327D">
        <w:rPr>
          <w:rFonts w:ascii="Arial" w:hAnsi="Arial" w:cs="Arial"/>
          <w:color w:val="000000" w:themeColor="text1"/>
        </w:rPr>
        <w:t>(IKEA, 2026)</w:t>
      </w:r>
      <w:r w:rsidRPr="00EF327D">
        <w:rPr>
          <w:rFonts w:ascii="Arial" w:hAnsi="Arial" w:cs="Arial"/>
          <w:color w:val="000000" w:themeColor="text1"/>
        </w:rPr>
        <w:t>. This is significant in that sustainability itself might not create enough demand</w:t>
      </w:r>
      <w:r w:rsidR="00E17502" w:rsidRPr="00EF327D">
        <w:rPr>
          <w:rFonts w:ascii="Arial" w:hAnsi="Arial" w:cs="Arial"/>
          <w:color w:val="000000" w:themeColor="text1"/>
        </w:rPr>
        <w:t>.</w:t>
      </w:r>
      <w:r w:rsidRPr="00EF327D">
        <w:rPr>
          <w:rFonts w:ascii="Arial" w:hAnsi="Arial" w:cs="Arial"/>
          <w:color w:val="000000" w:themeColor="text1"/>
        </w:rPr>
        <w:t xml:space="preserve"> According to Deloitte</w:t>
      </w:r>
      <w:r w:rsidR="00DC49E4" w:rsidRPr="00EF327D">
        <w:rPr>
          <w:rFonts w:ascii="Arial" w:hAnsi="Arial" w:cs="Arial"/>
          <w:color w:val="000000" w:themeColor="text1"/>
        </w:rPr>
        <w:t xml:space="preserve"> (2024)</w:t>
      </w:r>
      <w:r w:rsidRPr="00EF327D">
        <w:rPr>
          <w:rFonts w:ascii="Arial" w:hAnsi="Arial" w:cs="Arial"/>
          <w:color w:val="000000" w:themeColor="text1"/>
        </w:rPr>
        <w:t xml:space="preserve">, the affordability factor is the biggest obstacle to sustainable consumption and they also report that sustainable behaviour has gradually become linked with the issue of costs. The core messages that Circular Living + should convey are thus financial flexibility and convenience as the key advantages, and the sustainability as the value that will come out of renting, returning and refurbishing furniture. </w:t>
      </w:r>
    </w:p>
    <w:p w14:paraId="31CCECB5" w14:textId="5DC0567C" w:rsidR="00736224" w:rsidRPr="00EF327D" w:rsidRDefault="00D71984" w:rsidP="00E61E41">
      <w:pPr>
        <w:pStyle w:val="Heading1"/>
      </w:pPr>
      <w:bookmarkStart w:id="6" w:name="_Toc237612494"/>
      <w:r w:rsidRPr="00EF327D">
        <w:t>Element 3: Marketing Mix</w:t>
      </w:r>
      <w:bookmarkEnd w:id="6"/>
    </w:p>
    <w:p w14:paraId="471D70C9" w14:textId="373C837D" w:rsidR="00E17502" w:rsidRPr="00EF327D" w:rsidRDefault="00E17502" w:rsidP="00E17502">
      <w:pPr>
        <w:rPr>
          <w:rFonts w:ascii="Arial" w:hAnsi="Arial" w:cs="Arial"/>
          <w:color w:val="000000" w:themeColor="text1"/>
        </w:rPr>
      </w:pPr>
      <w:r w:rsidRPr="00EF327D">
        <w:rPr>
          <w:rFonts w:ascii="Arial" w:hAnsi="Arial" w:cs="Arial"/>
          <w:color w:val="000000" w:themeColor="text1"/>
        </w:rPr>
        <w:t>Marketing is essential for every business to help reach and inform customers about products and services. 7Ps of marketing helps outline the overall process or stages to be used for marketing the product and finally reach the customers</w:t>
      </w:r>
      <w:r w:rsidR="005B579C" w:rsidRPr="00EF327D">
        <w:rPr>
          <w:rFonts w:ascii="Arial" w:hAnsi="Arial" w:cs="Arial"/>
          <w:color w:val="000000" w:themeColor="text1"/>
        </w:rPr>
        <w:t xml:space="preserve"> (Sadri and Aprianingsih, 2025)</w:t>
      </w:r>
      <w:r w:rsidRPr="00EF327D">
        <w:rPr>
          <w:rFonts w:ascii="Arial" w:hAnsi="Arial" w:cs="Arial"/>
          <w:color w:val="000000" w:themeColor="text1"/>
        </w:rPr>
        <w:t>. The below provides a detailed assessment.</w:t>
      </w:r>
    </w:p>
    <w:p w14:paraId="5330250F" w14:textId="77777777" w:rsidR="00D71984" w:rsidRPr="00EF327D" w:rsidRDefault="00D71984" w:rsidP="00D71984">
      <w:pPr>
        <w:pStyle w:val="Heading2"/>
        <w:rPr>
          <w:rFonts w:ascii="Arial" w:hAnsi="Arial" w:cs="Arial"/>
          <w:sz w:val="24"/>
          <w:szCs w:val="24"/>
        </w:rPr>
      </w:pPr>
      <w:bookmarkStart w:id="7" w:name="_Toc237612495"/>
      <w:r w:rsidRPr="00EF327D">
        <w:rPr>
          <w:rFonts w:ascii="Arial" w:hAnsi="Arial" w:cs="Arial"/>
          <w:sz w:val="24"/>
          <w:szCs w:val="24"/>
        </w:rPr>
        <w:t>3.1 Product</w:t>
      </w:r>
      <w:bookmarkEnd w:id="7"/>
    </w:p>
    <w:p w14:paraId="279B45B3" w14:textId="3FAAE152" w:rsidR="00D71984" w:rsidRPr="00EF327D" w:rsidRDefault="00D71984" w:rsidP="00D71984">
      <w:pPr>
        <w:rPr>
          <w:rFonts w:ascii="Arial" w:hAnsi="Arial" w:cs="Arial"/>
          <w:color w:val="000000" w:themeColor="text1"/>
        </w:rPr>
      </w:pPr>
      <w:r w:rsidRPr="00EF327D">
        <w:rPr>
          <w:rFonts w:ascii="Arial" w:hAnsi="Arial" w:cs="Arial"/>
          <w:color w:val="000000" w:themeColor="text1"/>
        </w:rPr>
        <w:t xml:space="preserve">IKEA Circular Living+ needs to take a product-service-system approach moving the value of owning the furniture to ongoing access and enabling circular consumption. </w:t>
      </w:r>
      <w:r w:rsidR="00DC49E4" w:rsidRPr="00EF327D">
        <w:rPr>
          <w:rFonts w:ascii="Arial" w:hAnsi="Arial" w:cs="Arial"/>
          <w:color w:val="000000" w:themeColor="text1"/>
        </w:rPr>
        <w:t xml:space="preserve">Vezzoli et al. </w:t>
      </w:r>
      <w:r w:rsidRPr="00EF327D">
        <w:rPr>
          <w:rFonts w:ascii="Arial" w:hAnsi="Arial" w:cs="Arial"/>
          <w:color w:val="000000" w:themeColor="text1"/>
        </w:rPr>
        <w:t>(</w:t>
      </w:r>
      <w:r w:rsidR="00DC49E4" w:rsidRPr="00EF327D">
        <w:rPr>
          <w:rFonts w:ascii="Arial" w:hAnsi="Arial" w:cs="Arial"/>
          <w:color w:val="000000" w:themeColor="text1"/>
        </w:rPr>
        <w:t>2021</w:t>
      </w:r>
      <w:r w:rsidRPr="00EF327D">
        <w:rPr>
          <w:rFonts w:ascii="Arial" w:hAnsi="Arial" w:cs="Arial"/>
          <w:color w:val="000000" w:themeColor="text1"/>
        </w:rPr>
        <w:t>)</w:t>
      </w:r>
      <w:r w:rsidR="006700FF" w:rsidRPr="00EF327D">
        <w:rPr>
          <w:rFonts w:ascii="Arial" w:hAnsi="Arial" w:cs="Arial"/>
          <w:color w:val="000000" w:themeColor="text1"/>
        </w:rPr>
        <w:t xml:space="preserve"> indicated that </w:t>
      </w:r>
      <w:r w:rsidRPr="00EF327D">
        <w:rPr>
          <w:rFonts w:ascii="Arial" w:hAnsi="Arial" w:cs="Arial"/>
          <w:color w:val="000000" w:themeColor="text1"/>
        </w:rPr>
        <w:t xml:space="preserve">value can be created by product-service systems </w:t>
      </w:r>
      <w:r w:rsidR="00E73EAC" w:rsidRPr="00EF327D">
        <w:rPr>
          <w:rFonts w:ascii="Arial" w:hAnsi="Arial" w:cs="Arial"/>
          <w:color w:val="000000" w:themeColor="text1"/>
        </w:rPr>
        <w:t xml:space="preserve">when offering </w:t>
      </w:r>
      <w:r w:rsidRPr="00EF327D">
        <w:rPr>
          <w:rFonts w:ascii="Arial" w:hAnsi="Arial" w:cs="Arial"/>
          <w:color w:val="000000" w:themeColor="text1"/>
        </w:rPr>
        <w:t xml:space="preserve">services around products but </w:t>
      </w:r>
      <w:r w:rsidR="00E73EAC" w:rsidRPr="00EF327D">
        <w:rPr>
          <w:rFonts w:ascii="Arial" w:hAnsi="Arial" w:cs="Arial"/>
          <w:color w:val="000000" w:themeColor="text1"/>
        </w:rPr>
        <w:t xml:space="preserve">delivery of </w:t>
      </w:r>
      <w:r w:rsidRPr="00EF327D">
        <w:rPr>
          <w:rFonts w:ascii="Arial" w:hAnsi="Arial" w:cs="Arial"/>
          <w:color w:val="000000" w:themeColor="text1"/>
        </w:rPr>
        <w:t xml:space="preserve">environmental benefits </w:t>
      </w:r>
      <w:r w:rsidR="00E73EAC" w:rsidRPr="00EF327D">
        <w:rPr>
          <w:rFonts w:ascii="Arial" w:hAnsi="Arial" w:cs="Arial"/>
          <w:color w:val="000000" w:themeColor="text1"/>
        </w:rPr>
        <w:t xml:space="preserve">depends on </w:t>
      </w:r>
      <w:r w:rsidRPr="00EF327D">
        <w:rPr>
          <w:rFonts w:ascii="Arial" w:hAnsi="Arial" w:cs="Arial"/>
          <w:color w:val="000000" w:themeColor="text1"/>
        </w:rPr>
        <w:t>successful implementation. The suggested service must thus include furniture access and repair, maintenance, refurbishing, digital room planning and scheduled exchanges. IKEA has already supplied 517,970 free spare parts in the UK in 2025, an indication of a well-designed repair infrastructure</w:t>
      </w:r>
      <w:r w:rsidR="00DC49E4" w:rsidRPr="00EF327D">
        <w:rPr>
          <w:rFonts w:ascii="Arial" w:hAnsi="Arial" w:cs="Arial"/>
          <w:color w:val="000000" w:themeColor="text1"/>
        </w:rPr>
        <w:t xml:space="preserve"> (IKEA, 2026)</w:t>
      </w:r>
      <w:r w:rsidRPr="00EF327D">
        <w:rPr>
          <w:rFonts w:ascii="Arial" w:hAnsi="Arial" w:cs="Arial"/>
          <w:color w:val="000000" w:themeColor="text1"/>
        </w:rPr>
        <w:t>. This means that Circular Living+ needs to first focus on long-lasting, modular furniture with a high ability to be reused, enhancing customer value and circular resource efficiency.</w:t>
      </w:r>
    </w:p>
    <w:p w14:paraId="0ACDA5E5" w14:textId="77777777" w:rsidR="00D71984" w:rsidRPr="00EF327D" w:rsidRDefault="00D71984" w:rsidP="00D71984">
      <w:pPr>
        <w:pStyle w:val="Heading2"/>
        <w:rPr>
          <w:rFonts w:ascii="Arial" w:hAnsi="Arial" w:cs="Arial"/>
          <w:sz w:val="24"/>
          <w:szCs w:val="24"/>
        </w:rPr>
      </w:pPr>
      <w:bookmarkStart w:id="8" w:name="_Toc237612496"/>
      <w:r w:rsidRPr="00EF327D">
        <w:rPr>
          <w:rFonts w:ascii="Arial" w:hAnsi="Arial" w:cs="Arial"/>
          <w:sz w:val="24"/>
          <w:szCs w:val="24"/>
        </w:rPr>
        <w:t>3.2 Price</w:t>
      </w:r>
      <w:bookmarkEnd w:id="8"/>
      <w:r w:rsidRPr="00EF327D">
        <w:rPr>
          <w:rFonts w:ascii="Arial" w:hAnsi="Arial" w:cs="Arial"/>
          <w:sz w:val="24"/>
          <w:szCs w:val="24"/>
        </w:rPr>
        <w:t> </w:t>
      </w:r>
    </w:p>
    <w:p w14:paraId="0E61E8B5" w14:textId="4FBA10F6" w:rsidR="00D71984" w:rsidRPr="00EF327D" w:rsidRDefault="00D71984" w:rsidP="00D71984">
      <w:pPr>
        <w:rPr>
          <w:rFonts w:ascii="Arial" w:hAnsi="Arial" w:cs="Arial"/>
          <w:color w:val="000000" w:themeColor="text1"/>
        </w:rPr>
      </w:pPr>
      <w:r w:rsidRPr="00EF327D">
        <w:rPr>
          <w:rFonts w:ascii="Arial" w:hAnsi="Arial" w:cs="Arial"/>
          <w:color w:val="000000" w:themeColor="text1"/>
        </w:rPr>
        <w:t xml:space="preserve">To balance price and collection, refurbishment and redistribution costs, IKEA </w:t>
      </w:r>
      <w:r w:rsidR="009D609A" w:rsidRPr="00EF327D">
        <w:rPr>
          <w:rFonts w:ascii="Arial" w:hAnsi="Arial" w:cs="Arial"/>
          <w:color w:val="000000" w:themeColor="text1"/>
        </w:rPr>
        <w:t>should consider</w:t>
      </w:r>
      <w:r w:rsidRPr="00EF327D">
        <w:rPr>
          <w:rFonts w:ascii="Arial" w:hAnsi="Arial" w:cs="Arial"/>
          <w:color w:val="000000" w:themeColor="text1"/>
        </w:rPr>
        <w:t xml:space="preserve"> </w:t>
      </w:r>
      <w:r w:rsidR="009D609A" w:rsidRPr="00EF327D">
        <w:rPr>
          <w:rFonts w:ascii="Arial" w:hAnsi="Arial" w:cs="Arial"/>
          <w:color w:val="000000" w:themeColor="text1"/>
        </w:rPr>
        <w:t xml:space="preserve">adoption of </w:t>
      </w:r>
      <w:r w:rsidRPr="00EF327D">
        <w:rPr>
          <w:rFonts w:ascii="Arial" w:hAnsi="Arial" w:cs="Arial"/>
          <w:color w:val="000000" w:themeColor="text1"/>
        </w:rPr>
        <w:t xml:space="preserve">a tiered subscription pricing model that will be affordable and at the same time profitable to operate. The three plans may be used to offer varying furniture access and frequency of exchange so that the customers would choose </w:t>
      </w:r>
      <w:r w:rsidRPr="00EF327D">
        <w:rPr>
          <w:rFonts w:ascii="Arial" w:hAnsi="Arial" w:cs="Arial"/>
          <w:color w:val="000000" w:themeColor="text1"/>
        </w:rPr>
        <w:lastRenderedPageBreak/>
        <w:t xml:space="preserve">based on their willingness to pay. The value-based pricing theory </w:t>
      </w:r>
      <w:r w:rsidR="00DC49E4" w:rsidRPr="00EF327D">
        <w:rPr>
          <w:rFonts w:ascii="Arial" w:hAnsi="Arial" w:cs="Arial"/>
          <w:color w:val="000000" w:themeColor="text1"/>
        </w:rPr>
        <w:t xml:space="preserve">reflects that </w:t>
      </w:r>
      <w:r w:rsidRPr="00EF327D">
        <w:rPr>
          <w:rFonts w:ascii="Arial" w:hAnsi="Arial" w:cs="Arial"/>
          <w:color w:val="000000" w:themeColor="text1"/>
        </w:rPr>
        <w:t xml:space="preserve">perceived benefits </w:t>
      </w:r>
      <w:r w:rsidR="009D609A" w:rsidRPr="00EF327D">
        <w:rPr>
          <w:rFonts w:ascii="Arial" w:hAnsi="Arial" w:cs="Arial"/>
          <w:color w:val="000000" w:themeColor="text1"/>
        </w:rPr>
        <w:t>are</w:t>
      </w:r>
      <w:r w:rsidR="00DC49E4" w:rsidRPr="00EF327D">
        <w:rPr>
          <w:rFonts w:ascii="Arial" w:hAnsi="Arial" w:cs="Arial"/>
          <w:color w:val="000000" w:themeColor="text1"/>
        </w:rPr>
        <w:t xml:space="preserve"> more important for the </w:t>
      </w:r>
      <w:r w:rsidRPr="00EF327D">
        <w:rPr>
          <w:rFonts w:ascii="Arial" w:hAnsi="Arial" w:cs="Arial"/>
          <w:color w:val="000000" w:themeColor="text1"/>
        </w:rPr>
        <w:t>customers as opposed to the production expenditures (</w:t>
      </w:r>
      <w:r w:rsidR="00E450CA" w:rsidRPr="00EF327D">
        <w:rPr>
          <w:rFonts w:ascii="Arial" w:hAnsi="Arial" w:cs="Arial"/>
          <w:color w:val="000000" w:themeColor="text1"/>
        </w:rPr>
        <w:t>Huang et al., 2026</w:t>
      </w:r>
      <w:r w:rsidRPr="00EF327D">
        <w:rPr>
          <w:rFonts w:ascii="Arial" w:hAnsi="Arial" w:cs="Arial"/>
          <w:color w:val="000000" w:themeColor="text1"/>
        </w:rPr>
        <w:t xml:space="preserve">). </w:t>
      </w:r>
      <w:r w:rsidR="009D609A" w:rsidRPr="00EF327D">
        <w:rPr>
          <w:rFonts w:ascii="Arial" w:hAnsi="Arial" w:cs="Arial"/>
          <w:color w:val="000000" w:themeColor="text1"/>
        </w:rPr>
        <w:t xml:space="preserve">As of 2024, </w:t>
      </w:r>
      <w:r w:rsidRPr="00EF327D">
        <w:rPr>
          <w:rFonts w:ascii="Arial" w:hAnsi="Arial" w:cs="Arial"/>
          <w:color w:val="000000" w:themeColor="text1"/>
        </w:rPr>
        <w:t>6</w:t>
      </w:r>
      <w:r w:rsidR="00DC49E4" w:rsidRPr="00EF327D">
        <w:rPr>
          <w:rFonts w:ascii="Arial" w:hAnsi="Arial" w:cs="Arial"/>
          <w:color w:val="000000" w:themeColor="text1"/>
        </w:rPr>
        <w:t>5</w:t>
      </w:r>
      <w:r w:rsidRPr="00EF327D">
        <w:rPr>
          <w:rFonts w:ascii="Arial" w:hAnsi="Arial" w:cs="Arial"/>
          <w:color w:val="000000" w:themeColor="text1"/>
        </w:rPr>
        <w:t xml:space="preserve"> per cent of the UK consumers </w:t>
      </w:r>
      <w:r w:rsidR="009D609A" w:rsidRPr="00EF327D">
        <w:rPr>
          <w:rFonts w:ascii="Arial" w:hAnsi="Arial" w:cs="Arial"/>
          <w:color w:val="000000" w:themeColor="text1"/>
        </w:rPr>
        <w:t xml:space="preserve">indicates cost as challenge for </w:t>
      </w:r>
      <w:r w:rsidRPr="00EF327D">
        <w:rPr>
          <w:rFonts w:ascii="Arial" w:hAnsi="Arial" w:cs="Arial"/>
          <w:color w:val="000000" w:themeColor="text1"/>
        </w:rPr>
        <w:t xml:space="preserve">sustainable lifestyles and only 36 per cent of them are ready to paying more to access sustainable products and services </w:t>
      </w:r>
      <w:r w:rsidR="009D609A" w:rsidRPr="00EF327D">
        <w:rPr>
          <w:rFonts w:ascii="Arial" w:hAnsi="Arial" w:cs="Arial"/>
          <w:color w:val="000000" w:themeColor="text1"/>
        </w:rPr>
        <w:t>(</w:t>
      </w:r>
      <w:r w:rsidR="00DC49E4" w:rsidRPr="00EF327D">
        <w:rPr>
          <w:rFonts w:ascii="Arial" w:hAnsi="Arial" w:cs="Arial"/>
          <w:color w:val="000000" w:themeColor="text1"/>
        </w:rPr>
        <w:t>YouGov</w:t>
      </w:r>
      <w:r w:rsidR="009D609A" w:rsidRPr="00EF327D">
        <w:rPr>
          <w:rFonts w:ascii="Arial" w:hAnsi="Arial" w:cs="Arial"/>
          <w:color w:val="000000" w:themeColor="text1"/>
        </w:rPr>
        <w:t xml:space="preserve">, </w:t>
      </w:r>
      <w:r w:rsidR="00DC49E4" w:rsidRPr="00EF327D">
        <w:rPr>
          <w:rFonts w:ascii="Arial" w:hAnsi="Arial" w:cs="Arial"/>
          <w:color w:val="000000" w:themeColor="text1"/>
        </w:rPr>
        <w:t>2024</w:t>
      </w:r>
      <w:r w:rsidRPr="00EF327D">
        <w:rPr>
          <w:rFonts w:ascii="Arial" w:hAnsi="Arial" w:cs="Arial"/>
          <w:color w:val="000000" w:themeColor="text1"/>
        </w:rPr>
        <w:t xml:space="preserve">). Premium pricing </w:t>
      </w:r>
      <w:r w:rsidR="00E450CA" w:rsidRPr="00EF327D">
        <w:rPr>
          <w:rFonts w:ascii="Arial" w:hAnsi="Arial" w:cs="Arial"/>
          <w:color w:val="000000" w:themeColor="text1"/>
        </w:rPr>
        <w:t xml:space="preserve">may become </w:t>
      </w:r>
      <w:r w:rsidRPr="00EF327D">
        <w:rPr>
          <w:rFonts w:ascii="Arial" w:hAnsi="Arial" w:cs="Arial"/>
          <w:color w:val="000000" w:themeColor="text1"/>
        </w:rPr>
        <w:t xml:space="preserve">a limiting factor to adoption. IKEA </w:t>
      </w:r>
      <w:r w:rsidR="00E450CA" w:rsidRPr="00EF327D">
        <w:rPr>
          <w:rFonts w:ascii="Arial" w:hAnsi="Arial" w:cs="Arial"/>
          <w:color w:val="000000" w:themeColor="text1"/>
        </w:rPr>
        <w:t xml:space="preserve">should focus upon the use of flexible pricing based on </w:t>
      </w:r>
      <w:r w:rsidRPr="00EF327D">
        <w:rPr>
          <w:rFonts w:ascii="Arial" w:hAnsi="Arial" w:cs="Arial"/>
          <w:color w:val="000000" w:themeColor="text1"/>
        </w:rPr>
        <w:t>monthly</w:t>
      </w:r>
      <w:r w:rsidR="00E450CA" w:rsidRPr="00EF327D">
        <w:rPr>
          <w:rFonts w:ascii="Arial" w:hAnsi="Arial" w:cs="Arial"/>
          <w:color w:val="000000" w:themeColor="text1"/>
        </w:rPr>
        <w:t xml:space="preserve"> and </w:t>
      </w:r>
      <w:r w:rsidRPr="00EF327D">
        <w:rPr>
          <w:rFonts w:ascii="Arial" w:hAnsi="Arial" w:cs="Arial"/>
          <w:color w:val="000000" w:themeColor="text1"/>
        </w:rPr>
        <w:t>first-time offers</w:t>
      </w:r>
      <w:r w:rsidR="00E450CA" w:rsidRPr="00EF327D">
        <w:rPr>
          <w:rFonts w:ascii="Arial" w:hAnsi="Arial" w:cs="Arial"/>
          <w:color w:val="000000" w:themeColor="text1"/>
        </w:rPr>
        <w:t xml:space="preserve">. Additionally, </w:t>
      </w:r>
      <w:r w:rsidRPr="00EF327D">
        <w:rPr>
          <w:rFonts w:ascii="Arial" w:hAnsi="Arial" w:cs="Arial"/>
          <w:color w:val="000000" w:themeColor="text1"/>
        </w:rPr>
        <w:t>extended membership discount on adopti</w:t>
      </w:r>
      <w:r w:rsidR="00E450CA" w:rsidRPr="00EF327D">
        <w:rPr>
          <w:rFonts w:ascii="Arial" w:hAnsi="Arial" w:cs="Arial"/>
          <w:color w:val="000000" w:themeColor="text1"/>
        </w:rPr>
        <w:t>on can also be provided to help</w:t>
      </w:r>
      <w:r w:rsidRPr="00EF327D">
        <w:rPr>
          <w:rFonts w:ascii="Arial" w:hAnsi="Arial" w:cs="Arial"/>
          <w:color w:val="000000" w:themeColor="text1"/>
        </w:rPr>
        <w:t xml:space="preserve"> stimulate adoption </w:t>
      </w:r>
      <w:r w:rsidR="00E450CA" w:rsidRPr="00EF327D">
        <w:rPr>
          <w:rFonts w:ascii="Arial" w:hAnsi="Arial" w:cs="Arial"/>
          <w:color w:val="000000" w:themeColor="text1"/>
        </w:rPr>
        <w:t xml:space="preserve">but may reduce </w:t>
      </w:r>
      <w:r w:rsidRPr="00EF327D">
        <w:rPr>
          <w:rFonts w:ascii="Arial" w:hAnsi="Arial" w:cs="Arial"/>
          <w:color w:val="000000" w:themeColor="text1"/>
        </w:rPr>
        <w:t xml:space="preserve">revenue </w:t>
      </w:r>
      <w:r w:rsidR="00E450CA" w:rsidRPr="00EF327D">
        <w:rPr>
          <w:rFonts w:ascii="Arial" w:hAnsi="Arial" w:cs="Arial"/>
          <w:color w:val="000000" w:themeColor="text1"/>
        </w:rPr>
        <w:t xml:space="preserve">necessary to </w:t>
      </w:r>
      <w:r w:rsidRPr="00EF327D">
        <w:rPr>
          <w:rFonts w:ascii="Arial" w:hAnsi="Arial" w:cs="Arial"/>
          <w:color w:val="000000" w:themeColor="text1"/>
        </w:rPr>
        <w:t>sustain circular operations.</w:t>
      </w:r>
    </w:p>
    <w:p w14:paraId="5D29292A" w14:textId="77777777" w:rsidR="00D71984" w:rsidRPr="00EF327D" w:rsidRDefault="00D71984" w:rsidP="00D71984">
      <w:pPr>
        <w:pStyle w:val="Heading2"/>
        <w:rPr>
          <w:rFonts w:ascii="Arial" w:hAnsi="Arial" w:cs="Arial"/>
          <w:sz w:val="24"/>
          <w:szCs w:val="24"/>
        </w:rPr>
      </w:pPr>
      <w:bookmarkStart w:id="9" w:name="_Toc237612497"/>
      <w:r w:rsidRPr="00EF327D">
        <w:rPr>
          <w:rFonts w:ascii="Arial" w:hAnsi="Arial" w:cs="Arial"/>
          <w:sz w:val="24"/>
          <w:szCs w:val="24"/>
        </w:rPr>
        <w:t>3.3 Place</w:t>
      </w:r>
      <w:bookmarkEnd w:id="9"/>
    </w:p>
    <w:p w14:paraId="6B636CDC" w14:textId="0064FB02" w:rsidR="00D71984" w:rsidRPr="00EF327D" w:rsidRDefault="00D71984" w:rsidP="00D71984">
      <w:pPr>
        <w:rPr>
          <w:rFonts w:ascii="Arial" w:hAnsi="Arial" w:cs="Arial"/>
          <w:color w:val="000000" w:themeColor="text1"/>
        </w:rPr>
      </w:pPr>
      <w:r w:rsidRPr="00EF327D">
        <w:rPr>
          <w:rFonts w:ascii="Arial" w:hAnsi="Arial" w:cs="Arial"/>
          <w:color w:val="000000" w:themeColor="text1"/>
        </w:rPr>
        <w:t>Circular Living+ needs to implement an omnichannel channel of distribution, comprising IKEA stores, its webpage, application, and home-delivery network to make environmentally-friendly subscription management easier. Omnichannel marketing relates physical and online touchpoints to create a seamless customer experience (</w:t>
      </w:r>
      <w:r w:rsidR="00E450CA" w:rsidRPr="00EF327D">
        <w:rPr>
          <w:rFonts w:ascii="Arial" w:hAnsi="Arial" w:cs="Arial"/>
          <w:color w:val="000000" w:themeColor="text1"/>
        </w:rPr>
        <w:t>Massi et al., 2023</w:t>
      </w:r>
      <w:r w:rsidRPr="00EF327D">
        <w:rPr>
          <w:rFonts w:ascii="Arial" w:hAnsi="Arial" w:cs="Arial"/>
          <w:color w:val="000000" w:themeColor="text1"/>
        </w:rPr>
        <w:t>). This is especially applicable since currently, IKEA is a highly digital company: online sales accounted to 43 percent of the total IKEA UK sales in FY2025, up compared to 41 percent in FY2024</w:t>
      </w:r>
      <w:r w:rsidR="00E450CA" w:rsidRPr="00EF327D">
        <w:rPr>
          <w:rFonts w:ascii="Arial" w:hAnsi="Arial" w:cs="Arial"/>
          <w:color w:val="000000" w:themeColor="text1"/>
        </w:rPr>
        <w:t xml:space="preserve"> (IKEA, 2026)</w:t>
      </w:r>
      <w:r w:rsidRPr="00EF327D">
        <w:rPr>
          <w:rFonts w:ascii="Arial" w:hAnsi="Arial" w:cs="Arial"/>
          <w:color w:val="000000" w:themeColor="text1"/>
        </w:rPr>
        <w:t xml:space="preserve">. Customers would thus be able to subscribe online, but have the delivery, collection and exchange services delivered to their home. IKEA must </w:t>
      </w:r>
      <w:r w:rsidR="005849C3" w:rsidRPr="00EF327D">
        <w:rPr>
          <w:rFonts w:ascii="Arial" w:hAnsi="Arial" w:cs="Arial"/>
          <w:color w:val="000000" w:themeColor="text1"/>
        </w:rPr>
        <w:t>consider use of</w:t>
      </w:r>
      <w:r w:rsidRPr="00EF327D">
        <w:rPr>
          <w:rFonts w:ascii="Arial" w:hAnsi="Arial" w:cs="Arial"/>
          <w:color w:val="000000" w:themeColor="text1"/>
        </w:rPr>
        <w:t xml:space="preserve"> existing stores as regional collection and redistribution </w:t>
      </w:r>
      <w:r w:rsidR="005849C3" w:rsidRPr="00EF327D">
        <w:rPr>
          <w:rFonts w:ascii="Arial" w:hAnsi="Arial" w:cs="Arial"/>
          <w:color w:val="000000" w:themeColor="text1"/>
        </w:rPr>
        <w:t>centres which can use its existing distribution route</w:t>
      </w:r>
      <w:r w:rsidR="00346D01" w:rsidRPr="00EF327D">
        <w:rPr>
          <w:rFonts w:ascii="Arial" w:hAnsi="Arial" w:cs="Arial"/>
          <w:color w:val="000000" w:themeColor="text1"/>
        </w:rPr>
        <w:t xml:space="preserve"> for efficiency</w:t>
      </w:r>
      <w:r w:rsidRPr="00EF327D">
        <w:rPr>
          <w:rFonts w:ascii="Arial" w:hAnsi="Arial" w:cs="Arial"/>
          <w:color w:val="000000" w:themeColor="text1"/>
        </w:rPr>
        <w:t>. This would ensure that Circular Living+ is convenient and restrains the logistical demands posed by the reoccurring product circulation.</w:t>
      </w:r>
    </w:p>
    <w:p w14:paraId="60542177" w14:textId="77777777" w:rsidR="00D71984" w:rsidRPr="00EF327D" w:rsidRDefault="00D71984" w:rsidP="00D71984">
      <w:pPr>
        <w:pStyle w:val="Heading2"/>
        <w:rPr>
          <w:rFonts w:ascii="Arial" w:hAnsi="Arial" w:cs="Arial"/>
          <w:sz w:val="24"/>
          <w:szCs w:val="24"/>
        </w:rPr>
      </w:pPr>
      <w:bookmarkStart w:id="10" w:name="_Toc237612498"/>
      <w:r w:rsidRPr="00EF327D">
        <w:rPr>
          <w:rFonts w:ascii="Arial" w:hAnsi="Arial" w:cs="Arial"/>
          <w:sz w:val="24"/>
          <w:szCs w:val="24"/>
        </w:rPr>
        <w:t>3.4 Promotion</w:t>
      </w:r>
      <w:bookmarkEnd w:id="10"/>
      <w:r w:rsidRPr="00EF327D">
        <w:rPr>
          <w:rFonts w:ascii="Arial" w:hAnsi="Arial" w:cs="Arial"/>
          <w:sz w:val="24"/>
          <w:szCs w:val="24"/>
        </w:rPr>
        <w:t> </w:t>
      </w:r>
    </w:p>
    <w:p w14:paraId="65E80CB4" w14:textId="6D583510" w:rsidR="00D71984" w:rsidRPr="00EF327D" w:rsidRDefault="00D71984" w:rsidP="00D71984">
      <w:pPr>
        <w:rPr>
          <w:rFonts w:ascii="Arial" w:hAnsi="Arial" w:cs="Arial"/>
          <w:color w:val="000000" w:themeColor="text1"/>
        </w:rPr>
      </w:pPr>
      <w:r w:rsidRPr="00EF327D">
        <w:rPr>
          <w:rFonts w:ascii="Arial" w:hAnsi="Arial" w:cs="Arial"/>
          <w:color w:val="000000" w:themeColor="text1"/>
        </w:rPr>
        <w:t xml:space="preserve">The integrated marketing communications should be used by IKEA to convey the Circular Living+ via social media, online adverts, collaboration with universities, influencers and in-store displays. The message advertised must focus on affordability and flexible living, as well as environmental benefits since environmental sustainability alone might not be a persuasive factor to purchase. </w:t>
      </w:r>
      <w:r w:rsidR="00E450CA" w:rsidRPr="00EF327D">
        <w:rPr>
          <w:rFonts w:ascii="Arial" w:hAnsi="Arial" w:cs="Arial"/>
          <w:color w:val="000000" w:themeColor="text1"/>
        </w:rPr>
        <w:t xml:space="preserve">Fenech </w:t>
      </w:r>
      <w:r w:rsidRPr="00EF327D">
        <w:rPr>
          <w:rFonts w:ascii="Arial" w:hAnsi="Arial" w:cs="Arial"/>
          <w:color w:val="000000" w:themeColor="text1"/>
        </w:rPr>
        <w:t>(</w:t>
      </w:r>
      <w:r w:rsidR="00E450CA" w:rsidRPr="00EF327D">
        <w:rPr>
          <w:rFonts w:ascii="Arial" w:hAnsi="Arial" w:cs="Arial"/>
          <w:color w:val="000000" w:themeColor="text1"/>
        </w:rPr>
        <w:t>2024</w:t>
      </w:r>
      <w:r w:rsidRPr="00EF327D">
        <w:rPr>
          <w:rFonts w:ascii="Arial" w:hAnsi="Arial" w:cs="Arial"/>
          <w:color w:val="000000" w:themeColor="text1"/>
        </w:rPr>
        <w:t xml:space="preserve">) indicated that </w:t>
      </w:r>
      <w:r w:rsidR="005C5DDC" w:rsidRPr="00EF327D">
        <w:rPr>
          <w:rFonts w:ascii="Arial" w:hAnsi="Arial" w:cs="Arial"/>
          <w:color w:val="000000" w:themeColor="text1"/>
        </w:rPr>
        <w:t xml:space="preserve">in </w:t>
      </w:r>
      <w:r w:rsidR="005B579C" w:rsidRPr="00EF327D">
        <w:rPr>
          <w:rFonts w:ascii="Arial" w:hAnsi="Arial" w:cs="Arial"/>
          <w:color w:val="000000" w:themeColor="text1"/>
        </w:rPr>
        <w:t>2024</w:t>
      </w:r>
      <w:r w:rsidR="005C5DDC" w:rsidRPr="00EF327D">
        <w:rPr>
          <w:rFonts w:ascii="Arial" w:hAnsi="Arial" w:cs="Arial"/>
          <w:color w:val="000000" w:themeColor="text1"/>
        </w:rPr>
        <w:t>,</w:t>
      </w:r>
      <w:r w:rsidR="005B579C" w:rsidRPr="00EF327D">
        <w:rPr>
          <w:rFonts w:ascii="Arial" w:hAnsi="Arial" w:cs="Arial"/>
          <w:color w:val="000000" w:themeColor="text1"/>
        </w:rPr>
        <w:t xml:space="preserve"> </w:t>
      </w:r>
      <w:r w:rsidRPr="00EF327D">
        <w:rPr>
          <w:rFonts w:ascii="Arial" w:hAnsi="Arial" w:cs="Arial"/>
          <w:color w:val="000000" w:themeColor="text1"/>
        </w:rPr>
        <w:t xml:space="preserve">58 per cent of consumers in the UK either bought less new products or purchased fewer product new items and 56 per cent repaired products instead of buying the new ones, indicating increasing involvement in product-life cycle. IKEA can thus illustrate the subscription process using customer testimonies, room remodelling </w:t>
      </w:r>
      <w:r w:rsidRPr="00EF327D">
        <w:rPr>
          <w:rFonts w:ascii="Arial" w:hAnsi="Arial" w:cs="Arial"/>
          <w:color w:val="000000" w:themeColor="text1"/>
        </w:rPr>
        <w:lastRenderedPageBreak/>
        <w:t xml:space="preserve">and </w:t>
      </w:r>
      <w:r w:rsidR="00E450CA" w:rsidRPr="00EF327D">
        <w:rPr>
          <w:rFonts w:ascii="Arial" w:hAnsi="Arial" w:cs="Arial"/>
          <w:color w:val="000000" w:themeColor="text1"/>
        </w:rPr>
        <w:t>clear-cut</w:t>
      </w:r>
      <w:r w:rsidRPr="00EF327D">
        <w:rPr>
          <w:rFonts w:ascii="Arial" w:hAnsi="Arial" w:cs="Arial"/>
          <w:color w:val="000000" w:themeColor="text1"/>
        </w:rPr>
        <w:t xml:space="preserve"> information regarding refurbishment. Measurable circular outcomes, i.e. products refurbished and reused, and customer benefits should then be published as part of the promotional material</w:t>
      </w:r>
      <w:r w:rsidR="00E450CA" w:rsidRPr="00EF327D">
        <w:rPr>
          <w:rFonts w:ascii="Arial" w:hAnsi="Arial" w:cs="Arial"/>
          <w:color w:val="000000" w:themeColor="text1"/>
        </w:rPr>
        <w:t xml:space="preserve"> (Svensson-Hoglund et al., 2026)</w:t>
      </w:r>
      <w:r w:rsidRPr="00EF327D">
        <w:rPr>
          <w:rFonts w:ascii="Arial" w:hAnsi="Arial" w:cs="Arial"/>
          <w:color w:val="000000" w:themeColor="text1"/>
        </w:rPr>
        <w:t>. Such evidence-based communication has the potential to enhance the credibility and place Circular Living+ as a viable sustainable lifestyle alternative.</w:t>
      </w:r>
    </w:p>
    <w:p w14:paraId="105F6BBF" w14:textId="50168EDB" w:rsidR="00053F58" w:rsidRPr="00EF327D" w:rsidRDefault="00EE3102" w:rsidP="00EE3102">
      <w:pPr>
        <w:pStyle w:val="Heading2"/>
        <w:rPr>
          <w:rFonts w:ascii="Arial" w:hAnsi="Arial" w:cs="Arial"/>
          <w:sz w:val="24"/>
          <w:szCs w:val="24"/>
        </w:rPr>
      </w:pPr>
      <w:bookmarkStart w:id="11" w:name="_Toc237612499"/>
      <w:r w:rsidRPr="00EF327D">
        <w:rPr>
          <w:rFonts w:ascii="Arial" w:hAnsi="Arial" w:cs="Arial"/>
          <w:sz w:val="24"/>
          <w:szCs w:val="24"/>
        </w:rPr>
        <w:t>3.5 People</w:t>
      </w:r>
      <w:bookmarkEnd w:id="11"/>
    </w:p>
    <w:p w14:paraId="3F5B384D" w14:textId="67B51A89" w:rsidR="00EE3102" w:rsidRPr="00EF327D" w:rsidRDefault="00EE3102" w:rsidP="00D71984">
      <w:pPr>
        <w:rPr>
          <w:rFonts w:ascii="Arial" w:hAnsi="Arial" w:cs="Arial"/>
          <w:color w:val="000000" w:themeColor="text1"/>
        </w:rPr>
      </w:pPr>
      <w:r w:rsidRPr="00EF327D">
        <w:rPr>
          <w:rFonts w:ascii="Arial" w:hAnsi="Arial" w:cs="Arial"/>
          <w:color w:val="000000" w:themeColor="text1"/>
        </w:rPr>
        <w:t xml:space="preserve">Staff skills and training remain one of the core </w:t>
      </w:r>
      <w:r w:rsidR="000202EA" w:rsidRPr="00EF327D">
        <w:rPr>
          <w:rFonts w:ascii="Arial" w:hAnsi="Arial" w:cs="Arial"/>
          <w:color w:val="000000" w:themeColor="text1"/>
        </w:rPr>
        <w:t>aspects</w:t>
      </w:r>
      <w:r w:rsidRPr="00EF327D">
        <w:rPr>
          <w:rFonts w:ascii="Arial" w:hAnsi="Arial" w:cs="Arial"/>
          <w:color w:val="000000" w:themeColor="text1"/>
        </w:rPr>
        <w:t xml:space="preserve"> that is to be used as a part of people strategy which is to be implemented at IKEA for delivering similar level of services across all stores of Circular Living+.</w:t>
      </w:r>
      <w:r w:rsidR="000202EA" w:rsidRPr="00EF327D">
        <w:rPr>
          <w:rFonts w:ascii="Arial" w:hAnsi="Arial" w:cs="Arial"/>
          <w:color w:val="000000" w:themeColor="text1"/>
        </w:rPr>
        <w:t xml:space="preserve"> The Staff at all level of the company is to be trained effectively to understand subscription management, routine inspection, coordinate repairs and customer-service recovery in addition to digital skills</w:t>
      </w:r>
      <w:r w:rsidR="00E450CA" w:rsidRPr="00EF327D">
        <w:rPr>
          <w:rFonts w:ascii="Arial" w:hAnsi="Arial" w:cs="Arial"/>
          <w:color w:val="000000" w:themeColor="text1"/>
        </w:rPr>
        <w:t xml:space="preserve"> (McQuerrey, 2026)</w:t>
      </w:r>
      <w:r w:rsidR="000202EA" w:rsidRPr="00EF327D">
        <w:rPr>
          <w:rFonts w:ascii="Arial" w:hAnsi="Arial" w:cs="Arial"/>
          <w:color w:val="000000" w:themeColor="text1"/>
        </w:rPr>
        <w:t>. This will help the company to effectively deliver services in a consistent manner. The IKEA UK operates multiple stores that already has adopted circular capacity where it employs 400 recovery co-workers what helps improve product lifecycle and waste reduction</w:t>
      </w:r>
      <w:r w:rsidR="00E450CA" w:rsidRPr="00EF327D">
        <w:rPr>
          <w:rFonts w:ascii="Arial" w:hAnsi="Arial" w:cs="Arial"/>
          <w:color w:val="000000" w:themeColor="text1"/>
        </w:rPr>
        <w:t xml:space="preserve"> (IKEA, 2025)</w:t>
      </w:r>
      <w:r w:rsidR="000202EA" w:rsidRPr="00EF327D">
        <w:rPr>
          <w:rFonts w:ascii="Arial" w:hAnsi="Arial" w:cs="Arial"/>
          <w:color w:val="000000" w:themeColor="text1"/>
        </w:rPr>
        <w:t xml:space="preserve">. </w:t>
      </w:r>
      <w:r w:rsidR="00E17502" w:rsidRPr="00EF327D">
        <w:rPr>
          <w:rFonts w:ascii="Arial" w:hAnsi="Arial" w:cs="Arial"/>
          <w:color w:val="000000" w:themeColor="text1"/>
        </w:rPr>
        <w:t xml:space="preserve">Therefore, </w:t>
      </w:r>
      <w:r w:rsidR="00706F2E" w:rsidRPr="00EF327D">
        <w:rPr>
          <w:rFonts w:ascii="Arial" w:hAnsi="Arial" w:cs="Arial"/>
          <w:color w:val="000000" w:themeColor="text1"/>
        </w:rPr>
        <w:t>IKEA should consider creating digital training units and standardisation teams which can help streamline the overall process of service and repairs.</w:t>
      </w:r>
      <w:r w:rsidR="000A2D9C" w:rsidRPr="00EF327D">
        <w:rPr>
          <w:rFonts w:ascii="Arial" w:hAnsi="Arial" w:cs="Arial"/>
          <w:color w:val="000000" w:themeColor="text1"/>
        </w:rPr>
        <w:t xml:space="preserve"> </w:t>
      </w:r>
    </w:p>
    <w:p w14:paraId="3A90D076" w14:textId="609A151C" w:rsidR="00706F2E" w:rsidRPr="00EF327D" w:rsidRDefault="00706F2E" w:rsidP="00706F2E">
      <w:pPr>
        <w:pStyle w:val="Heading2"/>
        <w:rPr>
          <w:rFonts w:ascii="Arial" w:hAnsi="Arial" w:cs="Arial"/>
          <w:sz w:val="24"/>
          <w:szCs w:val="24"/>
        </w:rPr>
      </w:pPr>
      <w:bookmarkStart w:id="12" w:name="_Toc237612500"/>
      <w:r w:rsidRPr="00EF327D">
        <w:rPr>
          <w:rFonts w:ascii="Arial" w:hAnsi="Arial" w:cs="Arial"/>
          <w:sz w:val="24"/>
          <w:szCs w:val="24"/>
        </w:rPr>
        <w:t>3.6 Process</w:t>
      </w:r>
      <w:bookmarkEnd w:id="12"/>
    </w:p>
    <w:p w14:paraId="52BA4AD1" w14:textId="0767C979" w:rsidR="005849C3" w:rsidRPr="00EF327D" w:rsidRDefault="005849C3" w:rsidP="005849C3">
      <w:pPr>
        <w:rPr>
          <w:rFonts w:ascii="Arial" w:hAnsi="Arial" w:cs="Arial"/>
          <w:color w:val="000000" w:themeColor="text1"/>
        </w:rPr>
      </w:pPr>
      <w:r w:rsidRPr="00EF327D">
        <w:rPr>
          <w:rFonts w:ascii="Arial" w:hAnsi="Arial" w:cs="Arial"/>
          <w:color w:val="000000" w:themeColor="text1"/>
        </w:rPr>
        <w:t xml:space="preserve">The Process strategy of CRM and ICT should be adopted by IKEA in order to deal with subscriptions and maximise the utilisation of furniture. Payments, exchanges, repairs and collections should be handled digitally by the customers and product condition, repair history and refurbishment status are noted by CRM systems. </w:t>
      </w:r>
      <w:r w:rsidR="005B579C" w:rsidRPr="00EF327D">
        <w:rPr>
          <w:rFonts w:ascii="Arial" w:hAnsi="Arial" w:cs="Arial"/>
          <w:color w:val="000000" w:themeColor="text1"/>
        </w:rPr>
        <w:t xml:space="preserve">PwC (2025) indicated that seamless process helps customers feel valued which increases sales by 30% due to value perception. </w:t>
      </w:r>
      <w:r w:rsidRPr="00EF327D">
        <w:rPr>
          <w:rFonts w:ascii="Arial" w:hAnsi="Arial" w:cs="Arial"/>
          <w:color w:val="000000" w:themeColor="text1"/>
        </w:rPr>
        <w:t xml:space="preserve">As such, IKEA needs to focus on transparent billing, effortless cancellation and notification in real time. The tracking of the products must also determine whether or not the furniture needs repair, refurbishing or redistribution. </w:t>
      </w:r>
    </w:p>
    <w:p w14:paraId="4E9157DD" w14:textId="081F165D" w:rsidR="005849C3" w:rsidRPr="00EF327D" w:rsidRDefault="005849C3" w:rsidP="005849C3">
      <w:pPr>
        <w:pStyle w:val="Heading2"/>
        <w:rPr>
          <w:rFonts w:ascii="Arial" w:hAnsi="Arial" w:cs="Arial"/>
          <w:sz w:val="24"/>
          <w:szCs w:val="24"/>
        </w:rPr>
      </w:pPr>
      <w:bookmarkStart w:id="13" w:name="_Toc237612501"/>
      <w:r w:rsidRPr="00EF327D">
        <w:rPr>
          <w:rFonts w:ascii="Arial" w:hAnsi="Arial" w:cs="Arial"/>
          <w:sz w:val="24"/>
          <w:szCs w:val="24"/>
        </w:rPr>
        <w:lastRenderedPageBreak/>
        <w:t>3.7 Physical Evidence</w:t>
      </w:r>
      <w:bookmarkEnd w:id="13"/>
    </w:p>
    <w:p w14:paraId="70417F77" w14:textId="2BA9ECCC" w:rsidR="005B579C" w:rsidRPr="00EF327D" w:rsidRDefault="005B579C" w:rsidP="005B579C">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30EE1EF5" wp14:editId="79680832">
            <wp:extent cx="5731510" cy="3780790"/>
            <wp:effectExtent l="0" t="0" r="2540" b="0"/>
            <wp:docPr id="182756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56401" name=""/>
                    <pic:cNvPicPr/>
                  </pic:nvPicPr>
                  <pic:blipFill>
                    <a:blip r:embed="rId14"/>
                    <a:stretch>
                      <a:fillRect/>
                    </a:stretch>
                  </pic:blipFill>
                  <pic:spPr>
                    <a:xfrm>
                      <a:off x="0" y="0"/>
                      <a:ext cx="5731510" cy="3780790"/>
                    </a:xfrm>
                    <a:prstGeom prst="rect">
                      <a:avLst/>
                    </a:prstGeom>
                  </pic:spPr>
                </pic:pic>
              </a:graphicData>
            </a:graphic>
          </wp:inline>
        </w:drawing>
      </w:r>
    </w:p>
    <w:p w14:paraId="0AE52253" w14:textId="762FA68B" w:rsidR="005B579C" w:rsidRPr="00EF327D" w:rsidRDefault="005B579C" w:rsidP="005B579C">
      <w:pPr>
        <w:jc w:val="center"/>
        <w:rPr>
          <w:rFonts w:ascii="Arial" w:hAnsi="Arial" w:cs="Arial"/>
          <w:color w:val="000000" w:themeColor="text1"/>
        </w:rPr>
      </w:pPr>
      <w:r w:rsidRPr="00EF327D">
        <w:rPr>
          <w:rFonts w:ascii="Arial" w:hAnsi="Arial" w:cs="Arial"/>
          <w:noProof/>
          <w:color w:val="000000" w:themeColor="text1"/>
        </w:rPr>
        <w:drawing>
          <wp:inline distT="0" distB="0" distL="0" distR="0" wp14:anchorId="1D150BEC" wp14:editId="4B772617">
            <wp:extent cx="5264421" cy="3791145"/>
            <wp:effectExtent l="0" t="0" r="0" b="0"/>
            <wp:docPr id="1597220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20782" name=""/>
                    <pic:cNvPicPr/>
                  </pic:nvPicPr>
                  <pic:blipFill>
                    <a:blip r:embed="rId15"/>
                    <a:stretch>
                      <a:fillRect/>
                    </a:stretch>
                  </pic:blipFill>
                  <pic:spPr>
                    <a:xfrm>
                      <a:off x="0" y="0"/>
                      <a:ext cx="5264421" cy="3791145"/>
                    </a:xfrm>
                    <a:prstGeom prst="rect">
                      <a:avLst/>
                    </a:prstGeom>
                  </pic:spPr>
                </pic:pic>
              </a:graphicData>
            </a:graphic>
          </wp:inline>
        </w:drawing>
      </w:r>
    </w:p>
    <w:p w14:paraId="10F462A5" w14:textId="166EF908" w:rsidR="005B579C" w:rsidRPr="00EF327D" w:rsidRDefault="005B579C" w:rsidP="005B579C">
      <w:pPr>
        <w:jc w:val="center"/>
        <w:rPr>
          <w:rFonts w:ascii="Arial" w:hAnsi="Arial" w:cs="Arial"/>
          <w:b/>
          <w:bCs/>
          <w:color w:val="000000" w:themeColor="text1"/>
        </w:rPr>
      </w:pPr>
      <w:r w:rsidRPr="00EF327D">
        <w:rPr>
          <w:rFonts w:ascii="Arial" w:hAnsi="Arial" w:cs="Arial"/>
          <w:b/>
          <w:bCs/>
          <w:color w:val="000000" w:themeColor="text1"/>
        </w:rPr>
        <w:t>Fig</w:t>
      </w:r>
      <w:r w:rsidR="00F17270" w:rsidRPr="00EF327D">
        <w:rPr>
          <w:rFonts w:ascii="Arial" w:hAnsi="Arial" w:cs="Arial"/>
          <w:b/>
          <w:bCs/>
          <w:color w:val="000000" w:themeColor="text1"/>
        </w:rPr>
        <w:t>ure</w:t>
      </w:r>
      <w:r w:rsidRPr="00EF327D">
        <w:rPr>
          <w:rFonts w:ascii="Arial" w:hAnsi="Arial" w:cs="Arial"/>
          <w:b/>
          <w:bCs/>
          <w:color w:val="000000" w:themeColor="text1"/>
        </w:rPr>
        <w:t xml:space="preserve"> </w:t>
      </w:r>
      <w:r w:rsidR="00F17270" w:rsidRPr="00EF327D">
        <w:rPr>
          <w:rFonts w:ascii="Arial" w:hAnsi="Arial" w:cs="Arial"/>
          <w:b/>
          <w:bCs/>
          <w:color w:val="000000" w:themeColor="text1"/>
        </w:rPr>
        <w:t>5</w:t>
      </w:r>
      <w:r w:rsidRPr="00EF327D">
        <w:rPr>
          <w:rFonts w:ascii="Arial" w:hAnsi="Arial" w:cs="Arial"/>
          <w:b/>
          <w:bCs/>
          <w:color w:val="000000" w:themeColor="text1"/>
        </w:rPr>
        <w:t>: Re-Use furniture posted at website</w:t>
      </w:r>
    </w:p>
    <w:p w14:paraId="6AA166AF" w14:textId="51C0CF2D" w:rsidR="005B579C" w:rsidRPr="00EF327D" w:rsidRDefault="005B579C" w:rsidP="005B579C">
      <w:pPr>
        <w:jc w:val="center"/>
        <w:rPr>
          <w:rFonts w:ascii="Arial" w:hAnsi="Arial" w:cs="Arial"/>
          <w:color w:val="000000" w:themeColor="text1"/>
        </w:rPr>
      </w:pPr>
      <w:r w:rsidRPr="00EF327D">
        <w:rPr>
          <w:rFonts w:ascii="Arial" w:hAnsi="Arial" w:cs="Arial"/>
          <w:color w:val="000000" w:themeColor="text1"/>
        </w:rPr>
        <w:t>(Source: IKEA, 2025)</w:t>
      </w:r>
    </w:p>
    <w:p w14:paraId="38E4A555" w14:textId="4D8C2217" w:rsidR="005849C3" w:rsidRPr="00EF327D" w:rsidRDefault="005849C3" w:rsidP="005849C3">
      <w:pPr>
        <w:rPr>
          <w:rFonts w:ascii="Arial" w:hAnsi="Arial" w:cs="Arial"/>
          <w:color w:val="000000" w:themeColor="text1"/>
        </w:rPr>
      </w:pPr>
      <w:r w:rsidRPr="00EF327D">
        <w:rPr>
          <w:rFonts w:ascii="Arial" w:hAnsi="Arial" w:cs="Arial"/>
          <w:color w:val="000000" w:themeColor="text1"/>
        </w:rPr>
        <w:lastRenderedPageBreak/>
        <w:t>Physical Evidence strategy that IKEA needs to adopt in order to make sustainability and quality of Circular Living a reality is marketing and retail design. Refurbished furniture in dedicated store zones are supposed to have condition grades, information on refurbishment, benefits of subscriptions and quality assurances</w:t>
      </w:r>
      <w:r w:rsidR="00F17270" w:rsidRPr="00EF327D">
        <w:rPr>
          <w:rFonts w:ascii="Arial" w:hAnsi="Arial" w:cs="Arial"/>
          <w:color w:val="000000" w:themeColor="text1"/>
        </w:rPr>
        <w:t xml:space="preserve"> (Figure 5)</w:t>
      </w:r>
      <w:r w:rsidRPr="00EF327D">
        <w:rPr>
          <w:rFonts w:ascii="Arial" w:hAnsi="Arial" w:cs="Arial"/>
          <w:color w:val="000000" w:themeColor="text1"/>
        </w:rPr>
        <w:t>. The current Re-shop and Re-use operation of IKEA provides the opportunities to review the photos and information about the state of the product online and book the second-hand goods</w:t>
      </w:r>
      <w:r w:rsidR="00E450CA" w:rsidRPr="00EF327D">
        <w:rPr>
          <w:rFonts w:ascii="Arial" w:hAnsi="Arial" w:cs="Arial"/>
          <w:color w:val="000000" w:themeColor="text1"/>
        </w:rPr>
        <w:t xml:space="preserve"> (IKEA, 2026). </w:t>
      </w:r>
      <w:r w:rsidRPr="00EF327D">
        <w:rPr>
          <w:rFonts w:ascii="Arial" w:hAnsi="Arial" w:cs="Arial"/>
          <w:color w:val="000000" w:themeColor="text1"/>
        </w:rPr>
        <w:t>But any visibly used furniture might lead to a perception of lower quality and undermine the design positioning of IKEA. This supposed risk can be minimized by a consistent visual merchandising technique, professional presentation and open quality grading. This remains critical as</w:t>
      </w:r>
      <w:r w:rsidR="008B5870" w:rsidRPr="00EF327D">
        <w:rPr>
          <w:rFonts w:ascii="Arial" w:hAnsi="Arial" w:cs="Arial"/>
          <w:color w:val="000000" w:themeColor="text1"/>
        </w:rPr>
        <w:t>, in 2024,</w:t>
      </w:r>
      <w:r w:rsidRPr="00EF327D">
        <w:rPr>
          <w:rFonts w:ascii="Arial" w:hAnsi="Arial" w:cs="Arial"/>
          <w:color w:val="000000" w:themeColor="text1"/>
        </w:rPr>
        <w:t xml:space="preserve"> </w:t>
      </w:r>
      <w:r w:rsidR="008B5870" w:rsidRPr="00EF327D">
        <w:rPr>
          <w:rFonts w:ascii="Arial" w:hAnsi="Arial" w:cs="Arial"/>
          <w:color w:val="000000" w:themeColor="text1"/>
        </w:rPr>
        <w:t>76% customers perceive</w:t>
      </w:r>
      <w:r w:rsidR="00E450CA" w:rsidRPr="00EF327D">
        <w:rPr>
          <w:rFonts w:ascii="Arial" w:hAnsi="Arial" w:cs="Arial"/>
          <w:color w:val="000000" w:themeColor="text1"/>
        </w:rPr>
        <w:t xml:space="preserve"> </w:t>
      </w:r>
      <w:r w:rsidR="008B5870" w:rsidRPr="00EF327D">
        <w:rPr>
          <w:rFonts w:ascii="Arial" w:hAnsi="Arial" w:cs="Arial"/>
          <w:color w:val="000000" w:themeColor="text1"/>
        </w:rPr>
        <w:t xml:space="preserve">ecofriendly products to be expensive </w:t>
      </w:r>
      <w:r w:rsidR="00E450CA" w:rsidRPr="00EF327D">
        <w:rPr>
          <w:rFonts w:ascii="Arial" w:hAnsi="Arial" w:cs="Arial"/>
          <w:color w:val="000000" w:themeColor="text1"/>
        </w:rPr>
        <w:t>(YouGoV, 202</w:t>
      </w:r>
      <w:r w:rsidR="008B5870" w:rsidRPr="00EF327D">
        <w:rPr>
          <w:rFonts w:ascii="Arial" w:hAnsi="Arial" w:cs="Arial"/>
          <w:color w:val="000000" w:themeColor="text1"/>
        </w:rPr>
        <w:t>4</w:t>
      </w:r>
      <w:r w:rsidR="00E450CA" w:rsidRPr="00EF327D">
        <w:rPr>
          <w:rFonts w:ascii="Arial" w:hAnsi="Arial" w:cs="Arial"/>
          <w:color w:val="000000" w:themeColor="text1"/>
        </w:rPr>
        <w:t>)</w:t>
      </w:r>
      <w:r w:rsidRPr="00EF327D">
        <w:rPr>
          <w:rFonts w:ascii="Arial" w:hAnsi="Arial" w:cs="Arial"/>
          <w:color w:val="000000" w:themeColor="text1"/>
        </w:rPr>
        <w:t>. Therefore, physical evidence will be able to convey both value, quality and circularity in tandem and reinforce trust in the sustainable extension.</w:t>
      </w:r>
    </w:p>
    <w:p w14:paraId="3DE6B93C" w14:textId="1DFF2793" w:rsidR="00706F2E" w:rsidRPr="00EF327D" w:rsidRDefault="005B579C" w:rsidP="00E61E41">
      <w:pPr>
        <w:pStyle w:val="Heading1"/>
      </w:pPr>
      <w:bookmarkStart w:id="14" w:name="_Toc237612502"/>
      <w:r w:rsidRPr="00EF327D">
        <w:t xml:space="preserve">Element 4: </w:t>
      </w:r>
      <w:r w:rsidR="00346D01" w:rsidRPr="00EF327D">
        <w:t>Reflection</w:t>
      </w:r>
      <w:bookmarkEnd w:id="14"/>
    </w:p>
    <w:p w14:paraId="53C7E81C" w14:textId="6CBA96A8" w:rsidR="00346D01" w:rsidRPr="00EF327D" w:rsidRDefault="00192D75" w:rsidP="005849C3">
      <w:pPr>
        <w:rPr>
          <w:rFonts w:ascii="Arial" w:hAnsi="Arial" w:cs="Arial"/>
          <w:color w:val="000000" w:themeColor="text1"/>
        </w:rPr>
      </w:pPr>
      <w:r w:rsidRPr="00EF327D">
        <w:rPr>
          <w:rFonts w:ascii="Arial" w:hAnsi="Arial" w:cs="Arial"/>
          <w:color w:val="000000" w:themeColor="text1"/>
        </w:rPr>
        <w:t xml:space="preserve">The undertaking of this project for developing IKEA Circular Living+ directly challenged my perception related to sustainable marketing. Prior to undertaking this project, I perceived sustainability as the goal that is linked with environment only. By undertaking the project, I recognised that innovation should also generate customer and business value in order to ensure success. </w:t>
      </w:r>
      <w:r w:rsidR="0045391E" w:rsidRPr="00EF327D">
        <w:rPr>
          <w:rFonts w:ascii="Arial" w:hAnsi="Arial" w:cs="Arial"/>
          <w:color w:val="000000" w:themeColor="text1"/>
        </w:rPr>
        <w:t xml:space="preserve">The study of circular consumption along with the IKEA made me question if all my ideas were really viable. </w:t>
      </w:r>
      <w:r w:rsidR="00E450CA" w:rsidRPr="00EF327D">
        <w:rPr>
          <w:rFonts w:ascii="Arial" w:hAnsi="Arial" w:cs="Arial"/>
          <w:color w:val="000000" w:themeColor="text1"/>
        </w:rPr>
        <w:t xml:space="preserve">Wijnen-Meijer et al. </w:t>
      </w:r>
      <w:r w:rsidR="0045391E" w:rsidRPr="00EF327D">
        <w:rPr>
          <w:rFonts w:ascii="Arial" w:hAnsi="Arial" w:cs="Arial"/>
          <w:color w:val="000000" w:themeColor="text1"/>
        </w:rPr>
        <w:t>(</w:t>
      </w:r>
      <w:r w:rsidR="00E450CA" w:rsidRPr="00EF327D">
        <w:rPr>
          <w:rFonts w:ascii="Arial" w:hAnsi="Arial" w:cs="Arial"/>
          <w:color w:val="000000" w:themeColor="text1"/>
        </w:rPr>
        <w:t>2022</w:t>
      </w:r>
      <w:r w:rsidR="0045391E" w:rsidRPr="00EF327D">
        <w:rPr>
          <w:rFonts w:ascii="Arial" w:hAnsi="Arial" w:cs="Arial"/>
          <w:color w:val="000000" w:themeColor="text1"/>
        </w:rPr>
        <w:t>) reflects that experiential learning is based on experience where critical reflection helps develop concepts through active experimentation.</w:t>
      </w:r>
      <w:r w:rsidR="00185B6E" w:rsidRPr="00EF327D">
        <w:rPr>
          <w:rFonts w:ascii="Arial" w:hAnsi="Arial" w:cs="Arial"/>
          <w:color w:val="000000" w:themeColor="text1"/>
        </w:rPr>
        <w:t xml:space="preserve"> The application of this process helped me improve my overall skills set especially in critical-thinking and evaluation of evidences which helped me design sustainable brand innovation.</w:t>
      </w:r>
    </w:p>
    <w:p w14:paraId="388061E2" w14:textId="57009FFE" w:rsidR="003F3466" w:rsidRPr="00EF327D" w:rsidRDefault="003F3466" w:rsidP="005849C3">
      <w:pPr>
        <w:rPr>
          <w:rFonts w:ascii="Arial" w:hAnsi="Arial" w:cs="Arial"/>
          <w:color w:val="000000" w:themeColor="text1"/>
        </w:rPr>
      </w:pPr>
      <w:r w:rsidRPr="00EF327D">
        <w:rPr>
          <w:rFonts w:ascii="Arial" w:hAnsi="Arial" w:cs="Arial"/>
          <w:color w:val="000000" w:themeColor="text1"/>
        </w:rPr>
        <w:t xml:space="preserve">The element 2 required to create STDP while element 3 required creation of 7ps which helped me enhance my skills for managing development and taking critical discussion in future business prospects. This helped me understand the that customer segmentation, targeting and positioning are not an isolated process but are to be collectively applied in order to better understand customer needs and the target customers. </w:t>
      </w:r>
      <w:r w:rsidR="00E450CA" w:rsidRPr="00EF327D">
        <w:rPr>
          <w:rFonts w:ascii="Arial" w:hAnsi="Arial" w:cs="Arial"/>
          <w:color w:val="000000" w:themeColor="text1"/>
        </w:rPr>
        <w:t xml:space="preserve">Theodorakopoulos and Theodorakopoulos </w:t>
      </w:r>
      <w:r w:rsidRPr="00EF327D">
        <w:rPr>
          <w:rFonts w:ascii="Arial" w:hAnsi="Arial" w:cs="Arial"/>
          <w:color w:val="000000" w:themeColor="text1"/>
        </w:rPr>
        <w:t>(</w:t>
      </w:r>
      <w:r w:rsidR="00E450CA" w:rsidRPr="00EF327D">
        <w:rPr>
          <w:rFonts w:ascii="Arial" w:hAnsi="Arial" w:cs="Arial"/>
          <w:color w:val="000000" w:themeColor="text1"/>
        </w:rPr>
        <w:t>2024</w:t>
      </w:r>
      <w:r w:rsidRPr="00EF327D">
        <w:rPr>
          <w:rFonts w:ascii="Arial" w:hAnsi="Arial" w:cs="Arial"/>
          <w:color w:val="000000" w:themeColor="text1"/>
        </w:rPr>
        <w:t xml:space="preserve">) indicated that effective assessment of the customer can help design marketing strategies effectively and deliver products as per their needs. </w:t>
      </w:r>
    </w:p>
    <w:p w14:paraId="3011AFF3" w14:textId="389D1918" w:rsidR="003F3466" w:rsidRPr="00EF327D" w:rsidRDefault="003F3466" w:rsidP="005849C3">
      <w:pPr>
        <w:rPr>
          <w:rFonts w:ascii="Arial" w:hAnsi="Arial" w:cs="Arial"/>
          <w:color w:val="000000" w:themeColor="text1"/>
        </w:rPr>
      </w:pPr>
      <w:r w:rsidRPr="00EF327D">
        <w:rPr>
          <w:rFonts w:ascii="Arial" w:hAnsi="Arial" w:cs="Arial"/>
          <w:color w:val="000000" w:themeColor="text1"/>
        </w:rPr>
        <w:lastRenderedPageBreak/>
        <w:t xml:space="preserve">The delivery of element 1 required development of poster which also helped develop my communication and information-selection and visual presentation skills. The key difficulty </w:t>
      </w:r>
      <w:r w:rsidR="0098276E" w:rsidRPr="00EF327D">
        <w:rPr>
          <w:rFonts w:ascii="Arial" w:hAnsi="Arial" w:cs="Arial"/>
          <w:color w:val="000000" w:themeColor="text1"/>
        </w:rPr>
        <w:t xml:space="preserve">I faced </w:t>
      </w:r>
      <w:r w:rsidRPr="00EF327D">
        <w:rPr>
          <w:rFonts w:ascii="Arial" w:hAnsi="Arial" w:cs="Arial"/>
          <w:color w:val="000000" w:themeColor="text1"/>
        </w:rPr>
        <w:t xml:space="preserve">was </w:t>
      </w:r>
      <w:r w:rsidR="0098276E" w:rsidRPr="00EF327D">
        <w:rPr>
          <w:rFonts w:ascii="Arial" w:hAnsi="Arial" w:cs="Arial"/>
          <w:color w:val="000000" w:themeColor="text1"/>
        </w:rPr>
        <w:t xml:space="preserve">how to conduct the broader </w:t>
      </w:r>
      <w:r w:rsidRPr="00EF327D">
        <w:rPr>
          <w:rFonts w:ascii="Arial" w:hAnsi="Arial" w:cs="Arial"/>
          <w:color w:val="000000" w:themeColor="text1"/>
        </w:rPr>
        <w:t xml:space="preserve">market research </w:t>
      </w:r>
      <w:r w:rsidR="0098276E" w:rsidRPr="00EF327D">
        <w:rPr>
          <w:rFonts w:ascii="Arial" w:hAnsi="Arial" w:cs="Arial"/>
          <w:color w:val="000000" w:themeColor="text1"/>
        </w:rPr>
        <w:t xml:space="preserve">and how to use the information in a concise manner </w:t>
      </w:r>
      <w:r w:rsidRPr="00EF327D">
        <w:rPr>
          <w:rFonts w:ascii="Arial" w:hAnsi="Arial" w:cs="Arial"/>
          <w:color w:val="000000" w:themeColor="text1"/>
        </w:rPr>
        <w:t xml:space="preserve">without </w:t>
      </w:r>
      <w:r w:rsidR="0098276E" w:rsidRPr="00EF327D">
        <w:rPr>
          <w:rFonts w:ascii="Arial" w:hAnsi="Arial" w:cs="Arial"/>
          <w:color w:val="000000" w:themeColor="text1"/>
        </w:rPr>
        <w:t>losing the strategic</w:t>
      </w:r>
      <w:r w:rsidRPr="00EF327D">
        <w:rPr>
          <w:rFonts w:ascii="Arial" w:hAnsi="Arial" w:cs="Arial"/>
          <w:color w:val="000000" w:themeColor="text1"/>
        </w:rPr>
        <w:t xml:space="preserve">. My original emphasis on the inclusion of evidence by the insight that too much information would make the poster less effective in communication. </w:t>
      </w:r>
      <w:r w:rsidR="00E450CA" w:rsidRPr="00EF327D">
        <w:rPr>
          <w:rFonts w:ascii="Arial" w:hAnsi="Arial" w:cs="Arial"/>
          <w:color w:val="000000" w:themeColor="text1"/>
        </w:rPr>
        <w:t>Jones and Hemmestad (2021</w:t>
      </w:r>
      <w:r w:rsidR="0098276E" w:rsidRPr="00EF327D">
        <w:rPr>
          <w:rFonts w:ascii="Arial" w:hAnsi="Arial" w:cs="Arial"/>
          <w:color w:val="000000" w:themeColor="text1"/>
        </w:rPr>
        <w:t xml:space="preserve">) indicated that </w:t>
      </w:r>
      <w:r w:rsidRPr="00EF327D">
        <w:rPr>
          <w:rFonts w:ascii="Arial" w:hAnsi="Arial" w:cs="Arial"/>
          <w:color w:val="000000" w:themeColor="text1"/>
        </w:rPr>
        <w:t xml:space="preserve">practitioners </w:t>
      </w:r>
      <w:r w:rsidR="0098276E" w:rsidRPr="00EF327D">
        <w:rPr>
          <w:rFonts w:ascii="Arial" w:hAnsi="Arial" w:cs="Arial"/>
          <w:color w:val="000000" w:themeColor="text1"/>
        </w:rPr>
        <w:t xml:space="preserve">should </w:t>
      </w:r>
      <w:r w:rsidRPr="00EF327D">
        <w:rPr>
          <w:rFonts w:ascii="Arial" w:hAnsi="Arial" w:cs="Arial"/>
          <w:color w:val="000000" w:themeColor="text1"/>
        </w:rPr>
        <w:t xml:space="preserve">look back at </w:t>
      </w:r>
      <w:r w:rsidR="0098276E" w:rsidRPr="00EF327D">
        <w:rPr>
          <w:rFonts w:ascii="Arial" w:hAnsi="Arial" w:cs="Arial"/>
          <w:color w:val="000000" w:themeColor="text1"/>
        </w:rPr>
        <w:t xml:space="preserve">their own </w:t>
      </w:r>
      <w:r w:rsidRPr="00EF327D">
        <w:rPr>
          <w:rFonts w:ascii="Arial" w:hAnsi="Arial" w:cs="Arial"/>
          <w:color w:val="000000" w:themeColor="text1"/>
        </w:rPr>
        <w:t xml:space="preserve">actions </w:t>
      </w:r>
      <w:r w:rsidR="0098276E" w:rsidRPr="00EF327D">
        <w:rPr>
          <w:rFonts w:ascii="Arial" w:hAnsi="Arial" w:cs="Arial"/>
          <w:color w:val="000000" w:themeColor="text1"/>
        </w:rPr>
        <w:t xml:space="preserve">in a progressive manner </w:t>
      </w:r>
      <w:r w:rsidRPr="00EF327D">
        <w:rPr>
          <w:rFonts w:ascii="Arial" w:hAnsi="Arial" w:cs="Arial"/>
          <w:color w:val="000000" w:themeColor="text1"/>
        </w:rPr>
        <w:t xml:space="preserve">and </w:t>
      </w:r>
      <w:r w:rsidR="0098276E" w:rsidRPr="00EF327D">
        <w:rPr>
          <w:rFonts w:ascii="Arial" w:hAnsi="Arial" w:cs="Arial"/>
          <w:color w:val="000000" w:themeColor="text1"/>
        </w:rPr>
        <w:t>understand the gap which needs to be improved for delivering better performance</w:t>
      </w:r>
      <w:r w:rsidRPr="00EF327D">
        <w:rPr>
          <w:rFonts w:ascii="Arial" w:hAnsi="Arial" w:cs="Arial"/>
          <w:color w:val="000000" w:themeColor="text1"/>
        </w:rPr>
        <w:t>. The process of reflection on the preparation process helped me to prioriti</w:t>
      </w:r>
      <w:r w:rsidR="005C5DDC" w:rsidRPr="00EF327D">
        <w:rPr>
          <w:rFonts w:ascii="Arial" w:hAnsi="Arial" w:cs="Arial"/>
          <w:color w:val="000000" w:themeColor="text1"/>
        </w:rPr>
        <w:t>s</w:t>
      </w:r>
      <w:r w:rsidRPr="00EF327D">
        <w:rPr>
          <w:rFonts w:ascii="Arial" w:hAnsi="Arial" w:cs="Arial"/>
          <w:color w:val="000000" w:themeColor="text1"/>
        </w:rPr>
        <w:t>e information better, communicate complex ideas in a brief form and adapt the content to a particular audience, which consolidated my skills of academic and professional presentation.</w:t>
      </w:r>
    </w:p>
    <w:p w14:paraId="3DC30214" w14:textId="02E06BD6" w:rsidR="00CA028B" w:rsidRPr="00EF327D" w:rsidRDefault="00BC13D2" w:rsidP="00CA028B">
      <w:pPr>
        <w:rPr>
          <w:rFonts w:ascii="Arial" w:hAnsi="Arial" w:cs="Arial"/>
          <w:color w:val="000000" w:themeColor="text1"/>
        </w:rPr>
      </w:pPr>
      <w:r w:rsidRPr="00EF327D">
        <w:rPr>
          <w:rFonts w:ascii="Arial" w:hAnsi="Arial" w:cs="Arial"/>
          <w:color w:val="000000" w:themeColor="text1"/>
        </w:rPr>
        <w:t>Undertaking the project was good for me provided it helped me understand what is qualitative analysis, gain research skills and present primary data in a confident manner. While this is effective, the use of secondary research helped me better justify the idea of Circular Living+. This helped me to establish the success of a business if implemented and launched in an effective manner.</w:t>
      </w:r>
      <w:r w:rsidR="00CA028B" w:rsidRPr="00EF327D">
        <w:rPr>
          <w:rFonts w:ascii="Arial" w:hAnsi="Arial" w:cs="Arial"/>
          <w:color w:val="000000" w:themeColor="text1"/>
        </w:rPr>
        <w:t xml:space="preserve"> To enhance strategic decision-making, I would further bolster my quantitative analysis, primary research and presentation capabilities in future projects. I would undertake surveys and interviews to verify assumptions, competitor benchmarking and financial analysis to evaluate feasibility. Jones and Hemmestad (2021), also indicated that reflection-on-action helps practitioners to analyse the past and enhance future practice. Using this method would ensure that my future marketing plans would be more evidence-based, measurable and professionally defensible, and enhance my trust in strategic recommendations.</w:t>
      </w:r>
    </w:p>
    <w:p w14:paraId="53BDD61E" w14:textId="7D3399C5" w:rsidR="002441DB" w:rsidRPr="00EF327D" w:rsidRDefault="002441DB" w:rsidP="005849C3">
      <w:pPr>
        <w:rPr>
          <w:rFonts w:ascii="Arial" w:hAnsi="Arial" w:cs="Arial"/>
        </w:rPr>
      </w:pPr>
    </w:p>
    <w:p w14:paraId="07C7F07E" w14:textId="1C61D85C" w:rsidR="00E450CA" w:rsidRPr="00EF327D" w:rsidRDefault="00E450CA">
      <w:pPr>
        <w:spacing w:line="278" w:lineRule="auto"/>
        <w:jc w:val="left"/>
        <w:rPr>
          <w:rFonts w:ascii="Arial" w:hAnsi="Arial" w:cs="Arial"/>
        </w:rPr>
      </w:pPr>
      <w:r w:rsidRPr="00EF327D">
        <w:rPr>
          <w:rFonts w:ascii="Arial" w:hAnsi="Arial" w:cs="Arial"/>
        </w:rPr>
        <w:br w:type="page"/>
      </w:r>
    </w:p>
    <w:p w14:paraId="70B5F8F1" w14:textId="02CD48A2" w:rsidR="00E450CA" w:rsidRPr="00EF327D" w:rsidRDefault="00E450CA" w:rsidP="00E61E41">
      <w:pPr>
        <w:pStyle w:val="Heading1"/>
      </w:pPr>
      <w:bookmarkStart w:id="15" w:name="_Toc237612503"/>
      <w:r w:rsidRPr="00EF327D">
        <w:lastRenderedPageBreak/>
        <w:t>References</w:t>
      </w:r>
      <w:bookmarkEnd w:id="15"/>
    </w:p>
    <w:p w14:paraId="7E0808AC" w14:textId="77777777" w:rsidR="001832FB" w:rsidRPr="00EF327D" w:rsidRDefault="001832FB" w:rsidP="00703752">
      <w:pPr>
        <w:rPr>
          <w:rFonts w:ascii="Arial" w:hAnsi="Arial" w:cs="Arial"/>
        </w:rPr>
      </w:pPr>
      <w:r w:rsidRPr="00EF327D">
        <w:rPr>
          <w:rFonts w:ascii="Arial" w:hAnsi="Arial" w:cs="Arial"/>
        </w:rPr>
        <w:t xml:space="preserve">Deloitte (2024) </w:t>
      </w:r>
      <w:r w:rsidRPr="00EF327D">
        <w:rPr>
          <w:rFonts w:ascii="Arial" w:hAnsi="Arial" w:cs="Arial"/>
          <w:i/>
          <w:iCs/>
        </w:rPr>
        <w:t>Cost and sustainability fatigue stifle consumers’ efforts to adopt more sustainable lifestyles | Deloitte UK</w:t>
      </w:r>
      <w:r w:rsidRPr="00EF327D">
        <w:rPr>
          <w:rFonts w:ascii="Arial" w:hAnsi="Arial" w:cs="Arial"/>
        </w:rPr>
        <w:t>. Deloitte United Kingdom. Available at:</w:t>
      </w:r>
      <w:hyperlink r:id="rId16" w:history="1">
        <w:r w:rsidRPr="00EF327D">
          <w:rPr>
            <w:rStyle w:val="Hyperlink"/>
            <w:rFonts w:ascii="Arial" w:hAnsi="Arial" w:cs="Arial"/>
          </w:rPr>
          <w:t xml:space="preserve"> https://www.deloitte.com/uk/en/about/press-room/cost-and-sustainability-fatigue-stifle-consumers-efforts-to-adopt-more-sustainable-lifestyles.html</w:t>
        </w:r>
      </w:hyperlink>
      <w:r w:rsidRPr="00EF327D">
        <w:rPr>
          <w:rFonts w:ascii="Arial" w:hAnsi="Arial" w:cs="Arial"/>
        </w:rPr>
        <w:t xml:space="preserve"> (Accessed: 13 August 2026).</w:t>
      </w:r>
    </w:p>
    <w:p w14:paraId="15419D15" w14:textId="77777777" w:rsidR="001832FB" w:rsidRPr="00EF327D" w:rsidRDefault="001832FB" w:rsidP="00703752">
      <w:pPr>
        <w:rPr>
          <w:rFonts w:ascii="Arial" w:hAnsi="Arial" w:cs="Arial"/>
        </w:rPr>
      </w:pPr>
      <w:r w:rsidRPr="00EF327D">
        <w:rPr>
          <w:rFonts w:ascii="Arial" w:hAnsi="Arial" w:cs="Arial"/>
        </w:rPr>
        <w:t xml:space="preserve">Fenech, C., Walton, B. and Majury, A. (2024) </w:t>
      </w:r>
      <w:r w:rsidRPr="00EF327D">
        <w:rPr>
          <w:rFonts w:ascii="Arial" w:hAnsi="Arial" w:cs="Arial"/>
          <w:i/>
          <w:iCs/>
        </w:rPr>
        <w:t>The sustainable consumer</w:t>
      </w:r>
      <w:r w:rsidRPr="00EF327D">
        <w:rPr>
          <w:rFonts w:ascii="Arial" w:hAnsi="Arial" w:cs="Arial"/>
        </w:rPr>
        <w:t>. Deloitte United Kingdom. Available at:</w:t>
      </w:r>
      <w:hyperlink r:id="rId17" w:history="1">
        <w:r w:rsidRPr="00EF327D">
          <w:rPr>
            <w:rStyle w:val="Hyperlink"/>
            <w:rFonts w:ascii="Arial" w:hAnsi="Arial" w:cs="Arial"/>
          </w:rPr>
          <w:t xml:space="preserve"> https://www.deloitte.com/uk/en/Industries/consumer/perspectives/the-sustainable-consumer.html</w:t>
        </w:r>
      </w:hyperlink>
      <w:r w:rsidRPr="00EF327D">
        <w:rPr>
          <w:rFonts w:ascii="Arial" w:hAnsi="Arial" w:cs="Arial"/>
        </w:rPr>
        <w:t xml:space="preserve"> (Accessed: 13 August 2026).</w:t>
      </w:r>
    </w:p>
    <w:p w14:paraId="1133E601" w14:textId="77777777" w:rsidR="001832FB" w:rsidRPr="00EF327D" w:rsidRDefault="001832FB" w:rsidP="00336DD6">
      <w:pPr>
        <w:rPr>
          <w:rFonts w:ascii="Arial" w:hAnsi="Arial" w:cs="Arial"/>
        </w:rPr>
      </w:pPr>
      <w:r w:rsidRPr="00622B5A">
        <w:rPr>
          <w:rFonts w:ascii="Arial" w:hAnsi="Arial" w:cs="Arial"/>
        </w:rPr>
        <w:t>G</w:t>
      </w:r>
      <w:r w:rsidRPr="00EF327D">
        <w:rPr>
          <w:rFonts w:ascii="Arial" w:hAnsi="Arial" w:cs="Arial"/>
        </w:rPr>
        <w:t>OV.UK</w:t>
      </w:r>
      <w:r w:rsidRPr="00622B5A">
        <w:rPr>
          <w:rFonts w:ascii="Arial" w:hAnsi="Arial" w:cs="Arial"/>
        </w:rPr>
        <w:t xml:space="preserve"> </w:t>
      </w:r>
      <w:r w:rsidRPr="00EF327D">
        <w:rPr>
          <w:rFonts w:ascii="Arial" w:hAnsi="Arial" w:cs="Arial"/>
        </w:rPr>
        <w:t>(</w:t>
      </w:r>
      <w:r w:rsidRPr="00622B5A">
        <w:rPr>
          <w:rFonts w:ascii="Arial" w:hAnsi="Arial" w:cs="Arial"/>
        </w:rPr>
        <w:t>202</w:t>
      </w:r>
      <w:r w:rsidRPr="00EF327D">
        <w:rPr>
          <w:rFonts w:ascii="Arial" w:hAnsi="Arial" w:cs="Arial"/>
        </w:rPr>
        <w:t xml:space="preserve">5). </w:t>
      </w:r>
      <w:r w:rsidRPr="00EF327D">
        <w:rPr>
          <w:rFonts w:ascii="Arial" w:hAnsi="Arial" w:cs="Arial"/>
          <w:i/>
          <w:iCs/>
        </w:rPr>
        <w:t>English Housing Survey.</w:t>
      </w:r>
      <w:r w:rsidRPr="00EF327D">
        <w:rPr>
          <w:rFonts w:ascii="Arial" w:hAnsi="Arial" w:cs="Arial"/>
        </w:rPr>
        <w:t xml:space="preserve"> GOV.UK. Available at:</w:t>
      </w:r>
      <w:hyperlink r:id="rId18" w:history="1">
        <w:r w:rsidRPr="00EF327D">
          <w:rPr>
            <w:rStyle w:val="Hyperlink"/>
            <w:rFonts w:ascii="Arial" w:hAnsi="Arial" w:cs="Arial"/>
          </w:rPr>
          <w:t xml:space="preserve"> https://assets.publishing.service.gov.uk/media/6930595d4bedc0e762303ffa/2024-25_EHS_Headline_Report.pdf</w:t>
        </w:r>
      </w:hyperlink>
      <w:r w:rsidRPr="00EF327D">
        <w:rPr>
          <w:rFonts w:ascii="Arial" w:hAnsi="Arial" w:cs="Arial"/>
        </w:rPr>
        <w:t xml:space="preserve"> (Accessed: 13 August 2026).</w:t>
      </w:r>
    </w:p>
    <w:p w14:paraId="0F0B70C2" w14:textId="77777777" w:rsidR="001832FB" w:rsidRPr="00EF327D" w:rsidRDefault="001832FB" w:rsidP="00703752">
      <w:pPr>
        <w:rPr>
          <w:rFonts w:ascii="Arial" w:hAnsi="Arial" w:cs="Arial"/>
        </w:rPr>
      </w:pPr>
      <w:r w:rsidRPr="00EF327D">
        <w:rPr>
          <w:rFonts w:ascii="Arial" w:hAnsi="Arial" w:cs="Arial"/>
        </w:rPr>
        <w:t xml:space="preserve">Huang, G., Lanzrath, A.I. and Homburg, C. (2026) ‘When do high prices sell better for sustainable products in business-to-business markets? The role of price–sustainability fit’, </w:t>
      </w:r>
      <w:r w:rsidRPr="00EF327D">
        <w:rPr>
          <w:rFonts w:ascii="Arial" w:hAnsi="Arial" w:cs="Arial"/>
          <w:i/>
          <w:iCs/>
        </w:rPr>
        <w:t>Industrial Marketing Management</w:t>
      </w:r>
      <w:r w:rsidRPr="00EF327D">
        <w:rPr>
          <w:rFonts w:ascii="Arial" w:hAnsi="Arial" w:cs="Arial"/>
        </w:rPr>
        <w:t>, 134, pp. 172–185. Available at:</w:t>
      </w:r>
      <w:hyperlink r:id="rId19" w:history="1">
        <w:r w:rsidRPr="00EF327D">
          <w:rPr>
            <w:rStyle w:val="Hyperlink"/>
            <w:rFonts w:ascii="Arial" w:hAnsi="Arial" w:cs="Arial"/>
          </w:rPr>
          <w:t xml:space="preserve"> https://doi.org/10.1016/j.indmarman.2026.02.012</w:t>
        </w:r>
      </w:hyperlink>
    </w:p>
    <w:p w14:paraId="44F18563" w14:textId="77777777" w:rsidR="001832FB" w:rsidRPr="00EF327D" w:rsidRDefault="001832FB" w:rsidP="00703752">
      <w:pPr>
        <w:rPr>
          <w:rFonts w:ascii="Arial" w:hAnsi="Arial" w:cs="Arial"/>
        </w:rPr>
      </w:pPr>
      <w:r w:rsidRPr="00EF327D">
        <w:rPr>
          <w:rFonts w:ascii="Arial" w:hAnsi="Arial" w:cs="Arial"/>
        </w:rPr>
        <w:t xml:space="preserve">IKEA (2025) </w:t>
      </w:r>
      <w:r w:rsidRPr="00EF327D">
        <w:rPr>
          <w:rFonts w:ascii="Arial" w:hAnsi="Arial" w:cs="Arial"/>
          <w:i/>
          <w:iCs/>
        </w:rPr>
        <w:t>Going circular: A future with zero waste</w:t>
      </w:r>
      <w:r w:rsidRPr="00EF327D">
        <w:rPr>
          <w:rFonts w:ascii="Arial" w:hAnsi="Arial" w:cs="Arial"/>
        </w:rPr>
        <w:t>. IKEA. Available at:</w:t>
      </w:r>
      <w:hyperlink r:id="rId20" w:history="1">
        <w:r w:rsidRPr="00EF327D">
          <w:rPr>
            <w:rStyle w:val="Hyperlink"/>
            <w:rFonts w:ascii="Arial" w:hAnsi="Arial" w:cs="Arial"/>
          </w:rPr>
          <w:t xml:space="preserve"> https://www.ikea.com/in/en/this-is-ikea/sustainable-everyday/a-circular-ikea-making-the-things-we-love-last-longer-pub9750dd90/</w:t>
        </w:r>
      </w:hyperlink>
      <w:r w:rsidRPr="00EF327D">
        <w:rPr>
          <w:rFonts w:ascii="Arial" w:hAnsi="Arial" w:cs="Arial"/>
        </w:rPr>
        <w:t xml:space="preserve"> (Accessed: 13 August 2026).</w:t>
      </w:r>
    </w:p>
    <w:p w14:paraId="009708AD" w14:textId="77777777" w:rsidR="001832FB" w:rsidRPr="001832FB" w:rsidRDefault="001832FB" w:rsidP="001832FB">
      <w:pPr>
        <w:rPr>
          <w:rFonts w:ascii="Arial" w:hAnsi="Arial" w:cs="Arial"/>
          <w:lang w:val="en-IN"/>
        </w:rPr>
      </w:pPr>
      <w:r w:rsidRPr="001832FB">
        <w:rPr>
          <w:rFonts w:ascii="Arial" w:hAnsi="Arial" w:cs="Arial"/>
          <w:lang w:val="en-IN"/>
        </w:rPr>
        <w:t xml:space="preserve">IKEA (2026) </w:t>
      </w:r>
      <w:r w:rsidRPr="001832FB">
        <w:rPr>
          <w:rFonts w:ascii="Arial" w:hAnsi="Arial" w:cs="Arial"/>
          <w:i/>
          <w:iCs/>
          <w:lang w:val="en-IN"/>
        </w:rPr>
        <w:t>How we work</w:t>
      </w:r>
      <w:r w:rsidRPr="001832FB">
        <w:rPr>
          <w:rFonts w:ascii="Arial" w:hAnsi="Arial" w:cs="Arial"/>
          <w:lang w:val="en-IN"/>
        </w:rPr>
        <w:t xml:space="preserve">. Available at: </w:t>
      </w:r>
      <w:hyperlink r:id="rId21" w:history="1">
        <w:r w:rsidRPr="001832FB">
          <w:rPr>
            <w:rStyle w:val="Hyperlink"/>
            <w:rFonts w:ascii="Arial" w:hAnsi="Arial" w:cs="Arial"/>
            <w:lang w:val="en-IN"/>
          </w:rPr>
          <w:t>https://www.ikea.com/global/en/our-business/how-we-work/</w:t>
        </w:r>
      </w:hyperlink>
      <w:r w:rsidRPr="001832FB">
        <w:rPr>
          <w:rFonts w:ascii="Arial" w:hAnsi="Arial" w:cs="Arial"/>
          <w:lang w:val="en-IN"/>
        </w:rPr>
        <w:t xml:space="preserve"> (Accessed: July 29, 2026). </w:t>
      </w:r>
    </w:p>
    <w:p w14:paraId="3D3482EE" w14:textId="77777777" w:rsidR="001832FB" w:rsidRPr="00EF327D" w:rsidRDefault="001832FB" w:rsidP="00703752">
      <w:pPr>
        <w:rPr>
          <w:rFonts w:ascii="Arial" w:hAnsi="Arial" w:cs="Arial"/>
        </w:rPr>
      </w:pPr>
      <w:r w:rsidRPr="00EF327D">
        <w:rPr>
          <w:rFonts w:ascii="Arial" w:hAnsi="Arial" w:cs="Arial"/>
        </w:rPr>
        <w:t xml:space="preserve">IKEA (2026) </w:t>
      </w:r>
      <w:r w:rsidRPr="00EF327D">
        <w:rPr>
          <w:rFonts w:ascii="Arial" w:hAnsi="Arial" w:cs="Arial"/>
          <w:i/>
          <w:iCs/>
        </w:rPr>
        <w:t>Transitioning towards a circular business</w:t>
      </w:r>
      <w:r w:rsidRPr="00EF327D">
        <w:rPr>
          <w:rFonts w:ascii="Arial" w:hAnsi="Arial" w:cs="Arial"/>
        </w:rPr>
        <w:t>. IKEA. Available at:</w:t>
      </w:r>
      <w:hyperlink r:id="rId22" w:history="1">
        <w:r w:rsidRPr="00EF327D">
          <w:rPr>
            <w:rStyle w:val="Hyperlink"/>
            <w:rFonts w:ascii="Arial" w:hAnsi="Arial" w:cs="Arial"/>
          </w:rPr>
          <w:t xml:space="preserve"> https://www.ikea.com/mx/en/this-is-ikea/climate-environment/transitioning-towards-a-circular-business-pub40dc71c0/</w:t>
        </w:r>
      </w:hyperlink>
      <w:r w:rsidRPr="00EF327D">
        <w:rPr>
          <w:rFonts w:ascii="Arial" w:hAnsi="Arial" w:cs="Arial"/>
        </w:rPr>
        <w:t xml:space="preserve"> (Accessed: 13 August 2026).</w:t>
      </w:r>
    </w:p>
    <w:p w14:paraId="228FB324" w14:textId="77777777" w:rsidR="001832FB" w:rsidRPr="00EF327D" w:rsidRDefault="001832FB" w:rsidP="00703752">
      <w:pPr>
        <w:rPr>
          <w:rFonts w:ascii="Arial" w:hAnsi="Arial" w:cs="Arial"/>
        </w:rPr>
      </w:pPr>
      <w:r w:rsidRPr="00EF327D">
        <w:rPr>
          <w:rFonts w:ascii="Arial" w:hAnsi="Arial" w:cs="Arial"/>
        </w:rPr>
        <w:t xml:space="preserve">Jones, R.L. and Hemmestad, L.B. (2021) ‘Reclaiming the “competent” practitioner: Furthering the case for the practically wise coach’, </w:t>
      </w:r>
      <w:r w:rsidRPr="00EF327D">
        <w:rPr>
          <w:rFonts w:ascii="Arial" w:hAnsi="Arial" w:cs="Arial"/>
          <w:i/>
          <w:iCs/>
        </w:rPr>
        <w:t>Sports Coaching Review</w:t>
      </w:r>
      <w:r w:rsidRPr="00EF327D">
        <w:rPr>
          <w:rFonts w:ascii="Arial" w:hAnsi="Arial" w:cs="Arial"/>
        </w:rPr>
        <w:t>, 10(1), pp. 1–19. Available at:</w:t>
      </w:r>
      <w:hyperlink r:id="rId23" w:history="1">
        <w:r w:rsidRPr="00EF327D">
          <w:rPr>
            <w:rStyle w:val="Hyperlink"/>
            <w:rFonts w:ascii="Arial" w:hAnsi="Arial" w:cs="Arial"/>
          </w:rPr>
          <w:t xml:space="preserve"> https://www.academia.edu/download/97035519/275551097.pdf</w:t>
        </w:r>
      </w:hyperlink>
      <w:r w:rsidRPr="00EF327D">
        <w:rPr>
          <w:rFonts w:ascii="Arial" w:hAnsi="Arial" w:cs="Arial"/>
        </w:rPr>
        <w:t xml:space="preserve"> (Accessed: 13 August 2026).</w:t>
      </w:r>
    </w:p>
    <w:p w14:paraId="7DD82060" w14:textId="77777777" w:rsidR="001832FB" w:rsidRPr="00EF327D" w:rsidRDefault="001832FB" w:rsidP="00703752">
      <w:pPr>
        <w:rPr>
          <w:rFonts w:ascii="Arial" w:hAnsi="Arial" w:cs="Arial"/>
        </w:rPr>
      </w:pPr>
      <w:r w:rsidRPr="00EF327D">
        <w:rPr>
          <w:rFonts w:ascii="Arial" w:hAnsi="Arial" w:cs="Arial"/>
        </w:rPr>
        <w:lastRenderedPageBreak/>
        <w:t xml:space="preserve">Massi, M., Piancatelli, C. and Vocino, A. (2023) ‘Authentic omnichannel: Providing consumers with a seamless brand experience through authenticity’, </w:t>
      </w:r>
      <w:r w:rsidRPr="00EF327D">
        <w:rPr>
          <w:rFonts w:ascii="Arial" w:hAnsi="Arial" w:cs="Arial"/>
          <w:i/>
          <w:iCs/>
        </w:rPr>
        <w:t>Psychology &amp; Marketing</w:t>
      </w:r>
      <w:r w:rsidRPr="00EF327D">
        <w:rPr>
          <w:rFonts w:ascii="Arial" w:hAnsi="Arial" w:cs="Arial"/>
        </w:rPr>
        <w:t>, 40(7). Available at:</w:t>
      </w:r>
      <w:hyperlink r:id="rId24" w:history="1">
        <w:r w:rsidRPr="00EF327D">
          <w:rPr>
            <w:rStyle w:val="Hyperlink"/>
            <w:rFonts w:ascii="Arial" w:hAnsi="Arial" w:cs="Arial"/>
          </w:rPr>
          <w:t xml:space="preserve"> https://doi.org/10.1002/mar.21815</w:t>
        </w:r>
      </w:hyperlink>
    </w:p>
    <w:p w14:paraId="675EFAD5" w14:textId="77777777" w:rsidR="001832FB" w:rsidRPr="00EF327D" w:rsidRDefault="001832FB" w:rsidP="00703752">
      <w:pPr>
        <w:rPr>
          <w:rFonts w:ascii="Arial" w:hAnsi="Arial" w:cs="Arial"/>
        </w:rPr>
      </w:pPr>
      <w:r w:rsidRPr="00EF327D">
        <w:rPr>
          <w:rFonts w:ascii="Arial" w:hAnsi="Arial" w:cs="Arial"/>
        </w:rPr>
        <w:t xml:space="preserve">McQuerrey, L. (2026) </w:t>
      </w:r>
      <w:r w:rsidRPr="00EF327D">
        <w:rPr>
          <w:rFonts w:ascii="Arial" w:hAnsi="Arial" w:cs="Arial"/>
          <w:i/>
          <w:iCs/>
        </w:rPr>
        <w:t>The role of a customer service executive</w:t>
      </w:r>
      <w:r w:rsidRPr="00EF327D">
        <w:rPr>
          <w:rFonts w:ascii="Arial" w:hAnsi="Arial" w:cs="Arial"/>
        </w:rPr>
        <w:t>. Chron. Available at:</w:t>
      </w:r>
      <w:hyperlink r:id="rId25" w:history="1">
        <w:r w:rsidRPr="00EF327D">
          <w:rPr>
            <w:rStyle w:val="Hyperlink"/>
            <w:rFonts w:ascii="Arial" w:hAnsi="Arial" w:cs="Arial"/>
          </w:rPr>
          <w:t xml:space="preserve"> https://work.chron.com/role-customer-service-executive-11160.html</w:t>
        </w:r>
      </w:hyperlink>
      <w:r w:rsidRPr="00EF327D">
        <w:rPr>
          <w:rFonts w:ascii="Arial" w:hAnsi="Arial" w:cs="Arial"/>
        </w:rPr>
        <w:t xml:space="preserve"> (Accessed: 13 August 2026).</w:t>
      </w:r>
    </w:p>
    <w:p w14:paraId="41C9B63D" w14:textId="77777777" w:rsidR="001832FB" w:rsidRPr="00EF327D" w:rsidRDefault="001832FB" w:rsidP="00703752">
      <w:pPr>
        <w:rPr>
          <w:rFonts w:ascii="Arial" w:hAnsi="Arial" w:cs="Arial"/>
        </w:rPr>
      </w:pPr>
      <w:r w:rsidRPr="00EF327D">
        <w:rPr>
          <w:rFonts w:ascii="Arial" w:hAnsi="Arial" w:cs="Arial"/>
        </w:rPr>
        <w:t xml:space="preserve">Office for Students (2021) </w:t>
      </w:r>
      <w:r w:rsidRPr="00EF327D">
        <w:rPr>
          <w:rFonts w:ascii="Arial" w:hAnsi="Arial" w:cs="Arial"/>
          <w:i/>
          <w:iCs/>
        </w:rPr>
        <w:t>Place matters: Inequality, employment and the role of higher education</w:t>
      </w:r>
      <w:r w:rsidRPr="00EF327D">
        <w:rPr>
          <w:rFonts w:ascii="Arial" w:hAnsi="Arial" w:cs="Arial"/>
        </w:rPr>
        <w:t>. Available at:</w:t>
      </w:r>
      <w:hyperlink r:id="rId26" w:history="1">
        <w:r w:rsidRPr="00EF327D">
          <w:rPr>
            <w:rStyle w:val="Hyperlink"/>
            <w:rFonts w:ascii="Arial" w:hAnsi="Arial" w:cs="Arial"/>
          </w:rPr>
          <w:t xml:space="preserve"> https://www.officeforstudents.org.uk/publications/place-matters-inequality-employment-and-the-role-of-higher-education/</w:t>
        </w:r>
      </w:hyperlink>
      <w:r w:rsidRPr="00EF327D">
        <w:rPr>
          <w:rFonts w:ascii="Arial" w:hAnsi="Arial" w:cs="Arial"/>
        </w:rPr>
        <w:t xml:space="preserve"> (Accessed: 13 August 2026).</w:t>
      </w:r>
    </w:p>
    <w:p w14:paraId="72611B79" w14:textId="77777777" w:rsidR="001832FB" w:rsidRPr="00EF327D" w:rsidRDefault="001832FB" w:rsidP="00703752">
      <w:pPr>
        <w:rPr>
          <w:rFonts w:ascii="Arial" w:hAnsi="Arial" w:cs="Arial"/>
        </w:rPr>
      </w:pPr>
      <w:r w:rsidRPr="00EF327D">
        <w:rPr>
          <w:rFonts w:ascii="Arial" w:hAnsi="Arial" w:cs="Arial"/>
        </w:rPr>
        <w:t xml:space="preserve">PwC (2025) </w:t>
      </w:r>
      <w:r w:rsidRPr="00EF327D">
        <w:rPr>
          <w:rFonts w:ascii="Arial" w:hAnsi="Arial" w:cs="Arial"/>
          <w:i/>
          <w:iCs/>
        </w:rPr>
        <w:t>Balancing relevance and returns in a profitability paradox</w:t>
      </w:r>
      <w:r w:rsidRPr="00EF327D">
        <w:rPr>
          <w:rFonts w:ascii="Arial" w:hAnsi="Arial" w:cs="Arial"/>
        </w:rPr>
        <w:t>. PwC. Available at:</w:t>
      </w:r>
      <w:hyperlink r:id="rId27" w:anchor="accordion-88e808e410-item-cf18e9b69a" w:history="1">
        <w:r w:rsidRPr="00EF327D">
          <w:rPr>
            <w:rStyle w:val="Hyperlink"/>
            <w:rFonts w:ascii="Arial" w:hAnsi="Arial" w:cs="Arial"/>
          </w:rPr>
          <w:t xml:space="preserve"> https://www.pwc.com/gx/en/1/issues/reinvention/asset-wealth-management-revolution.html#accordion-88e808e410-item-cf18e9b69a</w:t>
        </w:r>
      </w:hyperlink>
      <w:r w:rsidRPr="00EF327D">
        <w:rPr>
          <w:rFonts w:ascii="Arial" w:hAnsi="Arial" w:cs="Arial"/>
        </w:rPr>
        <w:t xml:space="preserve"> (Accessed: 13 August 2026).</w:t>
      </w:r>
    </w:p>
    <w:p w14:paraId="1267DE95" w14:textId="77777777" w:rsidR="001832FB" w:rsidRPr="00EF327D" w:rsidRDefault="001832FB" w:rsidP="00703752">
      <w:pPr>
        <w:rPr>
          <w:rFonts w:ascii="Arial" w:hAnsi="Arial" w:cs="Arial"/>
        </w:rPr>
      </w:pPr>
      <w:r w:rsidRPr="00EF327D">
        <w:rPr>
          <w:rFonts w:ascii="Arial" w:hAnsi="Arial" w:cs="Arial"/>
        </w:rPr>
        <w:t xml:space="preserve">Sadri, I. and Aprianingsih, A. (2025) ‘Strategic marketing approaches leveraging the 7P marketing mix framework to overcome sales challenges and enhance purchase intention for IELTS programs at Athena English Course’, </w:t>
      </w:r>
      <w:r w:rsidRPr="00EF327D">
        <w:rPr>
          <w:rFonts w:ascii="Arial" w:hAnsi="Arial" w:cs="Arial"/>
          <w:i/>
          <w:iCs/>
        </w:rPr>
        <w:t>Journal of Research in Social Science and Humanities</w:t>
      </w:r>
      <w:r w:rsidRPr="00EF327D">
        <w:rPr>
          <w:rFonts w:ascii="Arial" w:hAnsi="Arial" w:cs="Arial"/>
        </w:rPr>
        <w:t>, 5(1), pp. 120–125. Available at:</w:t>
      </w:r>
      <w:hyperlink r:id="rId28" w:history="1">
        <w:r w:rsidRPr="00EF327D">
          <w:rPr>
            <w:rStyle w:val="Hyperlink"/>
            <w:rFonts w:ascii="Arial" w:hAnsi="Arial" w:cs="Arial"/>
          </w:rPr>
          <w:t xml:space="preserve"> https://digilib.itb.ac.id/assets/files/2025/MjAyNV9UU19QUF9pbG1hbiBTYWRyaS0yOTEyMzA4MV9GdWxsIFRleHQucGRm1.pdf</w:t>
        </w:r>
      </w:hyperlink>
      <w:r w:rsidRPr="00EF327D">
        <w:rPr>
          <w:rFonts w:ascii="Arial" w:hAnsi="Arial" w:cs="Arial"/>
        </w:rPr>
        <w:t xml:space="preserve"> (Accessed: 13 August 2026).</w:t>
      </w:r>
    </w:p>
    <w:p w14:paraId="35D2A3B7" w14:textId="77777777" w:rsidR="001832FB" w:rsidRPr="00EF327D" w:rsidRDefault="001832FB" w:rsidP="00703752">
      <w:pPr>
        <w:rPr>
          <w:rFonts w:ascii="Arial" w:hAnsi="Arial" w:cs="Arial"/>
        </w:rPr>
      </w:pPr>
      <w:r w:rsidRPr="00EF327D">
        <w:rPr>
          <w:rFonts w:ascii="Arial" w:hAnsi="Arial" w:cs="Arial"/>
        </w:rPr>
        <w:t xml:space="preserve">Savills (2026) </w:t>
      </w:r>
      <w:r w:rsidRPr="00EF327D">
        <w:rPr>
          <w:rFonts w:ascii="Arial" w:hAnsi="Arial" w:cs="Arial"/>
          <w:i/>
          <w:iCs/>
        </w:rPr>
        <w:t>Spotlight: UK co-living 2025</w:t>
      </w:r>
      <w:r w:rsidRPr="00EF327D">
        <w:rPr>
          <w:rFonts w:ascii="Arial" w:hAnsi="Arial" w:cs="Arial"/>
        </w:rPr>
        <w:t>. Savills. Available at:</w:t>
      </w:r>
      <w:hyperlink r:id="rId29" w:history="1">
        <w:r w:rsidRPr="00EF327D">
          <w:rPr>
            <w:rStyle w:val="Hyperlink"/>
            <w:rFonts w:ascii="Arial" w:hAnsi="Arial" w:cs="Arial"/>
          </w:rPr>
          <w:t xml:space="preserve"> https://www.savills.com/research_articles/255800/372282-0</w:t>
        </w:r>
      </w:hyperlink>
      <w:r w:rsidRPr="00EF327D">
        <w:rPr>
          <w:rFonts w:ascii="Arial" w:hAnsi="Arial" w:cs="Arial"/>
        </w:rPr>
        <w:t xml:space="preserve"> (Accessed: 13 August 2026).</w:t>
      </w:r>
    </w:p>
    <w:p w14:paraId="6CDF760D" w14:textId="77777777" w:rsidR="001832FB" w:rsidRPr="00EF327D" w:rsidRDefault="001832FB" w:rsidP="00703752">
      <w:pPr>
        <w:rPr>
          <w:rFonts w:ascii="Arial" w:hAnsi="Arial" w:cs="Arial"/>
        </w:rPr>
      </w:pPr>
      <w:r w:rsidRPr="00EF327D">
        <w:rPr>
          <w:rFonts w:ascii="Arial" w:hAnsi="Arial" w:cs="Arial"/>
        </w:rPr>
        <w:t xml:space="preserve">Svensson-Hoglund, S., Sirgy, M.J., Russell, J.D., Little, V.J., Ganglmair-Wooliscroft, A., Webb, D., Wooliscroft, B., Ekici, A. and Yu, G.B. (2026) ‘The product user’s experience of circular economy behaviors: An interdisciplinary Delphi-validated model’, </w:t>
      </w:r>
      <w:r w:rsidRPr="00EF327D">
        <w:rPr>
          <w:rFonts w:ascii="Arial" w:hAnsi="Arial" w:cs="Arial"/>
          <w:i/>
          <w:iCs/>
        </w:rPr>
        <w:t>Circular Economy and Sustainability</w:t>
      </w:r>
      <w:r w:rsidRPr="00EF327D">
        <w:rPr>
          <w:rFonts w:ascii="Arial" w:hAnsi="Arial" w:cs="Arial"/>
        </w:rPr>
        <w:t>, 6(2). Available at:</w:t>
      </w:r>
      <w:hyperlink r:id="rId30" w:history="1">
        <w:r w:rsidRPr="00EF327D">
          <w:rPr>
            <w:rStyle w:val="Hyperlink"/>
            <w:rFonts w:ascii="Arial" w:hAnsi="Arial" w:cs="Arial"/>
          </w:rPr>
          <w:t xml:space="preserve"> https://doi.org/10.1007/s43615-026-00894-3</w:t>
        </w:r>
      </w:hyperlink>
    </w:p>
    <w:p w14:paraId="53C0B101" w14:textId="77777777" w:rsidR="001832FB" w:rsidRPr="00EF327D" w:rsidRDefault="001832FB" w:rsidP="00703752">
      <w:pPr>
        <w:rPr>
          <w:rFonts w:ascii="Arial" w:hAnsi="Arial" w:cs="Arial"/>
        </w:rPr>
      </w:pPr>
      <w:r w:rsidRPr="00EF327D">
        <w:rPr>
          <w:rFonts w:ascii="Arial" w:hAnsi="Arial" w:cs="Arial"/>
        </w:rPr>
        <w:t xml:space="preserve">Theodorakopoulos, L. and Theodoropoulou, A. (2024) ‘Leveraging big data analytics for understanding consumer behavior in digital marketing: A systematic review’, </w:t>
      </w:r>
      <w:r w:rsidRPr="00EF327D">
        <w:rPr>
          <w:rFonts w:ascii="Arial" w:hAnsi="Arial" w:cs="Arial"/>
          <w:i/>
          <w:iCs/>
        </w:rPr>
        <w:t>Human Behavior and Emerging Technologies</w:t>
      </w:r>
      <w:r w:rsidRPr="00EF327D">
        <w:rPr>
          <w:rFonts w:ascii="Arial" w:hAnsi="Arial" w:cs="Arial"/>
        </w:rPr>
        <w:t>, 2024(1), pp. 1–21. Available at:</w:t>
      </w:r>
      <w:hyperlink r:id="rId31" w:history="1">
        <w:r w:rsidRPr="00EF327D">
          <w:rPr>
            <w:rStyle w:val="Hyperlink"/>
            <w:rFonts w:ascii="Arial" w:hAnsi="Arial" w:cs="Arial"/>
          </w:rPr>
          <w:t xml:space="preserve"> </w:t>
        </w:r>
        <w:r w:rsidRPr="00EF327D">
          <w:rPr>
            <w:rStyle w:val="Hyperlink"/>
            <w:rFonts w:ascii="Arial" w:hAnsi="Arial" w:cs="Arial"/>
          </w:rPr>
          <w:lastRenderedPageBreak/>
          <w:t>https://onlinelibrary.wiley.com/doi/pdf/10.1155/2024/3641502</w:t>
        </w:r>
      </w:hyperlink>
      <w:r w:rsidRPr="00EF327D">
        <w:rPr>
          <w:rFonts w:ascii="Arial" w:hAnsi="Arial" w:cs="Arial"/>
        </w:rPr>
        <w:t xml:space="preserve"> (Accessed: 13 August 2026).</w:t>
      </w:r>
    </w:p>
    <w:p w14:paraId="22535CF0" w14:textId="77777777" w:rsidR="001832FB" w:rsidRPr="001832FB" w:rsidRDefault="001832FB" w:rsidP="001832FB">
      <w:pPr>
        <w:rPr>
          <w:rFonts w:ascii="Arial" w:hAnsi="Arial" w:cs="Arial"/>
          <w:i/>
          <w:iCs/>
          <w:lang w:val="en-IN"/>
        </w:rPr>
      </w:pPr>
      <w:r w:rsidRPr="001832FB">
        <w:rPr>
          <w:rFonts w:ascii="Arial" w:hAnsi="Arial" w:cs="Arial"/>
          <w:lang w:val="en-IN"/>
        </w:rPr>
        <w:t xml:space="preserve">United Nations (n.d.) </w:t>
      </w:r>
      <w:r w:rsidRPr="001832FB">
        <w:rPr>
          <w:rFonts w:ascii="Arial" w:hAnsi="Arial" w:cs="Arial"/>
          <w:i/>
          <w:iCs/>
          <w:lang w:val="en-IN"/>
        </w:rPr>
        <w:t>Ensure sustainable consumption and production patterns</w:t>
      </w:r>
      <w:r w:rsidRPr="001832FB">
        <w:rPr>
          <w:rFonts w:ascii="Arial" w:hAnsi="Arial" w:cs="Arial"/>
          <w:lang w:val="en-IN"/>
        </w:rPr>
        <w:t xml:space="preserve">. Available at: </w:t>
      </w:r>
      <w:hyperlink r:id="rId32" w:history="1">
        <w:r w:rsidRPr="001832FB">
          <w:rPr>
            <w:rStyle w:val="Hyperlink"/>
            <w:rFonts w:ascii="Arial" w:hAnsi="Arial" w:cs="Arial"/>
            <w:lang w:val="en-IN"/>
          </w:rPr>
          <w:t>https://sdgs.un.org/goals/goal12</w:t>
        </w:r>
      </w:hyperlink>
      <w:r w:rsidRPr="001832FB">
        <w:rPr>
          <w:rFonts w:ascii="Arial" w:hAnsi="Arial" w:cs="Arial"/>
          <w:lang w:val="en-IN"/>
        </w:rPr>
        <w:t xml:space="preserve"> (Accessed: July 29, 2026). </w:t>
      </w:r>
    </w:p>
    <w:p w14:paraId="73213A67" w14:textId="77777777" w:rsidR="001832FB" w:rsidRPr="00EF327D" w:rsidRDefault="001832FB" w:rsidP="00703752">
      <w:pPr>
        <w:rPr>
          <w:rFonts w:ascii="Arial" w:hAnsi="Arial" w:cs="Arial"/>
        </w:rPr>
      </w:pPr>
      <w:r w:rsidRPr="00EF327D">
        <w:rPr>
          <w:rFonts w:ascii="Arial" w:hAnsi="Arial" w:cs="Arial"/>
        </w:rPr>
        <w:t xml:space="preserve">Vezzoli, C., Ceschin, F. and Diehl, J.C. (2021) ‘Product-service systems development for sustainability: A new understanding’, </w:t>
      </w:r>
      <w:r w:rsidRPr="00EF327D">
        <w:rPr>
          <w:rFonts w:ascii="Arial" w:hAnsi="Arial" w:cs="Arial"/>
          <w:i/>
          <w:iCs/>
        </w:rPr>
        <w:t>Lecture Notes in Mechanical Engineering</w:t>
      </w:r>
      <w:r w:rsidRPr="00EF327D">
        <w:rPr>
          <w:rFonts w:ascii="Arial" w:hAnsi="Arial" w:cs="Arial"/>
        </w:rPr>
        <w:t>, pp. 1–21. Available at:</w:t>
      </w:r>
      <w:hyperlink r:id="rId33" w:history="1">
        <w:r w:rsidRPr="00EF327D">
          <w:rPr>
            <w:rStyle w:val="Hyperlink"/>
            <w:rFonts w:ascii="Arial" w:hAnsi="Arial" w:cs="Arial"/>
          </w:rPr>
          <w:t xml:space="preserve"> https://doi.org/10.1007/978-3-030-66300-1_1</w:t>
        </w:r>
      </w:hyperlink>
    </w:p>
    <w:p w14:paraId="5CCA6BBD" w14:textId="77777777" w:rsidR="001832FB" w:rsidRPr="00EF327D" w:rsidRDefault="001832FB" w:rsidP="00703752">
      <w:pPr>
        <w:rPr>
          <w:rFonts w:ascii="Arial" w:hAnsi="Arial" w:cs="Arial"/>
        </w:rPr>
      </w:pPr>
      <w:r w:rsidRPr="00EF327D">
        <w:rPr>
          <w:rFonts w:ascii="Arial" w:hAnsi="Arial" w:cs="Arial"/>
        </w:rPr>
        <w:t xml:space="preserve">Visa (2025) </w:t>
      </w:r>
      <w:r w:rsidRPr="00EF327D">
        <w:rPr>
          <w:rFonts w:ascii="Arial" w:hAnsi="Arial" w:cs="Arial"/>
          <w:i/>
          <w:iCs/>
        </w:rPr>
        <w:t>Gen Z boosts subscription economy, tripling spend from older generations</w:t>
      </w:r>
      <w:r w:rsidRPr="00EF327D">
        <w:rPr>
          <w:rFonts w:ascii="Arial" w:hAnsi="Arial" w:cs="Arial"/>
        </w:rPr>
        <w:t xml:space="preserve">. Visa. Available at: </w:t>
      </w:r>
      <w:hyperlink r:id="rId34" w:history="1">
        <w:r w:rsidRPr="00EF327D">
          <w:rPr>
            <w:rStyle w:val="Hyperlink"/>
            <w:rFonts w:ascii="Arial" w:hAnsi="Arial" w:cs="Arial"/>
          </w:rPr>
          <w:t>https://www.visa.co.uk/about-visa/newsroom/press-releases.3377128.html</w:t>
        </w:r>
      </w:hyperlink>
      <w:r w:rsidRPr="00EF327D">
        <w:rPr>
          <w:rFonts w:ascii="Arial" w:hAnsi="Arial" w:cs="Arial"/>
        </w:rPr>
        <w:t xml:space="preserve"> (Accessed: 13 August 2026).</w:t>
      </w:r>
    </w:p>
    <w:p w14:paraId="5C942845" w14:textId="77777777" w:rsidR="001832FB" w:rsidRPr="00EF327D" w:rsidRDefault="001832FB" w:rsidP="00703752">
      <w:pPr>
        <w:rPr>
          <w:rFonts w:ascii="Arial" w:hAnsi="Arial" w:cs="Arial"/>
        </w:rPr>
      </w:pPr>
      <w:r w:rsidRPr="00EF327D">
        <w:rPr>
          <w:rFonts w:ascii="Arial" w:hAnsi="Arial" w:cs="Arial"/>
        </w:rPr>
        <w:t xml:space="preserve">Wijnen-Meijer, M., Brandhuber, T., Schneider, A. and Berberat, P.O. (2022) ‘Implementing Kolb’s experiential learning cycle by linking real experience, case-based discussion and simulation’, </w:t>
      </w:r>
      <w:r w:rsidRPr="00EF327D">
        <w:rPr>
          <w:rFonts w:ascii="Arial" w:hAnsi="Arial" w:cs="Arial"/>
          <w:i/>
          <w:iCs/>
        </w:rPr>
        <w:t>Journal of Medical Education and Curricular Development</w:t>
      </w:r>
      <w:r w:rsidRPr="00EF327D">
        <w:rPr>
          <w:rFonts w:ascii="Arial" w:hAnsi="Arial" w:cs="Arial"/>
        </w:rPr>
        <w:t>, 9, pp. 1–12. Available at:</w:t>
      </w:r>
      <w:hyperlink r:id="rId35" w:history="1">
        <w:r w:rsidRPr="00EF327D">
          <w:rPr>
            <w:rStyle w:val="Hyperlink"/>
            <w:rFonts w:ascii="Arial" w:hAnsi="Arial" w:cs="Arial"/>
          </w:rPr>
          <w:t xml:space="preserve"> https://journals.sagepub.com/doi/pdf/10.1177/23821205221091511</w:t>
        </w:r>
      </w:hyperlink>
      <w:r w:rsidRPr="00EF327D">
        <w:rPr>
          <w:rFonts w:ascii="Arial" w:hAnsi="Arial" w:cs="Arial"/>
        </w:rPr>
        <w:t xml:space="preserve"> (Accessed: 13 August 2026).</w:t>
      </w:r>
    </w:p>
    <w:p w14:paraId="3AD9CD83" w14:textId="77777777" w:rsidR="001832FB" w:rsidRDefault="001832FB" w:rsidP="00703752">
      <w:pPr>
        <w:rPr>
          <w:rFonts w:ascii="Arial" w:hAnsi="Arial" w:cs="Arial"/>
        </w:rPr>
      </w:pPr>
      <w:r w:rsidRPr="00EF327D">
        <w:rPr>
          <w:rFonts w:ascii="Arial" w:hAnsi="Arial" w:cs="Arial"/>
        </w:rPr>
        <w:t xml:space="preserve">YouGov (2024) </w:t>
      </w:r>
      <w:r w:rsidRPr="00EF327D">
        <w:rPr>
          <w:rFonts w:ascii="Arial" w:hAnsi="Arial" w:cs="Arial"/>
          <w:i/>
          <w:iCs/>
        </w:rPr>
        <w:t>British attitudes towards sustainability in 2024: Key insights from YouGov data</w:t>
      </w:r>
      <w:r w:rsidRPr="00EF327D">
        <w:rPr>
          <w:rFonts w:ascii="Arial" w:hAnsi="Arial" w:cs="Arial"/>
        </w:rPr>
        <w:t>. YouGov. Available at:</w:t>
      </w:r>
      <w:hyperlink r:id="rId36" w:history="1">
        <w:r w:rsidRPr="00EF327D">
          <w:rPr>
            <w:rStyle w:val="Hyperlink"/>
            <w:rFonts w:ascii="Arial" w:hAnsi="Arial" w:cs="Arial"/>
          </w:rPr>
          <w:t xml:space="preserve"> https://yougov.com/en-gb/articles/49572-british-attitudes-towards-sustainability-on-world-environment-day-2024</w:t>
        </w:r>
      </w:hyperlink>
      <w:r w:rsidRPr="00EF327D">
        <w:rPr>
          <w:rFonts w:ascii="Arial" w:hAnsi="Arial" w:cs="Arial"/>
        </w:rPr>
        <w:t xml:space="preserve"> (Accessed: 13 August 2026).</w:t>
      </w:r>
    </w:p>
    <w:p w14:paraId="7D9CA61C" w14:textId="77777777" w:rsidR="001832FB" w:rsidRPr="00EF327D" w:rsidRDefault="001832FB" w:rsidP="00703752">
      <w:pPr>
        <w:rPr>
          <w:rFonts w:ascii="Arial" w:hAnsi="Arial" w:cs="Arial"/>
        </w:rPr>
      </w:pPr>
    </w:p>
    <w:p w14:paraId="78417909" w14:textId="7F3093E1" w:rsidR="00E450CA" w:rsidRPr="00EF327D" w:rsidRDefault="00E450CA" w:rsidP="005849C3">
      <w:pPr>
        <w:rPr>
          <w:rFonts w:ascii="Arial" w:hAnsi="Arial" w:cs="Arial"/>
        </w:rPr>
      </w:pPr>
    </w:p>
    <w:sectPr w:rsidR="00E450CA" w:rsidRPr="00EF327D" w:rsidSect="00ED4496">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75738" w14:textId="77777777" w:rsidR="009239C7" w:rsidRPr="00EF327D" w:rsidRDefault="009239C7" w:rsidP="0098276E">
      <w:pPr>
        <w:spacing w:after="0" w:line="240" w:lineRule="auto"/>
      </w:pPr>
      <w:r w:rsidRPr="00EF327D">
        <w:separator/>
      </w:r>
    </w:p>
  </w:endnote>
  <w:endnote w:type="continuationSeparator" w:id="0">
    <w:p w14:paraId="7E3C97E1" w14:textId="77777777" w:rsidR="009239C7" w:rsidRPr="00EF327D" w:rsidRDefault="009239C7" w:rsidP="0098276E">
      <w:pPr>
        <w:spacing w:after="0" w:line="240" w:lineRule="auto"/>
      </w:pPr>
      <w:r w:rsidRPr="00EF32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903106791"/>
      <w:docPartObj>
        <w:docPartGallery w:val="Page Numbers (Bottom of Page)"/>
        <w:docPartUnique/>
      </w:docPartObj>
    </w:sdtPr>
    <w:sdtEndPr>
      <w:rPr>
        <w:noProof/>
      </w:rPr>
    </w:sdtEndPr>
    <w:sdtContent>
      <w:p w14:paraId="446B1C35" w14:textId="7CE03997" w:rsidR="00ED4496" w:rsidRPr="00EF327D" w:rsidRDefault="00ED4496" w:rsidP="00ED4496">
        <w:pPr>
          <w:pStyle w:val="Footer"/>
          <w:jc w:val="right"/>
          <w:rPr>
            <w:rFonts w:ascii="Arial" w:hAnsi="Arial" w:cs="Arial"/>
            <w:sz w:val="20"/>
            <w:szCs w:val="20"/>
          </w:rPr>
        </w:pPr>
        <w:r w:rsidRPr="00EF327D">
          <w:rPr>
            <w:rFonts w:ascii="Arial" w:hAnsi="Arial" w:cs="Arial"/>
            <w:sz w:val="20"/>
            <w:szCs w:val="20"/>
          </w:rPr>
          <w:fldChar w:fldCharType="begin"/>
        </w:r>
        <w:r w:rsidRPr="00EF327D">
          <w:rPr>
            <w:rFonts w:ascii="Arial" w:hAnsi="Arial" w:cs="Arial"/>
            <w:sz w:val="20"/>
            <w:szCs w:val="20"/>
          </w:rPr>
          <w:instrText xml:space="preserve"> PAGE   \* MERGEFORMAT </w:instrText>
        </w:r>
        <w:r w:rsidRPr="00EF327D">
          <w:rPr>
            <w:rFonts w:ascii="Arial" w:hAnsi="Arial" w:cs="Arial"/>
            <w:sz w:val="20"/>
            <w:szCs w:val="20"/>
          </w:rPr>
          <w:fldChar w:fldCharType="separate"/>
        </w:r>
        <w:r w:rsidRPr="00EF327D">
          <w:rPr>
            <w:rFonts w:ascii="Arial" w:hAnsi="Arial" w:cs="Arial"/>
            <w:noProof/>
            <w:sz w:val="20"/>
            <w:szCs w:val="20"/>
          </w:rPr>
          <w:t>2</w:t>
        </w:r>
        <w:r w:rsidRPr="00EF327D">
          <w:rPr>
            <w:rFonts w:ascii="Arial" w:hAnsi="Arial" w:cs="Arial"/>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8B502" w14:textId="77777777" w:rsidR="009239C7" w:rsidRPr="00EF327D" w:rsidRDefault="009239C7" w:rsidP="0098276E">
      <w:pPr>
        <w:spacing w:after="0" w:line="240" w:lineRule="auto"/>
      </w:pPr>
      <w:r w:rsidRPr="00EF327D">
        <w:separator/>
      </w:r>
    </w:p>
  </w:footnote>
  <w:footnote w:type="continuationSeparator" w:id="0">
    <w:p w14:paraId="4487EE8E" w14:textId="77777777" w:rsidR="009239C7" w:rsidRPr="00EF327D" w:rsidRDefault="009239C7" w:rsidP="0098276E">
      <w:pPr>
        <w:spacing w:after="0" w:line="240" w:lineRule="auto"/>
      </w:pPr>
      <w:r w:rsidRPr="00EF32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22B62"/>
    <w:multiLevelType w:val="multilevel"/>
    <w:tmpl w:val="F81E3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816D47"/>
    <w:multiLevelType w:val="hybridMultilevel"/>
    <w:tmpl w:val="2C2261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85506951">
    <w:abstractNumId w:val="1"/>
  </w:num>
  <w:num w:numId="2" w16cid:durableId="92819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CFF"/>
    <w:rsid w:val="000202EA"/>
    <w:rsid w:val="00045993"/>
    <w:rsid w:val="00053F58"/>
    <w:rsid w:val="00057F9F"/>
    <w:rsid w:val="00067774"/>
    <w:rsid w:val="00082792"/>
    <w:rsid w:val="000A29EA"/>
    <w:rsid w:val="000A2D9C"/>
    <w:rsid w:val="000B137A"/>
    <w:rsid w:val="000B3513"/>
    <w:rsid w:val="000F7FD4"/>
    <w:rsid w:val="001832FB"/>
    <w:rsid w:val="00185B6E"/>
    <w:rsid w:val="00191D7F"/>
    <w:rsid w:val="00192D75"/>
    <w:rsid w:val="001E3131"/>
    <w:rsid w:val="002441DB"/>
    <w:rsid w:val="00262AE0"/>
    <w:rsid w:val="002965AA"/>
    <w:rsid w:val="002A17CD"/>
    <w:rsid w:val="002D7E67"/>
    <w:rsid w:val="002E1A16"/>
    <w:rsid w:val="00336DD6"/>
    <w:rsid w:val="003438DB"/>
    <w:rsid w:val="00346D01"/>
    <w:rsid w:val="0035092C"/>
    <w:rsid w:val="003668DE"/>
    <w:rsid w:val="003943AC"/>
    <w:rsid w:val="003C29A6"/>
    <w:rsid w:val="003F3466"/>
    <w:rsid w:val="003F7702"/>
    <w:rsid w:val="00400A81"/>
    <w:rsid w:val="00403C2D"/>
    <w:rsid w:val="00403C37"/>
    <w:rsid w:val="0045391E"/>
    <w:rsid w:val="004635BC"/>
    <w:rsid w:val="00491087"/>
    <w:rsid w:val="004F0171"/>
    <w:rsid w:val="005579BE"/>
    <w:rsid w:val="0056155E"/>
    <w:rsid w:val="005849C3"/>
    <w:rsid w:val="00595C14"/>
    <w:rsid w:val="005A482D"/>
    <w:rsid w:val="005B579C"/>
    <w:rsid w:val="005C5DDC"/>
    <w:rsid w:val="005F7720"/>
    <w:rsid w:val="00622B5A"/>
    <w:rsid w:val="006700FF"/>
    <w:rsid w:val="006F0094"/>
    <w:rsid w:val="00700133"/>
    <w:rsid w:val="00703752"/>
    <w:rsid w:val="00706F2E"/>
    <w:rsid w:val="00736224"/>
    <w:rsid w:val="007E28B2"/>
    <w:rsid w:val="0082037A"/>
    <w:rsid w:val="00827035"/>
    <w:rsid w:val="00852EFD"/>
    <w:rsid w:val="0089465C"/>
    <w:rsid w:val="008B5870"/>
    <w:rsid w:val="009239C7"/>
    <w:rsid w:val="009258C9"/>
    <w:rsid w:val="00946B67"/>
    <w:rsid w:val="0098276E"/>
    <w:rsid w:val="00997040"/>
    <w:rsid w:val="009C4697"/>
    <w:rsid w:val="009D125A"/>
    <w:rsid w:val="009D609A"/>
    <w:rsid w:val="00A56CFF"/>
    <w:rsid w:val="00A84371"/>
    <w:rsid w:val="00AB5B4E"/>
    <w:rsid w:val="00AD10B0"/>
    <w:rsid w:val="00AD5FC3"/>
    <w:rsid w:val="00AF1479"/>
    <w:rsid w:val="00B12C46"/>
    <w:rsid w:val="00B91A13"/>
    <w:rsid w:val="00BC13D2"/>
    <w:rsid w:val="00BE2087"/>
    <w:rsid w:val="00BF57F3"/>
    <w:rsid w:val="00C257C5"/>
    <w:rsid w:val="00C36BF2"/>
    <w:rsid w:val="00C46533"/>
    <w:rsid w:val="00C665BE"/>
    <w:rsid w:val="00C752BA"/>
    <w:rsid w:val="00C925C9"/>
    <w:rsid w:val="00C957B1"/>
    <w:rsid w:val="00CA028B"/>
    <w:rsid w:val="00CD460F"/>
    <w:rsid w:val="00D15E44"/>
    <w:rsid w:val="00D40A00"/>
    <w:rsid w:val="00D475D5"/>
    <w:rsid w:val="00D71984"/>
    <w:rsid w:val="00D77726"/>
    <w:rsid w:val="00D86125"/>
    <w:rsid w:val="00DC49E4"/>
    <w:rsid w:val="00DD182E"/>
    <w:rsid w:val="00DD6F2B"/>
    <w:rsid w:val="00E0066D"/>
    <w:rsid w:val="00E17502"/>
    <w:rsid w:val="00E45054"/>
    <w:rsid w:val="00E450CA"/>
    <w:rsid w:val="00E61E41"/>
    <w:rsid w:val="00E73EAC"/>
    <w:rsid w:val="00E9498D"/>
    <w:rsid w:val="00ED4496"/>
    <w:rsid w:val="00EE03AE"/>
    <w:rsid w:val="00EE2781"/>
    <w:rsid w:val="00EE3102"/>
    <w:rsid w:val="00EF327D"/>
    <w:rsid w:val="00F05B4D"/>
    <w:rsid w:val="00F17270"/>
    <w:rsid w:val="00F32C80"/>
    <w:rsid w:val="00F35176"/>
    <w:rsid w:val="00F74A86"/>
    <w:rsid w:val="00FB2F7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5E0F3"/>
  <w15:chartTrackingRefBased/>
  <w15:docId w15:val="{FE9718F8-6670-427C-81B5-C4E2B0096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A86"/>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E61E41"/>
    <w:pPr>
      <w:keepNext/>
      <w:keepLines/>
      <w:spacing w:before="360" w:after="120"/>
      <w:outlineLvl w:val="0"/>
    </w:pPr>
    <w:rPr>
      <w:rFonts w:ascii="Arial" w:eastAsiaTheme="majorEastAsia" w:hAnsi="Arial" w:cs="Arial"/>
      <w:b/>
      <w:color w:val="000000" w:themeColor="text1"/>
    </w:rPr>
  </w:style>
  <w:style w:type="paragraph" w:styleId="Heading2">
    <w:name w:val="heading 2"/>
    <w:basedOn w:val="Normal"/>
    <w:next w:val="Normal"/>
    <w:link w:val="Heading2Char"/>
    <w:autoRedefine/>
    <w:uiPriority w:val="9"/>
    <w:unhideWhenUsed/>
    <w:qFormat/>
    <w:rsid w:val="00F74A8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A56CF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CF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56CF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56CF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56CF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56CF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56CF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E41"/>
    <w:rPr>
      <w:rFonts w:ascii="Arial" w:eastAsiaTheme="majorEastAsia" w:hAnsi="Arial" w:cs="Arial"/>
      <w:b/>
      <w:color w:val="000000" w:themeColor="text1"/>
    </w:rPr>
  </w:style>
  <w:style w:type="character" w:customStyle="1" w:styleId="Heading2Char">
    <w:name w:val="Heading 2 Char"/>
    <w:basedOn w:val="DefaultParagraphFont"/>
    <w:link w:val="Heading2"/>
    <w:uiPriority w:val="9"/>
    <w:rsid w:val="00F74A8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A56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CFF"/>
    <w:rPr>
      <w:rFonts w:eastAsiaTheme="majorEastAsia" w:cstheme="majorBidi"/>
      <w:color w:val="272727" w:themeColor="text1" w:themeTint="D8"/>
    </w:rPr>
  </w:style>
  <w:style w:type="paragraph" w:styleId="Title">
    <w:name w:val="Title"/>
    <w:basedOn w:val="Normal"/>
    <w:next w:val="Normal"/>
    <w:link w:val="TitleChar"/>
    <w:uiPriority w:val="10"/>
    <w:qFormat/>
    <w:rsid w:val="00A56C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CF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CFF"/>
    <w:pPr>
      <w:spacing w:before="160"/>
      <w:jc w:val="center"/>
    </w:pPr>
    <w:rPr>
      <w:i/>
      <w:iCs/>
      <w:color w:val="404040" w:themeColor="text1" w:themeTint="BF"/>
    </w:rPr>
  </w:style>
  <w:style w:type="character" w:customStyle="1" w:styleId="QuoteChar">
    <w:name w:val="Quote Char"/>
    <w:basedOn w:val="DefaultParagraphFont"/>
    <w:link w:val="Quote"/>
    <w:uiPriority w:val="29"/>
    <w:rsid w:val="00A56CFF"/>
    <w:rPr>
      <w:rFonts w:ascii="Times New Roman" w:hAnsi="Times New Roman"/>
      <w:i/>
      <w:iCs/>
      <w:color w:val="404040" w:themeColor="text1" w:themeTint="BF"/>
    </w:rPr>
  </w:style>
  <w:style w:type="paragraph" w:styleId="ListParagraph">
    <w:name w:val="List Paragraph"/>
    <w:basedOn w:val="Normal"/>
    <w:uiPriority w:val="34"/>
    <w:qFormat/>
    <w:rsid w:val="00A56CFF"/>
    <w:pPr>
      <w:ind w:left="720"/>
      <w:contextualSpacing/>
    </w:pPr>
  </w:style>
  <w:style w:type="character" w:styleId="IntenseEmphasis">
    <w:name w:val="Intense Emphasis"/>
    <w:basedOn w:val="DefaultParagraphFont"/>
    <w:uiPriority w:val="21"/>
    <w:qFormat/>
    <w:rsid w:val="00A56CFF"/>
    <w:rPr>
      <w:i/>
      <w:iCs/>
      <w:color w:val="0F4761" w:themeColor="accent1" w:themeShade="BF"/>
    </w:rPr>
  </w:style>
  <w:style w:type="paragraph" w:styleId="IntenseQuote">
    <w:name w:val="Intense Quote"/>
    <w:basedOn w:val="Normal"/>
    <w:next w:val="Normal"/>
    <w:link w:val="IntenseQuoteChar"/>
    <w:uiPriority w:val="30"/>
    <w:qFormat/>
    <w:rsid w:val="00A56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CFF"/>
    <w:rPr>
      <w:rFonts w:ascii="Times New Roman" w:hAnsi="Times New Roman"/>
      <w:i/>
      <w:iCs/>
      <w:color w:val="0F4761" w:themeColor="accent1" w:themeShade="BF"/>
    </w:rPr>
  </w:style>
  <w:style w:type="character" w:styleId="IntenseReference">
    <w:name w:val="Intense Reference"/>
    <w:basedOn w:val="DefaultParagraphFont"/>
    <w:uiPriority w:val="32"/>
    <w:qFormat/>
    <w:rsid w:val="00A56CFF"/>
    <w:rPr>
      <w:b/>
      <w:bCs/>
      <w:smallCaps/>
      <w:color w:val="0F4761" w:themeColor="accent1" w:themeShade="BF"/>
      <w:spacing w:val="5"/>
    </w:rPr>
  </w:style>
  <w:style w:type="paragraph" w:styleId="Header">
    <w:name w:val="header"/>
    <w:basedOn w:val="Normal"/>
    <w:link w:val="HeaderChar"/>
    <w:uiPriority w:val="99"/>
    <w:unhideWhenUsed/>
    <w:rsid w:val="00982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76E"/>
    <w:rPr>
      <w:rFonts w:ascii="Times New Roman" w:hAnsi="Times New Roman"/>
    </w:rPr>
  </w:style>
  <w:style w:type="paragraph" w:styleId="Footer">
    <w:name w:val="footer"/>
    <w:basedOn w:val="Normal"/>
    <w:link w:val="FooterChar"/>
    <w:uiPriority w:val="99"/>
    <w:unhideWhenUsed/>
    <w:rsid w:val="00982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76E"/>
    <w:rPr>
      <w:rFonts w:ascii="Times New Roman" w:hAnsi="Times New Roman"/>
    </w:rPr>
  </w:style>
  <w:style w:type="character" w:styleId="Hyperlink">
    <w:name w:val="Hyperlink"/>
    <w:basedOn w:val="DefaultParagraphFont"/>
    <w:uiPriority w:val="99"/>
    <w:unhideWhenUsed/>
    <w:rsid w:val="00E450CA"/>
    <w:rPr>
      <w:color w:val="467886" w:themeColor="hyperlink"/>
      <w:u w:val="single"/>
    </w:rPr>
  </w:style>
  <w:style w:type="character" w:styleId="UnresolvedMention">
    <w:name w:val="Unresolved Mention"/>
    <w:basedOn w:val="DefaultParagraphFont"/>
    <w:uiPriority w:val="99"/>
    <w:semiHidden/>
    <w:unhideWhenUsed/>
    <w:rsid w:val="00E450CA"/>
    <w:rPr>
      <w:color w:val="605E5C"/>
      <w:shd w:val="clear" w:color="auto" w:fill="E1DFDD"/>
    </w:rPr>
  </w:style>
  <w:style w:type="paragraph" w:styleId="TOCHeading">
    <w:name w:val="TOC Heading"/>
    <w:basedOn w:val="Heading1"/>
    <w:next w:val="Normal"/>
    <w:uiPriority w:val="39"/>
    <w:unhideWhenUsed/>
    <w:qFormat/>
    <w:rsid w:val="002A17CD"/>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2A17CD"/>
    <w:pPr>
      <w:spacing w:after="100"/>
    </w:pPr>
  </w:style>
  <w:style w:type="paragraph" w:styleId="TOC2">
    <w:name w:val="toc 2"/>
    <w:basedOn w:val="Normal"/>
    <w:next w:val="Normal"/>
    <w:autoRedefine/>
    <w:uiPriority w:val="39"/>
    <w:unhideWhenUsed/>
    <w:rsid w:val="002A17CD"/>
    <w:pPr>
      <w:spacing w:after="100"/>
      <w:ind w:left="240"/>
    </w:pPr>
  </w:style>
  <w:style w:type="character" w:styleId="CommentReference">
    <w:name w:val="annotation reference"/>
    <w:basedOn w:val="DefaultParagraphFont"/>
    <w:uiPriority w:val="99"/>
    <w:semiHidden/>
    <w:unhideWhenUsed/>
    <w:rsid w:val="00CD460F"/>
    <w:rPr>
      <w:sz w:val="16"/>
      <w:szCs w:val="16"/>
    </w:rPr>
  </w:style>
  <w:style w:type="paragraph" w:styleId="CommentText">
    <w:name w:val="annotation text"/>
    <w:basedOn w:val="Normal"/>
    <w:link w:val="CommentTextChar"/>
    <w:uiPriority w:val="99"/>
    <w:unhideWhenUsed/>
    <w:rsid w:val="00CD460F"/>
    <w:pPr>
      <w:spacing w:line="240" w:lineRule="auto"/>
    </w:pPr>
    <w:rPr>
      <w:sz w:val="20"/>
      <w:szCs w:val="20"/>
    </w:rPr>
  </w:style>
  <w:style w:type="character" w:customStyle="1" w:styleId="CommentTextChar">
    <w:name w:val="Comment Text Char"/>
    <w:basedOn w:val="DefaultParagraphFont"/>
    <w:link w:val="CommentText"/>
    <w:uiPriority w:val="99"/>
    <w:rsid w:val="00CD460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D460F"/>
    <w:rPr>
      <w:b/>
      <w:bCs/>
    </w:rPr>
  </w:style>
  <w:style w:type="character" w:customStyle="1" w:styleId="CommentSubjectChar">
    <w:name w:val="Comment Subject Char"/>
    <w:basedOn w:val="CommentTextChar"/>
    <w:link w:val="CommentSubject"/>
    <w:uiPriority w:val="99"/>
    <w:semiHidden/>
    <w:rsid w:val="00CD460F"/>
    <w:rPr>
      <w:rFonts w:ascii="Times New Roman" w:hAnsi="Times New Roman"/>
      <w:b/>
      <w:bCs/>
      <w:sz w:val="20"/>
      <w:szCs w:val="20"/>
    </w:rPr>
  </w:style>
  <w:style w:type="paragraph" w:styleId="NormalWeb">
    <w:name w:val="Normal (Web)"/>
    <w:basedOn w:val="Normal"/>
    <w:uiPriority w:val="99"/>
    <w:semiHidden/>
    <w:unhideWhenUsed/>
    <w:rsid w:val="00CA028B"/>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yougov.com/en-gb/articles/49572-british-attitudes-towards-sustainability-on-world-environment-day-2024" TargetMode="External"/><Relationship Id="rId26" Type="http://schemas.openxmlformats.org/officeDocument/2006/relationships/hyperlink" Target="https://www.officeforstudents.org.uk/publications/place-matters-inequality-employment-and-the-role-of-higher-education/" TargetMode="External"/><Relationship Id="rId39" Type="http://schemas.openxmlformats.org/officeDocument/2006/relationships/theme" Target="theme/theme1.xml"/><Relationship Id="rId21" Type="http://schemas.openxmlformats.org/officeDocument/2006/relationships/hyperlink" Target="https://www.ikea.com/global/en/our-business/how-we-work/" TargetMode="External"/><Relationship Id="rId34" Type="http://schemas.openxmlformats.org/officeDocument/2006/relationships/hyperlink" Target="https://www.visa.co.uk/about-visa/newsroom/press-releases.3377128.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eloitte.com/uk/en/Industries/consumer/perspectives/the-sustainable-consumer.html?utm_source=chatgpt.com" TargetMode="External"/><Relationship Id="rId25" Type="http://schemas.openxmlformats.org/officeDocument/2006/relationships/hyperlink" Target="https://work.chron.com/role-customer-service-executive-11160.html" TargetMode="External"/><Relationship Id="rId33" Type="http://schemas.openxmlformats.org/officeDocument/2006/relationships/hyperlink" Target="https://doi.org/10.1007/978-3-030-66300-1_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eloitte.com/uk/en/about/press-room/cost-and-sustainability-fatigue-stifle-consumers-efforts-to-adopt-more-sustainable-lifestyles.html?utm_source=chatgpt.com" TargetMode="External"/><Relationship Id="rId20" Type="http://schemas.openxmlformats.org/officeDocument/2006/relationships/hyperlink" Target="https://www.ikea.com/in/en/this-is-ikea/sustainable-everyday/a-circular-ikea-making-the-things-we-love-last-longer-pub9750dd90/" TargetMode="External"/><Relationship Id="rId29" Type="http://schemas.openxmlformats.org/officeDocument/2006/relationships/hyperlink" Target="https://www.savills.com/research_articles/255800/37228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mar.21815" TargetMode="External"/><Relationship Id="rId32" Type="http://schemas.openxmlformats.org/officeDocument/2006/relationships/hyperlink" Target="https://sdgs.un.org/goals/goal12"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cademia.edu/download/97035519/275551097.pdf" TargetMode="External"/><Relationship Id="rId28" Type="http://schemas.openxmlformats.org/officeDocument/2006/relationships/hyperlink" Target="https://digilib.itb.ac.id/assets/files/2025/MjAyNV9UU19QUF9pbG1hbiBTYWRyaS0yOTEyMzA4MV9GdWxsIFRleHQucGRm1.pdf" TargetMode="External"/><Relationship Id="rId36" Type="http://schemas.openxmlformats.org/officeDocument/2006/relationships/hyperlink" Target="https://yougov.com/en-gb/articles/49572-british-attitudes-towards-sustainability-on-world-environment-day-2024" TargetMode="External"/><Relationship Id="rId10" Type="http://schemas.openxmlformats.org/officeDocument/2006/relationships/image" Target="media/image3.png"/><Relationship Id="rId19" Type="http://schemas.openxmlformats.org/officeDocument/2006/relationships/hyperlink" Target="https://doi.org/10.1016/j.indmarman.2026.02.012" TargetMode="External"/><Relationship Id="rId31" Type="http://schemas.openxmlformats.org/officeDocument/2006/relationships/hyperlink" Target="https://onlinelibrary.wiley.com/doi/pdf/10.1155/2024/36415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kea.com/mx/en/this-is-ikea/climate-environment/transitioning-towards-a-circular-business-pub40dc71c0/" TargetMode="External"/><Relationship Id="rId27" Type="http://schemas.openxmlformats.org/officeDocument/2006/relationships/hyperlink" Target="https://www.pwc.com/gx/en/1/issues/reinvention/asset-wealth-management-revolution.html" TargetMode="External"/><Relationship Id="rId30" Type="http://schemas.openxmlformats.org/officeDocument/2006/relationships/hyperlink" Target="https://doi.org/10.1007/s43615-026-00894-3" TargetMode="External"/><Relationship Id="rId35" Type="http://schemas.openxmlformats.org/officeDocument/2006/relationships/hyperlink" Target="https://journals.sagepub.com/doi/pdf/10.1177/23821205221091511"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EC1CC-A162-43B5-A013-B9211FD2F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4084</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kathan</dc:creator>
  <cp:keywords/>
  <dc:description/>
  <cp:lastModifiedBy>kathan joshi</cp:lastModifiedBy>
  <cp:revision>2</cp:revision>
  <dcterms:created xsi:type="dcterms:W3CDTF">2026-08-14T12:44:00Z</dcterms:created>
  <dcterms:modified xsi:type="dcterms:W3CDTF">2026-08-14T12:44:00Z</dcterms:modified>
</cp:coreProperties>
</file>