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10B3BF" w14:textId="15FAB93B" w:rsidR="00EF6619" w:rsidRDefault="00EF6619" w:rsidP="00376A2C">
      <w:pPr>
        <w:spacing w:line="360" w:lineRule="auto"/>
        <w:jc w:val="center"/>
        <w:rPr>
          <w:rFonts w:cstheme="minorHAnsi"/>
          <w:u w:val="single"/>
        </w:rPr>
      </w:pPr>
      <w:r w:rsidRPr="00EF6619">
        <w:rPr>
          <w:rFonts w:cstheme="minorHAnsi"/>
          <w:u w:val="single"/>
        </w:rPr>
        <w:t>An assignment to address a social policy timeline in relation to mental health disorders.</w:t>
      </w:r>
    </w:p>
    <w:p w14:paraId="4EA0D364" w14:textId="77777777" w:rsidR="00EF6619" w:rsidRPr="00EF6619" w:rsidRDefault="00EF6619" w:rsidP="00376A2C">
      <w:pPr>
        <w:spacing w:line="360" w:lineRule="auto"/>
        <w:jc w:val="center"/>
        <w:rPr>
          <w:rFonts w:cstheme="minorHAnsi"/>
          <w:u w:val="single"/>
        </w:rPr>
      </w:pPr>
    </w:p>
    <w:p w14:paraId="322827F4" w14:textId="34278471" w:rsidR="006F1069" w:rsidRPr="001B7D3B" w:rsidRDefault="007625FC" w:rsidP="00376A2C">
      <w:pPr>
        <w:spacing w:line="360" w:lineRule="auto"/>
        <w:rPr>
          <w:rFonts w:cstheme="minorHAnsi"/>
        </w:rPr>
      </w:pPr>
      <w:r>
        <w:rPr>
          <w:rFonts w:cstheme="minorHAnsi"/>
        </w:rPr>
        <w:t xml:space="preserve">Dementia is a condition that individuals have only recently begun to understand. However, there is still no cure. With modern medicine and people living much longer, far more people have dementia today than ever before. </w:t>
      </w:r>
      <w:r w:rsidR="006F1069" w:rsidRPr="001B7D3B">
        <w:rPr>
          <w:rFonts w:cstheme="minorHAnsi"/>
        </w:rPr>
        <w:t>This assignment will briefly sketch historical change</w:t>
      </w:r>
      <w:r w:rsidR="00416D6F">
        <w:rPr>
          <w:rFonts w:cstheme="minorHAnsi"/>
        </w:rPr>
        <w:t xml:space="preserve">s </w:t>
      </w:r>
      <w:r w:rsidR="006F1069" w:rsidRPr="001B7D3B">
        <w:rPr>
          <w:rFonts w:cstheme="minorHAnsi"/>
        </w:rPr>
        <w:t>in the framing of dementia since the late 1800’s</w:t>
      </w:r>
      <w:r w:rsidR="00416D6F">
        <w:rPr>
          <w:rFonts w:cstheme="minorHAnsi"/>
        </w:rPr>
        <w:t xml:space="preserve"> looking at how dementia was viewed before and comparing it to today’s society, and also looking at how social policy has changed through the years</w:t>
      </w:r>
      <w:r w:rsidR="006F1069" w:rsidRPr="001B7D3B">
        <w:rPr>
          <w:rFonts w:cstheme="minorHAnsi"/>
        </w:rPr>
        <w:t xml:space="preserve">. This period has seen a shift from viewing </w:t>
      </w:r>
      <w:r w:rsidR="001B7D3B" w:rsidRPr="001B7D3B">
        <w:rPr>
          <w:rFonts w:cstheme="minorHAnsi"/>
        </w:rPr>
        <w:t xml:space="preserve">dementia as a pathological variant of aging to viewing it as a distinct disease. </w:t>
      </w:r>
    </w:p>
    <w:p w14:paraId="39F4EE92" w14:textId="2773BF5C" w:rsidR="006C2C94" w:rsidRPr="001B7D3B" w:rsidRDefault="006C2C94" w:rsidP="00376A2C">
      <w:pPr>
        <w:pStyle w:val="NormalWeb"/>
        <w:spacing w:line="360" w:lineRule="auto"/>
        <w:rPr>
          <w:rFonts w:asciiTheme="minorHAnsi" w:hAnsiTheme="minorHAnsi" w:cstheme="minorHAnsi"/>
          <w:sz w:val="22"/>
          <w:szCs w:val="22"/>
          <w:lang w:val="en-US"/>
        </w:rPr>
      </w:pPr>
      <w:r w:rsidRPr="001B7D3B">
        <w:rPr>
          <w:rFonts w:asciiTheme="minorHAnsi" w:hAnsiTheme="minorHAnsi" w:cstheme="minorHAnsi"/>
          <w:sz w:val="22"/>
          <w:szCs w:val="22"/>
        </w:rPr>
        <w:t>Dementia is a general term for loss of memory, language, problem-solving and other thinking abilities that are severe enough to interfere with daily life</w:t>
      </w:r>
      <w:r w:rsidR="00EF6619">
        <w:rPr>
          <w:rFonts w:asciiTheme="minorHAnsi" w:hAnsiTheme="minorHAnsi" w:cstheme="minorHAnsi"/>
          <w:sz w:val="22"/>
          <w:szCs w:val="22"/>
        </w:rPr>
        <w:t xml:space="preserve"> (Kumar, 2021)</w:t>
      </w:r>
      <w:r w:rsidRPr="001B7D3B">
        <w:rPr>
          <w:rFonts w:asciiTheme="minorHAnsi" w:hAnsiTheme="minorHAnsi" w:cstheme="minorHAnsi"/>
          <w:sz w:val="22"/>
          <w:szCs w:val="22"/>
        </w:rPr>
        <w:t xml:space="preserve">. Alzheimer's is the most common cause of dementia. </w:t>
      </w:r>
      <w:r w:rsidRPr="001B7D3B">
        <w:rPr>
          <w:rFonts w:asciiTheme="minorHAnsi" w:hAnsiTheme="minorHAnsi" w:cstheme="minorHAnsi"/>
          <w:sz w:val="22"/>
          <w:szCs w:val="22"/>
          <w:lang w:val="en-US"/>
        </w:rPr>
        <w:t>Disorders grouped under the general term “dementia” are caused by abnormal brain changes. These changes trigger a decline in thinking skills, also known as cognitive abilities, severe enough to impair daily life and independent function. They also affect behavior, feelings and relationships</w:t>
      </w:r>
      <w:r w:rsidR="00EF6619">
        <w:rPr>
          <w:rFonts w:asciiTheme="minorHAnsi" w:hAnsiTheme="minorHAnsi" w:cstheme="minorHAnsi"/>
          <w:sz w:val="22"/>
          <w:szCs w:val="22"/>
          <w:lang w:val="en-US"/>
        </w:rPr>
        <w:t xml:space="preserve"> (Murman, 2015)</w:t>
      </w:r>
      <w:r w:rsidRPr="001B7D3B">
        <w:rPr>
          <w:rFonts w:asciiTheme="minorHAnsi" w:hAnsiTheme="minorHAnsi" w:cstheme="minorHAnsi"/>
          <w:sz w:val="22"/>
          <w:szCs w:val="22"/>
          <w:lang w:val="en-US"/>
        </w:rPr>
        <w:t>. Dementia is often incorrectly referred to as "senility" or "senile dementia," which reflects the formerly widespread but incorrect belief that serious mental decline is a normal part of aging</w:t>
      </w:r>
      <w:r w:rsidR="00EF6619">
        <w:rPr>
          <w:rFonts w:asciiTheme="minorHAnsi" w:hAnsiTheme="minorHAnsi" w:cstheme="minorHAnsi"/>
          <w:sz w:val="22"/>
          <w:szCs w:val="22"/>
          <w:lang w:val="en-US"/>
        </w:rPr>
        <w:t xml:space="preserve"> </w:t>
      </w:r>
      <w:r w:rsidR="00EF6619" w:rsidRPr="00EF6619">
        <w:rPr>
          <w:rFonts w:asciiTheme="minorHAnsi" w:hAnsiTheme="minorHAnsi" w:cstheme="minorHAnsi"/>
          <w:sz w:val="22"/>
          <w:szCs w:val="22"/>
          <w:lang w:val="en-US"/>
        </w:rPr>
        <w:t>(</w:t>
      </w:r>
      <w:r w:rsidR="00EF6619" w:rsidRPr="00EF6619">
        <w:rPr>
          <w:rFonts w:asciiTheme="minorHAnsi" w:hAnsiTheme="minorHAnsi" w:cstheme="minorHAnsi"/>
          <w:color w:val="222222"/>
          <w:sz w:val="22"/>
          <w:szCs w:val="22"/>
        </w:rPr>
        <w:t>Papavramidou, 2018)</w:t>
      </w:r>
      <w:r w:rsidRPr="00EF6619">
        <w:rPr>
          <w:rFonts w:asciiTheme="minorHAnsi" w:hAnsiTheme="minorHAnsi" w:cstheme="minorHAnsi"/>
          <w:sz w:val="22"/>
          <w:szCs w:val="22"/>
          <w:lang w:val="en-US"/>
        </w:rPr>
        <w:t>.</w:t>
      </w:r>
      <w:r w:rsidRPr="001B7D3B">
        <w:rPr>
          <w:rFonts w:asciiTheme="minorHAnsi" w:hAnsiTheme="minorHAnsi" w:cstheme="minorHAnsi"/>
          <w:sz w:val="22"/>
          <w:szCs w:val="22"/>
          <w:lang w:val="en-US"/>
        </w:rPr>
        <w:t xml:space="preserve"> Dementia is caused by damage to brain cells. This damage interferes with the ability of brain cells to communicate with each other. When brain cells cannot communicate normally, thinking, behavior and feelings can be affected. The brain has many distinct regions, each of which is responsible for different functions (for example, memory, judgment and movement)</w:t>
      </w:r>
      <w:r w:rsidR="00EF6619">
        <w:rPr>
          <w:rFonts w:asciiTheme="minorHAnsi" w:hAnsiTheme="minorHAnsi" w:cstheme="minorHAnsi"/>
          <w:sz w:val="22"/>
          <w:szCs w:val="22"/>
          <w:lang w:val="en-US"/>
        </w:rPr>
        <w:t xml:space="preserve"> </w:t>
      </w:r>
      <w:r w:rsidR="00EF6619" w:rsidRPr="00EF6619">
        <w:rPr>
          <w:rFonts w:asciiTheme="minorHAnsi" w:hAnsiTheme="minorHAnsi" w:cstheme="minorHAnsi"/>
          <w:sz w:val="22"/>
          <w:szCs w:val="22"/>
          <w:lang w:val="en-US"/>
        </w:rPr>
        <w:t>(</w:t>
      </w:r>
      <w:r w:rsidR="00EF6619" w:rsidRPr="00EF6619">
        <w:rPr>
          <w:rFonts w:asciiTheme="minorHAnsi" w:hAnsiTheme="minorHAnsi" w:cstheme="minorHAnsi"/>
          <w:color w:val="222222"/>
          <w:sz w:val="22"/>
          <w:szCs w:val="22"/>
        </w:rPr>
        <w:t>Yonelinas, 2005)</w:t>
      </w:r>
      <w:r w:rsidRPr="00EF6619">
        <w:rPr>
          <w:rFonts w:asciiTheme="minorHAnsi" w:hAnsiTheme="minorHAnsi" w:cstheme="minorHAnsi"/>
          <w:sz w:val="22"/>
          <w:szCs w:val="22"/>
          <w:lang w:val="en-US"/>
        </w:rPr>
        <w:t>.</w:t>
      </w:r>
      <w:r w:rsidRPr="001B7D3B">
        <w:rPr>
          <w:rFonts w:asciiTheme="minorHAnsi" w:hAnsiTheme="minorHAnsi" w:cstheme="minorHAnsi"/>
          <w:sz w:val="22"/>
          <w:szCs w:val="22"/>
          <w:lang w:val="en-US"/>
        </w:rPr>
        <w:t xml:space="preserve"> When cells in a </w:t>
      </w:r>
      <w:r w:rsidR="007625FC" w:rsidRPr="001B7D3B">
        <w:rPr>
          <w:rFonts w:asciiTheme="minorHAnsi" w:hAnsiTheme="minorHAnsi" w:cstheme="minorHAnsi"/>
          <w:sz w:val="22"/>
          <w:szCs w:val="22"/>
          <w:lang w:val="en-US"/>
        </w:rPr>
        <w:t>region</w:t>
      </w:r>
      <w:r w:rsidRPr="001B7D3B">
        <w:rPr>
          <w:rFonts w:asciiTheme="minorHAnsi" w:hAnsiTheme="minorHAnsi" w:cstheme="minorHAnsi"/>
          <w:sz w:val="22"/>
          <w:szCs w:val="22"/>
          <w:lang w:val="en-US"/>
        </w:rPr>
        <w:t xml:space="preserve"> are damaged, that region cannot carry out its functions normally. For example, in Alzheimer's disease, high levels of certain proteins inside and outside brain cells make it hard for brain cells to stay healthy and to communicate with each other</w:t>
      </w:r>
      <w:r w:rsidR="00EF6619">
        <w:rPr>
          <w:rFonts w:asciiTheme="minorHAnsi" w:hAnsiTheme="minorHAnsi" w:cstheme="minorHAnsi"/>
          <w:sz w:val="22"/>
          <w:szCs w:val="22"/>
          <w:lang w:val="en-US"/>
        </w:rPr>
        <w:t xml:space="preserve"> (</w:t>
      </w:r>
      <w:r w:rsidR="00EF6619" w:rsidRPr="00EF6619">
        <w:rPr>
          <w:rFonts w:asciiTheme="minorHAnsi" w:hAnsiTheme="minorHAnsi" w:cstheme="minorHAnsi"/>
          <w:color w:val="222222"/>
          <w:sz w:val="22"/>
          <w:szCs w:val="22"/>
        </w:rPr>
        <w:t>Alzheimer's Association, 2018.)</w:t>
      </w:r>
      <w:r w:rsidRPr="00EF6619">
        <w:rPr>
          <w:rFonts w:asciiTheme="minorHAnsi" w:hAnsiTheme="minorHAnsi" w:cstheme="minorHAnsi"/>
          <w:sz w:val="22"/>
          <w:szCs w:val="22"/>
          <w:lang w:val="en-US"/>
        </w:rPr>
        <w:t>.</w:t>
      </w:r>
      <w:r w:rsidRPr="001B7D3B">
        <w:rPr>
          <w:rFonts w:asciiTheme="minorHAnsi" w:hAnsiTheme="minorHAnsi" w:cstheme="minorHAnsi"/>
          <w:sz w:val="22"/>
          <w:szCs w:val="22"/>
          <w:lang w:val="en-US"/>
        </w:rPr>
        <w:t xml:space="preserve"> The brain region called the hippocampus is the center of learning and memory in the brain, and the brain cells in this region are often the first to be damaged</w:t>
      </w:r>
      <w:r w:rsidR="001D1F43">
        <w:rPr>
          <w:rFonts w:asciiTheme="minorHAnsi" w:hAnsiTheme="minorHAnsi" w:cstheme="minorHAnsi"/>
          <w:sz w:val="22"/>
          <w:szCs w:val="22"/>
          <w:lang w:val="en-US"/>
        </w:rPr>
        <w:t xml:space="preserve"> </w:t>
      </w:r>
      <w:r w:rsidR="001D1F43" w:rsidRPr="001D1F43">
        <w:rPr>
          <w:rFonts w:asciiTheme="minorHAnsi" w:hAnsiTheme="minorHAnsi" w:cstheme="minorHAnsi"/>
          <w:sz w:val="22"/>
          <w:szCs w:val="22"/>
          <w:lang w:val="en-US"/>
        </w:rPr>
        <w:t>(</w:t>
      </w:r>
      <w:r w:rsidR="001D1F43" w:rsidRPr="001D1F43">
        <w:rPr>
          <w:rFonts w:asciiTheme="minorHAnsi" w:hAnsiTheme="minorHAnsi" w:cstheme="minorHAnsi"/>
          <w:color w:val="222222"/>
          <w:sz w:val="22"/>
          <w:szCs w:val="22"/>
        </w:rPr>
        <w:t>Zola-Morgan, 1986)</w:t>
      </w:r>
      <w:r w:rsidRPr="001B7D3B">
        <w:rPr>
          <w:rFonts w:asciiTheme="minorHAnsi" w:hAnsiTheme="minorHAnsi" w:cstheme="minorHAnsi"/>
          <w:sz w:val="22"/>
          <w:szCs w:val="22"/>
          <w:lang w:val="en-US"/>
        </w:rPr>
        <w:t>. That's why memory loss is often one of the earliest symptoms of Alzheimer’s.</w:t>
      </w:r>
    </w:p>
    <w:p w14:paraId="14427697" w14:textId="31C15B6C" w:rsidR="001B7D3B" w:rsidRPr="001B7D3B" w:rsidRDefault="00CE791F" w:rsidP="00376A2C">
      <w:pPr>
        <w:pStyle w:val="NormalWeb"/>
        <w:spacing w:line="360" w:lineRule="auto"/>
        <w:rPr>
          <w:rFonts w:asciiTheme="minorHAnsi" w:hAnsiTheme="minorHAnsi" w:cstheme="minorHAnsi"/>
          <w:sz w:val="22"/>
          <w:szCs w:val="22"/>
          <w:lang w:val="en-US"/>
        </w:rPr>
      </w:pPr>
      <w:r w:rsidRPr="001B7D3B">
        <w:rPr>
          <w:rFonts w:asciiTheme="minorHAnsi" w:hAnsiTheme="minorHAnsi" w:cstheme="minorHAnsi"/>
          <w:sz w:val="22"/>
          <w:szCs w:val="22"/>
          <w:lang w:val="en-US"/>
        </w:rPr>
        <w:t>Dementia has occurred in human history long before it was named. In 2000 B.C the ancient Egyptians were already aware that memory declines as people age</w:t>
      </w:r>
      <w:r w:rsidR="001D1F43">
        <w:rPr>
          <w:rFonts w:asciiTheme="minorHAnsi" w:hAnsiTheme="minorHAnsi" w:cstheme="minorHAnsi"/>
          <w:sz w:val="22"/>
          <w:szCs w:val="22"/>
          <w:lang w:val="en-US"/>
        </w:rPr>
        <w:t xml:space="preserve"> (Yang, 2016)</w:t>
      </w:r>
      <w:r w:rsidRPr="001B7D3B">
        <w:rPr>
          <w:rFonts w:asciiTheme="minorHAnsi" w:hAnsiTheme="minorHAnsi" w:cstheme="minorHAnsi"/>
          <w:sz w:val="22"/>
          <w:szCs w:val="22"/>
          <w:lang w:val="en-US"/>
        </w:rPr>
        <w:t xml:space="preserve">. The concept of dementia has been around since early </w:t>
      </w:r>
      <w:r w:rsidR="001B7D3B" w:rsidRPr="001B7D3B">
        <w:rPr>
          <w:rFonts w:asciiTheme="minorHAnsi" w:hAnsiTheme="minorHAnsi" w:cstheme="minorHAnsi"/>
          <w:sz w:val="22"/>
          <w:szCs w:val="22"/>
          <w:lang w:val="en-US"/>
        </w:rPr>
        <w:t>civilizations</w:t>
      </w:r>
      <w:r w:rsidRPr="001B7D3B">
        <w:rPr>
          <w:rFonts w:asciiTheme="minorHAnsi" w:hAnsiTheme="minorHAnsi" w:cstheme="minorHAnsi"/>
          <w:sz w:val="22"/>
          <w:szCs w:val="22"/>
          <w:lang w:val="en-US"/>
        </w:rPr>
        <w:t>. Ancient philosophers viewed mental decay as a normal part of ageing.</w:t>
      </w:r>
      <w:r w:rsidR="008A0248">
        <w:rPr>
          <w:rFonts w:asciiTheme="minorHAnsi" w:hAnsiTheme="minorHAnsi" w:cstheme="minorHAnsi"/>
          <w:sz w:val="22"/>
          <w:szCs w:val="22"/>
          <w:lang w:val="en-US"/>
        </w:rPr>
        <w:t xml:space="preserve"> In medieval times people with dementia were often described as childlike, foolish or out of control of their own senses</w:t>
      </w:r>
      <w:r w:rsidR="001D1F43">
        <w:rPr>
          <w:rFonts w:asciiTheme="minorHAnsi" w:hAnsiTheme="minorHAnsi" w:cstheme="minorHAnsi"/>
          <w:sz w:val="22"/>
          <w:szCs w:val="22"/>
          <w:lang w:val="en-US"/>
        </w:rPr>
        <w:t xml:space="preserve"> (Turner, 2018)</w:t>
      </w:r>
      <w:r w:rsidR="008A0248">
        <w:rPr>
          <w:rFonts w:asciiTheme="minorHAnsi" w:hAnsiTheme="minorHAnsi" w:cstheme="minorHAnsi"/>
          <w:sz w:val="22"/>
          <w:szCs w:val="22"/>
          <w:lang w:val="en-US"/>
        </w:rPr>
        <w:t xml:space="preserve">. People with this condition were considered unable to differentiate right from wrong. Neurological conditions of the disease were unexplained, so this was portrayed through religion. A doctor named Roger Bacon agreed that </w:t>
      </w:r>
      <w:r w:rsidR="008A0248">
        <w:rPr>
          <w:rFonts w:asciiTheme="minorHAnsi" w:hAnsiTheme="minorHAnsi" w:cstheme="minorHAnsi"/>
          <w:sz w:val="22"/>
          <w:szCs w:val="22"/>
          <w:lang w:val="en-US"/>
        </w:rPr>
        <w:lastRenderedPageBreak/>
        <w:t>dementia was a natural part of ageing, but also added that it was a punishment from God</w:t>
      </w:r>
      <w:r w:rsidR="001D1F43">
        <w:rPr>
          <w:rFonts w:asciiTheme="minorHAnsi" w:hAnsiTheme="minorHAnsi" w:cstheme="minorHAnsi"/>
          <w:sz w:val="22"/>
          <w:szCs w:val="22"/>
          <w:lang w:val="en-US"/>
        </w:rPr>
        <w:t xml:space="preserve"> (Bosco, 2019).</w:t>
      </w:r>
      <w:r w:rsidR="008A0248">
        <w:rPr>
          <w:rFonts w:asciiTheme="minorHAnsi" w:hAnsiTheme="minorHAnsi" w:cstheme="minorHAnsi"/>
          <w:sz w:val="22"/>
          <w:szCs w:val="22"/>
          <w:lang w:val="en-US"/>
        </w:rPr>
        <w:t xml:space="preserve"> By this time people from all over the world were displaying symptoms of dementia such as a change in personality or aggression, a</w:t>
      </w:r>
      <w:r w:rsidR="001D1F43">
        <w:rPr>
          <w:rFonts w:asciiTheme="minorHAnsi" w:hAnsiTheme="minorHAnsi" w:cstheme="minorHAnsi"/>
          <w:sz w:val="22"/>
          <w:szCs w:val="22"/>
          <w:lang w:val="en-US"/>
        </w:rPr>
        <w:t>n</w:t>
      </w:r>
      <w:r w:rsidR="008A0248">
        <w:rPr>
          <w:rFonts w:asciiTheme="minorHAnsi" w:hAnsiTheme="minorHAnsi" w:cstheme="minorHAnsi"/>
          <w:sz w:val="22"/>
          <w:szCs w:val="22"/>
          <w:lang w:val="en-US"/>
        </w:rPr>
        <w:t xml:space="preserve">d these were diagnosed with being ‘possessed’. This was not a beneficial diagnosis as people faced being exorcised, locked away or even killed. In some parts of the world this is still the case today. </w:t>
      </w:r>
    </w:p>
    <w:p w14:paraId="040DF90F" w14:textId="4BB5FA84" w:rsidR="00CE791F" w:rsidRDefault="00CE791F" w:rsidP="00376A2C">
      <w:pPr>
        <w:pStyle w:val="NormalWeb"/>
        <w:spacing w:line="360" w:lineRule="auto"/>
        <w:rPr>
          <w:rFonts w:asciiTheme="minorHAnsi" w:hAnsiTheme="minorHAnsi" w:cstheme="minorHAnsi"/>
          <w:sz w:val="22"/>
          <w:szCs w:val="22"/>
          <w:lang w:val="en-US"/>
        </w:rPr>
      </w:pPr>
      <w:r w:rsidRPr="001B7D3B">
        <w:rPr>
          <w:rFonts w:asciiTheme="minorHAnsi" w:hAnsiTheme="minorHAnsi" w:cstheme="minorHAnsi"/>
          <w:sz w:val="22"/>
          <w:szCs w:val="22"/>
          <w:lang w:val="en-US"/>
        </w:rPr>
        <w:t xml:space="preserve">In the late 1800’s, with advancements in medicine and the ability to look inside the brain, the medical community realized that diseases could cause this </w:t>
      </w:r>
      <w:r w:rsidR="001B7D3B" w:rsidRPr="001B7D3B">
        <w:rPr>
          <w:rFonts w:asciiTheme="minorHAnsi" w:hAnsiTheme="minorHAnsi" w:cstheme="minorHAnsi"/>
          <w:sz w:val="22"/>
          <w:szCs w:val="22"/>
          <w:lang w:val="en-US"/>
        </w:rPr>
        <w:t>deter</w:t>
      </w:r>
      <w:r w:rsidR="001B7D3B">
        <w:rPr>
          <w:rFonts w:asciiTheme="minorHAnsi" w:hAnsiTheme="minorHAnsi" w:cstheme="minorHAnsi"/>
          <w:sz w:val="22"/>
          <w:szCs w:val="22"/>
          <w:lang w:val="en-US"/>
        </w:rPr>
        <w:t>iorat</w:t>
      </w:r>
      <w:r w:rsidR="001B7D3B" w:rsidRPr="001B7D3B">
        <w:rPr>
          <w:rFonts w:asciiTheme="minorHAnsi" w:hAnsiTheme="minorHAnsi" w:cstheme="minorHAnsi"/>
          <w:sz w:val="22"/>
          <w:szCs w:val="22"/>
          <w:lang w:val="en-US"/>
        </w:rPr>
        <w:t>ion</w:t>
      </w:r>
      <w:r w:rsidRPr="001B7D3B">
        <w:rPr>
          <w:rFonts w:asciiTheme="minorHAnsi" w:hAnsiTheme="minorHAnsi" w:cstheme="minorHAnsi"/>
          <w:sz w:val="22"/>
          <w:szCs w:val="22"/>
          <w:lang w:val="en-US"/>
        </w:rPr>
        <w:t>. The most common dementia was named in 1910, after Alois Alzheimer, a German psychiatrist</w:t>
      </w:r>
      <w:r w:rsidR="001D1F43">
        <w:rPr>
          <w:rFonts w:asciiTheme="minorHAnsi" w:hAnsiTheme="minorHAnsi" w:cstheme="minorHAnsi"/>
          <w:sz w:val="22"/>
          <w:szCs w:val="22"/>
          <w:lang w:val="en-US"/>
        </w:rPr>
        <w:t xml:space="preserve"> (Zilka, 2006)</w:t>
      </w:r>
      <w:r w:rsidRPr="001B7D3B">
        <w:rPr>
          <w:rFonts w:asciiTheme="minorHAnsi" w:hAnsiTheme="minorHAnsi" w:cstheme="minorHAnsi"/>
          <w:sz w:val="22"/>
          <w:szCs w:val="22"/>
          <w:lang w:val="en-US"/>
        </w:rPr>
        <w:t>. In 1906, Alzihmer looked at post-</w:t>
      </w:r>
      <w:r w:rsidR="001B7D3B" w:rsidRPr="001B7D3B">
        <w:rPr>
          <w:rFonts w:asciiTheme="minorHAnsi" w:hAnsiTheme="minorHAnsi" w:cstheme="minorHAnsi"/>
          <w:sz w:val="22"/>
          <w:szCs w:val="22"/>
          <w:lang w:val="en-US"/>
        </w:rPr>
        <w:t>mortem</w:t>
      </w:r>
      <w:r w:rsidRPr="001B7D3B">
        <w:rPr>
          <w:rFonts w:asciiTheme="minorHAnsi" w:hAnsiTheme="minorHAnsi" w:cstheme="minorHAnsi"/>
          <w:sz w:val="22"/>
          <w:szCs w:val="22"/>
          <w:lang w:val="en-US"/>
        </w:rPr>
        <w:t xml:space="preserve"> brains of affected younger people</w:t>
      </w:r>
      <w:r w:rsidR="001D1F43">
        <w:rPr>
          <w:rFonts w:asciiTheme="minorHAnsi" w:hAnsiTheme="minorHAnsi" w:cstheme="minorHAnsi"/>
          <w:sz w:val="22"/>
          <w:szCs w:val="22"/>
          <w:lang w:val="en-US"/>
        </w:rPr>
        <w:t xml:space="preserve"> (Hardy, 2017)</w:t>
      </w:r>
      <w:r w:rsidRPr="001B7D3B">
        <w:rPr>
          <w:rFonts w:asciiTheme="minorHAnsi" w:hAnsiTheme="minorHAnsi" w:cstheme="minorHAnsi"/>
          <w:sz w:val="22"/>
          <w:szCs w:val="22"/>
          <w:lang w:val="en-US"/>
        </w:rPr>
        <w:t xml:space="preserve">. He published the first case of a 50 year old woman with dementia symptoms. He saw the microscopic plaques and tangles now known as hallmarks of the disease. At that time another German psychiatrist </w:t>
      </w:r>
      <w:r w:rsidR="006F1069" w:rsidRPr="001B7D3B">
        <w:rPr>
          <w:rFonts w:asciiTheme="minorHAnsi" w:hAnsiTheme="minorHAnsi" w:cstheme="minorHAnsi"/>
          <w:sz w:val="22"/>
          <w:szCs w:val="22"/>
          <w:lang w:val="en-US"/>
        </w:rPr>
        <w:t xml:space="preserve">studied the brains of older people, he also saw plaques and tangles. Both contributions </w:t>
      </w:r>
      <w:r w:rsidR="001B7D3B" w:rsidRPr="001B7D3B">
        <w:rPr>
          <w:rFonts w:asciiTheme="minorHAnsi" w:hAnsiTheme="minorHAnsi" w:cstheme="minorHAnsi"/>
          <w:sz w:val="22"/>
          <w:szCs w:val="22"/>
          <w:lang w:val="en-US"/>
        </w:rPr>
        <w:t>furthered</w:t>
      </w:r>
      <w:r w:rsidR="006F1069" w:rsidRPr="001B7D3B">
        <w:rPr>
          <w:rFonts w:asciiTheme="minorHAnsi" w:hAnsiTheme="minorHAnsi" w:cstheme="minorHAnsi"/>
          <w:sz w:val="22"/>
          <w:szCs w:val="22"/>
          <w:lang w:val="en-US"/>
        </w:rPr>
        <w:t xml:space="preserve"> the understanding of the conditioning</w:t>
      </w:r>
      <w:r w:rsidR="001D1F43">
        <w:rPr>
          <w:rFonts w:asciiTheme="minorHAnsi" w:hAnsiTheme="minorHAnsi" w:cstheme="minorHAnsi"/>
          <w:sz w:val="22"/>
          <w:szCs w:val="22"/>
          <w:lang w:val="en-US"/>
        </w:rPr>
        <w:t xml:space="preserve"> (Hardy, 2017).</w:t>
      </w:r>
    </w:p>
    <w:p w14:paraId="2BD2936E" w14:textId="3BFE4972" w:rsidR="000F5D5D" w:rsidRPr="00416D6F" w:rsidRDefault="006F1069" w:rsidP="00376A2C">
      <w:pPr>
        <w:pStyle w:val="NormalWeb"/>
        <w:spacing w:line="360" w:lineRule="auto"/>
        <w:rPr>
          <w:rFonts w:asciiTheme="minorHAnsi" w:hAnsiTheme="minorHAnsi" w:cstheme="minorHAnsi"/>
          <w:sz w:val="22"/>
          <w:szCs w:val="22"/>
          <w:lang w:val="en-US"/>
        </w:rPr>
      </w:pPr>
      <w:r w:rsidRPr="001B7D3B">
        <w:rPr>
          <w:rFonts w:asciiTheme="minorHAnsi" w:hAnsiTheme="minorHAnsi" w:cstheme="minorHAnsi"/>
          <w:sz w:val="22"/>
          <w:szCs w:val="22"/>
          <w:lang w:val="en-US"/>
        </w:rPr>
        <w:t xml:space="preserve">In </w:t>
      </w:r>
      <w:r w:rsidR="004E35BC">
        <w:rPr>
          <w:rFonts w:asciiTheme="minorHAnsi" w:hAnsiTheme="minorHAnsi" w:cstheme="minorHAnsi"/>
          <w:sz w:val="22"/>
          <w:szCs w:val="22"/>
          <w:lang w:val="en-US"/>
        </w:rPr>
        <w:t>the 19</w:t>
      </w:r>
      <w:r w:rsidR="004E35BC" w:rsidRPr="004E35BC">
        <w:rPr>
          <w:rFonts w:asciiTheme="minorHAnsi" w:hAnsiTheme="minorHAnsi" w:cstheme="minorHAnsi"/>
          <w:sz w:val="22"/>
          <w:szCs w:val="22"/>
          <w:vertAlign w:val="superscript"/>
          <w:lang w:val="en-US"/>
        </w:rPr>
        <w:t>th</w:t>
      </w:r>
      <w:r w:rsidR="004E35BC">
        <w:rPr>
          <w:rFonts w:asciiTheme="minorHAnsi" w:hAnsiTheme="minorHAnsi" w:cstheme="minorHAnsi"/>
          <w:sz w:val="22"/>
          <w:szCs w:val="22"/>
          <w:lang w:val="en-US"/>
        </w:rPr>
        <w:t xml:space="preserve"> century, dementia was a common diagnosis for admission to a mental asylum</w:t>
      </w:r>
      <w:r w:rsidR="001D1F43">
        <w:rPr>
          <w:rFonts w:asciiTheme="minorHAnsi" w:hAnsiTheme="minorHAnsi" w:cstheme="minorHAnsi"/>
          <w:sz w:val="22"/>
          <w:szCs w:val="22"/>
          <w:lang w:val="en-US"/>
        </w:rPr>
        <w:t xml:space="preserve"> (Hill, 2003)</w:t>
      </w:r>
      <w:r w:rsidR="004E35BC">
        <w:rPr>
          <w:rFonts w:asciiTheme="minorHAnsi" w:hAnsiTheme="minorHAnsi" w:cstheme="minorHAnsi"/>
          <w:sz w:val="22"/>
          <w:szCs w:val="22"/>
          <w:lang w:val="en-US"/>
        </w:rPr>
        <w:t xml:space="preserve">. British asylums were mainly humane </w:t>
      </w:r>
      <w:r w:rsidR="00EF6619">
        <w:rPr>
          <w:rFonts w:asciiTheme="minorHAnsi" w:hAnsiTheme="minorHAnsi" w:cstheme="minorHAnsi"/>
          <w:sz w:val="22"/>
          <w:szCs w:val="22"/>
          <w:lang w:val="en-US"/>
        </w:rPr>
        <w:t>compared</w:t>
      </w:r>
      <w:r w:rsidR="004E35BC">
        <w:rPr>
          <w:rFonts w:asciiTheme="minorHAnsi" w:hAnsiTheme="minorHAnsi" w:cstheme="minorHAnsi"/>
          <w:sz w:val="22"/>
          <w:szCs w:val="22"/>
          <w:lang w:val="en-US"/>
        </w:rPr>
        <w:t xml:space="preserve"> to others around the world. In some asylums, </w:t>
      </w:r>
      <w:r w:rsidR="00EF6619">
        <w:rPr>
          <w:rFonts w:asciiTheme="minorHAnsi" w:hAnsiTheme="minorHAnsi" w:cstheme="minorHAnsi"/>
          <w:sz w:val="22"/>
          <w:szCs w:val="22"/>
          <w:lang w:val="en-US"/>
        </w:rPr>
        <w:t>patients</w:t>
      </w:r>
      <w:r w:rsidR="004E35BC">
        <w:rPr>
          <w:rFonts w:asciiTheme="minorHAnsi" w:hAnsiTheme="minorHAnsi" w:cstheme="minorHAnsi"/>
          <w:sz w:val="22"/>
          <w:szCs w:val="22"/>
          <w:lang w:val="en-US"/>
        </w:rPr>
        <w:t xml:space="preserve"> could help with gardening and complete exercise and their diet was often better that it would be out</w:t>
      </w:r>
      <w:r w:rsidR="00EF6619">
        <w:rPr>
          <w:rFonts w:asciiTheme="minorHAnsi" w:hAnsiTheme="minorHAnsi" w:cstheme="minorHAnsi"/>
          <w:sz w:val="22"/>
          <w:szCs w:val="22"/>
          <w:lang w:val="en-US"/>
        </w:rPr>
        <w:t>s</w:t>
      </w:r>
      <w:r w:rsidR="004E35BC">
        <w:rPr>
          <w:rFonts w:asciiTheme="minorHAnsi" w:hAnsiTheme="minorHAnsi" w:cstheme="minorHAnsi"/>
          <w:sz w:val="22"/>
          <w:szCs w:val="22"/>
          <w:lang w:val="en-US"/>
        </w:rPr>
        <w:t xml:space="preserve">ide the asylum. However, those who posed harm to themselves or other would have to wear physical </w:t>
      </w:r>
      <w:r w:rsidR="00EF6619">
        <w:rPr>
          <w:rFonts w:asciiTheme="minorHAnsi" w:hAnsiTheme="minorHAnsi" w:cstheme="minorHAnsi"/>
          <w:sz w:val="22"/>
          <w:szCs w:val="22"/>
          <w:lang w:val="en-US"/>
        </w:rPr>
        <w:t>restraints</w:t>
      </w:r>
      <w:r w:rsidR="004E35BC">
        <w:rPr>
          <w:rFonts w:asciiTheme="minorHAnsi" w:hAnsiTheme="minorHAnsi" w:cstheme="minorHAnsi"/>
          <w:sz w:val="22"/>
          <w:szCs w:val="22"/>
          <w:lang w:val="en-US"/>
        </w:rPr>
        <w:t xml:space="preserve"> such as straitjackets, chains and manacles</w:t>
      </w:r>
      <w:r w:rsidR="001D1F43">
        <w:rPr>
          <w:rFonts w:asciiTheme="minorHAnsi" w:hAnsiTheme="minorHAnsi" w:cstheme="minorHAnsi"/>
          <w:sz w:val="22"/>
          <w:szCs w:val="22"/>
          <w:lang w:val="en-US"/>
        </w:rPr>
        <w:t xml:space="preserve"> (Winship, 2006).</w:t>
      </w:r>
      <w:r w:rsidR="004E35BC">
        <w:rPr>
          <w:rFonts w:asciiTheme="minorHAnsi" w:hAnsiTheme="minorHAnsi" w:cstheme="minorHAnsi"/>
          <w:sz w:val="22"/>
          <w:szCs w:val="22"/>
          <w:lang w:val="en-US"/>
        </w:rPr>
        <w:t xml:space="preserve"> The most horrifying cure were electrocution and lobotomies. These archaic treatments continued into the 1950’s</w:t>
      </w:r>
      <w:r w:rsidR="00EF6619">
        <w:rPr>
          <w:rFonts w:asciiTheme="minorHAnsi" w:hAnsiTheme="minorHAnsi" w:cstheme="minorHAnsi"/>
          <w:sz w:val="22"/>
          <w:szCs w:val="22"/>
          <w:lang w:val="en-US"/>
        </w:rPr>
        <w:t>, but mental health and dementia care had been transforming for some time</w:t>
      </w:r>
      <w:r w:rsidR="0065192E">
        <w:rPr>
          <w:rFonts w:asciiTheme="minorHAnsi" w:hAnsiTheme="minorHAnsi" w:cstheme="minorHAnsi"/>
          <w:sz w:val="22"/>
          <w:szCs w:val="22"/>
          <w:lang w:val="en-US"/>
        </w:rPr>
        <w:t xml:space="preserve"> </w:t>
      </w:r>
      <w:r w:rsidR="0065192E" w:rsidRPr="0065192E">
        <w:rPr>
          <w:rFonts w:asciiTheme="minorHAnsi" w:hAnsiTheme="minorHAnsi" w:cstheme="minorHAnsi"/>
          <w:sz w:val="22"/>
          <w:szCs w:val="22"/>
          <w:lang w:val="en-US"/>
        </w:rPr>
        <w:t>(</w:t>
      </w:r>
      <w:r w:rsidR="0065192E" w:rsidRPr="0065192E">
        <w:rPr>
          <w:rFonts w:asciiTheme="minorHAnsi" w:hAnsiTheme="minorHAnsi" w:cstheme="minorHAnsi"/>
          <w:color w:val="222222"/>
          <w:sz w:val="22"/>
          <w:szCs w:val="22"/>
        </w:rPr>
        <w:t>Desjarlais, 1995)</w:t>
      </w:r>
      <w:r w:rsidR="00EF6619">
        <w:rPr>
          <w:rFonts w:asciiTheme="minorHAnsi" w:hAnsiTheme="minorHAnsi" w:cstheme="minorHAnsi"/>
          <w:sz w:val="22"/>
          <w:szCs w:val="22"/>
          <w:lang w:val="en-US"/>
        </w:rPr>
        <w:t>. In 1976</w:t>
      </w:r>
      <w:r w:rsidRPr="001B7D3B">
        <w:rPr>
          <w:rFonts w:asciiTheme="minorHAnsi" w:hAnsiTheme="minorHAnsi" w:cstheme="minorHAnsi"/>
          <w:sz w:val="22"/>
          <w:szCs w:val="22"/>
          <w:lang w:val="en-US"/>
        </w:rPr>
        <w:t xml:space="preserve"> </w:t>
      </w:r>
      <w:r w:rsidR="001B7D3B" w:rsidRPr="001B7D3B">
        <w:rPr>
          <w:rFonts w:asciiTheme="minorHAnsi" w:hAnsiTheme="minorHAnsi" w:cstheme="minorHAnsi"/>
          <w:sz w:val="22"/>
          <w:szCs w:val="22"/>
          <w:lang w:val="en-US"/>
        </w:rPr>
        <w:t>researchers</w:t>
      </w:r>
      <w:r w:rsidRPr="001B7D3B">
        <w:rPr>
          <w:rFonts w:asciiTheme="minorHAnsi" w:hAnsiTheme="minorHAnsi" w:cstheme="minorHAnsi"/>
          <w:sz w:val="22"/>
          <w:szCs w:val="22"/>
          <w:lang w:val="en-US"/>
        </w:rPr>
        <w:t xml:space="preserve"> found evidence that </w:t>
      </w:r>
      <w:r w:rsidR="001B7D3B">
        <w:rPr>
          <w:rFonts w:asciiTheme="minorHAnsi" w:hAnsiTheme="minorHAnsi" w:cstheme="minorHAnsi"/>
          <w:sz w:val="22"/>
          <w:szCs w:val="22"/>
          <w:lang w:val="en-US"/>
        </w:rPr>
        <w:t>l</w:t>
      </w:r>
      <w:r w:rsidRPr="001B7D3B">
        <w:rPr>
          <w:rFonts w:asciiTheme="minorHAnsi" w:hAnsiTheme="minorHAnsi" w:cstheme="minorHAnsi"/>
          <w:sz w:val="22"/>
          <w:szCs w:val="22"/>
          <w:lang w:val="en-US"/>
        </w:rPr>
        <w:t xml:space="preserve">evels of a chemical messenger in the brain called </w:t>
      </w:r>
      <w:r w:rsidR="007625FC" w:rsidRPr="001B7D3B">
        <w:rPr>
          <w:rFonts w:asciiTheme="minorHAnsi" w:hAnsiTheme="minorHAnsi" w:cstheme="minorHAnsi"/>
          <w:sz w:val="22"/>
          <w:szCs w:val="22"/>
          <w:lang w:val="en-US"/>
        </w:rPr>
        <w:t>acetylcholine</w:t>
      </w:r>
      <w:r w:rsidRPr="001B7D3B">
        <w:rPr>
          <w:rFonts w:asciiTheme="minorHAnsi" w:hAnsiTheme="minorHAnsi" w:cstheme="minorHAnsi"/>
          <w:sz w:val="22"/>
          <w:szCs w:val="22"/>
          <w:lang w:val="en-US"/>
        </w:rPr>
        <w:t xml:space="preserve">, were lower in individuals with </w:t>
      </w:r>
      <w:r w:rsidR="00EF6619" w:rsidRPr="001B7D3B">
        <w:rPr>
          <w:rFonts w:asciiTheme="minorHAnsi" w:hAnsiTheme="minorHAnsi" w:cstheme="minorHAnsi"/>
          <w:sz w:val="22"/>
          <w:szCs w:val="22"/>
          <w:lang w:val="en-US"/>
        </w:rPr>
        <w:t>Alz</w:t>
      </w:r>
      <w:r w:rsidR="00EF6619">
        <w:rPr>
          <w:rFonts w:asciiTheme="minorHAnsi" w:hAnsiTheme="minorHAnsi" w:cstheme="minorHAnsi"/>
          <w:sz w:val="22"/>
          <w:szCs w:val="22"/>
          <w:lang w:val="en-US"/>
        </w:rPr>
        <w:t>heimer’s</w:t>
      </w:r>
      <w:r w:rsidRPr="001B7D3B">
        <w:rPr>
          <w:rFonts w:asciiTheme="minorHAnsi" w:hAnsiTheme="minorHAnsi" w:cstheme="minorHAnsi"/>
          <w:sz w:val="22"/>
          <w:szCs w:val="22"/>
          <w:lang w:val="en-US"/>
        </w:rPr>
        <w:t xml:space="preserve"> disease</w:t>
      </w:r>
      <w:r w:rsidR="0065192E">
        <w:rPr>
          <w:rFonts w:asciiTheme="minorHAnsi" w:hAnsiTheme="minorHAnsi" w:cstheme="minorHAnsi"/>
          <w:sz w:val="22"/>
          <w:szCs w:val="22"/>
          <w:lang w:val="en-US"/>
        </w:rPr>
        <w:t xml:space="preserve"> (Francis, 1999)</w:t>
      </w:r>
      <w:r w:rsidRPr="001B7D3B">
        <w:rPr>
          <w:rFonts w:asciiTheme="minorHAnsi" w:hAnsiTheme="minorHAnsi" w:cstheme="minorHAnsi"/>
          <w:sz w:val="22"/>
          <w:szCs w:val="22"/>
          <w:lang w:val="en-US"/>
        </w:rPr>
        <w:t xml:space="preserve">. This moment was a stimulus for a cascade of research that led to the development of drugs used to treat </w:t>
      </w:r>
      <w:r w:rsidR="00EF6619">
        <w:rPr>
          <w:rFonts w:asciiTheme="minorHAnsi" w:hAnsiTheme="minorHAnsi" w:cstheme="minorHAnsi"/>
          <w:sz w:val="22"/>
          <w:szCs w:val="22"/>
          <w:lang w:val="en-US"/>
        </w:rPr>
        <w:t>Alzheimer’s</w:t>
      </w:r>
      <w:r w:rsidRPr="001B7D3B">
        <w:rPr>
          <w:rFonts w:asciiTheme="minorHAnsi" w:hAnsiTheme="minorHAnsi" w:cstheme="minorHAnsi"/>
          <w:sz w:val="22"/>
          <w:szCs w:val="22"/>
          <w:lang w:val="en-US"/>
        </w:rPr>
        <w:t xml:space="preserve"> and dementia with </w:t>
      </w:r>
      <w:r w:rsidR="007625FC" w:rsidRPr="001B7D3B">
        <w:rPr>
          <w:rFonts w:asciiTheme="minorHAnsi" w:hAnsiTheme="minorHAnsi" w:cstheme="minorHAnsi"/>
          <w:sz w:val="22"/>
          <w:szCs w:val="22"/>
          <w:lang w:val="en-US"/>
        </w:rPr>
        <w:t>Lewy</w:t>
      </w:r>
      <w:r w:rsidRPr="001B7D3B">
        <w:rPr>
          <w:rFonts w:asciiTheme="minorHAnsi" w:hAnsiTheme="minorHAnsi" w:cstheme="minorHAnsi"/>
          <w:sz w:val="22"/>
          <w:szCs w:val="22"/>
          <w:lang w:val="en-US"/>
        </w:rPr>
        <w:t xml:space="preserve"> bodies today</w:t>
      </w:r>
      <w:r w:rsidR="00D825D5">
        <w:rPr>
          <w:rFonts w:asciiTheme="minorHAnsi" w:hAnsiTheme="minorHAnsi" w:cstheme="minorHAnsi"/>
          <w:sz w:val="22"/>
          <w:szCs w:val="22"/>
          <w:lang w:val="en-US"/>
        </w:rPr>
        <w:t xml:space="preserve"> (Salloway, 2012). </w:t>
      </w:r>
    </w:p>
    <w:p w14:paraId="567F8D7F" w14:textId="75A59DDA" w:rsidR="000F5D5D" w:rsidRDefault="000F5D5D" w:rsidP="00376A2C">
      <w:pPr>
        <w:pStyle w:val="NormalWeb"/>
        <w:spacing w:line="360" w:lineRule="auto"/>
        <w:rPr>
          <w:rFonts w:asciiTheme="minorHAnsi" w:hAnsiTheme="minorHAnsi" w:cstheme="minorHAnsi"/>
          <w:sz w:val="22"/>
          <w:szCs w:val="22"/>
          <w:lang w:val="en-US"/>
        </w:rPr>
      </w:pPr>
      <w:r w:rsidRPr="00747517">
        <w:rPr>
          <w:rFonts w:asciiTheme="minorHAnsi" w:hAnsiTheme="minorHAnsi" w:cstheme="minorHAnsi"/>
          <w:sz w:val="22"/>
          <w:szCs w:val="22"/>
          <w:lang w:val="en-US"/>
        </w:rPr>
        <w:t xml:space="preserve">The Mental Health Act 1983 relates to individuals with a ‘mental </w:t>
      </w:r>
      <w:r w:rsidRPr="00D825D5">
        <w:rPr>
          <w:rFonts w:asciiTheme="minorHAnsi" w:hAnsiTheme="minorHAnsi" w:cstheme="minorHAnsi"/>
          <w:sz w:val="22"/>
          <w:szCs w:val="22"/>
          <w:lang w:val="en-US"/>
        </w:rPr>
        <w:t>disorder’</w:t>
      </w:r>
      <w:r w:rsidR="00D825D5" w:rsidRPr="00D825D5">
        <w:rPr>
          <w:rFonts w:asciiTheme="minorHAnsi" w:hAnsiTheme="minorHAnsi" w:cstheme="minorHAnsi"/>
          <w:sz w:val="22"/>
          <w:szCs w:val="22"/>
          <w:lang w:val="en-US"/>
        </w:rPr>
        <w:t xml:space="preserve"> (</w:t>
      </w:r>
      <w:r w:rsidR="00D825D5" w:rsidRPr="00D825D5">
        <w:rPr>
          <w:rFonts w:asciiTheme="minorHAnsi" w:hAnsiTheme="minorHAnsi" w:cstheme="minorHAnsi"/>
          <w:color w:val="222222"/>
          <w:sz w:val="22"/>
          <w:szCs w:val="22"/>
        </w:rPr>
        <w:t>Szmukler, 2000)</w:t>
      </w:r>
      <w:r w:rsidRPr="00747517">
        <w:rPr>
          <w:rFonts w:asciiTheme="minorHAnsi" w:hAnsiTheme="minorHAnsi" w:cstheme="minorHAnsi"/>
          <w:sz w:val="22"/>
          <w:szCs w:val="22"/>
          <w:lang w:val="en-US"/>
        </w:rPr>
        <w:t xml:space="preserve">. This term is </w:t>
      </w:r>
      <w:r w:rsidR="00747517" w:rsidRPr="00747517">
        <w:rPr>
          <w:rFonts w:asciiTheme="minorHAnsi" w:hAnsiTheme="minorHAnsi" w:cstheme="minorHAnsi"/>
          <w:sz w:val="22"/>
          <w:szCs w:val="22"/>
          <w:lang w:val="en-US"/>
        </w:rPr>
        <w:t>used</w:t>
      </w:r>
      <w:r w:rsidRPr="00747517">
        <w:rPr>
          <w:rFonts w:asciiTheme="minorHAnsi" w:hAnsiTheme="minorHAnsi" w:cstheme="minorHAnsi"/>
          <w:sz w:val="22"/>
          <w:szCs w:val="22"/>
          <w:lang w:val="en-US"/>
        </w:rPr>
        <w:t xml:space="preserve"> by the Act to describe any disorder or disability of the mind, including dementia. The Act explains in what circumstances and for what reasons an individual may be detained in hospital against their will</w:t>
      </w:r>
      <w:r w:rsidR="00D825D5">
        <w:rPr>
          <w:rFonts w:asciiTheme="minorHAnsi" w:hAnsiTheme="minorHAnsi" w:cstheme="minorHAnsi"/>
          <w:sz w:val="22"/>
          <w:szCs w:val="22"/>
          <w:lang w:val="en-US"/>
        </w:rPr>
        <w:t xml:space="preserve"> (Thomas, 2019).</w:t>
      </w:r>
      <w:r w:rsidRPr="00747517">
        <w:rPr>
          <w:rFonts w:asciiTheme="minorHAnsi" w:hAnsiTheme="minorHAnsi" w:cstheme="minorHAnsi"/>
          <w:sz w:val="22"/>
          <w:szCs w:val="22"/>
          <w:lang w:val="en-US"/>
        </w:rPr>
        <w:t xml:space="preserve"> It is used to detain an individual </w:t>
      </w:r>
      <w:r w:rsidR="00747517" w:rsidRPr="00747517">
        <w:rPr>
          <w:rFonts w:asciiTheme="minorHAnsi" w:hAnsiTheme="minorHAnsi" w:cstheme="minorHAnsi"/>
          <w:sz w:val="22"/>
          <w:szCs w:val="22"/>
          <w:lang w:val="en-US"/>
        </w:rPr>
        <w:t>whether</w:t>
      </w:r>
      <w:r w:rsidRPr="00747517">
        <w:rPr>
          <w:rFonts w:asciiTheme="minorHAnsi" w:hAnsiTheme="minorHAnsi" w:cstheme="minorHAnsi"/>
          <w:sz w:val="22"/>
          <w:szCs w:val="22"/>
          <w:lang w:val="en-US"/>
        </w:rPr>
        <w:t xml:space="preserve"> they have the ‘mental capacity’ </w:t>
      </w:r>
      <w:r w:rsidR="00935D59" w:rsidRPr="00747517">
        <w:rPr>
          <w:rFonts w:asciiTheme="minorHAnsi" w:hAnsiTheme="minorHAnsi" w:cstheme="minorHAnsi"/>
          <w:sz w:val="22"/>
          <w:szCs w:val="22"/>
          <w:lang w:val="en-US"/>
        </w:rPr>
        <w:t xml:space="preserve">to agree to stay in hospital. This is sometimes called ‘being sectioned’. An individual can only be detained if the have a ‘mental disorder’ that makes it appropriate to use the Act. The Act also explains what responsibilities healthcare and social care providers have to individuals who are detained. It sets out </w:t>
      </w:r>
      <w:r w:rsidR="0054186D" w:rsidRPr="00747517">
        <w:rPr>
          <w:rFonts w:asciiTheme="minorHAnsi" w:hAnsiTheme="minorHAnsi" w:cstheme="minorHAnsi"/>
          <w:sz w:val="22"/>
          <w:szCs w:val="22"/>
          <w:lang w:val="en-US"/>
        </w:rPr>
        <w:t xml:space="preserve">‘safeguards’ to protect that person. Section 2 of the Act allows an individual to </w:t>
      </w:r>
      <w:r w:rsidR="0054186D" w:rsidRPr="00747517">
        <w:rPr>
          <w:rFonts w:asciiTheme="minorHAnsi" w:hAnsiTheme="minorHAnsi" w:cstheme="minorHAnsi"/>
          <w:sz w:val="22"/>
          <w:szCs w:val="22"/>
          <w:lang w:val="en-US"/>
        </w:rPr>
        <w:lastRenderedPageBreak/>
        <w:t>be detained in hospital to have their mental condition assessed</w:t>
      </w:r>
      <w:r w:rsidR="00D825D5">
        <w:rPr>
          <w:rFonts w:asciiTheme="minorHAnsi" w:hAnsiTheme="minorHAnsi" w:cstheme="minorHAnsi"/>
          <w:sz w:val="22"/>
          <w:szCs w:val="22"/>
          <w:lang w:val="en-US"/>
        </w:rPr>
        <w:t xml:space="preserve"> (Riley, 2011)</w:t>
      </w:r>
      <w:r w:rsidR="0054186D" w:rsidRPr="00747517">
        <w:rPr>
          <w:rFonts w:asciiTheme="minorHAnsi" w:hAnsiTheme="minorHAnsi" w:cstheme="minorHAnsi"/>
          <w:sz w:val="22"/>
          <w:szCs w:val="22"/>
          <w:lang w:val="en-US"/>
        </w:rPr>
        <w:t xml:space="preserve">. This can happen if they refuse to do this voluntarily or if they are likely to change their mind about going into hospital. It can also happen if the individual does not have the mental capacity to give informed consent, this meaning they are not able to understand all the relevant information to agree to be assessed. An individual can be detained for assessment if health professionals think they are behaving in a way that put their health at risk. They can also be detained if they are a danger to themselves or others. For example, an individual with dementia may be detained under section 2 if they are seriously neglecting themselves. Section 3 of the Act allows for someone to be detained in hospital so they can receive treatment. The 1983 Act is outdated </w:t>
      </w:r>
      <w:r w:rsidR="00747517" w:rsidRPr="00747517">
        <w:rPr>
          <w:rFonts w:asciiTheme="minorHAnsi" w:hAnsiTheme="minorHAnsi" w:cstheme="minorHAnsi"/>
          <w:sz w:val="22"/>
          <w:szCs w:val="22"/>
          <w:lang w:val="en-US"/>
        </w:rPr>
        <w:t>and</w:t>
      </w:r>
      <w:r w:rsidR="0054186D" w:rsidRPr="00747517">
        <w:rPr>
          <w:rFonts w:asciiTheme="minorHAnsi" w:hAnsiTheme="minorHAnsi" w:cstheme="minorHAnsi"/>
          <w:sz w:val="22"/>
          <w:szCs w:val="22"/>
          <w:lang w:val="en-US"/>
        </w:rPr>
        <w:t xml:space="preserve"> was based o</w:t>
      </w:r>
      <w:r w:rsidR="00747517" w:rsidRPr="00747517">
        <w:rPr>
          <w:rFonts w:asciiTheme="minorHAnsi" w:hAnsiTheme="minorHAnsi" w:cstheme="minorHAnsi"/>
          <w:sz w:val="22"/>
          <w:szCs w:val="22"/>
          <w:lang w:val="en-US"/>
        </w:rPr>
        <w:t>n</w:t>
      </w:r>
      <w:r w:rsidR="0054186D" w:rsidRPr="00747517">
        <w:rPr>
          <w:rFonts w:asciiTheme="minorHAnsi" w:hAnsiTheme="minorHAnsi" w:cstheme="minorHAnsi"/>
          <w:sz w:val="22"/>
          <w:szCs w:val="22"/>
          <w:lang w:val="en-US"/>
        </w:rPr>
        <w:t xml:space="preserve"> earlier legislations and the grounds for detaining people have not changed for many </w:t>
      </w:r>
      <w:r w:rsidR="00747517" w:rsidRPr="00747517">
        <w:rPr>
          <w:rFonts w:asciiTheme="minorHAnsi" w:hAnsiTheme="minorHAnsi" w:cstheme="minorHAnsi"/>
          <w:sz w:val="22"/>
          <w:szCs w:val="22"/>
          <w:lang w:val="en-US"/>
        </w:rPr>
        <w:t>years, even</w:t>
      </w:r>
      <w:r w:rsidR="0054186D" w:rsidRPr="00747517">
        <w:rPr>
          <w:rFonts w:asciiTheme="minorHAnsi" w:hAnsiTheme="minorHAnsi" w:cstheme="minorHAnsi"/>
          <w:sz w:val="22"/>
          <w:szCs w:val="22"/>
          <w:lang w:val="en-US"/>
        </w:rPr>
        <w:t xml:space="preserve"> though health care </w:t>
      </w:r>
      <w:r w:rsidR="00747517" w:rsidRPr="00747517">
        <w:rPr>
          <w:rFonts w:asciiTheme="minorHAnsi" w:hAnsiTheme="minorHAnsi" w:cstheme="minorHAnsi"/>
          <w:sz w:val="22"/>
          <w:szCs w:val="22"/>
          <w:lang w:val="en-US"/>
        </w:rPr>
        <w:t>and attitudes towards mental health have changed drastically. Since the Act was amended 10 years ago, there has been a continued rise in detentions. Research has shown that community treatment orders, which was introduced in 2008, do not make a difference to whether people are remitted to hospital</w:t>
      </w:r>
      <w:r w:rsidR="00D825D5">
        <w:rPr>
          <w:rFonts w:asciiTheme="minorHAnsi" w:hAnsiTheme="minorHAnsi" w:cstheme="minorHAnsi"/>
          <w:sz w:val="22"/>
          <w:szCs w:val="22"/>
          <w:lang w:val="en-US"/>
        </w:rPr>
        <w:t xml:space="preserve"> (Green, 2014)</w:t>
      </w:r>
      <w:r w:rsidR="00747517" w:rsidRPr="00747517">
        <w:rPr>
          <w:rFonts w:asciiTheme="minorHAnsi" w:hAnsiTheme="minorHAnsi" w:cstheme="minorHAnsi"/>
          <w:sz w:val="22"/>
          <w:szCs w:val="22"/>
          <w:lang w:val="en-US"/>
        </w:rPr>
        <w:t xml:space="preserve">. A survey conducted by the Mental Health Alliance found that, while a majority of respondents said there were circumstances when being treated against your will in hospital may be necessary, there were large concerns that </w:t>
      </w:r>
      <w:r w:rsidR="00883311" w:rsidRPr="00747517">
        <w:rPr>
          <w:rFonts w:asciiTheme="minorHAnsi" w:hAnsiTheme="minorHAnsi" w:cstheme="minorHAnsi"/>
          <w:sz w:val="22"/>
          <w:szCs w:val="22"/>
          <w:lang w:val="en-US"/>
        </w:rPr>
        <w:t>people’s</w:t>
      </w:r>
      <w:r w:rsidR="00747517" w:rsidRPr="00747517">
        <w:rPr>
          <w:rFonts w:asciiTheme="minorHAnsi" w:hAnsiTheme="minorHAnsi" w:cstheme="minorHAnsi"/>
          <w:sz w:val="22"/>
          <w:szCs w:val="22"/>
          <w:lang w:val="en-US"/>
        </w:rPr>
        <w:t xml:space="preserve"> dignity, autonomy and human rights were being overlooked</w:t>
      </w:r>
      <w:r w:rsidR="00A20E89">
        <w:rPr>
          <w:rFonts w:asciiTheme="minorHAnsi" w:hAnsiTheme="minorHAnsi" w:cstheme="minorHAnsi"/>
          <w:sz w:val="22"/>
          <w:szCs w:val="22"/>
          <w:lang w:val="en-US"/>
        </w:rPr>
        <w:t xml:space="preserve"> (Sorensen, 2006).</w:t>
      </w:r>
    </w:p>
    <w:p w14:paraId="3EB1C597" w14:textId="77777777" w:rsidR="003C519C" w:rsidRDefault="003C519C" w:rsidP="00376A2C">
      <w:pPr>
        <w:pStyle w:val="NormalWeb"/>
        <w:spacing w:line="360" w:lineRule="auto"/>
        <w:rPr>
          <w:rFonts w:asciiTheme="minorHAnsi" w:hAnsiTheme="minorHAnsi" w:cstheme="minorHAnsi"/>
          <w:sz w:val="22"/>
          <w:szCs w:val="22"/>
          <w:lang w:val="en-US"/>
        </w:rPr>
      </w:pPr>
    </w:p>
    <w:p w14:paraId="6481297C" w14:textId="6AB25F95" w:rsidR="00747517" w:rsidRDefault="00747517" w:rsidP="00376A2C">
      <w:pPr>
        <w:pStyle w:val="NormalWeb"/>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 xml:space="preserve">The Human Rights Act 1998 (HRA) effectively incorporated the European </w:t>
      </w:r>
      <w:r w:rsidR="00883311">
        <w:rPr>
          <w:rFonts w:asciiTheme="minorHAnsi" w:hAnsiTheme="minorHAnsi" w:cstheme="minorHAnsi"/>
          <w:sz w:val="22"/>
          <w:szCs w:val="22"/>
          <w:lang w:val="en-US"/>
        </w:rPr>
        <w:t>Convention</w:t>
      </w:r>
      <w:r>
        <w:rPr>
          <w:rFonts w:asciiTheme="minorHAnsi" w:hAnsiTheme="minorHAnsi" w:cstheme="minorHAnsi"/>
          <w:sz w:val="22"/>
          <w:szCs w:val="22"/>
          <w:lang w:val="en-US"/>
        </w:rPr>
        <w:t xml:space="preserve"> on Human Rights (ECHR) into UK law</w:t>
      </w:r>
      <w:r w:rsidR="00A20E89">
        <w:rPr>
          <w:rFonts w:asciiTheme="minorHAnsi" w:hAnsiTheme="minorHAnsi" w:cstheme="minorHAnsi"/>
          <w:sz w:val="22"/>
          <w:szCs w:val="22"/>
          <w:lang w:val="en-US"/>
        </w:rPr>
        <w:t xml:space="preserve"> (Marrow, 2013)</w:t>
      </w:r>
      <w:r>
        <w:rPr>
          <w:rFonts w:asciiTheme="minorHAnsi" w:hAnsiTheme="minorHAnsi" w:cstheme="minorHAnsi"/>
          <w:sz w:val="22"/>
          <w:szCs w:val="22"/>
          <w:lang w:val="en-US"/>
        </w:rPr>
        <w:t xml:space="preserve">. </w:t>
      </w:r>
      <w:r w:rsidR="00883311">
        <w:rPr>
          <w:rFonts w:asciiTheme="minorHAnsi" w:hAnsiTheme="minorHAnsi" w:cstheme="minorHAnsi"/>
          <w:sz w:val="22"/>
          <w:szCs w:val="22"/>
          <w:lang w:val="en-US"/>
        </w:rPr>
        <w:t>The UK has been signatory to the ECHR since 1953. The HRA enables people to bring claims relating to breaches of their human rights in UK courts, and requires public bodies to act compatibly with human rights. The rights in the ECHR include the right to life, to be free from torture, to liberty, privacy and to freedom of speech and assembly</w:t>
      </w:r>
      <w:r w:rsidR="00A20E89">
        <w:rPr>
          <w:rFonts w:asciiTheme="minorHAnsi" w:hAnsiTheme="minorHAnsi" w:cstheme="minorHAnsi"/>
          <w:sz w:val="22"/>
          <w:szCs w:val="22"/>
          <w:lang w:val="en-US"/>
        </w:rPr>
        <w:t xml:space="preserve"> (Sanderson, 2002)</w:t>
      </w:r>
      <w:r w:rsidR="00883311">
        <w:rPr>
          <w:rFonts w:asciiTheme="minorHAnsi" w:hAnsiTheme="minorHAnsi" w:cstheme="minorHAnsi"/>
          <w:sz w:val="22"/>
          <w:szCs w:val="22"/>
          <w:lang w:val="en-US"/>
        </w:rPr>
        <w:t>.</w:t>
      </w:r>
      <w:r w:rsidR="00CA6FCE">
        <w:rPr>
          <w:rFonts w:asciiTheme="minorHAnsi" w:hAnsiTheme="minorHAnsi" w:cstheme="minorHAnsi"/>
          <w:sz w:val="22"/>
          <w:szCs w:val="22"/>
          <w:lang w:val="en-US"/>
        </w:rPr>
        <w:t xml:space="preserve"> If you have a mental disorder the Human Rights Act means that you should be treated with dignity and respect by staff and services providers. Mental health, social services and emergency services must comply with your human rights. </w:t>
      </w:r>
      <w:r w:rsidR="00883311">
        <w:rPr>
          <w:rFonts w:asciiTheme="minorHAnsi" w:hAnsiTheme="minorHAnsi" w:cstheme="minorHAnsi"/>
          <w:sz w:val="22"/>
          <w:szCs w:val="22"/>
          <w:lang w:val="en-US"/>
        </w:rPr>
        <w:t>In December 2021, the Government published a consultation on its proposals to replace the Human Rights Act with a Bill of Rights</w:t>
      </w:r>
      <w:r w:rsidR="00A20E89">
        <w:rPr>
          <w:rFonts w:asciiTheme="minorHAnsi" w:hAnsiTheme="minorHAnsi" w:cstheme="minorHAnsi"/>
          <w:sz w:val="22"/>
          <w:szCs w:val="22"/>
          <w:lang w:val="en-US"/>
        </w:rPr>
        <w:t xml:space="preserve"> (Amos, 2009). </w:t>
      </w:r>
      <w:r w:rsidR="00883311">
        <w:rPr>
          <w:rFonts w:asciiTheme="minorHAnsi" w:hAnsiTheme="minorHAnsi" w:cstheme="minorHAnsi"/>
          <w:sz w:val="22"/>
          <w:szCs w:val="22"/>
          <w:lang w:val="en-US"/>
        </w:rPr>
        <w:t>The Acts new proposal are to strengthen quintessentially British traditions, such as freedom of speech and the right to a jury trial, while ensuring the system is not open to abuse</w:t>
      </w:r>
      <w:r w:rsidR="00A20E89">
        <w:rPr>
          <w:rFonts w:asciiTheme="minorHAnsi" w:hAnsiTheme="minorHAnsi" w:cstheme="minorHAnsi"/>
          <w:sz w:val="22"/>
          <w:szCs w:val="22"/>
          <w:lang w:val="en-US"/>
        </w:rPr>
        <w:t xml:space="preserve"> (Amar, 2008)</w:t>
      </w:r>
      <w:r w:rsidR="00883311">
        <w:rPr>
          <w:rFonts w:asciiTheme="minorHAnsi" w:hAnsiTheme="minorHAnsi" w:cstheme="minorHAnsi"/>
          <w:sz w:val="22"/>
          <w:szCs w:val="22"/>
          <w:lang w:val="en-US"/>
        </w:rPr>
        <w:t>.</w:t>
      </w:r>
      <w:r w:rsidR="00CA6FCE">
        <w:rPr>
          <w:rFonts w:asciiTheme="minorHAnsi" w:hAnsiTheme="minorHAnsi" w:cstheme="minorHAnsi"/>
          <w:sz w:val="22"/>
          <w:szCs w:val="22"/>
          <w:lang w:val="en-US"/>
        </w:rPr>
        <w:t xml:space="preserve"> If your are detained under the Mental Health Act, knowing your rights can be a way to question and change how you are looked after. </w:t>
      </w:r>
    </w:p>
    <w:p w14:paraId="70EEB40D" w14:textId="4F5D40D2" w:rsidR="00D324FC" w:rsidRDefault="00CA6FCE" w:rsidP="00376A2C">
      <w:pPr>
        <w:pStyle w:val="NormalWeb"/>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lastRenderedPageBreak/>
        <w:t>People with dementia may lose their mental capacity and become unable to make some decisions. The Mental Capacity Act 2005 is a law in England and Wales that protects people who lack capacity to make a decision</w:t>
      </w:r>
      <w:r w:rsidR="00A20E89">
        <w:rPr>
          <w:rFonts w:asciiTheme="minorHAnsi" w:hAnsiTheme="minorHAnsi" w:cstheme="minorHAnsi"/>
          <w:sz w:val="22"/>
          <w:szCs w:val="22"/>
          <w:lang w:val="en-US"/>
        </w:rPr>
        <w:t xml:space="preserve"> (Cave, 2015)</w:t>
      </w:r>
      <w:r>
        <w:rPr>
          <w:rFonts w:asciiTheme="minorHAnsi" w:hAnsiTheme="minorHAnsi" w:cstheme="minorHAnsi"/>
          <w:sz w:val="22"/>
          <w:szCs w:val="22"/>
          <w:lang w:val="en-US"/>
        </w:rPr>
        <w:t xml:space="preserve">. It also outlines </w:t>
      </w:r>
      <w:r w:rsidR="00B71BC8">
        <w:rPr>
          <w:rFonts w:asciiTheme="minorHAnsi" w:hAnsiTheme="minorHAnsi" w:cstheme="minorHAnsi"/>
          <w:sz w:val="22"/>
          <w:szCs w:val="22"/>
          <w:lang w:val="en-US"/>
        </w:rPr>
        <w:t>who can and should make decisions for them. The Mental Capacity Act covers important decision making about a person’s property, financial affairs and health and social care</w:t>
      </w:r>
      <w:r w:rsidR="00A20E89">
        <w:rPr>
          <w:rFonts w:asciiTheme="minorHAnsi" w:hAnsiTheme="minorHAnsi" w:cstheme="minorHAnsi"/>
          <w:sz w:val="22"/>
          <w:szCs w:val="22"/>
          <w:lang w:val="en-US"/>
        </w:rPr>
        <w:t xml:space="preserve"> (Parker, 2011)</w:t>
      </w:r>
      <w:r w:rsidR="00B71BC8">
        <w:rPr>
          <w:rFonts w:asciiTheme="minorHAnsi" w:hAnsiTheme="minorHAnsi" w:cstheme="minorHAnsi"/>
          <w:sz w:val="22"/>
          <w:szCs w:val="22"/>
          <w:lang w:val="en-US"/>
        </w:rPr>
        <w:t>. It also covers everyday decisions such as an individual’s personal care. The Act can help people with dementia, their careers and professionals to make specific decisions and to plan for the future. To work out whether a person has capacity to make a decision, the law states that an assessment is required to find out whether they have the ability to make the particular decision at the particular time</w:t>
      </w:r>
      <w:r w:rsidR="00A20E89">
        <w:rPr>
          <w:rFonts w:asciiTheme="minorHAnsi" w:hAnsiTheme="minorHAnsi" w:cstheme="minorHAnsi"/>
          <w:sz w:val="22"/>
          <w:szCs w:val="22"/>
          <w:lang w:val="en-US"/>
        </w:rPr>
        <w:t xml:space="preserve"> (Okai, 2007)</w:t>
      </w:r>
      <w:r w:rsidR="00B71BC8">
        <w:rPr>
          <w:rFonts w:asciiTheme="minorHAnsi" w:hAnsiTheme="minorHAnsi" w:cstheme="minorHAnsi"/>
          <w:sz w:val="22"/>
          <w:szCs w:val="22"/>
          <w:lang w:val="en-US"/>
        </w:rPr>
        <w:t xml:space="preserve">. If a capacity assessment shows </w:t>
      </w:r>
      <w:r w:rsidR="00D07883">
        <w:rPr>
          <w:rFonts w:asciiTheme="minorHAnsi" w:hAnsiTheme="minorHAnsi" w:cstheme="minorHAnsi"/>
          <w:sz w:val="22"/>
          <w:szCs w:val="22"/>
          <w:lang w:val="en-US"/>
        </w:rPr>
        <w:t>t</w:t>
      </w:r>
      <w:r w:rsidR="00B71BC8">
        <w:rPr>
          <w:rFonts w:asciiTheme="minorHAnsi" w:hAnsiTheme="minorHAnsi" w:cstheme="minorHAnsi"/>
          <w:sz w:val="22"/>
          <w:szCs w:val="22"/>
          <w:lang w:val="en-US"/>
        </w:rPr>
        <w:t xml:space="preserve">hat a person with dementia lacks capacity to make certain decisions then it must be made in the persons best interests, making sure that the persons rights are respected and the decision is the best one for them. The </w:t>
      </w:r>
      <w:r w:rsidR="00AE14D7">
        <w:rPr>
          <w:rFonts w:asciiTheme="minorHAnsi" w:hAnsiTheme="minorHAnsi" w:cstheme="minorHAnsi"/>
          <w:sz w:val="22"/>
          <w:szCs w:val="22"/>
          <w:lang w:val="en-US"/>
        </w:rPr>
        <w:t>M</w:t>
      </w:r>
      <w:r w:rsidR="00B71BC8">
        <w:rPr>
          <w:rFonts w:asciiTheme="minorHAnsi" w:hAnsiTheme="minorHAnsi" w:cstheme="minorHAnsi"/>
          <w:sz w:val="22"/>
          <w:szCs w:val="22"/>
          <w:lang w:val="en-US"/>
        </w:rPr>
        <w:t>ental Capacity Act</w:t>
      </w:r>
      <w:r w:rsidR="00AE14D7">
        <w:rPr>
          <w:rFonts w:asciiTheme="minorHAnsi" w:hAnsiTheme="minorHAnsi" w:cstheme="minorHAnsi"/>
          <w:sz w:val="22"/>
          <w:szCs w:val="22"/>
          <w:lang w:val="en-US"/>
        </w:rPr>
        <w:t xml:space="preserve">  </w:t>
      </w:r>
      <w:r w:rsidR="00B71BC8">
        <w:rPr>
          <w:rFonts w:asciiTheme="minorHAnsi" w:hAnsiTheme="minorHAnsi" w:cstheme="minorHAnsi"/>
          <w:sz w:val="22"/>
          <w:szCs w:val="22"/>
          <w:lang w:val="en-US"/>
        </w:rPr>
        <w:t>2005 included the Deprivation of Liberty Safeguards (DoLS), which protect people who do not have the mental capacity to consent to treatment</w:t>
      </w:r>
      <w:r w:rsidR="00AE14D7">
        <w:rPr>
          <w:rFonts w:asciiTheme="minorHAnsi" w:hAnsiTheme="minorHAnsi" w:cstheme="minorHAnsi"/>
          <w:sz w:val="22"/>
          <w:szCs w:val="22"/>
          <w:lang w:val="en-US"/>
        </w:rPr>
        <w:t xml:space="preserve"> (Brindle, 2010)</w:t>
      </w:r>
      <w:r w:rsidR="00B71BC8">
        <w:rPr>
          <w:rFonts w:asciiTheme="minorHAnsi" w:hAnsiTheme="minorHAnsi" w:cstheme="minorHAnsi"/>
          <w:sz w:val="22"/>
          <w:szCs w:val="22"/>
          <w:lang w:val="en-US"/>
        </w:rPr>
        <w:t xml:space="preserve">. </w:t>
      </w:r>
      <w:r w:rsidR="00D324FC">
        <w:rPr>
          <w:rFonts w:asciiTheme="minorHAnsi" w:hAnsiTheme="minorHAnsi" w:cstheme="minorHAnsi"/>
          <w:sz w:val="22"/>
          <w:szCs w:val="22"/>
          <w:lang w:val="en-US"/>
        </w:rPr>
        <w:t xml:space="preserve">The Government consulted on replacing the DoLS in the Mental </w:t>
      </w:r>
      <w:r w:rsidR="00C70317">
        <w:rPr>
          <w:rFonts w:asciiTheme="minorHAnsi" w:hAnsiTheme="minorHAnsi" w:cstheme="minorHAnsi"/>
          <w:sz w:val="22"/>
          <w:szCs w:val="22"/>
          <w:lang w:val="en-US"/>
        </w:rPr>
        <w:t>Capacity</w:t>
      </w:r>
      <w:r w:rsidR="00D324FC">
        <w:rPr>
          <w:rFonts w:asciiTheme="minorHAnsi" w:hAnsiTheme="minorHAnsi" w:cstheme="minorHAnsi"/>
          <w:sz w:val="22"/>
          <w:szCs w:val="22"/>
          <w:lang w:val="en-US"/>
        </w:rPr>
        <w:t xml:space="preserve"> Amendment Bill in 2018, which passed into law in May 2019. Under The Mental </w:t>
      </w:r>
      <w:r w:rsidR="00C70317">
        <w:rPr>
          <w:rFonts w:asciiTheme="minorHAnsi" w:hAnsiTheme="minorHAnsi" w:cstheme="minorHAnsi"/>
          <w:sz w:val="22"/>
          <w:szCs w:val="22"/>
          <w:lang w:val="en-US"/>
        </w:rPr>
        <w:t>Capacity</w:t>
      </w:r>
      <w:r w:rsidR="00D324FC">
        <w:rPr>
          <w:rFonts w:asciiTheme="minorHAnsi" w:hAnsiTheme="minorHAnsi" w:cstheme="minorHAnsi"/>
          <w:sz w:val="22"/>
          <w:szCs w:val="22"/>
          <w:lang w:val="en-US"/>
        </w:rPr>
        <w:t xml:space="preserve"> Amendment Act 2019, DoLS with be replaced by the Liberty Protection Safeguards (LPS)</w:t>
      </w:r>
      <w:r w:rsidR="00AE14D7">
        <w:rPr>
          <w:rFonts w:asciiTheme="minorHAnsi" w:hAnsiTheme="minorHAnsi" w:cstheme="minorHAnsi"/>
          <w:sz w:val="22"/>
          <w:szCs w:val="22"/>
          <w:lang w:val="en-US"/>
        </w:rPr>
        <w:t xml:space="preserve"> (Series, 2020)</w:t>
      </w:r>
      <w:r w:rsidR="00D324FC">
        <w:rPr>
          <w:rFonts w:asciiTheme="minorHAnsi" w:hAnsiTheme="minorHAnsi" w:cstheme="minorHAnsi"/>
          <w:sz w:val="22"/>
          <w:szCs w:val="22"/>
          <w:lang w:val="en-US"/>
        </w:rPr>
        <w:t xml:space="preserve">. The government have </w:t>
      </w:r>
      <w:r w:rsidR="00C70317">
        <w:rPr>
          <w:rFonts w:asciiTheme="minorHAnsi" w:hAnsiTheme="minorHAnsi" w:cstheme="minorHAnsi"/>
          <w:sz w:val="22"/>
          <w:szCs w:val="22"/>
          <w:lang w:val="en-US"/>
        </w:rPr>
        <w:t>recommended</w:t>
      </w:r>
      <w:r w:rsidR="00D324FC">
        <w:rPr>
          <w:rFonts w:asciiTheme="minorHAnsi" w:hAnsiTheme="minorHAnsi" w:cstheme="minorHAnsi"/>
          <w:sz w:val="22"/>
          <w:szCs w:val="22"/>
          <w:lang w:val="en-US"/>
        </w:rPr>
        <w:t xml:space="preserve"> amending the bill to improve safeguards, including:</w:t>
      </w:r>
    </w:p>
    <w:p w14:paraId="558F853F" w14:textId="40E60570" w:rsidR="00D324FC" w:rsidRDefault="00C70317" w:rsidP="00376A2C">
      <w:pPr>
        <w:pStyle w:val="NormalWeb"/>
        <w:numPr>
          <w:ilvl w:val="0"/>
          <w:numId w:val="2"/>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Putting the vulnerable person at the center of the decision making</w:t>
      </w:r>
    </w:p>
    <w:p w14:paraId="1019732F" w14:textId="7E68A572" w:rsidR="00C70317" w:rsidRDefault="00C70317" w:rsidP="00376A2C">
      <w:pPr>
        <w:pStyle w:val="NormalWeb"/>
        <w:numPr>
          <w:ilvl w:val="0"/>
          <w:numId w:val="2"/>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Making sure the vulnerable person has the right to challenge the deprivation of liberty authorisation</w:t>
      </w:r>
    </w:p>
    <w:p w14:paraId="471BD1AC" w14:textId="5711C37B" w:rsidR="00C70317" w:rsidRDefault="00C70317" w:rsidP="00376A2C">
      <w:pPr>
        <w:pStyle w:val="NormalWeb"/>
        <w:numPr>
          <w:ilvl w:val="0"/>
          <w:numId w:val="2"/>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Making the role of the care home manager clearer to avoid conflict of interest</w:t>
      </w:r>
    </w:p>
    <w:p w14:paraId="6FAE58A9" w14:textId="56DBB901" w:rsidR="00C70317" w:rsidRDefault="00C70317" w:rsidP="00376A2C">
      <w:pPr>
        <w:pStyle w:val="NormalWeb"/>
        <w:numPr>
          <w:ilvl w:val="0"/>
          <w:numId w:val="2"/>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Limiting the length of the authorisation for the deprivation of a person’s liberty.</w:t>
      </w:r>
    </w:p>
    <w:p w14:paraId="49CFBBE5" w14:textId="416821AC" w:rsidR="00146401" w:rsidRDefault="00146401" w:rsidP="00376A2C">
      <w:pPr>
        <w:pStyle w:val="NormalWeb"/>
        <w:spacing w:line="360" w:lineRule="auto"/>
        <w:ind w:left="360"/>
        <w:rPr>
          <w:rFonts w:asciiTheme="minorHAnsi" w:hAnsiTheme="minorHAnsi" w:cstheme="minorHAnsi"/>
          <w:sz w:val="22"/>
          <w:szCs w:val="22"/>
          <w:lang w:val="en-US"/>
        </w:rPr>
      </w:pPr>
    </w:p>
    <w:p w14:paraId="2280260A" w14:textId="493A82CD" w:rsidR="000875D3" w:rsidRDefault="005A4BBA" w:rsidP="00376A2C">
      <w:pPr>
        <w:pStyle w:val="NormalWeb"/>
        <w:spacing w:line="360" w:lineRule="auto"/>
        <w:ind w:left="360"/>
        <w:rPr>
          <w:rFonts w:asciiTheme="minorHAnsi" w:hAnsiTheme="minorHAnsi" w:cstheme="minorHAnsi"/>
          <w:sz w:val="22"/>
          <w:szCs w:val="22"/>
          <w:lang w:val="en-US"/>
        </w:rPr>
      </w:pPr>
      <w:r>
        <w:rPr>
          <w:rFonts w:asciiTheme="minorHAnsi" w:hAnsiTheme="minorHAnsi" w:cstheme="minorHAnsi"/>
          <w:sz w:val="22"/>
          <w:szCs w:val="22"/>
          <w:lang w:val="en-US"/>
        </w:rPr>
        <w:t>The Care Quality Commissions Act 2005 (CQC) regulates all health and social care services in England. The commission ensures the quality and safety of care in hospitals, dentists, ambulances and care homes</w:t>
      </w:r>
      <w:r w:rsidR="00F56300">
        <w:rPr>
          <w:rFonts w:asciiTheme="minorHAnsi" w:hAnsiTheme="minorHAnsi" w:cstheme="minorHAnsi"/>
          <w:sz w:val="22"/>
          <w:szCs w:val="22"/>
          <w:lang w:val="en-US"/>
        </w:rPr>
        <w:t xml:space="preserve"> </w:t>
      </w:r>
      <w:r w:rsidR="00F56300" w:rsidRPr="00F56300">
        <w:rPr>
          <w:rFonts w:asciiTheme="minorHAnsi" w:hAnsiTheme="minorHAnsi" w:cstheme="minorHAnsi"/>
          <w:sz w:val="22"/>
          <w:szCs w:val="22"/>
          <w:lang w:val="en-US"/>
        </w:rPr>
        <w:t>(</w:t>
      </w:r>
      <w:r w:rsidR="00F56300" w:rsidRPr="00F56300">
        <w:rPr>
          <w:rFonts w:asciiTheme="minorHAnsi" w:hAnsiTheme="minorHAnsi" w:cstheme="minorHAnsi"/>
          <w:color w:val="222222"/>
          <w:sz w:val="22"/>
          <w:szCs w:val="22"/>
        </w:rPr>
        <w:t>Care Quality Commission, 2012)</w:t>
      </w:r>
      <w:r w:rsidRPr="00F56300">
        <w:rPr>
          <w:rFonts w:asciiTheme="minorHAnsi" w:hAnsiTheme="minorHAnsi" w:cstheme="minorHAnsi"/>
          <w:sz w:val="22"/>
          <w:szCs w:val="22"/>
          <w:lang w:val="en-US"/>
        </w:rPr>
        <w:t>.</w:t>
      </w:r>
      <w:r>
        <w:rPr>
          <w:rFonts w:asciiTheme="minorHAnsi" w:hAnsiTheme="minorHAnsi" w:cstheme="minorHAnsi"/>
          <w:sz w:val="22"/>
          <w:szCs w:val="22"/>
          <w:lang w:val="en-US"/>
        </w:rPr>
        <w:t xml:space="preserve"> CQC is an executive non-departmental public body sponsored by the Department of Health and Social Care. </w:t>
      </w:r>
      <w:r w:rsidR="000875D3">
        <w:rPr>
          <w:rFonts w:asciiTheme="minorHAnsi" w:hAnsiTheme="minorHAnsi" w:cstheme="minorHAnsi"/>
          <w:sz w:val="22"/>
          <w:szCs w:val="22"/>
          <w:lang w:val="en-US"/>
        </w:rPr>
        <w:t xml:space="preserve">During 2013 and 2014, the Care Quality </w:t>
      </w:r>
      <w:r>
        <w:rPr>
          <w:rFonts w:asciiTheme="minorHAnsi" w:hAnsiTheme="minorHAnsi" w:cstheme="minorHAnsi"/>
          <w:sz w:val="22"/>
          <w:szCs w:val="22"/>
          <w:lang w:val="en-US"/>
        </w:rPr>
        <w:t>Commissions</w:t>
      </w:r>
      <w:r w:rsidR="000875D3">
        <w:rPr>
          <w:rFonts w:asciiTheme="minorHAnsi" w:hAnsiTheme="minorHAnsi" w:cstheme="minorHAnsi"/>
          <w:sz w:val="22"/>
          <w:szCs w:val="22"/>
          <w:lang w:val="en-US"/>
        </w:rPr>
        <w:t xml:space="preserve"> Act (CQC) carried out a thematic review of the care of people living with dementia as they moved between care homes ad acute hospitals</w:t>
      </w:r>
      <w:r w:rsidR="00F56300">
        <w:rPr>
          <w:rFonts w:asciiTheme="minorHAnsi" w:hAnsiTheme="minorHAnsi" w:cstheme="minorHAnsi"/>
          <w:sz w:val="22"/>
          <w:szCs w:val="22"/>
          <w:lang w:val="en-US"/>
        </w:rPr>
        <w:t xml:space="preserve"> (Kupeli, 2018)</w:t>
      </w:r>
      <w:r w:rsidR="000875D3">
        <w:rPr>
          <w:rFonts w:asciiTheme="minorHAnsi" w:hAnsiTheme="minorHAnsi" w:cstheme="minorHAnsi"/>
          <w:sz w:val="22"/>
          <w:szCs w:val="22"/>
          <w:lang w:val="en-US"/>
        </w:rPr>
        <w:t>. It was found that there was more good care than poor are in the care homes wh</w:t>
      </w:r>
      <w:r>
        <w:rPr>
          <w:rFonts w:asciiTheme="minorHAnsi" w:hAnsiTheme="minorHAnsi" w:cstheme="minorHAnsi"/>
          <w:sz w:val="22"/>
          <w:szCs w:val="22"/>
          <w:lang w:val="en-US"/>
        </w:rPr>
        <w:t>i</w:t>
      </w:r>
      <w:r w:rsidR="000875D3">
        <w:rPr>
          <w:rFonts w:asciiTheme="minorHAnsi" w:hAnsiTheme="minorHAnsi" w:cstheme="minorHAnsi"/>
          <w:sz w:val="22"/>
          <w:szCs w:val="22"/>
          <w:lang w:val="en-US"/>
        </w:rPr>
        <w:t xml:space="preserve">ch were </w:t>
      </w:r>
      <w:r>
        <w:rPr>
          <w:rFonts w:asciiTheme="minorHAnsi" w:hAnsiTheme="minorHAnsi" w:cstheme="minorHAnsi"/>
          <w:sz w:val="22"/>
          <w:szCs w:val="22"/>
          <w:lang w:val="en-US"/>
        </w:rPr>
        <w:t>visited</w:t>
      </w:r>
      <w:r w:rsidR="000875D3">
        <w:rPr>
          <w:rFonts w:asciiTheme="minorHAnsi" w:hAnsiTheme="minorHAnsi" w:cstheme="minorHAnsi"/>
          <w:sz w:val="22"/>
          <w:szCs w:val="22"/>
          <w:lang w:val="en-US"/>
        </w:rPr>
        <w:t xml:space="preserve"> by inspectors. But the quality of care for people living with dementia varied greatly. People living with dementia, their families and </w:t>
      </w:r>
      <w:r>
        <w:rPr>
          <w:rFonts w:asciiTheme="minorHAnsi" w:hAnsiTheme="minorHAnsi" w:cstheme="minorHAnsi"/>
          <w:sz w:val="22"/>
          <w:szCs w:val="22"/>
          <w:lang w:val="en-US"/>
        </w:rPr>
        <w:t>careers</w:t>
      </w:r>
      <w:r w:rsidR="000875D3">
        <w:rPr>
          <w:rFonts w:asciiTheme="minorHAnsi" w:hAnsiTheme="minorHAnsi" w:cstheme="minorHAnsi"/>
          <w:sz w:val="22"/>
          <w:szCs w:val="22"/>
          <w:lang w:val="en-US"/>
        </w:rPr>
        <w:t xml:space="preserve"> have every right to be treated with </w:t>
      </w:r>
      <w:r w:rsidR="000875D3">
        <w:rPr>
          <w:rFonts w:asciiTheme="minorHAnsi" w:hAnsiTheme="minorHAnsi" w:cstheme="minorHAnsi"/>
          <w:sz w:val="22"/>
          <w:szCs w:val="22"/>
          <w:lang w:val="en-US"/>
        </w:rPr>
        <w:lastRenderedPageBreak/>
        <w:t xml:space="preserve">respect, dignity and compassion. CQC are </w:t>
      </w:r>
      <w:r>
        <w:rPr>
          <w:rFonts w:asciiTheme="minorHAnsi" w:hAnsiTheme="minorHAnsi" w:cstheme="minorHAnsi"/>
          <w:sz w:val="22"/>
          <w:szCs w:val="22"/>
          <w:lang w:val="en-US"/>
        </w:rPr>
        <w:t>determined</w:t>
      </w:r>
      <w:r w:rsidR="000875D3">
        <w:rPr>
          <w:rFonts w:asciiTheme="minorHAnsi" w:hAnsiTheme="minorHAnsi" w:cstheme="minorHAnsi"/>
          <w:sz w:val="22"/>
          <w:szCs w:val="22"/>
          <w:lang w:val="en-US"/>
        </w:rPr>
        <w:t xml:space="preserve"> to play their part by making sure that people living with dementia receive care that is safe, effective, compassionate and of high quality. CQC are committed to drive change across the health care system to improve the lives of people living with dementia. Where poor dementia exists CQC are taking specific actions which include:</w:t>
      </w:r>
      <w:r w:rsidR="00F56300">
        <w:rPr>
          <w:rFonts w:asciiTheme="minorHAnsi" w:hAnsiTheme="minorHAnsi" w:cstheme="minorHAnsi"/>
          <w:sz w:val="22"/>
          <w:szCs w:val="22"/>
          <w:lang w:val="en-US"/>
        </w:rPr>
        <w:t xml:space="preserve"> (NHS, 2016)</w:t>
      </w:r>
    </w:p>
    <w:p w14:paraId="13E20967" w14:textId="77777777" w:rsidR="005A4BBA" w:rsidRDefault="005A4BBA" w:rsidP="00376A2C">
      <w:pPr>
        <w:pStyle w:val="NormalWeb"/>
        <w:spacing w:line="360" w:lineRule="auto"/>
        <w:ind w:left="360"/>
        <w:rPr>
          <w:rFonts w:asciiTheme="minorHAnsi" w:hAnsiTheme="minorHAnsi" w:cstheme="minorHAnsi"/>
          <w:sz w:val="22"/>
          <w:szCs w:val="22"/>
          <w:lang w:val="en-US"/>
        </w:rPr>
      </w:pPr>
    </w:p>
    <w:p w14:paraId="635AAC27" w14:textId="51C510BC" w:rsidR="000875D3" w:rsidRDefault="000875D3" w:rsidP="00376A2C">
      <w:pPr>
        <w:pStyle w:val="NormalWeb"/>
        <w:numPr>
          <w:ilvl w:val="0"/>
          <w:numId w:val="3"/>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 xml:space="preserve">Appointing a new national specialist adviser for dementia care. </w:t>
      </w:r>
    </w:p>
    <w:p w14:paraId="101FE5A6" w14:textId="5F6EFA25" w:rsidR="005A4BBA" w:rsidRDefault="005A4BBA" w:rsidP="00376A2C">
      <w:pPr>
        <w:pStyle w:val="NormalWeb"/>
        <w:numPr>
          <w:ilvl w:val="0"/>
          <w:numId w:val="3"/>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Training inspectors across all inspecting teams to understand what good dementia care looks like so that their judgements of performance of provider are consistent and robust</w:t>
      </w:r>
    </w:p>
    <w:p w14:paraId="3F7F4E0F" w14:textId="53DB42A2" w:rsidR="005A4BBA" w:rsidRDefault="005A4BBA" w:rsidP="00376A2C">
      <w:pPr>
        <w:pStyle w:val="NormalWeb"/>
        <w:numPr>
          <w:ilvl w:val="0"/>
          <w:numId w:val="3"/>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Adding a separate section to hospital inspection reports that shows how well the hospital cares for people living with dementia</w:t>
      </w:r>
    </w:p>
    <w:p w14:paraId="0725EDAC" w14:textId="759AC841" w:rsidR="00260027" w:rsidRDefault="003F5AD2" w:rsidP="00376A2C">
      <w:pPr>
        <w:pStyle w:val="NormalWeb"/>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Livin</w:t>
      </w:r>
      <w:r w:rsidR="004E01C9">
        <w:rPr>
          <w:rFonts w:asciiTheme="minorHAnsi" w:hAnsiTheme="minorHAnsi" w:cstheme="minorHAnsi"/>
          <w:sz w:val="22"/>
          <w:szCs w:val="22"/>
          <w:lang w:val="en-US"/>
        </w:rPr>
        <w:t>g</w:t>
      </w:r>
      <w:r>
        <w:rPr>
          <w:rFonts w:asciiTheme="minorHAnsi" w:hAnsiTheme="minorHAnsi" w:cstheme="minorHAnsi"/>
          <w:sz w:val="22"/>
          <w:szCs w:val="22"/>
          <w:lang w:val="en-US"/>
        </w:rPr>
        <w:t xml:space="preserve"> well with dementia</w:t>
      </w:r>
      <w:r w:rsidR="00F56300">
        <w:rPr>
          <w:rFonts w:asciiTheme="minorHAnsi" w:hAnsiTheme="minorHAnsi" w:cstheme="minorHAnsi"/>
          <w:sz w:val="22"/>
          <w:szCs w:val="22"/>
          <w:lang w:val="en-US"/>
        </w:rPr>
        <w:t xml:space="preserve"> 2009</w:t>
      </w:r>
      <w:r>
        <w:rPr>
          <w:rFonts w:asciiTheme="minorHAnsi" w:hAnsiTheme="minorHAnsi" w:cstheme="minorHAnsi"/>
          <w:sz w:val="22"/>
          <w:szCs w:val="22"/>
          <w:lang w:val="en-US"/>
        </w:rPr>
        <w:t xml:space="preserve"> is a national dementia </w:t>
      </w:r>
      <w:r w:rsidR="004E01C9">
        <w:rPr>
          <w:rFonts w:asciiTheme="minorHAnsi" w:hAnsiTheme="minorHAnsi" w:cstheme="minorHAnsi"/>
          <w:sz w:val="22"/>
          <w:szCs w:val="22"/>
          <w:lang w:val="en-US"/>
        </w:rPr>
        <w:t>strategy</w:t>
      </w:r>
      <w:r>
        <w:rPr>
          <w:rFonts w:asciiTheme="minorHAnsi" w:hAnsiTheme="minorHAnsi" w:cstheme="minorHAnsi"/>
          <w:sz w:val="22"/>
          <w:szCs w:val="22"/>
          <w:lang w:val="en-US"/>
        </w:rPr>
        <w:t xml:space="preserve"> which was published in 2009. It set out a vision for transforming dementia </w:t>
      </w:r>
      <w:r w:rsidR="004E01C9">
        <w:rPr>
          <w:rFonts w:asciiTheme="minorHAnsi" w:hAnsiTheme="minorHAnsi" w:cstheme="minorHAnsi"/>
          <w:sz w:val="22"/>
          <w:szCs w:val="22"/>
          <w:lang w:val="en-US"/>
        </w:rPr>
        <w:t>services</w:t>
      </w:r>
      <w:r>
        <w:rPr>
          <w:rFonts w:asciiTheme="minorHAnsi" w:hAnsiTheme="minorHAnsi" w:cstheme="minorHAnsi"/>
          <w:sz w:val="22"/>
          <w:szCs w:val="22"/>
          <w:lang w:val="en-US"/>
        </w:rPr>
        <w:t xml:space="preserve"> with the aim of achieving a better awareness of dementia, early diagnosis and </w:t>
      </w:r>
      <w:r w:rsidR="004E01C9">
        <w:rPr>
          <w:rFonts w:asciiTheme="minorHAnsi" w:hAnsiTheme="minorHAnsi" w:cstheme="minorHAnsi"/>
          <w:sz w:val="22"/>
          <w:szCs w:val="22"/>
          <w:lang w:val="en-US"/>
        </w:rPr>
        <w:t>high-quality</w:t>
      </w:r>
      <w:r>
        <w:rPr>
          <w:rFonts w:asciiTheme="minorHAnsi" w:hAnsiTheme="minorHAnsi" w:cstheme="minorHAnsi"/>
          <w:sz w:val="22"/>
          <w:szCs w:val="22"/>
          <w:lang w:val="en-US"/>
        </w:rPr>
        <w:t xml:space="preserve"> treatment at whatever stage of the illness and in whatever setting</w:t>
      </w:r>
      <w:r w:rsidR="00F56300">
        <w:rPr>
          <w:rFonts w:asciiTheme="minorHAnsi" w:hAnsiTheme="minorHAnsi" w:cstheme="minorHAnsi"/>
          <w:sz w:val="22"/>
          <w:szCs w:val="22"/>
          <w:lang w:val="en-US"/>
        </w:rPr>
        <w:t xml:space="preserve"> </w:t>
      </w:r>
      <w:r w:rsidR="00F56300" w:rsidRPr="00F56300">
        <w:rPr>
          <w:rFonts w:asciiTheme="minorHAnsi" w:hAnsiTheme="minorHAnsi" w:cstheme="minorHAnsi"/>
          <w:sz w:val="22"/>
          <w:szCs w:val="22"/>
          <w:lang w:val="en-US"/>
        </w:rPr>
        <w:t>(</w:t>
      </w:r>
      <w:r w:rsidR="00F56300" w:rsidRPr="00F56300">
        <w:rPr>
          <w:rFonts w:asciiTheme="minorHAnsi" w:hAnsiTheme="minorHAnsi" w:cstheme="minorHAnsi"/>
          <w:color w:val="222222"/>
          <w:sz w:val="22"/>
          <w:szCs w:val="22"/>
        </w:rPr>
        <w:t>Banerjee, 2010)</w:t>
      </w:r>
      <w:r w:rsidRPr="00F56300">
        <w:rPr>
          <w:rFonts w:asciiTheme="minorHAnsi" w:hAnsiTheme="minorHAnsi" w:cstheme="minorHAnsi"/>
          <w:sz w:val="22"/>
          <w:szCs w:val="22"/>
          <w:lang w:val="en-US"/>
        </w:rPr>
        <w:t>.</w:t>
      </w:r>
      <w:r>
        <w:rPr>
          <w:rFonts w:asciiTheme="minorHAnsi" w:hAnsiTheme="minorHAnsi" w:cstheme="minorHAnsi"/>
          <w:sz w:val="22"/>
          <w:szCs w:val="22"/>
          <w:lang w:val="en-US"/>
        </w:rPr>
        <w:t xml:space="preserve"> The </w:t>
      </w:r>
      <w:r w:rsidR="004E01C9">
        <w:rPr>
          <w:rFonts w:asciiTheme="minorHAnsi" w:hAnsiTheme="minorHAnsi" w:cstheme="minorHAnsi"/>
          <w:sz w:val="22"/>
          <w:szCs w:val="22"/>
          <w:lang w:val="en-US"/>
        </w:rPr>
        <w:t>strategy</w:t>
      </w:r>
      <w:r>
        <w:rPr>
          <w:rFonts w:asciiTheme="minorHAnsi" w:hAnsiTheme="minorHAnsi" w:cstheme="minorHAnsi"/>
          <w:sz w:val="22"/>
          <w:szCs w:val="22"/>
          <w:lang w:val="en-US"/>
        </w:rPr>
        <w:t xml:space="preserve"> was followe</w:t>
      </w:r>
      <w:r w:rsidR="004E01C9">
        <w:rPr>
          <w:rFonts w:asciiTheme="minorHAnsi" w:hAnsiTheme="minorHAnsi" w:cstheme="minorHAnsi"/>
          <w:sz w:val="22"/>
          <w:szCs w:val="22"/>
          <w:lang w:val="en-US"/>
        </w:rPr>
        <w:t>d</w:t>
      </w:r>
      <w:r>
        <w:rPr>
          <w:rFonts w:asciiTheme="minorHAnsi" w:hAnsiTheme="minorHAnsi" w:cstheme="minorHAnsi"/>
          <w:sz w:val="22"/>
          <w:szCs w:val="22"/>
          <w:lang w:val="en-US"/>
        </w:rPr>
        <w:t xml:space="preserve"> by the publication of a report addressing the </w:t>
      </w:r>
      <w:r w:rsidR="004E01C9">
        <w:rPr>
          <w:rFonts w:asciiTheme="minorHAnsi" w:hAnsiTheme="minorHAnsi" w:cstheme="minorHAnsi"/>
          <w:sz w:val="22"/>
          <w:szCs w:val="22"/>
          <w:lang w:val="en-US"/>
        </w:rPr>
        <w:t>over</w:t>
      </w:r>
      <w:r>
        <w:rPr>
          <w:rFonts w:asciiTheme="minorHAnsi" w:hAnsiTheme="minorHAnsi" w:cstheme="minorHAnsi"/>
          <w:sz w:val="22"/>
          <w:szCs w:val="22"/>
          <w:lang w:val="en-US"/>
        </w:rPr>
        <w:t xml:space="preserve"> </w:t>
      </w:r>
      <w:r w:rsidR="004E01C9">
        <w:rPr>
          <w:rFonts w:asciiTheme="minorHAnsi" w:hAnsiTheme="minorHAnsi" w:cstheme="minorHAnsi"/>
          <w:sz w:val="22"/>
          <w:szCs w:val="22"/>
          <w:lang w:val="en-US"/>
        </w:rPr>
        <w:t>prescription</w:t>
      </w:r>
      <w:r>
        <w:rPr>
          <w:rFonts w:asciiTheme="minorHAnsi" w:hAnsiTheme="minorHAnsi" w:cstheme="minorHAnsi"/>
          <w:sz w:val="22"/>
          <w:szCs w:val="22"/>
          <w:lang w:val="en-US"/>
        </w:rPr>
        <w:t xml:space="preserve"> </w:t>
      </w:r>
      <w:r w:rsidR="004E01C9">
        <w:rPr>
          <w:rFonts w:asciiTheme="minorHAnsi" w:hAnsiTheme="minorHAnsi" w:cstheme="minorHAnsi"/>
          <w:sz w:val="22"/>
          <w:szCs w:val="22"/>
          <w:lang w:val="en-US"/>
        </w:rPr>
        <w:t>antipsychotic</w:t>
      </w:r>
      <w:r>
        <w:rPr>
          <w:rFonts w:asciiTheme="minorHAnsi" w:hAnsiTheme="minorHAnsi" w:cstheme="minorHAnsi"/>
          <w:sz w:val="22"/>
          <w:szCs w:val="22"/>
          <w:lang w:val="en-US"/>
        </w:rPr>
        <w:t xml:space="preserve"> medication for people with dementia</w:t>
      </w:r>
      <w:r w:rsidR="00F56300">
        <w:rPr>
          <w:rFonts w:asciiTheme="minorHAnsi" w:hAnsiTheme="minorHAnsi" w:cstheme="minorHAnsi"/>
          <w:sz w:val="22"/>
          <w:szCs w:val="22"/>
          <w:lang w:val="en-US"/>
        </w:rPr>
        <w:t xml:space="preserve"> (Ralph, 2019)</w:t>
      </w:r>
      <w:r>
        <w:rPr>
          <w:rFonts w:asciiTheme="minorHAnsi" w:hAnsiTheme="minorHAnsi" w:cstheme="minorHAnsi"/>
          <w:sz w:val="22"/>
          <w:szCs w:val="22"/>
          <w:lang w:val="en-US"/>
        </w:rPr>
        <w:t xml:space="preserve">. </w:t>
      </w:r>
      <w:r w:rsidR="004E01C9">
        <w:rPr>
          <w:rFonts w:asciiTheme="minorHAnsi" w:hAnsiTheme="minorHAnsi" w:cstheme="minorHAnsi"/>
          <w:sz w:val="22"/>
          <w:szCs w:val="22"/>
          <w:lang w:val="en-US"/>
        </w:rPr>
        <w:t xml:space="preserve">Implementation of the 11 recommendations contained within that report is an integral part of improving the care and experience of people with dementia and their careers. </w:t>
      </w:r>
      <w:r w:rsidR="00745854">
        <w:rPr>
          <w:rFonts w:asciiTheme="minorHAnsi" w:hAnsiTheme="minorHAnsi" w:cstheme="minorHAnsi"/>
          <w:sz w:val="22"/>
          <w:szCs w:val="22"/>
          <w:lang w:val="en-US"/>
        </w:rPr>
        <w:t xml:space="preserve">The strategy has 3 key steps to improve the quality of life for people living with dementia: </w:t>
      </w:r>
      <w:r w:rsidR="00F56300">
        <w:rPr>
          <w:rFonts w:asciiTheme="minorHAnsi" w:hAnsiTheme="minorHAnsi" w:cstheme="minorHAnsi"/>
          <w:sz w:val="22"/>
          <w:szCs w:val="22"/>
          <w:lang w:val="en-US"/>
        </w:rPr>
        <w:t>(Council, 2012)</w:t>
      </w:r>
    </w:p>
    <w:p w14:paraId="0AE6C892" w14:textId="47A832F5" w:rsidR="00745854" w:rsidRDefault="00745854" w:rsidP="00376A2C">
      <w:pPr>
        <w:pStyle w:val="NormalWeb"/>
        <w:numPr>
          <w:ilvl w:val="0"/>
          <w:numId w:val="4"/>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Ensure better knowledge of dementia and remove the stigma</w:t>
      </w:r>
    </w:p>
    <w:p w14:paraId="1AB7ADF5" w14:textId="4F0A2503" w:rsidR="00745854" w:rsidRDefault="00745854" w:rsidP="00376A2C">
      <w:pPr>
        <w:pStyle w:val="NormalWeb"/>
        <w:numPr>
          <w:ilvl w:val="0"/>
          <w:numId w:val="4"/>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Ensure early diagnosis, support and treatment for people with dementia and the family and care givers</w:t>
      </w:r>
    </w:p>
    <w:p w14:paraId="42D1512E" w14:textId="57BE9B09" w:rsidR="00745854" w:rsidRDefault="00745854" w:rsidP="00376A2C">
      <w:pPr>
        <w:pStyle w:val="NormalWeb"/>
        <w:numPr>
          <w:ilvl w:val="0"/>
          <w:numId w:val="4"/>
        </w:num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Develop services to meet changing needs better</w:t>
      </w:r>
    </w:p>
    <w:p w14:paraId="7CCAD914" w14:textId="56ABAF27" w:rsidR="00260027" w:rsidRDefault="00260027" w:rsidP="00376A2C">
      <w:pPr>
        <w:pStyle w:val="NormalWeb"/>
        <w:spacing w:line="360" w:lineRule="auto"/>
        <w:rPr>
          <w:rFonts w:asciiTheme="minorHAnsi" w:hAnsiTheme="minorHAnsi" w:cstheme="minorHAnsi"/>
          <w:sz w:val="22"/>
          <w:szCs w:val="22"/>
          <w:highlight w:val="yellow"/>
          <w:lang w:val="en-US"/>
        </w:rPr>
      </w:pPr>
    </w:p>
    <w:p w14:paraId="77B1A323" w14:textId="5016E3A1" w:rsidR="00260027" w:rsidRPr="00D07883" w:rsidRDefault="003C519C" w:rsidP="00376A2C">
      <w:pPr>
        <w:pStyle w:val="NormalWeb"/>
        <w:spacing w:line="360" w:lineRule="auto"/>
        <w:rPr>
          <w:rFonts w:asciiTheme="minorHAnsi" w:hAnsiTheme="minorHAnsi" w:cstheme="minorHAnsi"/>
          <w:sz w:val="22"/>
          <w:szCs w:val="22"/>
          <w:lang w:val="en-US"/>
        </w:rPr>
      </w:pPr>
      <w:r w:rsidRPr="00D07883">
        <w:rPr>
          <w:rFonts w:asciiTheme="minorHAnsi" w:hAnsiTheme="minorHAnsi" w:cstheme="minorHAnsi"/>
          <w:sz w:val="22"/>
          <w:szCs w:val="22"/>
          <w:lang w:val="en-US"/>
        </w:rPr>
        <w:t xml:space="preserve">Dementia 2012 presents new evidence from people with </w:t>
      </w:r>
      <w:r w:rsidR="00D07883" w:rsidRPr="00D07883">
        <w:rPr>
          <w:rFonts w:asciiTheme="minorHAnsi" w:hAnsiTheme="minorHAnsi" w:cstheme="minorHAnsi"/>
          <w:sz w:val="22"/>
          <w:szCs w:val="22"/>
          <w:lang w:val="en-US"/>
        </w:rPr>
        <w:t>dementia</w:t>
      </w:r>
      <w:r w:rsidRPr="00D07883">
        <w:rPr>
          <w:rFonts w:asciiTheme="minorHAnsi" w:hAnsiTheme="minorHAnsi" w:cstheme="minorHAnsi"/>
          <w:sz w:val="22"/>
          <w:szCs w:val="22"/>
          <w:lang w:val="en-US"/>
        </w:rPr>
        <w:t xml:space="preserve"> in the early stages of the condition and living in their own homes</w:t>
      </w:r>
      <w:r w:rsidR="005B4ACD">
        <w:rPr>
          <w:rFonts w:asciiTheme="minorHAnsi" w:hAnsiTheme="minorHAnsi" w:cstheme="minorHAnsi"/>
          <w:sz w:val="22"/>
          <w:szCs w:val="22"/>
          <w:lang w:val="en-US"/>
        </w:rPr>
        <w:t xml:space="preserve"> (GOV, 2012)</w:t>
      </w:r>
      <w:r w:rsidRPr="00D07883">
        <w:rPr>
          <w:rFonts w:asciiTheme="minorHAnsi" w:hAnsiTheme="minorHAnsi" w:cstheme="minorHAnsi"/>
          <w:sz w:val="22"/>
          <w:szCs w:val="22"/>
          <w:lang w:val="en-US"/>
        </w:rPr>
        <w:t>. A survey was distributed to people with dementia via the</w:t>
      </w:r>
      <w:r w:rsidR="006B39C9">
        <w:rPr>
          <w:rFonts w:asciiTheme="minorHAnsi" w:hAnsiTheme="minorHAnsi" w:cstheme="minorHAnsi"/>
          <w:sz w:val="22"/>
          <w:szCs w:val="22"/>
          <w:lang w:val="en-US"/>
        </w:rPr>
        <w:t xml:space="preserve"> </w:t>
      </w:r>
      <w:r w:rsidR="006B39C9" w:rsidRPr="00D07883">
        <w:rPr>
          <w:rFonts w:asciiTheme="minorHAnsi" w:hAnsiTheme="minorHAnsi" w:cstheme="minorHAnsi"/>
          <w:sz w:val="22"/>
          <w:szCs w:val="22"/>
          <w:lang w:val="en-US"/>
        </w:rPr>
        <w:t>Alzheimer’s</w:t>
      </w:r>
      <w:r w:rsidRPr="00D07883">
        <w:rPr>
          <w:rFonts w:asciiTheme="minorHAnsi" w:hAnsiTheme="minorHAnsi" w:cstheme="minorHAnsi"/>
          <w:sz w:val="22"/>
          <w:szCs w:val="22"/>
          <w:lang w:val="en-US"/>
        </w:rPr>
        <w:t xml:space="preserve"> Society’s </w:t>
      </w:r>
      <w:r w:rsidR="006B39C9" w:rsidRPr="00D07883">
        <w:rPr>
          <w:rFonts w:asciiTheme="minorHAnsi" w:hAnsiTheme="minorHAnsi" w:cstheme="minorHAnsi"/>
          <w:sz w:val="22"/>
          <w:szCs w:val="22"/>
          <w:lang w:val="en-US"/>
        </w:rPr>
        <w:t>dementia</w:t>
      </w:r>
      <w:r w:rsidRPr="00D07883">
        <w:rPr>
          <w:rFonts w:asciiTheme="minorHAnsi" w:hAnsiTheme="minorHAnsi" w:cstheme="minorHAnsi"/>
          <w:sz w:val="22"/>
          <w:szCs w:val="22"/>
          <w:lang w:val="en-US"/>
        </w:rPr>
        <w:t xml:space="preserve"> support workers in England and Wales</w:t>
      </w:r>
      <w:r w:rsidR="005B4ACD">
        <w:rPr>
          <w:rFonts w:asciiTheme="minorHAnsi" w:hAnsiTheme="minorHAnsi" w:cstheme="minorHAnsi"/>
          <w:sz w:val="22"/>
          <w:szCs w:val="22"/>
          <w:lang w:val="en-US"/>
        </w:rPr>
        <w:t xml:space="preserve"> (Matthews, 2013)</w:t>
      </w:r>
      <w:r w:rsidRPr="00D07883">
        <w:rPr>
          <w:rFonts w:asciiTheme="minorHAnsi" w:hAnsiTheme="minorHAnsi" w:cstheme="minorHAnsi"/>
          <w:sz w:val="22"/>
          <w:szCs w:val="22"/>
          <w:lang w:val="en-US"/>
        </w:rPr>
        <w:t xml:space="preserve">. The report also draws on existing research and current work. For </w:t>
      </w:r>
      <w:r w:rsidR="006B39C9" w:rsidRPr="00D07883">
        <w:rPr>
          <w:rFonts w:asciiTheme="minorHAnsi" w:hAnsiTheme="minorHAnsi" w:cstheme="minorHAnsi"/>
          <w:sz w:val="22"/>
          <w:szCs w:val="22"/>
          <w:lang w:val="en-US"/>
        </w:rPr>
        <w:t>example,</w:t>
      </w:r>
      <w:r w:rsidRPr="00D07883">
        <w:rPr>
          <w:rFonts w:asciiTheme="minorHAnsi" w:hAnsiTheme="minorHAnsi" w:cstheme="minorHAnsi"/>
          <w:sz w:val="22"/>
          <w:szCs w:val="22"/>
          <w:lang w:val="en-US"/>
        </w:rPr>
        <w:t xml:space="preserve"> a ra</w:t>
      </w:r>
      <w:r w:rsidR="006B39C9">
        <w:rPr>
          <w:rFonts w:asciiTheme="minorHAnsi" w:hAnsiTheme="minorHAnsi" w:cstheme="minorHAnsi"/>
          <w:sz w:val="22"/>
          <w:szCs w:val="22"/>
          <w:lang w:val="en-US"/>
        </w:rPr>
        <w:t>n</w:t>
      </w:r>
      <w:r w:rsidRPr="00D07883">
        <w:rPr>
          <w:rFonts w:asciiTheme="minorHAnsi" w:hAnsiTheme="minorHAnsi" w:cstheme="minorHAnsi"/>
          <w:sz w:val="22"/>
          <w:szCs w:val="22"/>
          <w:lang w:val="en-US"/>
        </w:rPr>
        <w:t>ge of policy documents, research, literature and learning from good practice. The report found that only 22% of people stated they are living well with dementia</w:t>
      </w:r>
      <w:r w:rsidR="005B4ACD">
        <w:rPr>
          <w:rFonts w:asciiTheme="minorHAnsi" w:hAnsiTheme="minorHAnsi" w:cstheme="minorHAnsi"/>
          <w:sz w:val="22"/>
          <w:szCs w:val="22"/>
          <w:lang w:val="en-US"/>
        </w:rPr>
        <w:t xml:space="preserve"> </w:t>
      </w:r>
      <w:r w:rsidR="005B4ACD" w:rsidRPr="00DF2DB2">
        <w:rPr>
          <w:rFonts w:asciiTheme="minorHAnsi" w:hAnsiTheme="minorHAnsi" w:cstheme="minorHAnsi"/>
          <w:sz w:val="22"/>
          <w:szCs w:val="22"/>
          <w:lang w:val="en-US"/>
        </w:rPr>
        <w:t>(</w:t>
      </w:r>
      <w:r w:rsidR="005B4ACD" w:rsidRPr="00DF2DB2">
        <w:rPr>
          <w:rFonts w:asciiTheme="minorHAnsi" w:hAnsiTheme="minorHAnsi" w:cstheme="minorHAnsi"/>
          <w:color w:val="222222"/>
          <w:sz w:val="22"/>
          <w:szCs w:val="22"/>
        </w:rPr>
        <w:t>Csipke, 20</w:t>
      </w:r>
      <w:r w:rsidR="00DF2DB2" w:rsidRPr="00DF2DB2">
        <w:rPr>
          <w:rFonts w:asciiTheme="minorHAnsi" w:hAnsiTheme="minorHAnsi" w:cstheme="minorHAnsi"/>
          <w:color w:val="222222"/>
          <w:sz w:val="22"/>
          <w:szCs w:val="22"/>
        </w:rPr>
        <w:t>21)</w:t>
      </w:r>
      <w:r w:rsidRPr="00DF2DB2">
        <w:rPr>
          <w:rFonts w:asciiTheme="minorHAnsi" w:hAnsiTheme="minorHAnsi" w:cstheme="minorHAnsi"/>
          <w:sz w:val="22"/>
          <w:szCs w:val="22"/>
          <w:lang w:val="en-US"/>
        </w:rPr>
        <w:t>.</w:t>
      </w:r>
      <w:r w:rsidRPr="00D07883">
        <w:rPr>
          <w:rFonts w:asciiTheme="minorHAnsi" w:hAnsiTheme="minorHAnsi" w:cstheme="minorHAnsi"/>
          <w:sz w:val="22"/>
          <w:szCs w:val="22"/>
          <w:lang w:val="en-US"/>
        </w:rPr>
        <w:t xml:space="preserve"> From the findings of this survey </w:t>
      </w:r>
      <w:r w:rsidRPr="00D07883">
        <w:rPr>
          <w:rFonts w:asciiTheme="minorHAnsi" w:hAnsiTheme="minorHAnsi" w:cstheme="minorHAnsi"/>
          <w:sz w:val="22"/>
          <w:szCs w:val="22"/>
          <w:lang w:val="en-US"/>
        </w:rPr>
        <w:lastRenderedPageBreak/>
        <w:t xml:space="preserve">people are working together to drive change and to become a dementia friendly community. </w:t>
      </w:r>
      <w:r w:rsidR="00D07883" w:rsidRPr="00D07883">
        <w:rPr>
          <w:rFonts w:asciiTheme="minorHAnsi" w:hAnsiTheme="minorHAnsi" w:cstheme="minorHAnsi"/>
          <w:sz w:val="22"/>
          <w:szCs w:val="22"/>
          <w:lang w:val="en-US"/>
        </w:rPr>
        <w:t>A community that gi</w:t>
      </w:r>
      <w:r w:rsidR="006B39C9">
        <w:rPr>
          <w:rFonts w:asciiTheme="minorHAnsi" w:hAnsiTheme="minorHAnsi" w:cstheme="minorHAnsi"/>
          <w:sz w:val="22"/>
          <w:szCs w:val="22"/>
          <w:lang w:val="en-US"/>
        </w:rPr>
        <w:t>v</w:t>
      </w:r>
      <w:r w:rsidR="00D07883" w:rsidRPr="00D07883">
        <w:rPr>
          <w:rFonts w:asciiTheme="minorHAnsi" w:hAnsiTheme="minorHAnsi" w:cstheme="minorHAnsi"/>
          <w:sz w:val="22"/>
          <w:szCs w:val="22"/>
          <w:lang w:val="en-US"/>
        </w:rPr>
        <w:t>es people independence and dignity they need to have the best quality of life</w:t>
      </w:r>
      <w:r w:rsidR="00A623B6">
        <w:rPr>
          <w:rFonts w:asciiTheme="minorHAnsi" w:hAnsiTheme="minorHAnsi" w:cstheme="minorHAnsi"/>
          <w:sz w:val="22"/>
          <w:szCs w:val="22"/>
          <w:lang w:val="en-US"/>
        </w:rPr>
        <w:t xml:space="preserve"> (Malley, 2012)</w:t>
      </w:r>
      <w:r w:rsidR="00D07883" w:rsidRPr="00D07883">
        <w:rPr>
          <w:rFonts w:asciiTheme="minorHAnsi" w:hAnsiTheme="minorHAnsi" w:cstheme="minorHAnsi"/>
          <w:sz w:val="22"/>
          <w:szCs w:val="22"/>
          <w:lang w:val="en-US"/>
        </w:rPr>
        <w:t xml:space="preserve">. </w:t>
      </w:r>
      <w:r w:rsidR="006B39C9" w:rsidRPr="00D07883">
        <w:rPr>
          <w:rFonts w:asciiTheme="minorHAnsi" w:hAnsiTheme="minorHAnsi" w:cstheme="minorHAnsi"/>
          <w:sz w:val="22"/>
          <w:szCs w:val="22"/>
          <w:lang w:val="en-US"/>
        </w:rPr>
        <w:t>Recommendations</w:t>
      </w:r>
      <w:r w:rsidR="00D07883" w:rsidRPr="00D07883">
        <w:rPr>
          <w:rFonts w:asciiTheme="minorHAnsi" w:hAnsiTheme="minorHAnsi" w:cstheme="minorHAnsi"/>
          <w:sz w:val="22"/>
          <w:szCs w:val="22"/>
          <w:lang w:val="en-US"/>
        </w:rPr>
        <w:t xml:space="preserve"> from this report were made and have been implemented into society today. There was to be more of a </w:t>
      </w:r>
      <w:r w:rsidR="006B39C9" w:rsidRPr="00D07883">
        <w:rPr>
          <w:rFonts w:asciiTheme="minorHAnsi" w:hAnsiTheme="minorHAnsi" w:cstheme="minorHAnsi"/>
          <w:sz w:val="22"/>
          <w:szCs w:val="22"/>
          <w:lang w:val="en-US"/>
        </w:rPr>
        <w:t>focus</w:t>
      </w:r>
      <w:r w:rsidR="00D07883" w:rsidRPr="00D07883">
        <w:rPr>
          <w:rFonts w:asciiTheme="minorHAnsi" w:hAnsiTheme="minorHAnsi" w:cstheme="minorHAnsi"/>
          <w:sz w:val="22"/>
          <w:szCs w:val="22"/>
          <w:lang w:val="en-US"/>
        </w:rPr>
        <w:t xml:space="preserve"> on the Mental </w:t>
      </w:r>
      <w:r w:rsidR="006B39C9" w:rsidRPr="00D07883">
        <w:rPr>
          <w:rFonts w:asciiTheme="minorHAnsi" w:hAnsiTheme="minorHAnsi" w:cstheme="minorHAnsi"/>
          <w:sz w:val="22"/>
          <w:szCs w:val="22"/>
          <w:lang w:val="en-US"/>
        </w:rPr>
        <w:t>Capacity</w:t>
      </w:r>
      <w:r w:rsidR="00D07883" w:rsidRPr="00D07883">
        <w:rPr>
          <w:rFonts w:asciiTheme="minorHAnsi" w:hAnsiTheme="minorHAnsi" w:cstheme="minorHAnsi"/>
          <w:sz w:val="22"/>
          <w:szCs w:val="22"/>
          <w:lang w:val="en-US"/>
        </w:rPr>
        <w:t xml:space="preserve"> Act 2005 and must be comprehensively implemented and the act was altered. Dementia networks have now been created by the NHS </w:t>
      </w:r>
      <w:r w:rsidR="006B39C9" w:rsidRPr="00D07883">
        <w:rPr>
          <w:rFonts w:asciiTheme="minorHAnsi" w:hAnsiTheme="minorHAnsi" w:cstheme="minorHAnsi"/>
          <w:sz w:val="22"/>
          <w:szCs w:val="22"/>
          <w:lang w:val="en-US"/>
        </w:rPr>
        <w:t>Commissioning</w:t>
      </w:r>
      <w:r w:rsidR="00D07883" w:rsidRPr="00D07883">
        <w:rPr>
          <w:rFonts w:asciiTheme="minorHAnsi" w:hAnsiTheme="minorHAnsi" w:cstheme="minorHAnsi"/>
          <w:sz w:val="22"/>
          <w:szCs w:val="22"/>
          <w:lang w:val="en-US"/>
        </w:rPr>
        <w:t xml:space="preserve"> Board which ensures effective use of clinical expertise to improve services</w:t>
      </w:r>
      <w:r w:rsidR="006B39C9">
        <w:rPr>
          <w:rFonts w:asciiTheme="minorHAnsi" w:hAnsiTheme="minorHAnsi" w:cstheme="minorHAnsi"/>
          <w:sz w:val="22"/>
          <w:szCs w:val="22"/>
          <w:lang w:val="en-US"/>
        </w:rPr>
        <w:t xml:space="preserve"> </w:t>
      </w:r>
      <w:r w:rsidR="00D07883" w:rsidRPr="00D07883">
        <w:rPr>
          <w:rFonts w:asciiTheme="minorHAnsi" w:hAnsiTheme="minorHAnsi" w:cstheme="minorHAnsi"/>
          <w:sz w:val="22"/>
          <w:szCs w:val="22"/>
          <w:lang w:val="en-US"/>
        </w:rPr>
        <w:t xml:space="preserve">for people with dementia and their cares. </w:t>
      </w:r>
    </w:p>
    <w:p w14:paraId="4D462F72" w14:textId="4635F459" w:rsidR="00260027" w:rsidRPr="001B7D3B" w:rsidRDefault="006B39C9" w:rsidP="00376A2C">
      <w:pPr>
        <w:pStyle w:val="NormalWeb"/>
        <w:spacing w:line="360" w:lineRule="auto"/>
        <w:rPr>
          <w:rFonts w:asciiTheme="minorHAnsi" w:hAnsiTheme="minorHAnsi" w:cstheme="minorHAnsi"/>
          <w:sz w:val="22"/>
          <w:szCs w:val="22"/>
          <w:highlight w:val="yellow"/>
          <w:lang w:val="en-US"/>
        </w:rPr>
      </w:pPr>
      <w:r w:rsidRPr="00416D6F">
        <w:rPr>
          <w:rFonts w:asciiTheme="minorHAnsi" w:hAnsiTheme="minorHAnsi" w:cstheme="minorHAnsi"/>
          <w:sz w:val="22"/>
          <w:szCs w:val="22"/>
          <w:lang w:val="en-US"/>
        </w:rPr>
        <w:t>The NICE guideline 2018</w:t>
      </w:r>
      <w:r w:rsidR="00F56300">
        <w:rPr>
          <w:rFonts w:asciiTheme="minorHAnsi" w:hAnsiTheme="minorHAnsi" w:cstheme="minorHAnsi"/>
          <w:sz w:val="22"/>
          <w:szCs w:val="22"/>
          <w:lang w:val="en-US"/>
        </w:rPr>
        <w:t xml:space="preserve"> </w:t>
      </w:r>
      <w:r w:rsidR="00F56300" w:rsidRPr="00416D6F">
        <w:rPr>
          <w:rFonts w:asciiTheme="minorHAnsi" w:hAnsiTheme="minorHAnsi" w:cstheme="minorHAnsi"/>
          <w:sz w:val="22"/>
          <w:szCs w:val="22"/>
          <w:lang w:val="en-US"/>
        </w:rPr>
        <w:t>addresses</w:t>
      </w:r>
      <w:r w:rsidRPr="00416D6F">
        <w:rPr>
          <w:rFonts w:asciiTheme="minorHAnsi" w:hAnsiTheme="minorHAnsi" w:cstheme="minorHAnsi"/>
          <w:sz w:val="22"/>
          <w:szCs w:val="22"/>
          <w:lang w:val="en-US"/>
        </w:rPr>
        <w:t xml:space="preserve"> how dementia should be assessed and diagnosed</w:t>
      </w:r>
      <w:r w:rsidR="00E87F15">
        <w:rPr>
          <w:rFonts w:asciiTheme="minorHAnsi" w:hAnsiTheme="minorHAnsi" w:cstheme="minorHAnsi"/>
          <w:sz w:val="22"/>
          <w:szCs w:val="22"/>
          <w:lang w:val="en-US"/>
        </w:rPr>
        <w:t xml:space="preserve"> (Pink, 2018)</w:t>
      </w:r>
      <w:r w:rsidRPr="00416D6F">
        <w:rPr>
          <w:rFonts w:asciiTheme="minorHAnsi" w:hAnsiTheme="minorHAnsi" w:cstheme="minorHAnsi"/>
          <w:sz w:val="22"/>
          <w:szCs w:val="22"/>
          <w:lang w:val="en-US"/>
        </w:rPr>
        <w:t xml:space="preserve">. It covers person </w:t>
      </w:r>
      <w:r w:rsidR="00215436" w:rsidRPr="00416D6F">
        <w:rPr>
          <w:rFonts w:asciiTheme="minorHAnsi" w:hAnsiTheme="minorHAnsi" w:cstheme="minorHAnsi"/>
          <w:sz w:val="22"/>
          <w:szCs w:val="22"/>
          <w:lang w:val="en-US"/>
        </w:rPr>
        <w:t>centered</w:t>
      </w:r>
      <w:r w:rsidRPr="00416D6F">
        <w:rPr>
          <w:rFonts w:asciiTheme="minorHAnsi" w:hAnsiTheme="minorHAnsi" w:cstheme="minorHAnsi"/>
          <w:sz w:val="22"/>
          <w:szCs w:val="22"/>
          <w:lang w:val="en-US"/>
        </w:rPr>
        <w:t xml:space="preserve"> care and support, tailored to the specific needs of each person living with dementia. It can also help </w:t>
      </w:r>
      <w:r w:rsidR="00215436" w:rsidRPr="00416D6F">
        <w:rPr>
          <w:rFonts w:asciiTheme="minorHAnsi" w:hAnsiTheme="minorHAnsi" w:cstheme="minorHAnsi"/>
          <w:sz w:val="22"/>
          <w:szCs w:val="22"/>
          <w:lang w:val="en-US"/>
        </w:rPr>
        <w:t>professionals</w:t>
      </w:r>
      <w:r w:rsidRPr="00416D6F">
        <w:rPr>
          <w:rFonts w:asciiTheme="minorHAnsi" w:hAnsiTheme="minorHAnsi" w:cstheme="minorHAnsi"/>
          <w:sz w:val="22"/>
          <w:szCs w:val="22"/>
          <w:lang w:val="en-US"/>
        </w:rPr>
        <w:t xml:space="preserve"> involve people living with dementia and their careers in </w:t>
      </w:r>
      <w:r w:rsidR="00A623B6" w:rsidRPr="00416D6F">
        <w:rPr>
          <w:rFonts w:asciiTheme="minorHAnsi" w:hAnsiTheme="minorHAnsi" w:cstheme="minorHAnsi"/>
          <w:sz w:val="22"/>
          <w:szCs w:val="22"/>
          <w:lang w:val="en-US"/>
        </w:rPr>
        <w:t>decision</w:t>
      </w:r>
      <w:r w:rsidRPr="00416D6F">
        <w:rPr>
          <w:rFonts w:asciiTheme="minorHAnsi" w:hAnsiTheme="minorHAnsi" w:cstheme="minorHAnsi"/>
          <w:sz w:val="22"/>
          <w:szCs w:val="22"/>
          <w:lang w:val="en-US"/>
        </w:rPr>
        <w:t xml:space="preserve"> making, so they can receive the care and support they need. It addresses care coordination and staff training and how deme</w:t>
      </w:r>
      <w:r w:rsidR="00215436" w:rsidRPr="00416D6F">
        <w:rPr>
          <w:rFonts w:asciiTheme="minorHAnsi" w:hAnsiTheme="minorHAnsi" w:cstheme="minorHAnsi"/>
          <w:sz w:val="22"/>
          <w:szCs w:val="22"/>
          <w:lang w:val="en-US"/>
        </w:rPr>
        <w:t>nti</w:t>
      </w:r>
      <w:r w:rsidRPr="00416D6F">
        <w:rPr>
          <w:rFonts w:asciiTheme="minorHAnsi" w:hAnsiTheme="minorHAnsi" w:cstheme="minorHAnsi"/>
          <w:sz w:val="22"/>
          <w:szCs w:val="22"/>
          <w:lang w:val="en-US"/>
        </w:rPr>
        <w:t>a may impact on the care offered for other conditions</w:t>
      </w:r>
      <w:r w:rsidR="00E87F15">
        <w:rPr>
          <w:rFonts w:asciiTheme="minorHAnsi" w:hAnsiTheme="minorHAnsi" w:cstheme="minorHAnsi"/>
          <w:sz w:val="22"/>
          <w:szCs w:val="22"/>
          <w:lang w:val="en-US"/>
        </w:rPr>
        <w:t xml:space="preserve"> (</w:t>
      </w:r>
      <w:r w:rsidR="00E87F15" w:rsidRPr="00E87F15">
        <w:rPr>
          <w:rFonts w:asciiTheme="minorHAnsi" w:hAnsiTheme="minorHAnsi" w:cstheme="minorHAnsi"/>
          <w:color w:val="222222"/>
          <w:sz w:val="22"/>
          <w:szCs w:val="22"/>
        </w:rPr>
        <w:t>Shaji</w:t>
      </w:r>
      <w:r w:rsidR="00E87F15" w:rsidRPr="00E87F15">
        <w:rPr>
          <w:rFonts w:asciiTheme="minorHAnsi" w:hAnsiTheme="minorHAnsi" w:cstheme="minorHAnsi"/>
          <w:sz w:val="22"/>
          <w:szCs w:val="22"/>
          <w:lang w:val="en-US"/>
        </w:rPr>
        <w:t>, 2018).</w:t>
      </w:r>
      <w:r w:rsidRPr="00E87F15">
        <w:rPr>
          <w:rFonts w:asciiTheme="minorHAnsi" w:hAnsiTheme="minorHAnsi" w:cstheme="minorHAnsi"/>
          <w:sz w:val="22"/>
          <w:szCs w:val="22"/>
          <w:lang w:val="en-US"/>
        </w:rPr>
        <w:t xml:space="preserve"> </w:t>
      </w:r>
      <w:r w:rsidRPr="00416D6F">
        <w:rPr>
          <w:rFonts w:asciiTheme="minorHAnsi" w:hAnsiTheme="minorHAnsi" w:cstheme="minorHAnsi"/>
          <w:sz w:val="22"/>
          <w:szCs w:val="22"/>
          <w:lang w:val="en-US"/>
        </w:rPr>
        <w:t xml:space="preserve">In 2019 the guideline had been developed by a multidisciplinary guideline committee, using an extensive </w:t>
      </w:r>
      <w:r w:rsidR="00215436" w:rsidRPr="00416D6F">
        <w:rPr>
          <w:rFonts w:asciiTheme="minorHAnsi" w:hAnsiTheme="minorHAnsi" w:cstheme="minorHAnsi"/>
          <w:sz w:val="22"/>
          <w:szCs w:val="22"/>
          <w:lang w:val="en-US"/>
        </w:rPr>
        <w:t>review</w:t>
      </w:r>
      <w:r w:rsidRPr="00416D6F">
        <w:rPr>
          <w:rFonts w:asciiTheme="minorHAnsi" w:hAnsiTheme="minorHAnsi" w:cstheme="minorHAnsi"/>
          <w:sz w:val="22"/>
          <w:szCs w:val="22"/>
          <w:lang w:val="en-US"/>
        </w:rPr>
        <w:t xml:space="preserve"> of research evidence</w:t>
      </w:r>
      <w:r w:rsidR="00E87F15">
        <w:rPr>
          <w:rFonts w:asciiTheme="minorHAnsi" w:hAnsiTheme="minorHAnsi" w:cstheme="minorHAnsi"/>
          <w:sz w:val="22"/>
          <w:szCs w:val="22"/>
          <w:lang w:val="en-US"/>
        </w:rPr>
        <w:t xml:space="preserve"> (Gray, 2022)</w:t>
      </w:r>
      <w:r w:rsidRPr="00416D6F">
        <w:rPr>
          <w:rFonts w:asciiTheme="minorHAnsi" w:hAnsiTheme="minorHAnsi" w:cstheme="minorHAnsi"/>
          <w:sz w:val="22"/>
          <w:szCs w:val="22"/>
          <w:lang w:val="en-US"/>
        </w:rPr>
        <w:t>. To ensure the committee had the necessary social care expertise, a group of social care pr</w:t>
      </w:r>
      <w:r w:rsidR="00215436" w:rsidRPr="00416D6F">
        <w:rPr>
          <w:rFonts w:asciiTheme="minorHAnsi" w:hAnsiTheme="minorHAnsi" w:cstheme="minorHAnsi"/>
          <w:sz w:val="22"/>
          <w:szCs w:val="22"/>
          <w:lang w:val="en-US"/>
        </w:rPr>
        <w:t>actitio</w:t>
      </w:r>
      <w:r w:rsidRPr="00416D6F">
        <w:rPr>
          <w:rFonts w:asciiTheme="minorHAnsi" w:hAnsiTheme="minorHAnsi" w:cstheme="minorHAnsi"/>
          <w:sz w:val="22"/>
          <w:szCs w:val="22"/>
          <w:lang w:val="en-US"/>
        </w:rPr>
        <w:t>ners were recruited to develop rec</w:t>
      </w:r>
      <w:r w:rsidR="00215436" w:rsidRPr="00416D6F">
        <w:rPr>
          <w:rFonts w:asciiTheme="minorHAnsi" w:hAnsiTheme="minorHAnsi" w:cstheme="minorHAnsi"/>
          <w:sz w:val="22"/>
          <w:szCs w:val="22"/>
          <w:lang w:val="en-US"/>
        </w:rPr>
        <w:t>ommendations</w:t>
      </w:r>
      <w:r w:rsidRPr="00416D6F">
        <w:rPr>
          <w:rFonts w:asciiTheme="minorHAnsi" w:hAnsiTheme="minorHAnsi" w:cstheme="minorHAnsi"/>
          <w:sz w:val="22"/>
          <w:szCs w:val="22"/>
          <w:lang w:val="en-US"/>
        </w:rPr>
        <w:t xml:space="preserve"> in this area. </w:t>
      </w:r>
      <w:r w:rsidR="00215436" w:rsidRPr="00416D6F">
        <w:rPr>
          <w:rFonts w:asciiTheme="minorHAnsi" w:hAnsiTheme="minorHAnsi" w:cstheme="minorHAnsi"/>
          <w:sz w:val="22"/>
          <w:szCs w:val="22"/>
          <w:lang w:val="en-US"/>
        </w:rPr>
        <w:t>One recommendation was staff training. Robust evidence demonstrates the effectiveness of intensive training for staff heavily involves in providing care and support for people living with dementia</w:t>
      </w:r>
      <w:r w:rsidR="00E87F15">
        <w:rPr>
          <w:rFonts w:asciiTheme="minorHAnsi" w:hAnsiTheme="minorHAnsi" w:cstheme="minorHAnsi"/>
          <w:sz w:val="22"/>
          <w:szCs w:val="22"/>
          <w:lang w:val="en-US"/>
        </w:rPr>
        <w:t xml:space="preserve"> (Sur, 2017)</w:t>
      </w:r>
      <w:r w:rsidR="00215436" w:rsidRPr="00416D6F">
        <w:rPr>
          <w:rFonts w:asciiTheme="minorHAnsi" w:hAnsiTheme="minorHAnsi" w:cstheme="minorHAnsi"/>
          <w:sz w:val="22"/>
          <w:szCs w:val="22"/>
          <w:lang w:val="en-US"/>
        </w:rPr>
        <w:t xml:space="preserve">. One possibility was to expand the version of Care Certificate that included additional dementia specific elements. This specific </w:t>
      </w:r>
      <w:r w:rsidR="00215436" w:rsidRPr="004E35BC">
        <w:rPr>
          <w:rFonts w:asciiTheme="minorHAnsi" w:hAnsiTheme="minorHAnsi" w:cstheme="minorHAnsi"/>
          <w:sz w:val="22"/>
          <w:szCs w:val="22"/>
          <w:lang w:val="en-US"/>
        </w:rPr>
        <w:t xml:space="preserve">training would need to be given to a large number of staff, there needs to be good evidence benefits, specifically in improving quality of life for people living with dementia. </w:t>
      </w:r>
    </w:p>
    <w:p w14:paraId="6F978246" w14:textId="27946F83" w:rsidR="006C2C94" w:rsidRDefault="00416D6F" w:rsidP="00376A2C">
      <w:pPr>
        <w:pStyle w:val="NormalWeb"/>
        <w:spacing w:before="240" w:line="360" w:lineRule="auto"/>
        <w:rPr>
          <w:rFonts w:asciiTheme="minorHAnsi" w:hAnsiTheme="minorHAnsi" w:cstheme="minorHAnsi"/>
          <w:sz w:val="22"/>
          <w:szCs w:val="22"/>
          <w:lang w:val="en-US"/>
        </w:rPr>
      </w:pPr>
      <w:r>
        <w:rPr>
          <w:rFonts w:asciiTheme="minorHAnsi" w:hAnsiTheme="minorHAnsi" w:cstheme="minorHAnsi"/>
          <w:sz w:val="22"/>
          <w:szCs w:val="22"/>
          <w:lang w:val="en-US"/>
        </w:rPr>
        <w:t xml:space="preserve">Dementia isn’t just about memory loss. It can affect how you think, feel, speak and behave. Depression and dementia share many of the same symptoms, including difficulty concentrating, not wanting to socialize and being not motivated. It is known that 50% of people living with dementia suffer with ongoing </w:t>
      </w:r>
      <w:r w:rsidRPr="00642961">
        <w:rPr>
          <w:rFonts w:asciiTheme="minorHAnsi" w:hAnsiTheme="minorHAnsi" w:cstheme="minorHAnsi"/>
          <w:sz w:val="22"/>
          <w:szCs w:val="22"/>
          <w:lang w:val="en-US"/>
        </w:rPr>
        <w:t>depression</w:t>
      </w:r>
      <w:r w:rsidR="00642961" w:rsidRPr="00642961">
        <w:rPr>
          <w:rFonts w:asciiTheme="minorHAnsi" w:hAnsiTheme="minorHAnsi" w:cstheme="minorHAnsi"/>
          <w:sz w:val="22"/>
          <w:szCs w:val="22"/>
          <w:lang w:val="en-US"/>
        </w:rPr>
        <w:t xml:space="preserve"> (</w:t>
      </w:r>
      <w:r w:rsidR="00642961" w:rsidRPr="00642961">
        <w:rPr>
          <w:rFonts w:asciiTheme="minorHAnsi" w:hAnsiTheme="minorHAnsi" w:cstheme="minorHAnsi"/>
          <w:color w:val="222222"/>
          <w:sz w:val="22"/>
          <w:szCs w:val="22"/>
        </w:rPr>
        <w:t>Korczyn, 2009)</w:t>
      </w:r>
      <w:r w:rsidRPr="00642961">
        <w:rPr>
          <w:rFonts w:asciiTheme="minorHAnsi" w:hAnsiTheme="minorHAnsi" w:cstheme="minorHAnsi"/>
          <w:sz w:val="22"/>
          <w:szCs w:val="22"/>
          <w:lang w:val="en-US"/>
        </w:rPr>
        <w:t>.</w:t>
      </w:r>
      <w:r>
        <w:rPr>
          <w:rFonts w:asciiTheme="minorHAnsi" w:hAnsiTheme="minorHAnsi" w:cstheme="minorHAnsi"/>
          <w:sz w:val="22"/>
          <w:szCs w:val="22"/>
          <w:lang w:val="en-US"/>
        </w:rPr>
        <w:t xml:space="preserve"> Improving the mental health of someone with dementia can improve their overall quality of life. For example, by helping them engage with friends and family, improving their appetite and sleep quality and boosting their motivation. </w:t>
      </w:r>
    </w:p>
    <w:p w14:paraId="368EC3AF" w14:textId="67CB77DE" w:rsidR="006C2C94" w:rsidRDefault="004E35BC" w:rsidP="00376A2C">
      <w:pPr>
        <w:spacing w:line="360" w:lineRule="auto"/>
      </w:pPr>
      <w:r>
        <w:t xml:space="preserve">In order to address current widespread failings, the regulatory system must be strengthened and incentivise high quality provision. It must also recognise that people with dementia are a core group of service users and that providing services for people with dementia are a core function of the health and social care system. </w:t>
      </w:r>
      <w:r w:rsidR="0056620F">
        <w:t xml:space="preserve">The limitations identified in this assignment could be addressed through development of a national policy focused specifically on dementia prevention. This could </w:t>
      </w:r>
      <w:r w:rsidR="0056620F">
        <w:lastRenderedPageBreak/>
        <w:t xml:space="preserve">provide a platform for increasing knowledge and understanding among the general population and healthcare professionals. It would be important for such a policy to cover the full range of modifiable documents and data relevant to dementia. </w:t>
      </w:r>
    </w:p>
    <w:p w14:paraId="03C276DD" w14:textId="5656AF63" w:rsidR="00EF6619" w:rsidRDefault="00EF6619"/>
    <w:p w14:paraId="56933E28" w14:textId="69C47286" w:rsidR="00EF6619" w:rsidRDefault="00EF6619"/>
    <w:p w14:paraId="306A7165" w14:textId="7E8D0D0C" w:rsidR="00EF6619" w:rsidRDefault="00EF6619"/>
    <w:p w14:paraId="043A9201" w14:textId="55FFE197" w:rsidR="00EF6619" w:rsidRDefault="00EF6619"/>
    <w:p w14:paraId="547E44A8" w14:textId="0B1CC2F7" w:rsidR="00EF6619" w:rsidRDefault="00EF6619"/>
    <w:p w14:paraId="697040B7" w14:textId="126F9529" w:rsidR="00EF6619" w:rsidRDefault="00EF6619"/>
    <w:p w14:paraId="5DB9EFDA" w14:textId="4133739C" w:rsidR="00EF6619" w:rsidRDefault="00EF6619"/>
    <w:p w14:paraId="6DE6F359" w14:textId="501288B4" w:rsidR="00EF6619" w:rsidRDefault="00EF6619"/>
    <w:p w14:paraId="72134677" w14:textId="688344B4" w:rsidR="00EF6619" w:rsidRDefault="00EF6619"/>
    <w:p w14:paraId="0EEFA8CD" w14:textId="1B2B7A2C" w:rsidR="00EF6619" w:rsidRDefault="00EF6619"/>
    <w:p w14:paraId="6DFA9836" w14:textId="41AE5298" w:rsidR="00EF6619" w:rsidRDefault="00EF6619"/>
    <w:p w14:paraId="57A3582D" w14:textId="307A90B6" w:rsidR="00EF6619" w:rsidRDefault="00EF6619"/>
    <w:p w14:paraId="690E7234" w14:textId="6A4017CB" w:rsidR="00EF6619" w:rsidRDefault="00EF6619"/>
    <w:p w14:paraId="37DDBDF5" w14:textId="50CD3978" w:rsidR="00EF6619" w:rsidRDefault="00EF6619"/>
    <w:p w14:paraId="6C2285C9" w14:textId="03735E05" w:rsidR="00EF6619" w:rsidRDefault="00EF6619"/>
    <w:p w14:paraId="7BEA8BCD" w14:textId="70023B32" w:rsidR="00EF6619" w:rsidRDefault="00EF6619"/>
    <w:p w14:paraId="20A5D398" w14:textId="14B32D63" w:rsidR="00EF6619" w:rsidRDefault="00EF6619"/>
    <w:p w14:paraId="38E0E729" w14:textId="2710F294" w:rsidR="00EF6619" w:rsidRDefault="00EF6619"/>
    <w:p w14:paraId="5036D3B5" w14:textId="6264AC94" w:rsidR="00EF6619" w:rsidRDefault="00EF6619"/>
    <w:p w14:paraId="4B3DA433" w14:textId="16D10ABA" w:rsidR="00EF6619" w:rsidRDefault="00EF6619"/>
    <w:p w14:paraId="6C953F02" w14:textId="349F2DD5" w:rsidR="00EF6619" w:rsidRDefault="00EF6619"/>
    <w:p w14:paraId="59AE12D4" w14:textId="06152FAD" w:rsidR="00EF6619" w:rsidRDefault="00EF6619"/>
    <w:p w14:paraId="75D2BF75" w14:textId="3107F3E0" w:rsidR="00EF6619" w:rsidRDefault="00EF6619"/>
    <w:p w14:paraId="1923A255" w14:textId="73E5B130" w:rsidR="00EF6619" w:rsidRDefault="00EF6619"/>
    <w:p w14:paraId="4DCB6730" w14:textId="0F4273E2" w:rsidR="003628CE" w:rsidRDefault="003628CE"/>
    <w:p w14:paraId="0364579B" w14:textId="3B81991F" w:rsidR="003628CE" w:rsidRDefault="003628CE"/>
    <w:p w14:paraId="75DBFC7F" w14:textId="77777777" w:rsidR="003628CE" w:rsidRDefault="003628CE">
      <w:bookmarkStart w:id="0" w:name="_GoBack"/>
      <w:bookmarkEnd w:id="0"/>
    </w:p>
    <w:p w14:paraId="2527643D" w14:textId="733D43AF" w:rsidR="00EF6619" w:rsidRDefault="00EF6619"/>
    <w:p w14:paraId="2F1AC74F" w14:textId="77777777" w:rsidR="00642961" w:rsidRDefault="00642961" w:rsidP="00642961">
      <w:r>
        <w:lastRenderedPageBreak/>
        <w:t>Reference List</w:t>
      </w:r>
    </w:p>
    <w:p w14:paraId="1E82DEBF" w14:textId="1DA7FB43" w:rsidR="00EF6619" w:rsidRDefault="00EF6619"/>
    <w:p w14:paraId="122BB0F5" w14:textId="77777777" w:rsidR="00642961" w:rsidRDefault="00642961">
      <w:pPr>
        <w:rPr>
          <w:color w:val="222222"/>
        </w:rPr>
      </w:pPr>
      <w:r>
        <w:rPr>
          <w:color w:val="222222"/>
        </w:rPr>
        <w:t xml:space="preserve">  2018 Alzheimer's disease facts and figures. </w:t>
      </w:r>
      <w:r>
        <w:rPr>
          <w:i/>
          <w:iCs/>
          <w:color w:val="222222"/>
        </w:rPr>
        <w:t>Alzheimer's &amp; Dementia</w:t>
      </w:r>
      <w:r>
        <w:rPr>
          <w:color w:val="222222"/>
        </w:rPr>
        <w:t xml:space="preserve">, </w:t>
      </w:r>
      <w:r>
        <w:rPr>
          <w:i/>
          <w:iCs/>
          <w:color w:val="222222"/>
        </w:rPr>
        <w:t>14</w:t>
      </w:r>
      <w:r>
        <w:rPr>
          <w:color w:val="222222"/>
        </w:rPr>
        <w:t>(3), pp.367-429.</w:t>
      </w:r>
    </w:p>
    <w:p w14:paraId="31307395" w14:textId="56E5C8E9" w:rsidR="00642961" w:rsidRDefault="00642961">
      <w:pPr>
        <w:rPr>
          <w:color w:val="222222"/>
        </w:rPr>
      </w:pPr>
      <w:r>
        <w:rPr>
          <w:color w:val="222222"/>
        </w:rPr>
        <w:t xml:space="preserve">Amar, A.R., (2008). </w:t>
      </w:r>
      <w:r>
        <w:rPr>
          <w:i/>
          <w:iCs/>
          <w:color w:val="222222"/>
        </w:rPr>
        <w:t>The bill of rights</w:t>
      </w:r>
      <w:r>
        <w:rPr>
          <w:color w:val="222222"/>
        </w:rPr>
        <w:t>. Yale University Press.</w:t>
      </w:r>
    </w:p>
    <w:p w14:paraId="2ACEE708" w14:textId="2B896CDD" w:rsidR="00642961" w:rsidRDefault="00642961">
      <w:pPr>
        <w:rPr>
          <w:color w:val="222222"/>
        </w:rPr>
      </w:pPr>
      <w:r>
        <w:rPr>
          <w:color w:val="222222"/>
        </w:rPr>
        <w:t xml:space="preserve">Amos, M., 2009. Problems with the Human Rights Act (1998) and how to remedy them: Is a Bill of Rights the answer?. </w:t>
      </w:r>
      <w:r>
        <w:rPr>
          <w:i/>
          <w:iCs/>
          <w:color w:val="222222"/>
        </w:rPr>
        <w:t>The Modern Law Review</w:t>
      </w:r>
      <w:r>
        <w:rPr>
          <w:color w:val="222222"/>
        </w:rPr>
        <w:t xml:space="preserve">, </w:t>
      </w:r>
      <w:r>
        <w:rPr>
          <w:i/>
          <w:iCs/>
          <w:color w:val="222222"/>
        </w:rPr>
        <w:t>72</w:t>
      </w:r>
      <w:r>
        <w:rPr>
          <w:color w:val="222222"/>
        </w:rPr>
        <w:t>(6), pp.883-908.</w:t>
      </w:r>
    </w:p>
    <w:p w14:paraId="5E81F7D2" w14:textId="04422C4B" w:rsidR="00642961" w:rsidRDefault="00642961">
      <w:r>
        <w:rPr>
          <w:color w:val="222222"/>
        </w:rPr>
        <w:t xml:space="preserve">Banerjee, S., (2010). Living well with dementia-development of the national dementia strategy for England. </w:t>
      </w:r>
      <w:r>
        <w:rPr>
          <w:i/>
          <w:iCs/>
          <w:color w:val="222222"/>
        </w:rPr>
        <w:t>International journal of geriatric psychiatry</w:t>
      </w:r>
      <w:r>
        <w:rPr>
          <w:color w:val="222222"/>
        </w:rPr>
        <w:t xml:space="preserve">, </w:t>
      </w:r>
      <w:r>
        <w:rPr>
          <w:i/>
          <w:iCs/>
          <w:color w:val="222222"/>
        </w:rPr>
        <w:t>25</w:t>
      </w:r>
      <w:r>
        <w:rPr>
          <w:color w:val="222222"/>
        </w:rPr>
        <w:t>(9), pp.917-922.</w:t>
      </w:r>
    </w:p>
    <w:p w14:paraId="3B0D0BEE" w14:textId="079A9EFE" w:rsidR="00642961" w:rsidRDefault="00642961">
      <w:pPr>
        <w:rPr>
          <w:color w:val="222222"/>
        </w:rPr>
      </w:pPr>
      <w:r>
        <w:rPr>
          <w:color w:val="222222"/>
        </w:rPr>
        <w:t xml:space="preserve">Bosco, A., Schneider, J., Coleston-Shields, D.M., Higgs, P. and Orrell, M., (2019). The social construction of dementia: Systematic review and metacognitive model of enculturation. </w:t>
      </w:r>
      <w:r>
        <w:rPr>
          <w:i/>
          <w:iCs/>
          <w:color w:val="222222"/>
        </w:rPr>
        <w:t>Maturitas</w:t>
      </w:r>
      <w:r>
        <w:rPr>
          <w:color w:val="222222"/>
        </w:rPr>
        <w:t xml:space="preserve">, </w:t>
      </w:r>
      <w:r>
        <w:rPr>
          <w:i/>
          <w:iCs/>
          <w:color w:val="222222"/>
        </w:rPr>
        <w:t>120</w:t>
      </w:r>
      <w:r>
        <w:rPr>
          <w:color w:val="222222"/>
        </w:rPr>
        <w:t>, pp.12-22.</w:t>
      </w:r>
    </w:p>
    <w:p w14:paraId="7E8F7EBA" w14:textId="6BEC39C4" w:rsidR="00642961" w:rsidRDefault="00642961">
      <w:r>
        <w:rPr>
          <w:color w:val="222222"/>
        </w:rPr>
        <w:t xml:space="preserve">Brindle, N. and Branton, T., (2010). Interface between the Mental Health Act and Mental Capacity Act: deprivation of liberty safeguards. </w:t>
      </w:r>
      <w:r>
        <w:rPr>
          <w:i/>
          <w:iCs/>
          <w:color w:val="222222"/>
        </w:rPr>
        <w:t>Advances in psychiatric treatment</w:t>
      </w:r>
      <w:r>
        <w:rPr>
          <w:color w:val="222222"/>
        </w:rPr>
        <w:t xml:space="preserve">, </w:t>
      </w:r>
      <w:r>
        <w:rPr>
          <w:i/>
          <w:iCs/>
          <w:color w:val="222222"/>
        </w:rPr>
        <w:t>16</w:t>
      </w:r>
      <w:r>
        <w:rPr>
          <w:color w:val="222222"/>
        </w:rPr>
        <w:t>(6), pp.430-437.</w:t>
      </w:r>
    </w:p>
    <w:p w14:paraId="61FD9A88" w14:textId="6D9026DF" w:rsidR="00642961" w:rsidRDefault="00642961">
      <w:r>
        <w:rPr>
          <w:color w:val="222222"/>
        </w:rPr>
        <w:t xml:space="preserve">Care Quality Commission, (2012). </w:t>
      </w:r>
      <w:r>
        <w:rPr>
          <w:i/>
          <w:iCs/>
          <w:color w:val="222222"/>
        </w:rPr>
        <w:t>The state of health care and adult social care in England in 2011/12</w:t>
      </w:r>
      <w:r>
        <w:rPr>
          <w:color w:val="222222"/>
        </w:rPr>
        <w:t xml:space="preserve"> (Vol. 763). The Stationery Office.</w:t>
      </w:r>
    </w:p>
    <w:p w14:paraId="591E4213" w14:textId="091C5F75" w:rsidR="00642961" w:rsidRDefault="00642961">
      <w:pPr>
        <w:rPr>
          <w:color w:val="222222"/>
        </w:rPr>
      </w:pPr>
      <w:r>
        <w:rPr>
          <w:color w:val="222222"/>
        </w:rPr>
        <w:t xml:space="preserve">Cave, E., (2015). Determining capacity to make medical treatment decisions: Problems implementing the mental capacity act 2005. </w:t>
      </w:r>
      <w:r>
        <w:rPr>
          <w:i/>
          <w:iCs/>
          <w:color w:val="222222"/>
        </w:rPr>
        <w:t>Statute law review</w:t>
      </w:r>
      <w:r>
        <w:rPr>
          <w:color w:val="222222"/>
        </w:rPr>
        <w:t xml:space="preserve">, </w:t>
      </w:r>
      <w:r>
        <w:rPr>
          <w:i/>
          <w:iCs/>
          <w:color w:val="222222"/>
        </w:rPr>
        <w:t>36</w:t>
      </w:r>
      <w:r>
        <w:rPr>
          <w:color w:val="222222"/>
        </w:rPr>
        <w:t>(1), pp.86-106.</w:t>
      </w:r>
    </w:p>
    <w:p w14:paraId="78D9B79A" w14:textId="270D92F9" w:rsidR="00642961" w:rsidRDefault="00642961">
      <w:r>
        <w:rPr>
          <w:color w:val="222222"/>
        </w:rPr>
        <w:t xml:space="preserve">Council, D., Cluster, S.E.P. and Cluster, N.E.P., (2012). Living well with dementia. </w:t>
      </w:r>
      <w:r>
        <w:rPr>
          <w:i/>
          <w:iCs/>
          <w:color w:val="222222"/>
        </w:rPr>
        <w:t>London: Design Council UK</w:t>
      </w:r>
      <w:r>
        <w:rPr>
          <w:color w:val="222222"/>
        </w:rPr>
        <w:t>.</w:t>
      </w:r>
    </w:p>
    <w:p w14:paraId="536593F1" w14:textId="74570C1C" w:rsidR="00642961" w:rsidRDefault="00642961">
      <w:r>
        <w:rPr>
          <w:color w:val="222222"/>
        </w:rPr>
        <w:t xml:space="preserve">Csipke, E., Moniz-Cook, E., Leung, P., Yates, L., Birt, L., Walton, H., Hogervorst, E., Mountain, G., Charlesworth, G. and Orrell, M., (2021). Feasibility and acceptability evaluation of the Promoting Independence in Dementia (PRIDE) intervention for living well with dementia. </w:t>
      </w:r>
      <w:r>
        <w:rPr>
          <w:i/>
          <w:iCs/>
          <w:color w:val="222222"/>
        </w:rPr>
        <w:t>International Psychogeriatrics</w:t>
      </w:r>
      <w:r>
        <w:rPr>
          <w:color w:val="222222"/>
        </w:rPr>
        <w:t xml:space="preserve">, </w:t>
      </w:r>
      <w:r>
        <w:rPr>
          <w:i/>
          <w:iCs/>
          <w:color w:val="222222"/>
        </w:rPr>
        <w:t>33</w:t>
      </w:r>
      <w:r>
        <w:rPr>
          <w:color w:val="222222"/>
        </w:rPr>
        <w:t>(6), pp.601-614.</w:t>
      </w:r>
    </w:p>
    <w:p w14:paraId="7AE96E45" w14:textId="11C175B4" w:rsidR="00642961" w:rsidRDefault="00642961">
      <w:pPr>
        <w:rPr>
          <w:color w:val="222222"/>
        </w:rPr>
      </w:pPr>
      <w:r>
        <w:rPr>
          <w:color w:val="222222"/>
        </w:rPr>
        <w:t xml:space="preserve">Desjarlais, R., (1995). </w:t>
      </w:r>
      <w:r>
        <w:rPr>
          <w:i/>
          <w:iCs/>
          <w:color w:val="222222"/>
        </w:rPr>
        <w:t>World mental health: Problems and priorities in low-income countries</w:t>
      </w:r>
      <w:r>
        <w:rPr>
          <w:color w:val="222222"/>
        </w:rPr>
        <w:t>. Oxford University Press, USA.</w:t>
      </w:r>
    </w:p>
    <w:p w14:paraId="68385895" w14:textId="6B4E705A" w:rsidR="00642961" w:rsidRDefault="00642961">
      <w:r>
        <w:rPr>
          <w:color w:val="222222"/>
        </w:rPr>
        <w:t xml:space="preserve">England, N.H.S. and Improvement, N.H.S., (2016). The framework for enhanced health in care homes. </w:t>
      </w:r>
      <w:r>
        <w:rPr>
          <w:i/>
          <w:iCs/>
          <w:color w:val="222222"/>
        </w:rPr>
        <w:t>England N: NHS England</w:t>
      </w:r>
      <w:r>
        <w:rPr>
          <w:color w:val="222222"/>
        </w:rPr>
        <w:t>.</w:t>
      </w:r>
    </w:p>
    <w:p w14:paraId="54AB2E5C" w14:textId="1A9C0F64" w:rsidR="00642961" w:rsidRDefault="00642961">
      <w:pPr>
        <w:rPr>
          <w:color w:val="222222"/>
        </w:rPr>
      </w:pPr>
      <w:r>
        <w:rPr>
          <w:color w:val="222222"/>
        </w:rPr>
        <w:t xml:space="preserve">Francis, P.T., Palmer, A.M., Snape, M. and Wilcock, G.K., (1999). The cholinergic hypothesis of Alzheimer’s disease: a review of progress. </w:t>
      </w:r>
      <w:r>
        <w:rPr>
          <w:i/>
          <w:iCs/>
          <w:color w:val="222222"/>
        </w:rPr>
        <w:t>Journal of Neurology, Neurosurgery &amp; Psychiatry</w:t>
      </w:r>
      <w:r>
        <w:rPr>
          <w:color w:val="222222"/>
        </w:rPr>
        <w:t xml:space="preserve">, </w:t>
      </w:r>
      <w:r>
        <w:rPr>
          <w:i/>
          <w:iCs/>
          <w:color w:val="222222"/>
        </w:rPr>
        <w:t>66</w:t>
      </w:r>
      <w:r>
        <w:rPr>
          <w:color w:val="222222"/>
        </w:rPr>
        <w:t>(2), pp.137-147.</w:t>
      </w:r>
    </w:p>
    <w:p w14:paraId="461E5E48" w14:textId="77777777" w:rsidR="00642961" w:rsidRDefault="00642961">
      <w:r>
        <w:t xml:space="preserve">GOV. (2012) Prime Minister’s challenge on dementia. Available at: </w:t>
      </w:r>
      <w:r w:rsidRPr="005B4ACD">
        <w:t>https://www.gov.uk/government/publications/prime-ministers-challenge-on-dementia</w:t>
      </w:r>
    </w:p>
    <w:p w14:paraId="1613C85A" w14:textId="5FF6C62A" w:rsidR="00642961" w:rsidRDefault="00642961">
      <w:r>
        <w:rPr>
          <w:color w:val="222222"/>
        </w:rPr>
        <w:t xml:space="preserve">Gray, K.L., Moniz‐Cook, E., Reichelt, K., Duffy, F. and James, I.A., (2022). Professional perspectives on applying the NICE and British Psychological Society Guidelines for the management of Behaviours that Challenge in dementia care: an e‐survey. </w:t>
      </w:r>
      <w:r>
        <w:rPr>
          <w:i/>
          <w:iCs/>
          <w:color w:val="222222"/>
        </w:rPr>
        <w:t>British Journal of Clinical Psychology</w:t>
      </w:r>
      <w:r>
        <w:rPr>
          <w:color w:val="222222"/>
        </w:rPr>
        <w:t xml:space="preserve">, </w:t>
      </w:r>
      <w:r>
        <w:rPr>
          <w:i/>
          <w:iCs/>
          <w:color w:val="222222"/>
        </w:rPr>
        <w:t>61</w:t>
      </w:r>
      <w:r>
        <w:rPr>
          <w:color w:val="222222"/>
        </w:rPr>
        <w:t>(1), pp.112-131.</w:t>
      </w:r>
    </w:p>
    <w:p w14:paraId="0FF9D028" w14:textId="1012C27A" w:rsidR="00642961" w:rsidRDefault="00642961">
      <w:r>
        <w:rPr>
          <w:color w:val="222222"/>
        </w:rPr>
        <w:t xml:space="preserve">Green, B.H. and Griffiths, E.C., (2014). Hospital admission and community treatment of mental disorders in England from 1998 to 2012. </w:t>
      </w:r>
      <w:r>
        <w:rPr>
          <w:i/>
          <w:iCs/>
          <w:color w:val="222222"/>
        </w:rPr>
        <w:t>General hospital psychiatry</w:t>
      </w:r>
      <w:r>
        <w:rPr>
          <w:color w:val="222222"/>
        </w:rPr>
        <w:t xml:space="preserve">, </w:t>
      </w:r>
      <w:r>
        <w:rPr>
          <w:i/>
          <w:iCs/>
          <w:color w:val="222222"/>
        </w:rPr>
        <w:t>36</w:t>
      </w:r>
      <w:r>
        <w:rPr>
          <w:color w:val="222222"/>
        </w:rPr>
        <w:t>(4), pp.442-448.</w:t>
      </w:r>
    </w:p>
    <w:p w14:paraId="7DB34F7E" w14:textId="431636A1" w:rsidR="00642961" w:rsidRDefault="00642961">
      <w:pPr>
        <w:rPr>
          <w:color w:val="222222"/>
        </w:rPr>
      </w:pPr>
      <w:r>
        <w:rPr>
          <w:color w:val="222222"/>
        </w:rPr>
        <w:lastRenderedPageBreak/>
        <w:t xml:space="preserve">Hardy, J., (2017). The discovery of Alzheimer‐causing mutations in the APP gene and the formulation of the “amyloid cascade hypothesis”. </w:t>
      </w:r>
      <w:r>
        <w:rPr>
          <w:i/>
          <w:iCs/>
          <w:color w:val="222222"/>
        </w:rPr>
        <w:t>The FEBS journal</w:t>
      </w:r>
      <w:r>
        <w:rPr>
          <w:color w:val="222222"/>
        </w:rPr>
        <w:t xml:space="preserve">, </w:t>
      </w:r>
      <w:r>
        <w:rPr>
          <w:i/>
          <w:iCs/>
          <w:color w:val="222222"/>
        </w:rPr>
        <w:t>284</w:t>
      </w:r>
      <w:r>
        <w:rPr>
          <w:color w:val="222222"/>
        </w:rPr>
        <w:t>(7), pp.1040-1044.</w:t>
      </w:r>
    </w:p>
    <w:p w14:paraId="62FD811E" w14:textId="4FDEAC9A" w:rsidR="00642961" w:rsidRDefault="00642961">
      <w:pPr>
        <w:rPr>
          <w:color w:val="222222"/>
        </w:rPr>
      </w:pPr>
      <w:r>
        <w:rPr>
          <w:color w:val="222222"/>
        </w:rPr>
        <w:t xml:space="preserve">Hill, S.A. and Laugharne, R., (2003). Mania, dementia and melancholia in the 1870s: admissions to a Cornwall asylum. </w:t>
      </w:r>
      <w:r>
        <w:rPr>
          <w:i/>
          <w:iCs/>
          <w:color w:val="222222"/>
        </w:rPr>
        <w:t>Journal of the Royal Society of Medicine</w:t>
      </w:r>
      <w:r>
        <w:rPr>
          <w:color w:val="222222"/>
        </w:rPr>
        <w:t xml:space="preserve">, </w:t>
      </w:r>
      <w:r>
        <w:rPr>
          <w:i/>
          <w:iCs/>
          <w:color w:val="222222"/>
        </w:rPr>
        <w:t>96</w:t>
      </w:r>
      <w:r>
        <w:rPr>
          <w:color w:val="222222"/>
        </w:rPr>
        <w:t>(7), pp.361-363.</w:t>
      </w:r>
    </w:p>
    <w:p w14:paraId="324F4EEA" w14:textId="3CF1C1C7" w:rsidR="00642961" w:rsidRDefault="00642961">
      <w:r>
        <w:rPr>
          <w:color w:val="222222"/>
        </w:rPr>
        <w:t xml:space="preserve">Korczyn, A.D. and Halperin, I., (2009). Depression and dementia. </w:t>
      </w:r>
      <w:r>
        <w:rPr>
          <w:i/>
          <w:iCs/>
          <w:color w:val="222222"/>
        </w:rPr>
        <w:t>Journal of the neurological sciences</w:t>
      </w:r>
      <w:r>
        <w:rPr>
          <w:color w:val="222222"/>
        </w:rPr>
        <w:t xml:space="preserve">, </w:t>
      </w:r>
      <w:r>
        <w:rPr>
          <w:i/>
          <w:iCs/>
          <w:color w:val="222222"/>
        </w:rPr>
        <w:t>283</w:t>
      </w:r>
      <w:r>
        <w:rPr>
          <w:color w:val="222222"/>
        </w:rPr>
        <w:t>(1-2), pp.139-142.</w:t>
      </w:r>
    </w:p>
    <w:p w14:paraId="279339E1" w14:textId="203793C1" w:rsidR="00642961" w:rsidRDefault="00642961">
      <w:pPr>
        <w:rPr>
          <w:color w:val="222222"/>
        </w:rPr>
      </w:pPr>
      <w:r>
        <w:rPr>
          <w:color w:val="222222"/>
        </w:rPr>
        <w:t>Kumar, A., Sidhu, J., Goyal, A., Tsao, J.W. and Svercauski, J., (2021). Alzheimer disease (nursing).</w:t>
      </w:r>
    </w:p>
    <w:p w14:paraId="56204288" w14:textId="29DFBFAE" w:rsidR="00642961" w:rsidRDefault="00642961">
      <w:pPr>
        <w:rPr>
          <w:color w:val="222222"/>
        </w:rPr>
      </w:pPr>
      <w:r>
        <w:rPr>
          <w:color w:val="222222"/>
        </w:rPr>
        <w:t xml:space="preserve">Kupeli, N., Leavey, G., Harrington, J., Lord, K., King, M., Nazareth, I., Moore, K., Sampson, E.L. and Jones, L., (2018). What are the barriers to care integration for those at the advanced stages of dementia living in care homes in the UK? Health care professional perspective. </w:t>
      </w:r>
      <w:r>
        <w:rPr>
          <w:i/>
          <w:iCs/>
          <w:color w:val="222222"/>
        </w:rPr>
        <w:t>Dementia</w:t>
      </w:r>
      <w:r>
        <w:rPr>
          <w:color w:val="222222"/>
        </w:rPr>
        <w:t xml:space="preserve">, </w:t>
      </w:r>
      <w:r>
        <w:rPr>
          <w:i/>
          <w:iCs/>
          <w:color w:val="222222"/>
        </w:rPr>
        <w:t>17</w:t>
      </w:r>
      <w:r>
        <w:rPr>
          <w:color w:val="222222"/>
        </w:rPr>
        <w:t xml:space="preserve">(2), pp.164-179. </w:t>
      </w:r>
    </w:p>
    <w:p w14:paraId="2EA5346C" w14:textId="4F5BE80D" w:rsidR="00642961" w:rsidRDefault="00642961">
      <w:r>
        <w:rPr>
          <w:color w:val="222222"/>
        </w:rPr>
        <w:t xml:space="preserve">Malley, J.N., Towers, A.M., Netten, A.P., Brazier, J.E., Forder, J.E. and Flynn, T., (2012). An assessment of the construct validity of the ASCOT measure of social care-related quality of life with older people. </w:t>
      </w:r>
      <w:r>
        <w:rPr>
          <w:i/>
          <w:iCs/>
          <w:color w:val="222222"/>
        </w:rPr>
        <w:t>Health and Quality of life Outcomes</w:t>
      </w:r>
      <w:r>
        <w:rPr>
          <w:color w:val="222222"/>
        </w:rPr>
        <w:t xml:space="preserve">, </w:t>
      </w:r>
      <w:r>
        <w:rPr>
          <w:i/>
          <w:iCs/>
          <w:color w:val="222222"/>
        </w:rPr>
        <w:t>10</w:t>
      </w:r>
      <w:r>
        <w:rPr>
          <w:color w:val="222222"/>
        </w:rPr>
        <w:t>(1), pp.1-14.</w:t>
      </w:r>
    </w:p>
    <w:p w14:paraId="12D8E4FC" w14:textId="650D5508" w:rsidR="00642961" w:rsidRDefault="00642961">
      <w:r>
        <w:rPr>
          <w:color w:val="222222"/>
        </w:rPr>
        <w:t xml:space="preserve">Matthews, F.E., Arthur, A., Barnes, L.E., Bond, J., Jagger, C., Robinson, L., Brayne, C. and Medical Research Council Cognitive Function and Ageing Collaboration, (2013). A two-decade comparison of prevalence of dementia in individuals aged 65 years and older from three geographical areas of England: results of the Cognitive Function and Ageing Study I and II. </w:t>
      </w:r>
      <w:r>
        <w:rPr>
          <w:i/>
          <w:iCs/>
          <w:color w:val="222222"/>
        </w:rPr>
        <w:t>The Lancet</w:t>
      </w:r>
      <w:r>
        <w:rPr>
          <w:color w:val="222222"/>
        </w:rPr>
        <w:t xml:space="preserve">, </w:t>
      </w:r>
      <w:r>
        <w:rPr>
          <w:i/>
          <w:iCs/>
          <w:color w:val="222222"/>
        </w:rPr>
        <w:t>382</w:t>
      </w:r>
      <w:r>
        <w:rPr>
          <w:color w:val="222222"/>
        </w:rPr>
        <w:t>(9902), pp.1405-1412.</w:t>
      </w:r>
    </w:p>
    <w:p w14:paraId="25D5518B" w14:textId="316C9E3C" w:rsidR="00642961" w:rsidRDefault="00642961">
      <w:pPr>
        <w:rPr>
          <w:color w:val="222222"/>
        </w:rPr>
      </w:pPr>
      <w:r>
        <w:rPr>
          <w:color w:val="222222"/>
        </w:rPr>
        <w:t xml:space="preserve">Morrow, K., (2013). After the Honeymoon: The Uneasy Marriage of Human Rights and the Environment Under the European Convention on Human Rights and in UK Law Under the Human Rights Act 1998. </w:t>
      </w:r>
      <w:r>
        <w:rPr>
          <w:i/>
          <w:iCs/>
          <w:color w:val="222222"/>
        </w:rPr>
        <w:t>Revue générale de droit</w:t>
      </w:r>
      <w:r>
        <w:rPr>
          <w:color w:val="222222"/>
        </w:rPr>
        <w:t xml:space="preserve">, </w:t>
      </w:r>
      <w:r>
        <w:rPr>
          <w:i/>
          <w:iCs/>
          <w:color w:val="222222"/>
        </w:rPr>
        <w:t>43</w:t>
      </w:r>
      <w:r>
        <w:rPr>
          <w:color w:val="222222"/>
        </w:rPr>
        <w:t>, pp.317-368.</w:t>
      </w:r>
    </w:p>
    <w:p w14:paraId="03A60B9B" w14:textId="11E0BCE6" w:rsidR="00642961" w:rsidRDefault="00642961">
      <w:pPr>
        <w:rPr>
          <w:color w:val="222222"/>
        </w:rPr>
      </w:pPr>
      <w:r>
        <w:rPr>
          <w:color w:val="222222"/>
        </w:rPr>
        <w:t xml:space="preserve">Murman, D.L., (2015), August. The impact of age on cognition. In </w:t>
      </w:r>
      <w:r>
        <w:rPr>
          <w:i/>
          <w:iCs/>
          <w:color w:val="222222"/>
        </w:rPr>
        <w:t>Seminars in hearing</w:t>
      </w:r>
      <w:r>
        <w:rPr>
          <w:color w:val="222222"/>
        </w:rPr>
        <w:t xml:space="preserve"> (Vol. 36, No. 03, pp. 111-121). Thieme Medical Publishers.</w:t>
      </w:r>
    </w:p>
    <w:p w14:paraId="1417DF13" w14:textId="33006905" w:rsidR="00642961" w:rsidRDefault="00642961">
      <w:pPr>
        <w:rPr>
          <w:color w:val="222222"/>
        </w:rPr>
      </w:pPr>
      <w:r>
        <w:rPr>
          <w:color w:val="222222"/>
        </w:rPr>
        <w:t xml:space="preserve">Okai, D., Owen, G., McGuire, H., Singh, S., Churchill, R. and Hotopf, M., (2007). Mental capacity in psychiatric patients: systematic review. </w:t>
      </w:r>
      <w:r>
        <w:rPr>
          <w:i/>
          <w:iCs/>
          <w:color w:val="222222"/>
        </w:rPr>
        <w:t>The British Journal of Psychiatry</w:t>
      </w:r>
      <w:r>
        <w:rPr>
          <w:color w:val="222222"/>
        </w:rPr>
        <w:t xml:space="preserve">, </w:t>
      </w:r>
      <w:r>
        <w:rPr>
          <w:i/>
          <w:iCs/>
          <w:color w:val="222222"/>
        </w:rPr>
        <w:t>191</w:t>
      </w:r>
      <w:r>
        <w:rPr>
          <w:color w:val="222222"/>
        </w:rPr>
        <w:t>(4), pp.291-297.</w:t>
      </w:r>
    </w:p>
    <w:p w14:paraId="72D5A45B" w14:textId="54E64371" w:rsidR="00642961" w:rsidRDefault="00642961">
      <w:pPr>
        <w:rPr>
          <w:color w:val="222222"/>
        </w:rPr>
      </w:pPr>
      <w:r>
        <w:rPr>
          <w:color w:val="222222"/>
        </w:rPr>
        <w:t xml:space="preserve">Papavramidou, N., (2018). The ancient history of dementia. </w:t>
      </w:r>
      <w:r>
        <w:rPr>
          <w:i/>
          <w:iCs/>
          <w:color w:val="222222"/>
        </w:rPr>
        <w:t>Neurological Sciences</w:t>
      </w:r>
      <w:r>
        <w:rPr>
          <w:color w:val="222222"/>
        </w:rPr>
        <w:t xml:space="preserve">, </w:t>
      </w:r>
      <w:r>
        <w:rPr>
          <w:i/>
          <w:iCs/>
          <w:color w:val="222222"/>
        </w:rPr>
        <w:t>39</w:t>
      </w:r>
      <w:r>
        <w:rPr>
          <w:color w:val="222222"/>
        </w:rPr>
        <w:t>(11), pp.2011-2016.</w:t>
      </w:r>
    </w:p>
    <w:p w14:paraId="090F29B4" w14:textId="08FA5C96" w:rsidR="00642961" w:rsidRDefault="00642961">
      <w:pPr>
        <w:rPr>
          <w:color w:val="222222"/>
        </w:rPr>
      </w:pPr>
      <w:r>
        <w:rPr>
          <w:color w:val="222222"/>
        </w:rPr>
        <w:t xml:space="preserve">Parker, J., Penhale, B. and Stanley, D., (2011). Research ethics review: social care and social science research and the Mental Capacity Act 2005. </w:t>
      </w:r>
      <w:r>
        <w:rPr>
          <w:i/>
          <w:iCs/>
          <w:color w:val="222222"/>
        </w:rPr>
        <w:t>Ethics and Social Welfare</w:t>
      </w:r>
      <w:r>
        <w:rPr>
          <w:color w:val="222222"/>
        </w:rPr>
        <w:t xml:space="preserve">, </w:t>
      </w:r>
      <w:r>
        <w:rPr>
          <w:i/>
          <w:iCs/>
          <w:color w:val="222222"/>
        </w:rPr>
        <w:t>5</w:t>
      </w:r>
      <w:r>
        <w:rPr>
          <w:color w:val="222222"/>
        </w:rPr>
        <w:t xml:space="preserve">(4), pp.380-400. </w:t>
      </w:r>
    </w:p>
    <w:p w14:paraId="25BF8E92" w14:textId="360E91CD" w:rsidR="00642961" w:rsidRDefault="00642961">
      <w:r>
        <w:rPr>
          <w:color w:val="222222"/>
        </w:rPr>
        <w:t xml:space="preserve">Pink, J., O’Brien, J., Robinson, L. and Longson, D., (2018). Dementia: assessment, management and support: summary of updated NICE guidance. </w:t>
      </w:r>
      <w:r>
        <w:rPr>
          <w:i/>
          <w:iCs/>
          <w:color w:val="222222"/>
        </w:rPr>
        <w:t>bmj</w:t>
      </w:r>
      <w:r>
        <w:rPr>
          <w:color w:val="222222"/>
        </w:rPr>
        <w:t xml:space="preserve">, </w:t>
      </w:r>
      <w:r>
        <w:rPr>
          <w:i/>
          <w:iCs/>
          <w:color w:val="222222"/>
        </w:rPr>
        <w:t>361</w:t>
      </w:r>
      <w:r>
        <w:rPr>
          <w:color w:val="222222"/>
        </w:rPr>
        <w:t xml:space="preserve">. </w:t>
      </w:r>
    </w:p>
    <w:p w14:paraId="40CD4903" w14:textId="52357BD2" w:rsidR="00642961" w:rsidRDefault="00642961">
      <w:r>
        <w:rPr>
          <w:color w:val="222222"/>
        </w:rPr>
        <w:t xml:space="preserve">Ralph, S.J. and Espinet, A.J., (2019). Use of antipsychotics and benzodiazepines for dementia: Time for action? What will be required before global de-prescribing?. </w:t>
      </w:r>
      <w:r>
        <w:rPr>
          <w:i/>
          <w:iCs/>
          <w:color w:val="222222"/>
        </w:rPr>
        <w:t>Dementia</w:t>
      </w:r>
      <w:r>
        <w:rPr>
          <w:color w:val="222222"/>
        </w:rPr>
        <w:t xml:space="preserve">, </w:t>
      </w:r>
      <w:r>
        <w:rPr>
          <w:i/>
          <w:iCs/>
          <w:color w:val="222222"/>
        </w:rPr>
        <w:t>18</w:t>
      </w:r>
      <w:r>
        <w:rPr>
          <w:color w:val="222222"/>
        </w:rPr>
        <w:t>(6), pp.2322-2339.</w:t>
      </w:r>
    </w:p>
    <w:p w14:paraId="4DBCBC04" w14:textId="5D408858" w:rsidR="00642961" w:rsidRDefault="00642961">
      <w:pPr>
        <w:rPr>
          <w:color w:val="222222"/>
        </w:rPr>
      </w:pPr>
      <w:r>
        <w:rPr>
          <w:color w:val="222222"/>
        </w:rPr>
        <w:t xml:space="preserve">Sanderson, M.A., (2002). European Convention on Human Rights--assisted suicide--right to life--prohibition of torture--right to respect for private and family life--freedom of thought, conscience, and religion... </w:t>
      </w:r>
      <w:r>
        <w:rPr>
          <w:i/>
          <w:iCs/>
          <w:color w:val="222222"/>
        </w:rPr>
        <w:t>The American Journal of International Law</w:t>
      </w:r>
      <w:r>
        <w:rPr>
          <w:color w:val="222222"/>
        </w:rPr>
        <w:t xml:space="preserve">, </w:t>
      </w:r>
      <w:r>
        <w:rPr>
          <w:i/>
          <w:iCs/>
          <w:color w:val="222222"/>
        </w:rPr>
        <w:t>96</w:t>
      </w:r>
      <w:r>
        <w:rPr>
          <w:color w:val="222222"/>
        </w:rPr>
        <w:t>(4), p.943.</w:t>
      </w:r>
    </w:p>
    <w:p w14:paraId="5C85B2B4" w14:textId="2998EF5E" w:rsidR="00642961" w:rsidRDefault="00642961">
      <w:pPr>
        <w:rPr>
          <w:color w:val="222222"/>
        </w:rPr>
      </w:pPr>
      <w:r>
        <w:rPr>
          <w:color w:val="222222"/>
        </w:rPr>
        <w:t xml:space="preserve">Series, L., (2020). Comment: Mental Capacity (Amendment) Act 2019 (UK). </w:t>
      </w:r>
      <w:r>
        <w:rPr>
          <w:i/>
          <w:iCs/>
          <w:color w:val="222222"/>
        </w:rPr>
        <w:t>Elder law review (Penrith South, NSW)</w:t>
      </w:r>
      <w:r>
        <w:rPr>
          <w:color w:val="222222"/>
        </w:rPr>
        <w:t xml:space="preserve">, </w:t>
      </w:r>
      <w:r>
        <w:rPr>
          <w:i/>
          <w:iCs/>
          <w:color w:val="222222"/>
        </w:rPr>
        <w:t>12</w:t>
      </w:r>
      <w:r>
        <w:rPr>
          <w:color w:val="222222"/>
        </w:rPr>
        <w:t>(1).</w:t>
      </w:r>
    </w:p>
    <w:p w14:paraId="102587A6" w14:textId="52645EF7" w:rsidR="00642961" w:rsidRDefault="00642961">
      <w:r>
        <w:rPr>
          <w:color w:val="222222"/>
        </w:rPr>
        <w:lastRenderedPageBreak/>
        <w:t xml:space="preserve">Shaji, K.S., Sivakumar, P.T., Rao, G.P. and Paul, N., (2018). Clinical practice guidelines for management of dementia. </w:t>
      </w:r>
      <w:r>
        <w:rPr>
          <w:i/>
          <w:iCs/>
          <w:color w:val="222222"/>
        </w:rPr>
        <w:t>Indian journal of psychiatry</w:t>
      </w:r>
      <w:r>
        <w:rPr>
          <w:color w:val="222222"/>
        </w:rPr>
        <w:t xml:space="preserve">, </w:t>
      </w:r>
      <w:r>
        <w:rPr>
          <w:i/>
          <w:iCs/>
          <w:color w:val="222222"/>
        </w:rPr>
        <w:t>60</w:t>
      </w:r>
      <w:r>
        <w:rPr>
          <w:color w:val="222222"/>
        </w:rPr>
        <w:t>(Suppl 3), p.S312.</w:t>
      </w:r>
    </w:p>
    <w:p w14:paraId="0AD1A022" w14:textId="659CBAA6" w:rsidR="00642961" w:rsidRDefault="00642961">
      <w:r>
        <w:rPr>
          <w:color w:val="222222"/>
        </w:rPr>
        <w:t xml:space="preserve">Sörensen, S., Duberstein, P., Gill, D. and Pinquart, M., </w:t>
      </w:r>
      <w:r w:rsidR="003E60A3">
        <w:rPr>
          <w:color w:val="222222"/>
        </w:rPr>
        <w:t>(</w:t>
      </w:r>
      <w:r>
        <w:rPr>
          <w:color w:val="222222"/>
        </w:rPr>
        <w:t>2006</w:t>
      </w:r>
      <w:r w:rsidR="003E60A3">
        <w:rPr>
          <w:color w:val="222222"/>
        </w:rPr>
        <w:t>)</w:t>
      </w:r>
      <w:r>
        <w:rPr>
          <w:color w:val="222222"/>
        </w:rPr>
        <w:t xml:space="preserve">. Dementia care: mental health effects, intervention strategies, and clinical implications. </w:t>
      </w:r>
      <w:r>
        <w:rPr>
          <w:i/>
          <w:iCs/>
          <w:color w:val="222222"/>
        </w:rPr>
        <w:t>The Lancet Neurology</w:t>
      </w:r>
      <w:r>
        <w:rPr>
          <w:color w:val="222222"/>
        </w:rPr>
        <w:t xml:space="preserve">, </w:t>
      </w:r>
      <w:r>
        <w:rPr>
          <w:i/>
          <w:iCs/>
          <w:color w:val="222222"/>
        </w:rPr>
        <w:t>5</w:t>
      </w:r>
      <w:r>
        <w:rPr>
          <w:color w:val="222222"/>
        </w:rPr>
        <w:t>(11), pp.961-973.</w:t>
      </w:r>
    </w:p>
    <w:p w14:paraId="26F8EE01" w14:textId="551EF4F9" w:rsidR="00642961" w:rsidRDefault="00642961">
      <w:pPr>
        <w:rPr>
          <w:color w:val="222222"/>
        </w:rPr>
      </w:pPr>
      <w:r>
        <w:rPr>
          <w:color w:val="222222"/>
        </w:rPr>
        <w:t xml:space="preserve">Stephen Salloway, M.D., </w:t>
      </w:r>
      <w:r w:rsidR="003E60A3">
        <w:rPr>
          <w:color w:val="222222"/>
        </w:rPr>
        <w:t>(</w:t>
      </w:r>
      <w:r>
        <w:rPr>
          <w:color w:val="222222"/>
        </w:rPr>
        <w:t>2012</w:t>
      </w:r>
      <w:r w:rsidR="003E60A3">
        <w:rPr>
          <w:color w:val="222222"/>
        </w:rPr>
        <w:t>)</w:t>
      </w:r>
      <w:r>
        <w:rPr>
          <w:color w:val="222222"/>
        </w:rPr>
        <w:t xml:space="preserve">. Clinical and pathological examples of Alzheimer's disease, dementia with lewy bodies, and frontotemporal dementia. </w:t>
      </w:r>
      <w:r>
        <w:rPr>
          <w:i/>
          <w:iCs/>
          <w:color w:val="222222"/>
        </w:rPr>
        <w:t>Rhode Island Medical Journal</w:t>
      </w:r>
      <w:r>
        <w:rPr>
          <w:color w:val="222222"/>
        </w:rPr>
        <w:t xml:space="preserve">, </w:t>
      </w:r>
      <w:r>
        <w:rPr>
          <w:i/>
          <w:iCs/>
          <w:color w:val="222222"/>
        </w:rPr>
        <w:t>95</w:t>
      </w:r>
      <w:r>
        <w:rPr>
          <w:color w:val="222222"/>
        </w:rPr>
        <w:t>(7), p.207.</w:t>
      </w:r>
    </w:p>
    <w:p w14:paraId="36CF51F0" w14:textId="2D29A6D0" w:rsidR="00642961" w:rsidRDefault="00642961">
      <w:r>
        <w:rPr>
          <w:color w:val="222222"/>
        </w:rPr>
        <w:t xml:space="preserve">Surr, C.A., Gates, C., Irving, D., Oyebode, J., Smith, S.J., Parveen, S., Drury, M. and Dennison, A., </w:t>
      </w:r>
      <w:r w:rsidR="003E60A3">
        <w:rPr>
          <w:color w:val="222222"/>
        </w:rPr>
        <w:t>(</w:t>
      </w:r>
      <w:r>
        <w:rPr>
          <w:color w:val="222222"/>
        </w:rPr>
        <w:t>2017</w:t>
      </w:r>
      <w:r w:rsidR="003E60A3">
        <w:rPr>
          <w:color w:val="222222"/>
        </w:rPr>
        <w:t>)</w:t>
      </w:r>
      <w:r>
        <w:rPr>
          <w:color w:val="222222"/>
        </w:rPr>
        <w:t xml:space="preserve">. Effective dementia education and training for the health and social care workforce: a systematic review of the literature. </w:t>
      </w:r>
      <w:r>
        <w:rPr>
          <w:i/>
          <w:iCs/>
          <w:color w:val="222222"/>
        </w:rPr>
        <w:t>Review of educational research</w:t>
      </w:r>
      <w:r>
        <w:rPr>
          <w:color w:val="222222"/>
        </w:rPr>
        <w:t xml:space="preserve">, </w:t>
      </w:r>
      <w:r>
        <w:rPr>
          <w:i/>
          <w:iCs/>
          <w:color w:val="222222"/>
        </w:rPr>
        <w:t>87</w:t>
      </w:r>
      <w:r>
        <w:rPr>
          <w:color w:val="222222"/>
        </w:rPr>
        <w:t>(5), pp.966-1002.</w:t>
      </w:r>
    </w:p>
    <w:p w14:paraId="4A873928" w14:textId="1058FC45" w:rsidR="00642961" w:rsidRDefault="00642961">
      <w:pPr>
        <w:rPr>
          <w:color w:val="222222"/>
        </w:rPr>
      </w:pPr>
      <w:r>
        <w:rPr>
          <w:color w:val="222222"/>
        </w:rPr>
        <w:t xml:space="preserve">Szmukler, G. and Holloway, F., </w:t>
      </w:r>
      <w:r w:rsidR="003E60A3">
        <w:rPr>
          <w:color w:val="222222"/>
        </w:rPr>
        <w:t>(</w:t>
      </w:r>
      <w:r>
        <w:rPr>
          <w:color w:val="222222"/>
        </w:rPr>
        <w:t>2000</w:t>
      </w:r>
      <w:r w:rsidR="003E60A3">
        <w:rPr>
          <w:color w:val="222222"/>
        </w:rPr>
        <w:t>)</w:t>
      </w:r>
      <w:r>
        <w:rPr>
          <w:color w:val="222222"/>
        </w:rPr>
        <w:t xml:space="preserve">. Reform of the Mental Health Act: health or safety?. </w:t>
      </w:r>
      <w:r>
        <w:rPr>
          <w:i/>
          <w:iCs/>
          <w:color w:val="222222"/>
        </w:rPr>
        <w:t>The British Journal of Psychiatry</w:t>
      </w:r>
      <w:r>
        <w:rPr>
          <w:color w:val="222222"/>
        </w:rPr>
        <w:t xml:space="preserve">, </w:t>
      </w:r>
      <w:r>
        <w:rPr>
          <w:i/>
          <w:iCs/>
          <w:color w:val="222222"/>
        </w:rPr>
        <w:t>177</w:t>
      </w:r>
      <w:r>
        <w:rPr>
          <w:color w:val="222222"/>
        </w:rPr>
        <w:t>(3), pp.196-200.</w:t>
      </w:r>
    </w:p>
    <w:p w14:paraId="40A88C9F" w14:textId="687074FA" w:rsidR="00642961" w:rsidRDefault="00642961">
      <w:pPr>
        <w:rPr>
          <w:color w:val="222222"/>
        </w:rPr>
      </w:pPr>
      <w:r>
        <w:rPr>
          <w:color w:val="222222"/>
        </w:rPr>
        <w:t xml:space="preserve">Thomas, A. and Forrester-Jones, R., </w:t>
      </w:r>
      <w:r w:rsidR="003E60A3">
        <w:rPr>
          <w:color w:val="222222"/>
        </w:rPr>
        <w:t>(</w:t>
      </w:r>
      <w:r>
        <w:rPr>
          <w:color w:val="222222"/>
        </w:rPr>
        <w:t>2019</w:t>
      </w:r>
      <w:r w:rsidR="003E60A3">
        <w:rPr>
          <w:color w:val="222222"/>
        </w:rPr>
        <w:t>)</w:t>
      </w:r>
      <w:r>
        <w:rPr>
          <w:color w:val="222222"/>
        </w:rPr>
        <w:t xml:space="preserve">. Understanding the changing patterns of behaviour leading to increased detentions by the police under section 136 of the Mental Health Act 1983. </w:t>
      </w:r>
      <w:r>
        <w:rPr>
          <w:i/>
          <w:iCs/>
          <w:color w:val="222222"/>
        </w:rPr>
        <w:t>Policing: a journal of policy and practice</w:t>
      </w:r>
      <w:r>
        <w:rPr>
          <w:color w:val="222222"/>
        </w:rPr>
        <w:t xml:space="preserve">, </w:t>
      </w:r>
      <w:r>
        <w:rPr>
          <w:i/>
          <w:iCs/>
          <w:color w:val="222222"/>
        </w:rPr>
        <w:t>13</w:t>
      </w:r>
      <w:r>
        <w:rPr>
          <w:color w:val="222222"/>
        </w:rPr>
        <w:t>(2), pp.134-146.</w:t>
      </w:r>
    </w:p>
    <w:p w14:paraId="1D27887B" w14:textId="0BB709F5" w:rsidR="00642961" w:rsidRDefault="00642961">
      <w:pPr>
        <w:rPr>
          <w:color w:val="222222"/>
        </w:rPr>
      </w:pPr>
      <w:r>
        <w:rPr>
          <w:color w:val="222222"/>
        </w:rPr>
        <w:t xml:space="preserve">Turner, W.J., </w:t>
      </w:r>
      <w:r w:rsidR="003E60A3">
        <w:rPr>
          <w:color w:val="222222"/>
        </w:rPr>
        <w:t>(</w:t>
      </w:r>
      <w:r>
        <w:rPr>
          <w:color w:val="222222"/>
        </w:rPr>
        <w:t>2018</w:t>
      </w:r>
      <w:r w:rsidR="003E60A3">
        <w:rPr>
          <w:color w:val="222222"/>
        </w:rPr>
        <w:t>)</w:t>
      </w:r>
      <w:r>
        <w:rPr>
          <w:color w:val="222222"/>
        </w:rPr>
        <w:t xml:space="preserve">. Mental Health and Homicide in Medieval English Trials. </w:t>
      </w:r>
      <w:r>
        <w:rPr>
          <w:i/>
          <w:iCs/>
          <w:color w:val="222222"/>
        </w:rPr>
        <w:t>Open Library of Humanities</w:t>
      </w:r>
      <w:r>
        <w:rPr>
          <w:color w:val="222222"/>
        </w:rPr>
        <w:t xml:space="preserve">, </w:t>
      </w:r>
      <w:r>
        <w:rPr>
          <w:i/>
          <w:iCs/>
          <w:color w:val="222222"/>
        </w:rPr>
        <w:t>4</w:t>
      </w:r>
      <w:r>
        <w:rPr>
          <w:color w:val="222222"/>
        </w:rPr>
        <w:t>(2).</w:t>
      </w:r>
    </w:p>
    <w:p w14:paraId="10AB8C8F" w14:textId="606B6DD9" w:rsidR="00642961" w:rsidRDefault="00642961">
      <w:pPr>
        <w:rPr>
          <w:color w:val="222222"/>
        </w:rPr>
      </w:pPr>
      <w:r>
        <w:rPr>
          <w:color w:val="222222"/>
        </w:rPr>
        <w:t xml:space="preserve">Winship, G., </w:t>
      </w:r>
      <w:r w:rsidR="003E60A3">
        <w:rPr>
          <w:color w:val="222222"/>
        </w:rPr>
        <w:t>(</w:t>
      </w:r>
      <w:r>
        <w:rPr>
          <w:color w:val="222222"/>
        </w:rPr>
        <w:t>2006</w:t>
      </w:r>
      <w:r w:rsidR="003E60A3">
        <w:rPr>
          <w:color w:val="222222"/>
        </w:rPr>
        <w:t>)</w:t>
      </w:r>
      <w:r>
        <w:rPr>
          <w:color w:val="222222"/>
        </w:rPr>
        <w:t xml:space="preserve">. Further thoughts on the process of restraint. </w:t>
      </w:r>
      <w:r>
        <w:rPr>
          <w:i/>
          <w:iCs/>
          <w:color w:val="222222"/>
        </w:rPr>
        <w:t>Journal of psychiatric and mental health nursing</w:t>
      </w:r>
      <w:r>
        <w:rPr>
          <w:color w:val="222222"/>
        </w:rPr>
        <w:t xml:space="preserve">, </w:t>
      </w:r>
      <w:r>
        <w:rPr>
          <w:i/>
          <w:iCs/>
          <w:color w:val="222222"/>
        </w:rPr>
        <w:t>13</w:t>
      </w:r>
      <w:r>
        <w:rPr>
          <w:color w:val="222222"/>
        </w:rPr>
        <w:t>(1), pp.55-60.</w:t>
      </w:r>
    </w:p>
    <w:p w14:paraId="203C146E" w14:textId="12359BCF" w:rsidR="00642961" w:rsidRDefault="00642961">
      <w:pPr>
        <w:rPr>
          <w:color w:val="222222"/>
        </w:rPr>
      </w:pPr>
      <w:r>
        <w:rPr>
          <w:color w:val="222222"/>
        </w:rPr>
        <w:t xml:space="preserve">Yang, H.D., Lee, S.B. and Young, L.D., </w:t>
      </w:r>
      <w:r w:rsidR="003E60A3">
        <w:rPr>
          <w:color w:val="222222"/>
        </w:rPr>
        <w:t>(</w:t>
      </w:r>
      <w:r>
        <w:rPr>
          <w:color w:val="222222"/>
        </w:rPr>
        <w:t>2016</w:t>
      </w:r>
      <w:r w:rsidR="003E60A3">
        <w:rPr>
          <w:color w:val="222222"/>
        </w:rPr>
        <w:t>)</w:t>
      </w:r>
      <w:r>
        <w:rPr>
          <w:color w:val="222222"/>
        </w:rPr>
        <w:t xml:space="preserve">. History of Alzheimer's Disease. </w:t>
      </w:r>
      <w:r>
        <w:rPr>
          <w:i/>
          <w:iCs/>
          <w:color w:val="222222"/>
        </w:rPr>
        <w:t>Dementia and neurocognitive disorders</w:t>
      </w:r>
      <w:r>
        <w:rPr>
          <w:color w:val="222222"/>
        </w:rPr>
        <w:t xml:space="preserve">, </w:t>
      </w:r>
      <w:r>
        <w:rPr>
          <w:i/>
          <w:iCs/>
          <w:color w:val="222222"/>
        </w:rPr>
        <w:t>15</w:t>
      </w:r>
      <w:r>
        <w:rPr>
          <w:color w:val="222222"/>
        </w:rPr>
        <w:t>(4), pp.115-121.</w:t>
      </w:r>
    </w:p>
    <w:p w14:paraId="3BE88891" w14:textId="66234459" w:rsidR="00642961" w:rsidRDefault="00642961">
      <w:pPr>
        <w:rPr>
          <w:color w:val="222222"/>
        </w:rPr>
      </w:pPr>
      <w:r>
        <w:rPr>
          <w:color w:val="222222"/>
        </w:rPr>
        <w:t xml:space="preserve">Yonelinas, A.P., Otten, L.J., Shaw, K.N. and Rugg, M.D., </w:t>
      </w:r>
      <w:r w:rsidR="00A91793">
        <w:rPr>
          <w:color w:val="222222"/>
        </w:rPr>
        <w:t>(</w:t>
      </w:r>
      <w:r>
        <w:rPr>
          <w:color w:val="222222"/>
        </w:rPr>
        <w:t>2005</w:t>
      </w:r>
      <w:r w:rsidR="00A91793">
        <w:rPr>
          <w:color w:val="222222"/>
        </w:rPr>
        <w:t>)</w:t>
      </w:r>
      <w:r>
        <w:rPr>
          <w:color w:val="222222"/>
        </w:rPr>
        <w:t xml:space="preserve">. Separating the brain regions involved in recollection and familiarity in recognition memory. </w:t>
      </w:r>
      <w:r>
        <w:rPr>
          <w:i/>
          <w:iCs/>
          <w:color w:val="222222"/>
        </w:rPr>
        <w:t>Journal of Neuroscience</w:t>
      </w:r>
      <w:r>
        <w:rPr>
          <w:color w:val="222222"/>
        </w:rPr>
        <w:t xml:space="preserve">, </w:t>
      </w:r>
      <w:r>
        <w:rPr>
          <w:i/>
          <w:iCs/>
          <w:color w:val="222222"/>
        </w:rPr>
        <w:t>25</w:t>
      </w:r>
      <w:r>
        <w:rPr>
          <w:color w:val="222222"/>
        </w:rPr>
        <w:t>(11), pp.3002-3008.</w:t>
      </w:r>
    </w:p>
    <w:p w14:paraId="62CBFCE3" w14:textId="3BEF5208" w:rsidR="00642961" w:rsidRDefault="00642961">
      <w:pPr>
        <w:rPr>
          <w:color w:val="222222"/>
        </w:rPr>
      </w:pPr>
      <w:r>
        <w:rPr>
          <w:color w:val="222222"/>
        </w:rPr>
        <w:t xml:space="preserve">Zilka, N. and Novak, M., </w:t>
      </w:r>
      <w:r w:rsidR="00A91793">
        <w:rPr>
          <w:color w:val="222222"/>
        </w:rPr>
        <w:t>(</w:t>
      </w:r>
      <w:r>
        <w:rPr>
          <w:color w:val="222222"/>
        </w:rPr>
        <w:t>2006</w:t>
      </w:r>
      <w:r w:rsidR="00A91793">
        <w:rPr>
          <w:color w:val="222222"/>
        </w:rPr>
        <w:t>)</w:t>
      </w:r>
      <w:r>
        <w:rPr>
          <w:color w:val="222222"/>
        </w:rPr>
        <w:t xml:space="preserve">. The tangled story of Alois Alzheimer. </w:t>
      </w:r>
      <w:r>
        <w:rPr>
          <w:i/>
          <w:iCs/>
          <w:color w:val="222222"/>
        </w:rPr>
        <w:t>Bratislavske lekarske listy</w:t>
      </w:r>
      <w:r>
        <w:rPr>
          <w:color w:val="222222"/>
        </w:rPr>
        <w:t xml:space="preserve">, </w:t>
      </w:r>
      <w:r>
        <w:rPr>
          <w:i/>
          <w:iCs/>
          <w:color w:val="222222"/>
        </w:rPr>
        <w:t>107</w:t>
      </w:r>
      <w:r>
        <w:rPr>
          <w:color w:val="222222"/>
        </w:rPr>
        <w:t>(9/10), p.343.</w:t>
      </w:r>
    </w:p>
    <w:p w14:paraId="46B184FA" w14:textId="71241311" w:rsidR="00642961" w:rsidRDefault="00642961">
      <w:pPr>
        <w:rPr>
          <w:color w:val="222222"/>
        </w:rPr>
      </w:pPr>
      <w:r>
        <w:rPr>
          <w:color w:val="222222"/>
        </w:rPr>
        <w:t xml:space="preserve">Zola-Morgan, S., Squire, L.R. and Amaral, D.G., </w:t>
      </w:r>
      <w:r w:rsidR="00A91793">
        <w:rPr>
          <w:color w:val="222222"/>
        </w:rPr>
        <w:t>(</w:t>
      </w:r>
      <w:r>
        <w:rPr>
          <w:color w:val="222222"/>
        </w:rPr>
        <w:t>1986</w:t>
      </w:r>
      <w:r w:rsidR="00A91793">
        <w:rPr>
          <w:color w:val="222222"/>
        </w:rPr>
        <w:t>)</w:t>
      </w:r>
      <w:r>
        <w:rPr>
          <w:color w:val="222222"/>
        </w:rPr>
        <w:t xml:space="preserve">. Human amnesia and the medial temporal region: enduring memory impairment following a bilateral lesion limited to field CA1 of the hippocampus. </w:t>
      </w:r>
      <w:r>
        <w:rPr>
          <w:i/>
          <w:iCs/>
          <w:color w:val="222222"/>
        </w:rPr>
        <w:t>Journal of Neuroscience</w:t>
      </w:r>
      <w:r>
        <w:rPr>
          <w:color w:val="222222"/>
        </w:rPr>
        <w:t xml:space="preserve">, </w:t>
      </w:r>
      <w:r>
        <w:rPr>
          <w:i/>
          <w:iCs/>
          <w:color w:val="222222"/>
        </w:rPr>
        <w:t>6</w:t>
      </w:r>
      <w:r>
        <w:rPr>
          <w:color w:val="222222"/>
        </w:rPr>
        <w:t>(10), pp.2950-2967.</w:t>
      </w:r>
    </w:p>
    <w:sectPr w:rsidR="0064296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D406A5" w14:textId="77777777" w:rsidR="00013C40" w:rsidRDefault="00013C40" w:rsidP="006C2C94">
      <w:pPr>
        <w:spacing w:after="0" w:line="240" w:lineRule="auto"/>
      </w:pPr>
      <w:r>
        <w:separator/>
      </w:r>
    </w:p>
  </w:endnote>
  <w:endnote w:type="continuationSeparator" w:id="0">
    <w:p w14:paraId="4D5069EA" w14:textId="77777777" w:rsidR="00013C40" w:rsidRDefault="00013C40" w:rsidP="006C2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4E55AC" w14:textId="77777777" w:rsidR="00013C40" w:rsidRDefault="00013C40" w:rsidP="006C2C94">
      <w:pPr>
        <w:spacing w:after="0" w:line="240" w:lineRule="auto"/>
      </w:pPr>
      <w:r>
        <w:separator/>
      </w:r>
    </w:p>
  </w:footnote>
  <w:footnote w:type="continuationSeparator" w:id="0">
    <w:p w14:paraId="4CBCA88A" w14:textId="77777777" w:rsidR="00013C40" w:rsidRDefault="00013C40" w:rsidP="006C2C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7C7912" w14:textId="6A5EC8D1" w:rsidR="00260027" w:rsidRDefault="00260027">
    <w:pPr>
      <w:pStyle w:val="Header"/>
    </w:pPr>
    <w:r>
      <w:t>Elen Roch James</w:t>
    </w:r>
  </w:p>
  <w:p w14:paraId="514AD87C" w14:textId="37D84A4B" w:rsidR="00260027" w:rsidRDefault="00260027">
    <w:pPr>
      <w:pStyle w:val="Header"/>
    </w:pPr>
    <w:r>
      <w:t>1900139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8A7FC8"/>
    <w:multiLevelType w:val="hybridMultilevel"/>
    <w:tmpl w:val="F522D8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33A11AB"/>
    <w:multiLevelType w:val="hybridMultilevel"/>
    <w:tmpl w:val="0DCEE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436496"/>
    <w:multiLevelType w:val="hybridMultilevel"/>
    <w:tmpl w:val="2D2E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F6204B"/>
    <w:multiLevelType w:val="hybridMultilevel"/>
    <w:tmpl w:val="2FBA5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C94"/>
    <w:rsid w:val="00013C40"/>
    <w:rsid w:val="00063ADC"/>
    <w:rsid w:val="000875D3"/>
    <w:rsid w:val="000F5D5D"/>
    <w:rsid w:val="00144464"/>
    <w:rsid w:val="00146401"/>
    <w:rsid w:val="001B7D3B"/>
    <w:rsid w:val="001D1F43"/>
    <w:rsid w:val="00215436"/>
    <w:rsid w:val="00260027"/>
    <w:rsid w:val="003628CE"/>
    <w:rsid w:val="00376A2C"/>
    <w:rsid w:val="003C519C"/>
    <w:rsid w:val="003E60A3"/>
    <w:rsid w:val="003F5AD2"/>
    <w:rsid w:val="00416D6F"/>
    <w:rsid w:val="004E01C9"/>
    <w:rsid w:val="004E35BC"/>
    <w:rsid w:val="0054186D"/>
    <w:rsid w:val="0056620F"/>
    <w:rsid w:val="005A4BBA"/>
    <w:rsid w:val="005B4ACD"/>
    <w:rsid w:val="00642961"/>
    <w:rsid w:val="0065192E"/>
    <w:rsid w:val="00656C4D"/>
    <w:rsid w:val="00682581"/>
    <w:rsid w:val="006B39C9"/>
    <w:rsid w:val="006C2C94"/>
    <w:rsid w:val="006F1069"/>
    <w:rsid w:val="00745728"/>
    <w:rsid w:val="00745854"/>
    <w:rsid w:val="00747517"/>
    <w:rsid w:val="007625FC"/>
    <w:rsid w:val="00883311"/>
    <w:rsid w:val="008A0248"/>
    <w:rsid w:val="00935D59"/>
    <w:rsid w:val="009E0F89"/>
    <w:rsid w:val="00A20E89"/>
    <w:rsid w:val="00A623B6"/>
    <w:rsid w:val="00A91793"/>
    <w:rsid w:val="00AE14D7"/>
    <w:rsid w:val="00B0088D"/>
    <w:rsid w:val="00B3434A"/>
    <w:rsid w:val="00B71BC8"/>
    <w:rsid w:val="00C70317"/>
    <w:rsid w:val="00CA6FCE"/>
    <w:rsid w:val="00CC7593"/>
    <w:rsid w:val="00CE791F"/>
    <w:rsid w:val="00D07883"/>
    <w:rsid w:val="00D324FC"/>
    <w:rsid w:val="00D825D5"/>
    <w:rsid w:val="00DF2DB2"/>
    <w:rsid w:val="00E87F15"/>
    <w:rsid w:val="00EF6619"/>
    <w:rsid w:val="00F56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E9A66"/>
  <w15:chartTrackingRefBased/>
  <w15:docId w15:val="{21240E25-0804-4E5E-80CC-551A35B01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2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C94"/>
  </w:style>
  <w:style w:type="paragraph" w:styleId="Footer">
    <w:name w:val="footer"/>
    <w:basedOn w:val="Normal"/>
    <w:link w:val="FooterChar"/>
    <w:uiPriority w:val="99"/>
    <w:unhideWhenUsed/>
    <w:rsid w:val="006C2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C94"/>
  </w:style>
  <w:style w:type="paragraph" w:styleId="NormalWeb">
    <w:name w:val="Normal (Web)"/>
    <w:basedOn w:val="Normal"/>
    <w:uiPriority w:val="99"/>
    <w:semiHidden/>
    <w:unhideWhenUsed/>
    <w:rsid w:val="006C2C94"/>
    <w:pPr>
      <w:spacing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B4ACD"/>
    <w:rPr>
      <w:color w:val="0563C1" w:themeColor="hyperlink"/>
      <w:u w:val="single"/>
    </w:rPr>
  </w:style>
  <w:style w:type="character" w:styleId="UnresolvedMention">
    <w:name w:val="Unresolved Mention"/>
    <w:basedOn w:val="DefaultParagraphFont"/>
    <w:uiPriority w:val="99"/>
    <w:semiHidden/>
    <w:unhideWhenUsed/>
    <w:rsid w:val="005B4A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124019">
      <w:bodyDiv w:val="1"/>
      <w:marLeft w:val="0"/>
      <w:marRight w:val="0"/>
      <w:marTop w:val="0"/>
      <w:marBottom w:val="0"/>
      <w:divBdr>
        <w:top w:val="none" w:sz="0" w:space="0" w:color="auto"/>
        <w:left w:val="none" w:sz="0" w:space="0" w:color="auto"/>
        <w:bottom w:val="none" w:sz="0" w:space="0" w:color="auto"/>
        <w:right w:val="none" w:sz="0" w:space="0" w:color="auto"/>
      </w:divBdr>
      <w:divsChild>
        <w:div w:id="272329752">
          <w:marLeft w:val="0"/>
          <w:marRight w:val="0"/>
          <w:marTop w:val="0"/>
          <w:marBottom w:val="0"/>
          <w:divBdr>
            <w:top w:val="none" w:sz="0" w:space="0" w:color="auto"/>
            <w:left w:val="none" w:sz="0" w:space="0" w:color="auto"/>
            <w:bottom w:val="none" w:sz="0" w:space="0" w:color="auto"/>
            <w:right w:val="none" w:sz="0" w:space="0" w:color="auto"/>
          </w:divBdr>
          <w:divsChild>
            <w:div w:id="1420830493">
              <w:marLeft w:val="0"/>
              <w:marRight w:val="0"/>
              <w:marTop w:val="0"/>
              <w:marBottom w:val="0"/>
              <w:divBdr>
                <w:top w:val="none" w:sz="0" w:space="0" w:color="auto"/>
                <w:left w:val="none" w:sz="0" w:space="0" w:color="auto"/>
                <w:bottom w:val="none" w:sz="0" w:space="0" w:color="auto"/>
                <w:right w:val="none" w:sz="0" w:space="0" w:color="auto"/>
              </w:divBdr>
              <w:divsChild>
                <w:div w:id="44900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10</Pages>
  <Words>3758</Words>
  <Characters>21426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Elenroch</dc:creator>
  <cp:keywords/>
  <dc:description/>
  <cp:lastModifiedBy>Elenroch</cp:lastModifiedBy>
  <cp:revision>17</cp:revision>
  <dcterms:created xsi:type="dcterms:W3CDTF">2022-02-16T14:02:00Z</dcterms:created>
  <dcterms:modified xsi:type="dcterms:W3CDTF">2022-03-23T12:17:00Z</dcterms:modified>
</cp:coreProperties>
</file>