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9FDED2D" w:rsidR="00583709" w:rsidRDefault="0004136B">
            <w:pPr>
              <w:spacing w:before="120" w:after="120" w:line="360" w:lineRule="auto"/>
              <w:rPr>
                <w:rFonts w:ascii="Tahoma" w:eastAsia="Tahoma" w:hAnsi="Tahoma" w:cs="Tahoma"/>
                <w:sz w:val="32"/>
                <w:szCs w:val="32"/>
              </w:rPr>
            </w:pPr>
            <w:r>
              <w:rPr>
                <w:rFonts w:ascii="Tahoma" w:eastAsia="Tahoma" w:hAnsi="Tahoma" w:cs="Tahoma"/>
                <w:sz w:val="32"/>
                <w:szCs w:val="32"/>
              </w:rPr>
              <w:t>Whitney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01184A6" w:rsidR="00583709" w:rsidRDefault="0004136B">
            <w:pPr>
              <w:spacing w:before="120" w:after="120" w:line="360" w:lineRule="auto"/>
              <w:rPr>
                <w:rFonts w:ascii="Tahoma" w:eastAsia="Tahoma" w:hAnsi="Tahoma" w:cs="Tahoma"/>
                <w:sz w:val="32"/>
                <w:szCs w:val="32"/>
              </w:rPr>
            </w:pPr>
            <w:r w:rsidRPr="0004136B">
              <w:rPr>
                <w:rFonts w:ascii="Tahoma" w:eastAsia="Tahoma" w:hAnsi="Tahoma" w:cs="Tahoma"/>
                <w:sz w:val="32"/>
                <w:szCs w:val="32"/>
              </w:rPr>
              <w:t>2329046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ADFB433" w:rsidR="00583709" w:rsidRDefault="008312FD">
            <w:pPr>
              <w:spacing w:before="120" w:after="120" w:line="360" w:lineRule="auto"/>
              <w:rPr>
                <w:rFonts w:ascii="Tahoma" w:eastAsia="Tahoma" w:hAnsi="Tahoma" w:cs="Tahoma"/>
                <w:color w:val="FF0000"/>
                <w:sz w:val="32"/>
                <w:szCs w:val="32"/>
              </w:rPr>
            </w:pPr>
            <w:r w:rsidRPr="0004136B">
              <w:rPr>
                <w:rFonts w:ascii="Tahoma" w:eastAsia="Tahoma" w:hAnsi="Tahoma" w:cs="Tahoma"/>
                <w:sz w:val="32"/>
                <w:szCs w:val="32"/>
              </w:rPr>
              <w:t>BMSK</w:t>
            </w:r>
            <w:r w:rsidR="0004136B" w:rsidRPr="0004136B">
              <w:rPr>
                <w:rFonts w:ascii="Tahoma" w:eastAsia="Tahoma" w:hAnsi="Tahoma" w:cs="Tahoma"/>
                <w:sz w:val="32"/>
                <w:szCs w:val="32"/>
              </w:rPr>
              <w:t>60</w:t>
            </w:r>
            <w:r w:rsidR="00EF395D">
              <w:rPr>
                <w:rFonts w:ascii="Tahoma" w:eastAsia="Tahoma" w:hAnsi="Tahoma" w:cs="Tahoma"/>
                <w:sz w:val="32"/>
                <w:szCs w:val="32"/>
              </w:rPr>
              <w:t>12</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A483B2E" w:rsidR="00583709" w:rsidRDefault="00E91642">
            <w:pPr>
              <w:spacing w:before="120" w:after="120" w:line="360" w:lineRule="auto"/>
              <w:rPr>
                <w:rFonts w:ascii="Tahoma" w:eastAsia="Tahoma" w:hAnsi="Tahoma" w:cs="Tahoma"/>
                <w:color w:val="FF0000"/>
                <w:sz w:val="32"/>
                <w:szCs w:val="32"/>
              </w:rPr>
            </w:pPr>
            <w:r w:rsidRPr="00E91642">
              <w:rPr>
                <w:rFonts w:ascii="Tahoma" w:eastAsia="Tahoma" w:hAnsi="Tahoma" w:cs="Tahoma"/>
                <w:sz w:val="32"/>
                <w:szCs w:val="32"/>
              </w:rPr>
              <w:t>Developing Creativity and Innovation for Competitive Advantage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5B369B7" w14:textId="3CE3DA7E" w:rsidR="003D0BE7"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38991346" w:history="1">
            <w:r w:rsidR="003D0BE7" w:rsidRPr="00EA6DC7">
              <w:rPr>
                <w:rStyle w:val="Hyperlink"/>
                <w:noProof/>
              </w:rPr>
              <w:t>Introduction</w:t>
            </w:r>
            <w:r w:rsidR="003D0BE7">
              <w:rPr>
                <w:noProof/>
                <w:webHidden/>
              </w:rPr>
              <w:tab/>
            </w:r>
            <w:r w:rsidR="003D0BE7">
              <w:rPr>
                <w:noProof/>
                <w:webHidden/>
              </w:rPr>
              <w:fldChar w:fldCharType="begin"/>
            </w:r>
            <w:r w:rsidR="003D0BE7">
              <w:rPr>
                <w:noProof/>
                <w:webHidden/>
              </w:rPr>
              <w:instrText xml:space="preserve"> PAGEREF _Toc238991346 \h </w:instrText>
            </w:r>
            <w:r w:rsidR="003D0BE7">
              <w:rPr>
                <w:noProof/>
                <w:webHidden/>
              </w:rPr>
            </w:r>
            <w:r w:rsidR="003D0BE7">
              <w:rPr>
                <w:noProof/>
                <w:webHidden/>
              </w:rPr>
              <w:fldChar w:fldCharType="separate"/>
            </w:r>
            <w:r w:rsidR="003D0BE7">
              <w:rPr>
                <w:noProof/>
                <w:webHidden/>
              </w:rPr>
              <w:t>3</w:t>
            </w:r>
            <w:r w:rsidR="003D0BE7">
              <w:rPr>
                <w:noProof/>
                <w:webHidden/>
              </w:rPr>
              <w:fldChar w:fldCharType="end"/>
            </w:r>
          </w:hyperlink>
        </w:p>
        <w:p w14:paraId="2EEB7D61" w14:textId="59734420"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47" w:history="1">
            <w:r w:rsidRPr="00EA6DC7">
              <w:rPr>
                <w:rStyle w:val="Hyperlink"/>
                <w:noProof/>
              </w:rPr>
              <w:t>Creativity, innovation, and organisational context</w:t>
            </w:r>
            <w:r>
              <w:rPr>
                <w:noProof/>
                <w:webHidden/>
              </w:rPr>
              <w:tab/>
            </w:r>
            <w:r>
              <w:rPr>
                <w:noProof/>
                <w:webHidden/>
              </w:rPr>
              <w:fldChar w:fldCharType="begin"/>
            </w:r>
            <w:r>
              <w:rPr>
                <w:noProof/>
                <w:webHidden/>
              </w:rPr>
              <w:instrText xml:space="preserve"> PAGEREF _Toc238991347 \h </w:instrText>
            </w:r>
            <w:r>
              <w:rPr>
                <w:noProof/>
                <w:webHidden/>
              </w:rPr>
            </w:r>
            <w:r>
              <w:rPr>
                <w:noProof/>
                <w:webHidden/>
              </w:rPr>
              <w:fldChar w:fldCharType="separate"/>
            </w:r>
            <w:r>
              <w:rPr>
                <w:noProof/>
                <w:webHidden/>
              </w:rPr>
              <w:t>3</w:t>
            </w:r>
            <w:r>
              <w:rPr>
                <w:noProof/>
                <w:webHidden/>
              </w:rPr>
              <w:fldChar w:fldCharType="end"/>
            </w:r>
          </w:hyperlink>
        </w:p>
        <w:p w14:paraId="1B35BB4C" w14:textId="23CD6CF6"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48" w:history="1">
            <w:r w:rsidRPr="00EA6DC7">
              <w:rPr>
                <w:rStyle w:val="Hyperlink"/>
                <w:noProof/>
              </w:rPr>
              <w:t>Innovation models and organisational capability</w:t>
            </w:r>
            <w:r>
              <w:rPr>
                <w:noProof/>
                <w:webHidden/>
              </w:rPr>
              <w:tab/>
            </w:r>
            <w:r>
              <w:rPr>
                <w:noProof/>
                <w:webHidden/>
              </w:rPr>
              <w:fldChar w:fldCharType="begin"/>
            </w:r>
            <w:r>
              <w:rPr>
                <w:noProof/>
                <w:webHidden/>
              </w:rPr>
              <w:instrText xml:space="preserve"> PAGEREF _Toc238991348 \h </w:instrText>
            </w:r>
            <w:r>
              <w:rPr>
                <w:noProof/>
                <w:webHidden/>
              </w:rPr>
            </w:r>
            <w:r>
              <w:rPr>
                <w:noProof/>
                <w:webHidden/>
              </w:rPr>
              <w:fldChar w:fldCharType="separate"/>
            </w:r>
            <w:r>
              <w:rPr>
                <w:noProof/>
                <w:webHidden/>
              </w:rPr>
              <w:t>4</w:t>
            </w:r>
            <w:r>
              <w:rPr>
                <w:noProof/>
                <w:webHidden/>
              </w:rPr>
              <w:fldChar w:fldCharType="end"/>
            </w:r>
          </w:hyperlink>
        </w:p>
        <w:p w14:paraId="775F09E7" w14:textId="308BAC88"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49" w:history="1">
            <w:r w:rsidRPr="00EA6DC7">
              <w:rPr>
                <w:rStyle w:val="Hyperlink"/>
                <w:noProof/>
              </w:rPr>
              <w:t>Stage-Gate</w:t>
            </w:r>
            <w:r>
              <w:rPr>
                <w:noProof/>
                <w:webHidden/>
              </w:rPr>
              <w:tab/>
            </w:r>
            <w:r>
              <w:rPr>
                <w:noProof/>
                <w:webHidden/>
              </w:rPr>
              <w:fldChar w:fldCharType="begin"/>
            </w:r>
            <w:r>
              <w:rPr>
                <w:noProof/>
                <w:webHidden/>
              </w:rPr>
              <w:instrText xml:space="preserve"> PAGEREF _Toc238991349 \h </w:instrText>
            </w:r>
            <w:r>
              <w:rPr>
                <w:noProof/>
                <w:webHidden/>
              </w:rPr>
            </w:r>
            <w:r>
              <w:rPr>
                <w:noProof/>
                <w:webHidden/>
              </w:rPr>
              <w:fldChar w:fldCharType="separate"/>
            </w:r>
            <w:r>
              <w:rPr>
                <w:noProof/>
                <w:webHidden/>
              </w:rPr>
              <w:t>4</w:t>
            </w:r>
            <w:r>
              <w:rPr>
                <w:noProof/>
                <w:webHidden/>
              </w:rPr>
              <w:fldChar w:fldCharType="end"/>
            </w:r>
          </w:hyperlink>
        </w:p>
        <w:p w14:paraId="140BE512" w14:textId="709A0B35"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0" w:history="1">
            <w:r w:rsidRPr="00EA6DC7">
              <w:rPr>
                <w:rStyle w:val="Hyperlink"/>
                <w:noProof/>
              </w:rPr>
              <w:t>Open Innovation</w:t>
            </w:r>
            <w:r>
              <w:rPr>
                <w:noProof/>
                <w:webHidden/>
              </w:rPr>
              <w:tab/>
            </w:r>
            <w:r>
              <w:rPr>
                <w:noProof/>
                <w:webHidden/>
              </w:rPr>
              <w:fldChar w:fldCharType="begin"/>
            </w:r>
            <w:r>
              <w:rPr>
                <w:noProof/>
                <w:webHidden/>
              </w:rPr>
              <w:instrText xml:space="preserve"> PAGEREF _Toc238991350 \h </w:instrText>
            </w:r>
            <w:r>
              <w:rPr>
                <w:noProof/>
                <w:webHidden/>
              </w:rPr>
            </w:r>
            <w:r>
              <w:rPr>
                <w:noProof/>
                <w:webHidden/>
              </w:rPr>
              <w:fldChar w:fldCharType="separate"/>
            </w:r>
            <w:r>
              <w:rPr>
                <w:noProof/>
                <w:webHidden/>
              </w:rPr>
              <w:t>5</w:t>
            </w:r>
            <w:r>
              <w:rPr>
                <w:noProof/>
                <w:webHidden/>
              </w:rPr>
              <w:fldChar w:fldCharType="end"/>
            </w:r>
          </w:hyperlink>
        </w:p>
        <w:p w14:paraId="275FAAA6" w14:textId="650D5033"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1" w:history="1">
            <w:r w:rsidRPr="00EA6DC7">
              <w:rPr>
                <w:rStyle w:val="Hyperlink"/>
                <w:noProof/>
              </w:rPr>
              <w:t>Comparative judgement: a proportionate innovation system</w:t>
            </w:r>
            <w:r>
              <w:rPr>
                <w:noProof/>
                <w:webHidden/>
              </w:rPr>
              <w:tab/>
            </w:r>
            <w:r>
              <w:rPr>
                <w:noProof/>
                <w:webHidden/>
              </w:rPr>
              <w:fldChar w:fldCharType="begin"/>
            </w:r>
            <w:r>
              <w:rPr>
                <w:noProof/>
                <w:webHidden/>
              </w:rPr>
              <w:instrText xml:space="preserve"> PAGEREF _Toc238991351 \h </w:instrText>
            </w:r>
            <w:r>
              <w:rPr>
                <w:noProof/>
                <w:webHidden/>
              </w:rPr>
            </w:r>
            <w:r>
              <w:rPr>
                <w:noProof/>
                <w:webHidden/>
              </w:rPr>
              <w:fldChar w:fldCharType="separate"/>
            </w:r>
            <w:r>
              <w:rPr>
                <w:noProof/>
                <w:webHidden/>
              </w:rPr>
              <w:t>6</w:t>
            </w:r>
            <w:r>
              <w:rPr>
                <w:noProof/>
                <w:webHidden/>
              </w:rPr>
              <w:fldChar w:fldCharType="end"/>
            </w:r>
          </w:hyperlink>
        </w:p>
        <w:p w14:paraId="1C22643E" w14:textId="58685673"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2" w:history="1">
            <w:r w:rsidRPr="00EA6DC7">
              <w:rPr>
                <w:rStyle w:val="Hyperlink"/>
                <w:noProof/>
              </w:rPr>
              <w:t>Harnessing creativity and fostering a creative culture</w:t>
            </w:r>
            <w:r>
              <w:rPr>
                <w:noProof/>
                <w:webHidden/>
              </w:rPr>
              <w:tab/>
            </w:r>
            <w:r>
              <w:rPr>
                <w:noProof/>
                <w:webHidden/>
              </w:rPr>
              <w:fldChar w:fldCharType="begin"/>
            </w:r>
            <w:r>
              <w:rPr>
                <w:noProof/>
                <w:webHidden/>
              </w:rPr>
              <w:instrText xml:space="preserve"> PAGEREF _Toc238991352 \h </w:instrText>
            </w:r>
            <w:r>
              <w:rPr>
                <w:noProof/>
                <w:webHidden/>
              </w:rPr>
            </w:r>
            <w:r>
              <w:rPr>
                <w:noProof/>
                <w:webHidden/>
              </w:rPr>
              <w:fldChar w:fldCharType="separate"/>
            </w:r>
            <w:r>
              <w:rPr>
                <w:noProof/>
                <w:webHidden/>
              </w:rPr>
              <w:t>7</w:t>
            </w:r>
            <w:r>
              <w:rPr>
                <w:noProof/>
                <w:webHidden/>
              </w:rPr>
              <w:fldChar w:fldCharType="end"/>
            </w:r>
          </w:hyperlink>
        </w:p>
        <w:p w14:paraId="6E6C725E" w14:textId="06D34EFF"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3" w:history="1">
            <w:r w:rsidRPr="00EA6DC7">
              <w:rPr>
                <w:rStyle w:val="Hyperlink"/>
                <w:noProof/>
              </w:rPr>
              <w:t>Theoretical foundation</w:t>
            </w:r>
            <w:r>
              <w:rPr>
                <w:noProof/>
                <w:webHidden/>
              </w:rPr>
              <w:tab/>
            </w:r>
            <w:r>
              <w:rPr>
                <w:noProof/>
                <w:webHidden/>
              </w:rPr>
              <w:fldChar w:fldCharType="begin"/>
            </w:r>
            <w:r>
              <w:rPr>
                <w:noProof/>
                <w:webHidden/>
              </w:rPr>
              <w:instrText xml:space="preserve"> PAGEREF _Toc238991353 \h </w:instrText>
            </w:r>
            <w:r>
              <w:rPr>
                <w:noProof/>
                <w:webHidden/>
              </w:rPr>
            </w:r>
            <w:r>
              <w:rPr>
                <w:noProof/>
                <w:webHidden/>
              </w:rPr>
              <w:fldChar w:fldCharType="separate"/>
            </w:r>
            <w:r>
              <w:rPr>
                <w:noProof/>
                <w:webHidden/>
              </w:rPr>
              <w:t>7</w:t>
            </w:r>
            <w:r>
              <w:rPr>
                <w:noProof/>
                <w:webHidden/>
              </w:rPr>
              <w:fldChar w:fldCharType="end"/>
            </w:r>
          </w:hyperlink>
        </w:p>
        <w:p w14:paraId="516C63CD" w14:textId="1C17AFB3"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4" w:history="1">
            <w:r w:rsidRPr="00EA6DC7">
              <w:rPr>
                <w:rStyle w:val="Hyperlink"/>
                <w:noProof/>
              </w:rPr>
              <w:t>Evaluation of the organisation’s creative capability</w:t>
            </w:r>
            <w:r>
              <w:rPr>
                <w:noProof/>
                <w:webHidden/>
              </w:rPr>
              <w:tab/>
            </w:r>
            <w:r>
              <w:rPr>
                <w:noProof/>
                <w:webHidden/>
              </w:rPr>
              <w:fldChar w:fldCharType="begin"/>
            </w:r>
            <w:r>
              <w:rPr>
                <w:noProof/>
                <w:webHidden/>
              </w:rPr>
              <w:instrText xml:space="preserve"> PAGEREF _Toc238991354 \h </w:instrText>
            </w:r>
            <w:r>
              <w:rPr>
                <w:noProof/>
                <w:webHidden/>
              </w:rPr>
            </w:r>
            <w:r>
              <w:rPr>
                <w:noProof/>
                <w:webHidden/>
              </w:rPr>
              <w:fldChar w:fldCharType="separate"/>
            </w:r>
            <w:r>
              <w:rPr>
                <w:noProof/>
                <w:webHidden/>
              </w:rPr>
              <w:t>7</w:t>
            </w:r>
            <w:r>
              <w:rPr>
                <w:noProof/>
                <w:webHidden/>
              </w:rPr>
              <w:fldChar w:fldCharType="end"/>
            </w:r>
          </w:hyperlink>
        </w:p>
        <w:p w14:paraId="463D9FCA" w14:textId="71FD3D9A" w:rsidR="003D0BE7" w:rsidRDefault="003D0BE7">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5" w:history="1">
            <w:r w:rsidRPr="00EA6DC7">
              <w:rPr>
                <w:rStyle w:val="Hyperlink"/>
                <w:noProof/>
              </w:rPr>
              <w:t>Strengths and limitations of the creative culture</w:t>
            </w:r>
            <w:r>
              <w:rPr>
                <w:noProof/>
                <w:webHidden/>
              </w:rPr>
              <w:tab/>
            </w:r>
            <w:r>
              <w:rPr>
                <w:noProof/>
                <w:webHidden/>
              </w:rPr>
              <w:fldChar w:fldCharType="begin"/>
            </w:r>
            <w:r>
              <w:rPr>
                <w:noProof/>
                <w:webHidden/>
              </w:rPr>
              <w:instrText xml:space="preserve"> PAGEREF _Toc238991355 \h </w:instrText>
            </w:r>
            <w:r>
              <w:rPr>
                <w:noProof/>
                <w:webHidden/>
              </w:rPr>
            </w:r>
            <w:r>
              <w:rPr>
                <w:noProof/>
                <w:webHidden/>
              </w:rPr>
              <w:fldChar w:fldCharType="separate"/>
            </w:r>
            <w:r>
              <w:rPr>
                <w:noProof/>
                <w:webHidden/>
              </w:rPr>
              <w:t>9</w:t>
            </w:r>
            <w:r>
              <w:rPr>
                <w:noProof/>
                <w:webHidden/>
              </w:rPr>
              <w:fldChar w:fldCharType="end"/>
            </w:r>
          </w:hyperlink>
        </w:p>
        <w:p w14:paraId="4527ECF0" w14:textId="49547FF3"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6" w:history="1">
            <w:r w:rsidRPr="00EA6DC7">
              <w:rPr>
                <w:rStyle w:val="Hyperlink"/>
                <w:noProof/>
              </w:rPr>
              <w:t>Recommendations</w:t>
            </w:r>
            <w:r>
              <w:rPr>
                <w:noProof/>
                <w:webHidden/>
              </w:rPr>
              <w:tab/>
            </w:r>
            <w:r>
              <w:rPr>
                <w:noProof/>
                <w:webHidden/>
              </w:rPr>
              <w:fldChar w:fldCharType="begin"/>
            </w:r>
            <w:r>
              <w:rPr>
                <w:noProof/>
                <w:webHidden/>
              </w:rPr>
              <w:instrText xml:space="preserve"> PAGEREF _Toc238991356 \h </w:instrText>
            </w:r>
            <w:r>
              <w:rPr>
                <w:noProof/>
                <w:webHidden/>
              </w:rPr>
            </w:r>
            <w:r>
              <w:rPr>
                <w:noProof/>
                <w:webHidden/>
              </w:rPr>
              <w:fldChar w:fldCharType="separate"/>
            </w:r>
            <w:r>
              <w:rPr>
                <w:noProof/>
                <w:webHidden/>
              </w:rPr>
              <w:t>10</w:t>
            </w:r>
            <w:r>
              <w:rPr>
                <w:noProof/>
                <w:webHidden/>
              </w:rPr>
              <w:fldChar w:fldCharType="end"/>
            </w:r>
          </w:hyperlink>
        </w:p>
        <w:p w14:paraId="27B983E3" w14:textId="03CA88D2"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7" w:history="1">
            <w:r w:rsidRPr="00EA6DC7">
              <w:rPr>
                <w:rStyle w:val="Hyperlink"/>
                <w:noProof/>
              </w:rPr>
              <w:t>Conclusion</w:t>
            </w:r>
            <w:r>
              <w:rPr>
                <w:noProof/>
                <w:webHidden/>
              </w:rPr>
              <w:tab/>
            </w:r>
            <w:r>
              <w:rPr>
                <w:noProof/>
                <w:webHidden/>
              </w:rPr>
              <w:fldChar w:fldCharType="begin"/>
            </w:r>
            <w:r>
              <w:rPr>
                <w:noProof/>
                <w:webHidden/>
              </w:rPr>
              <w:instrText xml:space="preserve"> PAGEREF _Toc238991357 \h </w:instrText>
            </w:r>
            <w:r>
              <w:rPr>
                <w:noProof/>
                <w:webHidden/>
              </w:rPr>
            </w:r>
            <w:r>
              <w:rPr>
                <w:noProof/>
                <w:webHidden/>
              </w:rPr>
              <w:fldChar w:fldCharType="separate"/>
            </w:r>
            <w:r>
              <w:rPr>
                <w:noProof/>
                <w:webHidden/>
              </w:rPr>
              <w:t>11</w:t>
            </w:r>
            <w:r>
              <w:rPr>
                <w:noProof/>
                <w:webHidden/>
              </w:rPr>
              <w:fldChar w:fldCharType="end"/>
            </w:r>
          </w:hyperlink>
        </w:p>
        <w:p w14:paraId="130566FF" w14:textId="03631C97"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8" w:history="1">
            <w:r w:rsidRPr="00EA6DC7">
              <w:rPr>
                <w:rStyle w:val="Hyperlink"/>
                <w:noProof/>
              </w:rPr>
              <w:t>References</w:t>
            </w:r>
            <w:r>
              <w:rPr>
                <w:noProof/>
                <w:webHidden/>
              </w:rPr>
              <w:tab/>
            </w:r>
            <w:r>
              <w:rPr>
                <w:noProof/>
                <w:webHidden/>
              </w:rPr>
              <w:fldChar w:fldCharType="begin"/>
            </w:r>
            <w:r>
              <w:rPr>
                <w:noProof/>
                <w:webHidden/>
              </w:rPr>
              <w:instrText xml:space="preserve"> PAGEREF _Toc238991358 \h </w:instrText>
            </w:r>
            <w:r>
              <w:rPr>
                <w:noProof/>
                <w:webHidden/>
              </w:rPr>
            </w:r>
            <w:r>
              <w:rPr>
                <w:noProof/>
                <w:webHidden/>
              </w:rPr>
              <w:fldChar w:fldCharType="separate"/>
            </w:r>
            <w:r>
              <w:rPr>
                <w:noProof/>
                <w:webHidden/>
              </w:rPr>
              <w:t>12</w:t>
            </w:r>
            <w:r>
              <w:rPr>
                <w:noProof/>
                <w:webHidden/>
              </w:rPr>
              <w:fldChar w:fldCharType="end"/>
            </w:r>
          </w:hyperlink>
        </w:p>
        <w:p w14:paraId="514CFBB5" w14:textId="6FBE5936"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59" w:history="1">
            <w:r w:rsidRPr="00EA6DC7">
              <w:rPr>
                <w:rStyle w:val="Hyperlink"/>
                <w:noProof/>
              </w:rPr>
              <w:t>Appendix A – Proposed innovation pathway based on risk</w:t>
            </w:r>
            <w:r>
              <w:rPr>
                <w:noProof/>
                <w:webHidden/>
              </w:rPr>
              <w:tab/>
            </w:r>
            <w:r>
              <w:rPr>
                <w:noProof/>
                <w:webHidden/>
              </w:rPr>
              <w:fldChar w:fldCharType="begin"/>
            </w:r>
            <w:r>
              <w:rPr>
                <w:noProof/>
                <w:webHidden/>
              </w:rPr>
              <w:instrText xml:space="preserve"> PAGEREF _Toc238991359 \h </w:instrText>
            </w:r>
            <w:r>
              <w:rPr>
                <w:noProof/>
                <w:webHidden/>
              </w:rPr>
            </w:r>
            <w:r>
              <w:rPr>
                <w:noProof/>
                <w:webHidden/>
              </w:rPr>
              <w:fldChar w:fldCharType="separate"/>
            </w:r>
            <w:r>
              <w:rPr>
                <w:noProof/>
                <w:webHidden/>
              </w:rPr>
              <w:t>15</w:t>
            </w:r>
            <w:r>
              <w:rPr>
                <w:noProof/>
                <w:webHidden/>
              </w:rPr>
              <w:fldChar w:fldCharType="end"/>
            </w:r>
          </w:hyperlink>
        </w:p>
        <w:p w14:paraId="11613C01" w14:textId="3A2CD6DE" w:rsidR="003D0BE7" w:rsidRDefault="003D0BE7">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38991360" w:history="1">
            <w:r w:rsidRPr="00EA6DC7">
              <w:rPr>
                <w:rStyle w:val="Hyperlink"/>
                <w:noProof/>
              </w:rPr>
              <w:t>Appendix B - Proposed framework for evaluating innovation</w:t>
            </w:r>
            <w:r>
              <w:rPr>
                <w:noProof/>
                <w:webHidden/>
              </w:rPr>
              <w:tab/>
            </w:r>
            <w:r>
              <w:rPr>
                <w:noProof/>
                <w:webHidden/>
              </w:rPr>
              <w:fldChar w:fldCharType="begin"/>
            </w:r>
            <w:r>
              <w:rPr>
                <w:noProof/>
                <w:webHidden/>
              </w:rPr>
              <w:instrText xml:space="preserve"> PAGEREF _Toc238991360 \h </w:instrText>
            </w:r>
            <w:r>
              <w:rPr>
                <w:noProof/>
                <w:webHidden/>
              </w:rPr>
            </w:r>
            <w:r>
              <w:rPr>
                <w:noProof/>
                <w:webHidden/>
              </w:rPr>
              <w:fldChar w:fldCharType="separate"/>
            </w:r>
            <w:r>
              <w:rPr>
                <w:noProof/>
                <w:webHidden/>
              </w:rPr>
              <w:t>17</w:t>
            </w:r>
            <w:r>
              <w:rPr>
                <w:noProof/>
                <w:webHidden/>
              </w:rPr>
              <w:fldChar w:fldCharType="end"/>
            </w:r>
          </w:hyperlink>
        </w:p>
        <w:p w14:paraId="2BF66C93" w14:textId="5A479F65"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D6607CF" w14:textId="77777777" w:rsidR="0047394B" w:rsidRPr="00526EB8" w:rsidRDefault="0047394B" w:rsidP="00526EB8">
      <w:pPr>
        <w:pStyle w:val="Heading1"/>
      </w:pPr>
      <w:bookmarkStart w:id="0" w:name="_1ci93xb" w:colFirst="0" w:colLast="0"/>
      <w:bookmarkStart w:id="1" w:name="_Toc238991346"/>
      <w:bookmarkEnd w:id="0"/>
      <w:r w:rsidRPr="00526EB8">
        <w:lastRenderedPageBreak/>
        <w:t>Introduction</w:t>
      </w:r>
      <w:bookmarkEnd w:id="1"/>
    </w:p>
    <w:p w14:paraId="6E464997" w14:textId="77777777" w:rsidR="0047394B" w:rsidRPr="0047394B" w:rsidRDefault="0047394B" w:rsidP="0047394B">
      <w:r w:rsidRPr="0047394B">
        <w:t xml:space="preserve">This report examines a large multinational professional services organisation operating within financial audit and assurance. The organisation works in a </w:t>
      </w:r>
      <w:proofErr w:type="gramStart"/>
      <w:r w:rsidRPr="0047394B">
        <w:t>fast moving</w:t>
      </w:r>
      <w:proofErr w:type="gramEnd"/>
      <w:r w:rsidRPr="0047394B">
        <w:t xml:space="preserve"> environment shaped by changing technology, regulatory expectations, demanding deadlines, and evolving client requirements. Innovation is important to help the organisation remain sustainable and respected within the sector; however, changes must not compromise audit quality, professional judgement, or the confidentiality of client information. This is particularly relevant to the ways in which financial information, supporting documents and journal samples are requested, transferred, stored, and reviewed. Innovation within this context therefore involves more than generating new ideas: those ideas must be implemented in ways that solve genuine problems and create measurable value for employees and clients (OECD/Eurostat, 2018).</w:t>
      </w:r>
    </w:p>
    <w:p w14:paraId="19822B4E" w14:textId="77777777" w:rsidR="0047394B" w:rsidRPr="0047394B" w:rsidRDefault="0047394B" w:rsidP="0047394B">
      <w:r w:rsidRPr="0047394B">
        <w:t>The report critically examines the organisation’s ability to innovate effectively using Stage-Gate and Open Innovation as its two main models. Stage-Gate is relevant because managers encourage suggestions but appropriately expect evidence before changes are implemented, particularly where audit quality or confidential information could be affected. Open Innovation provides a contrasting perspective by recognising that useful ideas can originate from employees, multidisciplinary teams, clients, and external expertise. The organisation’s internal global audit platform and secure client collaboration portal will be used as examples of implemented process and service innovation. The report then uses Amabile’s componential theory to evaluate how effectively the organisation harnesses creativity and supports a creative culture.</w:t>
      </w:r>
    </w:p>
    <w:p w14:paraId="31C41625" w14:textId="1B20CAAF" w:rsidR="0047394B" w:rsidRPr="00526EB8" w:rsidRDefault="0047394B" w:rsidP="00526EB8">
      <w:pPr>
        <w:pStyle w:val="Heading1"/>
      </w:pPr>
      <w:bookmarkStart w:id="2" w:name="_Toc238991347"/>
      <w:r w:rsidRPr="00526EB8">
        <w:t>Creativity, innovation, and organisational context</w:t>
      </w:r>
      <w:bookmarkEnd w:id="2"/>
    </w:p>
    <w:p w14:paraId="4A9255DE" w14:textId="77777777" w:rsidR="0047394B" w:rsidRPr="0047394B" w:rsidRDefault="0047394B" w:rsidP="0047394B">
      <w:r w:rsidRPr="0047394B">
        <w:t>Creativity and innovation are related but distinct. Creativity is commonly understood as producing ideas that are both novel and useful, while innovation requires the implementation of an idea in a way that creates or redistributes value (Runco &amp; Jaeger, 2012; Singh &amp; Aggarwal, 2022). The distinction matters in audit because an employee may identify a quicker method, yet the organisation gains no benefit unless that method is evaluated, shared, and adopted. Conversely, implementation without sufficient creativity can digitise inefficient practice rather than improve it. Organisational innovation therefore depends on both idea generation and disciplined execution (Anderson et al., 2014).</w:t>
      </w:r>
    </w:p>
    <w:p w14:paraId="6AF509FA" w14:textId="77777777" w:rsidR="0047394B" w:rsidRPr="0047394B" w:rsidRDefault="0047394B" w:rsidP="0047394B">
      <w:r w:rsidRPr="0047394B">
        <w:t>The internal global audit platform illustrates process innovation. It brings working paper documentation, client information, and project management tracking into a common environment. Based on my experience, its clearest benefits are improved organisation, visibility of outstanding work and the ability to monitor engagement progress. The secure client collaboration portal is both a process and service innovation because it changes how audit teams and clients exchange requests, documents, and journal samples. It supports secure collaboration and makes the status of requests easier to track. These benefits align with the Oslo Manual’s emphasis on significantly improved business processes and with the Ten Types framework’s categories of process, service, and channel innovation (Deloitte Digital, n.d.; OECD/Eurostat, 2018).</w:t>
      </w:r>
    </w:p>
    <w:p w14:paraId="558C9DFA" w14:textId="77777777" w:rsidR="0047394B" w:rsidRPr="0047394B" w:rsidRDefault="0047394B" w:rsidP="0047394B">
      <w:r w:rsidRPr="0047394B">
        <w:t xml:space="preserve">The platforms show that the organisation can successfully put innovation into practice on a large scale, but they represent only one part of its overall approach to innovation. Large digital systems demonstrate that approved projects can be resourced, standardised and adopted across the business; they reveal less about whether smaller ideas suggested by employees are noticed or developed. This </w:t>
      </w:r>
      <w:r w:rsidRPr="0047394B">
        <w:lastRenderedPageBreak/>
        <w:t>distinction matters because central investment and local experimentation depend on different capabilities. The former requires governance, technical expertise and coordinated rollout, while the latter requires accessible routes for employees to test improvements. The platforms should therefore be treated as evidence of successful delivery, not as proof that every stage of the innovation process is equally effective.</w:t>
      </w:r>
    </w:p>
    <w:p w14:paraId="0E9557DD" w14:textId="04BF8854" w:rsidR="0047394B" w:rsidRPr="0047394B" w:rsidRDefault="0047394B" w:rsidP="0047394B">
      <w:pPr>
        <w:pStyle w:val="Heading1"/>
      </w:pPr>
      <w:bookmarkStart w:id="3" w:name="_Toc238991348"/>
      <w:r w:rsidRPr="0047394B">
        <w:t>Innovation models and organisational capability</w:t>
      </w:r>
      <w:bookmarkEnd w:id="3"/>
    </w:p>
    <w:p w14:paraId="12587D2C" w14:textId="42DDAE52" w:rsidR="0047394B" w:rsidRPr="00526EB8" w:rsidRDefault="0047394B" w:rsidP="00526EB8">
      <w:pPr>
        <w:pStyle w:val="Heading2"/>
      </w:pPr>
      <w:bookmarkStart w:id="4" w:name="_Toc238991349"/>
      <w:r w:rsidRPr="00526EB8">
        <w:t>Stage-Gate</w:t>
      </w:r>
      <w:bookmarkEnd w:id="4"/>
    </w:p>
    <w:p w14:paraId="67C6CA30" w14:textId="77777777" w:rsidR="0047394B" w:rsidRPr="0047394B" w:rsidRDefault="0047394B" w:rsidP="0047394B">
      <w:r w:rsidRPr="0047394B">
        <w:t>Stage-Gate divides innovation into stages of work separated by decision gates at which evidence is reviewed and resources are committed, redirected, or withdrawn (Cooper, 2008). Its main strength is that it moves an idea through clear stages of scoping, development, testing, and launch. In a regulated audit setting this logic is highly relevant. Changes affecting working papers, client data or audit methodology require clear ownership, testing and approval. The organisation’s managerial practice also resembles a gate: leaders listen to suggestions and encourage them but ask for evidence before supporting implementation. This can protect clients and the organisation from poorly understood consequences.</w:t>
      </w:r>
    </w:p>
    <w:p w14:paraId="50477F09" w14:textId="77777777" w:rsidR="0047394B" w:rsidRPr="0047394B" w:rsidRDefault="0047394B" w:rsidP="0047394B">
      <w:r w:rsidRPr="0047394B">
        <w:t>Stage-Gate is most useful here as a method for reducing uncertainty before resources are committed. A proposed collaboration system would move from problem definition to technical and security review, controlled testing, user feedback and a decision on wider implementation. Each gate should answer a different question: whether the problem is worth solving, whether the design is safe, whether users can work with it and whether the evidence supports expansion. A responsible innovation lens adds privacy, transparency, accountability and value for people to these decisions (Department for Science, Innovation and Technology [DSIT], 2024). Although the government model was developed mainly for systems using data and AI, its principles are relevant to audit technology because information governance and trust must be designed into a change rather than checked only after launch.</w:t>
      </w:r>
    </w:p>
    <w:p w14:paraId="61E14FD0" w14:textId="77777777" w:rsidR="0047394B" w:rsidRPr="0047394B" w:rsidRDefault="0047394B" w:rsidP="0047394B">
      <w:r w:rsidRPr="0047394B">
        <w:t>Stage-Gate also provides a way to avoid change for its own sake. Experienced employees often know the most reliable way to gather, analyse, and report information because they understand technical requirements and recurring engagement risks. A gate review allows that expertise to challenge a quicker solution. This is valuable when speed could hide a reduction in evidence quality. It also creates an auditable rationale for decisions and supports consistent deployment across teams. In this sense, gates do not have to suppress creativity; they can convert ideas into changes that colleagues and clients can trust.</w:t>
      </w:r>
    </w:p>
    <w:p w14:paraId="1BBFCCB6" w14:textId="77777777" w:rsidR="0047394B" w:rsidRPr="0047394B" w:rsidRDefault="0047394B" w:rsidP="0047394B">
      <w:r w:rsidRPr="0047394B">
        <w:t>Nevertheless, a rigid Stage-Gate process can become too linear and bureaucratic. Tidd (2006) warns that innovation rarely follows a simple sequence: learning, setbacks and feedback often require iteration. If every minor improvement must pass through heavy governance, employees may conclude that proposing ideas is not worth the effort. This risk is particularly relevant when workloads and deadlines already restrict available time. Formal evaluation may also favour ideas that are easy to quantify, while more exploratory possibilities are rejected before their value becomes visible. The request for evidence is reasonable, but evidence cannot always exist before a small experiment has occurred.</w:t>
      </w:r>
    </w:p>
    <w:p w14:paraId="281D160B" w14:textId="77777777" w:rsidR="0047394B" w:rsidRPr="0047394B" w:rsidRDefault="0047394B" w:rsidP="0047394B">
      <w:r w:rsidRPr="0047394B">
        <w:t xml:space="preserve">The organisation should therefore apply Stage-Gate in proportion to the level of risk. Changes to team organisation or routine workflow that have low risk and can be reversed should be eligible for short </w:t>
      </w:r>
      <w:r w:rsidRPr="0047394B">
        <w:lastRenderedPageBreak/>
        <w:t>trials with light documentation and rapid feedback. Changes with higher risk involving confidential data, audit methodology, automated decision support, or significant client impact should face stronger gates and independent review. Cooper and Sommer’s (2016) Agile–Stage-Gate hybrid supports this interpretation by combining governance with iterative development, although its evidence base is more strongly associated with product development than professional audit services. When applied carefully, the model provides necessary discipline without allowing control to become the main objective.</w:t>
      </w:r>
    </w:p>
    <w:p w14:paraId="7EE3791C" w14:textId="77777777" w:rsidR="0047394B" w:rsidRPr="0047394B" w:rsidRDefault="0047394B" w:rsidP="0047394B">
      <w:r w:rsidRPr="0047394B">
        <w:t>A further limitation concerns whose evidence counts at a gate. Senior decision makers may naturally give more weight to established expertise or easily measured financial returns. Yet junior employees and team members working directly with clients may hold detailed knowledge of small inefficiencies that are difficult to express in a formal business case. A proportionate gate should therefore accept different forms of evidence: user observations and a short pilot may be sufficient for a change with low risk, whereas security testing, methodology approval and quality metrics are necessary for a change with high risk. This prevents governance from unintentionally silencing the people closest to the problem while still requiring an appropriate level of evidence.</w:t>
      </w:r>
    </w:p>
    <w:p w14:paraId="77AA348F" w14:textId="34689932" w:rsidR="0047394B" w:rsidRPr="0047394B" w:rsidRDefault="0047394B" w:rsidP="0047394B">
      <w:pPr>
        <w:pStyle w:val="Heading2"/>
      </w:pPr>
      <w:bookmarkStart w:id="5" w:name="_Toc238991350"/>
      <w:r w:rsidRPr="0047394B">
        <w:t>Open Innovation</w:t>
      </w:r>
      <w:bookmarkEnd w:id="5"/>
    </w:p>
    <w:p w14:paraId="57AF48DC" w14:textId="77777777" w:rsidR="0047394B" w:rsidRPr="0047394B" w:rsidRDefault="0047394B" w:rsidP="0047394B">
      <w:r w:rsidRPr="0047394B">
        <w:t>Open Innovation argues that organisations should deliberately use knowledge from both inside and outside their boundaries, rather than assuming that all valuable ideas must be developed internally (West &amp; Bogers, 2014). For the organisation, relevant knowledge can come from audit professionals at different grades, technology and risk specialists, multidisciplinary teams, clients, and external research. This model fits my view that experience and fresh perspectives are complementary. Experienced staff understand how evidence should be gathered and reported, but newer colleagues can question routines and identify quicker solutions that established teams may overlook.</w:t>
      </w:r>
    </w:p>
    <w:p w14:paraId="7A8B03F3" w14:textId="77777777" w:rsidR="0047394B" w:rsidRPr="0047394B" w:rsidRDefault="0047394B" w:rsidP="0047394B">
      <w:r w:rsidRPr="0047394B">
        <w:t>The organisation already shows elements of openness. Managers listen to employee suggestions, and the client collaboration portal necessarily reflects interaction between the audit team and client users. Appropriate client feedback can reveal unnecessary steps, unclear requests, or duplicated work. Learning between teams can spread an improvement beyond the engagement on which it originated. The value of diversity is not automatic, however. Research on collective creativity shows that idea generation, divergence and convergence require different social and cognitive conditions (Acar et al., 2024). Diverse knowledge can expand the range of solutions, but teams still need processes for attention, integration, and selection. Evidence on culturally diverse teams likewise shows that diversity can create both informational benefits and coordination challenges (Wang et al., 2019).</w:t>
      </w:r>
    </w:p>
    <w:p w14:paraId="42236DEC" w14:textId="77777777" w:rsidR="0047394B" w:rsidRPr="0047394B" w:rsidRDefault="0047394B" w:rsidP="0047394B">
      <w:r w:rsidRPr="0047394B">
        <w:t>Open Innovation is especially useful in challenging the attitude that a process should continue simply because it has always been completed in one way. Roy’s (1993) studies of Dyson and Strida illustrate how constructive dissatisfaction, domain knowledge, persistence, and repeated prototyping can produce valuable innovation, while ‘not invented here’ attitudes can obstruct adoption. The cases are illustrative rather than directly generalisable to audit: they concern product designers and a small number of innovations. Even so, the wider lesson is relevant. Established expertise should inform change but should not insulate current practice from challenge when a better approach can be evidenced.</w:t>
      </w:r>
    </w:p>
    <w:p w14:paraId="643CDF42" w14:textId="77777777" w:rsidR="0047394B" w:rsidRPr="0047394B" w:rsidRDefault="0047394B" w:rsidP="0047394B">
      <w:r w:rsidRPr="0047394B">
        <w:t xml:space="preserve">A weakness of the model is that having access to ideas does not mean the organisation can use them. Cohen and Levinthal (1990) describe absorptive capacity as the ability to recognise, assimilate and apply </w:t>
      </w:r>
      <w:r w:rsidRPr="0047394B">
        <w:lastRenderedPageBreak/>
        <w:t>external knowledge. West and Bogers (2014) similarly note that research on Open Innovation has often concentrated on obtaining external knowledge while giving less attention to integration and implementation. This limitation is visible in the organisation: employees may possess strong ideas and managers may be receptive, yet deadlines leave little time to develop, evaluate or share them. Being open to suggestions is not enough if employees lack time to turn them into implemented improvements.</w:t>
      </w:r>
    </w:p>
    <w:p w14:paraId="0E4DCFBB" w14:textId="77777777" w:rsidR="0047394B" w:rsidRPr="0047394B" w:rsidRDefault="0047394B" w:rsidP="0047394B">
      <w:r w:rsidRPr="0047394B">
        <w:t>Audit also places legitimate limits on openness. Confidential client information cannot be shared widely, and client preferences cannot override professional standards or auditor independence. External technologies and practices using AI require validation rather than uncritical adoption. The organisation should therefore welcome ideas within clear boundaries, followed by controlled access, testing based on evidence and governance that matches the risk. Industry thought leadership describes different structures, including lab, foundry, bridge and venture approaches, that can be combined according to ambition and resources (Deloitte Digital, 2025). This is useful contextual support, but as corporate material it should not be treated as independent proof of effectiveness.</w:t>
      </w:r>
    </w:p>
    <w:p w14:paraId="5A26E9DC" w14:textId="31DA2B6D" w:rsidR="0047394B" w:rsidRPr="0047394B" w:rsidRDefault="0047394B" w:rsidP="0047394B">
      <w:pPr>
        <w:pStyle w:val="Heading2"/>
      </w:pPr>
      <w:bookmarkStart w:id="6" w:name="_Toc238991351"/>
      <w:r w:rsidRPr="0047394B">
        <w:t>Comparative judgement: a proportionate innovation system</w:t>
      </w:r>
      <w:bookmarkEnd w:id="6"/>
    </w:p>
    <w:p w14:paraId="21E68E37" w14:textId="77777777" w:rsidR="0047394B" w:rsidRPr="0047394B" w:rsidRDefault="0047394B" w:rsidP="0047394B">
      <w:r w:rsidRPr="0047394B">
        <w:t>Stage-Gate and Open Innovation address different weaknesses. Open Innovation broadens where ideas come from and reduces overreliance on established routines; Stage-Gate supports selection, testing and dependable implementation. Used alone, Open Innovation may produce ideas that cannot be safely integrated, while Stage-Gate may efficiently govern a narrow or conservative idea pool. The strongest approach is therefore not to select one universal winner, but to connect open idea generation with proportionate gates.</w:t>
      </w:r>
    </w:p>
    <w:p w14:paraId="24EAA009" w14:textId="77777777" w:rsidR="0047394B" w:rsidRPr="0047394B" w:rsidRDefault="0047394B" w:rsidP="0047394B">
      <w:r w:rsidRPr="0047394B">
        <w:t>This reflects organisational ambidexterity: exploring new approaches while continuing to use established capabilities effectively (</w:t>
      </w:r>
      <w:proofErr w:type="gramStart"/>
      <w:r w:rsidRPr="0047394B">
        <w:t>March,</w:t>
      </w:r>
      <w:proofErr w:type="gramEnd"/>
      <w:r w:rsidRPr="0047394B">
        <w:t xml:space="preserve"> 1991; O’Reilly &amp; Tushman, 2013). Exploration is required when new employees, specialists or clients reveal a more efficient approach. Exploitation remains essential because audit quality depends on consistent execution of tested methods. Dynamic capabilities theory adds that sustained advantage depends on sensing opportunities, seizing them, and reconfiguring organisational resources (Teece et al., 1997). The existing platforms indicate strong seizing and implementation capability. The less certain issue is whether employees have time to notice opportunities and test ideas before they reach formal decision makers.</w:t>
      </w:r>
    </w:p>
    <w:p w14:paraId="580A3AC1" w14:textId="77777777" w:rsidR="0047394B" w:rsidRPr="0047394B" w:rsidRDefault="0047394B" w:rsidP="0047394B">
      <w:r w:rsidRPr="0047394B">
        <w:t>Taken together, the two models suggest that the organisation is particularly strong at selecting and implementing approved innovations. It is less clear how consistently employees’ ideas are captured, tested and shared across the wider organisation. Its secure systems show that it can coordinate, invest in and introduce major changes, while supportive managers give employees opportunities to raise ideas. However, the evidence available for this report does not show how many suggestions are progressed, how quickly decisions are made or whether learning is shared consistently between engagements. It is therefore fair to conclude that the organisation is effective at implementing approved changes, while the earlier stages of capturing and developing ideas are harder to assess. This does not suggest a lack of creativity; it identifies an area where clearer information would support a stronger judgement.</w:t>
      </w:r>
    </w:p>
    <w:p w14:paraId="1B7CF4E1" w14:textId="77777777" w:rsidR="0047394B" w:rsidRPr="0047394B" w:rsidRDefault="0047394B" w:rsidP="0047394B">
      <w:r w:rsidRPr="0047394B">
        <w:t xml:space="preserve">Christensen’s Innovator’s Dilemma provides a further explanation for why established capability can narrow the range of innovation pursued. Successful organisations tend to allocate attention and resources towards improvements valued by current clients and existing performance systems </w:t>
      </w:r>
      <w:r w:rsidRPr="0047394B">
        <w:lastRenderedPageBreak/>
        <w:t>(Christensen, 1997). In this case, strong audit methodologies and digital infrastructure make incremental enhancement both rational and measurable. The platforms are therefore better understood as sustaining process innovations: they improve the delivery of an established audit service rather than creating a new market or displacing its operating model. Christensen’s framework should not be applied too literally because professional audit is shaped by regulation and public interest duties that limit disruptive experimentation. Its value is instead to expose a selection bias: unfamiliar proposals may receive less attention because their benefits do not fit existing measures, even when they could become useful after testing.</w:t>
      </w:r>
    </w:p>
    <w:p w14:paraId="23CB0B65" w14:textId="1E75D48A" w:rsidR="0047394B" w:rsidRPr="0047394B" w:rsidRDefault="0047394B" w:rsidP="0047394B">
      <w:pPr>
        <w:pStyle w:val="Heading1"/>
      </w:pPr>
      <w:bookmarkStart w:id="7" w:name="_Toc238991352"/>
      <w:r w:rsidRPr="0047394B">
        <w:t>Harnessing creativity and fostering a creative culture</w:t>
      </w:r>
      <w:bookmarkEnd w:id="7"/>
    </w:p>
    <w:p w14:paraId="3F80E940" w14:textId="774C3427" w:rsidR="0047394B" w:rsidRPr="0047394B" w:rsidRDefault="0047394B" w:rsidP="00DF5219">
      <w:pPr>
        <w:pStyle w:val="Heading2"/>
      </w:pPr>
      <w:bookmarkStart w:id="8" w:name="_Toc238991353"/>
      <w:r w:rsidRPr="0047394B">
        <w:t>Theoretical foundation</w:t>
      </w:r>
      <w:bookmarkEnd w:id="8"/>
    </w:p>
    <w:p w14:paraId="4F8101A2" w14:textId="77777777" w:rsidR="0047394B" w:rsidRPr="0047394B" w:rsidRDefault="0047394B" w:rsidP="0047394B">
      <w:r w:rsidRPr="0047394B">
        <w:t>In this report, a creative organisational culture is understood as a working environment in which shared practices, leadership behaviours and organisational priorities enable employees to generate, discuss, and implement useful ideas.</w:t>
      </w:r>
    </w:p>
    <w:p w14:paraId="23288556" w14:textId="77777777" w:rsidR="0047394B" w:rsidRPr="0047394B" w:rsidRDefault="0047394B" w:rsidP="0047394B">
      <w:r w:rsidRPr="0047394B">
        <w:t>Amabile’s (1988) componential theory explains creativity through the interaction of domain-relevant skills, creativity-relevant processes, and task motivation. The later version explains that the working environment can strengthen or weaken these components through meaningful work, autonomy, resources, encouragement from managers and wider organisational support (Amabile &amp; Pratt, 2016). This framework is particularly appropriate for audit. Domain expertise is indispensable, yet expertise alone may reproduce familiar solutions. Creative-thinking processes enable employees to reframe problems, and intrinsic motivation sustains the effort needed to develop an improvement.</w:t>
      </w:r>
    </w:p>
    <w:p w14:paraId="648FF3C8" w14:textId="77777777" w:rsidR="0047394B" w:rsidRPr="0047394B" w:rsidRDefault="0047394B" w:rsidP="0047394B">
      <w:r w:rsidRPr="0047394B">
        <w:t>Self-determination theory supports the importance of autonomy, competence, and relatedness for strong motivation at work (Deci et al., 2017). Psychological safety is also relevant because employees must feel able to question existing routines, admit uncertainty and suggest alternatives without interpersonal punishment (Edmondson, 1999). Psychological safety is not the removal of standards or accountability; it supports candid learning within them. Research on collective creativity shows that useful ideas develop through people working together, not only from a few creative individuals (Acar et al., 2024; van Knippenberg, 2017). The organisation’s culture should therefore be evaluated by whether it mobilises expertise, fresh viewpoints, motivation, and collaboration while maintaining audit responsibilities.</w:t>
      </w:r>
    </w:p>
    <w:p w14:paraId="01881AB3" w14:textId="15DB9669" w:rsidR="0047394B" w:rsidRPr="0047394B" w:rsidRDefault="0047394B" w:rsidP="00DF5219">
      <w:pPr>
        <w:pStyle w:val="Heading2"/>
      </w:pPr>
      <w:bookmarkStart w:id="9" w:name="_Toc238991354"/>
      <w:r w:rsidRPr="0047394B">
        <w:t>Evaluation of the organisation’s creative capability</w:t>
      </w:r>
      <w:bookmarkEnd w:id="9"/>
    </w:p>
    <w:p w14:paraId="5D74ECBD" w14:textId="77777777" w:rsidR="0047394B" w:rsidRPr="0047394B" w:rsidRDefault="0047394B" w:rsidP="0047394B">
      <w:r w:rsidRPr="0047394B">
        <w:t>The organisation has a substantial base of domain-relevant expertise. Experienced employees know how to obtain evidence, interpret data, and report conclusions in a way that meets professional requirements. That knowledge helps teams distinguish genuine efficiency from shortcuts that would weaken quality. At the same time, long experience can create commitment to familiar methods. Some employees may continue with the process because it is how the work has always been performed. Newer team members can supply valuable ‘new eyes,’ particularly when they are less attached to inherited routines. The organisation should not frame this as a contest between senior and junior staff. Strong collective creativity combines experienced judgement with questions from colleagues who see the workflow differently.</w:t>
      </w:r>
    </w:p>
    <w:p w14:paraId="69AAF2D7" w14:textId="77777777" w:rsidR="0047394B" w:rsidRPr="0047394B" w:rsidRDefault="0047394B" w:rsidP="0047394B">
      <w:r w:rsidRPr="0047394B">
        <w:lastRenderedPageBreak/>
        <w:t>Current managerial behaviour appears strongly supportive of creativity. During my two years in the organisation, I have continually looked for quicker and more efficient ways to support deliverables without reducing accuracy. Although I still consider myself relatively junior, my suggestions have been listened to, and I have not witnessed a manager discourage an idea. This experience provides practical evidence of psychological safety, although it cannot prove that every employee or team has the same experience. Managers also request evidence before implementation. I consider this reasonable in audit because it tests whether an improvement is accurate, useful and safe rather than accepting change for its own sake. Leadership research associates supportive and empowering behaviours with creativity and innovation, although the effects remain dependent on context (Huang et al., 2022; Hughes et al., 2018; Lee et al., 2020). In this organisation, asking for evidence appears to strengthen ideas rather than silence them.</w:t>
      </w:r>
    </w:p>
    <w:p w14:paraId="5E3301CA" w14:textId="77777777" w:rsidR="0047394B" w:rsidRPr="0047394B" w:rsidRDefault="0047394B" w:rsidP="0047394B">
      <w:r w:rsidRPr="0047394B">
        <w:t>My own leadership position is to trust team members to find creative solutions to issues and more efficient ways of working, while expecting work to meet deadlines and remain high quality. I would describe this as autonomy with accountability: employees have freedom, but within a clear professional framework. Employees already have scope to make small improvements within audit methodology, but the appropriate freedom depends on risk. A reversible change to how a team coordinates routine requests should not require the same approval as a change affecting confidential storage or audit evidence. Autonomy that reflects the level of risk is more practical than either unrestricted freedom or blanket control.</w:t>
      </w:r>
    </w:p>
    <w:p w14:paraId="65D87A7F" w14:textId="77777777" w:rsidR="0047394B" w:rsidRPr="0047394B" w:rsidRDefault="0047394B" w:rsidP="0047394B">
      <w:r w:rsidRPr="0047394B">
        <w:t>In my experience, time is the main practical constraint on an otherwise strong creative culture. Audit workloads and deadlines can reduce the opportunity to develop and test an improvement even when leaders are receptive. Amabile and Pratt (2016) distinguish productive time pressure from conditions that undermine creativity; severe or persistent pressure can narrow attention towards immediate delivery. An employee may therefore recognise an inefficiency but prioritise the current engagement over documenting and trialling an alternative. This is a capacity issue rather than evidence of cultural resistance: ideas are welcomed, but the time needed to progress them must compete with client work.</w:t>
      </w:r>
    </w:p>
    <w:p w14:paraId="3CE04B5B" w14:textId="77777777" w:rsidR="0047394B" w:rsidRPr="0047394B" w:rsidRDefault="0047394B" w:rsidP="0047394B">
      <w:r w:rsidRPr="0047394B">
        <w:t>The organisation also has existing ways to recognise contributions, including recognition awards and ecards. These mechanisms support Amabile’s emphasis on organisational encouragement by showing that useful effort is noticed. Their value depends on how they are used: recognition should credit improvements that save employee or client time, solve a genuine problem or strengthen audit quality, rather than reward the volume of suggestions. It should also reinforce collaboration because excessive competition can weaken knowledge sharing. Recognition is therefore an existing cultural strength that can be applied more deliberately to verified improvement work, while intrinsic motivation remains important (Deci et al., 2017).</w:t>
      </w:r>
    </w:p>
    <w:p w14:paraId="03B7A726" w14:textId="77777777" w:rsidR="0047394B" w:rsidRPr="0047394B" w:rsidRDefault="0047394B" w:rsidP="0047394B">
      <w:r w:rsidRPr="0047394B">
        <w:t xml:space="preserve">The cultural importance of the digital platforms is shown by how they have become part of everyday work, not only by their technical features. Once an innovation becomes part of normal work, employees must learn it, trust it and adapt their behaviour around it. Successful adoption therefore suggests that the organisation can coordinate change and establish shared practices. It does not establish that the original idea emerged through broad employee participation, or that local improvements receive the same support as strategic programmes. This difference prevents implementation success from being used as a substitute measure for creative participation. Evaluation should consider who can propose </w:t>
      </w:r>
      <w:r w:rsidRPr="0047394B">
        <w:lastRenderedPageBreak/>
        <w:t>changes, whose knowledge influences design and whether feedback continues after a system becomes established.</w:t>
      </w:r>
    </w:p>
    <w:p w14:paraId="3793FC0D" w14:textId="77777777" w:rsidR="0047394B" w:rsidRPr="0047394B" w:rsidRDefault="0047394B" w:rsidP="0047394B">
      <w:r w:rsidRPr="0047394B">
        <w:t xml:space="preserve">Knowledge sharing is another established strength. When colleagues identify a more effective way of working, they are encouraged to present it and share it internally, allowing other employees to learn from the improvement. Psychological safety is associated with knowledge sharing in teams that depend heavily on knowledge (Kessel et al., 2012), while team openness can support creativity by enabling different perspectives to be combined (Sacramento et al., 2024). An idea could </w:t>
      </w:r>
      <w:proofErr w:type="gramStart"/>
      <w:r w:rsidRPr="0047394B">
        <w:t>still remain</w:t>
      </w:r>
      <w:proofErr w:type="gramEnd"/>
      <w:r w:rsidRPr="0047394B">
        <w:t xml:space="preserve"> within one engagement, particularly if its wider relevance is not recognised, but frequent and supported knowledge sharing reduces this risk. The opportunity is therefore to make existing sharing more searchable and durable, rather than to create a collaborative culture from the beginning.</w:t>
      </w:r>
    </w:p>
    <w:p w14:paraId="43394EBF" w14:textId="1773889E" w:rsidR="0047394B" w:rsidRPr="0047394B" w:rsidRDefault="0047394B" w:rsidP="00DF5219">
      <w:pPr>
        <w:pStyle w:val="Heading2"/>
      </w:pPr>
      <w:bookmarkStart w:id="10" w:name="_Toc238991355"/>
      <w:r w:rsidRPr="0047394B">
        <w:t>Strengths and limitations of the creative culture</w:t>
      </w:r>
      <w:bookmarkEnd w:id="10"/>
    </w:p>
    <w:p w14:paraId="088ECEEE" w14:textId="77777777" w:rsidR="0047394B" w:rsidRPr="0047394B" w:rsidRDefault="0047394B" w:rsidP="0047394B">
      <w:r w:rsidRPr="0047394B">
        <w:t>Using Amabile’s framework, I assess the organisation’s creative culture as strong and supportive. Domain-relevant expertise is extensive, employees are encouraged to improve their work, managers listen to suggestions, and knowledge sharing and recognition mechanisms are already present. My experience as a relatively junior employee is particularly relevant because being heard suggests that creative participation is not reserved only for senior colleagues. The main limitation is practical capacity: employees may want to improve a process but lack sufficient time to develop and test the idea alongside immediate engagement responsibilities. Because this assessment is based on two years of personal workplace observation rather than data from across the organisation, it cannot establish that experiences are identical across all grades, teams and locations. Nevertheless, the available evidence points to a strong culture operating under workload pressure, not a weak culture requiring fundamental change.</w:t>
      </w:r>
    </w:p>
    <w:p w14:paraId="69A53642" w14:textId="77777777" w:rsidR="0047394B" w:rsidRPr="0047394B" w:rsidRDefault="0047394B" w:rsidP="0047394B">
      <w:r w:rsidRPr="0047394B">
        <w:t>Despite this positive assessment, creative participation could still vary between engagements. Improvement work may be easier when an employee has sufficient capacity, confidence and access to colleagues who can help develop the idea. I have personally been listened to as a junior employee, so there is no basis for claiming that hierarchy routinely prevents participation. However, a strong culture should still ensure that opportunity does not depend solely on individual persistence or spare time. The relevant question is therefore whether supportive behaviour is experienced consistently and whether employees can progress worthwhile ideas during demanding periods.</w:t>
      </w:r>
    </w:p>
    <w:p w14:paraId="021F6BDB" w14:textId="77777777" w:rsidR="0047394B" w:rsidRPr="0047394B" w:rsidRDefault="0047394B" w:rsidP="0047394B">
      <w:r w:rsidRPr="0047394B">
        <w:t>In audit, supporting creativity should mean giving employees clear boundaries around their freedom rather than allowing unrestricted change. Employees need to know which decisions they can change themselves, which require peer discussion and which must be escalated to methodology, security or independence specialists. Clear boundaries can increase psychological safety because people can challenge routines without fearing that they have crossed an unstated line. Poorly explained controls can have the opposite effect: employees may interpret uncertainty as a reason to remain silent. The cultural task is therefore to make autonomy visible, explain the purpose of restrictions and ensure that escalation results in constructive feedback rather than an unexplained rejection.</w:t>
      </w:r>
    </w:p>
    <w:p w14:paraId="0A7956ED" w14:textId="77777777" w:rsidR="0047394B" w:rsidRPr="0047394B" w:rsidRDefault="0047394B" w:rsidP="0047394B">
      <w:r w:rsidRPr="0047394B">
        <w:t xml:space="preserve">The existing culture could be developed further by deliberately bringing experience and fresh perspectives together. Review sessions involving different levels of experience could begin with the problem rather than the existing process, allowing junior and senior colleagues to propose alternatives before experienced judgement is used to test quality implications. This reflects Acar et al.’s (2024) </w:t>
      </w:r>
      <w:r w:rsidRPr="0047394B">
        <w:lastRenderedPageBreak/>
        <w:t>distinction between divergence and convergence. During divergence, employees need space to offer different possibilities; during convergence, technical expertise becomes essential to selecting a safe and workable option. Separating these phases would formalise a balance that already exists in practice: newer employees can identify quicker solutions, while experienced colleagues protect accuracy and professional standards.</w:t>
      </w:r>
    </w:p>
    <w:p w14:paraId="6C087593" w14:textId="77777777" w:rsidR="0047394B" w:rsidRPr="0047394B" w:rsidRDefault="0047394B" w:rsidP="0047394B">
      <w:r w:rsidRPr="0047394B">
        <w:t>I judge creativity by the practical value it creates. I regard an innovation as successful when it saves employee and client time, solves a genuine problem, and improves audit quality. These outcomes should be assessed together. A faster process that reduces quality is unsuccessful, while an elaborate innovation that adds control without solving a meaningful problem may also destroy value. Using a balanced set of measures would keep creativity connected to business advantage and professional responsibility.</w:t>
      </w:r>
    </w:p>
    <w:p w14:paraId="1B937112" w14:textId="1DC08ED4" w:rsidR="0047394B" w:rsidRPr="0047394B" w:rsidRDefault="0047394B" w:rsidP="009E2FEA">
      <w:pPr>
        <w:pStyle w:val="Heading1"/>
      </w:pPr>
      <w:bookmarkStart w:id="11" w:name="_Toc238991356"/>
      <w:r w:rsidRPr="0047394B">
        <w:t>Recommendations</w:t>
      </w:r>
      <w:bookmarkEnd w:id="11"/>
    </w:p>
    <w:p w14:paraId="026580A8" w14:textId="77777777" w:rsidR="0047394B" w:rsidRPr="0047394B" w:rsidRDefault="0047394B" w:rsidP="0047394B">
      <w:r w:rsidRPr="0047394B">
        <w:t>First, engagement leaders should schedule short improvement reviews at suitable points in the engagement cycle, particularly after planning and completion. Each team should identify one recurring problem, nominate an owner for a small experiment and record the result. Scheduling the activity within the engagement plan would make the time visible rather than relying on voluntary effort. A quarterly review could then assess participation, completed tests and lessons transferred to other teams.</w:t>
      </w:r>
    </w:p>
    <w:p w14:paraId="0B055A97" w14:textId="1D7DE732" w:rsidR="0047394B" w:rsidRPr="0047394B" w:rsidRDefault="0047394B" w:rsidP="0047394B">
      <w:r w:rsidRPr="0047394B">
        <w:t>Second, an innovation or methodology lead should own a pathway based on risk linking Open Innovation to Stage-Gate. A short submission route should capture the problem, expected benefit, affected users and reversibility of the proposal. Ideas with low risk could proceed to a short pilot, while changes involving client data, AI, audit evidence or methodology would require named security, quality and independence reviewers. Publishing the evidence threshold and expected decision time for each route would make governance predictable and reduce the risk that requests for evidence become an uncertain barrier.</w:t>
      </w:r>
      <w:r w:rsidR="00A85D3A" w:rsidRPr="00A85D3A">
        <w:t xml:space="preserve"> </w:t>
      </w:r>
      <w:r w:rsidR="00A85D3A" w:rsidRPr="00A85D3A">
        <w:t>Appendix A presents a practical pathway showing how evidence, approval and testing could be matched to the level of risk.</w:t>
      </w:r>
    </w:p>
    <w:p w14:paraId="6771171E" w14:textId="77777777" w:rsidR="0047394B" w:rsidRPr="0047394B" w:rsidRDefault="0047394B" w:rsidP="0047394B">
      <w:r w:rsidRPr="0047394B">
        <w:t>Third, existing knowledge sharing practices should be supported by a searchable record of tested ideas showing the problem, evidence, decision, result and named contact. This should include unsuccessful trials because knowing why an idea failed can prevent duplicated effort. Forums involving different levels of experience could review selected cases, with junior colleagues contributing workflow observations and experienced staff testing technical implications. Existing recognition awards and ecards could then acknowledge verified contributions and shared learning, avoiding the need to create a separate reward system or encourage competition based on the number of suggestions.</w:t>
      </w:r>
    </w:p>
    <w:p w14:paraId="7890B692" w14:textId="736C58E3" w:rsidR="0047394B" w:rsidRPr="0047394B" w:rsidRDefault="0047394B" w:rsidP="0047394B">
      <w:r w:rsidRPr="0047394B">
        <w:t>Finally, leaders should review the organisation’s innovation activity quarterly using balanced measures: employee time saved, client waiting or effort reduced, adoption, quality indicators, control issues and user feedback. Results should be compared with the original problem and expected benefit, rather than reported only as activity completed. This would allow weak initiatives to stop, promising trials to be adapted and effective changes to scale. Publishing a short summary of decisions and lessons would also show employees that participation leads to a visible response.</w:t>
      </w:r>
      <w:r w:rsidR="00674A02" w:rsidRPr="00674A02">
        <w:t xml:space="preserve"> </w:t>
      </w:r>
      <w:r w:rsidR="00674A02" w:rsidRPr="00674A02">
        <w:t>Appendix B provides a proposed framework for measuring the results of tested innovations.</w:t>
      </w:r>
    </w:p>
    <w:p w14:paraId="62B90A67" w14:textId="7426C0F6" w:rsidR="0047394B" w:rsidRPr="0047394B" w:rsidRDefault="0047394B" w:rsidP="009E2FEA">
      <w:pPr>
        <w:pStyle w:val="Heading1"/>
      </w:pPr>
      <w:bookmarkStart w:id="12" w:name="_Toc238991357"/>
      <w:r w:rsidRPr="0047394B">
        <w:lastRenderedPageBreak/>
        <w:t>Conclusion</w:t>
      </w:r>
      <w:bookmarkEnd w:id="12"/>
    </w:p>
    <w:p w14:paraId="6FD10BEC" w14:textId="77777777" w:rsidR="0047394B" w:rsidRPr="0047394B" w:rsidRDefault="0047394B" w:rsidP="0047394B">
      <w:r w:rsidRPr="0047394B">
        <w:t>The organisation has shown that it can successfully implement innovation. Its internal global audit platform and secure client collaboration portal have improved organisation, tracking, visibility, and secure exchange, while managers encourage ideas supported by evidence. Stage-Gate explains the discipline needed to protect audit quality, confidentiality, and trust; Open Innovation explains why ideas should be drawn from employees at different experience levels, multidisciplinary expertise, and appropriate client interaction. Neither model is sufficient alone.</w:t>
      </w:r>
    </w:p>
    <w:p w14:paraId="2E8995BD" w14:textId="41C35C43" w:rsidR="00583709" w:rsidRDefault="0047394B" w:rsidP="0047394B">
      <w:r w:rsidRPr="0047394B">
        <w:t>The organisation already demonstrates a strong and supportive creative culture: employees at different levels are listened to, managers encourage suggestions supported by evidence, knowledge is shared, and contributions can be recognised. Its principal limitation is not resistance to creativity but the time available to develop and test improvements alongside demanding audit deadlines. Amabile’s framework shows why this distinction matters, as expertise, motivation and organisational support may be present while workload restricts the opportunity to act. The organisation should therefore protect time for worthwhile ideas and apply controls in proportion to risk. Improvements with low risk that can be reversed can receive greater autonomy, while changes affecting confidential information, audit evidence or client trust should remain subject to rigorous review. This approach builds on an existing cultural strength while maintaining firm expectations for deadlines, quality and professional accountability.</w:t>
      </w:r>
    </w:p>
    <w:p w14:paraId="234308F4" w14:textId="77777777" w:rsidR="009E2FEA" w:rsidRDefault="009E2FEA">
      <w:pPr>
        <w:rPr>
          <w:color w:val="2E75B5"/>
          <w:sz w:val="32"/>
          <w:szCs w:val="32"/>
        </w:rPr>
      </w:pPr>
      <w:bookmarkStart w:id="13" w:name="_2p2csry" w:colFirst="0" w:colLast="0"/>
      <w:bookmarkStart w:id="14" w:name="_3o7alnk" w:colFirst="0" w:colLast="0"/>
      <w:bookmarkStart w:id="15" w:name="_23ckvvd" w:colFirst="0" w:colLast="0"/>
      <w:bookmarkStart w:id="16" w:name="_ihv636" w:colFirst="0" w:colLast="0"/>
      <w:bookmarkStart w:id="17" w:name="_32hioqz" w:colFirst="0" w:colLast="0"/>
      <w:bookmarkStart w:id="18" w:name="_1hmsyys" w:colFirst="0" w:colLast="0"/>
      <w:bookmarkEnd w:id="13"/>
      <w:bookmarkEnd w:id="14"/>
      <w:bookmarkEnd w:id="15"/>
      <w:bookmarkEnd w:id="16"/>
      <w:bookmarkEnd w:id="17"/>
      <w:bookmarkEnd w:id="18"/>
      <w:r>
        <w:br w:type="page"/>
      </w:r>
    </w:p>
    <w:p w14:paraId="0211B4FF" w14:textId="0CF4B7FC" w:rsidR="00583709" w:rsidRDefault="008312FD">
      <w:pPr>
        <w:pStyle w:val="Heading1"/>
      </w:pPr>
      <w:bookmarkStart w:id="19" w:name="_Toc238991358"/>
      <w:r>
        <w:lastRenderedPageBreak/>
        <w:t>References</w:t>
      </w:r>
      <w:bookmarkEnd w:id="19"/>
    </w:p>
    <w:p w14:paraId="7C594AD0" w14:textId="77777777" w:rsidR="00583709" w:rsidRDefault="00583709"/>
    <w:p w14:paraId="6DC5D8FA" w14:textId="77777777" w:rsidR="00182DBF" w:rsidRPr="00182DBF" w:rsidRDefault="00182DBF" w:rsidP="00182DBF">
      <w:pPr>
        <w:rPr>
          <w:lang w:val="en-US"/>
        </w:rPr>
      </w:pPr>
      <w:r w:rsidRPr="00182DBF">
        <w:rPr>
          <w:lang w:val="en-US"/>
        </w:rPr>
        <w:t xml:space="preserve">Acar, O. A., </w:t>
      </w:r>
      <w:proofErr w:type="spellStart"/>
      <w:r w:rsidRPr="00182DBF">
        <w:rPr>
          <w:lang w:val="en-US"/>
        </w:rPr>
        <w:t>Tuncdogan</w:t>
      </w:r>
      <w:proofErr w:type="spellEnd"/>
      <w:r w:rsidRPr="00182DBF">
        <w:rPr>
          <w:lang w:val="en-US"/>
        </w:rPr>
        <w:t xml:space="preserve">, A., van Knippenberg, D., &amp; Lakhani, K. R. (2024). Collective creativity and innovation: An interdisciplinary review, integration, and research agenda. Journal of Management, 50(6), 2119–2151. </w:t>
      </w:r>
      <w:hyperlink r:id="rId8">
        <w:r w:rsidRPr="00182DBF">
          <w:rPr>
            <w:rStyle w:val="Hyperlink"/>
            <w:lang w:val="en-US"/>
          </w:rPr>
          <w:t>https://doi.org/10.1177/01492063231212416</w:t>
        </w:r>
      </w:hyperlink>
    </w:p>
    <w:p w14:paraId="5A21DE2A" w14:textId="77777777" w:rsidR="00182DBF" w:rsidRPr="00182DBF" w:rsidRDefault="00182DBF" w:rsidP="00182DBF">
      <w:pPr>
        <w:rPr>
          <w:lang w:val="en-US"/>
        </w:rPr>
      </w:pPr>
      <w:r w:rsidRPr="00182DBF">
        <w:rPr>
          <w:lang w:val="en-US"/>
        </w:rPr>
        <w:t xml:space="preserve">Amabile, T. M. (1988). A model of creativity and innovation in organizations. Research in Organizational Behavior, 10, 123–167. </w:t>
      </w:r>
      <w:hyperlink r:id="rId9">
        <w:r w:rsidRPr="00182DBF">
          <w:rPr>
            <w:rStyle w:val="Hyperlink"/>
            <w:lang w:val="en-US"/>
          </w:rPr>
          <w:t>https://psycnet.apa.org/record/1988-97911-004</w:t>
        </w:r>
      </w:hyperlink>
    </w:p>
    <w:p w14:paraId="6054C819" w14:textId="77777777" w:rsidR="00182DBF" w:rsidRPr="00182DBF" w:rsidRDefault="00182DBF" w:rsidP="00182DBF">
      <w:pPr>
        <w:rPr>
          <w:lang w:val="en-US"/>
        </w:rPr>
      </w:pPr>
      <w:r w:rsidRPr="00182DBF">
        <w:rPr>
          <w:lang w:val="en-US"/>
        </w:rPr>
        <w:t xml:space="preserve">Amabile, T. M., &amp; Pratt, M. G. (2016). The dynamic componential model of creativity and innovation in organizations: Making progress, making meaning. Research in Organizational Behavior, 36, 157–183. </w:t>
      </w:r>
      <w:hyperlink r:id="rId10">
        <w:r w:rsidRPr="00182DBF">
          <w:rPr>
            <w:rStyle w:val="Hyperlink"/>
            <w:lang w:val="en-US"/>
          </w:rPr>
          <w:t>https://doi.org/10.1016/j.riob.2016.10.001</w:t>
        </w:r>
      </w:hyperlink>
    </w:p>
    <w:p w14:paraId="2F8D54EE" w14:textId="77777777" w:rsidR="00182DBF" w:rsidRPr="00182DBF" w:rsidRDefault="00182DBF" w:rsidP="00182DBF">
      <w:pPr>
        <w:rPr>
          <w:lang w:val="en-US"/>
        </w:rPr>
      </w:pPr>
      <w:r w:rsidRPr="00182DBF">
        <w:rPr>
          <w:lang w:val="en-US"/>
        </w:rPr>
        <w:t xml:space="preserve">Anderson, N., Potočnik, K., &amp; Zhou, J. (2014). Innovation and creativity in organizations: A state-of-the-science review, prospective commentary, and guiding framework. Journal of Management, 40(5), 1297–1333. </w:t>
      </w:r>
      <w:hyperlink r:id="rId11">
        <w:r w:rsidRPr="00182DBF">
          <w:rPr>
            <w:rStyle w:val="Hyperlink"/>
            <w:lang w:val="en-US"/>
          </w:rPr>
          <w:t>https://doi.org/10.1177/0149206314527128</w:t>
        </w:r>
      </w:hyperlink>
    </w:p>
    <w:p w14:paraId="5BFFECE0" w14:textId="77777777" w:rsidR="00182DBF" w:rsidRPr="00182DBF" w:rsidRDefault="00182DBF" w:rsidP="00182DBF">
      <w:pPr>
        <w:rPr>
          <w:lang w:val="en-US"/>
        </w:rPr>
      </w:pPr>
      <w:r w:rsidRPr="00182DBF">
        <w:rPr>
          <w:lang w:val="en-US"/>
        </w:rPr>
        <w:t>Christensen, C. M. (1997). The innovator’s dilemma: When new technologies cause great firms to fail. Harvard Business School Press.</w:t>
      </w:r>
    </w:p>
    <w:p w14:paraId="042F32FB" w14:textId="77777777" w:rsidR="00182DBF" w:rsidRPr="00182DBF" w:rsidRDefault="00182DBF" w:rsidP="00182DBF">
      <w:pPr>
        <w:rPr>
          <w:lang w:val="en-US"/>
        </w:rPr>
      </w:pPr>
      <w:r w:rsidRPr="00182DBF">
        <w:rPr>
          <w:lang w:val="en-US"/>
        </w:rPr>
        <w:t xml:space="preserve">Cohen, W. M., &amp; Levinthal, D. A. (1990). Absorptive capacity: A new perspective on learning and innovation. Administrative Science Quarterly, 35(1), 128–152. </w:t>
      </w:r>
      <w:hyperlink r:id="rId12">
        <w:r w:rsidRPr="00182DBF">
          <w:rPr>
            <w:rStyle w:val="Hyperlink"/>
            <w:lang w:val="en-US"/>
          </w:rPr>
          <w:t>https://doi.org/10.2307/2393553</w:t>
        </w:r>
      </w:hyperlink>
    </w:p>
    <w:p w14:paraId="21C3865A" w14:textId="77777777" w:rsidR="00182DBF" w:rsidRPr="00182DBF" w:rsidRDefault="00182DBF" w:rsidP="00182DBF">
      <w:pPr>
        <w:rPr>
          <w:lang w:val="en-US"/>
        </w:rPr>
      </w:pPr>
      <w:r w:rsidRPr="00182DBF">
        <w:rPr>
          <w:lang w:val="en-US"/>
        </w:rPr>
        <w:t xml:space="preserve">Cooper, R. G. (2008). Perspective: The Stage-Gate idea-to-launch process—Update, what’s new, and NexGen systems. Journal of Product Innovation Management, 25(3), 213–232. </w:t>
      </w:r>
      <w:hyperlink r:id="rId13">
        <w:r w:rsidRPr="00182DBF">
          <w:rPr>
            <w:rStyle w:val="Hyperlink"/>
            <w:lang w:val="en-US"/>
          </w:rPr>
          <w:t>https://doi.org/10.1111/j.1540-5885.2008.00296.x</w:t>
        </w:r>
      </w:hyperlink>
    </w:p>
    <w:p w14:paraId="6505E2E4" w14:textId="77777777" w:rsidR="00182DBF" w:rsidRPr="00182DBF" w:rsidRDefault="00182DBF" w:rsidP="00182DBF">
      <w:pPr>
        <w:rPr>
          <w:lang w:val="en-US"/>
        </w:rPr>
      </w:pPr>
      <w:r w:rsidRPr="00182DBF">
        <w:rPr>
          <w:lang w:val="en-US"/>
        </w:rPr>
        <w:t xml:space="preserve">Cooper, R. G., &amp; Sommer, A. F. (2016). The Agile–Stage-Gate hybrid model: A promising new approach and a new research opportunity. Journal of Product Innovation Management, 33(5), 513–526. </w:t>
      </w:r>
      <w:hyperlink r:id="rId14">
        <w:r w:rsidRPr="00182DBF">
          <w:rPr>
            <w:rStyle w:val="Hyperlink"/>
            <w:lang w:val="en-US"/>
          </w:rPr>
          <w:t>https://doi.org/10.1111/jpim.12314</w:t>
        </w:r>
      </w:hyperlink>
    </w:p>
    <w:p w14:paraId="2DDE2783" w14:textId="77777777" w:rsidR="00182DBF" w:rsidRPr="00182DBF" w:rsidRDefault="00182DBF" w:rsidP="00182DBF">
      <w:pPr>
        <w:rPr>
          <w:lang w:val="en-US"/>
        </w:rPr>
      </w:pPr>
      <w:r w:rsidRPr="00182DBF">
        <w:rPr>
          <w:lang w:val="en-US"/>
        </w:rPr>
        <w:t xml:space="preserve">Deci, E. L., Olafsen, A. H., &amp; Ryan, R. M. (2017). Self-determination theory in work organizations: The state of </w:t>
      </w:r>
      <w:proofErr w:type="gramStart"/>
      <w:r w:rsidRPr="00182DBF">
        <w:rPr>
          <w:lang w:val="en-US"/>
        </w:rPr>
        <w:t>a science</w:t>
      </w:r>
      <w:proofErr w:type="gramEnd"/>
      <w:r w:rsidRPr="00182DBF">
        <w:rPr>
          <w:lang w:val="en-US"/>
        </w:rPr>
        <w:t xml:space="preserve">. Annual Review of Organizational Psychology and Organizational Behavior, 4, 19–43. </w:t>
      </w:r>
      <w:hyperlink r:id="rId15">
        <w:r w:rsidRPr="00182DBF">
          <w:rPr>
            <w:rStyle w:val="Hyperlink"/>
            <w:lang w:val="en-US"/>
          </w:rPr>
          <w:t>https://doi.org/10.1146/annurev-orgpsych-032516-113108</w:t>
        </w:r>
      </w:hyperlink>
    </w:p>
    <w:p w14:paraId="3E9E8888" w14:textId="77777777" w:rsidR="00182DBF" w:rsidRPr="00182DBF" w:rsidRDefault="00182DBF" w:rsidP="00182DBF">
      <w:pPr>
        <w:rPr>
          <w:lang w:val="en-US"/>
        </w:rPr>
      </w:pPr>
      <w:r w:rsidRPr="00182DBF">
        <w:rPr>
          <w:lang w:val="en-US"/>
        </w:rPr>
        <w:t xml:space="preserve">Deloitte Digital. (n.d.). Ten types of </w:t>
      </w:r>
      <w:proofErr w:type="gramStart"/>
      <w:r w:rsidRPr="00182DBF">
        <w:rPr>
          <w:lang w:val="en-US"/>
        </w:rPr>
        <w:t>innovation</w:t>
      </w:r>
      <w:proofErr w:type="gramEnd"/>
      <w:r w:rsidRPr="00182DBF">
        <w:rPr>
          <w:lang w:val="en-US"/>
        </w:rPr>
        <w:t xml:space="preserve">. </w:t>
      </w:r>
      <w:hyperlink r:id="rId16">
        <w:r w:rsidRPr="00182DBF">
          <w:rPr>
            <w:rStyle w:val="Hyperlink"/>
            <w:lang w:val="en-US"/>
          </w:rPr>
          <w:t>https://www.deloittedigital.com/us/en/accelerators/ten-types.html</w:t>
        </w:r>
      </w:hyperlink>
    </w:p>
    <w:p w14:paraId="62E8AF3B" w14:textId="77777777" w:rsidR="00182DBF" w:rsidRPr="00182DBF" w:rsidRDefault="00182DBF" w:rsidP="00182DBF">
      <w:pPr>
        <w:rPr>
          <w:lang w:val="en-US"/>
        </w:rPr>
      </w:pPr>
      <w:r w:rsidRPr="00182DBF">
        <w:rPr>
          <w:lang w:val="en-US"/>
        </w:rPr>
        <w:t xml:space="preserve">Deloitte Digital. (2025, October 8). Rethinking innovation for a new era. </w:t>
      </w:r>
      <w:hyperlink r:id="rId17">
        <w:r w:rsidRPr="00182DBF">
          <w:rPr>
            <w:rStyle w:val="Hyperlink"/>
            <w:lang w:val="en-US"/>
          </w:rPr>
          <w:t>https://www.deloittedigital.com/us/en/insights/perspective/digital-innovation-strategy-four-models.html</w:t>
        </w:r>
      </w:hyperlink>
    </w:p>
    <w:p w14:paraId="139764DF" w14:textId="77777777" w:rsidR="00182DBF" w:rsidRPr="00182DBF" w:rsidRDefault="00182DBF" w:rsidP="00182DBF">
      <w:pPr>
        <w:rPr>
          <w:lang w:val="en-US"/>
        </w:rPr>
      </w:pPr>
      <w:r w:rsidRPr="00182DBF">
        <w:rPr>
          <w:lang w:val="en-US"/>
        </w:rPr>
        <w:t xml:space="preserve">Department for Science, Innovation and Technology. (2024, November 14). The model for responsible innovation. GOV.UK. </w:t>
      </w:r>
      <w:hyperlink r:id="rId18">
        <w:r w:rsidRPr="00182DBF">
          <w:rPr>
            <w:rStyle w:val="Hyperlink"/>
            <w:lang w:val="en-US"/>
          </w:rPr>
          <w:t>https://www.gov.uk/government/publications/the-model-for-responsible-innovation/the-model-for-responsible-innovation</w:t>
        </w:r>
      </w:hyperlink>
    </w:p>
    <w:p w14:paraId="32056AD9" w14:textId="77777777" w:rsidR="00182DBF" w:rsidRPr="00182DBF" w:rsidRDefault="00182DBF" w:rsidP="00182DBF">
      <w:pPr>
        <w:rPr>
          <w:lang w:val="en-US"/>
        </w:rPr>
      </w:pPr>
      <w:r w:rsidRPr="00182DBF">
        <w:rPr>
          <w:lang w:val="en-US"/>
        </w:rPr>
        <w:t xml:space="preserve">Edmondson, A. (1999). Psychological safety and learning behavior in work teams. Administrative Science Quarterly, 44(2), 350–383. </w:t>
      </w:r>
      <w:hyperlink r:id="rId19">
        <w:r w:rsidRPr="00182DBF">
          <w:rPr>
            <w:rStyle w:val="Hyperlink"/>
            <w:lang w:val="en-US"/>
          </w:rPr>
          <w:t>https://doi.org/10.2307/2666999</w:t>
        </w:r>
      </w:hyperlink>
    </w:p>
    <w:p w14:paraId="14E0C447" w14:textId="77777777" w:rsidR="00182DBF" w:rsidRPr="00182DBF" w:rsidRDefault="00182DBF" w:rsidP="00182DBF">
      <w:pPr>
        <w:rPr>
          <w:lang w:val="en-US"/>
        </w:rPr>
      </w:pPr>
      <w:r w:rsidRPr="00182DBF">
        <w:rPr>
          <w:lang w:val="en-US"/>
        </w:rPr>
        <w:lastRenderedPageBreak/>
        <w:t xml:space="preserve">Huang, S., Ting, C.-W., &amp; Li, M.-W. (2022). The role of leadership in collective creativity and innovation: Examining academic research and development environments. Frontiers in Psychology, 13, Article 1060412. </w:t>
      </w:r>
      <w:hyperlink r:id="rId20">
        <w:r w:rsidRPr="00182DBF">
          <w:rPr>
            <w:rStyle w:val="Hyperlink"/>
            <w:lang w:val="en-US"/>
          </w:rPr>
          <w:t>https://doi.org/10.3389/fpsyg.2022.1060412</w:t>
        </w:r>
      </w:hyperlink>
    </w:p>
    <w:p w14:paraId="0DD6892D" w14:textId="77777777" w:rsidR="00182DBF" w:rsidRPr="00182DBF" w:rsidRDefault="00182DBF" w:rsidP="00182DBF">
      <w:pPr>
        <w:rPr>
          <w:lang w:val="en-US"/>
        </w:rPr>
      </w:pPr>
      <w:r w:rsidRPr="00182DBF">
        <w:rPr>
          <w:lang w:val="en-US"/>
        </w:rPr>
        <w:t xml:space="preserve">Hughes, D. J., Lee, A., Tian, A. W., Newman, A., &amp; </w:t>
      </w:r>
      <w:proofErr w:type="spellStart"/>
      <w:r w:rsidRPr="00182DBF">
        <w:rPr>
          <w:lang w:val="en-US"/>
        </w:rPr>
        <w:t>Legood</w:t>
      </w:r>
      <w:proofErr w:type="spellEnd"/>
      <w:r w:rsidRPr="00182DBF">
        <w:rPr>
          <w:lang w:val="en-US"/>
        </w:rPr>
        <w:t xml:space="preserve">, A. (2018). Leadership, creativity, and innovation: A critical review and practical recommendations. The Leadership Quarterly, 29(5), 549–569. </w:t>
      </w:r>
      <w:hyperlink r:id="rId21">
        <w:r w:rsidRPr="00182DBF">
          <w:rPr>
            <w:rStyle w:val="Hyperlink"/>
            <w:lang w:val="en-US"/>
          </w:rPr>
          <w:t>https://doi.org/10.1016/j.leaqua.2018.03.001</w:t>
        </w:r>
      </w:hyperlink>
    </w:p>
    <w:p w14:paraId="7A592B5B" w14:textId="77777777" w:rsidR="00182DBF" w:rsidRPr="00182DBF" w:rsidRDefault="00182DBF" w:rsidP="00182DBF">
      <w:pPr>
        <w:rPr>
          <w:lang w:val="en-US"/>
        </w:rPr>
      </w:pPr>
      <w:r w:rsidRPr="00182DBF">
        <w:rPr>
          <w:lang w:val="en-US"/>
        </w:rPr>
        <w:t xml:space="preserve">Kessel, M., Kratzer, J., &amp; Schultz, C. (2012). Psychological safety, knowledge sharing, and creative performance in healthcare teams. Creativity and Innovation Management, 21(2), 147–157. </w:t>
      </w:r>
      <w:hyperlink r:id="rId22">
        <w:r w:rsidRPr="00182DBF">
          <w:rPr>
            <w:rStyle w:val="Hyperlink"/>
            <w:lang w:val="en-US"/>
          </w:rPr>
          <w:t>https://doi.org/10.1111/j.1467-8691.2012.00635.x</w:t>
        </w:r>
      </w:hyperlink>
    </w:p>
    <w:p w14:paraId="49E1421C" w14:textId="77777777" w:rsidR="00182DBF" w:rsidRPr="00182DBF" w:rsidRDefault="00182DBF" w:rsidP="00182DBF">
      <w:pPr>
        <w:rPr>
          <w:lang w:val="en-US"/>
        </w:rPr>
      </w:pPr>
      <w:r w:rsidRPr="00182DBF">
        <w:rPr>
          <w:lang w:val="en-US"/>
        </w:rPr>
        <w:t xml:space="preserve">Lee, A., </w:t>
      </w:r>
      <w:proofErr w:type="spellStart"/>
      <w:r w:rsidRPr="00182DBF">
        <w:rPr>
          <w:lang w:val="en-US"/>
        </w:rPr>
        <w:t>Legood</w:t>
      </w:r>
      <w:proofErr w:type="spellEnd"/>
      <w:r w:rsidRPr="00182DBF">
        <w:rPr>
          <w:lang w:val="en-US"/>
        </w:rPr>
        <w:t xml:space="preserve">, A., Hughes, D., Tian, A. W., Newman, A., &amp; Knight, C. (2020). Leadership, creativity and innovation: A meta-analytic review. European Journal of Work and Organizational Psychology, 29(1), 1–35. </w:t>
      </w:r>
      <w:hyperlink r:id="rId23">
        <w:r w:rsidRPr="00182DBF">
          <w:rPr>
            <w:rStyle w:val="Hyperlink"/>
            <w:lang w:val="en-US"/>
          </w:rPr>
          <w:t>https://doi.org/10.1080/1359432X.2019.1661837</w:t>
        </w:r>
      </w:hyperlink>
    </w:p>
    <w:p w14:paraId="61B21658" w14:textId="77777777" w:rsidR="00182DBF" w:rsidRPr="00182DBF" w:rsidRDefault="00182DBF" w:rsidP="00182DBF">
      <w:pPr>
        <w:rPr>
          <w:lang w:val="en-US"/>
        </w:rPr>
      </w:pPr>
      <w:r w:rsidRPr="00182DBF">
        <w:rPr>
          <w:lang w:val="en-US"/>
        </w:rPr>
        <w:t xml:space="preserve">March, J. G. (1991). Exploration and exploitation in organizational learning. Organization Science, 2(1), 71–87. </w:t>
      </w:r>
      <w:hyperlink r:id="rId24">
        <w:r w:rsidRPr="00182DBF">
          <w:rPr>
            <w:rStyle w:val="Hyperlink"/>
            <w:lang w:val="en-US"/>
          </w:rPr>
          <w:t>https://doi.org/10.1287/orsc.2.1.71</w:t>
        </w:r>
      </w:hyperlink>
    </w:p>
    <w:p w14:paraId="08101693" w14:textId="77777777" w:rsidR="00182DBF" w:rsidRPr="00182DBF" w:rsidRDefault="00182DBF" w:rsidP="00182DBF">
      <w:pPr>
        <w:rPr>
          <w:lang w:val="en-US"/>
        </w:rPr>
      </w:pPr>
      <w:r w:rsidRPr="00182DBF">
        <w:rPr>
          <w:lang w:val="en-US"/>
        </w:rPr>
        <w:t xml:space="preserve">OECD/Eurostat. (2018). Oslo manual 2018: Guidelines for collecting, reporting and using data on innovation (4th ed.). OECD Publishing. </w:t>
      </w:r>
      <w:hyperlink r:id="rId25">
        <w:r w:rsidRPr="00182DBF">
          <w:rPr>
            <w:rStyle w:val="Hyperlink"/>
            <w:lang w:val="en-US"/>
          </w:rPr>
          <w:t>https://doi.org/10.1787/9789264304604-en</w:t>
        </w:r>
      </w:hyperlink>
    </w:p>
    <w:p w14:paraId="6C3EA864" w14:textId="77777777" w:rsidR="00182DBF" w:rsidRPr="00182DBF" w:rsidRDefault="00182DBF" w:rsidP="00182DBF">
      <w:pPr>
        <w:rPr>
          <w:lang w:val="en-US"/>
        </w:rPr>
      </w:pPr>
      <w:r w:rsidRPr="00182DBF">
        <w:rPr>
          <w:lang w:val="en-US"/>
        </w:rPr>
        <w:t xml:space="preserve">O’Reilly, C. A., III, &amp; Tushman, M. L. (2013). Organizational ambidexterity: Past, present, and future. Academy of Management Perspectives, 27(4), 324–338. </w:t>
      </w:r>
      <w:hyperlink r:id="rId26">
        <w:r w:rsidRPr="00182DBF">
          <w:rPr>
            <w:rStyle w:val="Hyperlink"/>
            <w:lang w:val="en-US"/>
          </w:rPr>
          <w:t>https://doi.org/10.5465/amp.2013.0025</w:t>
        </w:r>
      </w:hyperlink>
    </w:p>
    <w:p w14:paraId="3ACEFDDD" w14:textId="77777777" w:rsidR="00182DBF" w:rsidRPr="00182DBF" w:rsidRDefault="00182DBF" w:rsidP="00182DBF">
      <w:pPr>
        <w:rPr>
          <w:lang w:val="en-US"/>
        </w:rPr>
      </w:pPr>
      <w:r w:rsidRPr="00182DBF">
        <w:rPr>
          <w:lang w:val="en-US"/>
        </w:rPr>
        <w:t xml:space="preserve">Roy, R. (1993). Case studies of creativity in innovative product development. Design Studies, 14(4), 423–443. </w:t>
      </w:r>
      <w:hyperlink r:id="rId27">
        <w:r w:rsidRPr="00182DBF">
          <w:rPr>
            <w:rStyle w:val="Hyperlink"/>
            <w:lang w:val="en-US"/>
          </w:rPr>
          <w:t>https://doi.org/10.1016/0142-694X(93)80016-6</w:t>
        </w:r>
      </w:hyperlink>
    </w:p>
    <w:p w14:paraId="31EDD2BD" w14:textId="77777777" w:rsidR="00182DBF" w:rsidRPr="00182DBF" w:rsidRDefault="00182DBF" w:rsidP="00182DBF">
      <w:pPr>
        <w:rPr>
          <w:lang w:val="en-US"/>
        </w:rPr>
      </w:pPr>
      <w:r w:rsidRPr="00182DBF">
        <w:rPr>
          <w:lang w:val="en-US"/>
        </w:rPr>
        <w:t xml:space="preserve">Runco, M. A., &amp; Jaeger, G. J. (2012). The standard definition of creativity. Creativity Research Journal, 24(1), 92–96. </w:t>
      </w:r>
      <w:hyperlink r:id="rId28">
        <w:r w:rsidRPr="00182DBF">
          <w:rPr>
            <w:rStyle w:val="Hyperlink"/>
            <w:lang w:val="en-US"/>
          </w:rPr>
          <w:t>https://doi.org/10.1080/10400419.2012.650092</w:t>
        </w:r>
      </w:hyperlink>
    </w:p>
    <w:p w14:paraId="0BBA7322" w14:textId="77777777" w:rsidR="00182DBF" w:rsidRPr="00182DBF" w:rsidRDefault="00182DBF" w:rsidP="00182DBF">
      <w:pPr>
        <w:rPr>
          <w:lang w:val="en-US"/>
        </w:rPr>
      </w:pPr>
      <w:r w:rsidRPr="00182DBF">
        <w:rPr>
          <w:lang w:val="en-US"/>
        </w:rPr>
        <w:t xml:space="preserve">Sacramento, C. A., Fay, D., &amp; West, M. A. (2024). Team openness to experience and team creativity: The role of psychological safety. Journal of Product Innovation Management. </w:t>
      </w:r>
      <w:hyperlink r:id="rId29">
        <w:r w:rsidRPr="00182DBF">
          <w:rPr>
            <w:rStyle w:val="Hyperlink"/>
            <w:lang w:val="en-US"/>
          </w:rPr>
          <w:t>https://doi.org/10.1111/jpim.12699</w:t>
        </w:r>
      </w:hyperlink>
    </w:p>
    <w:p w14:paraId="0ADF83FF" w14:textId="77777777" w:rsidR="00182DBF" w:rsidRPr="00182DBF" w:rsidRDefault="00182DBF" w:rsidP="00182DBF">
      <w:pPr>
        <w:rPr>
          <w:lang w:val="en-US"/>
        </w:rPr>
      </w:pPr>
      <w:r w:rsidRPr="00182DBF">
        <w:rPr>
          <w:lang w:val="en-US"/>
        </w:rPr>
        <w:t xml:space="preserve">Singh, S., &amp; Aggarwal, Y. (2022). In search of a consensus definition of innovation: A qualitative synthesis of 208 definitions using grounded theory approach. Innovation: The European Journal of Social Science Research, 35(2), 177–195. </w:t>
      </w:r>
      <w:hyperlink r:id="rId30">
        <w:r w:rsidRPr="00182DBF">
          <w:rPr>
            <w:rStyle w:val="Hyperlink"/>
            <w:lang w:val="en-US"/>
          </w:rPr>
          <w:t>https://doi.org/10.1080/13511610.2021.1925526</w:t>
        </w:r>
      </w:hyperlink>
    </w:p>
    <w:p w14:paraId="3BD77A4B" w14:textId="77777777" w:rsidR="00182DBF" w:rsidRPr="00182DBF" w:rsidRDefault="00182DBF" w:rsidP="00182DBF">
      <w:pPr>
        <w:rPr>
          <w:lang w:val="en-US"/>
        </w:rPr>
      </w:pPr>
      <w:r w:rsidRPr="00182DBF">
        <w:rPr>
          <w:lang w:val="en-US"/>
        </w:rPr>
        <w:t xml:space="preserve">Teece, D. J., Pisano, G., &amp; Shuen, A. (1997). Dynamic capabilities and strategic management. Strategic Management Journal, 18(7), 509–533. </w:t>
      </w:r>
      <w:hyperlink r:id="rId31">
        <w:r w:rsidRPr="00182DBF">
          <w:rPr>
            <w:rStyle w:val="Hyperlink"/>
            <w:lang w:val="en-US"/>
          </w:rPr>
          <w:t>https://doi.org/10.1002/(SICI)1097-0266(199708)18:7&lt;509::AID-SMJ882&gt;3.0.CO;2-Z</w:t>
        </w:r>
      </w:hyperlink>
    </w:p>
    <w:p w14:paraId="547B72FA" w14:textId="77777777" w:rsidR="00182DBF" w:rsidRPr="00182DBF" w:rsidRDefault="00182DBF" w:rsidP="00182DBF">
      <w:pPr>
        <w:rPr>
          <w:lang w:val="en-US"/>
        </w:rPr>
      </w:pPr>
      <w:r w:rsidRPr="00182DBF">
        <w:rPr>
          <w:lang w:val="en-US"/>
        </w:rPr>
        <w:t xml:space="preserve">Tidd, J. (2006). A review of innovation models (Discussion Paper No. 1). Imperial College London. </w:t>
      </w:r>
      <w:hyperlink r:id="rId32">
        <w:r w:rsidRPr="00182DBF">
          <w:rPr>
            <w:rStyle w:val="Hyperlink"/>
            <w:lang w:val="en-US"/>
          </w:rPr>
          <w:t>https://doi.org/10.13140/RG.2.2.30295.57762</w:t>
        </w:r>
      </w:hyperlink>
    </w:p>
    <w:p w14:paraId="1EF6B198" w14:textId="77777777" w:rsidR="00182DBF" w:rsidRPr="00182DBF" w:rsidRDefault="00182DBF" w:rsidP="00182DBF">
      <w:pPr>
        <w:rPr>
          <w:lang w:val="en-US"/>
        </w:rPr>
      </w:pPr>
      <w:r w:rsidRPr="00182DBF">
        <w:rPr>
          <w:lang w:val="en-US"/>
        </w:rPr>
        <w:t xml:space="preserve">van Knippenberg, D. (2017). Team innovation. Annual Review of Organizational Psychology and Organizational Behavior, 4, 211–233. </w:t>
      </w:r>
      <w:hyperlink r:id="rId33">
        <w:r w:rsidRPr="00182DBF">
          <w:rPr>
            <w:rStyle w:val="Hyperlink"/>
            <w:lang w:val="en-US"/>
          </w:rPr>
          <w:t>https://doi.org/10.1146/annurev-orgpsych-032516-113240</w:t>
        </w:r>
      </w:hyperlink>
    </w:p>
    <w:p w14:paraId="7907E6B6" w14:textId="77777777" w:rsidR="00182DBF" w:rsidRPr="00182DBF" w:rsidRDefault="00182DBF" w:rsidP="00182DBF">
      <w:pPr>
        <w:rPr>
          <w:lang w:val="en-US"/>
        </w:rPr>
      </w:pPr>
      <w:r w:rsidRPr="00182DBF">
        <w:rPr>
          <w:lang w:val="en-US"/>
        </w:rPr>
        <w:lastRenderedPageBreak/>
        <w:t xml:space="preserve">Wang, J., Cheng, G. H.-L., Chen, T., &amp; Leung, K. (2019). Team creativity/innovation in culturally diverse teams: A meta-analysis. Journal of Organizational Behavior, 40(6), 693–708. </w:t>
      </w:r>
      <w:hyperlink r:id="rId34">
        <w:r w:rsidRPr="00182DBF">
          <w:rPr>
            <w:rStyle w:val="Hyperlink"/>
            <w:lang w:val="en-US"/>
          </w:rPr>
          <w:t>https://doi.org/10.1002/job.2362</w:t>
        </w:r>
      </w:hyperlink>
    </w:p>
    <w:p w14:paraId="3F2AD3CC" w14:textId="77777777" w:rsidR="00182DBF" w:rsidRPr="00182DBF" w:rsidRDefault="00182DBF" w:rsidP="00182DBF">
      <w:pPr>
        <w:rPr>
          <w:lang w:val="en-US"/>
        </w:rPr>
      </w:pPr>
      <w:r w:rsidRPr="00182DBF">
        <w:rPr>
          <w:lang w:val="en-US"/>
        </w:rPr>
        <w:t xml:space="preserve">West, J., &amp; Bogers, M. (2014). Leveraging external sources of innovation: A review of research on open innovation. Journal of Product Innovation Management, 31(4), 814–831. </w:t>
      </w:r>
      <w:hyperlink r:id="rId35">
        <w:r w:rsidRPr="00182DBF">
          <w:rPr>
            <w:rStyle w:val="Hyperlink"/>
            <w:lang w:val="en-US"/>
          </w:rPr>
          <w:t>https://doi.org/10.1111/jpim.12125</w:t>
        </w:r>
      </w:hyperlink>
    </w:p>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26DD2177" w14:textId="5DF82645" w:rsidR="00583709" w:rsidRDefault="008312FD" w:rsidP="00F867C0">
      <w:pPr>
        <w:pStyle w:val="Heading1"/>
      </w:pPr>
      <w:bookmarkStart w:id="20" w:name="_Toc238991359"/>
      <w:r>
        <w:lastRenderedPageBreak/>
        <w:t xml:space="preserve">Appendix A </w:t>
      </w:r>
      <w:r w:rsidR="005831A9">
        <w:t>–</w:t>
      </w:r>
      <w:r w:rsidR="00BC6C84">
        <w:t xml:space="preserve"> </w:t>
      </w:r>
      <w:r w:rsidR="00BC6C84" w:rsidRPr="00BC6C84">
        <w:t>Proposed innovation pathway based on risk</w:t>
      </w:r>
      <w:bookmarkEnd w:id="20"/>
    </w:p>
    <w:p w14:paraId="3E5A0582" w14:textId="1E921D00" w:rsidR="00BC6C84" w:rsidRDefault="00BC6C84">
      <w:r>
        <w:br w:type="page"/>
      </w:r>
    </w:p>
    <w:tbl>
      <w:tblPr>
        <w:tblStyle w:val="GridTable3-Accent4"/>
        <w:tblW w:w="5000" w:type="pct"/>
        <w:tblLook w:val="04A0" w:firstRow="1" w:lastRow="0" w:firstColumn="1" w:lastColumn="0" w:noHBand="0" w:noVBand="1"/>
      </w:tblPr>
      <w:tblGrid>
        <w:gridCol w:w="960"/>
        <w:gridCol w:w="1816"/>
        <w:gridCol w:w="1791"/>
        <w:gridCol w:w="1659"/>
        <w:gridCol w:w="1747"/>
        <w:gridCol w:w="1387"/>
      </w:tblGrid>
      <w:tr w:rsidR="00837AB7" w:rsidRPr="00837AB7" w14:paraId="7A47C932" w14:textId="77777777" w:rsidTr="00837AB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22" w:type="pct"/>
            <w:hideMark/>
          </w:tcPr>
          <w:p w14:paraId="5DAE8A14" w14:textId="77777777" w:rsidR="00837AB7" w:rsidRPr="00837AB7" w:rsidRDefault="00837AB7" w:rsidP="00837AB7">
            <w:pPr>
              <w:spacing w:after="160" w:line="259" w:lineRule="auto"/>
              <w:jc w:val="left"/>
            </w:pPr>
            <w:r w:rsidRPr="00837AB7">
              <w:lastRenderedPageBreak/>
              <w:t>Risk level</w:t>
            </w:r>
          </w:p>
        </w:tc>
        <w:tc>
          <w:tcPr>
            <w:tcW w:w="964" w:type="pct"/>
            <w:hideMark/>
          </w:tcPr>
          <w:p w14:paraId="0BF40A2B" w14:textId="77777777" w:rsidR="00837AB7" w:rsidRPr="00837AB7" w:rsidRDefault="00837AB7" w:rsidP="00837AB7">
            <w:pPr>
              <w:spacing w:after="160" w:line="259" w:lineRule="auto"/>
              <w:cnfStyle w:val="100000000000" w:firstRow="1" w:lastRow="0" w:firstColumn="0" w:lastColumn="0" w:oddVBand="0" w:evenVBand="0" w:oddHBand="0" w:evenHBand="0" w:firstRowFirstColumn="0" w:firstRowLastColumn="0" w:lastRowFirstColumn="0" w:lastRowLastColumn="0"/>
            </w:pPr>
            <w:r w:rsidRPr="00837AB7">
              <w:t>Example of an improvement</w:t>
            </w:r>
          </w:p>
        </w:tc>
        <w:tc>
          <w:tcPr>
            <w:tcW w:w="951" w:type="pct"/>
            <w:hideMark/>
          </w:tcPr>
          <w:p w14:paraId="2C36D27D" w14:textId="77777777" w:rsidR="00837AB7" w:rsidRPr="00837AB7" w:rsidRDefault="00837AB7" w:rsidP="00837AB7">
            <w:pPr>
              <w:spacing w:after="160" w:line="259" w:lineRule="auto"/>
              <w:cnfStyle w:val="100000000000" w:firstRow="1" w:lastRow="0" w:firstColumn="0" w:lastColumn="0" w:oddVBand="0" w:evenVBand="0" w:oddHBand="0" w:evenHBand="0" w:firstRowFirstColumn="0" w:firstRowLastColumn="0" w:lastRowFirstColumn="0" w:lastRowLastColumn="0"/>
            </w:pPr>
            <w:r w:rsidRPr="00837AB7">
              <w:t>Evidence required</w:t>
            </w:r>
          </w:p>
        </w:tc>
        <w:tc>
          <w:tcPr>
            <w:tcW w:w="882" w:type="pct"/>
            <w:hideMark/>
          </w:tcPr>
          <w:p w14:paraId="4E35C819" w14:textId="77777777" w:rsidR="00837AB7" w:rsidRPr="00837AB7" w:rsidRDefault="00837AB7" w:rsidP="00837AB7">
            <w:pPr>
              <w:spacing w:after="160" w:line="259" w:lineRule="auto"/>
              <w:cnfStyle w:val="100000000000" w:firstRow="1" w:lastRow="0" w:firstColumn="0" w:lastColumn="0" w:oddVBand="0" w:evenVBand="0" w:oddHBand="0" w:evenHBand="0" w:firstRowFirstColumn="0" w:firstRowLastColumn="0" w:lastRowFirstColumn="0" w:lastRowLastColumn="0"/>
            </w:pPr>
            <w:r w:rsidRPr="00837AB7">
              <w:t>Approval route</w:t>
            </w:r>
          </w:p>
        </w:tc>
        <w:tc>
          <w:tcPr>
            <w:tcW w:w="928" w:type="pct"/>
            <w:hideMark/>
          </w:tcPr>
          <w:p w14:paraId="004A33E3" w14:textId="77777777" w:rsidR="00837AB7" w:rsidRPr="00837AB7" w:rsidRDefault="00837AB7" w:rsidP="00837AB7">
            <w:pPr>
              <w:spacing w:after="160" w:line="259" w:lineRule="auto"/>
              <w:cnfStyle w:val="100000000000" w:firstRow="1" w:lastRow="0" w:firstColumn="0" w:lastColumn="0" w:oddVBand="0" w:evenVBand="0" w:oddHBand="0" w:evenHBand="0" w:firstRowFirstColumn="0" w:firstRowLastColumn="0" w:lastRowFirstColumn="0" w:lastRowLastColumn="0"/>
            </w:pPr>
            <w:r w:rsidRPr="00837AB7">
              <w:t>Testing approach</w:t>
            </w:r>
          </w:p>
        </w:tc>
        <w:tc>
          <w:tcPr>
            <w:tcW w:w="740" w:type="pct"/>
            <w:hideMark/>
          </w:tcPr>
          <w:p w14:paraId="39B545E9" w14:textId="77777777" w:rsidR="00837AB7" w:rsidRPr="00837AB7" w:rsidRDefault="00837AB7" w:rsidP="00837AB7">
            <w:pPr>
              <w:spacing w:after="160" w:line="259" w:lineRule="auto"/>
              <w:cnfStyle w:val="100000000000" w:firstRow="1" w:lastRow="0" w:firstColumn="0" w:lastColumn="0" w:oddVBand="0" w:evenVBand="0" w:oddHBand="0" w:evenHBand="0" w:firstRowFirstColumn="0" w:firstRowLastColumn="0" w:lastRowFirstColumn="0" w:lastRowLastColumn="0"/>
            </w:pPr>
            <w:r w:rsidRPr="00837AB7">
              <w:t>Measures of success</w:t>
            </w:r>
          </w:p>
        </w:tc>
      </w:tr>
      <w:tr w:rsidR="00837AB7" w:rsidRPr="00837AB7" w14:paraId="77A07F6F" w14:textId="77777777" w:rsidTr="00837A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 w:type="pct"/>
            <w:hideMark/>
          </w:tcPr>
          <w:p w14:paraId="2EFE6B51" w14:textId="77777777" w:rsidR="00837AB7" w:rsidRPr="00837AB7" w:rsidRDefault="00837AB7" w:rsidP="00837AB7">
            <w:pPr>
              <w:spacing w:after="160" w:line="259" w:lineRule="auto"/>
            </w:pPr>
            <w:r w:rsidRPr="00837AB7">
              <w:t>Low</w:t>
            </w:r>
          </w:p>
        </w:tc>
        <w:tc>
          <w:tcPr>
            <w:tcW w:w="964" w:type="pct"/>
            <w:hideMark/>
          </w:tcPr>
          <w:p w14:paraId="7167C87B"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Improving how routine requests, responsibilities or outstanding tasks are organised within an engagement</w:t>
            </w:r>
          </w:p>
        </w:tc>
        <w:tc>
          <w:tcPr>
            <w:tcW w:w="951" w:type="pct"/>
            <w:hideMark/>
          </w:tcPr>
          <w:p w14:paraId="35831085"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Brief explanation of the problem, expected benefit and confirmation that the change can be reversed</w:t>
            </w:r>
          </w:p>
        </w:tc>
        <w:tc>
          <w:tcPr>
            <w:tcW w:w="882" w:type="pct"/>
            <w:hideMark/>
          </w:tcPr>
          <w:p w14:paraId="001D7F49"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Engagement manager</w:t>
            </w:r>
          </w:p>
        </w:tc>
        <w:tc>
          <w:tcPr>
            <w:tcW w:w="928" w:type="pct"/>
            <w:hideMark/>
          </w:tcPr>
          <w:p w14:paraId="06A8B325"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Short trial within one engagement</w:t>
            </w:r>
          </w:p>
        </w:tc>
        <w:tc>
          <w:tcPr>
            <w:tcW w:w="740" w:type="pct"/>
            <w:hideMark/>
          </w:tcPr>
          <w:p w14:paraId="10ED3896"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Employee time saved, fewer missed actions and positive team feedback</w:t>
            </w:r>
          </w:p>
        </w:tc>
      </w:tr>
      <w:tr w:rsidR="00837AB7" w:rsidRPr="00837AB7" w14:paraId="69FED00B" w14:textId="77777777" w:rsidTr="00837AB7">
        <w:tc>
          <w:tcPr>
            <w:cnfStyle w:val="001000000000" w:firstRow="0" w:lastRow="0" w:firstColumn="1" w:lastColumn="0" w:oddVBand="0" w:evenVBand="0" w:oddHBand="0" w:evenHBand="0" w:firstRowFirstColumn="0" w:firstRowLastColumn="0" w:lastRowFirstColumn="0" w:lastRowLastColumn="0"/>
            <w:tcW w:w="422" w:type="pct"/>
            <w:hideMark/>
          </w:tcPr>
          <w:p w14:paraId="6345AE09" w14:textId="77777777" w:rsidR="00837AB7" w:rsidRPr="00837AB7" w:rsidRDefault="00837AB7" w:rsidP="00837AB7">
            <w:pPr>
              <w:spacing w:after="160" w:line="259" w:lineRule="auto"/>
            </w:pPr>
            <w:r w:rsidRPr="00837AB7">
              <w:t>Medium</w:t>
            </w:r>
          </w:p>
        </w:tc>
        <w:tc>
          <w:tcPr>
            <w:tcW w:w="964" w:type="pct"/>
            <w:hideMark/>
          </w:tcPr>
          <w:p w14:paraId="0332764D" w14:textId="77777777" w:rsidR="00837AB7" w:rsidRPr="00837AB7" w:rsidRDefault="00837AB7" w:rsidP="00837AB7">
            <w:pPr>
              <w:spacing w:after="160" w:line="259" w:lineRule="auto"/>
              <w:cnfStyle w:val="000000000000" w:firstRow="0" w:lastRow="0" w:firstColumn="0" w:lastColumn="0" w:oddVBand="0" w:evenVBand="0" w:oddHBand="0" w:evenHBand="0" w:firstRowFirstColumn="0" w:firstRowLastColumn="0" w:lastRowFirstColumn="0" w:lastRowLastColumn="0"/>
            </w:pPr>
            <w:r w:rsidRPr="00837AB7">
              <w:t>Changing a shared workflow used by several employees or changing how clients interact with a routine process</w:t>
            </w:r>
          </w:p>
        </w:tc>
        <w:tc>
          <w:tcPr>
            <w:tcW w:w="951" w:type="pct"/>
            <w:hideMark/>
          </w:tcPr>
          <w:p w14:paraId="41F11215" w14:textId="77777777" w:rsidR="00837AB7" w:rsidRPr="00837AB7" w:rsidRDefault="00837AB7" w:rsidP="00837AB7">
            <w:pPr>
              <w:spacing w:after="160" w:line="259" w:lineRule="auto"/>
              <w:cnfStyle w:val="000000000000" w:firstRow="0" w:lastRow="0" w:firstColumn="0" w:lastColumn="0" w:oddVBand="0" w:evenVBand="0" w:oddHBand="0" w:evenHBand="0" w:firstRowFirstColumn="0" w:firstRowLastColumn="0" w:lastRowFirstColumn="0" w:lastRowLastColumn="0"/>
            </w:pPr>
            <w:r w:rsidRPr="00837AB7">
              <w:t>User observations, expected benefits, possible quality implications and feedback from affected employees or clients</w:t>
            </w:r>
          </w:p>
        </w:tc>
        <w:tc>
          <w:tcPr>
            <w:tcW w:w="882" w:type="pct"/>
            <w:hideMark/>
          </w:tcPr>
          <w:p w14:paraId="584F8C9E" w14:textId="77777777" w:rsidR="00837AB7" w:rsidRPr="00837AB7" w:rsidRDefault="00837AB7" w:rsidP="00837AB7">
            <w:pPr>
              <w:spacing w:after="160" w:line="259" w:lineRule="auto"/>
              <w:cnfStyle w:val="000000000000" w:firstRow="0" w:lastRow="0" w:firstColumn="0" w:lastColumn="0" w:oddVBand="0" w:evenVBand="0" w:oddHBand="0" w:evenHBand="0" w:firstRowFirstColumn="0" w:firstRowLastColumn="0" w:lastRowFirstColumn="0" w:lastRowLastColumn="0"/>
            </w:pPr>
            <w:r w:rsidRPr="00837AB7">
              <w:t>Engagement leader with input from the relevant process or methodology specialist</w:t>
            </w:r>
          </w:p>
        </w:tc>
        <w:tc>
          <w:tcPr>
            <w:tcW w:w="928" w:type="pct"/>
            <w:hideMark/>
          </w:tcPr>
          <w:p w14:paraId="7ED263D5" w14:textId="77777777" w:rsidR="00837AB7" w:rsidRPr="00837AB7" w:rsidRDefault="00837AB7" w:rsidP="00837AB7">
            <w:pPr>
              <w:spacing w:after="160" w:line="259" w:lineRule="auto"/>
              <w:cnfStyle w:val="000000000000" w:firstRow="0" w:lastRow="0" w:firstColumn="0" w:lastColumn="0" w:oddVBand="0" w:evenVBand="0" w:oddHBand="0" w:evenHBand="0" w:firstRowFirstColumn="0" w:firstRowLastColumn="0" w:lastRowFirstColumn="0" w:lastRowLastColumn="0"/>
            </w:pPr>
            <w:r w:rsidRPr="00837AB7">
              <w:t>Controlled pilot involving a limited number of users or engagements</w:t>
            </w:r>
          </w:p>
        </w:tc>
        <w:tc>
          <w:tcPr>
            <w:tcW w:w="740" w:type="pct"/>
            <w:hideMark/>
          </w:tcPr>
          <w:p w14:paraId="684CEBCC" w14:textId="77777777" w:rsidR="00837AB7" w:rsidRPr="00837AB7" w:rsidRDefault="00837AB7" w:rsidP="00837AB7">
            <w:pPr>
              <w:spacing w:after="160" w:line="259" w:lineRule="auto"/>
              <w:cnfStyle w:val="000000000000" w:firstRow="0" w:lastRow="0" w:firstColumn="0" w:lastColumn="0" w:oddVBand="0" w:evenVBand="0" w:oddHBand="0" w:evenHBand="0" w:firstRowFirstColumn="0" w:firstRowLastColumn="0" w:lastRowFirstColumn="0" w:lastRowLastColumn="0"/>
            </w:pPr>
            <w:r w:rsidRPr="00837AB7">
              <w:t>Improved completion time, adoption, client feedback and no reduction in audit quality</w:t>
            </w:r>
          </w:p>
        </w:tc>
      </w:tr>
      <w:tr w:rsidR="00837AB7" w:rsidRPr="00837AB7" w14:paraId="097BD298" w14:textId="77777777" w:rsidTr="00837A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2" w:type="pct"/>
            <w:hideMark/>
          </w:tcPr>
          <w:p w14:paraId="6F801527" w14:textId="77777777" w:rsidR="00837AB7" w:rsidRPr="00837AB7" w:rsidRDefault="00837AB7" w:rsidP="00837AB7">
            <w:pPr>
              <w:spacing w:after="160" w:line="259" w:lineRule="auto"/>
            </w:pPr>
            <w:r w:rsidRPr="00837AB7">
              <w:t>High</w:t>
            </w:r>
          </w:p>
        </w:tc>
        <w:tc>
          <w:tcPr>
            <w:tcW w:w="964" w:type="pct"/>
            <w:hideMark/>
          </w:tcPr>
          <w:p w14:paraId="1FB86D3C"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A change involving confidential information, audit evidence, AI, automated support or audit methodology</w:t>
            </w:r>
          </w:p>
        </w:tc>
        <w:tc>
          <w:tcPr>
            <w:tcW w:w="951" w:type="pct"/>
            <w:hideMark/>
          </w:tcPr>
          <w:p w14:paraId="01435837"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Documented business need, security assessment, quality review, methodology approval and evidence of appropriate human oversight</w:t>
            </w:r>
          </w:p>
        </w:tc>
        <w:tc>
          <w:tcPr>
            <w:tcW w:w="882" w:type="pct"/>
            <w:hideMark/>
          </w:tcPr>
          <w:p w14:paraId="0F9BD90D"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Senior leadership and relevant security, quality, methodology and independence specialists</w:t>
            </w:r>
          </w:p>
        </w:tc>
        <w:tc>
          <w:tcPr>
            <w:tcW w:w="928" w:type="pct"/>
            <w:hideMark/>
          </w:tcPr>
          <w:p w14:paraId="68E27B7F"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Restricted testing in a controlled environment before wider implementation</w:t>
            </w:r>
          </w:p>
        </w:tc>
        <w:tc>
          <w:tcPr>
            <w:tcW w:w="740" w:type="pct"/>
            <w:hideMark/>
          </w:tcPr>
          <w:p w14:paraId="53A8B02F" w14:textId="77777777" w:rsidR="00837AB7" w:rsidRPr="00837AB7" w:rsidRDefault="00837AB7" w:rsidP="00837AB7">
            <w:pPr>
              <w:spacing w:after="160" w:line="259" w:lineRule="auto"/>
              <w:cnfStyle w:val="000000100000" w:firstRow="0" w:lastRow="0" w:firstColumn="0" w:lastColumn="0" w:oddVBand="0" w:evenVBand="0" w:oddHBand="1" w:evenHBand="0" w:firstRowFirstColumn="0" w:firstRowLastColumn="0" w:lastRowFirstColumn="0" w:lastRowLastColumn="0"/>
            </w:pPr>
            <w:r w:rsidRPr="00837AB7">
              <w:t>Accuracy, security, audit quality, control issues, employee adoption and client impact</w:t>
            </w:r>
          </w:p>
        </w:tc>
      </w:tr>
    </w:tbl>
    <w:p w14:paraId="666F5B7E" w14:textId="77777777" w:rsidR="00BC6C84" w:rsidRPr="00BC6C84" w:rsidRDefault="00BC6C84" w:rsidP="00BC6C84"/>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76AFFCE7" w:rsidR="008312FD" w:rsidRDefault="00C81223" w:rsidP="00C81223">
      <w:pPr>
        <w:pStyle w:val="Heading1"/>
      </w:pPr>
      <w:bookmarkStart w:id="21" w:name="_Toc238991360"/>
      <w:r>
        <w:lastRenderedPageBreak/>
        <w:t xml:space="preserve">Appendix B - </w:t>
      </w:r>
      <w:r w:rsidR="00757B14" w:rsidRPr="00757B14">
        <w:t>Proposed framework for evaluating innovation</w:t>
      </w:r>
      <w:bookmarkEnd w:id="21"/>
    </w:p>
    <w:p w14:paraId="2A89E15C" w14:textId="06975434" w:rsidR="00757B14" w:rsidRDefault="00757B14">
      <w:r>
        <w:br w:type="page"/>
      </w:r>
    </w:p>
    <w:tbl>
      <w:tblPr>
        <w:tblStyle w:val="GridTable3-Accent4"/>
        <w:tblW w:w="5000" w:type="pct"/>
        <w:tblLook w:val="04A0" w:firstRow="1" w:lastRow="0" w:firstColumn="1" w:lastColumn="0" w:noHBand="0" w:noVBand="1"/>
      </w:tblPr>
      <w:tblGrid>
        <w:gridCol w:w="1662"/>
        <w:gridCol w:w="2099"/>
        <w:gridCol w:w="1835"/>
        <w:gridCol w:w="1924"/>
        <w:gridCol w:w="1840"/>
      </w:tblGrid>
      <w:tr w:rsidR="00967AFC" w:rsidRPr="00967AFC" w14:paraId="0B692D49" w14:textId="77777777" w:rsidTr="00967AF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88" w:type="pct"/>
            <w:hideMark/>
          </w:tcPr>
          <w:p w14:paraId="223FFF97" w14:textId="77777777" w:rsidR="00967AFC" w:rsidRPr="00967AFC" w:rsidRDefault="00967AFC" w:rsidP="00967AFC">
            <w:pPr>
              <w:spacing w:after="160" w:line="259" w:lineRule="auto"/>
              <w:jc w:val="left"/>
            </w:pPr>
            <w:r w:rsidRPr="00967AFC">
              <w:lastRenderedPageBreak/>
              <w:t>Area evaluated</w:t>
            </w:r>
          </w:p>
        </w:tc>
        <w:tc>
          <w:tcPr>
            <w:tcW w:w="1121" w:type="pct"/>
            <w:hideMark/>
          </w:tcPr>
          <w:p w14:paraId="0C3CFB3B" w14:textId="77777777" w:rsidR="00967AFC" w:rsidRPr="00967AFC" w:rsidRDefault="00967AFC" w:rsidP="00967AFC">
            <w:pPr>
              <w:spacing w:after="160" w:line="259" w:lineRule="auto"/>
              <w:cnfStyle w:val="100000000000" w:firstRow="1" w:lastRow="0" w:firstColumn="0" w:lastColumn="0" w:oddVBand="0" w:evenVBand="0" w:oddHBand="0" w:evenHBand="0" w:firstRowFirstColumn="0" w:firstRowLastColumn="0" w:lastRowFirstColumn="0" w:lastRowLastColumn="0"/>
            </w:pPr>
            <w:r w:rsidRPr="00967AFC">
              <w:t>Suggested measure</w:t>
            </w:r>
          </w:p>
        </w:tc>
        <w:tc>
          <w:tcPr>
            <w:tcW w:w="980" w:type="pct"/>
            <w:hideMark/>
          </w:tcPr>
          <w:p w14:paraId="1A7EC2D4" w14:textId="77777777" w:rsidR="00967AFC" w:rsidRPr="00967AFC" w:rsidRDefault="00967AFC" w:rsidP="00967AFC">
            <w:pPr>
              <w:spacing w:after="160" w:line="259" w:lineRule="auto"/>
              <w:cnfStyle w:val="100000000000" w:firstRow="1" w:lastRow="0" w:firstColumn="0" w:lastColumn="0" w:oddVBand="0" w:evenVBand="0" w:oddHBand="0" w:evenHBand="0" w:firstRowFirstColumn="0" w:firstRowLastColumn="0" w:lastRowFirstColumn="0" w:lastRowLastColumn="0"/>
            </w:pPr>
            <w:r w:rsidRPr="00967AFC">
              <w:t>Evidence source</w:t>
            </w:r>
          </w:p>
        </w:tc>
        <w:tc>
          <w:tcPr>
            <w:tcW w:w="1028" w:type="pct"/>
            <w:hideMark/>
          </w:tcPr>
          <w:p w14:paraId="0C0501EE" w14:textId="77777777" w:rsidR="00967AFC" w:rsidRPr="00967AFC" w:rsidRDefault="00967AFC" w:rsidP="00967AFC">
            <w:pPr>
              <w:spacing w:after="160" w:line="259" w:lineRule="auto"/>
              <w:cnfStyle w:val="100000000000" w:firstRow="1" w:lastRow="0" w:firstColumn="0" w:lastColumn="0" w:oddVBand="0" w:evenVBand="0" w:oddHBand="0" w:evenHBand="0" w:firstRowFirstColumn="0" w:firstRowLastColumn="0" w:lastRowFirstColumn="0" w:lastRowLastColumn="0"/>
            </w:pPr>
            <w:r w:rsidRPr="00967AFC">
              <w:t>Review timing</w:t>
            </w:r>
          </w:p>
        </w:tc>
        <w:tc>
          <w:tcPr>
            <w:tcW w:w="983" w:type="pct"/>
            <w:hideMark/>
          </w:tcPr>
          <w:p w14:paraId="3727C2CE" w14:textId="77777777" w:rsidR="00967AFC" w:rsidRPr="00967AFC" w:rsidRDefault="00967AFC" w:rsidP="00967AFC">
            <w:pPr>
              <w:spacing w:after="160" w:line="259" w:lineRule="auto"/>
              <w:cnfStyle w:val="100000000000" w:firstRow="1" w:lastRow="0" w:firstColumn="0" w:lastColumn="0" w:oddVBand="0" w:evenVBand="0" w:oddHBand="0" w:evenHBand="0" w:firstRowFirstColumn="0" w:firstRowLastColumn="0" w:lastRowFirstColumn="0" w:lastRowLastColumn="0"/>
            </w:pPr>
            <w:r w:rsidRPr="00967AFC">
              <w:t>Responsibility</w:t>
            </w:r>
          </w:p>
        </w:tc>
      </w:tr>
      <w:tr w:rsidR="00967AFC" w:rsidRPr="00967AFC" w14:paraId="54508005" w14:textId="77777777" w:rsidTr="00967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pct"/>
            <w:hideMark/>
          </w:tcPr>
          <w:p w14:paraId="5CFAF1D4" w14:textId="77777777" w:rsidR="00967AFC" w:rsidRPr="00967AFC" w:rsidRDefault="00967AFC" w:rsidP="00967AFC">
            <w:pPr>
              <w:spacing w:after="160" w:line="259" w:lineRule="auto"/>
            </w:pPr>
            <w:r w:rsidRPr="00967AFC">
              <w:t>Employee efficiency</w:t>
            </w:r>
          </w:p>
        </w:tc>
        <w:tc>
          <w:tcPr>
            <w:tcW w:w="1121" w:type="pct"/>
            <w:hideMark/>
          </w:tcPr>
          <w:p w14:paraId="221C4795"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Time saved compared with the previous process</w:t>
            </w:r>
          </w:p>
        </w:tc>
        <w:tc>
          <w:tcPr>
            <w:tcW w:w="980" w:type="pct"/>
            <w:hideMark/>
          </w:tcPr>
          <w:p w14:paraId="31F2D262"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Employee feedback, time records or process comparison</w:t>
            </w:r>
          </w:p>
        </w:tc>
        <w:tc>
          <w:tcPr>
            <w:tcW w:w="1028" w:type="pct"/>
            <w:hideMark/>
          </w:tcPr>
          <w:p w14:paraId="4B7DB65E"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At the end of the pilot</w:t>
            </w:r>
          </w:p>
        </w:tc>
        <w:tc>
          <w:tcPr>
            <w:tcW w:w="983" w:type="pct"/>
            <w:hideMark/>
          </w:tcPr>
          <w:p w14:paraId="30CA19E7"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Pilot owner and engagement manager</w:t>
            </w:r>
          </w:p>
        </w:tc>
      </w:tr>
      <w:tr w:rsidR="00967AFC" w:rsidRPr="00967AFC" w14:paraId="5710CCEF" w14:textId="77777777" w:rsidTr="00967AFC">
        <w:tc>
          <w:tcPr>
            <w:cnfStyle w:val="001000000000" w:firstRow="0" w:lastRow="0" w:firstColumn="1" w:lastColumn="0" w:oddVBand="0" w:evenVBand="0" w:oddHBand="0" w:evenHBand="0" w:firstRowFirstColumn="0" w:firstRowLastColumn="0" w:lastRowFirstColumn="0" w:lastRowLastColumn="0"/>
            <w:tcW w:w="888" w:type="pct"/>
            <w:hideMark/>
          </w:tcPr>
          <w:p w14:paraId="2F4C1623" w14:textId="77777777" w:rsidR="00967AFC" w:rsidRPr="00967AFC" w:rsidRDefault="00967AFC" w:rsidP="00967AFC">
            <w:pPr>
              <w:spacing w:after="160" w:line="259" w:lineRule="auto"/>
            </w:pPr>
            <w:r w:rsidRPr="00967AFC">
              <w:t>Client experience</w:t>
            </w:r>
          </w:p>
        </w:tc>
        <w:tc>
          <w:tcPr>
            <w:tcW w:w="1121" w:type="pct"/>
            <w:hideMark/>
          </w:tcPr>
          <w:p w14:paraId="14F9F9C9"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Reduced waiting time, fewer repeated requests and client feedback</w:t>
            </w:r>
          </w:p>
        </w:tc>
        <w:tc>
          <w:tcPr>
            <w:tcW w:w="980" w:type="pct"/>
            <w:hideMark/>
          </w:tcPr>
          <w:p w14:paraId="54F048EB"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Request records and client feedback</w:t>
            </w:r>
          </w:p>
        </w:tc>
        <w:tc>
          <w:tcPr>
            <w:tcW w:w="1028" w:type="pct"/>
            <w:hideMark/>
          </w:tcPr>
          <w:p w14:paraId="212A425B"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During and after the pilot</w:t>
            </w:r>
          </w:p>
        </w:tc>
        <w:tc>
          <w:tcPr>
            <w:tcW w:w="983" w:type="pct"/>
            <w:hideMark/>
          </w:tcPr>
          <w:p w14:paraId="6D404E82"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Engagement team</w:t>
            </w:r>
          </w:p>
        </w:tc>
      </w:tr>
      <w:tr w:rsidR="00967AFC" w:rsidRPr="00967AFC" w14:paraId="3C5015A1" w14:textId="77777777" w:rsidTr="00967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pct"/>
            <w:hideMark/>
          </w:tcPr>
          <w:p w14:paraId="3A92C278" w14:textId="77777777" w:rsidR="00967AFC" w:rsidRPr="00967AFC" w:rsidRDefault="00967AFC" w:rsidP="00967AFC">
            <w:pPr>
              <w:spacing w:after="160" w:line="259" w:lineRule="auto"/>
            </w:pPr>
            <w:r w:rsidRPr="00967AFC">
              <w:t>Audit quality</w:t>
            </w:r>
          </w:p>
        </w:tc>
        <w:tc>
          <w:tcPr>
            <w:tcW w:w="1121" w:type="pct"/>
            <w:hideMark/>
          </w:tcPr>
          <w:p w14:paraId="2B3B40AC"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Accuracy, completeness and effect on the quality of audit evidence</w:t>
            </w:r>
          </w:p>
        </w:tc>
        <w:tc>
          <w:tcPr>
            <w:tcW w:w="980" w:type="pct"/>
            <w:hideMark/>
          </w:tcPr>
          <w:p w14:paraId="1B2CE07A"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Quality review and engagement feedback</w:t>
            </w:r>
          </w:p>
        </w:tc>
        <w:tc>
          <w:tcPr>
            <w:tcW w:w="1028" w:type="pct"/>
            <w:hideMark/>
          </w:tcPr>
          <w:p w14:paraId="23AC6191"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Before wider adoption</w:t>
            </w:r>
          </w:p>
        </w:tc>
        <w:tc>
          <w:tcPr>
            <w:tcW w:w="983" w:type="pct"/>
            <w:hideMark/>
          </w:tcPr>
          <w:p w14:paraId="2727C8D3"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Engagement leader and methodology specialist</w:t>
            </w:r>
          </w:p>
        </w:tc>
      </w:tr>
      <w:tr w:rsidR="00967AFC" w:rsidRPr="00967AFC" w14:paraId="3CC77DF9" w14:textId="77777777" w:rsidTr="00967AFC">
        <w:tc>
          <w:tcPr>
            <w:cnfStyle w:val="001000000000" w:firstRow="0" w:lastRow="0" w:firstColumn="1" w:lastColumn="0" w:oddVBand="0" w:evenVBand="0" w:oddHBand="0" w:evenHBand="0" w:firstRowFirstColumn="0" w:firstRowLastColumn="0" w:lastRowFirstColumn="0" w:lastRowLastColumn="0"/>
            <w:tcW w:w="888" w:type="pct"/>
            <w:hideMark/>
          </w:tcPr>
          <w:p w14:paraId="675A8632" w14:textId="77777777" w:rsidR="00967AFC" w:rsidRPr="00967AFC" w:rsidRDefault="00967AFC" w:rsidP="00967AFC">
            <w:pPr>
              <w:spacing w:after="160" w:line="259" w:lineRule="auto"/>
            </w:pPr>
            <w:r w:rsidRPr="00967AFC">
              <w:t>Adoption</w:t>
            </w:r>
          </w:p>
        </w:tc>
        <w:tc>
          <w:tcPr>
            <w:tcW w:w="1121" w:type="pct"/>
            <w:hideMark/>
          </w:tcPr>
          <w:p w14:paraId="16DB1BA9"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Number or proportion of intended users applying the improvement</w:t>
            </w:r>
          </w:p>
        </w:tc>
        <w:tc>
          <w:tcPr>
            <w:tcW w:w="980" w:type="pct"/>
            <w:hideMark/>
          </w:tcPr>
          <w:p w14:paraId="6EC0E0A8"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Usage information and employee feedback</w:t>
            </w:r>
          </w:p>
        </w:tc>
        <w:tc>
          <w:tcPr>
            <w:tcW w:w="1028" w:type="pct"/>
            <w:hideMark/>
          </w:tcPr>
          <w:p w14:paraId="78778B0F"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During the pilot and after implementation</w:t>
            </w:r>
          </w:p>
        </w:tc>
        <w:tc>
          <w:tcPr>
            <w:tcW w:w="983" w:type="pct"/>
            <w:hideMark/>
          </w:tcPr>
          <w:p w14:paraId="1D1EAC5F"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Process owner</w:t>
            </w:r>
          </w:p>
        </w:tc>
      </w:tr>
      <w:tr w:rsidR="00967AFC" w:rsidRPr="00967AFC" w14:paraId="3CEF4906" w14:textId="77777777" w:rsidTr="00967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pct"/>
            <w:hideMark/>
          </w:tcPr>
          <w:p w14:paraId="4C387B8B" w14:textId="77777777" w:rsidR="00967AFC" w:rsidRPr="00967AFC" w:rsidRDefault="00967AFC" w:rsidP="00967AFC">
            <w:pPr>
              <w:spacing w:after="160" w:line="259" w:lineRule="auto"/>
            </w:pPr>
            <w:r w:rsidRPr="00967AFC">
              <w:t>Confidentiality and control</w:t>
            </w:r>
          </w:p>
        </w:tc>
        <w:tc>
          <w:tcPr>
            <w:tcW w:w="1121" w:type="pct"/>
            <w:hideMark/>
          </w:tcPr>
          <w:p w14:paraId="2DE86547"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Security incidents, access concerns or control weaknesses</w:t>
            </w:r>
          </w:p>
        </w:tc>
        <w:tc>
          <w:tcPr>
            <w:tcW w:w="980" w:type="pct"/>
            <w:hideMark/>
          </w:tcPr>
          <w:p w14:paraId="47823035"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Security review and incident records</w:t>
            </w:r>
          </w:p>
        </w:tc>
        <w:tc>
          <w:tcPr>
            <w:tcW w:w="1028" w:type="pct"/>
            <w:hideMark/>
          </w:tcPr>
          <w:p w14:paraId="68802BCE"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Throughout testing</w:t>
            </w:r>
          </w:p>
        </w:tc>
        <w:tc>
          <w:tcPr>
            <w:tcW w:w="983" w:type="pct"/>
            <w:hideMark/>
          </w:tcPr>
          <w:p w14:paraId="181D73C7"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Security and risk specialists</w:t>
            </w:r>
          </w:p>
        </w:tc>
      </w:tr>
      <w:tr w:rsidR="00967AFC" w:rsidRPr="00967AFC" w14:paraId="3E69E38B" w14:textId="77777777" w:rsidTr="00967AFC">
        <w:tc>
          <w:tcPr>
            <w:cnfStyle w:val="001000000000" w:firstRow="0" w:lastRow="0" w:firstColumn="1" w:lastColumn="0" w:oddVBand="0" w:evenVBand="0" w:oddHBand="0" w:evenHBand="0" w:firstRowFirstColumn="0" w:firstRowLastColumn="0" w:lastRowFirstColumn="0" w:lastRowLastColumn="0"/>
            <w:tcW w:w="888" w:type="pct"/>
            <w:hideMark/>
          </w:tcPr>
          <w:p w14:paraId="42D139B4" w14:textId="77777777" w:rsidR="00967AFC" w:rsidRPr="00967AFC" w:rsidRDefault="00967AFC" w:rsidP="00967AFC">
            <w:pPr>
              <w:spacing w:after="160" w:line="259" w:lineRule="auto"/>
            </w:pPr>
            <w:r w:rsidRPr="00967AFC">
              <w:t>Practical value</w:t>
            </w:r>
          </w:p>
        </w:tc>
        <w:tc>
          <w:tcPr>
            <w:tcW w:w="1121" w:type="pct"/>
            <w:hideMark/>
          </w:tcPr>
          <w:p w14:paraId="6F9F9604"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Extent to which the innovation solves the original problem</w:t>
            </w:r>
          </w:p>
        </w:tc>
        <w:tc>
          <w:tcPr>
            <w:tcW w:w="980" w:type="pct"/>
            <w:hideMark/>
          </w:tcPr>
          <w:p w14:paraId="584AF94F"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Comparison with the original proposal and expected benefit</w:t>
            </w:r>
          </w:p>
        </w:tc>
        <w:tc>
          <w:tcPr>
            <w:tcW w:w="1028" w:type="pct"/>
            <w:hideMark/>
          </w:tcPr>
          <w:p w14:paraId="4F4B2E3B"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At the end of the pilot</w:t>
            </w:r>
          </w:p>
        </w:tc>
        <w:tc>
          <w:tcPr>
            <w:tcW w:w="983" w:type="pct"/>
            <w:hideMark/>
          </w:tcPr>
          <w:p w14:paraId="123961CE" w14:textId="77777777" w:rsidR="00967AFC" w:rsidRPr="00967AFC" w:rsidRDefault="00967AFC" w:rsidP="00967AFC">
            <w:pPr>
              <w:spacing w:after="160" w:line="259" w:lineRule="auto"/>
              <w:cnfStyle w:val="000000000000" w:firstRow="0" w:lastRow="0" w:firstColumn="0" w:lastColumn="0" w:oddVBand="0" w:evenVBand="0" w:oddHBand="0" w:evenHBand="0" w:firstRowFirstColumn="0" w:firstRowLastColumn="0" w:lastRowFirstColumn="0" w:lastRowLastColumn="0"/>
            </w:pPr>
            <w:r w:rsidRPr="00967AFC">
              <w:t>Innovation or methodology lead</w:t>
            </w:r>
          </w:p>
        </w:tc>
      </w:tr>
      <w:tr w:rsidR="00967AFC" w:rsidRPr="00967AFC" w14:paraId="729EAADA" w14:textId="77777777" w:rsidTr="00967A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8" w:type="pct"/>
            <w:hideMark/>
          </w:tcPr>
          <w:p w14:paraId="7F4B1ED0" w14:textId="77777777" w:rsidR="00967AFC" w:rsidRPr="00967AFC" w:rsidRDefault="00967AFC" w:rsidP="00967AFC">
            <w:pPr>
              <w:spacing w:after="160" w:line="259" w:lineRule="auto"/>
            </w:pPr>
            <w:r w:rsidRPr="00967AFC">
              <w:t>Organisational learning</w:t>
            </w:r>
          </w:p>
        </w:tc>
        <w:tc>
          <w:tcPr>
            <w:tcW w:w="1121" w:type="pct"/>
            <w:hideMark/>
          </w:tcPr>
          <w:p w14:paraId="7FEA1129"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Lessons shared, improvements adapted and duplicated effort avoided</w:t>
            </w:r>
          </w:p>
        </w:tc>
        <w:tc>
          <w:tcPr>
            <w:tcW w:w="980" w:type="pct"/>
            <w:hideMark/>
          </w:tcPr>
          <w:p w14:paraId="51A15EFC"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Knowledge sharing records and employee feedback</w:t>
            </w:r>
          </w:p>
        </w:tc>
        <w:tc>
          <w:tcPr>
            <w:tcW w:w="1028" w:type="pct"/>
            <w:hideMark/>
          </w:tcPr>
          <w:p w14:paraId="36C5C496"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Quarterly</w:t>
            </w:r>
          </w:p>
        </w:tc>
        <w:tc>
          <w:tcPr>
            <w:tcW w:w="983" w:type="pct"/>
            <w:hideMark/>
          </w:tcPr>
          <w:p w14:paraId="5C137C91" w14:textId="77777777" w:rsidR="00967AFC" w:rsidRPr="00967AFC" w:rsidRDefault="00967AFC" w:rsidP="00967AFC">
            <w:pPr>
              <w:spacing w:after="160" w:line="259" w:lineRule="auto"/>
              <w:cnfStyle w:val="000000100000" w:firstRow="0" w:lastRow="0" w:firstColumn="0" w:lastColumn="0" w:oddVBand="0" w:evenVBand="0" w:oddHBand="1" w:evenHBand="0" w:firstRowFirstColumn="0" w:firstRowLastColumn="0" w:lastRowFirstColumn="0" w:lastRowLastColumn="0"/>
            </w:pPr>
            <w:r w:rsidRPr="00967AFC">
              <w:t>Innovation or knowledge sharing lead</w:t>
            </w:r>
          </w:p>
        </w:tc>
      </w:tr>
    </w:tbl>
    <w:p w14:paraId="7685F0D5" w14:textId="77777777" w:rsidR="00757B14" w:rsidRPr="00757B14" w:rsidRDefault="00757B14" w:rsidP="00757B14"/>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DE23B" w14:textId="77777777" w:rsidR="00FC124B" w:rsidRDefault="00FC124B" w:rsidP="005831A9">
      <w:pPr>
        <w:spacing w:after="0" w:line="240" w:lineRule="auto"/>
      </w:pPr>
      <w:r>
        <w:separator/>
      </w:r>
    </w:p>
  </w:endnote>
  <w:endnote w:type="continuationSeparator" w:id="0">
    <w:p w14:paraId="7A420F14" w14:textId="77777777" w:rsidR="00FC124B" w:rsidRDefault="00FC124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9DDFFE" w14:textId="77777777" w:rsidR="00FC124B" w:rsidRDefault="00FC124B" w:rsidP="005831A9">
      <w:pPr>
        <w:spacing w:after="0" w:line="240" w:lineRule="auto"/>
      </w:pPr>
      <w:r>
        <w:separator/>
      </w:r>
    </w:p>
  </w:footnote>
  <w:footnote w:type="continuationSeparator" w:id="0">
    <w:p w14:paraId="2143F9D4" w14:textId="77777777" w:rsidR="00FC124B" w:rsidRDefault="00FC124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4136B"/>
    <w:rsid w:val="000F29EC"/>
    <w:rsid w:val="000F41EF"/>
    <w:rsid w:val="00182DBF"/>
    <w:rsid w:val="00183B04"/>
    <w:rsid w:val="002B3153"/>
    <w:rsid w:val="0034691B"/>
    <w:rsid w:val="003D0BE7"/>
    <w:rsid w:val="003D668E"/>
    <w:rsid w:val="004303C9"/>
    <w:rsid w:val="0047394B"/>
    <w:rsid w:val="00493C2A"/>
    <w:rsid w:val="004D32FF"/>
    <w:rsid w:val="00526EB8"/>
    <w:rsid w:val="00577F03"/>
    <w:rsid w:val="005831A9"/>
    <w:rsid w:val="00583709"/>
    <w:rsid w:val="00674A02"/>
    <w:rsid w:val="0068457A"/>
    <w:rsid w:val="00757B14"/>
    <w:rsid w:val="008312FD"/>
    <w:rsid w:val="00837AB7"/>
    <w:rsid w:val="00896C74"/>
    <w:rsid w:val="008C51A2"/>
    <w:rsid w:val="00967AFC"/>
    <w:rsid w:val="009C12FA"/>
    <w:rsid w:val="009E2FEA"/>
    <w:rsid w:val="00A658F2"/>
    <w:rsid w:val="00A85D3A"/>
    <w:rsid w:val="00BC6C84"/>
    <w:rsid w:val="00BD6870"/>
    <w:rsid w:val="00C81223"/>
    <w:rsid w:val="00D069F8"/>
    <w:rsid w:val="00D87A9A"/>
    <w:rsid w:val="00DE7836"/>
    <w:rsid w:val="00DF5219"/>
    <w:rsid w:val="00E841CA"/>
    <w:rsid w:val="00E91642"/>
    <w:rsid w:val="00EF395D"/>
    <w:rsid w:val="00F443EF"/>
    <w:rsid w:val="00F867C0"/>
    <w:rsid w:val="00FC12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table" w:styleId="GridTable3-Accent4">
    <w:name w:val="Grid Table 3 Accent 4"/>
    <w:basedOn w:val="TableNormal"/>
    <w:uiPriority w:val="48"/>
    <w:rsid w:val="00837AB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UnresolvedMention">
    <w:name w:val="Unresolved Mention"/>
    <w:basedOn w:val="DefaultParagraphFont"/>
    <w:uiPriority w:val="99"/>
    <w:semiHidden/>
    <w:unhideWhenUsed/>
    <w:rsid w:val="00182D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111/j.1540-5885.2008.00296.x" TargetMode="External"/><Relationship Id="rId18" Type="http://schemas.openxmlformats.org/officeDocument/2006/relationships/hyperlink" Target="https://www.gov.uk/government/publications/the-model-for-responsible-innovation/the-model-for-responsible-innovation" TargetMode="External"/><Relationship Id="rId26" Type="http://schemas.openxmlformats.org/officeDocument/2006/relationships/hyperlink" Target="https://doi.org/10.5465/amp.2013.0025" TargetMode="External"/><Relationship Id="rId21" Type="http://schemas.openxmlformats.org/officeDocument/2006/relationships/hyperlink" Target="https://doi.org/10.1016/j.leaqua.2018.03.001" TargetMode="External"/><Relationship Id="rId34" Type="http://schemas.openxmlformats.org/officeDocument/2006/relationships/hyperlink" Target="https://doi.org/10.1002/job.2362" TargetMode="External"/><Relationship Id="rId7" Type="http://schemas.openxmlformats.org/officeDocument/2006/relationships/image" Target="media/image1.png"/><Relationship Id="rId12" Type="http://schemas.openxmlformats.org/officeDocument/2006/relationships/hyperlink" Target="https://doi.org/10.2307/2393553" TargetMode="External"/><Relationship Id="rId17" Type="http://schemas.openxmlformats.org/officeDocument/2006/relationships/hyperlink" Target="https://www.deloittedigital.com/us/en/insights/perspective/digital-innovation-strategy-four-models.html" TargetMode="External"/><Relationship Id="rId25" Type="http://schemas.openxmlformats.org/officeDocument/2006/relationships/hyperlink" Target="https://doi.org/10.1787/9789264304604-en" TargetMode="External"/><Relationship Id="rId33" Type="http://schemas.openxmlformats.org/officeDocument/2006/relationships/hyperlink" Target="https://doi.org/10.1146/annurev-orgpsych-032516-113240" TargetMode="External"/><Relationship Id="rId2" Type="http://schemas.openxmlformats.org/officeDocument/2006/relationships/styles" Target="styles.xml"/><Relationship Id="rId16" Type="http://schemas.openxmlformats.org/officeDocument/2006/relationships/hyperlink" Target="https://www.deloittedigital.com/us/en/accelerators/ten-types.html" TargetMode="External"/><Relationship Id="rId20" Type="http://schemas.openxmlformats.org/officeDocument/2006/relationships/hyperlink" Target="https://doi.org/10.3389/fpsyg.2022.1060412" TargetMode="External"/><Relationship Id="rId29" Type="http://schemas.openxmlformats.org/officeDocument/2006/relationships/hyperlink" Target="https://doi.org/10.1111/jpim.126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149206314527128" TargetMode="External"/><Relationship Id="rId24" Type="http://schemas.openxmlformats.org/officeDocument/2006/relationships/hyperlink" Target="https://doi.org/10.1287/orsc.2.1.71" TargetMode="External"/><Relationship Id="rId32" Type="http://schemas.openxmlformats.org/officeDocument/2006/relationships/hyperlink" Target="https://doi.org/10.13140/RG.2.2.30295.57762"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46/annurev-orgpsych-032516-113108" TargetMode="External"/><Relationship Id="rId23" Type="http://schemas.openxmlformats.org/officeDocument/2006/relationships/hyperlink" Target="https://doi.org/10.1080/1359432X.2019.1661837" TargetMode="External"/><Relationship Id="rId28" Type="http://schemas.openxmlformats.org/officeDocument/2006/relationships/hyperlink" Target="https://doi.org/10.1080/10400419.2012.650092" TargetMode="External"/><Relationship Id="rId36" Type="http://schemas.openxmlformats.org/officeDocument/2006/relationships/fontTable" Target="fontTable.xml"/><Relationship Id="rId10" Type="http://schemas.openxmlformats.org/officeDocument/2006/relationships/hyperlink" Target="https://doi.org/10.1016/j.riob.2016.10.001" TargetMode="External"/><Relationship Id="rId19" Type="http://schemas.openxmlformats.org/officeDocument/2006/relationships/hyperlink" Target="https://doi.org/10.2307/2666999" TargetMode="External"/><Relationship Id="rId31" Type="http://schemas.openxmlformats.org/officeDocument/2006/relationships/hyperlink" Target="https://doi.org/10.1002/(SICI)1097-0266(199708)18:7%3c509::AID-SMJ882%3e3.0.CO;2-Z" TargetMode="External"/><Relationship Id="rId4" Type="http://schemas.openxmlformats.org/officeDocument/2006/relationships/webSettings" Target="webSettings.xml"/><Relationship Id="rId9" Type="http://schemas.openxmlformats.org/officeDocument/2006/relationships/hyperlink" Target="https://psycnet.apa.org/record/1988-97911-004" TargetMode="External"/><Relationship Id="rId14" Type="http://schemas.openxmlformats.org/officeDocument/2006/relationships/hyperlink" Target="https://doi.org/10.1111/jpim.12314" TargetMode="External"/><Relationship Id="rId22" Type="http://schemas.openxmlformats.org/officeDocument/2006/relationships/hyperlink" Target="https://doi.org/10.1111/j.1467-8691.2012.00635.x" TargetMode="External"/><Relationship Id="rId27" Type="http://schemas.openxmlformats.org/officeDocument/2006/relationships/hyperlink" Target="https://doi.org/10.1016/0142-694X(93)80016-6" TargetMode="External"/><Relationship Id="rId30" Type="http://schemas.openxmlformats.org/officeDocument/2006/relationships/hyperlink" Target="https://doi.org/10.1080/13511610.2021.1925526" TargetMode="External"/><Relationship Id="rId35" Type="http://schemas.openxmlformats.org/officeDocument/2006/relationships/hyperlink" Target="https://doi.org/10.1111/jpim.12125" TargetMode="External"/><Relationship Id="rId8" Type="http://schemas.openxmlformats.org/officeDocument/2006/relationships/hyperlink" Target="https://doi.org/10.1177/01492063231212416"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18</Pages>
  <Words>6620</Words>
  <Characters>37736</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Whitney Davies</dc:creator>
  <cp:lastModifiedBy>Whitney Davies</cp:lastModifiedBy>
  <cp:revision>16</cp:revision>
  <dcterms:created xsi:type="dcterms:W3CDTF">2026-08-30T12:44:00Z</dcterms:created>
  <dcterms:modified xsi:type="dcterms:W3CDTF">2026-08-30T13:09:00Z</dcterms:modified>
</cp:coreProperties>
</file>