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2895F" w14:textId="77777777" w:rsidR="00B91225" w:rsidRPr="00DB0383" w:rsidRDefault="00B91225" w:rsidP="00CB147F">
      <w:pPr>
        <w:spacing w:line="360" w:lineRule="auto"/>
        <w:jc w:val="both"/>
        <w:rPr>
          <w:rFonts w:ascii="Arial" w:hAnsi="Arial" w:cs="Arial"/>
          <w:b/>
          <w:bCs/>
        </w:rPr>
      </w:pPr>
    </w:p>
    <w:p w14:paraId="258257EF" w14:textId="77777777" w:rsidR="00B91225" w:rsidRPr="00DB0383" w:rsidRDefault="00B91225" w:rsidP="0008061A">
      <w:pPr>
        <w:spacing w:after="120" w:line="360" w:lineRule="auto"/>
        <w:jc w:val="center"/>
        <w:rPr>
          <w:rFonts w:ascii="Arial" w:hAnsi="Arial" w:cs="Arial"/>
          <w:b/>
          <w:sz w:val="24"/>
          <w:szCs w:val="24"/>
        </w:rPr>
      </w:pPr>
    </w:p>
    <w:p w14:paraId="14743807" w14:textId="77777777" w:rsidR="00B91225" w:rsidRPr="00DB0383" w:rsidRDefault="00B91225" w:rsidP="0008061A">
      <w:pPr>
        <w:spacing w:after="120" w:line="360" w:lineRule="auto"/>
        <w:jc w:val="center"/>
        <w:rPr>
          <w:rFonts w:ascii="Arial" w:hAnsi="Arial" w:cs="Arial"/>
          <w:b/>
          <w:sz w:val="24"/>
          <w:szCs w:val="24"/>
        </w:rPr>
      </w:pPr>
      <w:r w:rsidRPr="00DB0383">
        <w:rPr>
          <w:rFonts w:ascii="Arial" w:hAnsi="Arial" w:cs="Arial"/>
          <w:b/>
          <w:sz w:val="24"/>
          <w:szCs w:val="24"/>
        </w:rPr>
        <w:t>MSc Software Engineering and AI</w:t>
      </w:r>
    </w:p>
    <w:p w14:paraId="77C8932D" w14:textId="77777777" w:rsidR="00B91225" w:rsidRPr="00DB0383" w:rsidRDefault="00B91225" w:rsidP="0008061A">
      <w:pPr>
        <w:spacing w:before="120" w:after="120" w:line="360" w:lineRule="auto"/>
        <w:jc w:val="center"/>
        <w:rPr>
          <w:rFonts w:ascii="Arial" w:hAnsi="Arial" w:cs="Arial"/>
          <w:b/>
          <w:sz w:val="24"/>
          <w:szCs w:val="24"/>
        </w:rPr>
      </w:pPr>
      <w:r w:rsidRPr="00DB0383">
        <w:rPr>
          <w:rFonts w:ascii="Arial" w:hAnsi="Arial" w:cs="Arial"/>
          <w:b/>
          <w:sz w:val="24"/>
          <w:szCs w:val="24"/>
        </w:rPr>
        <w:t>Data Security, Governance and Compliance</w:t>
      </w:r>
    </w:p>
    <w:p w14:paraId="1DBC6305" w14:textId="77777777" w:rsidR="00B91225" w:rsidRPr="00DB0383" w:rsidRDefault="00B91225" w:rsidP="0008061A">
      <w:pPr>
        <w:spacing w:line="360" w:lineRule="auto"/>
        <w:jc w:val="center"/>
        <w:rPr>
          <w:rFonts w:ascii="Arial" w:hAnsi="Arial" w:cs="Arial"/>
          <w:b/>
          <w:bCs/>
          <w:sz w:val="24"/>
          <w:szCs w:val="24"/>
        </w:rPr>
      </w:pPr>
      <w:r w:rsidRPr="00DB0383">
        <w:rPr>
          <w:rFonts w:ascii="Arial" w:hAnsi="Arial" w:cs="Arial"/>
          <w:b/>
          <w:bCs/>
          <w:sz w:val="24"/>
          <w:szCs w:val="24"/>
        </w:rPr>
        <w:t>Rabeya Begum</w:t>
      </w:r>
    </w:p>
    <w:p w14:paraId="5F2F7754" w14:textId="77777777" w:rsidR="00B91225" w:rsidRPr="00DB0383" w:rsidRDefault="00B91225" w:rsidP="0008061A">
      <w:pPr>
        <w:spacing w:line="360" w:lineRule="auto"/>
        <w:jc w:val="center"/>
        <w:rPr>
          <w:rFonts w:ascii="Arial" w:hAnsi="Arial" w:cs="Arial"/>
          <w:b/>
          <w:bCs/>
          <w:sz w:val="24"/>
          <w:szCs w:val="24"/>
        </w:rPr>
      </w:pPr>
      <w:r w:rsidRPr="00DB0383">
        <w:rPr>
          <w:rFonts w:ascii="Arial" w:hAnsi="Arial" w:cs="Arial"/>
          <w:b/>
          <w:bCs/>
          <w:sz w:val="24"/>
          <w:szCs w:val="24"/>
        </w:rPr>
        <w:t>2209407</w:t>
      </w:r>
    </w:p>
    <w:p w14:paraId="4A61780A" w14:textId="77777777" w:rsidR="00B91225" w:rsidRPr="00DB0383" w:rsidRDefault="00B91225" w:rsidP="0008061A">
      <w:pPr>
        <w:spacing w:line="360" w:lineRule="auto"/>
        <w:jc w:val="center"/>
        <w:rPr>
          <w:rFonts w:ascii="Arial" w:hAnsi="Arial" w:cs="Arial"/>
          <w:sz w:val="24"/>
          <w:szCs w:val="24"/>
        </w:rPr>
      </w:pPr>
      <w:r w:rsidRPr="00DB0383">
        <w:rPr>
          <w:rFonts w:ascii="Arial" w:hAnsi="Arial" w:cs="Arial"/>
          <w:b/>
          <w:bCs/>
          <w:sz w:val="24"/>
          <w:szCs w:val="24"/>
        </w:rPr>
        <w:t>Dr Vijeyananthan Thayananthan</w:t>
      </w:r>
    </w:p>
    <w:p w14:paraId="60156A6D" w14:textId="591BB95C" w:rsidR="00B91225" w:rsidRPr="00DB0383" w:rsidRDefault="00B91225" w:rsidP="0008061A">
      <w:pPr>
        <w:spacing w:line="360" w:lineRule="auto"/>
        <w:jc w:val="center"/>
        <w:rPr>
          <w:rFonts w:ascii="Arial" w:hAnsi="Arial" w:cs="Arial"/>
          <w:sz w:val="24"/>
          <w:szCs w:val="24"/>
        </w:rPr>
      </w:pPr>
      <w:r w:rsidRPr="00DB0383">
        <w:rPr>
          <w:rFonts w:ascii="Arial" w:hAnsi="Arial" w:cs="Arial"/>
          <w:b/>
          <w:bCs/>
          <w:sz w:val="24"/>
          <w:szCs w:val="24"/>
        </w:rPr>
        <w:t>2</w:t>
      </w:r>
      <w:r w:rsidRPr="00DB0383">
        <w:rPr>
          <w:rFonts w:ascii="Arial" w:hAnsi="Arial" w:cs="Arial"/>
          <w:b/>
          <w:bCs/>
          <w:sz w:val="24"/>
          <w:szCs w:val="24"/>
          <w:vertAlign w:val="superscript"/>
        </w:rPr>
        <w:t>nd</w:t>
      </w:r>
      <w:r w:rsidRPr="00DB0383">
        <w:rPr>
          <w:rFonts w:ascii="Arial" w:hAnsi="Arial" w:cs="Arial"/>
          <w:b/>
          <w:bCs/>
          <w:sz w:val="24"/>
          <w:szCs w:val="24"/>
        </w:rPr>
        <w:t xml:space="preserve"> April 2026</w:t>
      </w:r>
    </w:p>
    <w:p w14:paraId="1AD46A59" w14:textId="77777777" w:rsidR="00B91225" w:rsidRPr="00DB0383" w:rsidRDefault="00B91225" w:rsidP="0008061A">
      <w:pPr>
        <w:spacing w:line="360" w:lineRule="auto"/>
        <w:jc w:val="center"/>
        <w:rPr>
          <w:rFonts w:ascii="Arial" w:hAnsi="Arial" w:cs="Arial"/>
          <w:b/>
          <w:bCs/>
          <w:sz w:val="24"/>
          <w:szCs w:val="24"/>
        </w:rPr>
      </w:pPr>
      <w:r w:rsidRPr="00DB0383">
        <w:rPr>
          <w:rFonts w:ascii="Arial" w:hAnsi="Arial" w:cs="Arial"/>
          <w:b/>
          <w:bCs/>
          <w:sz w:val="24"/>
          <w:szCs w:val="24"/>
        </w:rPr>
        <w:t>University of Wales Trinity St David – Quay place</w:t>
      </w:r>
    </w:p>
    <w:p w14:paraId="046EB0D4" w14:textId="77777777" w:rsidR="00B91225" w:rsidRPr="00DB0383" w:rsidRDefault="00B91225" w:rsidP="00CB147F">
      <w:pPr>
        <w:spacing w:line="360" w:lineRule="auto"/>
        <w:jc w:val="both"/>
        <w:rPr>
          <w:rFonts w:ascii="Arial" w:hAnsi="Arial" w:cs="Arial"/>
        </w:rPr>
      </w:pPr>
    </w:p>
    <w:p w14:paraId="40919F2A" w14:textId="77777777" w:rsidR="0012165A" w:rsidRPr="00DB0383" w:rsidRDefault="0012165A" w:rsidP="00CB147F">
      <w:pPr>
        <w:spacing w:line="360" w:lineRule="auto"/>
        <w:jc w:val="both"/>
        <w:rPr>
          <w:rFonts w:ascii="Arial" w:hAnsi="Arial" w:cs="Arial"/>
        </w:rPr>
      </w:pPr>
    </w:p>
    <w:p w14:paraId="1EEE10BD" w14:textId="77777777" w:rsidR="0012165A" w:rsidRPr="00DB0383" w:rsidRDefault="0012165A" w:rsidP="00CB147F">
      <w:pPr>
        <w:spacing w:line="360" w:lineRule="auto"/>
        <w:jc w:val="both"/>
        <w:rPr>
          <w:rFonts w:ascii="Arial" w:hAnsi="Arial" w:cs="Arial"/>
        </w:rPr>
      </w:pPr>
    </w:p>
    <w:p w14:paraId="0C7AB8AA" w14:textId="77777777" w:rsidR="0012165A" w:rsidRPr="00DB0383" w:rsidRDefault="0012165A" w:rsidP="00CB147F">
      <w:pPr>
        <w:spacing w:line="360" w:lineRule="auto"/>
        <w:jc w:val="both"/>
        <w:rPr>
          <w:rFonts w:ascii="Arial" w:hAnsi="Arial" w:cs="Arial"/>
        </w:rPr>
      </w:pPr>
    </w:p>
    <w:p w14:paraId="507E6459" w14:textId="77777777" w:rsidR="0012165A" w:rsidRPr="00DB0383" w:rsidRDefault="0012165A" w:rsidP="00CB147F">
      <w:pPr>
        <w:spacing w:line="360" w:lineRule="auto"/>
        <w:jc w:val="both"/>
        <w:rPr>
          <w:rFonts w:ascii="Arial" w:hAnsi="Arial" w:cs="Arial"/>
        </w:rPr>
      </w:pPr>
    </w:p>
    <w:p w14:paraId="76FDCFB0" w14:textId="77777777" w:rsidR="0012165A" w:rsidRPr="00DB0383" w:rsidRDefault="0012165A" w:rsidP="00CB147F">
      <w:pPr>
        <w:spacing w:line="360" w:lineRule="auto"/>
        <w:jc w:val="both"/>
        <w:rPr>
          <w:rFonts w:ascii="Arial" w:hAnsi="Arial" w:cs="Arial"/>
        </w:rPr>
      </w:pPr>
    </w:p>
    <w:p w14:paraId="0D340670" w14:textId="77777777" w:rsidR="0012165A" w:rsidRPr="00DB0383" w:rsidRDefault="0012165A" w:rsidP="00CB147F">
      <w:pPr>
        <w:spacing w:line="360" w:lineRule="auto"/>
        <w:jc w:val="both"/>
        <w:rPr>
          <w:rFonts w:ascii="Arial" w:hAnsi="Arial" w:cs="Arial"/>
        </w:rPr>
      </w:pPr>
    </w:p>
    <w:p w14:paraId="14E55C86" w14:textId="77777777" w:rsidR="0012165A" w:rsidRPr="00DB0383" w:rsidRDefault="0012165A" w:rsidP="00CB147F">
      <w:pPr>
        <w:spacing w:line="360" w:lineRule="auto"/>
        <w:jc w:val="both"/>
        <w:rPr>
          <w:rFonts w:ascii="Arial" w:hAnsi="Arial" w:cs="Arial"/>
        </w:rPr>
      </w:pPr>
    </w:p>
    <w:p w14:paraId="33B6EF43" w14:textId="77777777" w:rsidR="0012165A" w:rsidRPr="00DB0383" w:rsidRDefault="0012165A" w:rsidP="00CB147F">
      <w:pPr>
        <w:spacing w:line="360" w:lineRule="auto"/>
        <w:jc w:val="both"/>
        <w:rPr>
          <w:rFonts w:ascii="Arial" w:hAnsi="Arial" w:cs="Arial"/>
        </w:rPr>
      </w:pPr>
    </w:p>
    <w:p w14:paraId="507126FB" w14:textId="77777777" w:rsidR="0012165A" w:rsidRPr="00DB0383" w:rsidRDefault="0012165A" w:rsidP="00CB147F">
      <w:pPr>
        <w:spacing w:line="360" w:lineRule="auto"/>
        <w:jc w:val="both"/>
        <w:rPr>
          <w:rFonts w:ascii="Arial" w:hAnsi="Arial" w:cs="Arial"/>
        </w:rPr>
      </w:pPr>
    </w:p>
    <w:p w14:paraId="05876DA4" w14:textId="77777777" w:rsidR="0012165A" w:rsidRPr="00DB0383" w:rsidRDefault="0012165A" w:rsidP="00CB147F">
      <w:pPr>
        <w:spacing w:line="360" w:lineRule="auto"/>
        <w:jc w:val="both"/>
        <w:rPr>
          <w:rFonts w:ascii="Arial" w:hAnsi="Arial" w:cs="Arial"/>
        </w:rPr>
      </w:pPr>
    </w:p>
    <w:p w14:paraId="25BAAD38" w14:textId="77777777" w:rsidR="0012165A" w:rsidRPr="00DB0383" w:rsidRDefault="0012165A" w:rsidP="00CB147F">
      <w:pPr>
        <w:spacing w:line="360" w:lineRule="auto"/>
        <w:jc w:val="both"/>
        <w:rPr>
          <w:rFonts w:ascii="Arial" w:hAnsi="Arial" w:cs="Arial"/>
        </w:rPr>
      </w:pPr>
    </w:p>
    <w:p w14:paraId="17B59806" w14:textId="77777777" w:rsidR="0012165A" w:rsidRPr="00DB0383" w:rsidRDefault="0012165A" w:rsidP="00CB147F">
      <w:pPr>
        <w:spacing w:line="360" w:lineRule="auto"/>
        <w:jc w:val="both"/>
        <w:rPr>
          <w:rFonts w:ascii="Arial" w:hAnsi="Arial" w:cs="Arial"/>
        </w:rPr>
      </w:pPr>
    </w:p>
    <w:p w14:paraId="0CC3B2BF" w14:textId="77777777" w:rsidR="0012165A" w:rsidRPr="00DB0383" w:rsidRDefault="0012165A" w:rsidP="00CB147F">
      <w:pPr>
        <w:spacing w:line="360" w:lineRule="auto"/>
        <w:jc w:val="both"/>
        <w:rPr>
          <w:rFonts w:ascii="Arial" w:hAnsi="Arial" w:cs="Arial"/>
        </w:rPr>
      </w:pPr>
    </w:p>
    <w:p w14:paraId="6AE60B03" w14:textId="77777777" w:rsidR="0012165A" w:rsidRPr="00DB0383" w:rsidRDefault="0012165A" w:rsidP="00CB147F">
      <w:pPr>
        <w:spacing w:line="360" w:lineRule="auto"/>
        <w:jc w:val="both"/>
        <w:rPr>
          <w:rFonts w:ascii="Arial" w:hAnsi="Arial" w:cs="Arial"/>
        </w:rPr>
      </w:pPr>
    </w:p>
    <w:p w14:paraId="674EDE7A" w14:textId="77777777" w:rsidR="0012165A" w:rsidRPr="00DB0383" w:rsidRDefault="0012165A" w:rsidP="00CB147F">
      <w:pPr>
        <w:spacing w:line="360" w:lineRule="auto"/>
        <w:jc w:val="both"/>
        <w:rPr>
          <w:rFonts w:ascii="Arial" w:hAnsi="Arial" w:cs="Arial"/>
        </w:rPr>
      </w:pPr>
    </w:p>
    <w:p w14:paraId="10BE9659" w14:textId="77777777" w:rsidR="0012165A" w:rsidRPr="00DB0383" w:rsidRDefault="0012165A" w:rsidP="00CB147F">
      <w:pPr>
        <w:spacing w:line="360" w:lineRule="auto"/>
        <w:jc w:val="both"/>
        <w:rPr>
          <w:rFonts w:ascii="Arial" w:hAnsi="Arial" w:cs="Arial"/>
        </w:rPr>
      </w:pPr>
    </w:p>
    <w:p w14:paraId="18AE9B77" w14:textId="77777777" w:rsidR="0012165A" w:rsidRPr="00DB0383" w:rsidRDefault="0012165A" w:rsidP="00CB147F">
      <w:pPr>
        <w:spacing w:line="360" w:lineRule="auto"/>
        <w:jc w:val="both"/>
        <w:rPr>
          <w:rFonts w:ascii="Arial" w:hAnsi="Arial" w:cs="Arial"/>
        </w:rPr>
      </w:pPr>
    </w:p>
    <w:p w14:paraId="6C7486BC" w14:textId="77777777" w:rsidR="0012165A" w:rsidRPr="00DB0383" w:rsidRDefault="0012165A" w:rsidP="00CB147F">
      <w:pPr>
        <w:spacing w:line="360" w:lineRule="auto"/>
        <w:jc w:val="both"/>
        <w:rPr>
          <w:rFonts w:ascii="Arial" w:hAnsi="Arial" w:cs="Arial"/>
        </w:rPr>
      </w:pPr>
    </w:p>
    <w:p w14:paraId="39CF62E0" w14:textId="77777777" w:rsidR="0012165A" w:rsidRPr="00DB0383" w:rsidRDefault="0012165A" w:rsidP="00CB147F">
      <w:pPr>
        <w:spacing w:line="360" w:lineRule="auto"/>
        <w:jc w:val="both"/>
        <w:rPr>
          <w:rFonts w:ascii="Arial" w:hAnsi="Arial" w:cs="Arial"/>
        </w:rPr>
      </w:pPr>
    </w:p>
    <w:p w14:paraId="797B1DBF" w14:textId="77777777" w:rsidR="0012165A" w:rsidRPr="00DB0383" w:rsidRDefault="0012165A" w:rsidP="00CB147F">
      <w:pPr>
        <w:spacing w:line="360" w:lineRule="auto"/>
        <w:jc w:val="both"/>
        <w:rPr>
          <w:rFonts w:ascii="Arial" w:hAnsi="Arial" w:cs="Arial"/>
        </w:rPr>
      </w:pPr>
    </w:p>
    <w:p w14:paraId="10D7D00E" w14:textId="77777777" w:rsidR="0012165A" w:rsidRPr="00DB0383" w:rsidRDefault="0012165A" w:rsidP="00CB147F">
      <w:pPr>
        <w:spacing w:line="360" w:lineRule="auto"/>
        <w:jc w:val="both"/>
        <w:rPr>
          <w:rFonts w:ascii="Arial" w:hAnsi="Arial" w:cs="Arial"/>
        </w:rPr>
      </w:pPr>
    </w:p>
    <w:p w14:paraId="617375FA" w14:textId="77777777" w:rsidR="0012165A" w:rsidRPr="00DB0383" w:rsidRDefault="0012165A" w:rsidP="00CB147F">
      <w:pPr>
        <w:spacing w:line="360" w:lineRule="auto"/>
        <w:jc w:val="both"/>
        <w:rPr>
          <w:rFonts w:ascii="Arial" w:hAnsi="Arial" w:cs="Arial"/>
        </w:rPr>
      </w:pPr>
    </w:p>
    <w:p w14:paraId="001B94A8" w14:textId="77777777" w:rsidR="0012165A" w:rsidRPr="00DB0383" w:rsidRDefault="0012165A" w:rsidP="00CB147F">
      <w:pPr>
        <w:spacing w:line="360" w:lineRule="auto"/>
        <w:jc w:val="both"/>
        <w:rPr>
          <w:rFonts w:ascii="Arial" w:hAnsi="Arial" w:cs="Arial"/>
        </w:rPr>
      </w:pPr>
    </w:p>
    <w:p w14:paraId="75D717D8" w14:textId="77777777" w:rsidR="0012165A" w:rsidRPr="00DB0383" w:rsidRDefault="0012165A" w:rsidP="00CB147F">
      <w:pPr>
        <w:spacing w:line="360" w:lineRule="auto"/>
        <w:jc w:val="both"/>
        <w:rPr>
          <w:rFonts w:ascii="Arial" w:hAnsi="Arial" w:cs="Arial"/>
        </w:rPr>
      </w:pPr>
    </w:p>
    <w:p w14:paraId="308BD794" w14:textId="77777777" w:rsidR="0012165A" w:rsidRPr="00DB0383" w:rsidRDefault="0012165A" w:rsidP="00CB147F">
      <w:pPr>
        <w:spacing w:line="360" w:lineRule="auto"/>
        <w:jc w:val="both"/>
        <w:rPr>
          <w:rFonts w:ascii="Arial" w:hAnsi="Arial" w:cs="Arial"/>
        </w:rPr>
      </w:pPr>
    </w:p>
    <w:p w14:paraId="6D1295A0" w14:textId="77777777" w:rsidR="0012165A" w:rsidRPr="00DB0383" w:rsidRDefault="0012165A" w:rsidP="00CB147F">
      <w:pPr>
        <w:spacing w:line="360" w:lineRule="auto"/>
        <w:jc w:val="both"/>
        <w:rPr>
          <w:rFonts w:ascii="Arial" w:hAnsi="Arial" w:cs="Arial"/>
        </w:rPr>
      </w:pPr>
    </w:p>
    <w:p w14:paraId="7B2AF809" w14:textId="77777777" w:rsidR="0012165A" w:rsidRPr="00DB0383" w:rsidRDefault="0012165A" w:rsidP="00CB147F">
      <w:pPr>
        <w:spacing w:line="360" w:lineRule="auto"/>
        <w:jc w:val="both"/>
        <w:rPr>
          <w:rFonts w:ascii="Arial" w:hAnsi="Arial" w:cs="Arial"/>
        </w:rPr>
      </w:pPr>
    </w:p>
    <w:p w14:paraId="0551CCDD" w14:textId="77777777" w:rsidR="0012165A" w:rsidRPr="00DB0383" w:rsidRDefault="0012165A" w:rsidP="00CB147F">
      <w:pPr>
        <w:spacing w:line="360" w:lineRule="auto"/>
        <w:jc w:val="both"/>
        <w:rPr>
          <w:rFonts w:ascii="Arial" w:hAnsi="Arial" w:cs="Arial"/>
        </w:rPr>
      </w:pPr>
    </w:p>
    <w:p w14:paraId="0E33F1CC" w14:textId="77777777" w:rsidR="0012165A" w:rsidRPr="00337044" w:rsidRDefault="0012165A" w:rsidP="00C414ED">
      <w:pPr>
        <w:spacing w:line="276" w:lineRule="auto"/>
        <w:jc w:val="both"/>
        <w:rPr>
          <w:rFonts w:ascii="Arial" w:hAnsi="Arial" w:cs="Arial"/>
        </w:rPr>
      </w:pPr>
    </w:p>
    <w:sdt>
      <w:sdtPr>
        <w:rPr>
          <w:rFonts w:ascii="Arial" w:eastAsia="Times New Roman" w:hAnsi="Arial" w:cs="Arial"/>
          <w:i/>
          <w:iCs/>
          <w:color w:val="auto"/>
          <w:sz w:val="20"/>
          <w:szCs w:val="20"/>
          <w:lang w:val="en-GB" w:eastAsia="en-GB"/>
        </w:rPr>
        <w:id w:val="241218474"/>
        <w:docPartObj>
          <w:docPartGallery w:val="Table of Contents"/>
          <w:docPartUnique/>
        </w:docPartObj>
      </w:sdtPr>
      <w:sdtEndPr>
        <w:rPr>
          <w:b/>
          <w:bCs/>
          <w:noProof/>
        </w:rPr>
      </w:sdtEndPr>
      <w:sdtContent>
        <w:p w14:paraId="629B05CD" w14:textId="1479293F" w:rsidR="00CB147F" w:rsidRPr="00337044" w:rsidRDefault="00CB147F" w:rsidP="00C414ED">
          <w:pPr>
            <w:pStyle w:val="TOCHeading"/>
            <w:spacing w:line="276" w:lineRule="auto"/>
            <w:rPr>
              <w:rFonts w:ascii="Arial" w:hAnsi="Arial" w:cs="Arial"/>
              <w:color w:val="auto"/>
              <w:sz w:val="20"/>
              <w:szCs w:val="20"/>
            </w:rPr>
          </w:pPr>
          <w:r w:rsidRPr="00337044">
            <w:rPr>
              <w:rFonts w:ascii="Arial" w:hAnsi="Arial" w:cs="Arial"/>
              <w:color w:val="auto"/>
              <w:sz w:val="20"/>
              <w:szCs w:val="20"/>
            </w:rPr>
            <w:t>Contents</w:t>
          </w:r>
        </w:p>
        <w:p w14:paraId="5E845352" w14:textId="77777777" w:rsidR="00337044" w:rsidRPr="00337044" w:rsidRDefault="00337044" w:rsidP="00C414ED">
          <w:pPr>
            <w:spacing w:line="276" w:lineRule="auto"/>
            <w:rPr>
              <w:rFonts w:ascii="Arial" w:hAnsi="Arial" w:cs="Arial"/>
              <w:lang w:val="en-US" w:eastAsia="en-US"/>
            </w:rPr>
          </w:pPr>
        </w:p>
        <w:p w14:paraId="0137257A" w14:textId="67210985" w:rsidR="00ED750F" w:rsidRPr="00337044" w:rsidRDefault="00CB147F" w:rsidP="00C414ED">
          <w:pPr>
            <w:pStyle w:val="TOC1"/>
            <w:tabs>
              <w:tab w:val="right" w:leader="dot" w:pos="9016"/>
            </w:tabs>
            <w:spacing w:line="276" w:lineRule="auto"/>
            <w:rPr>
              <w:rFonts w:ascii="Arial" w:eastAsiaTheme="minorEastAsia" w:hAnsi="Arial" w:cs="Arial"/>
              <w:noProof/>
              <w:kern w:val="2"/>
              <w14:ligatures w14:val="standardContextual"/>
            </w:rPr>
          </w:pPr>
          <w:r w:rsidRPr="00337044">
            <w:rPr>
              <w:rFonts w:ascii="Arial" w:hAnsi="Arial" w:cs="Arial"/>
              <w:i/>
              <w:iCs/>
            </w:rPr>
            <w:fldChar w:fldCharType="begin"/>
          </w:r>
          <w:r w:rsidRPr="00337044">
            <w:rPr>
              <w:rFonts w:ascii="Arial" w:hAnsi="Arial" w:cs="Arial"/>
              <w:i/>
              <w:iCs/>
            </w:rPr>
            <w:instrText xml:space="preserve"> TOC \o "1-3" \h \z \u </w:instrText>
          </w:r>
          <w:r w:rsidRPr="00337044">
            <w:rPr>
              <w:rFonts w:ascii="Arial" w:hAnsi="Arial" w:cs="Arial"/>
              <w:i/>
              <w:iCs/>
            </w:rPr>
            <w:fldChar w:fldCharType="separate"/>
          </w:r>
          <w:hyperlink w:anchor="_Toc224564292" w:history="1">
            <w:r w:rsidR="00ED750F" w:rsidRPr="00337044">
              <w:rPr>
                <w:rStyle w:val="Hyperlink"/>
                <w:rFonts w:ascii="Arial" w:hAnsi="Arial" w:cs="Arial"/>
                <w:noProof/>
              </w:rPr>
              <w:t>Information Security, Governance, and Compliance Frameworks for a Cloud-Based Financial Institution: A Case Study of FinSure Bank</w:t>
            </w:r>
            <w:r w:rsidR="00ED750F" w:rsidRPr="00337044">
              <w:rPr>
                <w:rFonts w:ascii="Arial" w:hAnsi="Arial" w:cs="Arial"/>
                <w:noProof/>
                <w:webHidden/>
              </w:rPr>
              <w:tab/>
            </w:r>
            <w:r w:rsidR="00ED750F" w:rsidRPr="00337044">
              <w:rPr>
                <w:rFonts w:ascii="Arial" w:hAnsi="Arial" w:cs="Arial"/>
                <w:noProof/>
                <w:webHidden/>
              </w:rPr>
              <w:fldChar w:fldCharType="begin"/>
            </w:r>
            <w:r w:rsidR="00ED750F" w:rsidRPr="00337044">
              <w:rPr>
                <w:rFonts w:ascii="Arial" w:hAnsi="Arial" w:cs="Arial"/>
                <w:noProof/>
                <w:webHidden/>
              </w:rPr>
              <w:instrText xml:space="preserve"> PAGEREF _Toc224564292 \h </w:instrText>
            </w:r>
            <w:r w:rsidR="00ED750F" w:rsidRPr="00337044">
              <w:rPr>
                <w:rFonts w:ascii="Arial" w:hAnsi="Arial" w:cs="Arial"/>
                <w:noProof/>
                <w:webHidden/>
              </w:rPr>
            </w:r>
            <w:r w:rsidR="00ED750F" w:rsidRPr="00337044">
              <w:rPr>
                <w:rFonts w:ascii="Arial" w:hAnsi="Arial" w:cs="Arial"/>
                <w:noProof/>
                <w:webHidden/>
              </w:rPr>
              <w:fldChar w:fldCharType="separate"/>
            </w:r>
            <w:r w:rsidR="00ED750F" w:rsidRPr="00337044">
              <w:rPr>
                <w:rFonts w:ascii="Arial" w:hAnsi="Arial" w:cs="Arial"/>
                <w:noProof/>
                <w:webHidden/>
              </w:rPr>
              <w:t>3</w:t>
            </w:r>
            <w:r w:rsidR="00ED750F" w:rsidRPr="00337044">
              <w:rPr>
                <w:rFonts w:ascii="Arial" w:hAnsi="Arial" w:cs="Arial"/>
                <w:noProof/>
                <w:webHidden/>
              </w:rPr>
              <w:fldChar w:fldCharType="end"/>
            </w:r>
          </w:hyperlink>
        </w:p>
        <w:p w14:paraId="3BA55A84" w14:textId="67B0A428" w:rsidR="00ED750F" w:rsidRPr="00337044" w:rsidRDefault="00ED750F" w:rsidP="00C414ED">
          <w:pPr>
            <w:pStyle w:val="TOC1"/>
            <w:tabs>
              <w:tab w:val="right" w:leader="dot" w:pos="9016"/>
            </w:tabs>
            <w:spacing w:line="276" w:lineRule="auto"/>
            <w:rPr>
              <w:rFonts w:ascii="Arial" w:eastAsiaTheme="minorEastAsia" w:hAnsi="Arial" w:cs="Arial"/>
              <w:noProof/>
              <w:kern w:val="2"/>
              <w14:ligatures w14:val="standardContextual"/>
            </w:rPr>
          </w:pPr>
          <w:hyperlink w:anchor="_Toc224564293" w:history="1">
            <w:r w:rsidRPr="00337044">
              <w:rPr>
                <w:rStyle w:val="Hyperlink"/>
                <w:rFonts w:ascii="Arial" w:hAnsi="Arial" w:cs="Arial"/>
                <w:noProof/>
              </w:rPr>
              <w:t>1. Introduction</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_Toc224564293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3</w:t>
            </w:r>
            <w:r w:rsidRPr="00337044">
              <w:rPr>
                <w:rFonts w:ascii="Arial" w:hAnsi="Arial" w:cs="Arial"/>
                <w:noProof/>
                <w:webHidden/>
              </w:rPr>
              <w:fldChar w:fldCharType="end"/>
            </w:r>
          </w:hyperlink>
        </w:p>
        <w:p w14:paraId="518E3F56" w14:textId="7062D528" w:rsidR="00ED750F" w:rsidRPr="00337044" w:rsidRDefault="00ED750F" w:rsidP="00C414ED">
          <w:pPr>
            <w:pStyle w:val="TOC1"/>
            <w:tabs>
              <w:tab w:val="right" w:leader="dot" w:pos="9016"/>
            </w:tabs>
            <w:spacing w:line="276" w:lineRule="auto"/>
            <w:rPr>
              <w:rFonts w:ascii="Arial" w:eastAsiaTheme="minorEastAsia" w:hAnsi="Arial" w:cs="Arial"/>
              <w:noProof/>
              <w:kern w:val="2"/>
              <w14:ligatures w14:val="standardContextual"/>
            </w:rPr>
          </w:pPr>
          <w:hyperlink w:anchor="_Toc224564294" w:history="1">
            <w:r w:rsidRPr="00337044">
              <w:rPr>
                <w:rStyle w:val="Hyperlink"/>
                <w:rFonts w:ascii="Arial" w:hAnsi="Arial" w:cs="Arial"/>
                <w:noProof/>
              </w:rPr>
              <w:t>2. Literature Review: Information Security and Service Management Frameworks</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_Toc224564294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4</w:t>
            </w:r>
            <w:r w:rsidRPr="00337044">
              <w:rPr>
                <w:rFonts w:ascii="Arial" w:hAnsi="Arial" w:cs="Arial"/>
                <w:noProof/>
                <w:webHidden/>
              </w:rPr>
              <w:fldChar w:fldCharType="end"/>
            </w:r>
          </w:hyperlink>
        </w:p>
        <w:p w14:paraId="5920B330" w14:textId="624D04AA" w:rsidR="00ED750F" w:rsidRPr="00337044" w:rsidRDefault="00ED750F" w:rsidP="00C414ED">
          <w:pPr>
            <w:pStyle w:val="TOC1"/>
            <w:tabs>
              <w:tab w:val="right" w:leader="dot" w:pos="9016"/>
            </w:tabs>
            <w:spacing w:line="276" w:lineRule="auto"/>
            <w:rPr>
              <w:rFonts w:ascii="Arial" w:eastAsiaTheme="minorEastAsia" w:hAnsi="Arial" w:cs="Arial"/>
              <w:noProof/>
              <w:kern w:val="2"/>
              <w14:ligatures w14:val="standardContextual"/>
            </w:rPr>
          </w:pPr>
          <w:hyperlink w:anchor="_Toc224564295" w:history="1">
            <w:r w:rsidRPr="00337044">
              <w:rPr>
                <w:rStyle w:val="Hyperlink"/>
                <w:rFonts w:ascii="Arial" w:hAnsi="Arial" w:cs="Arial"/>
                <w:noProof/>
              </w:rPr>
              <w:t>3. Case Analysis: Security Challenges at FinSure Bank</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_Toc224564295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6</w:t>
            </w:r>
            <w:r w:rsidRPr="00337044">
              <w:rPr>
                <w:rFonts w:ascii="Arial" w:hAnsi="Arial" w:cs="Arial"/>
                <w:noProof/>
                <w:webHidden/>
              </w:rPr>
              <w:fldChar w:fldCharType="end"/>
            </w:r>
          </w:hyperlink>
        </w:p>
        <w:p w14:paraId="56871652" w14:textId="2FD39E7D" w:rsidR="00ED750F" w:rsidRPr="00337044" w:rsidRDefault="00ED750F" w:rsidP="00C414ED">
          <w:pPr>
            <w:pStyle w:val="TOC1"/>
            <w:tabs>
              <w:tab w:val="right" w:leader="dot" w:pos="9016"/>
            </w:tabs>
            <w:spacing w:line="276" w:lineRule="auto"/>
            <w:rPr>
              <w:rFonts w:ascii="Arial" w:eastAsiaTheme="minorEastAsia" w:hAnsi="Arial" w:cs="Arial"/>
              <w:noProof/>
              <w:kern w:val="2"/>
              <w14:ligatures w14:val="standardContextual"/>
            </w:rPr>
          </w:pPr>
          <w:hyperlink w:anchor="_Toc224564296" w:history="1">
            <w:r w:rsidRPr="00337044">
              <w:rPr>
                <w:rStyle w:val="Hyperlink"/>
                <w:rFonts w:ascii="Arial" w:hAnsi="Arial" w:cs="Arial"/>
                <w:noProof/>
              </w:rPr>
              <w:t>4. Proposed Security, Governance, and Compliance Approach</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_Toc224564296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7</w:t>
            </w:r>
            <w:r w:rsidRPr="00337044">
              <w:rPr>
                <w:rFonts w:ascii="Arial" w:hAnsi="Arial" w:cs="Arial"/>
                <w:noProof/>
                <w:webHidden/>
              </w:rPr>
              <w:fldChar w:fldCharType="end"/>
            </w:r>
          </w:hyperlink>
        </w:p>
        <w:p w14:paraId="1770387C" w14:textId="4BF42C0A" w:rsidR="00ED750F" w:rsidRPr="00337044" w:rsidRDefault="00ED750F" w:rsidP="00C414ED">
          <w:pPr>
            <w:pStyle w:val="TOC1"/>
            <w:tabs>
              <w:tab w:val="right" w:leader="dot" w:pos="9016"/>
            </w:tabs>
            <w:spacing w:line="276" w:lineRule="auto"/>
            <w:rPr>
              <w:rFonts w:ascii="Arial" w:eastAsiaTheme="minorEastAsia" w:hAnsi="Arial" w:cs="Arial"/>
              <w:noProof/>
              <w:kern w:val="2"/>
              <w14:ligatures w14:val="standardContextual"/>
            </w:rPr>
          </w:pPr>
          <w:hyperlink w:anchor="_Toc224564297" w:history="1">
            <w:r w:rsidRPr="00337044">
              <w:rPr>
                <w:rStyle w:val="Hyperlink"/>
                <w:rFonts w:ascii="Arial" w:hAnsi="Arial" w:cs="Arial"/>
                <w:noProof/>
              </w:rPr>
              <w:t>5. The Importance of Evolving Regulations and Standards</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_Toc224564297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11</w:t>
            </w:r>
            <w:r w:rsidRPr="00337044">
              <w:rPr>
                <w:rFonts w:ascii="Arial" w:hAnsi="Arial" w:cs="Arial"/>
                <w:noProof/>
                <w:webHidden/>
              </w:rPr>
              <w:fldChar w:fldCharType="end"/>
            </w:r>
          </w:hyperlink>
        </w:p>
        <w:p w14:paraId="4733A7B7" w14:textId="4D58E223" w:rsidR="00ED750F" w:rsidRPr="00337044" w:rsidRDefault="00ED750F" w:rsidP="00C414ED">
          <w:pPr>
            <w:pStyle w:val="TOC1"/>
            <w:tabs>
              <w:tab w:val="right" w:leader="dot" w:pos="9016"/>
            </w:tabs>
            <w:spacing w:line="276" w:lineRule="auto"/>
            <w:rPr>
              <w:rFonts w:ascii="Arial" w:eastAsiaTheme="minorEastAsia" w:hAnsi="Arial" w:cs="Arial"/>
              <w:noProof/>
              <w:kern w:val="2"/>
              <w14:ligatures w14:val="standardContextual"/>
            </w:rPr>
          </w:pPr>
          <w:hyperlink w:anchor="_Toc224564298" w:history="1">
            <w:r w:rsidRPr="00337044">
              <w:rPr>
                <w:rStyle w:val="Hyperlink"/>
                <w:rFonts w:ascii="Arial" w:hAnsi="Arial" w:cs="Arial"/>
                <w:noProof/>
              </w:rPr>
              <w:t>6. Conclusion</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_Toc224564298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12</w:t>
            </w:r>
            <w:r w:rsidRPr="00337044">
              <w:rPr>
                <w:rFonts w:ascii="Arial" w:hAnsi="Arial" w:cs="Arial"/>
                <w:noProof/>
                <w:webHidden/>
              </w:rPr>
              <w:fldChar w:fldCharType="end"/>
            </w:r>
          </w:hyperlink>
        </w:p>
        <w:p w14:paraId="23B5F9F0" w14:textId="15C61BD5" w:rsidR="00ED750F" w:rsidRPr="00337044" w:rsidRDefault="00ED750F" w:rsidP="00C414ED">
          <w:pPr>
            <w:pStyle w:val="TOC1"/>
            <w:tabs>
              <w:tab w:val="right" w:leader="dot" w:pos="9016"/>
            </w:tabs>
            <w:spacing w:line="276" w:lineRule="auto"/>
            <w:rPr>
              <w:rFonts w:ascii="Arial" w:eastAsiaTheme="minorEastAsia" w:hAnsi="Arial" w:cs="Arial"/>
              <w:noProof/>
              <w:kern w:val="2"/>
              <w14:ligatures w14:val="standardContextual"/>
            </w:rPr>
          </w:pPr>
          <w:hyperlink w:anchor="_Toc224564299" w:history="1">
            <w:r w:rsidRPr="00337044">
              <w:rPr>
                <w:rStyle w:val="Hyperlink"/>
                <w:rFonts w:ascii="Arial" w:hAnsi="Arial" w:cs="Arial"/>
                <w:noProof/>
              </w:rPr>
              <w:t>References</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_Toc224564299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13</w:t>
            </w:r>
            <w:r w:rsidRPr="00337044">
              <w:rPr>
                <w:rFonts w:ascii="Arial" w:hAnsi="Arial" w:cs="Arial"/>
                <w:noProof/>
                <w:webHidden/>
              </w:rPr>
              <w:fldChar w:fldCharType="end"/>
            </w:r>
          </w:hyperlink>
        </w:p>
        <w:p w14:paraId="365E2430" w14:textId="17423997" w:rsidR="0012165A" w:rsidRPr="00337044" w:rsidRDefault="00CB147F" w:rsidP="00C414ED">
          <w:pPr>
            <w:spacing w:line="276" w:lineRule="auto"/>
            <w:rPr>
              <w:rFonts w:ascii="Arial" w:hAnsi="Arial" w:cs="Arial"/>
              <w:b/>
              <w:bCs/>
              <w:i/>
              <w:iCs/>
            </w:rPr>
          </w:pPr>
          <w:r w:rsidRPr="00337044">
            <w:rPr>
              <w:rFonts w:ascii="Arial" w:hAnsi="Arial" w:cs="Arial"/>
              <w:i/>
              <w:iCs/>
              <w:noProof/>
            </w:rPr>
            <w:fldChar w:fldCharType="end"/>
          </w:r>
        </w:p>
      </w:sdtContent>
    </w:sdt>
    <w:p w14:paraId="2930D0E0" w14:textId="4A54D415" w:rsidR="00ED750F" w:rsidRPr="00337044" w:rsidRDefault="004D3B3C" w:rsidP="00C414ED">
      <w:pPr>
        <w:pStyle w:val="TableofFigures"/>
        <w:tabs>
          <w:tab w:val="right" w:leader="dot" w:pos="9016"/>
        </w:tabs>
        <w:spacing w:line="276" w:lineRule="auto"/>
        <w:rPr>
          <w:rFonts w:ascii="Arial" w:eastAsiaTheme="minorEastAsia" w:hAnsi="Arial" w:cs="Arial"/>
          <w:noProof/>
          <w:kern w:val="2"/>
          <w14:ligatures w14:val="standardContextual"/>
        </w:rPr>
      </w:pPr>
      <w:r w:rsidRPr="00337044">
        <w:rPr>
          <w:rFonts w:ascii="Arial" w:hAnsi="Arial" w:cs="Arial"/>
          <w:b/>
          <w:bCs/>
          <w:i/>
          <w:iCs/>
        </w:rPr>
        <w:fldChar w:fldCharType="begin"/>
      </w:r>
      <w:r w:rsidRPr="00337044">
        <w:rPr>
          <w:rFonts w:ascii="Arial" w:hAnsi="Arial" w:cs="Arial"/>
          <w:b/>
          <w:bCs/>
          <w:i/>
          <w:iCs/>
        </w:rPr>
        <w:instrText xml:space="preserve"> TOC \h \z \c "Figure" </w:instrText>
      </w:r>
      <w:r w:rsidRPr="00337044">
        <w:rPr>
          <w:rFonts w:ascii="Arial" w:hAnsi="Arial" w:cs="Arial"/>
          <w:b/>
          <w:bCs/>
          <w:i/>
          <w:iCs/>
        </w:rPr>
        <w:fldChar w:fldCharType="separate"/>
      </w:r>
      <w:hyperlink w:anchor="_Toc224564309" w:history="1">
        <w:r w:rsidR="00ED750F" w:rsidRPr="00337044">
          <w:rPr>
            <w:rStyle w:val="Hyperlink"/>
            <w:rFonts w:ascii="Arial" w:eastAsiaTheme="majorEastAsia" w:hAnsi="Arial" w:cs="Arial"/>
            <w:noProof/>
          </w:rPr>
          <w:t>Figure 1 - FinSure Bank Digital Infrastructure and Security Risks</w:t>
        </w:r>
        <w:r w:rsidR="00ED750F" w:rsidRPr="00337044">
          <w:rPr>
            <w:rFonts w:ascii="Arial" w:hAnsi="Arial" w:cs="Arial"/>
            <w:noProof/>
            <w:webHidden/>
          </w:rPr>
          <w:tab/>
        </w:r>
        <w:r w:rsidR="00ED750F" w:rsidRPr="00337044">
          <w:rPr>
            <w:rFonts w:ascii="Arial" w:hAnsi="Arial" w:cs="Arial"/>
            <w:noProof/>
            <w:webHidden/>
          </w:rPr>
          <w:fldChar w:fldCharType="begin"/>
        </w:r>
        <w:r w:rsidR="00ED750F" w:rsidRPr="00337044">
          <w:rPr>
            <w:rFonts w:ascii="Arial" w:hAnsi="Arial" w:cs="Arial"/>
            <w:noProof/>
            <w:webHidden/>
          </w:rPr>
          <w:instrText xml:space="preserve"> PAGEREF _Toc224564309 \h </w:instrText>
        </w:r>
        <w:r w:rsidR="00ED750F" w:rsidRPr="00337044">
          <w:rPr>
            <w:rFonts w:ascii="Arial" w:hAnsi="Arial" w:cs="Arial"/>
            <w:noProof/>
            <w:webHidden/>
          </w:rPr>
        </w:r>
        <w:r w:rsidR="00ED750F" w:rsidRPr="00337044">
          <w:rPr>
            <w:rFonts w:ascii="Arial" w:hAnsi="Arial" w:cs="Arial"/>
            <w:noProof/>
            <w:webHidden/>
          </w:rPr>
          <w:fldChar w:fldCharType="separate"/>
        </w:r>
        <w:r w:rsidR="00ED750F" w:rsidRPr="00337044">
          <w:rPr>
            <w:rFonts w:ascii="Arial" w:hAnsi="Arial" w:cs="Arial"/>
            <w:noProof/>
            <w:webHidden/>
          </w:rPr>
          <w:t>3</w:t>
        </w:r>
        <w:r w:rsidR="00ED750F" w:rsidRPr="00337044">
          <w:rPr>
            <w:rFonts w:ascii="Arial" w:hAnsi="Arial" w:cs="Arial"/>
            <w:noProof/>
            <w:webHidden/>
          </w:rPr>
          <w:fldChar w:fldCharType="end"/>
        </w:r>
      </w:hyperlink>
    </w:p>
    <w:p w14:paraId="50C9E09D" w14:textId="76C1DCF7" w:rsidR="00ED750F" w:rsidRPr="00337044" w:rsidRDefault="00ED750F" w:rsidP="00C414ED">
      <w:pPr>
        <w:pStyle w:val="TableofFigures"/>
        <w:tabs>
          <w:tab w:val="right" w:leader="dot" w:pos="9016"/>
        </w:tabs>
        <w:spacing w:line="276" w:lineRule="auto"/>
        <w:rPr>
          <w:rFonts w:ascii="Arial" w:eastAsiaTheme="minorEastAsia" w:hAnsi="Arial" w:cs="Arial"/>
          <w:noProof/>
          <w:kern w:val="2"/>
          <w14:ligatures w14:val="standardContextual"/>
        </w:rPr>
      </w:pPr>
      <w:hyperlink w:anchor="_Toc224564310" w:history="1">
        <w:r w:rsidRPr="00337044">
          <w:rPr>
            <w:rStyle w:val="Hyperlink"/>
            <w:rFonts w:ascii="Arial" w:eastAsiaTheme="majorEastAsia" w:hAnsi="Arial" w:cs="Arial"/>
            <w:noProof/>
          </w:rPr>
          <w:t>Figure 2 - ISO/IEC 27001: Principles and practice</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_Toc224564310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5</w:t>
        </w:r>
        <w:r w:rsidRPr="00337044">
          <w:rPr>
            <w:rFonts w:ascii="Arial" w:hAnsi="Arial" w:cs="Arial"/>
            <w:noProof/>
            <w:webHidden/>
          </w:rPr>
          <w:fldChar w:fldCharType="end"/>
        </w:r>
      </w:hyperlink>
    </w:p>
    <w:p w14:paraId="6BBACC90" w14:textId="6798365D" w:rsidR="00ED750F" w:rsidRPr="00337044" w:rsidRDefault="00ED750F" w:rsidP="00C414ED">
      <w:pPr>
        <w:pStyle w:val="TableofFigures"/>
        <w:tabs>
          <w:tab w:val="right" w:leader="dot" w:pos="9016"/>
        </w:tabs>
        <w:spacing w:line="276" w:lineRule="auto"/>
        <w:rPr>
          <w:rFonts w:ascii="Arial" w:eastAsiaTheme="minorEastAsia" w:hAnsi="Arial" w:cs="Arial"/>
          <w:noProof/>
          <w:kern w:val="2"/>
          <w14:ligatures w14:val="standardContextual"/>
        </w:rPr>
      </w:pPr>
      <w:hyperlink w:anchor="_Toc224564311" w:history="1">
        <w:r w:rsidRPr="00337044">
          <w:rPr>
            <w:rStyle w:val="Hyperlink"/>
            <w:rFonts w:ascii="Arial" w:eastAsiaTheme="majorEastAsia" w:hAnsi="Arial" w:cs="Arial"/>
            <w:noProof/>
          </w:rPr>
          <w:t>Figure 3 - Cloud risk and shared responsibility</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_Toc224564311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6</w:t>
        </w:r>
        <w:r w:rsidRPr="00337044">
          <w:rPr>
            <w:rFonts w:ascii="Arial" w:hAnsi="Arial" w:cs="Arial"/>
            <w:noProof/>
            <w:webHidden/>
          </w:rPr>
          <w:fldChar w:fldCharType="end"/>
        </w:r>
      </w:hyperlink>
    </w:p>
    <w:p w14:paraId="78468EDE" w14:textId="712133BF" w:rsidR="00ED750F" w:rsidRPr="00337044" w:rsidRDefault="00ED750F" w:rsidP="00C414ED">
      <w:pPr>
        <w:pStyle w:val="TableofFigures"/>
        <w:tabs>
          <w:tab w:val="right" w:leader="dot" w:pos="9016"/>
        </w:tabs>
        <w:spacing w:line="276" w:lineRule="auto"/>
        <w:rPr>
          <w:rFonts w:ascii="Arial" w:eastAsiaTheme="minorEastAsia" w:hAnsi="Arial" w:cs="Arial"/>
          <w:noProof/>
          <w:kern w:val="2"/>
          <w14:ligatures w14:val="standardContextual"/>
        </w:rPr>
      </w:pPr>
      <w:hyperlink w:anchor="_Toc224564312" w:history="1">
        <w:r w:rsidRPr="00337044">
          <w:rPr>
            <w:rStyle w:val="Hyperlink"/>
            <w:rFonts w:ascii="Arial" w:eastAsiaTheme="majorEastAsia" w:hAnsi="Arial" w:cs="Arial"/>
            <w:noProof/>
          </w:rPr>
          <w:t>Figure 4 - Security Governance Structure</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_Toc224564312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8</w:t>
        </w:r>
        <w:r w:rsidRPr="00337044">
          <w:rPr>
            <w:rFonts w:ascii="Arial" w:hAnsi="Arial" w:cs="Arial"/>
            <w:noProof/>
            <w:webHidden/>
          </w:rPr>
          <w:fldChar w:fldCharType="end"/>
        </w:r>
      </w:hyperlink>
    </w:p>
    <w:p w14:paraId="45E3E3D8" w14:textId="08DF28AE" w:rsidR="00ED750F" w:rsidRPr="00337044" w:rsidRDefault="00ED750F" w:rsidP="00C414ED">
      <w:pPr>
        <w:pStyle w:val="TableofFigures"/>
        <w:tabs>
          <w:tab w:val="right" w:leader="dot" w:pos="9016"/>
        </w:tabs>
        <w:spacing w:line="276" w:lineRule="auto"/>
        <w:rPr>
          <w:rFonts w:ascii="Arial" w:eastAsiaTheme="minorEastAsia" w:hAnsi="Arial" w:cs="Arial"/>
          <w:noProof/>
          <w:kern w:val="2"/>
          <w14:ligatures w14:val="standardContextual"/>
        </w:rPr>
      </w:pPr>
      <w:hyperlink w:anchor="_Toc224564313" w:history="1">
        <w:r w:rsidRPr="00337044">
          <w:rPr>
            <w:rStyle w:val="Hyperlink"/>
            <w:rFonts w:ascii="Arial" w:eastAsiaTheme="majorEastAsia" w:hAnsi="Arial" w:cs="Arial"/>
            <w:noProof/>
          </w:rPr>
          <w:t>Figure 5 - Impact of Regulatory Updates on Organisational Risk</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_Toc224564313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11</w:t>
        </w:r>
        <w:r w:rsidRPr="00337044">
          <w:rPr>
            <w:rFonts w:ascii="Arial" w:hAnsi="Arial" w:cs="Arial"/>
            <w:noProof/>
            <w:webHidden/>
          </w:rPr>
          <w:fldChar w:fldCharType="end"/>
        </w:r>
      </w:hyperlink>
    </w:p>
    <w:p w14:paraId="43284ED2" w14:textId="52A89F6C" w:rsidR="0012165A" w:rsidRPr="00337044" w:rsidRDefault="004D3B3C" w:rsidP="00C414ED">
      <w:pPr>
        <w:spacing w:line="276" w:lineRule="auto"/>
        <w:jc w:val="both"/>
        <w:rPr>
          <w:rFonts w:ascii="Arial" w:hAnsi="Arial" w:cs="Arial"/>
          <w:b/>
          <w:bCs/>
          <w:i/>
          <w:iCs/>
        </w:rPr>
      </w:pPr>
      <w:r w:rsidRPr="00337044">
        <w:rPr>
          <w:rFonts w:ascii="Arial" w:hAnsi="Arial" w:cs="Arial"/>
          <w:b/>
          <w:bCs/>
          <w:i/>
          <w:iCs/>
        </w:rPr>
        <w:fldChar w:fldCharType="end"/>
      </w:r>
    </w:p>
    <w:p w14:paraId="4A7DD7EF" w14:textId="1E271646" w:rsidR="00ED750F" w:rsidRPr="00337044" w:rsidRDefault="00D129EE" w:rsidP="00C414ED">
      <w:pPr>
        <w:pStyle w:val="TableofFigures"/>
        <w:tabs>
          <w:tab w:val="right" w:leader="dot" w:pos="9016"/>
        </w:tabs>
        <w:spacing w:line="276" w:lineRule="auto"/>
        <w:rPr>
          <w:rFonts w:ascii="Arial" w:eastAsiaTheme="minorEastAsia" w:hAnsi="Arial" w:cs="Arial"/>
          <w:noProof/>
          <w:kern w:val="2"/>
          <w14:ligatures w14:val="standardContextual"/>
        </w:rPr>
      </w:pPr>
      <w:r w:rsidRPr="00337044">
        <w:rPr>
          <w:rFonts w:ascii="Arial" w:hAnsi="Arial" w:cs="Arial"/>
          <w:b/>
          <w:bCs/>
          <w:i/>
          <w:iCs/>
        </w:rPr>
        <w:fldChar w:fldCharType="begin"/>
      </w:r>
      <w:r w:rsidRPr="00337044">
        <w:rPr>
          <w:rFonts w:ascii="Arial" w:hAnsi="Arial" w:cs="Arial"/>
          <w:b/>
          <w:bCs/>
          <w:i/>
          <w:iCs/>
        </w:rPr>
        <w:instrText xml:space="preserve"> TOC \h \z \c "Table" </w:instrText>
      </w:r>
      <w:r w:rsidRPr="00337044">
        <w:rPr>
          <w:rFonts w:ascii="Arial" w:hAnsi="Arial" w:cs="Arial"/>
          <w:b/>
          <w:bCs/>
          <w:i/>
          <w:iCs/>
        </w:rPr>
        <w:fldChar w:fldCharType="separate"/>
      </w:r>
      <w:hyperlink w:anchor="_Toc224564314" w:history="1">
        <w:r w:rsidR="00ED750F" w:rsidRPr="00337044">
          <w:rPr>
            <w:rStyle w:val="Hyperlink"/>
            <w:rFonts w:ascii="Arial" w:eastAsiaTheme="majorEastAsia" w:hAnsi="Arial" w:cs="Arial"/>
            <w:noProof/>
          </w:rPr>
          <w:t>Table 1 - Governance and Compliance Framework for FinSure Bank</w:t>
        </w:r>
        <w:r w:rsidR="00ED750F" w:rsidRPr="00337044">
          <w:rPr>
            <w:rFonts w:ascii="Arial" w:hAnsi="Arial" w:cs="Arial"/>
            <w:noProof/>
            <w:webHidden/>
          </w:rPr>
          <w:tab/>
        </w:r>
        <w:r w:rsidR="00ED750F" w:rsidRPr="00337044">
          <w:rPr>
            <w:rFonts w:ascii="Arial" w:hAnsi="Arial" w:cs="Arial"/>
            <w:noProof/>
            <w:webHidden/>
          </w:rPr>
          <w:fldChar w:fldCharType="begin"/>
        </w:r>
        <w:r w:rsidR="00ED750F" w:rsidRPr="00337044">
          <w:rPr>
            <w:rFonts w:ascii="Arial" w:hAnsi="Arial" w:cs="Arial"/>
            <w:noProof/>
            <w:webHidden/>
          </w:rPr>
          <w:instrText xml:space="preserve"> PAGEREF _Toc224564314 \h </w:instrText>
        </w:r>
        <w:r w:rsidR="00ED750F" w:rsidRPr="00337044">
          <w:rPr>
            <w:rFonts w:ascii="Arial" w:hAnsi="Arial" w:cs="Arial"/>
            <w:noProof/>
            <w:webHidden/>
          </w:rPr>
        </w:r>
        <w:r w:rsidR="00ED750F" w:rsidRPr="00337044">
          <w:rPr>
            <w:rFonts w:ascii="Arial" w:hAnsi="Arial" w:cs="Arial"/>
            <w:noProof/>
            <w:webHidden/>
          </w:rPr>
          <w:fldChar w:fldCharType="separate"/>
        </w:r>
        <w:r w:rsidR="00ED750F" w:rsidRPr="00337044">
          <w:rPr>
            <w:rFonts w:ascii="Arial" w:hAnsi="Arial" w:cs="Arial"/>
            <w:noProof/>
            <w:webHidden/>
          </w:rPr>
          <w:t>8</w:t>
        </w:r>
        <w:r w:rsidR="00ED750F" w:rsidRPr="00337044">
          <w:rPr>
            <w:rFonts w:ascii="Arial" w:hAnsi="Arial" w:cs="Arial"/>
            <w:noProof/>
            <w:webHidden/>
          </w:rPr>
          <w:fldChar w:fldCharType="end"/>
        </w:r>
      </w:hyperlink>
    </w:p>
    <w:p w14:paraId="58D1D745" w14:textId="58D4E77B" w:rsidR="00ED750F" w:rsidRPr="00337044" w:rsidRDefault="00ED750F" w:rsidP="00C414ED">
      <w:pPr>
        <w:pStyle w:val="TableofFigures"/>
        <w:tabs>
          <w:tab w:val="right" w:leader="dot" w:pos="9016"/>
        </w:tabs>
        <w:spacing w:line="276" w:lineRule="auto"/>
        <w:rPr>
          <w:rFonts w:ascii="Arial" w:eastAsiaTheme="minorEastAsia" w:hAnsi="Arial" w:cs="Arial"/>
          <w:noProof/>
          <w:kern w:val="2"/>
          <w14:ligatures w14:val="standardContextual"/>
        </w:rPr>
      </w:pPr>
      <w:hyperlink w:anchor="_Toc224564315" w:history="1">
        <w:r w:rsidRPr="00337044">
          <w:rPr>
            <w:rStyle w:val="Hyperlink"/>
            <w:rFonts w:ascii="Arial" w:eastAsiaTheme="majorEastAsia" w:hAnsi="Arial" w:cs="Arial"/>
            <w:noProof/>
          </w:rPr>
          <w:t>Table 2 - Risk Assessment Matrix</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_Toc224564315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9</w:t>
        </w:r>
        <w:r w:rsidRPr="00337044">
          <w:rPr>
            <w:rFonts w:ascii="Arial" w:hAnsi="Arial" w:cs="Arial"/>
            <w:noProof/>
            <w:webHidden/>
          </w:rPr>
          <w:fldChar w:fldCharType="end"/>
        </w:r>
      </w:hyperlink>
    </w:p>
    <w:p w14:paraId="053C5E0B" w14:textId="64E1BF4F" w:rsidR="00ED750F" w:rsidRPr="00337044" w:rsidRDefault="00ED750F" w:rsidP="00C414ED">
      <w:pPr>
        <w:pStyle w:val="TableofFigures"/>
        <w:tabs>
          <w:tab w:val="right" w:leader="dot" w:pos="9016"/>
        </w:tabs>
        <w:spacing w:line="276" w:lineRule="auto"/>
        <w:rPr>
          <w:rFonts w:ascii="Arial" w:eastAsiaTheme="minorEastAsia" w:hAnsi="Arial" w:cs="Arial"/>
          <w:noProof/>
          <w:kern w:val="2"/>
          <w14:ligatures w14:val="standardContextual"/>
        </w:rPr>
      </w:pPr>
      <w:hyperlink w:anchor="_Toc224564316" w:history="1">
        <w:r w:rsidRPr="00337044">
          <w:rPr>
            <w:rStyle w:val="Hyperlink"/>
            <w:rFonts w:ascii="Arial" w:eastAsiaTheme="majorEastAsia" w:hAnsi="Arial" w:cs="Arial"/>
            <w:noProof/>
          </w:rPr>
          <w:t>Table 3 - Technical and Operational Security Controls for FinSure Bank</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_Toc224564316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10</w:t>
        </w:r>
        <w:r w:rsidRPr="00337044">
          <w:rPr>
            <w:rFonts w:ascii="Arial" w:hAnsi="Arial" w:cs="Arial"/>
            <w:noProof/>
            <w:webHidden/>
          </w:rPr>
          <w:fldChar w:fldCharType="end"/>
        </w:r>
      </w:hyperlink>
    </w:p>
    <w:p w14:paraId="77F075A7" w14:textId="01CB3526" w:rsidR="00ED750F" w:rsidRPr="00337044" w:rsidRDefault="00ED750F" w:rsidP="00C414ED">
      <w:pPr>
        <w:pStyle w:val="TableofFigures"/>
        <w:tabs>
          <w:tab w:val="right" w:leader="dot" w:pos="9016"/>
        </w:tabs>
        <w:spacing w:line="276" w:lineRule="auto"/>
        <w:rPr>
          <w:rFonts w:ascii="Arial" w:eastAsiaTheme="minorEastAsia" w:hAnsi="Arial" w:cs="Arial"/>
          <w:noProof/>
          <w:kern w:val="2"/>
          <w14:ligatures w14:val="standardContextual"/>
        </w:rPr>
      </w:pPr>
      <w:hyperlink w:anchor="_Toc224564317" w:history="1">
        <w:r w:rsidRPr="00337044">
          <w:rPr>
            <w:rStyle w:val="Hyperlink"/>
            <w:rFonts w:ascii="Arial" w:eastAsiaTheme="majorEastAsia" w:hAnsi="Arial" w:cs="Arial"/>
            <w:noProof/>
          </w:rPr>
          <w:t>Table 4 - Security Governance Roadmap</w:t>
        </w:r>
        <w:r w:rsidRPr="00337044">
          <w:rPr>
            <w:rFonts w:ascii="Arial" w:hAnsi="Arial" w:cs="Arial"/>
            <w:noProof/>
            <w:webHidden/>
          </w:rPr>
          <w:tab/>
        </w:r>
        <w:r w:rsidRPr="00337044">
          <w:rPr>
            <w:rFonts w:ascii="Arial" w:hAnsi="Arial" w:cs="Arial"/>
            <w:noProof/>
            <w:webHidden/>
          </w:rPr>
          <w:fldChar w:fldCharType="begin"/>
        </w:r>
        <w:r w:rsidRPr="00337044">
          <w:rPr>
            <w:rFonts w:ascii="Arial" w:hAnsi="Arial" w:cs="Arial"/>
            <w:noProof/>
            <w:webHidden/>
          </w:rPr>
          <w:instrText xml:space="preserve"> PAGEREF _Toc224564317 \h </w:instrText>
        </w:r>
        <w:r w:rsidRPr="00337044">
          <w:rPr>
            <w:rFonts w:ascii="Arial" w:hAnsi="Arial" w:cs="Arial"/>
            <w:noProof/>
            <w:webHidden/>
          </w:rPr>
        </w:r>
        <w:r w:rsidRPr="00337044">
          <w:rPr>
            <w:rFonts w:ascii="Arial" w:hAnsi="Arial" w:cs="Arial"/>
            <w:noProof/>
            <w:webHidden/>
          </w:rPr>
          <w:fldChar w:fldCharType="separate"/>
        </w:r>
        <w:r w:rsidRPr="00337044">
          <w:rPr>
            <w:rFonts w:ascii="Arial" w:hAnsi="Arial" w:cs="Arial"/>
            <w:noProof/>
            <w:webHidden/>
          </w:rPr>
          <w:t>10</w:t>
        </w:r>
        <w:r w:rsidRPr="00337044">
          <w:rPr>
            <w:rFonts w:ascii="Arial" w:hAnsi="Arial" w:cs="Arial"/>
            <w:noProof/>
            <w:webHidden/>
          </w:rPr>
          <w:fldChar w:fldCharType="end"/>
        </w:r>
      </w:hyperlink>
    </w:p>
    <w:p w14:paraId="3A9BC24B" w14:textId="5EDE8792" w:rsidR="0012165A" w:rsidRPr="00DB0383" w:rsidRDefault="00D129EE" w:rsidP="00C414ED">
      <w:pPr>
        <w:spacing w:line="276" w:lineRule="auto"/>
        <w:jc w:val="both"/>
        <w:rPr>
          <w:rFonts w:ascii="Arial" w:hAnsi="Arial" w:cs="Arial"/>
          <w:b/>
          <w:bCs/>
          <w:i/>
          <w:iCs/>
          <w:sz w:val="18"/>
          <w:szCs w:val="18"/>
        </w:rPr>
      </w:pPr>
      <w:r w:rsidRPr="00337044">
        <w:rPr>
          <w:rFonts w:ascii="Arial" w:hAnsi="Arial" w:cs="Arial"/>
          <w:b/>
          <w:bCs/>
          <w:i/>
          <w:iCs/>
        </w:rPr>
        <w:fldChar w:fldCharType="end"/>
      </w:r>
    </w:p>
    <w:p w14:paraId="458958A2" w14:textId="77777777" w:rsidR="0012165A" w:rsidRPr="00DB0383" w:rsidRDefault="0012165A" w:rsidP="00CB147F">
      <w:pPr>
        <w:spacing w:line="360" w:lineRule="auto"/>
        <w:jc w:val="both"/>
        <w:rPr>
          <w:rFonts w:ascii="Arial" w:hAnsi="Arial" w:cs="Arial"/>
          <w:i/>
          <w:iCs/>
          <w:sz w:val="18"/>
          <w:szCs w:val="18"/>
        </w:rPr>
      </w:pPr>
    </w:p>
    <w:p w14:paraId="1ED66B22" w14:textId="77777777" w:rsidR="0012165A" w:rsidRPr="00DB0383" w:rsidRDefault="0012165A" w:rsidP="00CB147F">
      <w:pPr>
        <w:spacing w:line="360" w:lineRule="auto"/>
        <w:jc w:val="both"/>
        <w:rPr>
          <w:rFonts w:ascii="Arial" w:hAnsi="Arial" w:cs="Arial"/>
        </w:rPr>
      </w:pPr>
    </w:p>
    <w:p w14:paraId="70433479" w14:textId="77777777" w:rsidR="0012165A" w:rsidRPr="00DB0383" w:rsidRDefault="0012165A" w:rsidP="00CB147F">
      <w:pPr>
        <w:spacing w:line="360" w:lineRule="auto"/>
        <w:jc w:val="both"/>
        <w:rPr>
          <w:rFonts w:ascii="Arial" w:hAnsi="Arial" w:cs="Arial"/>
        </w:rPr>
      </w:pPr>
    </w:p>
    <w:p w14:paraId="2211EA98" w14:textId="77777777" w:rsidR="0012165A" w:rsidRPr="00DB0383" w:rsidRDefault="0012165A" w:rsidP="00CB147F">
      <w:pPr>
        <w:spacing w:line="360" w:lineRule="auto"/>
        <w:jc w:val="both"/>
        <w:rPr>
          <w:rFonts w:ascii="Arial" w:hAnsi="Arial" w:cs="Arial"/>
        </w:rPr>
      </w:pPr>
    </w:p>
    <w:p w14:paraId="4B9D62F7" w14:textId="77777777" w:rsidR="0012165A" w:rsidRPr="00DB0383" w:rsidRDefault="0012165A" w:rsidP="00CB147F">
      <w:pPr>
        <w:spacing w:line="360" w:lineRule="auto"/>
        <w:jc w:val="both"/>
        <w:rPr>
          <w:rFonts w:ascii="Arial" w:hAnsi="Arial" w:cs="Arial"/>
        </w:rPr>
      </w:pPr>
    </w:p>
    <w:p w14:paraId="103396A3" w14:textId="77777777" w:rsidR="0012165A" w:rsidRPr="00DB0383" w:rsidRDefault="0012165A" w:rsidP="00CB147F">
      <w:pPr>
        <w:spacing w:line="360" w:lineRule="auto"/>
        <w:jc w:val="both"/>
        <w:rPr>
          <w:rFonts w:ascii="Arial" w:hAnsi="Arial" w:cs="Arial"/>
        </w:rPr>
      </w:pPr>
    </w:p>
    <w:p w14:paraId="34F2E355" w14:textId="77777777" w:rsidR="0012165A" w:rsidRPr="00DB0383" w:rsidRDefault="0012165A" w:rsidP="00CB147F">
      <w:pPr>
        <w:spacing w:line="360" w:lineRule="auto"/>
        <w:jc w:val="both"/>
        <w:rPr>
          <w:rFonts w:ascii="Arial" w:hAnsi="Arial" w:cs="Arial"/>
        </w:rPr>
      </w:pPr>
    </w:p>
    <w:p w14:paraId="003426D5" w14:textId="77777777" w:rsidR="0012165A" w:rsidRPr="00DB0383" w:rsidRDefault="0012165A" w:rsidP="00CB147F">
      <w:pPr>
        <w:spacing w:line="360" w:lineRule="auto"/>
        <w:jc w:val="both"/>
        <w:rPr>
          <w:rFonts w:ascii="Arial" w:hAnsi="Arial" w:cs="Arial"/>
        </w:rPr>
      </w:pPr>
    </w:p>
    <w:p w14:paraId="1B3EB199" w14:textId="77777777" w:rsidR="0012165A" w:rsidRPr="00DB0383" w:rsidRDefault="0012165A" w:rsidP="00CB147F">
      <w:pPr>
        <w:spacing w:line="360" w:lineRule="auto"/>
        <w:jc w:val="both"/>
        <w:rPr>
          <w:rFonts w:ascii="Arial" w:hAnsi="Arial" w:cs="Arial"/>
        </w:rPr>
      </w:pPr>
    </w:p>
    <w:p w14:paraId="0058DE42" w14:textId="77777777" w:rsidR="0012165A" w:rsidRPr="00DB0383" w:rsidRDefault="0012165A" w:rsidP="00CB147F">
      <w:pPr>
        <w:spacing w:line="360" w:lineRule="auto"/>
        <w:jc w:val="both"/>
        <w:rPr>
          <w:rFonts w:ascii="Arial" w:hAnsi="Arial" w:cs="Arial"/>
        </w:rPr>
      </w:pPr>
    </w:p>
    <w:p w14:paraId="50A899F8" w14:textId="77777777" w:rsidR="0012165A" w:rsidRPr="00DB0383" w:rsidRDefault="0012165A" w:rsidP="00CB147F">
      <w:pPr>
        <w:spacing w:line="360" w:lineRule="auto"/>
        <w:jc w:val="both"/>
        <w:rPr>
          <w:rFonts w:ascii="Arial" w:hAnsi="Arial" w:cs="Arial"/>
        </w:rPr>
      </w:pPr>
    </w:p>
    <w:p w14:paraId="015EAEAD" w14:textId="77777777" w:rsidR="0012165A" w:rsidRPr="00DB0383" w:rsidRDefault="0012165A" w:rsidP="00CB147F">
      <w:pPr>
        <w:spacing w:line="360" w:lineRule="auto"/>
        <w:jc w:val="both"/>
        <w:rPr>
          <w:rFonts w:ascii="Arial" w:hAnsi="Arial" w:cs="Arial"/>
        </w:rPr>
      </w:pPr>
    </w:p>
    <w:p w14:paraId="69A68DEE" w14:textId="47A971B5" w:rsidR="00ED1AE3" w:rsidRPr="00DB0383" w:rsidRDefault="00ED1AE3" w:rsidP="00CB147F">
      <w:pPr>
        <w:spacing w:line="360" w:lineRule="auto"/>
        <w:jc w:val="both"/>
        <w:rPr>
          <w:rFonts w:ascii="Arial" w:hAnsi="Arial" w:cs="Arial"/>
        </w:rPr>
      </w:pPr>
    </w:p>
    <w:p w14:paraId="16F03422" w14:textId="77777777" w:rsidR="00ED1AE3" w:rsidRPr="00DB0383" w:rsidRDefault="00ED1AE3" w:rsidP="00CB147F">
      <w:pPr>
        <w:spacing w:line="360" w:lineRule="auto"/>
        <w:jc w:val="both"/>
        <w:rPr>
          <w:rFonts w:ascii="Arial" w:hAnsi="Arial" w:cs="Arial"/>
        </w:rPr>
      </w:pPr>
    </w:p>
    <w:p w14:paraId="3E17B7C5" w14:textId="77777777" w:rsidR="00ED1AE3" w:rsidRPr="00DB0383" w:rsidRDefault="00ED1AE3" w:rsidP="00CB147F">
      <w:pPr>
        <w:spacing w:line="360" w:lineRule="auto"/>
        <w:jc w:val="both"/>
        <w:rPr>
          <w:rFonts w:ascii="Arial" w:hAnsi="Arial" w:cs="Arial"/>
        </w:rPr>
      </w:pPr>
    </w:p>
    <w:p w14:paraId="0C973903" w14:textId="77777777" w:rsidR="00ED1AE3" w:rsidRPr="00DB0383" w:rsidRDefault="00ED1AE3" w:rsidP="00CB147F">
      <w:pPr>
        <w:spacing w:line="360" w:lineRule="auto"/>
        <w:jc w:val="both"/>
        <w:rPr>
          <w:rFonts w:ascii="Arial" w:hAnsi="Arial" w:cs="Arial"/>
        </w:rPr>
      </w:pPr>
    </w:p>
    <w:p w14:paraId="72834E27" w14:textId="77777777" w:rsidR="00ED1AE3" w:rsidRPr="00DB0383" w:rsidRDefault="00ED1AE3" w:rsidP="00CB147F">
      <w:pPr>
        <w:spacing w:line="360" w:lineRule="auto"/>
        <w:jc w:val="both"/>
        <w:rPr>
          <w:rFonts w:ascii="Arial" w:hAnsi="Arial" w:cs="Arial"/>
        </w:rPr>
      </w:pPr>
    </w:p>
    <w:p w14:paraId="62291229" w14:textId="77777777" w:rsidR="00ED1AE3" w:rsidRPr="00DB0383" w:rsidRDefault="00ED1AE3" w:rsidP="00CB147F">
      <w:pPr>
        <w:spacing w:line="360" w:lineRule="auto"/>
        <w:jc w:val="both"/>
        <w:rPr>
          <w:rFonts w:ascii="Arial" w:hAnsi="Arial" w:cs="Arial"/>
        </w:rPr>
      </w:pPr>
    </w:p>
    <w:p w14:paraId="0664EC1D" w14:textId="5CD3C9D2" w:rsidR="00DF3594" w:rsidRPr="00DB0383" w:rsidRDefault="00ED1AE3" w:rsidP="00CB147F">
      <w:pPr>
        <w:pStyle w:val="Heading1"/>
        <w:spacing w:line="360" w:lineRule="auto"/>
        <w:jc w:val="both"/>
        <w:rPr>
          <w:rFonts w:ascii="Arial" w:hAnsi="Arial" w:cs="Arial"/>
          <w:b/>
          <w:bCs/>
          <w:color w:val="auto"/>
          <w:sz w:val="22"/>
          <w:szCs w:val="22"/>
        </w:rPr>
      </w:pPr>
      <w:bookmarkStart w:id="0" w:name="_Toc224564292"/>
      <w:r w:rsidRPr="00DB0383">
        <w:rPr>
          <w:rFonts w:ascii="Arial" w:hAnsi="Arial" w:cs="Arial"/>
          <w:b/>
          <w:bCs/>
          <w:color w:val="auto"/>
          <w:sz w:val="22"/>
          <w:szCs w:val="22"/>
        </w:rPr>
        <w:lastRenderedPageBreak/>
        <w:t>Information Security, Governance, and Compliance Frameworks for a Cloud-Based Financial Institution: A Case Study of FinSure Bank</w:t>
      </w:r>
      <w:bookmarkEnd w:id="0"/>
    </w:p>
    <w:p w14:paraId="4E8FE6D8" w14:textId="06CB9808" w:rsidR="0000697B" w:rsidRPr="00DB0383" w:rsidRDefault="00ED1AE3" w:rsidP="00CB147F">
      <w:pPr>
        <w:pStyle w:val="Heading1"/>
        <w:spacing w:line="360" w:lineRule="auto"/>
        <w:jc w:val="both"/>
        <w:rPr>
          <w:rFonts w:ascii="Arial" w:hAnsi="Arial" w:cs="Arial"/>
          <w:b/>
          <w:bCs/>
          <w:color w:val="auto"/>
          <w:sz w:val="22"/>
          <w:szCs w:val="22"/>
        </w:rPr>
      </w:pPr>
      <w:bookmarkStart w:id="1" w:name="_Toc224564293"/>
      <w:r w:rsidRPr="00DB0383">
        <w:rPr>
          <w:rFonts w:ascii="Arial" w:hAnsi="Arial" w:cs="Arial"/>
          <w:b/>
          <w:bCs/>
          <w:color w:val="auto"/>
          <w:sz w:val="22"/>
          <w:szCs w:val="22"/>
        </w:rPr>
        <w:t>1. Introduction</w:t>
      </w:r>
      <w:bookmarkEnd w:id="1"/>
    </w:p>
    <w:p w14:paraId="532335C2" w14:textId="0CDD4723" w:rsidR="001836AF" w:rsidRPr="00DB0383" w:rsidRDefault="001836AF" w:rsidP="00CB147F">
      <w:pPr>
        <w:spacing w:line="360" w:lineRule="auto"/>
        <w:jc w:val="both"/>
        <w:rPr>
          <w:rFonts w:ascii="Arial" w:hAnsi="Arial" w:cs="Arial"/>
        </w:rPr>
      </w:pPr>
      <w:r w:rsidRPr="00DB0383">
        <w:rPr>
          <w:rFonts w:ascii="Arial" w:hAnsi="Arial" w:cs="Arial"/>
        </w:rPr>
        <w:t>The financial services sector has experienced profound change in recent years, driven by rapid developments in cloud computing, mobile technologies, and digital service delivery. Many financial institutions now operate with little or no physical presence, relying instead on online platforms to deliver banking, lending, and investment services. While this digital</w:t>
      </w:r>
      <w:r w:rsidRPr="00DB0383">
        <w:rPr>
          <w:rFonts w:ascii="Arial" w:hAnsi="Arial" w:cs="Arial"/>
        </w:rPr>
        <w:noBreakHyphen/>
        <w:t>first model offers clear benefits in terms of accessibility, scalability, and efficiency, it also exposes organisations to heightened cyber threats, increased regulatory expectations, and complex governance demands. Financial data remains one of the most attractive targets for cybercriminals</w:t>
      </w:r>
      <w:r w:rsidR="00B37076" w:rsidRPr="00DB0383">
        <w:rPr>
          <w:rFonts w:ascii="Arial" w:hAnsi="Arial" w:cs="Arial"/>
        </w:rPr>
        <w:t xml:space="preserve"> [1]</w:t>
      </w:r>
      <w:r w:rsidRPr="00DB0383">
        <w:rPr>
          <w:rFonts w:ascii="Arial" w:hAnsi="Arial" w:cs="Arial"/>
        </w:rPr>
        <w:t>, and breaches within this sector can lead to severe financial losses, regulatory sanctions, and lasting reputational harm.</w:t>
      </w:r>
    </w:p>
    <w:p w14:paraId="4782877A" w14:textId="77777777" w:rsidR="0000697B" w:rsidRPr="00DB0383" w:rsidRDefault="0000697B" w:rsidP="00CB147F">
      <w:pPr>
        <w:spacing w:line="360" w:lineRule="auto"/>
        <w:jc w:val="both"/>
        <w:rPr>
          <w:rFonts w:ascii="Arial" w:hAnsi="Arial" w:cs="Arial"/>
        </w:rPr>
      </w:pPr>
    </w:p>
    <w:p w14:paraId="08D238DC" w14:textId="77777777" w:rsidR="001836AF" w:rsidRPr="00DB0383" w:rsidRDefault="001836AF" w:rsidP="00CB147F">
      <w:pPr>
        <w:spacing w:line="360" w:lineRule="auto"/>
        <w:jc w:val="both"/>
        <w:rPr>
          <w:rFonts w:ascii="Arial" w:hAnsi="Arial" w:cs="Arial"/>
        </w:rPr>
      </w:pPr>
      <w:r w:rsidRPr="00DB0383">
        <w:rPr>
          <w:rFonts w:ascii="Arial" w:hAnsi="Arial" w:cs="Arial"/>
        </w:rPr>
        <w:t>FinSure Bank (FSB) exemplifies the characteristics of a modern digital banking organisation. Its operations are built almost entirely on cloud</w:t>
      </w:r>
      <w:r w:rsidRPr="00DB0383">
        <w:rPr>
          <w:rFonts w:ascii="Arial" w:hAnsi="Arial" w:cs="Arial"/>
        </w:rPr>
        <w:noBreakHyphen/>
        <w:t>based infrastructure, and it enables extensive remote access for employees, contractors, and external partners. The organisation’s support for Bring Your Own Device (BYOD) practices and its reliance on mobile banking applications further widen its attack surface and complicate the task of maintaining robust information security. Despite managing highly sensitive personal and financial information, FSB currently lacks a coherent security governance framework, formal risk management processes, and structured compliance auditing. This fragmented approach leaves the organisation vulnerable to data breaches, insider threats, regulatory failures, and operational disruption.</w:t>
      </w:r>
    </w:p>
    <w:p w14:paraId="74719B04" w14:textId="77777777" w:rsidR="00B111B5" w:rsidRPr="00DB0383" w:rsidRDefault="00031C2A" w:rsidP="00B111B5">
      <w:pPr>
        <w:keepNext/>
        <w:spacing w:line="360" w:lineRule="auto"/>
        <w:jc w:val="center"/>
        <w:rPr>
          <w:rFonts w:ascii="Arial" w:hAnsi="Arial" w:cs="Arial"/>
        </w:rPr>
      </w:pPr>
      <w:r w:rsidRPr="00DB0383">
        <w:rPr>
          <w:rFonts w:ascii="Arial" w:hAnsi="Arial" w:cs="Arial"/>
          <w:noProof/>
        </w:rPr>
        <w:drawing>
          <wp:inline distT="0" distB="0" distL="0" distR="0" wp14:anchorId="709672C6" wp14:editId="3682747F">
            <wp:extent cx="3213100" cy="2141949"/>
            <wp:effectExtent l="0" t="0" r="6350" b="0"/>
            <wp:docPr id="1612544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35424" cy="2156831"/>
                    </a:xfrm>
                    <a:prstGeom prst="rect">
                      <a:avLst/>
                    </a:prstGeom>
                    <a:noFill/>
                    <a:ln>
                      <a:noFill/>
                    </a:ln>
                  </pic:spPr>
                </pic:pic>
              </a:graphicData>
            </a:graphic>
          </wp:inline>
        </w:drawing>
      </w:r>
    </w:p>
    <w:p w14:paraId="7B1CDD11" w14:textId="7952EB71" w:rsidR="00031C2A" w:rsidRDefault="00B111B5" w:rsidP="00363897">
      <w:pPr>
        <w:pStyle w:val="Caption"/>
        <w:jc w:val="center"/>
        <w:rPr>
          <w:rFonts w:ascii="Arial" w:hAnsi="Arial" w:cs="Arial"/>
        </w:rPr>
      </w:pPr>
      <w:bookmarkStart w:id="2" w:name="_Toc224564309"/>
      <w:r w:rsidRPr="00DB0383">
        <w:rPr>
          <w:rFonts w:ascii="Arial" w:hAnsi="Arial" w:cs="Arial"/>
        </w:rPr>
        <w:t xml:space="preserve">Figure </w:t>
      </w:r>
      <w:r w:rsidRPr="00DB0383">
        <w:rPr>
          <w:rFonts w:ascii="Arial" w:hAnsi="Arial" w:cs="Arial"/>
        </w:rPr>
        <w:fldChar w:fldCharType="begin"/>
      </w:r>
      <w:r w:rsidRPr="00DB0383">
        <w:rPr>
          <w:rFonts w:ascii="Arial" w:hAnsi="Arial" w:cs="Arial"/>
        </w:rPr>
        <w:instrText xml:space="preserve"> SEQ Figure \* ARABIC </w:instrText>
      </w:r>
      <w:r w:rsidRPr="00DB0383">
        <w:rPr>
          <w:rFonts w:ascii="Arial" w:hAnsi="Arial" w:cs="Arial"/>
        </w:rPr>
        <w:fldChar w:fldCharType="separate"/>
      </w:r>
      <w:r w:rsidR="00547A30" w:rsidRPr="00DB0383">
        <w:rPr>
          <w:rFonts w:ascii="Arial" w:hAnsi="Arial" w:cs="Arial"/>
          <w:noProof/>
        </w:rPr>
        <w:t>1</w:t>
      </w:r>
      <w:r w:rsidRPr="00DB0383">
        <w:rPr>
          <w:rFonts w:ascii="Arial" w:hAnsi="Arial" w:cs="Arial"/>
        </w:rPr>
        <w:fldChar w:fldCharType="end"/>
      </w:r>
      <w:r w:rsidRPr="00DB0383">
        <w:rPr>
          <w:rFonts w:ascii="Arial" w:hAnsi="Arial" w:cs="Arial"/>
        </w:rPr>
        <w:t xml:space="preserve"> - FinSure Bank Digital Infrastructure and Security Risks</w:t>
      </w:r>
      <w:bookmarkEnd w:id="2"/>
    </w:p>
    <w:p w14:paraId="662C9A3D" w14:textId="04072B27" w:rsidR="0000697B" w:rsidRDefault="00AA4B21" w:rsidP="00CB147F">
      <w:pPr>
        <w:spacing w:line="360" w:lineRule="auto"/>
        <w:jc w:val="both"/>
        <w:rPr>
          <w:rFonts w:ascii="Arial" w:hAnsi="Arial" w:cs="Arial"/>
        </w:rPr>
      </w:pPr>
      <w:r w:rsidRPr="00DB0383">
        <w:rPr>
          <w:rFonts w:ascii="Arial" w:hAnsi="Arial" w:cs="Arial"/>
        </w:rPr>
        <w:t>This figure presents a simplified overview of FinSure Bank’s digital environment and key security risks. It shows how cloud services, remote access, BYOD devices, and mobile banking increase the organisation’s attack surface, while weak governance and fragmented security heighten the risk of data breaches and operational disruption.</w:t>
      </w:r>
    </w:p>
    <w:p w14:paraId="7B540DAB" w14:textId="77777777" w:rsidR="00042AF0" w:rsidRPr="00DB0383" w:rsidRDefault="00042AF0" w:rsidP="00CB147F">
      <w:pPr>
        <w:spacing w:line="360" w:lineRule="auto"/>
        <w:jc w:val="both"/>
        <w:rPr>
          <w:rFonts w:ascii="Arial" w:hAnsi="Arial" w:cs="Arial"/>
        </w:rPr>
      </w:pPr>
    </w:p>
    <w:p w14:paraId="03DBFA2F" w14:textId="77232D91" w:rsidR="001836AF" w:rsidRPr="00DB0383" w:rsidRDefault="002F54BE" w:rsidP="00CB147F">
      <w:pPr>
        <w:spacing w:line="360" w:lineRule="auto"/>
        <w:jc w:val="both"/>
        <w:rPr>
          <w:rFonts w:ascii="Arial" w:hAnsi="Arial" w:cs="Arial"/>
        </w:rPr>
      </w:pPr>
      <w:r w:rsidRPr="002F54BE">
        <w:rPr>
          <w:rFonts w:ascii="Arial" w:hAnsi="Arial" w:cs="Arial"/>
        </w:rPr>
        <w:lastRenderedPageBreak/>
        <w:t>This report critically examines established IT service</w:t>
      </w:r>
      <w:r w:rsidRPr="002F54BE">
        <w:rPr>
          <w:rFonts w:ascii="Cambria Math" w:hAnsi="Cambria Math" w:cs="Cambria Math"/>
        </w:rPr>
        <w:t>‑</w:t>
      </w:r>
      <w:r w:rsidRPr="002F54BE">
        <w:rPr>
          <w:rFonts w:ascii="Arial" w:hAnsi="Arial" w:cs="Arial"/>
        </w:rPr>
        <w:t>management and information</w:t>
      </w:r>
      <w:r w:rsidRPr="002F54BE">
        <w:rPr>
          <w:rFonts w:ascii="Cambria Math" w:hAnsi="Cambria Math" w:cs="Cambria Math"/>
        </w:rPr>
        <w:t>‑</w:t>
      </w:r>
      <w:r w:rsidRPr="002F54BE">
        <w:rPr>
          <w:rFonts w:ascii="Arial" w:hAnsi="Arial" w:cs="Arial"/>
        </w:rPr>
        <w:t xml:space="preserve">security frameworks [2] and evaluates how their principles can be applied to develop a comprehensive security, governance and compliance strategy for </w:t>
      </w:r>
      <w:proofErr w:type="spellStart"/>
      <w:r w:rsidRPr="002F54BE">
        <w:rPr>
          <w:rFonts w:ascii="Arial" w:hAnsi="Arial" w:cs="Arial"/>
        </w:rPr>
        <w:t>FinSure</w:t>
      </w:r>
      <w:proofErr w:type="spellEnd"/>
      <w:r w:rsidRPr="002F54BE">
        <w:rPr>
          <w:rFonts w:ascii="Arial" w:hAnsi="Arial" w:cs="Arial"/>
        </w:rPr>
        <w:t xml:space="preserve"> Bank.</w:t>
      </w:r>
      <w:r>
        <w:rPr>
          <w:rFonts w:ascii="Arial" w:hAnsi="Arial" w:cs="Arial"/>
        </w:rPr>
        <w:t xml:space="preserve"> </w:t>
      </w:r>
      <w:r w:rsidR="001836AF" w:rsidRPr="00DB0383">
        <w:rPr>
          <w:rFonts w:ascii="Arial" w:hAnsi="Arial" w:cs="Arial"/>
        </w:rPr>
        <w:t>The discussion draws on peer</w:t>
      </w:r>
      <w:r w:rsidR="001836AF" w:rsidRPr="00DB0383">
        <w:rPr>
          <w:rFonts w:ascii="Arial" w:hAnsi="Arial" w:cs="Arial"/>
        </w:rPr>
        <w:noBreakHyphen/>
        <w:t>reviewed academic literature, recognised industry standards, and relevant regulatory guidance to demonstrate a thorough and critical understanding of contemporary information security challenges. It also considers why regulations and standards must continue to evolve in response to an increasingly complex technological landscape and an ever</w:t>
      </w:r>
      <w:r w:rsidR="001836AF" w:rsidRPr="00DB0383">
        <w:rPr>
          <w:rFonts w:ascii="Arial" w:hAnsi="Arial" w:cs="Arial"/>
        </w:rPr>
        <w:noBreakHyphen/>
        <w:t>shifting threat environment. By situating theoretical concepts within a realistic organisational context, the report seeks to present a practical, defensible, and strategically aligned security approach suitable for a multinational, cloud</w:t>
      </w:r>
      <w:r w:rsidR="001836AF" w:rsidRPr="00DB0383">
        <w:rPr>
          <w:rFonts w:ascii="Arial" w:hAnsi="Arial" w:cs="Arial"/>
        </w:rPr>
        <w:noBreakHyphen/>
        <w:t>based financial institution.</w:t>
      </w:r>
    </w:p>
    <w:p w14:paraId="12101508" w14:textId="71F66087" w:rsidR="00ED1AE3" w:rsidRPr="00DB0383" w:rsidRDefault="00ED1AE3" w:rsidP="00CB147F">
      <w:pPr>
        <w:pStyle w:val="Heading1"/>
        <w:spacing w:line="360" w:lineRule="auto"/>
        <w:jc w:val="both"/>
        <w:rPr>
          <w:rFonts w:ascii="Arial" w:hAnsi="Arial" w:cs="Arial"/>
          <w:b/>
          <w:bCs/>
          <w:color w:val="auto"/>
          <w:sz w:val="22"/>
          <w:szCs w:val="22"/>
        </w:rPr>
      </w:pPr>
      <w:bookmarkStart w:id="3" w:name="_Toc224564294"/>
      <w:r w:rsidRPr="00DB0383">
        <w:rPr>
          <w:rFonts w:ascii="Arial" w:hAnsi="Arial" w:cs="Arial"/>
          <w:b/>
          <w:bCs/>
          <w:color w:val="auto"/>
          <w:sz w:val="22"/>
          <w:szCs w:val="22"/>
        </w:rPr>
        <w:t>2. Literature Review: Information Security and Service Management Frameworks</w:t>
      </w:r>
      <w:bookmarkEnd w:id="3"/>
    </w:p>
    <w:p w14:paraId="1A275045" w14:textId="4C9671DA" w:rsidR="001948B8" w:rsidRDefault="00041F3B" w:rsidP="001948B8">
      <w:pPr>
        <w:spacing w:line="360" w:lineRule="auto"/>
        <w:jc w:val="both"/>
        <w:rPr>
          <w:rFonts w:ascii="Arial" w:hAnsi="Arial" w:cs="Arial"/>
          <w:lang w:eastAsia="en-US"/>
        </w:rPr>
      </w:pPr>
      <w:r w:rsidRPr="00041F3B">
        <w:rPr>
          <w:rFonts w:ascii="Arial" w:hAnsi="Arial" w:cs="Arial"/>
          <w:lang w:eastAsia="en-US"/>
        </w:rPr>
        <w:t>Information security governance is increasingly recognised as a strategic organisational function rather than a purely technical one. Research shows that effective governance depends on aligning security practices with organisational objectives, risk management and regulatory compliance, rather than relying solely on technical controls. Many security failures therefore stem from weaknesses in governance structures and oversight, rather than from technology alone.</w:t>
      </w:r>
    </w:p>
    <w:p w14:paraId="15A96A8C" w14:textId="77777777" w:rsidR="00041F3B" w:rsidRPr="00DB0383" w:rsidRDefault="00041F3B" w:rsidP="001948B8">
      <w:pPr>
        <w:spacing w:line="360" w:lineRule="auto"/>
        <w:jc w:val="both"/>
        <w:rPr>
          <w:rFonts w:ascii="Arial" w:hAnsi="Arial" w:cs="Arial"/>
          <w:lang w:eastAsia="en-US"/>
        </w:rPr>
      </w:pPr>
    </w:p>
    <w:p w14:paraId="713F3643" w14:textId="77777777" w:rsidR="001948B8" w:rsidRPr="00DB0383" w:rsidRDefault="001948B8" w:rsidP="001948B8">
      <w:pPr>
        <w:spacing w:line="360" w:lineRule="auto"/>
        <w:jc w:val="both"/>
        <w:rPr>
          <w:rFonts w:ascii="Arial" w:hAnsi="Arial" w:cs="Arial"/>
          <w:lang w:eastAsia="en-US"/>
        </w:rPr>
      </w:pPr>
      <w:r w:rsidRPr="00DB0383">
        <w:rPr>
          <w:rFonts w:ascii="Arial" w:hAnsi="Arial" w:cs="Arial"/>
          <w:lang w:eastAsia="en-US"/>
        </w:rPr>
        <w:t>The Information Technology Infrastructure Library is one of the most widely adopted frameworks for IT service management. Its purpose is to ensure that IT services support business needs through structured processes such as incident management, change management, service continuity and continual improvement. Although ITIL does not prescribe specific security controls, studies emphasise its value in promoting consistent operational responses to incidents and supporting service availability, both of which are essential in digital financial services [3]. However, the literature also notes that ITIL’s process</w:t>
      </w:r>
      <w:r w:rsidRPr="00DB0383">
        <w:rPr>
          <w:rFonts w:ascii="Cambria Math" w:hAnsi="Cambria Math" w:cs="Cambria Math"/>
          <w:lang w:eastAsia="en-US"/>
        </w:rPr>
        <w:t>‑</w:t>
      </w:r>
      <w:r w:rsidRPr="00DB0383">
        <w:rPr>
          <w:rFonts w:ascii="Arial" w:hAnsi="Arial" w:cs="Arial"/>
          <w:lang w:eastAsia="en-US"/>
        </w:rPr>
        <w:t>driven nature can create unnecessary bureaucracy if implemented without sufficient organisational maturity or strategic clarity [4]. When applied selectively and supported by security</w:t>
      </w:r>
      <w:r w:rsidRPr="00DB0383">
        <w:rPr>
          <w:rFonts w:ascii="Cambria Math" w:hAnsi="Cambria Math" w:cs="Cambria Math"/>
          <w:lang w:eastAsia="en-US"/>
        </w:rPr>
        <w:t>‑</w:t>
      </w:r>
      <w:r w:rsidRPr="00DB0383">
        <w:rPr>
          <w:rFonts w:ascii="Arial" w:hAnsi="Arial" w:cs="Arial"/>
          <w:lang w:eastAsia="en-US"/>
        </w:rPr>
        <w:t>focused standards, ITIL provides a stable operational foundation for managing security</w:t>
      </w:r>
      <w:r w:rsidRPr="00DB0383">
        <w:rPr>
          <w:rFonts w:ascii="Cambria Math" w:hAnsi="Cambria Math" w:cs="Cambria Math"/>
          <w:lang w:eastAsia="en-US"/>
        </w:rPr>
        <w:t>‑</w:t>
      </w:r>
      <w:r w:rsidRPr="00DB0383">
        <w:rPr>
          <w:rFonts w:ascii="Arial" w:hAnsi="Arial" w:cs="Arial"/>
          <w:lang w:eastAsia="en-US"/>
        </w:rPr>
        <w:t>related disruptions.</w:t>
      </w:r>
    </w:p>
    <w:p w14:paraId="2111A852" w14:textId="77777777" w:rsidR="001948B8" w:rsidRPr="00DB0383" w:rsidRDefault="001948B8" w:rsidP="001948B8">
      <w:pPr>
        <w:spacing w:line="360" w:lineRule="auto"/>
        <w:jc w:val="both"/>
        <w:rPr>
          <w:rFonts w:ascii="Arial" w:hAnsi="Arial" w:cs="Arial"/>
          <w:lang w:eastAsia="en-US"/>
        </w:rPr>
      </w:pPr>
    </w:p>
    <w:p w14:paraId="2B6581BA" w14:textId="3D730E8E" w:rsidR="001948B8" w:rsidRPr="00DB0383" w:rsidRDefault="001948B8" w:rsidP="001948B8">
      <w:pPr>
        <w:spacing w:line="360" w:lineRule="auto"/>
        <w:jc w:val="both"/>
        <w:rPr>
          <w:rFonts w:ascii="Arial" w:hAnsi="Arial" w:cs="Arial"/>
          <w:lang w:eastAsia="en-US"/>
        </w:rPr>
      </w:pPr>
      <w:r w:rsidRPr="00DB0383">
        <w:rPr>
          <w:rFonts w:ascii="Arial" w:hAnsi="Arial" w:cs="Arial"/>
          <w:lang w:eastAsia="en-US"/>
        </w:rPr>
        <w:t>ISO/IEC 27001, part of the wider ISO/IEC 27000 family, offers a formal and auditable framework for establishing and improving an Information Security Management System. Its risk</w:t>
      </w:r>
      <w:r w:rsidRPr="00DB0383">
        <w:rPr>
          <w:rFonts w:ascii="Cambria Math" w:hAnsi="Cambria Math" w:cs="Cambria Math"/>
          <w:lang w:eastAsia="en-US"/>
        </w:rPr>
        <w:t>‑</w:t>
      </w:r>
      <w:r w:rsidRPr="00DB0383">
        <w:rPr>
          <w:rFonts w:ascii="Arial" w:hAnsi="Arial" w:cs="Arial"/>
          <w:lang w:eastAsia="en-US"/>
        </w:rPr>
        <w:t>based approach focuses on protecting the confidentiality, integrity and availability of information assets [5]. Research suggests that organisations adopting ISO/IEC 27001 often gain better visibility of security risks, stronger compliance readiness and increased stakeholder confidence. However, scholars caution that certification alone does not guarantee meaningful security improvements. Its effectiveness ultimately depends on organisational culture, leadership commitment and the extent to which security practices are embedded into everyday operations [6].</w:t>
      </w:r>
    </w:p>
    <w:p w14:paraId="2B9CC065" w14:textId="77777777" w:rsidR="003C243D" w:rsidRPr="00DB0383" w:rsidRDefault="003350AE" w:rsidP="003C243D">
      <w:pPr>
        <w:keepNext/>
        <w:spacing w:line="360" w:lineRule="auto"/>
        <w:jc w:val="center"/>
        <w:rPr>
          <w:rFonts w:ascii="Arial" w:hAnsi="Arial" w:cs="Arial"/>
        </w:rPr>
      </w:pPr>
      <w:r w:rsidRPr="00DB0383">
        <w:rPr>
          <w:rFonts w:ascii="Arial" w:hAnsi="Arial" w:cs="Arial"/>
          <w:noProof/>
        </w:rPr>
        <w:lastRenderedPageBreak/>
        <w:drawing>
          <wp:inline distT="0" distB="0" distL="0" distR="0" wp14:anchorId="74E3E914" wp14:editId="0DFC562C">
            <wp:extent cx="2184400" cy="3554875"/>
            <wp:effectExtent l="0" t="0" r="6350" b="7620"/>
            <wp:docPr id="806495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9252" t="3989" r="9249" b="7591"/>
                    <a:stretch>
                      <a:fillRect/>
                    </a:stretch>
                  </pic:blipFill>
                  <pic:spPr bwMode="auto">
                    <a:xfrm>
                      <a:off x="0" y="0"/>
                      <a:ext cx="2207328" cy="3592189"/>
                    </a:xfrm>
                    <a:prstGeom prst="rect">
                      <a:avLst/>
                    </a:prstGeom>
                    <a:noFill/>
                    <a:ln>
                      <a:noFill/>
                    </a:ln>
                    <a:extLst>
                      <a:ext uri="{53640926-AAD7-44D8-BBD7-CCE9431645EC}">
                        <a14:shadowObscured xmlns:a14="http://schemas.microsoft.com/office/drawing/2010/main"/>
                      </a:ext>
                    </a:extLst>
                  </pic:spPr>
                </pic:pic>
              </a:graphicData>
            </a:graphic>
          </wp:inline>
        </w:drawing>
      </w:r>
    </w:p>
    <w:p w14:paraId="62E898FA" w14:textId="15718B7D" w:rsidR="003350AE" w:rsidRDefault="003C243D" w:rsidP="00363897">
      <w:pPr>
        <w:pStyle w:val="Caption"/>
        <w:jc w:val="center"/>
        <w:rPr>
          <w:rFonts w:ascii="Arial" w:hAnsi="Arial" w:cs="Arial"/>
        </w:rPr>
      </w:pPr>
      <w:bookmarkStart w:id="4" w:name="_Toc224564310"/>
      <w:r w:rsidRPr="00DB0383">
        <w:rPr>
          <w:rFonts w:ascii="Arial" w:hAnsi="Arial" w:cs="Arial"/>
        </w:rPr>
        <w:t xml:space="preserve">Figure </w:t>
      </w:r>
      <w:r w:rsidRPr="00DB0383">
        <w:rPr>
          <w:rFonts w:ascii="Arial" w:hAnsi="Arial" w:cs="Arial"/>
        </w:rPr>
        <w:fldChar w:fldCharType="begin"/>
      </w:r>
      <w:r w:rsidRPr="00DB0383">
        <w:rPr>
          <w:rFonts w:ascii="Arial" w:hAnsi="Arial" w:cs="Arial"/>
        </w:rPr>
        <w:instrText xml:space="preserve"> SEQ Figure \* ARABIC </w:instrText>
      </w:r>
      <w:r w:rsidRPr="00DB0383">
        <w:rPr>
          <w:rFonts w:ascii="Arial" w:hAnsi="Arial" w:cs="Arial"/>
        </w:rPr>
        <w:fldChar w:fldCharType="separate"/>
      </w:r>
      <w:r w:rsidR="00547A30" w:rsidRPr="00DB0383">
        <w:rPr>
          <w:rFonts w:ascii="Arial" w:hAnsi="Arial" w:cs="Arial"/>
          <w:noProof/>
        </w:rPr>
        <w:t>2</w:t>
      </w:r>
      <w:r w:rsidRPr="00DB0383">
        <w:rPr>
          <w:rFonts w:ascii="Arial" w:hAnsi="Arial" w:cs="Arial"/>
        </w:rPr>
        <w:fldChar w:fldCharType="end"/>
      </w:r>
      <w:r w:rsidRPr="00DB0383">
        <w:rPr>
          <w:rFonts w:ascii="Arial" w:hAnsi="Arial" w:cs="Arial"/>
        </w:rPr>
        <w:t xml:space="preserve"> - ISO/IEC 27001: Principles and practice</w:t>
      </w:r>
      <w:bookmarkEnd w:id="4"/>
    </w:p>
    <w:p w14:paraId="0B5BA732" w14:textId="61D4D398" w:rsidR="0000697B" w:rsidRPr="00DB0383" w:rsidRDefault="0034339C" w:rsidP="00CB147F">
      <w:pPr>
        <w:spacing w:line="360" w:lineRule="auto"/>
        <w:jc w:val="both"/>
        <w:rPr>
          <w:rFonts w:ascii="Arial" w:hAnsi="Arial" w:cs="Arial"/>
        </w:rPr>
      </w:pPr>
      <w:r w:rsidRPr="00DB0383">
        <w:rPr>
          <w:rFonts w:ascii="Arial" w:hAnsi="Arial" w:cs="Arial"/>
        </w:rPr>
        <w:t>This conceptual diagram illustrates the core structure and practical considerations of ISO/IEC 27001 implementation.</w:t>
      </w:r>
    </w:p>
    <w:p w14:paraId="1F349A00" w14:textId="77777777" w:rsidR="00E86F12" w:rsidRPr="00DB0383" w:rsidRDefault="00E86F12" w:rsidP="00CB147F">
      <w:pPr>
        <w:spacing w:line="360" w:lineRule="auto"/>
        <w:jc w:val="both"/>
        <w:rPr>
          <w:rFonts w:ascii="Arial" w:hAnsi="Arial" w:cs="Arial"/>
        </w:rPr>
      </w:pPr>
    </w:p>
    <w:p w14:paraId="1FA68BF9" w14:textId="77777777" w:rsidR="00B64D40" w:rsidRPr="00DB0383" w:rsidRDefault="00B64D40" w:rsidP="00E86F12">
      <w:pPr>
        <w:spacing w:line="360" w:lineRule="auto"/>
        <w:jc w:val="both"/>
        <w:rPr>
          <w:rFonts w:ascii="Arial" w:hAnsi="Arial" w:cs="Arial"/>
        </w:rPr>
      </w:pPr>
      <w:r w:rsidRPr="00DB0383">
        <w:rPr>
          <w:rFonts w:ascii="Arial" w:hAnsi="Arial" w:cs="Arial"/>
        </w:rPr>
        <w:t>Recent academic and industry literature increasingly highlights the importance of integrating security frameworks with wider governance and regulatory requirements [7], particularly in financial services where compliance demands are extensive. The introduction of the General Data Protection Regulation has significantly raised expectations around the handling of personal data. Article 5 outlines the core principles of lawful, fair, transparent and accountable processing, while Article 32 requires organisations to implement appropriate technical and organisational safeguards. Article 33 further obliges organisations to report personal data breaches within 72 hours. These requirements have elevated compliance standards across all sectors, especially for cloud</w:t>
      </w:r>
      <w:r w:rsidRPr="00DB0383">
        <w:rPr>
          <w:rFonts w:ascii="Cambria Math" w:hAnsi="Cambria Math" w:cs="Cambria Math"/>
        </w:rPr>
        <w:t>‑</w:t>
      </w:r>
      <w:r w:rsidRPr="00DB0383">
        <w:rPr>
          <w:rFonts w:ascii="Arial" w:hAnsi="Arial" w:cs="Arial"/>
        </w:rPr>
        <w:t>based and multinational financial institutions where data flows are complex and the consequences of breaches are severe.</w:t>
      </w:r>
    </w:p>
    <w:p w14:paraId="4FF91461" w14:textId="77777777" w:rsidR="00E86F12" w:rsidRPr="00DB0383" w:rsidRDefault="00E86F12" w:rsidP="00E86F12">
      <w:pPr>
        <w:spacing w:line="360" w:lineRule="auto"/>
        <w:jc w:val="both"/>
        <w:rPr>
          <w:rFonts w:ascii="Arial" w:hAnsi="Arial" w:cs="Arial"/>
        </w:rPr>
      </w:pPr>
    </w:p>
    <w:p w14:paraId="53548315" w14:textId="77777777" w:rsidR="00B64D40" w:rsidRPr="00DB0383" w:rsidRDefault="00B64D40" w:rsidP="00E86F12">
      <w:pPr>
        <w:spacing w:line="360" w:lineRule="auto"/>
        <w:jc w:val="both"/>
        <w:rPr>
          <w:rFonts w:ascii="Arial" w:hAnsi="Arial" w:cs="Arial"/>
        </w:rPr>
      </w:pPr>
      <w:r w:rsidRPr="00DB0383">
        <w:rPr>
          <w:rFonts w:ascii="Arial" w:hAnsi="Arial" w:cs="Arial"/>
        </w:rPr>
        <w:t>ISO/IEC 27001 provides a clear and certifiable structure for developing an Information Security Management System, with a strong focus on security controls and risk</w:t>
      </w:r>
      <w:r w:rsidRPr="00DB0383">
        <w:rPr>
          <w:rFonts w:ascii="Cambria Math" w:hAnsi="Cambria Math" w:cs="Cambria Math"/>
        </w:rPr>
        <w:t>‑</w:t>
      </w:r>
      <w:r w:rsidRPr="00DB0383">
        <w:rPr>
          <w:rFonts w:ascii="Arial" w:hAnsi="Arial" w:cs="Arial"/>
        </w:rPr>
        <w:t>management processes. In contrast, COBIT 2019 adopts a broader enterprise</w:t>
      </w:r>
      <w:r w:rsidRPr="00DB0383">
        <w:rPr>
          <w:rFonts w:ascii="Cambria Math" w:hAnsi="Cambria Math" w:cs="Cambria Math"/>
        </w:rPr>
        <w:t>‑</w:t>
      </w:r>
      <w:r w:rsidRPr="00DB0383">
        <w:rPr>
          <w:rFonts w:ascii="Arial" w:hAnsi="Arial" w:cs="Arial"/>
        </w:rPr>
        <w:t>governance perspective, emphasising strategic alignment, performance measurement and stakeholder value. ISO 27001 is therefore more operational, while COBIT addresses governance at a higher organisational level. However, COBIT’s breadth can make it difficult for smaller or less mature organisations to implement fully. The NIST Cybersecurity Framework offers flexibility and a risk</w:t>
      </w:r>
      <w:r w:rsidRPr="00DB0383">
        <w:rPr>
          <w:rFonts w:ascii="Cambria Math" w:hAnsi="Cambria Math" w:cs="Cambria Math"/>
        </w:rPr>
        <w:t>‑</w:t>
      </w:r>
      <w:r w:rsidRPr="00DB0383">
        <w:rPr>
          <w:rFonts w:ascii="Arial" w:hAnsi="Arial" w:cs="Arial"/>
        </w:rPr>
        <w:t xml:space="preserve">based structure, but the absence of formal certification may reduce its perceived regulatory assurance in multinational financial environments. For FinSure Bank, a blended approach that uses ISO 27001 for structured risk management, ITIL for service continuity and </w:t>
      </w:r>
      <w:r w:rsidRPr="00DB0383">
        <w:rPr>
          <w:rFonts w:ascii="Arial" w:hAnsi="Arial" w:cs="Arial"/>
        </w:rPr>
        <w:lastRenderedPageBreak/>
        <w:t>selected COBIT principles for strategic alignment provides a more balanced and context</w:t>
      </w:r>
      <w:r w:rsidRPr="00DB0383">
        <w:rPr>
          <w:rFonts w:ascii="Cambria Math" w:hAnsi="Cambria Math" w:cs="Cambria Math"/>
        </w:rPr>
        <w:t>‑</w:t>
      </w:r>
      <w:r w:rsidRPr="00DB0383">
        <w:rPr>
          <w:rFonts w:ascii="Arial" w:hAnsi="Arial" w:cs="Arial"/>
        </w:rPr>
        <w:t>appropriate solution.</w:t>
      </w:r>
    </w:p>
    <w:p w14:paraId="0F6AF4C0" w14:textId="77777777" w:rsidR="00DF5DC9" w:rsidRPr="00DB0383" w:rsidRDefault="00DF5DC9" w:rsidP="00E86F12">
      <w:pPr>
        <w:spacing w:line="360" w:lineRule="auto"/>
        <w:jc w:val="both"/>
        <w:rPr>
          <w:rFonts w:ascii="Arial" w:hAnsi="Arial" w:cs="Arial"/>
        </w:rPr>
      </w:pPr>
    </w:p>
    <w:p w14:paraId="04CBE577" w14:textId="28562083" w:rsidR="00A23288" w:rsidRPr="00DB0383" w:rsidRDefault="00B64D40" w:rsidP="00CB147F">
      <w:pPr>
        <w:spacing w:line="360" w:lineRule="auto"/>
        <w:jc w:val="both"/>
        <w:rPr>
          <w:rFonts w:ascii="Arial" w:hAnsi="Arial" w:cs="Arial"/>
        </w:rPr>
      </w:pPr>
      <w:r w:rsidRPr="00DB0383">
        <w:rPr>
          <w:rFonts w:ascii="Arial" w:hAnsi="Arial" w:cs="Arial"/>
        </w:rPr>
        <w:t>Overall, the literature makes clear that no single framework is sufficient in isolation. Effective information security governance emerges from integrating service</w:t>
      </w:r>
      <w:r w:rsidRPr="00DB0383">
        <w:rPr>
          <w:rFonts w:ascii="Cambria Math" w:hAnsi="Cambria Math" w:cs="Cambria Math"/>
        </w:rPr>
        <w:t>‑</w:t>
      </w:r>
      <w:r w:rsidRPr="00DB0383">
        <w:rPr>
          <w:rFonts w:ascii="Arial" w:hAnsi="Arial" w:cs="Arial"/>
        </w:rPr>
        <w:t>management approaches such as ITIL with security standards like ISO/IEC 27001. This combined model strengthens operational resilience, supports regulatory compliance and enables organisations to manage security risks in a proportionate and context</w:t>
      </w:r>
      <w:r w:rsidRPr="00DB0383">
        <w:rPr>
          <w:rFonts w:ascii="Cambria Math" w:hAnsi="Cambria Math" w:cs="Cambria Math"/>
        </w:rPr>
        <w:t>‑</w:t>
      </w:r>
      <w:r w:rsidRPr="00DB0383">
        <w:rPr>
          <w:rFonts w:ascii="Arial" w:hAnsi="Arial" w:cs="Arial"/>
        </w:rPr>
        <w:t>sensitive way within an increasingly complex digital landscape.</w:t>
      </w:r>
    </w:p>
    <w:p w14:paraId="1B3F8DC0" w14:textId="46153DD7" w:rsidR="00ED1AE3" w:rsidRPr="00DB0383" w:rsidRDefault="00ED1AE3" w:rsidP="00B2344C">
      <w:pPr>
        <w:pStyle w:val="Heading1"/>
        <w:spacing w:line="360" w:lineRule="auto"/>
        <w:jc w:val="both"/>
        <w:rPr>
          <w:rFonts w:ascii="Arial" w:hAnsi="Arial" w:cs="Arial"/>
          <w:b/>
          <w:bCs/>
          <w:sz w:val="22"/>
          <w:szCs w:val="22"/>
        </w:rPr>
      </w:pPr>
      <w:bookmarkStart w:id="5" w:name="_Toc224564295"/>
      <w:r w:rsidRPr="00DB0383">
        <w:rPr>
          <w:rFonts w:ascii="Arial" w:hAnsi="Arial" w:cs="Arial"/>
          <w:b/>
          <w:bCs/>
          <w:color w:val="auto"/>
          <w:sz w:val="22"/>
          <w:szCs w:val="22"/>
        </w:rPr>
        <w:t>3. Case Analysis: Security Challenges at FinSure Bank</w:t>
      </w:r>
      <w:bookmarkEnd w:id="5"/>
    </w:p>
    <w:p w14:paraId="7338541F" w14:textId="4753C4EC" w:rsidR="00A128B7" w:rsidRDefault="0083292B" w:rsidP="00CB147F">
      <w:pPr>
        <w:spacing w:line="360" w:lineRule="auto"/>
        <w:jc w:val="both"/>
        <w:rPr>
          <w:rFonts w:ascii="Arial" w:hAnsi="Arial" w:cs="Arial"/>
        </w:rPr>
      </w:pPr>
      <w:r w:rsidRPr="00DB0383">
        <w:rPr>
          <w:rFonts w:ascii="Arial" w:hAnsi="Arial" w:cs="Arial"/>
        </w:rPr>
        <w:t>FinSure Bank operates within a highly complex, risk</w:t>
      </w:r>
      <w:r w:rsidRPr="00DB0383">
        <w:rPr>
          <w:rFonts w:ascii="Arial" w:hAnsi="Arial" w:cs="Arial"/>
        </w:rPr>
        <w:noBreakHyphen/>
        <w:t>sensitive, and tightly regulated environment. Its extensive dependence on externally hosted cloud infrastructure creates significant challenges around shared responsibility, governance oversight, and third</w:t>
      </w:r>
      <w:r w:rsidRPr="00DB0383">
        <w:rPr>
          <w:rFonts w:ascii="Arial" w:hAnsi="Arial" w:cs="Arial"/>
        </w:rPr>
        <w:noBreakHyphen/>
        <w:t>party risk management. Although cloud service providers generally offer robust baseline security controls, the ultimate responsibility for safeguarding data, managing access, and ensuring regulatory compliance remains with the organisation that owns the information and services. Research consistently identifies misconfigured cloud environments as one of the most common causes of data breaches</w:t>
      </w:r>
      <w:r w:rsidR="00743CA7" w:rsidRPr="00DB0383">
        <w:rPr>
          <w:rFonts w:ascii="Arial" w:hAnsi="Arial" w:cs="Arial"/>
        </w:rPr>
        <w:t xml:space="preserve"> [9]</w:t>
      </w:r>
      <w:r w:rsidRPr="00DB0383">
        <w:rPr>
          <w:rFonts w:ascii="Arial" w:hAnsi="Arial" w:cs="Arial"/>
        </w:rPr>
        <w:t>, highlighting the need for strong governance, clear visibility, and effective control mechanisms across cloud</w:t>
      </w:r>
      <w:r w:rsidRPr="00DB0383">
        <w:rPr>
          <w:rFonts w:ascii="Arial" w:hAnsi="Arial" w:cs="Arial"/>
        </w:rPr>
        <w:noBreakHyphen/>
        <w:t>based systems.</w:t>
      </w:r>
    </w:p>
    <w:p w14:paraId="0E08E647" w14:textId="77777777" w:rsidR="0090202E" w:rsidRPr="00DB0383" w:rsidRDefault="0090202E" w:rsidP="00CB147F">
      <w:pPr>
        <w:spacing w:line="360" w:lineRule="auto"/>
        <w:jc w:val="both"/>
        <w:rPr>
          <w:rFonts w:ascii="Arial" w:hAnsi="Arial" w:cs="Arial"/>
        </w:rPr>
      </w:pPr>
    </w:p>
    <w:p w14:paraId="156E99C7" w14:textId="77777777" w:rsidR="00C51B5A" w:rsidRPr="00DB0383" w:rsidRDefault="00FC48A5" w:rsidP="00C51B5A">
      <w:pPr>
        <w:keepNext/>
        <w:spacing w:line="360" w:lineRule="auto"/>
        <w:jc w:val="center"/>
        <w:rPr>
          <w:rFonts w:ascii="Arial" w:hAnsi="Arial" w:cs="Arial"/>
        </w:rPr>
      </w:pPr>
      <w:r w:rsidRPr="00DB0383">
        <w:rPr>
          <w:rFonts w:ascii="Arial" w:hAnsi="Arial" w:cs="Arial"/>
          <w:noProof/>
        </w:rPr>
        <w:drawing>
          <wp:inline distT="0" distB="0" distL="0" distR="0" wp14:anchorId="38BBEF11" wp14:editId="71B12A69">
            <wp:extent cx="2236077" cy="3213100"/>
            <wp:effectExtent l="0" t="0" r="0" b="6350"/>
            <wp:docPr id="16405858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4301" t="9343" r="9679" b="8254"/>
                    <a:stretch>
                      <a:fillRect/>
                    </a:stretch>
                  </pic:blipFill>
                  <pic:spPr bwMode="auto">
                    <a:xfrm>
                      <a:off x="0" y="0"/>
                      <a:ext cx="2261187" cy="3249181"/>
                    </a:xfrm>
                    <a:prstGeom prst="rect">
                      <a:avLst/>
                    </a:prstGeom>
                    <a:noFill/>
                    <a:ln>
                      <a:noFill/>
                    </a:ln>
                    <a:extLst>
                      <a:ext uri="{53640926-AAD7-44D8-BBD7-CCE9431645EC}">
                        <a14:shadowObscured xmlns:a14="http://schemas.microsoft.com/office/drawing/2010/main"/>
                      </a:ext>
                    </a:extLst>
                  </pic:spPr>
                </pic:pic>
              </a:graphicData>
            </a:graphic>
          </wp:inline>
        </w:drawing>
      </w:r>
    </w:p>
    <w:p w14:paraId="22CBDE97" w14:textId="53E99DDC" w:rsidR="00FC48A5" w:rsidRDefault="00C51B5A" w:rsidP="00D3793B">
      <w:pPr>
        <w:pStyle w:val="Caption"/>
        <w:jc w:val="center"/>
        <w:rPr>
          <w:rFonts w:ascii="Arial" w:hAnsi="Arial" w:cs="Arial"/>
        </w:rPr>
      </w:pPr>
      <w:bookmarkStart w:id="6" w:name="_Toc224564311"/>
      <w:r w:rsidRPr="00DB0383">
        <w:rPr>
          <w:rFonts w:ascii="Arial" w:hAnsi="Arial" w:cs="Arial"/>
        </w:rPr>
        <w:t xml:space="preserve">Figure </w:t>
      </w:r>
      <w:r w:rsidRPr="00DB0383">
        <w:rPr>
          <w:rFonts w:ascii="Arial" w:hAnsi="Arial" w:cs="Arial"/>
        </w:rPr>
        <w:fldChar w:fldCharType="begin"/>
      </w:r>
      <w:r w:rsidRPr="00DB0383">
        <w:rPr>
          <w:rFonts w:ascii="Arial" w:hAnsi="Arial" w:cs="Arial"/>
        </w:rPr>
        <w:instrText xml:space="preserve"> SEQ Figure \* ARABIC </w:instrText>
      </w:r>
      <w:r w:rsidRPr="00DB0383">
        <w:rPr>
          <w:rFonts w:ascii="Arial" w:hAnsi="Arial" w:cs="Arial"/>
        </w:rPr>
        <w:fldChar w:fldCharType="separate"/>
      </w:r>
      <w:r w:rsidR="00547A30" w:rsidRPr="00DB0383">
        <w:rPr>
          <w:rFonts w:ascii="Arial" w:hAnsi="Arial" w:cs="Arial"/>
          <w:noProof/>
        </w:rPr>
        <w:t>3</w:t>
      </w:r>
      <w:r w:rsidRPr="00DB0383">
        <w:rPr>
          <w:rFonts w:ascii="Arial" w:hAnsi="Arial" w:cs="Arial"/>
        </w:rPr>
        <w:fldChar w:fldCharType="end"/>
      </w:r>
      <w:r w:rsidRPr="00DB0383">
        <w:rPr>
          <w:rFonts w:ascii="Arial" w:hAnsi="Arial" w:cs="Arial"/>
        </w:rPr>
        <w:t xml:space="preserve"> - Cloud risk and shared responsibility</w:t>
      </w:r>
      <w:bookmarkEnd w:id="6"/>
    </w:p>
    <w:p w14:paraId="21780145" w14:textId="393B1899" w:rsidR="0000697B" w:rsidRPr="00DB0383" w:rsidRDefault="009237CE" w:rsidP="00CB147F">
      <w:pPr>
        <w:spacing w:line="360" w:lineRule="auto"/>
        <w:jc w:val="both"/>
        <w:rPr>
          <w:rFonts w:ascii="Arial" w:hAnsi="Arial" w:cs="Arial"/>
        </w:rPr>
      </w:pPr>
      <w:r w:rsidRPr="00DB0383">
        <w:rPr>
          <w:rFonts w:ascii="Arial" w:hAnsi="Arial" w:cs="Arial"/>
        </w:rPr>
        <w:t>This diagram illustrates the relationship between FinSure Bank and its external cloud provider. It highlights the concept of shared responsibility, where both parties play a role in securing data and managing risks. The warning icon represents the potential for misconfiguration, a common cause of cloud-related breaches.</w:t>
      </w:r>
    </w:p>
    <w:p w14:paraId="7CF8D990" w14:textId="77777777" w:rsidR="009237CE" w:rsidRPr="00DB0383" w:rsidRDefault="009237CE" w:rsidP="00CB147F">
      <w:pPr>
        <w:spacing w:line="360" w:lineRule="auto"/>
        <w:jc w:val="both"/>
        <w:rPr>
          <w:rFonts w:ascii="Arial" w:hAnsi="Arial" w:cs="Arial"/>
        </w:rPr>
      </w:pPr>
    </w:p>
    <w:p w14:paraId="1FB18AC1" w14:textId="35FD40FD" w:rsidR="0083292B" w:rsidRPr="00DB0383" w:rsidRDefault="0083292B" w:rsidP="00CB147F">
      <w:pPr>
        <w:spacing w:line="360" w:lineRule="auto"/>
        <w:jc w:val="both"/>
        <w:rPr>
          <w:rFonts w:ascii="Arial" w:hAnsi="Arial" w:cs="Arial"/>
        </w:rPr>
      </w:pPr>
      <w:r w:rsidRPr="00DB0383">
        <w:rPr>
          <w:rFonts w:ascii="Arial" w:hAnsi="Arial" w:cs="Arial"/>
        </w:rPr>
        <w:lastRenderedPageBreak/>
        <w:t xml:space="preserve">The organisation’s adoption of Bring Your Own Device (BYOD) practices adds another layer of complexity to its security posture. </w:t>
      </w:r>
      <w:r w:rsidR="00483793" w:rsidRPr="00483793">
        <w:rPr>
          <w:rFonts w:ascii="Arial" w:hAnsi="Arial" w:cs="Arial"/>
        </w:rPr>
        <w:t>Personal devices often lack consistent security configuration, patch management and monitoring</w:t>
      </w:r>
      <w:r w:rsidRPr="00DB0383">
        <w:rPr>
          <w:rFonts w:ascii="Arial" w:hAnsi="Arial" w:cs="Arial"/>
        </w:rPr>
        <w:t>. As a result, the likelihood of data leakage, compromised credentials, and unauthorised access increases considerably. Academic studies show that BYOD environments can significantly heighten insider threat risks when they are not supported by well</w:t>
      </w:r>
      <w:r w:rsidRPr="00DB0383">
        <w:rPr>
          <w:rFonts w:ascii="Arial" w:hAnsi="Arial" w:cs="Arial"/>
        </w:rPr>
        <w:noBreakHyphen/>
        <w:t>defined policies, robust technical safeguards, and comprehensive user awareness initiatives</w:t>
      </w:r>
      <w:r w:rsidR="003F61D4" w:rsidRPr="00DB0383">
        <w:rPr>
          <w:rFonts w:ascii="Arial" w:hAnsi="Arial" w:cs="Arial"/>
        </w:rPr>
        <w:t xml:space="preserve"> [10]</w:t>
      </w:r>
      <w:r w:rsidRPr="00DB0383">
        <w:rPr>
          <w:rFonts w:ascii="Arial" w:hAnsi="Arial" w:cs="Arial"/>
        </w:rPr>
        <w:t>. This challenge is particularly pronounced in financial institutions, where staff and contractors routinely handle highly sensitive customer and transactional information.</w:t>
      </w:r>
    </w:p>
    <w:p w14:paraId="7718EB44" w14:textId="77777777" w:rsidR="0000697B" w:rsidRPr="00DB0383" w:rsidRDefault="0000697B" w:rsidP="00CB147F">
      <w:pPr>
        <w:spacing w:line="360" w:lineRule="auto"/>
        <w:jc w:val="both"/>
        <w:rPr>
          <w:rFonts w:ascii="Arial" w:hAnsi="Arial" w:cs="Arial"/>
        </w:rPr>
      </w:pPr>
    </w:p>
    <w:p w14:paraId="7924DF55" w14:textId="415E8E47" w:rsidR="0083292B" w:rsidRPr="00DB0383" w:rsidRDefault="0083292B" w:rsidP="00CB147F">
      <w:pPr>
        <w:spacing w:line="360" w:lineRule="auto"/>
        <w:jc w:val="both"/>
        <w:rPr>
          <w:rFonts w:ascii="Arial" w:hAnsi="Arial" w:cs="Arial"/>
        </w:rPr>
      </w:pPr>
      <w:r w:rsidRPr="00DB0383">
        <w:rPr>
          <w:rFonts w:ascii="Arial" w:hAnsi="Arial" w:cs="Arial"/>
        </w:rPr>
        <w:t>These technical risks are compounded by the absence of a unified security governance model within FinSure Bank. Without clearly established roles, responsibilities, and accountability structures, security decision</w:t>
      </w:r>
      <w:r w:rsidRPr="00DB0383">
        <w:rPr>
          <w:rFonts w:ascii="Arial" w:hAnsi="Arial" w:cs="Arial"/>
        </w:rPr>
        <w:noBreakHyphen/>
        <w:t>making becomes fragmented, reactive, and inconsistent. The literature suggests that organisations lacking centralised security leadership and formal governance arrangements are more susceptible to regulatory breaches, slower incident response, and poor risk prioritisation. For a multinational financial institution operating under stringent data protection and financial regulatory regimes, such governance shortcomings represent not only technical vulnerabilities but also substantial legal, financial, and ethical risks</w:t>
      </w:r>
      <w:r w:rsidR="00AF2975" w:rsidRPr="00DB0383">
        <w:rPr>
          <w:rFonts w:ascii="Arial" w:hAnsi="Arial" w:cs="Arial"/>
        </w:rPr>
        <w:t xml:space="preserve"> [11]</w:t>
      </w:r>
      <w:r w:rsidRPr="00DB0383">
        <w:rPr>
          <w:rFonts w:ascii="Arial" w:hAnsi="Arial" w:cs="Arial"/>
        </w:rPr>
        <w:t>.</w:t>
      </w:r>
    </w:p>
    <w:p w14:paraId="7433803A" w14:textId="77777777" w:rsidR="00ED1AE3" w:rsidRPr="00DB0383" w:rsidRDefault="00ED1AE3" w:rsidP="00CB147F">
      <w:pPr>
        <w:pStyle w:val="Heading1"/>
        <w:spacing w:line="360" w:lineRule="auto"/>
        <w:jc w:val="both"/>
        <w:rPr>
          <w:rFonts w:ascii="Arial" w:hAnsi="Arial" w:cs="Arial"/>
          <w:b/>
          <w:bCs/>
          <w:sz w:val="22"/>
          <w:szCs w:val="22"/>
        </w:rPr>
      </w:pPr>
      <w:bookmarkStart w:id="7" w:name="_Toc224564296"/>
      <w:r w:rsidRPr="00DB0383">
        <w:rPr>
          <w:rFonts w:ascii="Arial" w:hAnsi="Arial" w:cs="Arial"/>
          <w:b/>
          <w:bCs/>
          <w:color w:val="auto"/>
          <w:sz w:val="22"/>
          <w:szCs w:val="22"/>
        </w:rPr>
        <w:t>4. Proposed Security, Governance, and Compliance Approach</w:t>
      </w:r>
      <w:bookmarkEnd w:id="7"/>
    </w:p>
    <w:p w14:paraId="37AA0CD7" w14:textId="77777777" w:rsidR="00023243" w:rsidRPr="00023243" w:rsidRDefault="00023243" w:rsidP="00023243">
      <w:pPr>
        <w:spacing w:line="360" w:lineRule="auto"/>
        <w:jc w:val="both"/>
        <w:rPr>
          <w:rFonts w:ascii="Arial" w:hAnsi="Arial" w:cs="Arial"/>
        </w:rPr>
      </w:pPr>
      <w:r w:rsidRPr="00023243">
        <w:rPr>
          <w:rFonts w:ascii="Arial" w:hAnsi="Arial" w:cs="Arial"/>
        </w:rPr>
        <w:t>The proposed security, governance and compliance approach for FinSure Bank draws on the principles of ISO/IEC 27001 [5], supported by ITIL service</w:t>
      </w:r>
      <w:r w:rsidRPr="00023243">
        <w:rPr>
          <w:rFonts w:ascii="Cambria Math" w:hAnsi="Cambria Math" w:cs="Cambria Math"/>
        </w:rPr>
        <w:t>‑</w:t>
      </w:r>
      <w:r w:rsidRPr="00023243">
        <w:rPr>
          <w:rFonts w:ascii="Arial" w:hAnsi="Arial" w:cs="Arial"/>
        </w:rPr>
        <w:t>management practices and adapted to the organisation’s cloud</w:t>
      </w:r>
      <w:r w:rsidRPr="00023243">
        <w:rPr>
          <w:rFonts w:ascii="Cambria Math" w:hAnsi="Cambria Math" w:cs="Cambria Math"/>
        </w:rPr>
        <w:t>‑</w:t>
      </w:r>
      <w:r w:rsidRPr="00023243">
        <w:rPr>
          <w:rFonts w:ascii="Arial" w:hAnsi="Arial" w:cs="Arial"/>
        </w:rPr>
        <w:t>centred operating model. For the purposes of this framework, it is assumed that FinSure Bank operates across several jurisdictions, is subject to GDPR and financial</w:t>
      </w:r>
      <w:r w:rsidRPr="00023243">
        <w:rPr>
          <w:rFonts w:ascii="Cambria Math" w:hAnsi="Cambria Math" w:cs="Cambria Math"/>
        </w:rPr>
        <w:t>‑</w:t>
      </w:r>
      <w:r w:rsidRPr="00023243">
        <w:rPr>
          <w:rFonts w:ascii="Arial" w:hAnsi="Arial" w:cs="Arial"/>
        </w:rPr>
        <w:t>sector regulation, has moderate technical capacity, and is still developing its information</w:t>
      </w:r>
      <w:r w:rsidRPr="00023243">
        <w:rPr>
          <w:rFonts w:ascii="Cambria Math" w:hAnsi="Cambria Math" w:cs="Cambria Math"/>
        </w:rPr>
        <w:t>‑</w:t>
      </w:r>
      <w:r w:rsidRPr="00023243">
        <w:rPr>
          <w:rFonts w:ascii="Arial" w:hAnsi="Arial" w:cs="Arial"/>
        </w:rPr>
        <w:t>security governance maturity. These assumptions shape the design and priorities of the recommended approach.</w:t>
      </w:r>
    </w:p>
    <w:p w14:paraId="11BB77FD" w14:textId="77777777" w:rsidR="00023243" w:rsidRPr="00023243" w:rsidRDefault="00023243" w:rsidP="00023243">
      <w:pPr>
        <w:spacing w:line="360" w:lineRule="auto"/>
        <w:jc w:val="both"/>
        <w:rPr>
          <w:rFonts w:ascii="Arial" w:hAnsi="Arial" w:cs="Arial"/>
        </w:rPr>
      </w:pPr>
    </w:p>
    <w:p w14:paraId="63BC476B" w14:textId="5FF6DD41" w:rsidR="00DA6887" w:rsidRPr="00DB0383" w:rsidRDefault="00023243" w:rsidP="00023243">
      <w:pPr>
        <w:spacing w:line="360" w:lineRule="auto"/>
        <w:jc w:val="both"/>
        <w:rPr>
          <w:rFonts w:ascii="Arial" w:hAnsi="Arial" w:cs="Arial"/>
        </w:rPr>
      </w:pPr>
      <w:r w:rsidRPr="00023243">
        <w:rPr>
          <w:rFonts w:ascii="Arial" w:hAnsi="Arial" w:cs="Arial"/>
        </w:rPr>
        <w:t>At the governance level, FinSure Bank should establish a formal information</w:t>
      </w:r>
      <w:r w:rsidRPr="00023243">
        <w:rPr>
          <w:rFonts w:ascii="Cambria Math" w:hAnsi="Cambria Math" w:cs="Cambria Math"/>
        </w:rPr>
        <w:t>‑</w:t>
      </w:r>
      <w:r w:rsidRPr="00023243">
        <w:rPr>
          <w:rFonts w:ascii="Arial" w:hAnsi="Arial" w:cs="Arial"/>
        </w:rPr>
        <w:t>security structure led by a Chief Information Security Officer (CISO) who reports directly to senior leadership. This ensures that security strategy is aligned with organisational goals and that risks receive appropriate executive attention [12]. The governance model should include clear security policies, defined roles and responsibilities, documented risk</w:t>
      </w:r>
      <w:r w:rsidRPr="00023243">
        <w:rPr>
          <w:rFonts w:ascii="Cambria Math" w:hAnsi="Cambria Math" w:cs="Cambria Math"/>
        </w:rPr>
        <w:t>‑</w:t>
      </w:r>
      <w:r w:rsidRPr="00023243">
        <w:rPr>
          <w:rFonts w:ascii="Arial" w:hAnsi="Arial" w:cs="Arial"/>
        </w:rPr>
        <w:t>management processes and regular management reviews. Putting this structure in place helps embed information security as a shared organisational responsibility rather than something left solely to technical teams.</w:t>
      </w:r>
    </w:p>
    <w:p w14:paraId="5183AEC2" w14:textId="77777777" w:rsidR="00036EB5" w:rsidRPr="00DB0383" w:rsidRDefault="00036EB5" w:rsidP="00CB147F">
      <w:pPr>
        <w:spacing w:line="360" w:lineRule="auto"/>
        <w:jc w:val="both"/>
        <w:rPr>
          <w:rFonts w:ascii="Arial" w:hAnsi="Arial" w:cs="Arial"/>
        </w:rPr>
      </w:pPr>
    </w:p>
    <w:tbl>
      <w:tblPr>
        <w:tblStyle w:val="GridTable4-Accent3"/>
        <w:tblW w:w="0" w:type="auto"/>
        <w:jc w:val="center"/>
        <w:tblLook w:val="04A0" w:firstRow="1" w:lastRow="0" w:firstColumn="1" w:lastColumn="0" w:noHBand="0" w:noVBand="1"/>
      </w:tblPr>
      <w:tblGrid>
        <w:gridCol w:w="3005"/>
        <w:gridCol w:w="3005"/>
        <w:gridCol w:w="3006"/>
      </w:tblGrid>
      <w:tr w:rsidR="00FA5574" w:rsidRPr="00DB0383" w14:paraId="57C76F16" w14:textId="77777777" w:rsidTr="00F406C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3E26B988" w14:textId="77777777" w:rsidR="00FA5574" w:rsidRPr="00DB0383" w:rsidRDefault="00FA5574" w:rsidP="00AF0E06">
            <w:pPr>
              <w:spacing w:line="360" w:lineRule="auto"/>
              <w:jc w:val="center"/>
              <w:rPr>
                <w:rFonts w:ascii="Arial" w:hAnsi="Arial" w:cs="Arial"/>
                <w:b w:val="0"/>
                <w:bCs w:val="0"/>
                <w:sz w:val="16"/>
                <w:szCs w:val="16"/>
              </w:rPr>
            </w:pPr>
            <w:r w:rsidRPr="00DB0383">
              <w:rPr>
                <w:rFonts w:ascii="Arial" w:hAnsi="Arial" w:cs="Arial"/>
                <w:sz w:val="16"/>
                <w:szCs w:val="16"/>
              </w:rPr>
              <w:t>Component</w:t>
            </w:r>
          </w:p>
        </w:tc>
        <w:tc>
          <w:tcPr>
            <w:tcW w:w="3005" w:type="dxa"/>
          </w:tcPr>
          <w:p w14:paraId="6EA87078" w14:textId="77777777" w:rsidR="00FA5574" w:rsidRPr="00DB0383" w:rsidRDefault="00FA5574" w:rsidP="00AF0E0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DB0383">
              <w:rPr>
                <w:rFonts w:ascii="Arial" w:hAnsi="Arial" w:cs="Arial"/>
                <w:sz w:val="16"/>
                <w:szCs w:val="16"/>
              </w:rPr>
              <w:t>Implementation at FSB</w:t>
            </w:r>
          </w:p>
        </w:tc>
        <w:tc>
          <w:tcPr>
            <w:tcW w:w="3006" w:type="dxa"/>
          </w:tcPr>
          <w:p w14:paraId="4EEF922C" w14:textId="77777777" w:rsidR="00FA5574" w:rsidRPr="00DB0383" w:rsidRDefault="00FA5574" w:rsidP="00AF0E0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DB0383">
              <w:rPr>
                <w:rFonts w:ascii="Arial" w:hAnsi="Arial" w:cs="Arial"/>
                <w:sz w:val="16"/>
                <w:szCs w:val="16"/>
              </w:rPr>
              <w:t>Regulatory / Framework Link</w:t>
            </w:r>
          </w:p>
        </w:tc>
      </w:tr>
      <w:tr w:rsidR="00FA5574" w:rsidRPr="00DB0383" w14:paraId="5213463B" w14:textId="77777777" w:rsidTr="00F406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18FD7550" w14:textId="77777777" w:rsidR="00FA5574" w:rsidRPr="00DB0383" w:rsidRDefault="00FA5574" w:rsidP="00AF0E06">
            <w:pPr>
              <w:spacing w:line="360" w:lineRule="auto"/>
              <w:jc w:val="center"/>
              <w:rPr>
                <w:rFonts w:ascii="Arial" w:hAnsi="Arial" w:cs="Arial"/>
                <w:sz w:val="16"/>
                <w:szCs w:val="16"/>
              </w:rPr>
            </w:pPr>
            <w:r w:rsidRPr="00DB0383">
              <w:rPr>
                <w:rFonts w:ascii="Arial" w:hAnsi="Arial" w:cs="Arial"/>
                <w:sz w:val="16"/>
                <w:szCs w:val="16"/>
              </w:rPr>
              <w:t>Board Oversight</w:t>
            </w:r>
          </w:p>
        </w:tc>
        <w:tc>
          <w:tcPr>
            <w:tcW w:w="3005" w:type="dxa"/>
          </w:tcPr>
          <w:p w14:paraId="4E8A3B21" w14:textId="77777777" w:rsidR="00FA5574" w:rsidRPr="00DB0383" w:rsidRDefault="00FA5574"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Security reporting at board level</w:t>
            </w:r>
          </w:p>
        </w:tc>
        <w:tc>
          <w:tcPr>
            <w:tcW w:w="3006" w:type="dxa"/>
          </w:tcPr>
          <w:p w14:paraId="280B3C41" w14:textId="77777777" w:rsidR="00FA5574" w:rsidRPr="00DB0383" w:rsidRDefault="00FA5574"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Corporate Governance Best Practice</w:t>
            </w:r>
          </w:p>
        </w:tc>
      </w:tr>
      <w:tr w:rsidR="00FA5574" w:rsidRPr="00DB0383" w14:paraId="5EA4127E" w14:textId="77777777" w:rsidTr="00F406C8">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487A1D40" w14:textId="77777777" w:rsidR="00FA5574" w:rsidRPr="00DB0383" w:rsidRDefault="00FA5574" w:rsidP="00AF0E06">
            <w:pPr>
              <w:spacing w:line="360" w:lineRule="auto"/>
              <w:jc w:val="center"/>
              <w:rPr>
                <w:rFonts w:ascii="Arial" w:hAnsi="Arial" w:cs="Arial"/>
                <w:sz w:val="16"/>
                <w:szCs w:val="16"/>
              </w:rPr>
            </w:pPr>
            <w:r w:rsidRPr="00DB0383">
              <w:rPr>
                <w:rFonts w:ascii="Arial" w:hAnsi="Arial" w:cs="Arial"/>
                <w:sz w:val="16"/>
                <w:szCs w:val="16"/>
              </w:rPr>
              <w:t>CISO Role</w:t>
            </w:r>
          </w:p>
        </w:tc>
        <w:tc>
          <w:tcPr>
            <w:tcW w:w="3005" w:type="dxa"/>
          </w:tcPr>
          <w:p w14:paraId="0FC0F599" w14:textId="77777777" w:rsidR="00FA5574" w:rsidRPr="00DB0383" w:rsidRDefault="00FA5574"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Reports to senior leadership</w:t>
            </w:r>
          </w:p>
        </w:tc>
        <w:tc>
          <w:tcPr>
            <w:tcW w:w="3006" w:type="dxa"/>
          </w:tcPr>
          <w:p w14:paraId="789A9DC9" w14:textId="77777777" w:rsidR="00FA5574" w:rsidRPr="00DB0383" w:rsidRDefault="00FA5574"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ISO 27001 Clause 5 (Leadership)</w:t>
            </w:r>
          </w:p>
        </w:tc>
      </w:tr>
      <w:tr w:rsidR="00FA5574" w:rsidRPr="00DB0383" w14:paraId="6D406B6D" w14:textId="77777777" w:rsidTr="00F406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576649F5" w14:textId="77777777" w:rsidR="00FA5574" w:rsidRPr="00DB0383" w:rsidRDefault="00FA5574" w:rsidP="00AF0E06">
            <w:pPr>
              <w:spacing w:line="360" w:lineRule="auto"/>
              <w:jc w:val="center"/>
              <w:rPr>
                <w:rFonts w:ascii="Arial" w:hAnsi="Arial" w:cs="Arial"/>
                <w:sz w:val="16"/>
                <w:szCs w:val="16"/>
              </w:rPr>
            </w:pPr>
            <w:r w:rsidRPr="00DB0383">
              <w:rPr>
                <w:rFonts w:ascii="Arial" w:hAnsi="Arial" w:cs="Arial"/>
                <w:sz w:val="16"/>
                <w:szCs w:val="16"/>
              </w:rPr>
              <w:t>Risk Management</w:t>
            </w:r>
          </w:p>
        </w:tc>
        <w:tc>
          <w:tcPr>
            <w:tcW w:w="3005" w:type="dxa"/>
          </w:tcPr>
          <w:p w14:paraId="0A302236" w14:textId="77777777" w:rsidR="00FA5574" w:rsidRPr="00DB0383" w:rsidRDefault="00FA5574"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Formal ISMS risk assessment</w:t>
            </w:r>
          </w:p>
        </w:tc>
        <w:tc>
          <w:tcPr>
            <w:tcW w:w="3006" w:type="dxa"/>
          </w:tcPr>
          <w:p w14:paraId="739D1BCD" w14:textId="77777777" w:rsidR="00FA5574" w:rsidRPr="00DB0383" w:rsidRDefault="00FA5574"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ISO 27001 Clause 6</w:t>
            </w:r>
          </w:p>
        </w:tc>
      </w:tr>
      <w:tr w:rsidR="00FA5574" w:rsidRPr="00DB0383" w14:paraId="7EBB8E44" w14:textId="77777777" w:rsidTr="00F406C8">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5B661A6D" w14:textId="77777777" w:rsidR="00FA5574" w:rsidRPr="00DB0383" w:rsidRDefault="00FA5574" w:rsidP="00AF0E06">
            <w:pPr>
              <w:spacing w:line="360" w:lineRule="auto"/>
              <w:jc w:val="center"/>
              <w:rPr>
                <w:rFonts w:ascii="Arial" w:hAnsi="Arial" w:cs="Arial"/>
                <w:sz w:val="16"/>
                <w:szCs w:val="16"/>
              </w:rPr>
            </w:pPr>
            <w:r w:rsidRPr="00DB0383">
              <w:rPr>
                <w:rFonts w:ascii="Arial" w:hAnsi="Arial" w:cs="Arial"/>
                <w:sz w:val="16"/>
                <w:szCs w:val="16"/>
              </w:rPr>
              <w:t>Data Protection</w:t>
            </w:r>
          </w:p>
        </w:tc>
        <w:tc>
          <w:tcPr>
            <w:tcW w:w="3005" w:type="dxa"/>
          </w:tcPr>
          <w:p w14:paraId="77109BBD" w14:textId="77777777" w:rsidR="00FA5574" w:rsidRPr="00DB0383" w:rsidRDefault="00FA5574"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Encryption, access control</w:t>
            </w:r>
          </w:p>
        </w:tc>
        <w:tc>
          <w:tcPr>
            <w:tcW w:w="3006" w:type="dxa"/>
          </w:tcPr>
          <w:p w14:paraId="5333A130" w14:textId="77777777" w:rsidR="00FA5574" w:rsidRPr="00DB0383" w:rsidRDefault="00FA5574"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GDPR Articles 5 &amp; 32</w:t>
            </w:r>
          </w:p>
        </w:tc>
      </w:tr>
      <w:tr w:rsidR="00FA5574" w:rsidRPr="00DB0383" w14:paraId="4E7622D5" w14:textId="77777777" w:rsidTr="00F406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7C4DD31E" w14:textId="77777777" w:rsidR="00FA5574" w:rsidRPr="00DB0383" w:rsidRDefault="00FA5574" w:rsidP="00AF0E06">
            <w:pPr>
              <w:spacing w:line="360" w:lineRule="auto"/>
              <w:jc w:val="center"/>
              <w:rPr>
                <w:rFonts w:ascii="Arial" w:hAnsi="Arial" w:cs="Arial"/>
                <w:sz w:val="16"/>
                <w:szCs w:val="16"/>
              </w:rPr>
            </w:pPr>
            <w:r w:rsidRPr="00DB0383">
              <w:rPr>
                <w:rFonts w:ascii="Arial" w:hAnsi="Arial" w:cs="Arial"/>
                <w:sz w:val="16"/>
                <w:szCs w:val="16"/>
              </w:rPr>
              <w:t>Breach Notification</w:t>
            </w:r>
          </w:p>
        </w:tc>
        <w:tc>
          <w:tcPr>
            <w:tcW w:w="3005" w:type="dxa"/>
          </w:tcPr>
          <w:p w14:paraId="50A90F06" w14:textId="77777777" w:rsidR="00FA5574" w:rsidRPr="00DB0383" w:rsidRDefault="00FA5574"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72-hour reporting procedure</w:t>
            </w:r>
          </w:p>
        </w:tc>
        <w:tc>
          <w:tcPr>
            <w:tcW w:w="3006" w:type="dxa"/>
          </w:tcPr>
          <w:p w14:paraId="00B22D07" w14:textId="77777777" w:rsidR="00FA5574" w:rsidRPr="00DB0383" w:rsidRDefault="00FA5574"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GDPR Article 33</w:t>
            </w:r>
          </w:p>
        </w:tc>
      </w:tr>
      <w:tr w:rsidR="00FA5574" w:rsidRPr="00DB0383" w14:paraId="1A533D64" w14:textId="77777777" w:rsidTr="00F406C8">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2523358D" w14:textId="77777777" w:rsidR="00FA5574" w:rsidRPr="00DB0383" w:rsidRDefault="00FA5574" w:rsidP="00AF0E06">
            <w:pPr>
              <w:spacing w:line="360" w:lineRule="auto"/>
              <w:jc w:val="center"/>
              <w:rPr>
                <w:rFonts w:ascii="Arial" w:hAnsi="Arial" w:cs="Arial"/>
                <w:sz w:val="16"/>
                <w:szCs w:val="16"/>
              </w:rPr>
            </w:pPr>
            <w:r w:rsidRPr="00DB0383">
              <w:rPr>
                <w:rFonts w:ascii="Arial" w:hAnsi="Arial" w:cs="Arial"/>
                <w:sz w:val="16"/>
                <w:szCs w:val="16"/>
              </w:rPr>
              <w:t>Third-Party Governance</w:t>
            </w:r>
          </w:p>
        </w:tc>
        <w:tc>
          <w:tcPr>
            <w:tcW w:w="3005" w:type="dxa"/>
          </w:tcPr>
          <w:p w14:paraId="52CA1DF1" w14:textId="77777777" w:rsidR="00FA5574" w:rsidRPr="00DB0383" w:rsidRDefault="00FA5574"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SLA security clauses</w:t>
            </w:r>
          </w:p>
        </w:tc>
        <w:tc>
          <w:tcPr>
            <w:tcW w:w="3006" w:type="dxa"/>
          </w:tcPr>
          <w:p w14:paraId="2EEB777A" w14:textId="77777777" w:rsidR="00FA5574" w:rsidRPr="00DB0383" w:rsidRDefault="00FA5574"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FCA Outsourcing Guidance</w:t>
            </w:r>
          </w:p>
        </w:tc>
      </w:tr>
    </w:tbl>
    <w:p w14:paraId="5486C56A" w14:textId="60C1BFD3" w:rsidR="0081439A" w:rsidRDefault="0081439A" w:rsidP="0081439A">
      <w:pPr>
        <w:pStyle w:val="Caption"/>
        <w:jc w:val="center"/>
        <w:rPr>
          <w:rFonts w:ascii="Arial" w:hAnsi="Arial" w:cs="Arial"/>
        </w:rPr>
      </w:pPr>
      <w:bookmarkStart w:id="8" w:name="_Toc224564314"/>
      <w:r w:rsidRPr="00DB0383">
        <w:rPr>
          <w:rFonts w:ascii="Arial" w:hAnsi="Arial" w:cs="Arial"/>
        </w:rPr>
        <w:lastRenderedPageBreak/>
        <w:t xml:space="preserve">Table </w:t>
      </w:r>
      <w:r w:rsidRPr="00DB0383">
        <w:rPr>
          <w:rFonts w:ascii="Arial" w:hAnsi="Arial" w:cs="Arial"/>
        </w:rPr>
        <w:fldChar w:fldCharType="begin"/>
      </w:r>
      <w:r w:rsidRPr="00DB0383">
        <w:rPr>
          <w:rFonts w:ascii="Arial" w:hAnsi="Arial" w:cs="Arial"/>
        </w:rPr>
        <w:instrText xml:space="preserve"> SEQ Table \* ARABIC </w:instrText>
      </w:r>
      <w:r w:rsidRPr="00DB0383">
        <w:rPr>
          <w:rFonts w:ascii="Arial" w:hAnsi="Arial" w:cs="Arial"/>
        </w:rPr>
        <w:fldChar w:fldCharType="separate"/>
      </w:r>
      <w:r w:rsidR="00B80342" w:rsidRPr="00DB0383">
        <w:rPr>
          <w:rFonts w:ascii="Arial" w:hAnsi="Arial" w:cs="Arial"/>
          <w:noProof/>
        </w:rPr>
        <w:t>1</w:t>
      </w:r>
      <w:r w:rsidRPr="00DB0383">
        <w:rPr>
          <w:rFonts w:ascii="Arial" w:hAnsi="Arial" w:cs="Arial"/>
        </w:rPr>
        <w:fldChar w:fldCharType="end"/>
      </w:r>
      <w:r w:rsidRPr="00DB0383">
        <w:rPr>
          <w:rFonts w:ascii="Arial" w:hAnsi="Arial" w:cs="Arial"/>
        </w:rPr>
        <w:t xml:space="preserve"> - Governance and Compliance Framework for FinSure Bank</w:t>
      </w:r>
      <w:bookmarkEnd w:id="8"/>
    </w:p>
    <w:p w14:paraId="2E5CE7EA" w14:textId="77777777" w:rsidR="009B4CC7" w:rsidRPr="009B4CC7" w:rsidRDefault="009B4CC7" w:rsidP="009B4CC7"/>
    <w:p w14:paraId="3BC7E890" w14:textId="6D0F79DB" w:rsidR="009B4CC7" w:rsidRDefault="009B4CC7" w:rsidP="00244834">
      <w:pPr>
        <w:spacing w:line="360" w:lineRule="auto"/>
        <w:jc w:val="both"/>
        <w:rPr>
          <w:rFonts w:ascii="Arial" w:hAnsi="Arial" w:cs="Arial"/>
        </w:rPr>
      </w:pPr>
      <w:r w:rsidRPr="009B4CC7">
        <w:rPr>
          <w:rFonts w:ascii="Arial" w:hAnsi="Arial" w:cs="Arial"/>
        </w:rPr>
        <w:t>Table 1 summarises how the proposed governance framework aligns with key standards and regulatory requirements. Board</w:t>
      </w:r>
      <w:r w:rsidRPr="009B4CC7">
        <w:rPr>
          <w:rFonts w:ascii="Cambria Math" w:hAnsi="Cambria Math" w:cs="Cambria Math"/>
        </w:rPr>
        <w:t>‑</w:t>
      </w:r>
      <w:r w:rsidRPr="009B4CC7">
        <w:rPr>
          <w:rFonts w:ascii="Arial" w:hAnsi="Arial" w:cs="Arial"/>
        </w:rPr>
        <w:t>level oversight and CISO leadership reflect ISO/IEC 27001 governance principles, while GDPR and FCA references ensure legal and regulatory compliance. Together, these elements form a coherent structure that integrates governance, compliance and operational security controls.</w:t>
      </w:r>
    </w:p>
    <w:p w14:paraId="53A7B479" w14:textId="77777777" w:rsidR="00EE2073" w:rsidRPr="00DB0383" w:rsidRDefault="00EE2073" w:rsidP="00244834">
      <w:pPr>
        <w:spacing w:line="360" w:lineRule="auto"/>
        <w:jc w:val="both"/>
        <w:rPr>
          <w:rFonts w:ascii="Arial" w:hAnsi="Arial" w:cs="Arial"/>
        </w:rPr>
      </w:pPr>
    </w:p>
    <w:p w14:paraId="736AF6DC" w14:textId="515049AD" w:rsidR="00EC1808" w:rsidRPr="00DB0383" w:rsidRDefault="00EC1808" w:rsidP="00EC1808">
      <w:pPr>
        <w:keepNext/>
        <w:spacing w:line="360" w:lineRule="auto"/>
        <w:jc w:val="center"/>
        <w:rPr>
          <w:rFonts w:ascii="Arial" w:hAnsi="Arial" w:cs="Arial"/>
        </w:rPr>
      </w:pPr>
      <w:r w:rsidRPr="00DB0383">
        <w:rPr>
          <w:rFonts w:ascii="Arial" w:hAnsi="Arial" w:cs="Arial"/>
          <w:noProof/>
        </w:rPr>
        <w:drawing>
          <wp:inline distT="0" distB="0" distL="0" distR="0" wp14:anchorId="440AF522" wp14:editId="64E6A189">
            <wp:extent cx="4020745" cy="3194050"/>
            <wp:effectExtent l="0" t="0" r="0" b="6350"/>
            <wp:docPr id="4945327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5732" t="9806" r="24994" b="19561"/>
                    <a:stretch>
                      <a:fillRect/>
                    </a:stretch>
                  </pic:blipFill>
                  <pic:spPr bwMode="auto">
                    <a:xfrm>
                      <a:off x="0" y="0"/>
                      <a:ext cx="4026835" cy="3198888"/>
                    </a:xfrm>
                    <a:prstGeom prst="rect">
                      <a:avLst/>
                    </a:prstGeom>
                    <a:noFill/>
                    <a:ln>
                      <a:noFill/>
                    </a:ln>
                    <a:extLst>
                      <a:ext uri="{53640926-AAD7-44D8-BBD7-CCE9431645EC}">
                        <a14:shadowObscured xmlns:a14="http://schemas.microsoft.com/office/drawing/2010/main"/>
                      </a:ext>
                    </a:extLst>
                  </pic:spPr>
                </pic:pic>
              </a:graphicData>
            </a:graphic>
          </wp:inline>
        </w:drawing>
      </w:r>
    </w:p>
    <w:p w14:paraId="1E136E22" w14:textId="797EB981" w:rsidR="001A5EE9" w:rsidRDefault="00547A30" w:rsidP="00244834">
      <w:pPr>
        <w:pStyle w:val="Caption"/>
        <w:jc w:val="center"/>
        <w:rPr>
          <w:rFonts w:ascii="Arial" w:hAnsi="Arial" w:cs="Arial"/>
        </w:rPr>
      </w:pPr>
      <w:bookmarkStart w:id="9" w:name="_Toc224564312"/>
      <w:r w:rsidRPr="00DB0383">
        <w:rPr>
          <w:rFonts w:ascii="Arial" w:hAnsi="Arial" w:cs="Arial"/>
        </w:rPr>
        <w:t xml:space="preserve">Figure </w:t>
      </w:r>
      <w:r w:rsidRPr="00DB0383">
        <w:rPr>
          <w:rFonts w:ascii="Arial" w:hAnsi="Arial" w:cs="Arial"/>
        </w:rPr>
        <w:fldChar w:fldCharType="begin"/>
      </w:r>
      <w:r w:rsidRPr="00DB0383">
        <w:rPr>
          <w:rFonts w:ascii="Arial" w:hAnsi="Arial" w:cs="Arial"/>
        </w:rPr>
        <w:instrText xml:space="preserve"> SEQ Figure \* ARABIC </w:instrText>
      </w:r>
      <w:r w:rsidRPr="00DB0383">
        <w:rPr>
          <w:rFonts w:ascii="Arial" w:hAnsi="Arial" w:cs="Arial"/>
        </w:rPr>
        <w:fldChar w:fldCharType="separate"/>
      </w:r>
      <w:r w:rsidRPr="00DB0383">
        <w:rPr>
          <w:rFonts w:ascii="Arial" w:hAnsi="Arial" w:cs="Arial"/>
          <w:noProof/>
        </w:rPr>
        <w:t>4</w:t>
      </w:r>
      <w:r w:rsidRPr="00DB0383">
        <w:rPr>
          <w:rFonts w:ascii="Arial" w:hAnsi="Arial" w:cs="Arial"/>
        </w:rPr>
        <w:fldChar w:fldCharType="end"/>
      </w:r>
      <w:r w:rsidRPr="00DB0383">
        <w:rPr>
          <w:rFonts w:ascii="Arial" w:hAnsi="Arial" w:cs="Arial"/>
        </w:rPr>
        <w:t xml:space="preserve"> - Security Governance Structure</w:t>
      </w:r>
      <w:bookmarkEnd w:id="9"/>
    </w:p>
    <w:p w14:paraId="4E5825EC" w14:textId="77777777" w:rsidR="00EE2073" w:rsidRPr="00EE2073" w:rsidRDefault="00EE2073" w:rsidP="00EE2073"/>
    <w:p w14:paraId="27989A86" w14:textId="77777777" w:rsidR="001B161D" w:rsidRPr="001B161D" w:rsidRDefault="001B161D" w:rsidP="001B161D">
      <w:pPr>
        <w:spacing w:line="360" w:lineRule="auto"/>
        <w:jc w:val="both"/>
        <w:rPr>
          <w:rFonts w:ascii="Arial" w:hAnsi="Arial" w:cs="Arial"/>
        </w:rPr>
      </w:pPr>
      <w:r w:rsidRPr="001B161D">
        <w:rPr>
          <w:rFonts w:ascii="Arial" w:hAnsi="Arial" w:cs="Arial"/>
        </w:rPr>
        <w:t>As shown in Figure 4, the governance model establishes clear accountability by placing the CISO under board</w:t>
      </w:r>
      <w:r w:rsidRPr="001B161D">
        <w:rPr>
          <w:rFonts w:ascii="Cambria Math" w:hAnsi="Cambria Math" w:cs="Cambria Math"/>
        </w:rPr>
        <w:t>‑</w:t>
      </w:r>
      <w:r w:rsidRPr="001B161D">
        <w:rPr>
          <w:rFonts w:ascii="Arial" w:hAnsi="Arial" w:cs="Arial"/>
        </w:rPr>
        <w:t>level oversight. Risk management, policy enforcement and ITIL</w:t>
      </w:r>
      <w:r w:rsidRPr="001B161D">
        <w:rPr>
          <w:rFonts w:ascii="Cambria Math" w:hAnsi="Cambria Math" w:cs="Cambria Math"/>
        </w:rPr>
        <w:t>‑</w:t>
      </w:r>
      <w:r w:rsidRPr="001B161D">
        <w:rPr>
          <w:rFonts w:ascii="Arial" w:hAnsi="Arial" w:cs="Arial"/>
        </w:rPr>
        <w:t>based service management underpin day</w:t>
      </w:r>
      <w:r w:rsidRPr="001B161D">
        <w:rPr>
          <w:rFonts w:ascii="Cambria Math" w:hAnsi="Cambria Math" w:cs="Cambria Math"/>
        </w:rPr>
        <w:t>‑</w:t>
      </w:r>
      <w:r w:rsidRPr="001B161D">
        <w:rPr>
          <w:rFonts w:ascii="Arial" w:hAnsi="Arial" w:cs="Arial"/>
        </w:rPr>
        <w:t>to</w:t>
      </w:r>
      <w:r w:rsidRPr="001B161D">
        <w:rPr>
          <w:rFonts w:ascii="Cambria Math" w:hAnsi="Cambria Math" w:cs="Cambria Math"/>
        </w:rPr>
        <w:t>‑</w:t>
      </w:r>
      <w:r w:rsidRPr="001B161D">
        <w:rPr>
          <w:rFonts w:ascii="Arial" w:hAnsi="Arial" w:cs="Arial"/>
        </w:rPr>
        <w:t>day security operations, while continuous monitoring reflects the ISO/IEC 27001 Plan–Do–Check–Act cycle.</w:t>
      </w:r>
    </w:p>
    <w:p w14:paraId="246CDC2D" w14:textId="77777777" w:rsidR="001B161D" w:rsidRPr="001B161D" w:rsidRDefault="001B161D" w:rsidP="001B161D">
      <w:pPr>
        <w:spacing w:line="360" w:lineRule="auto"/>
        <w:jc w:val="both"/>
        <w:rPr>
          <w:rFonts w:ascii="Arial" w:hAnsi="Arial" w:cs="Arial"/>
        </w:rPr>
      </w:pPr>
    </w:p>
    <w:p w14:paraId="52BD89BF" w14:textId="7F47677C" w:rsidR="00375C05" w:rsidRDefault="001B161D" w:rsidP="001B161D">
      <w:pPr>
        <w:spacing w:line="360" w:lineRule="auto"/>
        <w:jc w:val="both"/>
        <w:rPr>
          <w:rFonts w:ascii="Arial" w:hAnsi="Arial" w:cs="Arial"/>
        </w:rPr>
      </w:pPr>
      <w:r w:rsidRPr="001B161D">
        <w:rPr>
          <w:rFonts w:ascii="Arial" w:hAnsi="Arial" w:cs="Arial"/>
        </w:rPr>
        <w:t>Risk management should follow the ISO/IEC 27001 risk</w:t>
      </w:r>
      <w:r w:rsidRPr="001B161D">
        <w:rPr>
          <w:rFonts w:ascii="Cambria Math" w:hAnsi="Cambria Math" w:cs="Cambria Math"/>
        </w:rPr>
        <w:t>‑</w:t>
      </w:r>
      <w:r w:rsidRPr="001B161D">
        <w:rPr>
          <w:rFonts w:ascii="Arial" w:hAnsi="Arial" w:cs="Arial"/>
        </w:rPr>
        <w:t>based approach, involving the identification of information assets, assessment of threats and vulnerabilities, and selection of appropriate treatment controls. This enables FinSure Bank to prioritise measures according to business impact and regulatory obligations rather than applying uniform controls across all systems [13].</w:t>
      </w:r>
    </w:p>
    <w:p w14:paraId="59D4600E" w14:textId="77777777" w:rsidR="00EE2073" w:rsidRDefault="00EE2073" w:rsidP="001B161D">
      <w:pPr>
        <w:spacing w:line="360" w:lineRule="auto"/>
        <w:jc w:val="both"/>
        <w:rPr>
          <w:rFonts w:ascii="Arial" w:hAnsi="Arial" w:cs="Arial"/>
        </w:rPr>
      </w:pPr>
    </w:p>
    <w:p w14:paraId="1C79C522" w14:textId="77777777" w:rsidR="00EE2073" w:rsidRDefault="00EE2073" w:rsidP="001B161D">
      <w:pPr>
        <w:spacing w:line="360" w:lineRule="auto"/>
        <w:jc w:val="both"/>
        <w:rPr>
          <w:rFonts w:ascii="Arial" w:hAnsi="Arial" w:cs="Arial"/>
        </w:rPr>
      </w:pPr>
    </w:p>
    <w:p w14:paraId="51030C00" w14:textId="77777777" w:rsidR="00EE2073" w:rsidRDefault="00EE2073" w:rsidP="001B161D">
      <w:pPr>
        <w:spacing w:line="360" w:lineRule="auto"/>
        <w:jc w:val="both"/>
        <w:rPr>
          <w:rFonts w:ascii="Arial" w:hAnsi="Arial" w:cs="Arial"/>
        </w:rPr>
      </w:pPr>
    </w:p>
    <w:p w14:paraId="24B61D25" w14:textId="77777777" w:rsidR="00EE2073" w:rsidRDefault="00EE2073" w:rsidP="001B161D">
      <w:pPr>
        <w:spacing w:line="360" w:lineRule="auto"/>
        <w:jc w:val="both"/>
        <w:rPr>
          <w:rFonts w:ascii="Arial" w:hAnsi="Arial" w:cs="Arial"/>
        </w:rPr>
      </w:pPr>
    </w:p>
    <w:p w14:paraId="10CEC402" w14:textId="77777777" w:rsidR="00EE2073" w:rsidRDefault="00EE2073" w:rsidP="001B161D">
      <w:pPr>
        <w:spacing w:line="360" w:lineRule="auto"/>
        <w:jc w:val="both"/>
        <w:rPr>
          <w:rFonts w:ascii="Arial" w:hAnsi="Arial" w:cs="Arial"/>
        </w:rPr>
      </w:pPr>
    </w:p>
    <w:p w14:paraId="75B65412" w14:textId="77777777" w:rsidR="00EE2073" w:rsidRPr="00DB0383" w:rsidRDefault="00EE2073" w:rsidP="001B161D">
      <w:pPr>
        <w:spacing w:line="360" w:lineRule="auto"/>
        <w:jc w:val="both"/>
        <w:rPr>
          <w:rFonts w:ascii="Arial" w:hAnsi="Arial" w:cs="Arial"/>
        </w:rPr>
      </w:pPr>
    </w:p>
    <w:p w14:paraId="1C6ADE57" w14:textId="77777777" w:rsidR="00AF4966" w:rsidRPr="00DB0383" w:rsidRDefault="00AF4966" w:rsidP="001B161D">
      <w:pPr>
        <w:spacing w:line="360" w:lineRule="auto"/>
        <w:rPr>
          <w:rFonts w:ascii="Arial" w:hAnsi="Arial" w:cs="Arial"/>
        </w:rPr>
      </w:pPr>
    </w:p>
    <w:tbl>
      <w:tblPr>
        <w:tblStyle w:val="GridTable4-Accent1"/>
        <w:tblW w:w="0" w:type="auto"/>
        <w:jc w:val="center"/>
        <w:tblLook w:val="04A0" w:firstRow="1" w:lastRow="0" w:firstColumn="1" w:lastColumn="0" w:noHBand="0" w:noVBand="1"/>
      </w:tblPr>
      <w:tblGrid>
        <w:gridCol w:w="2254"/>
        <w:gridCol w:w="2254"/>
        <w:gridCol w:w="2254"/>
        <w:gridCol w:w="2254"/>
      </w:tblGrid>
      <w:tr w:rsidR="00B97AEB" w:rsidRPr="00DB0383" w14:paraId="38C39281" w14:textId="77777777" w:rsidTr="00F406C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14:paraId="7D7C7F3F" w14:textId="77777777" w:rsidR="00B97AEB" w:rsidRPr="00DB0383" w:rsidRDefault="00B97AEB" w:rsidP="00AF0E06">
            <w:pPr>
              <w:spacing w:line="360" w:lineRule="auto"/>
              <w:jc w:val="center"/>
              <w:rPr>
                <w:rFonts w:ascii="Arial" w:hAnsi="Arial" w:cs="Arial"/>
                <w:b w:val="0"/>
                <w:bCs w:val="0"/>
                <w:sz w:val="16"/>
                <w:szCs w:val="16"/>
              </w:rPr>
            </w:pPr>
            <w:r w:rsidRPr="00DB0383">
              <w:rPr>
                <w:rFonts w:ascii="Arial" w:hAnsi="Arial" w:cs="Arial"/>
                <w:sz w:val="16"/>
                <w:szCs w:val="16"/>
              </w:rPr>
              <w:lastRenderedPageBreak/>
              <w:t>Identified Risk</w:t>
            </w:r>
          </w:p>
        </w:tc>
        <w:tc>
          <w:tcPr>
            <w:tcW w:w="2254" w:type="dxa"/>
          </w:tcPr>
          <w:p w14:paraId="2C2A8C13" w14:textId="77777777" w:rsidR="00B97AEB" w:rsidRPr="00DB0383" w:rsidRDefault="00B97AEB" w:rsidP="00AF0E0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DB0383">
              <w:rPr>
                <w:rFonts w:ascii="Arial" w:hAnsi="Arial" w:cs="Arial"/>
                <w:sz w:val="16"/>
                <w:szCs w:val="16"/>
              </w:rPr>
              <w:t>Likelihood</w:t>
            </w:r>
          </w:p>
        </w:tc>
        <w:tc>
          <w:tcPr>
            <w:tcW w:w="2254" w:type="dxa"/>
          </w:tcPr>
          <w:p w14:paraId="774C75DD" w14:textId="77777777" w:rsidR="00B97AEB" w:rsidRPr="00DB0383" w:rsidRDefault="00B97AEB" w:rsidP="00AF0E0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DB0383">
              <w:rPr>
                <w:rFonts w:ascii="Arial" w:hAnsi="Arial" w:cs="Arial"/>
                <w:sz w:val="16"/>
                <w:szCs w:val="16"/>
              </w:rPr>
              <w:t>Impact</w:t>
            </w:r>
          </w:p>
        </w:tc>
        <w:tc>
          <w:tcPr>
            <w:tcW w:w="2254" w:type="dxa"/>
          </w:tcPr>
          <w:p w14:paraId="4B528BA2" w14:textId="77777777" w:rsidR="00B97AEB" w:rsidRPr="00DB0383" w:rsidRDefault="00B97AEB" w:rsidP="00AF0E0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DB0383">
              <w:rPr>
                <w:rFonts w:ascii="Arial" w:hAnsi="Arial" w:cs="Arial"/>
                <w:sz w:val="16"/>
                <w:szCs w:val="16"/>
              </w:rPr>
              <w:t>Control Measure</w:t>
            </w:r>
          </w:p>
        </w:tc>
      </w:tr>
      <w:tr w:rsidR="00B97AEB" w:rsidRPr="00DB0383" w14:paraId="48BCC869" w14:textId="77777777" w:rsidTr="00F406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14:paraId="41D831BC" w14:textId="77777777" w:rsidR="00B97AEB" w:rsidRPr="00DB0383" w:rsidRDefault="00B97AEB" w:rsidP="00AF0E06">
            <w:pPr>
              <w:spacing w:line="360" w:lineRule="auto"/>
              <w:jc w:val="center"/>
              <w:rPr>
                <w:rFonts w:ascii="Arial" w:hAnsi="Arial" w:cs="Arial"/>
                <w:sz w:val="16"/>
                <w:szCs w:val="16"/>
              </w:rPr>
            </w:pPr>
            <w:r w:rsidRPr="00DB0383">
              <w:rPr>
                <w:rFonts w:ascii="Arial" w:hAnsi="Arial" w:cs="Arial"/>
                <w:sz w:val="16"/>
                <w:szCs w:val="16"/>
              </w:rPr>
              <w:t>Cloud Misconfiguration</w:t>
            </w:r>
          </w:p>
        </w:tc>
        <w:tc>
          <w:tcPr>
            <w:tcW w:w="2254" w:type="dxa"/>
          </w:tcPr>
          <w:p w14:paraId="1DF8CF18" w14:textId="77777777" w:rsidR="00B97AEB" w:rsidRPr="00DB0383" w:rsidRDefault="00B97AEB"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High</w:t>
            </w:r>
          </w:p>
        </w:tc>
        <w:tc>
          <w:tcPr>
            <w:tcW w:w="2254" w:type="dxa"/>
          </w:tcPr>
          <w:p w14:paraId="6D2D7E5E" w14:textId="77777777" w:rsidR="00B97AEB" w:rsidRPr="00DB0383" w:rsidRDefault="00B97AEB"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Severe</w:t>
            </w:r>
          </w:p>
        </w:tc>
        <w:tc>
          <w:tcPr>
            <w:tcW w:w="2254" w:type="dxa"/>
          </w:tcPr>
          <w:p w14:paraId="0555D443" w14:textId="77777777" w:rsidR="00B97AEB" w:rsidRPr="00DB0383" w:rsidRDefault="00B97AEB"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Continuous monitoring and Cloud Security Posture Management (CSPM)</w:t>
            </w:r>
          </w:p>
        </w:tc>
      </w:tr>
      <w:tr w:rsidR="00B97AEB" w:rsidRPr="00DB0383" w14:paraId="02A5DF44" w14:textId="77777777" w:rsidTr="00F406C8">
        <w:trPr>
          <w:jc w:val="center"/>
        </w:trPr>
        <w:tc>
          <w:tcPr>
            <w:cnfStyle w:val="001000000000" w:firstRow="0" w:lastRow="0" w:firstColumn="1" w:lastColumn="0" w:oddVBand="0" w:evenVBand="0" w:oddHBand="0" w:evenHBand="0" w:firstRowFirstColumn="0" w:firstRowLastColumn="0" w:lastRowFirstColumn="0" w:lastRowLastColumn="0"/>
            <w:tcW w:w="2254" w:type="dxa"/>
          </w:tcPr>
          <w:p w14:paraId="0D613538" w14:textId="77777777" w:rsidR="00B97AEB" w:rsidRPr="00DB0383" w:rsidRDefault="00B97AEB" w:rsidP="00AF0E06">
            <w:pPr>
              <w:spacing w:line="360" w:lineRule="auto"/>
              <w:jc w:val="center"/>
              <w:rPr>
                <w:rFonts w:ascii="Arial" w:hAnsi="Arial" w:cs="Arial"/>
                <w:sz w:val="16"/>
                <w:szCs w:val="16"/>
              </w:rPr>
            </w:pPr>
            <w:r w:rsidRPr="00DB0383">
              <w:rPr>
                <w:rFonts w:ascii="Arial" w:hAnsi="Arial" w:cs="Arial"/>
                <w:sz w:val="16"/>
                <w:szCs w:val="16"/>
              </w:rPr>
              <w:t>Insider Threat</w:t>
            </w:r>
          </w:p>
        </w:tc>
        <w:tc>
          <w:tcPr>
            <w:tcW w:w="2254" w:type="dxa"/>
          </w:tcPr>
          <w:p w14:paraId="65436D59" w14:textId="77777777" w:rsidR="00B97AEB" w:rsidRPr="00DB0383" w:rsidRDefault="00B97AEB"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Medium</w:t>
            </w:r>
          </w:p>
        </w:tc>
        <w:tc>
          <w:tcPr>
            <w:tcW w:w="2254" w:type="dxa"/>
          </w:tcPr>
          <w:p w14:paraId="66C6DE86" w14:textId="77777777" w:rsidR="00B97AEB" w:rsidRPr="00DB0383" w:rsidRDefault="00B97AEB"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High</w:t>
            </w:r>
          </w:p>
        </w:tc>
        <w:tc>
          <w:tcPr>
            <w:tcW w:w="2254" w:type="dxa"/>
          </w:tcPr>
          <w:p w14:paraId="7653A9CC" w14:textId="77777777" w:rsidR="00B97AEB" w:rsidRPr="00DB0383" w:rsidRDefault="00B97AEB"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Role-based access control and activity logging</w:t>
            </w:r>
          </w:p>
        </w:tc>
      </w:tr>
      <w:tr w:rsidR="00B97AEB" w:rsidRPr="00DB0383" w14:paraId="1E797046" w14:textId="77777777" w:rsidTr="00F406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14:paraId="3072D366" w14:textId="77777777" w:rsidR="00B97AEB" w:rsidRPr="00DB0383" w:rsidRDefault="00B97AEB" w:rsidP="00AF0E06">
            <w:pPr>
              <w:spacing w:line="360" w:lineRule="auto"/>
              <w:jc w:val="center"/>
              <w:rPr>
                <w:rFonts w:ascii="Arial" w:hAnsi="Arial" w:cs="Arial"/>
                <w:sz w:val="16"/>
                <w:szCs w:val="16"/>
              </w:rPr>
            </w:pPr>
            <w:r w:rsidRPr="00DB0383">
              <w:rPr>
                <w:rFonts w:ascii="Arial" w:hAnsi="Arial" w:cs="Arial"/>
                <w:sz w:val="16"/>
                <w:szCs w:val="16"/>
              </w:rPr>
              <w:t>BYOD Device Compromise</w:t>
            </w:r>
          </w:p>
        </w:tc>
        <w:tc>
          <w:tcPr>
            <w:tcW w:w="2254" w:type="dxa"/>
          </w:tcPr>
          <w:p w14:paraId="4024C387" w14:textId="77777777" w:rsidR="00B97AEB" w:rsidRPr="00DB0383" w:rsidRDefault="00B97AEB"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High</w:t>
            </w:r>
          </w:p>
        </w:tc>
        <w:tc>
          <w:tcPr>
            <w:tcW w:w="2254" w:type="dxa"/>
          </w:tcPr>
          <w:p w14:paraId="5D6DE9DC" w14:textId="77777777" w:rsidR="00B97AEB" w:rsidRPr="00DB0383" w:rsidRDefault="00B97AEB"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High</w:t>
            </w:r>
          </w:p>
        </w:tc>
        <w:tc>
          <w:tcPr>
            <w:tcW w:w="2254" w:type="dxa"/>
          </w:tcPr>
          <w:p w14:paraId="5CB17244" w14:textId="77777777" w:rsidR="00B97AEB" w:rsidRPr="00DB0383" w:rsidRDefault="00B97AEB"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Mobile Device Management (MDM) and Multi-Factor Authentication (MFA)</w:t>
            </w:r>
          </w:p>
        </w:tc>
      </w:tr>
      <w:tr w:rsidR="00B97AEB" w:rsidRPr="00DB0383" w14:paraId="28180806" w14:textId="77777777" w:rsidTr="00F406C8">
        <w:trPr>
          <w:jc w:val="center"/>
        </w:trPr>
        <w:tc>
          <w:tcPr>
            <w:cnfStyle w:val="001000000000" w:firstRow="0" w:lastRow="0" w:firstColumn="1" w:lastColumn="0" w:oddVBand="0" w:evenVBand="0" w:oddHBand="0" w:evenHBand="0" w:firstRowFirstColumn="0" w:firstRowLastColumn="0" w:lastRowFirstColumn="0" w:lastRowLastColumn="0"/>
            <w:tcW w:w="2254" w:type="dxa"/>
          </w:tcPr>
          <w:p w14:paraId="33D4F18A" w14:textId="77777777" w:rsidR="00B97AEB" w:rsidRPr="00DB0383" w:rsidRDefault="00B97AEB" w:rsidP="00AF0E06">
            <w:pPr>
              <w:spacing w:line="360" w:lineRule="auto"/>
              <w:jc w:val="center"/>
              <w:rPr>
                <w:rFonts w:ascii="Arial" w:hAnsi="Arial" w:cs="Arial"/>
                <w:sz w:val="16"/>
                <w:szCs w:val="16"/>
              </w:rPr>
            </w:pPr>
            <w:r w:rsidRPr="00DB0383">
              <w:rPr>
                <w:rFonts w:ascii="Arial" w:hAnsi="Arial" w:cs="Arial"/>
                <w:sz w:val="16"/>
                <w:szCs w:val="16"/>
              </w:rPr>
              <w:t>Data Breach</w:t>
            </w:r>
          </w:p>
        </w:tc>
        <w:tc>
          <w:tcPr>
            <w:tcW w:w="2254" w:type="dxa"/>
          </w:tcPr>
          <w:p w14:paraId="0B43193F" w14:textId="77777777" w:rsidR="00B97AEB" w:rsidRPr="00DB0383" w:rsidRDefault="00B97AEB"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Medium</w:t>
            </w:r>
          </w:p>
        </w:tc>
        <w:tc>
          <w:tcPr>
            <w:tcW w:w="2254" w:type="dxa"/>
          </w:tcPr>
          <w:p w14:paraId="282C3EC2" w14:textId="77777777" w:rsidR="00B97AEB" w:rsidRPr="00DB0383" w:rsidRDefault="00B97AEB"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Severe</w:t>
            </w:r>
          </w:p>
        </w:tc>
        <w:tc>
          <w:tcPr>
            <w:tcW w:w="2254" w:type="dxa"/>
          </w:tcPr>
          <w:p w14:paraId="44706D25" w14:textId="77777777" w:rsidR="00B97AEB" w:rsidRPr="00DB0383" w:rsidRDefault="00B97AEB"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Encryption and Security Information and Event Management (SIEM)</w:t>
            </w:r>
          </w:p>
        </w:tc>
      </w:tr>
      <w:tr w:rsidR="00B97AEB" w:rsidRPr="00DB0383" w14:paraId="7B2D3792" w14:textId="77777777" w:rsidTr="00F406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4" w:type="dxa"/>
          </w:tcPr>
          <w:p w14:paraId="3CF89104" w14:textId="77777777" w:rsidR="00B97AEB" w:rsidRPr="00DB0383" w:rsidRDefault="00B97AEB" w:rsidP="00AF0E06">
            <w:pPr>
              <w:spacing w:line="360" w:lineRule="auto"/>
              <w:jc w:val="center"/>
              <w:rPr>
                <w:rFonts w:ascii="Arial" w:hAnsi="Arial" w:cs="Arial"/>
                <w:sz w:val="16"/>
                <w:szCs w:val="16"/>
              </w:rPr>
            </w:pPr>
            <w:r w:rsidRPr="00DB0383">
              <w:rPr>
                <w:rFonts w:ascii="Arial" w:hAnsi="Arial" w:cs="Arial"/>
                <w:sz w:val="16"/>
                <w:szCs w:val="16"/>
              </w:rPr>
              <w:t>Mobile Banking Fraud</w:t>
            </w:r>
          </w:p>
        </w:tc>
        <w:tc>
          <w:tcPr>
            <w:tcW w:w="2254" w:type="dxa"/>
          </w:tcPr>
          <w:p w14:paraId="26E02131" w14:textId="77777777" w:rsidR="00B97AEB" w:rsidRPr="00DB0383" w:rsidRDefault="00B97AEB"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High</w:t>
            </w:r>
          </w:p>
        </w:tc>
        <w:tc>
          <w:tcPr>
            <w:tcW w:w="2254" w:type="dxa"/>
          </w:tcPr>
          <w:p w14:paraId="7F662D5D" w14:textId="77777777" w:rsidR="00B97AEB" w:rsidRPr="00DB0383" w:rsidRDefault="00B97AEB"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High</w:t>
            </w:r>
          </w:p>
        </w:tc>
        <w:tc>
          <w:tcPr>
            <w:tcW w:w="2254" w:type="dxa"/>
          </w:tcPr>
          <w:p w14:paraId="0DE73D74" w14:textId="77777777" w:rsidR="00B97AEB" w:rsidRPr="00DB0383" w:rsidRDefault="00B97AEB" w:rsidP="00AF0E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MFA and behavioural analytics</w:t>
            </w:r>
          </w:p>
        </w:tc>
      </w:tr>
      <w:tr w:rsidR="00B97AEB" w:rsidRPr="00DB0383" w14:paraId="38126413" w14:textId="77777777" w:rsidTr="00F406C8">
        <w:trPr>
          <w:jc w:val="center"/>
        </w:trPr>
        <w:tc>
          <w:tcPr>
            <w:cnfStyle w:val="001000000000" w:firstRow="0" w:lastRow="0" w:firstColumn="1" w:lastColumn="0" w:oddVBand="0" w:evenVBand="0" w:oddHBand="0" w:evenHBand="0" w:firstRowFirstColumn="0" w:firstRowLastColumn="0" w:lastRowFirstColumn="0" w:lastRowLastColumn="0"/>
            <w:tcW w:w="2254" w:type="dxa"/>
          </w:tcPr>
          <w:p w14:paraId="10B9D13B" w14:textId="77777777" w:rsidR="00B97AEB" w:rsidRPr="00DB0383" w:rsidRDefault="00B97AEB" w:rsidP="00AF0E06">
            <w:pPr>
              <w:spacing w:line="360" w:lineRule="auto"/>
              <w:jc w:val="center"/>
              <w:rPr>
                <w:rFonts w:ascii="Arial" w:hAnsi="Arial" w:cs="Arial"/>
                <w:sz w:val="16"/>
                <w:szCs w:val="16"/>
              </w:rPr>
            </w:pPr>
            <w:r w:rsidRPr="00DB0383">
              <w:rPr>
                <w:rFonts w:ascii="Arial" w:hAnsi="Arial" w:cs="Arial"/>
                <w:sz w:val="16"/>
                <w:szCs w:val="16"/>
              </w:rPr>
              <w:t>Third-Party Service Failure</w:t>
            </w:r>
          </w:p>
        </w:tc>
        <w:tc>
          <w:tcPr>
            <w:tcW w:w="2254" w:type="dxa"/>
          </w:tcPr>
          <w:p w14:paraId="439C7B35" w14:textId="77777777" w:rsidR="00B97AEB" w:rsidRPr="00DB0383" w:rsidRDefault="00B97AEB"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Medium</w:t>
            </w:r>
          </w:p>
        </w:tc>
        <w:tc>
          <w:tcPr>
            <w:tcW w:w="2254" w:type="dxa"/>
          </w:tcPr>
          <w:p w14:paraId="652F71A0" w14:textId="77777777" w:rsidR="00B97AEB" w:rsidRPr="00DB0383" w:rsidRDefault="00B97AEB"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High</w:t>
            </w:r>
          </w:p>
        </w:tc>
        <w:tc>
          <w:tcPr>
            <w:tcW w:w="2254" w:type="dxa"/>
          </w:tcPr>
          <w:p w14:paraId="6826EB01" w14:textId="77777777" w:rsidR="00B97AEB" w:rsidRPr="00DB0383" w:rsidRDefault="00B97AEB" w:rsidP="00AF0E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SLA security clauses and vendor risk assessment</w:t>
            </w:r>
          </w:p>
        </w:tc>
      </w:tr>
    </w:tbl>
    <w:p w14:paraId="13D32C07" w14:textId="4F22CA9D" w:rsidR="00CA7F74" w:rsidRDefault="00815121" w:rsidP="00B06DD4">
      <w:pPr>
        <w:pStyle w:val="Caption"/>
        <w:jc w:val="center"/>
        <w:rPr>
          <w:rFonts w:ascii="Arial" w:hAnsi="Arial" w:cs="Arial"/>
        </w:rPr>
      </w:pPr>
      <w:bookmarkStart w:id="10" w:name="_Toc224564315"/>
      <w:r w:rsidRPr="00DB0383">
        <w:rPr>
          <w:rFonts w:ascii="Arial" w:hAnsi="Arial" w:cs="Arial"/>
        </w:rPr>
        <w:t xml:space="preserve">Table </w:t>
      </w:r>
      <w:r w:rsidR="00A644E5" w:rsidRPr="00DB0383">
        <w:rPr>
          <w:rFonts w:ascii="Arial" w:hAnsi="Arial" w:cs="Arial"/>
        </w:rPr>
        <w:fldChar w:fldCharType="begin"/>
      </w:r>
      <w:r w:rsidR="00A644E5" w:rsidRPr="00DB0383">
        <w:rPr>
          <w:rFonts w:ascii="Arial" w:hAnsi="Arial" w:cs="Arial"/>
        </w:rPr>
        <w:instrText xml:space="preserve"> SEQ Table \* ARABIC </w:instrText>
      </w:r>
      <w:r w:rsidR="00A644E5" w:rsidRPr="00DB0383">
        <w:rPr>
          <w:rFonts w:ascii="Arial" w:hAnsi="Arial" w:cs="Arial"/>
        </w:rPr>
        <w:fldChar w:fldCharType="separate"/>
      </w:r>
      <w:r w:rsidR="00B80342" w:rsidRPr="00DB0383">
        <w:rPr>
          <w:rFonts w:ascii="Arial" w:hAnsi="Arial" w:cs="Arial"/>
          <w:noProof/>
        </w:rPr>
        <w:t>2</w:t>
      </w:r>
      <w:r w:rsidR="00A644E5" w:rsidRPr="00DB0383">
        <w:rPr>
          <w:rFonts w:ascii="Arial" w:hAnsi="Arial" w:cs="Arial"/>
          <w:noProof/>
        </w:rPr>
        <w:fldChar w:fldCharType="end"/>
      </w:r>
      <w:r w:rsidRPr="00DB0383">
        <w:rPr>
          <w:rFonts w:ascii="Arial" w:hAnsi="Arial" w:cs="Arial"/>
        </w:rPr>
        <w:t xml:space="preserve"> - Risk Assessment Matrix</w:t>
      </w:r>
      <w:bookmarkEnd w:id="10"/>
    </w:p>
    <w:p w14:paraId="78A8A670" w14:textId="77777777" w:rsidR="00EE2073" w:rsidRPr="00EE2073" w:rsidRDefault="00EE2073" w:rsidP="00EE2073"/>
    <w:p w14:paraId="7A4EFFCC" w14:textId="77777777" w:rsidR="005A737F" w:rsidRPr="005A737F" w:rsidRDefault="005A737F" w:rsidP="005A737F">
      <w:pPr>
        <w:spacing w:line="360" w:lineRule="auto"/>
        <w:jc w:val="both"/>
        <w:rPr>
          <w:rFonts w:ascii="Arial" w:hAnsi="Arial" w:cs="Arial"/>
        </w:rPr>
      </w:pPr>
      <w:r w:rsidRPr="005A737F">
        <w:rPr>
          <w:rFonts w:ascii="Arial" w:hAnsi="Arial" w:cs="Arial"/>
        </w:rPr>
        <w:t>Table 2 outlines the key risks facing FinSure Bank and the controls proposed to mitigate them. The matrix highlights major risks linked to cloud infrastructure, insider access and BYOD usage. Mapping each risk to specific controls helps ensure that responses remain proportionate and aligned with regulatory requirements such as GDPR Article 32.</w:t>
      </w:r>
    </w:p>
    <w:p w14:paraId="43B840B3" w14:textId="77777777" w:rsidR="005A737F" w:rsidRPr="005A737F" w:rsidRDefault="005A737F" w:rsidP="005A737F">
      <w:pPr>
        <w:spacing w:line="360" w:lineRule="auto"/>
        <w:jc w:val="both"/>
        <w:rPr>
          <w:rFonts w:ascii="Arial" w:hAnsi="Arial" w:cs="Arial"/>
        </w:rPr>
      </w:pPr>
    </w:p>
    <w:p w14:paraId="0E96FC28" w14:textId="77777777" w:rsidR="005A737F" w:rsidRPr="005A737F" w:rsidRDefault="005A737F" w:rsidP="005A737F">
      <w:pPr>
        <w:spacing w:line="360" w:lineRule="auto"/>
        <w:jc w:val="both"/>
        <w:rPr>
          <w:rFonts w:ascii="Arial" w:hAnsi="Arial" w:cs="Arial"/>
        </w:rPr>
      </w:pPr>
      <w:r w:rsidRPr="005A737F">
        <w:rPr>
          <w:rFonts w:ascii="Arial" w:hAnsi="Arial" w:cs="Arial"/>
        </w:rPr>
        <w:t>Security policies should set out clear rules for access control, data classification, incident response and BYOD usage. While these policies reduce insider threats and accidental data exposure, they must be supported by staff training and wider organisational awareness to ensure consistent application.</w:t>
      </w:r>
    </w:p>
    <w:p w14:paraId="515437F0" w14:textId="77777777" w:rsidR="005A737F" w:rsidRPr="005A737F" w:rsidRDefault="005A737F" w:rsidP="005A737F">
      <w:pPr>
        <w:spacing w:line="360" w:lineRule="auto"/>
        <w:jc w:val="both"/>
        <w:rPr>
          <w:rFonts w:ascii="Arial" w:hAnsi="Arial" w:cs="Arial"/>
        </w:rPr>
      </w:pPr>
    </w:p>
    <w:p w14:paraId="26F2CEE0" w14:textId="77777777" w:rsidR="005A737F" w:rsidRPr="005A737F" w:rsidRDefault="005A737F" w:rsidP="005A737F">
      <w:pPr>
        <w:spacing w:line="360" w:lineRule="auto"/>
        <w:jc w:val="both"/>
        <w:rPr>
          <w:rFonts w:ascii="Arial" w:hAnsi="Arial" w:cs="Arial"/>
        </w:rPr>
      </w:pPr>
      <w:r w:rsidRPr="005A737F">
        <w:rPr>
          <w:rFonts w:ascii="Arial" w:hAnsi="Arial" w:cs="Arial"/>
        </w:rPr>
        <w:t>From a technical standpoint, FinSure Bank should encrypt data at rest and in transit, enforce multi</w:t>
      </w:r>
      <w:r w:rsidRPr="005A737F">
        <w:rPr>
          <w:rFonts w:ascii="Cambria Math" w:hAnsi="Cambria Math" w:cs="Cambria Math"/>
        </w:rPr>
        <w:t>‑</w:t>
      </w:r>
      <w:r w:rsidRPr="005A737F">
        <w:rPr>
          <w:rFonts w:ascii="Arial" w:hAnsi="Arial" w:cs="Arial"/>
        </w:rPr>
        <w:t>factor authentication for privileged and remote access, and use continuous monitoring to detect misconfigurations or suspicious activity in cloud environments. A Zero Trust Architecture can further strengthen security by removing implicit trust and continuously validating user identity and device integrity [14].</w:t>
      </w:r>
    </w:p>
    <w:p w14:paraId="4BF7354D" w14:textId="77777777" w:rsidR="005A737F" w:rsidRPr="005A737F" w:rsidRDefault="005A737F" w:rsidP="005A737F">
      <w:pPr>
        <w:spacing w:line="360" w:lineRule="auto"/>
        <w:jc w:val="both"/>
        <w:rPr>
          <w:rFonts w:ascii="Arial" w:hAnsi="Arial" w:cs="Arial"/>
        </w:rPr>
      </w:pPr>
    </w:p>
    <w:p w14:paraId="65C4A137" w14:textId="77777777" w:rsidR="005A737F" w:rsidRPr="005A737F" w:rsidRDefault="005A737F" w:rsidP="005A737F">
      <w:pPr>
        <w:spacing w:line="360" w:lineRule="auto"/>
        <w:jc w:val="both"/>
        <w:rPr>
          <w:rFonts w:ascii="Arial" w:hAnsi="Arial" w:cs="Arial"/>
        </w:rPr>
      </w:pPr>
      <w:r w:rsidRPr="005A737F">
        <w:rPr>
          <w:rFonts w:ascii="Arial" w:hAnsi="Arial" w:cs="Arial"/>
        </w:rPr>
        <w:t>Third</w:t>
      </w:r>
      <w:r w:rsidRPr="005A737F">
        <w:rPr>
          <w:rFonts w:ascii="Cambria Math" w:hAnsi="Cambria Math" w:cs="Cambria Math"/>
        </w:rPr>
        <w:t>‑</w:t>
      </w:r>
      <w:r w:rsidRPr="005A737F">
        <w:rPr>
          <w:rFonts w:ascii="Arial" w:hAnsi="Arial" w:cs="Arial"/>
        </w:rPr>
        <w:t>party risk management is also essential given the bank’s reliance on external cloud services. Service Level Agreements should clearly define security responsibilities, compliance expectations, incident</w:t>
      </w:r>
      <w:r w:rsidRPr="005A737F">
        <w:rPr>
          <w:rFonts w:ascii="Cambria Math" w:hAnsi="Cambria Math" w:cs="Cambria Math"/>
        </w:rPr>
        <w:t>‑</w:t>
      </w:r>
      <w:r w:rsidRPr="005A737F">
        <w:rPr>
          <w:rFonts w:ascii="Arial" w:hAnsi="Arial" w:cs="Arial"/>
        </w:rPr>
        <w:t>reporting requirements and audit rights to maintain accountability across suppliers.</w:t>
      </w:r>
    </w:p>
    <w:p w14:paraId="43699771" w14:textId="77777777" w:rsidR="005A737F" w:rsidRPr="005A737F" w:rsidRDefault="005A737F" w:rsidP="005A737F">
      <w:pPr>
        <w:spacing w:line="360" w:lineRule="auto"/>
        <w:jc w:val="both"/>
        <w:rPr>
          <w:rFonts w:ascii="Arial" w:hAnsi="Arial" w:cs="Arial"/>
        </w:rPr>
      </w:pPr>
    </w:p>
    <w:p w14:paraId="290E525E" w14:textId="44E3A96F" w:rsidR="005A737F" w:rsidRPr="00DB0383" w:rsidRDefault="005A737F" w:rsidP="005A737F">
      <w:pPr>
        <w:spacing w:line="360" w:lineRule="auto"/>
        <w:jc w:val="both"/>
        <w:rPr>
          <w:rFonts w:ascii="Arial" w:hAnsi="Arial" w:cs="Arial"/>
        </w:rPr>
      </w:pPr>
      <w:r w:rsidRPr="005A737F">
        <w:rPr>
          <w:rFonts w:ascii="Arial" w:hAnsi="Arial" w:cs="Arial"/>
        </w:rPr>
        <w:t>In addition, FinSure Bank should deploy a Security Information and Event Management (SIEM) platform in line with ISO/IEC 27001 monitoring controls [5]. SIEM systems consolidate logs from networks, databases and identity platforms to support real</w:t>
      </w:r>
      <w:r w:rsidRPr="005A737F">
        <w:rPr>
          <w:rFonts w:ascii="Cambria Math" w:hAnsi="Cambria Math" w:cs="Cambria Math"/>
        </w:rPr>
        <w:t>‑</w:t>
      </w:r>
      <w:r w:rsidRPr="005A737F">
        <w:rPr>
          <w:rFonts w:ascii="Arial" w:hAnsi="Arial" w:cs="Arial"/>
        </w:rPr>
        <w:t>time threat detection and regulatory audit needs. In financial environments, this capability is vital for identifying unauthorised access and responding quickly to potential breaches [15].</w:t>
      </w:r>
    </w:p>
    <w:p w14:paraId="327D243C" w14:textId="77777777" w:rsidR="00DB14FD" w:rsidRPr="00DB0383" w:rsidRDefault="00DB14FD" w:rsidP="00CA7F74">
      <w:pPr>
        <w:spacing w:line="360" w:lineRule="auto"/>
        <w:jc w:val="both"/>
        <w:rPr>
          <w:rFonts w:ascii="Arial" w:hAnsi="Arial" w:cs="Arial"/>
        </w:rPr>
      </w:pPr>
    </w:p>
    <w:tbl>
      <w:tblPr>
        <w:tblStyle w:val="GridTable4-Accent3"/>
        <w:tblW w:w="0" w:type="auto"/>
        <w:tblLook w:val="04A0" w:firstRow="1" w:lastRow="0" w:firstColumn="1" w:lastColumn="0" w:noHBand="0" w:noVBand="1"/>
      </w:tblPr>
      <w:tblGrid>
        <w:gridCol w:w="2254"/>
        <w:gridCol w:w="2254"/>
        <w:gridCol w:w="2254"/>
        <w:gridCol w:w="2254"/>
      </w:tblGrid>
      <w:tr w:rsidR="00027FCA" w:rsidRPr="00DB0383" w14:paraId="008F5C2C" w14:textId="77777777" w:rsidTr="00E96B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A08550C" w14:textId="77777777" w:rsidR="00027FCA" w:rsidRPr="00DB0383" w:rsidRDefault="00027FCA" w:rsidP="00AC73C6">
            <w:pPr>
              <w:spacing w:line="360" w:lineRule="auto"/>
              <w:jc w:val="center"/>
              <w:rPr>
                <w:rFonts w:ascii="Arial" w:hAnsi="Arial" w:cs="Arial"/>
                <w:b w:val="0"/>
                <w:bCs w:val="0"/>
                <w:sz w:val="16"/>
                <w:szCs w:val="16"/>
              </w:rPr>
            </w:pPr>
            <w:r w:rsidRPr="00DB0383">
              <w:rPr>
                <w:rFonts w:ascii="Arial" w:hAnsi="Arial" w:cs="Arial"/>
                <w:sz w:val="16"/>
                <w:szCs w:val="16"/>
              </w:rPr>
              <w:lastRenderedPageBreak/>
              <w:t>Security Area</w:t>
            </w:r>
          </w:p>
        </w:tc>
        <w:tc>
          <w:tcPr>
            <w:tcW w:w="2254" w:type="dxa"/>
          </w:tcPr>
          <w:p w14:paraId="7CB353B8" w14:textId="77777777" w:rsidR="00027FCA" w:rsidRPr="00DB0383" w:rsidRDefault="00027FCA" w:rsidP="00AC73C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DB0383">
              <w:rPr>
                <w:rFonts w:ascii="Arial" w:hAnsi="Arial" w:cs="Arial"/>
                <w:sz w:val="16"/>
                <w:szCs w:val="16"/>
              </w:rPr>
              <w:t>Control Implemented</w:t>
            </w:r>
          </w:p>
        </w:tc>
        <w:tc>
          <w:tcPr>
            <w:tcW w:w="2254" w:type="dxa"/>
          </w:tcPr>
          <w:p w14:paraId="069FBA0D" w14:textId="77777777" w:rsidR="00027FCA" w:rsidRPr="00DB0383" w:rsidRDefault="00027FCA" w:rsidP="00AC73C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DB0383">
              <w:rPr>
                <w:rFonts w:ascii="Arial" w:hAnsi="Arial" w:cs="Arial"/>
                <w:sz w:val="16"/>
                <w:szCs w:val="16"/>
              </w:rPr>
              <w:t>Framework / Legal Alignment</w:t>
            </w:r>
          </w:p>
        </w:tc>
        <w:tc>
          <w:tcPr>
            <w:tcW w:w="2254" w:type="dxa"/>
          </w:tcPr>
          <w:p w14:paraId="38B1301B" w14:textId="77777777" w:rsidR="00027FCA" w:rsidRPr="00DB0383" w:rsidRDefault="00027FCA" w:rsidP="00AC73C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16"/>
                <w:szCs w:val="16"/>
              </w:rPr>
            </w:pPr>
            <w:r w:rsidRPr="00DB0383">
              <w:rPr>
                <w:rFonts w:ascii="Arial" w:hAnsi="Arial" w:cs="Arial"/>
                <w:sz w:val="16"/>
                <w:szCs w:val="16"/>
              </w:rPr>
              <w:t>Purpose</w:t>
            </w:r>
          </w:p>
        </w:tc>
      </w:tr>
      <w:tr w:rsidR="00027FCA" w:rsidRPr="00DB0383" w14:paraId="3BC2D2B3" w14:textId="77777777" w:rsidTr="00E96B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6CFA7BA" w14:textId="77777777" w:rsidR="00027FCA" w:rsidRPr="00DB0383" w:rsidRDefault="00027FCA" w:rsidP="00AC73C6">
            <w:pPr>
              <w:spacing w:line="360" w:lineRule="auto"/>
              <w:jc w:val="center"/>
              <w:rPr>
                <w:rFonts w:ascii="Arial" w:hAnsi="Arial" w:cs="Arial"/>
                <w:sz w:val="16"/>
                <w:szCs w:val="16"/>
              </w:rPr>
            </w:pPr>
            <w:r w:rsidRPr="00DB0383">
              <w:rPr>
                <w:rFonts w:ascii="Arial" w:hAnsi="Arial" w:cs="Arial"/>
                <w:sz w:val="16"/>
                <w:szCs w:val="16"/>
              </w:rPr>
              <w:t>Access Control</w:t>
            </w:r>
          </w:p>
        </w:tc>
        <w:tc>
          <w:tcPr>
            <w:tcW w:w="2254" w:type="dxa"/>
          </w:tcPr>
          <w:p w14:paraId="376256B3" w14:textId="77777777" w:rsidR="00027FCA" w:rsidRPr="00DB0383" w:rsidRDefault="00027FCA"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Multi-Factor Authentication (MFA)</w:t>
            </w:r>
          </w:p>
        </w:tc>
        <w:tc>
          <w:tcPr>
            <w:tcW w:w="2254" w:type="dxa"/>
          </w:tcPr>
          <w:p w14:paraId="52A4E4FC" w14:textId="77777777" w:rsidR="00027FCA" w:rsidRPr="00DB0383" w:rsidRDefault="00027FCA"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ISO 27001 Annex A / GDPR Article 32</w:t>
            </w:r>
          </w:p>
        </w:tc>
        <w:tc>
          <w:tcPr>
            <w:tcW w:w="2254" w:type="dxa"/>
          </w:tcPr>
          <w:p w14:paraId="1AF17283" w14:textId="77777777" w:rsidR="00027FCA" w:rsidRPr="00DB0383" w:rsidRDefault="00027FCA"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Prevents unauthorised access</w:t>
            </w:r>
          </w:p>
        </w:tc>
      </w:tr>
      <w:tr w:rsidR="00027FCA" w:rsidRPr="00DB0383" w14:paraId="7C2DCD3A" w14:textId="77777777" w:rsidTr="00E96B5E">
        <w:tc>
          <w:tcPr>
            <w:cnfStyle w:val="001000000000" w:firstRow="0" w:lastRow="0" w:firstColumn="1" w:lastColumn="0" w:oddVBand="0" w:evenVBand="0" w:oddHBand="0" w:evenHBand="0" w:firstRowFirstColumn="0" w:firstRowLastColumn="0" w:lastRowFirstColumn="0" w:lastRowLastColumn="0"/>
            <w:tcW w:w="2254" w:type="dxa"/>
          </w:tcPr>
          <w:p w14:paraId="3C19DEF7" w14:textId="77777777" w:rsidR="00027FCA" w:rsidRPr="00DB0383" w:rsidRDefault="00027FCA" w:rsidP="00AC73C6">
            <w:pPr>
              <w:spacing w:line="360" w:lineRule="auto"/>
              <w:jc w:val="center"/>
              <w:rPr>
                <w:rFonts w:ascii="Arial" w:hAnsi="Arial" w:cs="Arial"/>
                <w:sz w:val="16"/>
                <w:szCs w:val="16"/>
              </w:rPr>
            </w:pPr>
            <w:r w:rsidRPr="00DB0383">
              <w:rPr>
                <w:rFonts w:ascii="Arial" w:hAnsi="Arial" w:cs="Arial"/>
                <w:sz w:val="16"/>
                <w:szCs w:val="16"/>
              </w:rPr>
              <w:t>Data Protection</w:t>
            </w:r>
          </w:p>
        </w:tc>
        <w:tc>
          <w:tcPr>
            <w:tcW w:w="2254" w:type="dxa"/>
          </w:tcPr>
          <w:p w14:paraId="478B7D93" w14:textId="77777777" w:rsidR="00027FCA" w:rsidRPr="00DB0383" w:rsidRDefault="00027FCA"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Encryption (data at rest and in transit)</w:t>
            </w:r>
          </w:p>
        </w:tc>
        <w:tc>
          <w:tcPr>
            <w:tcW w:w="2254" w:type="dxa"/>
          </w:tcPr>
          <w:p w14:paraId="4D5D540E" w14:textId="77777777" w:rsidR="00027FCA" w:rsidRPr="00DB0383" w:rsidRDefault="00027FCA"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GDPR Articles 5 &amp; 32</w:t>
            </w:r>
          </w:p>
        </w:tc>
        <w:tc>
          <w:tcPr>
            <w:tcW w:w="2254" w:type="dxa"/>
          </w:tcPr>
          <w:p w14:paraId="106E8D42" w14:textId="77777777" w:rsidR="00027FCA" w:rsidRPr="00DB0383" w:rsidRDefault="00027FCA"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Protects confidentiality and integrity of data</w:t>
            </w:r>
          </w:p>
        </w:tc>
      </w:tr>
      <w:tr w:rsidR="00027FCA" w:rsidRPr="00DB0383" w14:paraId="75D7F35C" w14:textId="77777777" w:rsidTr="00E96B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4272961" w14:textId="77777777" w:rsidR="00027FCA" w:rsidRPr="00DB0383" w:rsidRDefault="00027FCA" w:rsidP="00AC73C6">
            <w:pPr>
              <w:spacing w:line="360" w:lineRule="auto"/>
              <w:jc w:val="center"/>
              <w:rPr>
                <w:rFonts w:ascii="Arial" w:hAnsi="Arial" w:cs="Arial"/>
                <w:sz w:val="16"/>
                <w:szCs w:val="16"/>
              </w:rPr>
            </w:pPr>
            <w:r w:rsidRPr="00DB0383">
              <w:rPr>
                <w:rFonts w:ascii="Arial" w:hAnsi="Arial" w:cs="Arial"/>
                <w:sz w:val="16"/>
                <w:szCs w:val="16"/>
              </w:rPr>
              <w:t>Monitoring &amp; Detection</w:t>
            </w:r>
          </w:p>
        </w:tc>
        <w:tc>
          <w:tcPr>
            <w:tcW w:w="2254" w:type="dxa"/>
          </w:tcPr>
          <w:p w14:paraId="6D6B12BA" w14:textId="77777777" w:rsidR="00027FCA" w:rsidRPr="00DB0383" w:rsidRDefault="00027FCA"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Security Information and Event Management (SIEM)</w:t>
            </w:r>
          </w:p>
        </w:tc>
        <w:tc>
          <w:tcPr>
            <w:tcW w:w="2254" w:type="dxa"/>
          </w:tcPr>
          <w:p w14:paraId="3FBA5505" w14:textId="77777777" w:rsidR="00027FCA" w:rsidRPr="00DB0383" w:rsidRDefault="00027FCA"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ISO 27001 Monitoring Controls</w:t>
            </w:r>
          </w:p>
        </w:tc>
        <w:tc>
          <w:tcPr>
            <w:tcW w:w="2254" w:type="dxa"/>
          </w:tcPr>
          <w:p w14:paraId="6A5C6693" w14:textId="77777777" w:rsidR="00027FCA" w:rsidRPr="00DB0383" w:rsidRDefault="00027FCA"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Enables real-time threat detection and audit logging</w:t>
            </w:r>
          </w:p>
        </w:tc>
      </w:tr>
      <w:tr w:rsidR="00027FCA" w:rsidRPr="00DB0383" w14:paraId="63A51359" w14:textId="77777777" w:rsidTr="00E96B5E">
        <w:tc>
          <w:tcPr>
            <w:cnfStyle w:val="001000000000" w:firstRow="0" w:lastRow="0" w:firstColumn="1" w:lastColumn="0" w:oddVBand="0" w:evenVBand="0" w:oddHBand="0" w:evenHBand="0" w:firstRowFirstColumn="0" w:firstRowLastColumn="0" w:lastRowFirstColumn="0" w:lastRowLastColumn="0"/>
            <w:tcW w:w="2254" w:type="dxa"/>
          </w:tcPr>
          <w:p w14:paraId="78A00814" w14:textId="77777777" w:rsidR="00027FCA" w:rsidRPr="00DB0383" w:rsidRDefault="00027FCA" w:rsidP="00AC73C6">
            <w:pPr>
              <w:spacing w:line="360" w:lineRule="auto"/>
              <w:jc w:val="center"/>
              <w:rPr>
                <w:rFonts w:ascii="Arial" w:hAnsi="Arial" w:cs="Arial"/>
                <w:sz w:val="16"/>
                <w:szCs w:val="16"/>
              </w:rPr>
            </w:pPr>
            <w:r w:rsidRPr="00DB0383">
              <w:rPr>
                <w:rFonts w:ascii="Arial" w:hAnsi="Arial" w:cs="Arial"/>
                <w:sz w:val="16"/>
                <w:szCs w:val="16"/>
              </w:rPr>
              <w:t>Incident Management</w:t>
            </w:r>
          </w:p>
        </w:tc>
        <w:tc>
          <w:tcPr>
            <w:tcW w:w="2254" w:type="dxa"/>
          </w:tcPr>
          <w:p w14:paraId="2E62EA9E" w14:textId="77777777" w:rsidR="00027FCA" w:rsidRPr="00DB0383" w:rsidRDefault="00027FCA"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Structured response aligned with ITIL</w:t>
            </w:r>
          </w:p>
        </w:tc>
        <w:tc>
          <w:tcPr>
            <w:tcW w:w="2254" w:type="dxa"/>
          </w:tcPr>
          <w:p w14:paraId="23CF72E9" w14:textId="77777777" w:rsidR="00027FCA" w:rsidRPr="00DB0383" w:rsidRDefault="00027FCA"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ITIL Incident Management Practice</w:t>
            </w:r>
          </w:p>
        </w:tc>
        <w:tc>
          <w:tcPr>
            <w:tcW w:w="2254" w:type="dxa"/>
          </w:tcPr>
          <w:p w14:paraId="6878215E" w14:textId="77777777" w:rsidR="00027FCA" w:rsidRPr="00DB0383" w:rsidRDefault="00027FCA"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Ensures timely containment and recovery</w:t>
            </w:r>
          </w:p>
        </w:tc>
      </w:tr>
      <w:tr w:rsidR="00027FCA" w:rsidRPr="00DB0383" w14:paraId="5890F753" w14:textId="77777777" w:rsidTr="00E96B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EE4355E" w14:textId="77777777" w:rsidR="00027FCA" w:rsidRPr="00DB0383" w:rsidRDefault="00027FCA" w:rsidP="00AC73C6">
            <w:pPr>
              <w:spacing w:line="360" w:lineRule="auto"/>
              <w:jc w:val="center"/>
              <w:rPr>
                <w:rFonts w:ascii="Arial" w:hAnsi="Arial" w:cs="Arial"/>
                <w:sz w:val="16"/>
                <w:szCs w:val="16"/>
              </w:rPr>
            </w:pPr>
            <w:r w:rsidRPr="00DB0383">
              <w:rPr>
                <w:rFonts w:ascii="Arial" w:hAnsi="Arial" w:cs="Arial"/>
                <w:sz w:val="16"/>
                <w:szCs w:val="16"/>
              </w:rPr>
              <w:t>Business Continuity</w:t>
            </w:r>
          </w:p>
        </w:tc>
        <w:tc>
          <w:tcPr>
            <w:tcW w:w="2254" w:type="dxa"/>
          </w:tcPr>
          <w:p w14:paraId="23E0308A" w14:textId="77777777" w:rsidR="00027FCA" w:rsidRPr="00DB0383" w:rsidRDefault="00027FCA"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Disaster Recovery and Backup Planning</w:t>
            </w:r>
          </w:p>
        </w:tc>
        <w:tc>
          <w:tcPr>
            <w:tcW w:w="2254" w:type="dxa"/>
          </w:tcPr>
          <w:p w14:paraId="6AB2EC5B" w14:textId="77777777" w:rsidR="00027FCA" w:rsidRPr="00DB0383" w:rsidRDefault="00027FCA"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ISO 27001 Clause 8</w:t>
            </w:r>
          </w:p>
        </w:tc>
        <w:tc>
          <w:tcPr>
            <w:tcW w:w="2254" w:type="dxa"/>
          </w:tcPr>
          <w:p w14:paraId="6D22512C" w14:textId="77777777" w:rsidR="00027FCA" w:rsidRPr="00DB0383" w:rsidRDefault="00027FCA"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Ensures operational resilience</w:t>
            </w:r>
          </w:p>
        </w:tc>
      </w:tr>
      <w:tr w:rsidR="00027FCA" w:rsidRPr="00DB0383" w14:paraId="4D68577D" w14:textId="77777777" w:rsidTr="00E96B5E">
        <w:tc>
          <w:tcPr>
            <w:cnfStyle w:val="001000000000" w:firstRow="0" w:lastRow="0" w:firstColumn="1" w:lastColumn="0" w:oddVBand="0" w:evenVBand="0" w:oddHBand="0" w:evenHBand="0" w:firstRowFirstColumn="0" w:firstRowLastColumn="0" w:lastRowFirstColumn="0" w:lastRowLastColumn="0"/>
            <w:tcW w:w="2254" w:type="dxa"/>
          </w:tcPr>
          <w:p w14:paraId="4C6D0C2F" w14:textId="77777777" w:rsidR="00027FCA" w:rsidRPr="00DB0383" w:rsidRDefault="00027FCA" w:rsidP="00AC73C6">
            <w:pPr>
              <w:spacing w:line="360" w:lineRule="auto"/>
              <w:jc w:val="center"/>
              <w:rPr>
                <w:rFonts w:ascii="Arial" w:hAnsi="Arial" w:cs="Arial"/>
                <w:sz w:val="16"/>
                <w:szCs w:val="16"/>
              </w:rPr>
            </w:pPr>
            <w:r w:rsidRPr="00DB0383">
              <w:rPr>
                <w:rFonts w:ascii="Arial" w:hAnsi="Arial" w:cs="Arial"/>
                <w:sz w:val="16"/>
                <w:szCs w:val="16"/>
              </w:rPr>
              <w:t>BYOD Security</w:t>
            </w:r>
          </w:p>
        </w:tc>
        <w:tc>
          <w:tcPr>
            <w:tcW w:w="2254" w:type="dxa"/>
          </w:tcPr>
          <w:p w14:paraId="0E794989" w14:textId="77777777" w:rsidR="00027FCA" w:rsidRPr="00DB0383" w:rsidRDefault="00027FCA"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Mobile Device Management (MDM)</w:t>
            </w:r>
          </w:p>
        </w:tc>
        <w:tc>
          <w:tcPr>
            <w:tcW w:w="2254" w:type="dxa"/>
          </w:tcPr>
          <w:p w14:paraId="5E06B3CE" w14:textId="77777777" w:rsidR="00027FCA" w:rsidRPr="00DB0383" w:rsidRDefault="00027FCA"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UK Data Protection Act 2018</w:t>
            </w:r>
          </w:p>
        </w:tc>
        <w:tc>
          <w:tcPr>
            <w:tcW w:w="2254" w:type="dxa"/>
          </w:tcPr>
          <w:p w14:paraId="422CD807" w14:textId="77777777" w:rsidR="00027FCA" w:rsidRPr="00DB0383" w:rsidRDefault="00027FCA"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Reduces endpoint security risk</w:t>
            </w:r>
          </w:p>
        </w:tc>
      </w:tr>
      <w:tr w:rsidR="00027FCA" w:rsidRPr="00DB0383" w14:paraId="30274257" w14:textId="77777777" w:rsidTr="00E96B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6F1332C" w14:textId="77777777" w:rsidR="00027FCA" w:rsidRPr="00DB0383" w:rsidRDefault="00027FCA" w:rsidP="00AC73C6">
            <w:pPr>
              <w:spacing w:line="360" w:lineRule="auto"/>
              <w:jc w:val="center"/>
              <w:rPr>
                <w:rFonts w:ascii="Arial" w:hAnsi="Arial" w:cs="Arial"/>
                <w:sz w:val="16"/>
                <w:szCs w:val="16"/>
              </w:rPr>
            </w:pPr>
            <w:r w:rsidRPr="00DB0383">
              <w:rPr>
                <w:rFonts w:ascii="Arial" w:hAnsi="Arial" w:cs="Arial"/>
                <w:sz w:val="16"/>
                <w:szCs w:val="16"/>
              </w:rPr>
              <w:t>Third-Party Security</w:t>
            </w:r>
          </w:p>
        </w:tc>
        <w:tc>
          <w:tcPr>
            <w:tcW w:w="2254" w:type="dxa"/>
          </w:tcPr>
          <w:p w14:paraId="5E44F3E0" w14:textId="77777777" w:rsidR="00027FCA" w:rsidRPr="00DB0383" w:rsidRDefault="00027FCA"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Security clauses in Service Level Agreements (SLA)</w:t>
            </w:r>
          </w:p>
        </w:tc>
        <w:tc>
          <w:tcPr>
            <w:tcW w:w="2254" w:type="dxa"/>
          </w:tcPr>
          <w:p w14:paraId="164CD0DD" w14:textId="77777777" w:rsidR="00027FCA" w:rsidRPr="00DB0383" w:rsidRDefault="00027FCA"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FCA Outsourcing Guidance</w:t>
            </w:r>
          </w:p>
        </w:tc>
        <w:tc>
          <w:tcPr>
            <w:tcW w:w="2254" w:type="dxa"/>
          </w:tcPr>
          <w:p w14:paraId="1BF564C3" w14:textId="77777777" w:rsidR="00027FCA" w:rsidRPr="00DB0383" w:rsidRDefault="00027FCA"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Manages vendor and cloud risk</w:t>
            </w:r>
          </w:p>
        </w:tc>
      </w:tr>
    </w:tbl>
    <w:p w14:paraId="2E8FC601" w14:textId="60D1564A" w:rsidR="00B37081" w:rsidRDefault="00A644E5" w:rsidP="00677CEA">
      <w:pPr>
        <w:pStyle w:val="Caption"/>
        <w:jc w:val="center"/>
        <w:rPr>
          <w:rFonts w:ascii="Arial" w:hAnsi="Arial" w:cs="Arial"/>
        </w:rPr>
      </w:pPr>
      <w:bookmarkStart w:id="11" w:name="_Toc224564316"/>
      <w:r w:rsidRPr="00DB0383">
        <w:rPr>
          <w:rFonts w:ascii="Arial" w:hAnsi="Arial" w:cs="Arial"/>
        </w:rPr>
        <w:t xml:space="preserve">Table </w:t>
      </w:r>
      <w:r w:rsidRPr="00DB0383">
        <w:rPr>
          <w:rFonts w:ascii="Arial" w:hAnsi="Arial" w:cs="Arial"/>
        </w:rPr>
        <w:fldChar w:fldCharType="begin"/>
      </w:r>
      <w:r w:rsidRPr="00DB0383">
        <w:rPr>
          <w:rFonts w:ascii="Arial" w:hAnsi="Arial" w:cs="Arial"/>
        </w:rPr>
        <w:instrText xml:space="preserve"> SEQ Table \* ARABIC </w:instrText>
      </w:r>
      <w:r w:rsidRPr="00DB0383">
        <w:rPr>
          <w:rFonts w:ascii="Arial" w:hAnsi="Arial" w:cs="Arial"/>
        </w:rPr>
        <w:fldChar w:fldCharType="separate"/>
      </w:r>
      <w:r w:rsidR="00B80342" w:rsidRPr="00DB0383">
        <w:rPr>
          <w:rFonts w:ascii="Arial" w:hAnsi="Arial" w:cs="Arial"/>
          <w:noProof/>
        </w:rPr>
        <w:t>3</w:t>
      </w:r>
      <w:r w:rsidRPr="00DB0383">
        <w:rPr>
          <w:rFonts w:ascii="Arial" w:hAnsi="Arial" w:cs="Arial"/>
          <w:noProof/>
        </w:rPr>
        <w:fldChar w:fldCharType="end"/>
      </w:r>
      <w:r w:rsidRPr="00DB0383">
        <w:rPr>
          <w:rFonts w:ascii="Arial" w:hAnsi="Arial" w:cs="Arial"/>
        </w:rPr>
        <w:t xml:space="preserve"> - Technical and Operational Security Controls for FinSure Bank</w:t>
      </w:r>
      <w:bookmarkEnd w:id="11"/>
    </w:p>
    <w:p w14:paraId="7B07AACB" w14:textId="77777777" w:rsidR="00EE2073" w:rsidRPr="00EE2073" w:rsidRDefault="00EE2073" w:rsidP="00EE2073"/>
    <w:p w14:paraId="54BBF5F0" w14:textId="7BC5BF3A" w:rsidR="00071FF6" w:rsidRPr="00DB0383" w:rsidRDefault="00071FF6" w:rsidP="00071FF6">
      <w:pPr>
        <w:spacing w:line="360" w:lineRule="auto"/>
        <w:jc w:val="both"/>
        <w:rPr>
          <w:rFonts w:ascii="Arial" w:hAnsi="Arial" w:cs="Arial"/>
        </w:rPr>
      </w:pPr>
      <w:r w:rsidRPr="00DB0383">
        <w:rPr>
          <w:rFonts w:ascii="Arial" w:hAnsi="Arial" w:cs="Arial"/>
        </w:rPr>
        <w:t>Table 3 shows how FinSure Bank’s technical and operational controls map directly to recognised international standards and legal obligations. By linking each safeguard to ISO 27001, GDPR and FCA guidance, the bank ensures that its security measures are not only technically sound but also legally defensible and aligned with broader governance goals.</w:t>
      </w:r>
    </w:p>
    <w:p w14:paraId="2CCC4BF3" w14:textId="77777777" w:rsidR="00E206D7" w:rsidRPr="00DB0383" w:rsidRDefault="00E206D7" w:rsidP="00071FF6">
      <w:pPr>
        <w:spacing w:line="360" w:lineRule="auto"/>
        <w:jc w:val="both"/>
        <w:rPr>
          <w:rFonts w:ascii="Arial" w:hAnsi="Arial" w:cs="Arial"/>
        </w:rPr>
      </w:pPr>
    </w:p>
    <w:tbl>
      <w:tblPr>
        <w:tblStyle w:val="GridTable4-Accent1"/>
        <w:tblW w:w="0" w:type="auto"/>
        <w:tblLook w:val="04A0" w:firstRow="1" w:lastRow="0" w:firstColumn="1" w:lastColumn="0" w:noHBand="0" w:noVBand="1"/>
      </w:tblPr>
      <w:tblGrid>
        <w:gridCol w:w="2254"/>
        <w:gridCol w:w="2254"/>
        <w:gridCol w:w="2254"/>
        <w:gridCol w:w="2254"/>
      </w:tblGrid>
      <w:tr w:rsidR="003B52A3" w:rsidRPr="00DB0383" w14:paraId="4C535962" w14:textId="77777777" w:rsidTr="00E96B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7BAFF30" w14:textId="77777777" w:rsidR="003B52A3" w:rsidRPr="00DB0383" w:rsidRDefault="003B52A3" w:rsidP="00C555A8">
            <w:pPr>
              <w:spacing w:line="360" w:lineRule="auto"/>
              <w:jc w:val="both"/>
              <w:rPr>
                <w:rFonts w:ascii="Arial" w:hAnsi="Arial" w:cs="Arial"/>
                <w:sz w:val="16"/>
                <w:szCs w:val="16"/>
              </w:rPr>
            </w:pPr>
            <w:r w:rsidRPr="00DB0383">
              <w:rPr>
                <w:rFonts w:ascii="Arial" w:hAnsi="Arial" w:cs="Arial"/>
                <w:sz w:val="16"/>
                <w:szCs w:val="16"/>
              </w:rPr>
              <w:t xml:space="preserve">Phase </w:t>
            </w:r>
          </w:p>
        </w:tc>
        <w:tc>
          <w:tcPr>
            <w:tcW w:w="2254" w:type="dxa"/>
          </w:tcPr>
          <w:p w14:paraId="3BDCB399" w14:textId="77777777" w:rsidR="003B52A3" w:rsidRPr="00DB0383" w:rsidRDefault="003B52A3" w:rsidP="00C555A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 xml:space="preserve"> Timeline </w:t>
            </w:r>
          </w:p>
        </w:tc>
        <w:tc>
          <w:tcPr>
            <w:tcW w:w="2254" w:type="dxa"/>
          </w:tcPr>
          <w:p w14:paraId="1CE2C249" w14:textId="77777777" w:rsidR="003B52A3" w:rsidRPr="00DB0383" w:rsidRDefault="003B52A3" w:rsidP="00C555A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 xml:space="preserve"> Key Activities </w:t>
            </w:r>
          </w:p>
        </w:tc>
        <w:tc>
          <w:tcPr>
            <w:tcW w:w="2254" w:type="dxa"/>
          </w:tcPr>
          <w:p w14:paraId="42442BDB" w14:textId="77777777" w:rsidR="003B52A3" w:rsidRPr="00DB0383" w:rsidRDefault="003B52A3" w:rsidP="00C555A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 xml:space="preserve"> Objective</w:t>
            </w:r>
          </w:p>
        </w:tc>
      </w:tr>
      <w:tr w:rsidR="003B52A3" w:rsidRPr="00DB0383" w14:paraId="385302B9" w14:textId="77777777" w:rsidTr="00E96B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498E2DD" w14:textId="4C797703" w:rsidR="003B52A3" w:rsidRPr="00DB0383" w:rsidRDefault="003B52A3" w:rsidP="00AC73C6">
            <w:pPr>
              <w:spacing w:line="360" w:lineRule="auto"/>
              <w:jc w:val="center"/>
              <w:rPr>
                <w:rFonts w:ascii="Arial" w:hAnsi="Arial" w:cs="Arial"/>
                <w:sz w:val="16"/>
                <w:szCs w:val="16"/>
              </w:rPr>
            </w:pPr>
            <w:r w:rsidRPr="00DB0383">
              <w:rPr>
                <w:rFonts w:ascii="Arial" w:hAnsi="Arial" w:cs="Arial"/>
                <w:sz w:val="16"/>
                <w:szCs w:val="16"/>
              </w:rPr>
              <w:t>Phase 1</w:t>
            </w:r>
          </w:p>
        </w:tc>
        <w:tc>
          <w:tcPr>
            <w:tcW w:w="2254" w:type="dxa"/>
          </w:tcPr>
          <w:p w14:paraId="6843FF17" w14:textId="6BB42E0B" w:rsidR="003B52A3" w:rsidRPr="00DB0383" w:rsidRDefault="003B52A3"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0–6 Months</w:t>
            </w:r>
          </w:p>
        </w:tc>
        <w:tc>
          <w:tcPr>
            <w:tcW w:w="2254" w:type="dxa"/>
          </w:tcPr>
          <w:p w14:paraId="139E0826" w14:textId="7F939AA8" w:rsidR="003B52A3" w:rsidRPr="00DB0383" w:rsidRDefault="003B52A3"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Appoint CISO; Risk assessment; Approve security policies; Implement MFA</w:t>
            </w:r>
          </w:p>
        </w:tc>
        <w:tc>
          <w:tcPr>
            <w:tcW w:w="2254" w:type="dxa"/>
          </w:tcPr>
          <w:p w14:paraId="30AB57C6" w14:textId="5CA11F88" w:rsidR="003B52A3" w:rsidRPr="00DB0383" w:rsidRDefault="003B52A3"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Establish governance foundation</w:t>
            </w:r>
          </w:p>
        </w:tc>
      </w:tr>
      <w:tr w:rsidR="003B52A3" w:rsidRPr="00DB0383" w14:paraId="711C09D8" w14:textId="77777777" w:rsidTr="00E96B5E">
        <w:tc>
          <w:tcPr>
            <w:cnfStyle w:val="001000000000" w:firstRow="0" w:lastRow="0" w:firstColumn="1" w:lastColumn="0" w:oddVBand="0" w:evenVBand="0" w:oddHBand="0" w:evenHBand="0" w:firstRowFirstColumn="0" w:firstRowLastColumn="0" w:lastRowFirstColumn="0" w:lastRowLastColumn="0"/>
            <w:tcW w:w="2254" w:type="dxa"/>
          </w:tcPr>
          <w:p w14:paraId="639C4B19" w14:textId="2C439207" w:rsidR="003B52A3" w:rsidRPr="00DB0383" w:rsidRDefault="003B52A3" w:rsidP="00AC73C6">
            <w:pPr>
              <w:spacing w:line="360" w:lineRule="auto"/>
              <w:jc w:val="center"/>
              <w:rPr>
                <w:rFonts w:ascii="Arial" w:hAnsi="Arial" w:cs="Arial"/>
                <w:sz w:val="16"/>
                <w:szCs w:val="16"/>
              </w:rPr>
            </w:pPr>
            <w:r w:rsidRPr="00DB0383">
              <w:rPr>
                <w:rFonts w:ascii="Arial" w:hAnsi="Arial" w:cs="Arial"/>
                <w:sz w:val="16"/>
                <w:szCs w:val="16"/>
              </w:rPr>
              <w:t>Phase 2</w:t>
            </w:r>
          </w:p>
        </w:tc>
        <w:tc>
          <w:tcPr>
            <w:tcW w:w="2254" w:type="dxa"/>
          </w:tcPr>
          <w:p w14:paraId="7DF9DA64" w14:textId="0FA5627A" w:rsidR="003B52A3" w:rsidRPr="00DB0383" w:rsidRDefault="003B52A3"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6–12 Months</w:t>
            </w:r>
          </w:p>
        </w:tc>
        <w:tc>
          <w:tcPr>
            <w:tcW w:w="2254" w:type="dxa"/>
          </w:tcPr>
          <w:p w14:paraId="753C2623" w14:textId="1077D28D" w:rsidR="003B52A3" w:rsidRPr="00DB0383" w:rsidRDefault="003B52A3"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Deploy SIEM; Implement MDM (BYOD); Vendor risk audit</w:t>
            </w:r>
          </w:p>
        </w:tc>
        <w:tc>
          <w:tcPr>
            <w:tcW w:w="2254" w:type="dxa"/>
          </w:tcPr>
          <w:p w14:paraId="1F8FF7A4" w14:textId="5FD518A1" w:rsidR="003B52A3" w:rsidRPr="00DB0383" w:rsidRDefault="003B52A3"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Strengthen monitoring and endpoint security</w:t>
            </w:r>
          </w:p>
        </w:tc>
      </w:tr>
      <w:tr w:rsidR="003B52A3" w:rsidRPr="00DB0383" w14:paraId="0979B263" w14:textId="77777777" w:rsidTr="00E96B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BB2974E" w14:textId="0D1EB52E" w:rsidR="003B52A3" w:rsidRPr="00DB0383" w:rsidRDefault="003B52A3" w:rsidP="00AC73C6">
            <w:pPr>
              <w:spacing w:line="360" w:lineRule="auto"/>
              <w:jc w:val="center"/>
              <w:rPr>
                <w:rFonts w:ascii="Arial" w:hAnsi="Arial" w:cs="Arial"/>
                <w:sz w:val="16"/>
                <w:szCs w:val="16"/>
              </w:rPr>
            </w:pPr>
            <w:r w:rsidRPr="00DB0383">
              <w:rPr>
                <w:rFonts w:ascii="Arial" w:hAnsi="Arial" w:cs="Arial"/>
                <w:sz w:val="16"/>
                <w:szCs w:val="16"/>
              </w:rPr>
              <w:t>Phase 3</w:t>
            </w:r>
          </w:p>
        </w:tc>
        <w:tc>
          <w:tcPr>
            <w:tcW w:w="2254" w:type="dxa"/>
          </w:tcPr>
          <w:p w14:paraId="6D6384A4" w14:textId="5BB64CAC" w:rsidR="003B52A3" w:rsidRPr="00DB0383" w:rsidRDefault="003B52A3"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12–24 Months</w:t>
            </w:r>
          </w:p>
        </w:tc>
        <w:tc>
          <w:tcPr>
            <w:tcW w:w="2254" w:type="dxa"/>
          </w:tcPr>
          <w:p w14:paraId="1DE48AB4" w14:textId="0086892C" w:rsidR="003B52A3" w:rsidRPr="00DB0383" w:rsidRDefault="003B52A3"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ISO 27001 preparation; Internal audit; Staff training</w:t>
            </w:r>
          </w:p>
        </w:tc>
        <w:tc>
          <w:tcPr>
            <w:tcW w:w="2254" w:type="dxa"/>
          </w:tcPr>
          <w:p w14:paraId="63A9F06F" w14:textId="44491541" w:rsidR="003B52A3" w:rsidRPr="00DB0383" w:rsidRDefault="003B52A3" w:rsidP="00AC73C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DB0383">
              <w:rPr>
                <w:rFonts w:ascii="Arial" w:hAnsi="Arial" w:cs="Arial"/>
                <w:sz w:val="16"/>
                <w:szCs w:val="16"/>
              </w:rPr>
              <w:t>Improve compliance maturity</w:t>
            </w:r>
          </w:p>
        </w:tc>
      </w:tr>
      <w:tr w:rsidR="003B52A3" w:rsidRPr="00DB0383" w14:paraId="2522E120" w14:textId="77777777" w:rsidTr="00E96B5E">
        <w:tc>
          <w:tcPr>
            <w:cnfStyle w:val="001000000000" w:firstRow="0" w:lastRow="0" w:firstColumn="1" w:lastColumn="0" w:oddVBand="0" w:evenVBand="0" w:oddHBand="0" w:evenHBand="0" w:firstRowFirstColumn="0" w:firstRowLastColumn="0" w:lastRowFirstColumn="0" w:lastRowLastColumn="0"/>
            <w:tcW w:w="2254" w:type="dxa"/>
          </w:tcPr>
          <w:p w14:paraId="1CBD2E33" w14:textId="42C14843" w:rsidR="003B52A3" w:rsidRPr="00DB0383" w:rsidRDefault="003B52A3" w:rsidP="00AC73C6">
            <w:pPr>
              <w:spacing w:line="360" w:lineRule="auto"/>
              <w:jc w:val="center"/>
              <w:rPr>
                <w:rFonts w:ascii="Arial" w:hAnsi="Arial" w:cs="Arial"/>
                <w:sz w:val="16"/>
                <w:szCs w:val="16"/>
              </w:rPr>
            </w:pPr>
            <w:r w:rsidRPr="00DB0383">
              <w:rPr>
                <w:rFonts w:ascii="Arial" w:hAnsi="Arial" w:cs="Arial"/>
                <w:sz w:val="16"/>
                <w:szCs w:val="16"/>
              </w:rPr>
              <w:t>Phase 4</w:t>
            </w:r>
          </w:p>
        </w:tc>
        <w:tc>
          <w:tcPr>
            <w:tcW w:w="2254" w:type="dxa"/>
          </w:tcPr>
          <w:p w14:paraId="20A210C7" w14:textId="2E849719" w:rsidR="003B52A3" w:rsidRPr="00DB0383" w:rsidRDefault="003B52A3"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Ongoing</w:t>
            </w:r>
          </w:p>
        </w:tc>
        <w:tc>
          <w:tcPr>
            <w:tcW w:w="2254" w:type="dxa"/>
          </w:tcPr>
          <w:p w14:paraId="046A6941" w14:textId="75778348" w:rsidR="003B52A3" w:rsidRPr="00DB0383" w:rsidRDefault="003B52A3"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Continuous monitoring; Annual risk review; Regulatory updates</w:t>
            </w:r>
          </w:p>
        </w:tc>
        <w:tc>
          <w:tcPr>
            <w:tcW w:w="2254" w:type="dxa"/>
          </w:tcPr>
          <w:p w14:paraId="0154969E" w14:textId="04F4451D" w:rsidR="003B52A3" w:rsidRPr="00DB0383" w:rsidRDefault="003B52A3" w:rsidP="00AC73C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DB0383">
              <w:rPr>
                <w:rFonts w:ascii="Arial" w:hAnsi="Arial" w:cs="Arial"/>
                <w:sz w:val="16"/>
                <w:szCs w:val="16"/>
              </w:rPr>
              <w:t>Maintain resilience</w:t>
            </w:r>
          </w:p>
        </w:tc>
      </w:tr>
    </w:tbl>
    <w:p w14:paraId="3611A857" w14:textId="7A4E3152" w:rsidR="00B80342" w:rsidRDefault="00B80342" w:rsidP="00B80342">
      <w:pPr>
        <w:pStyle w:val="Caption"/>
        <w:jc w:val="center"/>
        <w:rPr>
          <w:rFonts w:ascii="Arial" w:hAnsi="Arial" w:cs="Arial"/>
        </w:rPr>
      </w:pPr>
      <w:bookmarkStart w:id="12" w:name="_Toc224564317"/>
      <w:r w:rsidRPr="00DB0383">
        <w:rPr>
          <w:rFonts w:ascii="Arial" w:hAnsi="Arial" w:cs="Arial"/>
        </w:rPr>
        <w:t xml:space="preserve">Table </w:t>
      </w:r>
      <w:r w:rsidRPr="00DB0383">
        <w:rPr>
          <w:rFonts w:ascii="Arial" w:hAnsi="Arial" w:cs="Arial"/>
        </w:rPr>
        <w:fldChar w:fldCharType="begin"/>
      </w:r>
      <w:r w:rsidRPr="00DB0383">
        <w:rPr>
          <w:rFonts w:ascii="Arial" w:hAnsi="Arial" w:cs="Arial"/>
        </w:rPr>
        <w:instrText xml:space="preserve"> SEQ Table \* ARABIC </w:instrText>
      </w:r>
      <w:r w:rsidRPr="00DB0383">
        <w:rPr>
          <w:rFonts w:ascii="Arial" w:hAnsi="Arial" w:cs="Arial"/>
        </w:rPr>
        <w:fldChar w:fldCharType="separate"/>
      </w:r>
      <w:r w:rsidRPr="00DB0383">
        <w:rPr>
          <w:rFonts w:ascii="Arial" w:hAnsi="Arial" w:cs="Arial"/>
          <w:noProof/>
        </w:rPr>
        <w:t>4</w:t>
      </w:r>
      <w:r w:rsidRPr="00DB0383">
        <w:rPr>
          <w:rFonts w:ascii="Arial" w:hAnsi="Arial" w:cs="Arial"/>
        </w:rPr>
        <w:fldChar w:fldCharType="end"/>
      </w:r>
      <w:r w:rsidRPr="00DB0383">
        <w:rPr>
          <w:rFonts w:ascii="Arial" w:hAnsi="Arial" w:cs="Arial"/>
        </w:rPr>
        <w:t xml:space="preserve"> - Security Governance Roadmap</w:t>
      </w:r>
      <w:bookmarkEnd w:id="12"/>
    </w:p>
    <w:p w14:paraId="03C150A2" w14:textId="77777777" w:rsidR="00EE2073" w:rsidRPr="00EE2073" w:rsidRDefault="00EE2073" w:rsidP="00EE2073"/>
    <w:p w14:paraId="391A6FEE" w14:textId="799EA997" w:rsidR="0027131A" w:rsidRPr="0027131A" w:rsidRDefault="0027131A" w:rsidP="0027131A">
      <w:pPr>
        <w:spacing w:line="360" w:lineRule="auto"/>
        <w:jc w:val="both"/>
        <w:rPr>
          <w:rFonts w:ascii="Arial" w:hAnsi="Arial" w:cs="Arial"/>
        </w:rPr>
      </w:pPr>
      <w:r w:rsidRPr="0027131A">
        <w:rPr>
          <w:rFonts w:ascii="Arial" w:hAnsi="Arial" w:cs="Arial"/>
        </w:rPr>
        <w:t>This phased roadmap enables FinSure Bank to strengthen its security governance in a structured way while remaining aligned with regulatory and operational priorities. Overall, the proposed framework offers a practical and integrated solution to the security challenges identified in the case scenario. By combining ISO/IEC 27001 risk</w:t>
      </w:r>
      <w:r w:rsidRPr="0027131A">
        <w:rPr>
          <w:rFonts w:ascii="Cambria Math" w:hAnsi="Cambria Math" w:cs="Cambria Math"/>
        </w:rPr>
        <w:t>‑</w:t>
      </w:r>
      <w:r w:rsidRPr="0027131A">
        <w:rPr>
          <w:rFonts w:ascii="Arial" w:hAnsi="Arial" w:cs="Arial"/>
        </w:rPr>
        <w:t>management principles, ITIL service</w:t>
      </w:r>
      <w:r w:rsidRPr="0027131A">
        <w:rPr>
          <w:rFonts w:ascii="Cambria Math" w:hAnsi="Cambria Math" w:cs="Cambria Math"/>
        </w:rPr>
        <w:t>‑</w:t>
      </w:r>
      <w:r w:rsidRPr="0027131A">
        <w:rPr>
          <w:rFonts w:ascii="Arial" w:hAnsi="Arial" w:cs="Arial"/>
        </w:rPr>
        <w:t>management practices and strong regulatory</w:t>
      </w:r>
      <w:r w:rsidRPr="0027131A">
        <w:rPr>
          <w:rFonts w:ascii="Cambria Math" w:hAnsi="Cambria Math" w:cs="Cambria Math"/>
        </w:rPr>
        <w:t>‑</w:t>
      </w:r>
      <w:r w:rsidRPr="0027131A">
        <w:rPr>
          <w:rFonts w:ascii="Arial" w:hAnsi="Arial" w:cs="Arial"/>
        </w:rPr>
        <w:t>compliance mechanisms, the organisation can improve governance oversight, enhance technical controls and maintain compliance. Adopting this approach would significantly strengthen FinSure Bank’s ability to protect sensitive financial data, manage cloud</w:t>
      </w:r>
      <w:r w:rsidRPr="0027131A">
        <w:rPr>
          <w:rFonts w:ascii="Cambria Math" w:hAnsi="Cambria Math" w:cs="Cambria Math"/>
        </w:rPr>
        <w:t>‑</w:t>
      </w:r>
      <w:r w:rsidRPr="0027131A">
        <w:rPr>
          <w:rFonts w:ascii="Arial" w:hAnsi="Arial" w:cs="Arial"/>
        </w:rPr>
        <w:t>related risks and remain resilient in an evolving digital</w:t>
      </w:r>
      <w:r w:rsidRPr="0027131A">
        <w:rPr>
          <w:rFonts w:ascii="Cambria Math" w:hAnsi="Cambria Math" w:cs="Cambria Math"/>
        </w:rPr>
        <w:t>‑</w:t>
      </w:r>
      <w:r w:rsidRPr="0027131A">
        <w:rPr>
          <w:rFonts w:ascii="Arial" w:hAnsi="Arial" w:cs="Arial"/>
        </w:rPr>
        <w:t>banking environment.</w:t>
      </w:r>
    </w:p>
    <w:p w14:paraId="73B20C1D" w14:textId="3AD91BF0" w:rsidR="00ED1AE3" w:rsidRDefault="00ED1AE3" w:rsidP="00CB147F">
      <w:pPr>
        <w:pStyle w:val="Heading1"/>
        <w:spacing w:line="360" w:lineRule="auto"/>
        <w:jc w:val="both"/>
        <w:rPr>
          <w:rFonts w:ascii="Arial" w:hAnsi="Arial" w:cs="Arial"/>
          <w:b/>
          <w:bCs/>
          <w:color w:val="auto"/>
          <w:sz w:val="22"/>
          <w:szCs w:val="22"/>
        </w:rPr>
      </w:pPr>
      <w:bookmarkStart w:id="13" w:name="_Toc224564297"/>
      <w:r w:rsidRPr="00DB0383">
        <w:rPr>
          <w:rFonts w:ascii="Arial" w:hAnsi="Arial" w:cs="Arial"/>
          <w:b/>
          <w:bCs/>
          <w:color w:val="auto"/>
          <w:sz w:val="22"/>
          <w:szCs w:val="22"/>
        </w:rPr>
        <w:lastRenderedPageBreak/>
        <w:t>5. The Importance of Evolving Regulations and Standards</w:t>
      </w:r>
      <w:bookmarkEnd w:id="13"/>
    </w:p>
    <w:p w14:paraId="63517373" w14:textId="77777777" w:rsidR="00DB5351" w:rsidRPr="00DB5351" w:rsidRDefault="00DB5351" w:rsidP="00DB5351">
      <w:pPr>
        <w:rPr>
          <w:lang w:eastAsia="en-US"/>
        </w:rPr>
      </w:pPr>
    </w:p>
    <w:p w14:paraId="57E1523E" w14:textId="77777777" w:rsidR="00DB5351" w:rsidRPr="00DB5351" w:rsidRDefault="00DB5351" w:rsidP="00DB5351">
      <w:pPr>
        <w:spacing w:line="360" w:lineRule="auto"/>
        <w:jc w:val="both"/>
        <w:rPr>
          <w:rFonts w:ascii="Arial" w:hAnsi="Arial" w:cs="Arial"/>
        </w:rPr>
      </w:pPr>
      <w:r w:rsidRPr="00DB5351">
        <w:rPr>
          <w:rFonts w:ascii="Arial" w:hAnsi="Arial" w:cs="Arial"/>
        </w:rPr>
        <w:t>Regulations and security standards must evolve continuously in response to technological change and emerging cyber threats. Modern attacks such as ransomware, targeted intrusions and AI</w:t>
      </w:r>
      <w:r w:rsidRPr="00DB5351">
        <w:rPr>
          <w:rFonts w:ascii="Cambria Math" w:hAnsi="Cambria Math" w:cs="Cambria Math"/>
        </w:rPr>
        <w:t>‑</w:t>
      </w:r>
      <w:r w:rsidRPr="00DB5351">
        <w:rPr>
          <w:rFonts w:ascii="Arial" w:hAnsi="Arial" w:cs="Arial"/>
        </w:rPr>
        <w:t>enabled fraud have made it increasingly difficult to protect digital systems, especially in sectors handling sensitive financial data [16]. In highly digital industries like financial services, failing to update governance frameworks exposes organisations to significant operational and regulatory risk.</w:t>
      </w:r>
    </w:p>
    <w:p w14:paraId="7A1D08CF" w14:textId="77777777" w:rsidR="00DB5351" w:rsidRPr="00DB5351" w:rsidRDefault="00DB5351" w:rsidP="00DB5351">
      <w:pPr>
        <w:spacing w:line="360" w:lineRule="auto"/>
        <w:jc w:val="both"/>
        <w:rPr>
          <w:rFonts w:ascii="Arial" w:hAnsi="Arial" w:cs="Arial"/>
        </w:rPr>
      </w:pPr>
    </w:p>
    <w:p w14:paraId="46E7E9CE" w14:textId="77777777" w:rsidR="00DB5351" w:rsidRPr="00DB5351" w:rsidRDefault="00DB5351" w:rsidP="00DB5351">
      <w:pPr>
        <w:spacing w:line="360" w:lineRule="auto"/>
        <w:jc w:val="both"/>
        <w:rPr>
          <w:rFonts w:ascii="Arial" w:hAnsi="Arial" w:cs="Arial"/>
        </w:rPr>
      </w:pPr>
      <w:r w:rsidRPr="00DB5351">
        <w:rPr>
          <w:rFonts w:ascii="Arial" w:hAnsi="Arial" w:cs="Arial"/>
        </w:rPr>
        <w:t>The introduction of GDPR shows how regulation adapts by strengthening accountability, transparency and risk</w:t>
      </w:r>
      <w:r w:rsidRPr="00DB5351">
        <w:rPr>
          <w:rFonts w:ascii="Cambria Math" w:hAnsi="Cambria Math" w:cs="Cambria Math"/>
        </w:rPr>
        <w:t>‑</w:t>
      </w:r>
      <w:r w:rsidRPr="00DB5351">
        <w:rPr>
          <w:rFonts w:ascii="Arial" w:hAnsi="Arial" w:cs="Arial"/>
        </w:rPr>
        <w:t>based data protection [8]. Likewise, updates to ISO/IEC 27001 reflect developments in cloud computing, remote access and third</w:t>
      </w:r>
      <w:r w:rsidRPr="00DB5351">
        <w:rPr>
          <w:rFonts w:ascii="Cambria Math" w:hAnsi="Cambria Math" w:cs="Cambria Math"/>
        </w:rPr>
        <w:t>‑</w:t>
      </w:r>
      <w:r w:rsidRPr="00DB5351">
        <w:rPr>
          <w:rFonts w:ascii="Arial" w:hAnsi="Arial" w:cs="Arial"/>
        </w:rPr>
        <w:t>party risk management [5]. These evolving standards encourage organisations to review internal controls and ensure security practices remain aligned with current threat environments.</w:t>
      </w:r>
    </w:p>
    <w:p w14:paraId="4A01605F" w14:textId="77777777" w:rsidR="00DB5351" w:rsidRPr="00DB5351" w:rsidRDefault="00DB5351" w:rsidP="00DB5351">
      <w:pPr>
        <w:spacing w:line="360" w:lineRule="auto"/>
        <w:jc w:val="both"/>
        <w:rPr>
          <w:rFonts w:ascii="Arial" w:hAnsi="Arial" w:cs="Arial"/>
        </w:rPr>
      </w:pPr>
    </w:p>
    <w:p w14:paraId="4353515E" w14:textId="31DB02DD" w:rsidR="00DB5351" w:rsidRPr="00DB0383" w:rsidRDefault="00DB5351" w:rsidP="00DB5351">
      <w:pPr>
        <w:spacing w:line="360" w:lineRule="auto"/>
        <w:jc w:val="both"/>
        <w:rPr>
          <w:rFonts w:ascii="Arial" w:hAnsi="Arial" w:cs="Arial"/>
        </w:rPr>
      </w:pPr>
      <w:r w:rsidRPr="00DB5351">
        <w:rPr>
          <w:rFonts w:ascii="Arial" w:hAnsi="Arial" w:cs="Arial"/>
        </w:rPr>
        <w:t>Although regulatory updates can add complexity and increase compliance costs, they are essential for maintaining effective governance. Outdated regulations risk creating a false sense of security while leaving new vulnerabilities unaddressed, which can undermine consumer trust and lead to serious legal and reputational consequences [17].</w:t>
      </w:r>
    </w:p>
    <w:p w14:paraId="425E105E" w14:textId="77777777" w:rsidR="005436F3" w:rsidRPr="00DB0383" w:rsidRDefault="00811511" w:rsidP="005436F3">
      <w:pPr>
        <w:keepNext/>
        <w:spacing w:line="360" w:lineRule="auto"/>
        <w:jc w:val="center"/>
        <w:rPr>
          <w:rFonts w:ascii="Arial" w:hAnsi="Arial" w:cs="Arial"/>
        </w:rPr>
      </w:pPr>
      <w:r w:rsidRPr="00DB0383">
        <w:rPr>
          <w:rFonts w:ascii="Arial" w:hAnsi="Arial" w:cs="Arial"/>
          <w:noProof/>
        </w:rPr>
        <w:drawing>
          <wp:inline distT="0" distB="0" distL="0" distR="0" wp14:anchorId="25A51B95" wp14:editId="7119C3EE">
            <wp:extent cx="3705308" cy="2470068"/>
            <wp:effectExtent l="0" t="0" r="0" b="6985"/>
            <wp:docPr id="38905857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15355" cy="2476765"/>
                    </a:xfrm>
                    <a:prstGeom prst="rect">
                      <a:avLst/>
                    </a:prstGeom>
                    <a:noFill/>
                    <a:ln>
                      <a:noFill/>
                    </a:ln>
                  </pic:spPr>
                </pic:pic>
              </a:graphicData>
            </a:graphic>
          </wp:inline>
        </w:drawing>
      </w:r>
    </w:p>
    <w:p w14:paraId="4A1FF4F3" w14:textId="43D835FA" w:rsidR="00811511" w:rsidRPr="00DB0383" w:rsidRDefault="005436F3" w:rsidP="005436F3">
      <w:pPr>
        <w:pStyle w:val="Caption"/>
        <w:jc w:val="center"/>
        <w:rPr>
          <w:rFonts w:ascii="Arial" w:hAnsi="Arial" w:cs="Arial"/>
        </w:rPr>
      </w:pPr>
      <w:bookmarkStart w:id="14" w:name="_Toc224564313"/>
      <w:r w:rsidRPr="00DB0383">
        <w:rPr>
          <w:rFonts w:ascii="Arial" w:hAnsi="Arial" w:cs="Arial"/>
        </w:rPr>
        <w:t xml:space="preserve">Figure </w:t>
      </w:r>
      <w:r w:rsidRPr="00DB0383">
        <w:rPr>
          <w:rFonts w:ascii="Arial" w:hAnsi="Arial" w:cs="Arial"/>
        </w:rPr>
        <w:fldChar w:fldCharType="begin"/>
      </w:r>
      <w:r w:rsidRPr="00DB0383">
        <w:rPr>
          <w:rFonts w:ascii="Arial" w:hAnsi="Arial" w:cs="Arial"/>
        </w:rPr>
        <w:instrText xml:space="preserve"> SEQ Figure \* ARABIC </w:instrText>
      </w:r>
      <w:r w:rsidRPr="00DB0383">
        <w:rPr>
          <w:rFonts w:ascii="Arial" w:hAnsi="Arial" w:cs="Arial"/>
        </w:rPr>
        <w:fldChar w:fldCharType="separate"/>
      </w:r>
      <w:r w:rsidRPr="00DB0383">
        <w:rPr>
          <w:rFonts w:ascii="Arial" w:hAnsi="Arial" w:cs="Arial"/>
          <w:noProof/>
        </w:rPr>
        <w:t>5</w:t>
      </w:r>
      <w:r w:rsidRPr="00DB0383">
        <w:rPr>
          <w:rFonts w:ascii="Arial" w:hAnsi="Arial" w:cs="Arial"/>
        </w:rPr>
        <w:fldChar w:fldCharType="end"/>
      </w:r>
      <w:r w:rsidRPr="00DB0383">
        <w:rPr>
          <w:rFonts w:ascii="Arial" w:hAnsi="Arial" w:cs="Arial"/>
        </w:rPr>
        <w:t xml:space="preserve"> - Impact of Regulatory Updates on Organisational Risk</w:t>
      </w:r>
      <w:bookmarkEnd w:id="14"/>
    </w:p>
    <w:p w14:paraId="73CEE9D5" w14:textId="77777777" w:rsidR="00057368" w:rsidRPr="00DB0383" w:rsidRDefault="00057368" w:rsidP="00CB147F">
      <w:pPr>
        <w:spacing w:line="360" w:lineRule="auto"/>
        <w:jc w:val="both"/>
        <w:rPr>
          <w:rFonts w:ascii="Arial" w:hAnsi="Arial" w:cs="Arial"/>
        </w:rPr>
      </w:pPr>
    </w:p>
    <w:p w14:paraId="3AA3E805" w14:textId="0874618C" w:rsidR="00811511" w:rsidRPr="00DB0383" w:rsidRDefault="00057368" w:rsidP="00CB147F">
      <w:pPr>
        <w:spacing w:line="360" w:lineRule="auto"/>
        <w:jc w:val="both"/>
        <w:rPr>
          <w:rFonts w:ascii="Arial" w:hAnsi="Arial" w:cs="Arial"/>
        </w:rPr>
      </w:pPr>
      <w:r w:rsidRPr="00DB0383">
        <w:rPr>
          <w:rFonts w:ascii="Arial" w:hAnsi="Arial" w:cs="Arial"/>
        </w:rPr>
        <w:t>This figure contrasts outdated regulations with regularly updated frameworks, illustrating how frequent regulatory updates help reduce organisational risk while static regulations increase vulnerability despite offering a false sense of security.</w:t>
      </w:r>
    </w:p>
    <w:p w14:paraId="05ED1653" w14:textId="77777777" w:rsidR="00F95A6E" w:rsidRPr="00DB0383" w:rsidRDefault="00F95A6E" w:rsidP="00CB147F">
      <w:pPr>
        <w:spacing w:line="360" w:lineRule="auto"/>
        <w:jc w:val="both"/>
        <w:rPr>
          <w:rFonts w:ascii="Arial" w:hAnsi="Arial" w:cs="Arial"/>
        </w:rPr>
      </w:pPr>
    </w:p>
    <w:p w14:paraId="5DCE6762" w14:textId="77777777" w:rsidR="00C57BCC" w:rsidRPr="00DB0383" w:rsidRDefault="00C57BCC" w:rsidP="00C57BCC">
      <w:pPr>
        <w:spacing w:line="360" w:lineRule="auto"/>
        <w:jc w:val="both"/>
        <w:rPr>
          <w:rFonts w:ascii="Arial" w:hAnsi="Arial" w:cs="Arial"/>
        </w:rPr>
      </w:pPr>
      <w:r w:rsidRPr="00DB0383">
        <w:rPr>
          <w:rFonts w:ascii="Arial" w:hAnsi="Arial" w:cs="Arial"/>
        </w:rPr>
        <w:t>For FinSure Bank, which operates in a cloud</w:t>
      </w:r>
      <w:r w:rsidRPr="00DB0383">
        <w:rPr>
          <w:rFonts w:ascii="Cambria Math" w:hAnsi="Cambria Math" w:cs="Cambria Math"/>
        </w:rPr>
        <w:t>‑</w:t>
      </w:r>
      <w:r w:rsidRPr="00DB0383">
        <w:rPr>
          <w:rFonts w:ascii="Arial" w:hAnsi="Arial" w:cs="Arial"/>
        </w:rPr>
        <w:t>focused and multinational environment, evolving regulations should be seen as an opportunity to strengthen governance maturity. Regular updates encourage the organisation to reassess its risk exposure, improve oversight of third</w:t>
      </w:r>
      <w:r w:rsidRPr="00DB0383">
        <w:rPr>
          <w:rFonts w:ascii="Cambria Math" w:hAnsi="Cambria Math" w:cs="Cambria Math"/>
        </w:rPr>
        <w:t>‑</w:t>
      </w:r>
      <w:r w:rsidRPr="00DB0383">
        <w:rPr>
          <w:rFonts w:ascii="Arial" w:hAnsi="Arial" w:cs="Arial"/>
        </w:rPr>
        <w:t xml:space="preserve">party providers and </w:t>
      </w:r>
      <w:r w:rsidRPr="00DB0383">
        <w:rPr>
          <w:rFonts w:ascii="Arial" w:hAnsi="Arial" w:cs="Arial"/>
        </w:rPr>
        <w:lastRenderedPageBreak/>
        <w:t>refine its incident response capabilities. Rather than functioning only as external requirements, regulatory developments support long</w:t>
      </w:r>
      <w:r w:rsidRPr="00DB0383">
        <w:rPr>
          <w:rFonts w:ascii="Cambria Math" w:hAnsi="Cambria Math" w:cs="Cambria Math"/>
        </w:rPr>
        <w:t>‑</w:t>
      </w:r>
      <w:r w:rsidRPr="00DB0383">
        <w:rPr>
          <w:rFonts w:ascii="Arial" w:hAnsi="Arial" w:cs="Arial"/>
        </w:rPr>
        <w:t>term stability and responsible data management.</w:t>
      </w:r>
    </w:p>
    <w:p w14:paraId="52610C44" w14:textId="77777777" w:rsidR="00C57BCC" w:rsidRPr="00DB0383" w:rsidRDefault="00C57BCC" w:rsidP="00C57BCC">
      <w:pPr>
        <w:spacing w:line="360" w:lineRule="auto"/>
        <w:jc w:val="both"/>
        <w:rPr>
          <w:rFonts w:ascii="Arial" w:hAnsi="Arial" w:cs="Arial"/>
        </w:rPr>
      </w:pPr>
    </w:p>
    <w:p w14:paraId="70207B98" w14:textId="16C28C53" w:rsidR="00C57BCC" w:rsidRPr="00DB0383" w:rsidRDefault="00823D4D" w:rsidP="00C57BCC">
      <w:pPr>
        <w:spacing w:line="360" w:lineRule="auto"/>
        <w:jc w:val="both"/>
        <w:rPr>
          <w:rFonts w:ascii="Arial" w:hAnsi="Arial" w:cs="Arial"/>
        </w:rPr>
      </w:pPr>
      <w:r w:rsidRPr="00DB0383">
        <w:rPr>
          <w:rFonts w:ascii="Arial" w:hAnsi="Arial" w:cs="Arial"/>
        </w:rPr>
        <w:t>E</w:t>
      </w:r>
      <w:r w:rsidR="00C57BCC" w:rsidRPr="00DB0383">
        <w:rPr>
          <w:rFonts w:ascii="Arial" w:hAnsi="Arial" w:cs="Arial"/>
        </w:rPr>
        <w:t>ffective information security governance depends on recognising that risk is constantly changing. As technology develops and threat actors adapt, regulatory frameworks must evolve in response. Updated standards and regulations are therefore essential for maintaining public trust, organisational resilience and sustainable security practice [16][17].</w:t>
      </w:r>
    </w:p>
    <w:p w14:paraId="0A4B0C68" w14:textId="030CB0E3" w:rsidR="008D6DA5" w:rsidRPr="00DB0383" w:rsidRDefault="008D6DA5" w:rsidP="00CB147F">
      <w:pPr>
        <w:pStyle w:val="Heading1"/>
        <w:spacing w:line="360" w:lineRule="auto"/>
        <w:jc w:val="both"/>
        <w:rPr>
          <w:rFonts w:ascii="Arial" w:hAnsi="Arial" w:cs="Arial"/>
          <w:b/>
          <w:bCs/>
          <w:color w:val="auto"/>
          <w:sz w:val="22"/>
          <w:szCs w:val="22"/>
        </w:rPr>
      </w:pPr>
      <w:bookmarkStart w:id="15" w:name="_Toc224564298"/>
      <w:r w:rsidRPr="00DB0383">
        <w:rPr>
          <w:rFonts w:ascii="Arial" w:hAnsi="Arial" w:cs="Arial"/>
          <w:b/>
          <w:bCs/>
          <w:color w:val="auto"/>
          <w:sz w:val="22"/>
          <w:szCs w:val="22"/>
        </w:rPr>
        <w:t>6. Conclusion</w:t>
      </w:r>
      <w:bookmarkEnd w:id="15"/>
    </w:p>
    <w:p w14:paraId="2D29A162" w14:textId="1F39086A" w:rsidR="00DE7B20" w:rsidRPr="00DB0383" w:rsidRDefault="00DE7B20" w:rsidP="00DF5DC9">
      <w:pPr>
        <w:spacing w:line="360" w:lineRule="auto"/>
        <w:jc w:val="both"/>
        <w:rPr>
          <w:rFonts w:ascii="Arial" w:hAnsi="Arial" w:cs="Arial"/>
        </w:rPr>
      </w:pPr>
      <w:r w:rsidRPr="00DB0383">
        <w:rPr>
          <w:rFonts w:ascii="Arial" w:hAnsi="Arial" w:cs="Arial"/>
        </w:rPr>
        <w:t>This report has examined how information security frameworks, governance structures and regulatory compliance support a cloud</w:t>
      </w:r>
      <w:r w:rsidRPr="00DB0383">
        <w:rPr>
          <w:rFonts w:ascii="Cambria Math" w:hAnsi="Cambria Math" w:cs="Cambria Math"/>
        </w:rPr>
        <w:t>‑</w:t>
      </w:r>
      <w:r w:rsidRPr="00DB0383">
        <w:rPr>
          <w:rFonts w:ascii="Arial" w:hAnsi="Arial" w:cs="Arial"/>
        </w:rPr>
        <w:t>based financial institution such as FinSure Bank. By considering the principles of ITIL and ISO/IEC 27001 in relation to the organisation’s operational environment, it becomes clear that traditional or purely technical approaches to security are no longer sufficient in modern digital banking. The complexity of cloud ecosystems, widespread BYOD practices and increasingly sophisticated cyber threats all require a more integrated and strategically aligned model.</w:t>
      </w:r>
    </w:p>
    <w:p w14:paraId="2A4C3F52" w14:textId="77777777" w:rsidR="00C50E17" w:rsidRPr="00DB0383" w:rsidRDefault="00C50E17" w:rsidP="00DF5DC9">
      <w:pPr>
        <w:spacing w:line="360" w:lineRule="auto"/>
        <w:jc w:val="both"/>
        <w:rPr>
          <w:rFonts w:ascii="Arial" w:hAnsi="Arial" w:cs="Arial"/>
        </w:rPr>
      </w:pPr>
    </w:p>
    <w:p w14:paraId="568EA1EF" w14:textId="72EC9456" w:rsidR="00DE7B20" w:rsidRPr="00DB0383" w:rsidRDefault="00DE7B20" w:rsidP="00DF5DC9">
      <w:pPr>
        <w:spacing w:line="360" w:lineRule="auto"/>
        <w:jc w:val="both"/>
        <w:rPr>
          <w:rFonts w:ascii="Arial" w:hAnsi="Arial" w:cs="Arial"/>
        </w:rPr>
      </w:pPr>
      <w:r w:rsidRPr="00DB0383">
        <w:rPr>
          <w:rFonts w:ascii="Arial" w:hAnsi="Arial" w:cs="Arial"/>
        </w:rPr>
        <w:t>The analysis shows that a unified, risk</w:t>
      </w:r>
      <w:r w:rsidRPr="00DB0383">
        <w:rPr>
          <w:rFonts w:ascii="Cambria Math" w:hAnsi="Cambria Math" w:cs="Cambria Math"/>
        </w:rPr>
        <w:t>‑</w:t>
      </w:r>
      <w:r w:rsidRPr="00DB0383">
        <w:rPr>
          <w:rFonts w:ascii="Arial" w:hAnsi="Arial" w:cs="Arial"/>
        </w:rPr>
        <w:t>based governance approach, grounded in recognised international standards, offers a strong and defensible foundation for improving security and meeting regulatory expectations. ISO/IEC 27001 provides a structured and auditable method for managing information security risks, while ITIL supports the operational resilience needed to maintain service continuity and respond effectively to incidents. Together, these frameworks help embed security into everyday processes, promote consistent decision making and ensure alignment between security activities and wider business goals.</w:t>
      </w:r>
    </w:p>
    <w:p w14:paraId="520BEFA8" w14:textId="77777777" w:rsidR="00C50E17" w:rsidRPr="00DB0383" w:rsidRDefault="00C50E17" w:rsidP="00DF5DC9">
      <w:pPr>
        <w:spacing w:line="360" w:lineRule="auto"/>
        <w:jc w:val="both"/>
        <w:rPr>
          <w:rFonts w:ascii="Arial" w:hAnsi="Arial" w:cs="Arial"/>
        </w:rPr>
      </w:pPr>
    </w:p>
    <w:p w14:paraId="19F19384" w14:textId="1A99BE5E" w:rsidR="00DE7B20" w:rsidRPr="00DB0383" w:rsidRDefault="00DE7B20" w:rsidP="00DF5DC9">
      <w:pPr>
        <w:spacing w:line="360" w:lineRule="auto"/>
        <w:jc w:val="both"/>
        <w:rPr>
          <w:rFonts w:ascii="Arial" w:hAnsi="Arial" w:cs="Arial"/>
        </w:rPr>
      </w:pPr>
      <w:r w:rsidRPr="00DB0383">
        <w:rPr>
          <w:rFonts w:ascii="Arial" w:hAnsi="Arial" w:cs="Arial"/>
        </w:rPr>
        <w:t>The report also emphasises the importance of continual regulatory evolution in shaping organisational security practices. Although frequent updates can introduce operational and financial pressures, they remain essential for addressing emerging threats and maintaining public confidence in the financial sector. For FinSure Bank, evolving regulatory expectations should be seen as an opportunity to reassess risk assumptions, strengthen governance maturity and adopt more resilient technical and organisational controls.</w:t>
      </w:r>
    </w:p>
    <w:p w14:paraId="491CE538" w14:textId="77777777" w:rsidR="005101CA" w:rsidRPr="00DB0383" w:rsidRDefault="005101CA" w:rsidP="00DF5DC9">
      <w:pPr>
        <w:spacing w:line="360" w:lineRule="auto"/>
        <w:jc w:val="both"/>
        <w:rPr>
          <w:rFonts w:ascii="Arial" w:hAnsi="Arial" w:cs="Arial"/>
        </w:rPr>
      </w:pPr>
    </w:p>
    <w:p w14:paraId="56CACCCB" w14:textId="655FB755" w:rsidR="00DE7B20" w:rsidRPr="00DB0383" w:rsidRDefault="005101CA" w:rsidP="00DF5DC9">
      <w:pPr>
        <w:spacing w:line="360" w:lineRule="auto"/>
        <w:jc w:val="both"/>
        <w:rPr>
          <w:rFonts w:ascii="Arial" w:hAnsi="Arial" w:cs="Arial"/>
        </w:rPr>
      </w:pPr>
      <w:r w:rsidRPr="00DB0383">
        <w:rPr>
          <w:rFonts w:ascii="Arial" w:hAnsi="Arial" w:cs="Arial"/>
        </w:rPr>
        <w:t>Ultimately, structured information security governance should be understood not simply as a compliance requirement but as a strategic enabler of organisational resilience and long</w:t>
      </w:r>
      <w:r w:rsidRPr="00DB0383">
        <w:rPr>
          <w:rFonts w:ascii="Cambria Math" w:hAnsi="Cambria Math" w:cs="Cambria Math"/>
        </w:rPr>
        <w:t>‑</w:t>
      </w:r>
      <w:r w:rsidRPr="00DB0383">
        <w:rPr>
          <w:rFonts w:ascii="Arial" w:hAnsi="Arial" w:cs="Arial"/>
        </w:rPr>
        <w:t xml:space="preserve">term competitiveness. </w:t>
      </w:r>
      <w:r w:rsidR="00DE7B20" w:rsidRPr="00DB0383">
        <w:rPr>
          <w:rFonts w:ascii="Arial" w:hAnsi="Arial" w:cs="Arial"/>
        </w:rPr>
        <w:t>For a multinational, cloud</w:t>
      </w:r>
      <w:r w:rsidR="00DE7B20" w:rsidRPr="00DB0383">
        <w:rPr>
          <w:rFonts w:ascii="Cambria Math" w:hAnsi="Cambria Math" w:cs="Cambria Math"/>
        </w:rPr>
        <w:t>‑</w:t>
      </w:r>
      <w:r w:rsidR="00DE7B20" w:rsidRPr="00DB0383">
        <w:rPr>
          <w:rFonts w:ascii="Arial" w:hAnsi="Arial" w:cs="Arial"/>
        </w:rPr>
        <w:t>dependent financial institution, effective governance enhances long</w:t>
      </w:r>
      <w:r w:rsidR="00DE7B20" w:rsidRPr="00DB0383">
        <w:rPr>
          <w:rFonts w:ascii="Cambria Math" w:hAnsi="Cambria Math" w:cs="Cambria Math"/>
        </w:rPr>
        <w:t>‑</w:t>
      </w:r>
      <w:r w:rsidR="00DE7B20" w:rsidRPr="00DB0383">
        <w:rPr>
          <w:rFonts w:ascii="Arial" w:hAnsi="Arial" w:cs="Arial"/>
        </w:rPr>
        <w:t>term stability, supports customer trust and provides a competitive advantage in an increasingly digital and threat</w:t>
      </w:r>
      <w:r w:rsidR="00DE7B20" w:rsidRPr="00DB0383">
        <w:rPr>
          <w:rFonts w:ascii="Cambria Math" w:hAnsi="Cambria Math" w:cs="Cambria Math"/>
        </w:rPr>
        <w:t>‑</w:t>
      </w:r>
      <w:r w:rsidR="00DE7B20" w:rsidRPr="00DB0383">
        <w:rPr>
          <w:rFonts w:ascii="Arial" w:hAnsi="Arial" w:cs="Arial"/>
        </w:rPr>
        <w:t>intensive environment. By adopting a coherent, risk</w:t>
      </w:r>
      <w:r w:rsidR="00DE7B20" w:rsidRPr="00DB0383">
        <w:rPr>
          <w:rFonts w:ascii="Cambria Math" w:hAnsi="Cambria Math" w:cs="Cambria Math"/>
        </w:rPr>
        <w:t>‑</w:t>
      </w:r>
      <w:r w:rsidR="00DE7B20" w:rsidRPr="00DB0383">
        <w:rPr>
          <w:rFonts w:ascii="Arial" w:hAnsi="Arial" w:cs="Arial"/>
        </w:rPr>
        <w:t>driven and standards</w:t>
      </w:r>
      <w:r w:rsidR="00DE7B20" w:rsidRPr="00DB0383">
        <w:rPr>
          <w:rFonts w:ascii="Cambria Math" w:hAnsi="Cambria Math" w:cs="Cambria Math"/>
        </w:rPr>
        <w:t>‑</w:t>
      </w:r>
      <w:r w:rsidR="00DE7B20" w:rsidRPr="00DB0383">
        <w:rPr>
          <w:rFonts w:ascii="Arial" w:hAnsi="Arial" w:cs="Arial"/>
        </w:rPr>
        <w:t>aligned approach, FinSure Bank will be better positioned to navigate future technological developments and regulatory change with greater agility and resilience.</w:t>
      </w:r>
    </w:p>
    <w:p w14:paraId="27B0151C" w14:textId="4E52BA88" w:rsidR="00ED1AE3" w:rsidRPr="00DB0383" w:rsidRDefault="00ED1AE3" w:rsidP="00DE7B20">
      <w:pPr>
        <w:pStyle w:val="Heading1"/>
        <w:spacing w:line="360" w:lineRule="auto"/>
        <w:jc w:val="both"/>
        <w:rPr>
          <w:rFonts w:ascii="Arial" w:hAnsi="Arial" w:cs="Arial"/>
          <w:b/>
          <w:bCs/>
          <w:color w:val="auto"/>
          <w:sz w:val="22"/>
          <w:szCs w:val="22"/>
        </w:rPr>
      </w:pPr>
      <w:bookmarkStart w:id="16" w:name="_Toc224564299"/>
      <w:r w:rsidRPr="00DB0383">
        <w:rPr>
          <w:rFonts w:ascii="Arial" w:hAnsi="Arial" w:cs="Arial"/>
          <w:b/>
          <w:bCs/>
          <w:color w:val="auto"/>
          <w:sz w:val="22"/>
          <w:szCs w:val="22"/>
        </w:rPr>
        <w:lastRenderedPageBreak/>
        <w:t>References</w:t>
      </w:r>
      <w:bookmarkEnd w:id="16"/>
      <w:r w:rsidRPr="00DB0383">
        <w:rPr>
          <w:rFonts w:ascii="Arial" w:hAnsi="Arial" w:cs="Arial"/>
          <w:b/>
          <w:bCs/>
          <w:color w:val="auto"/>
          <w:sz w:val="22"/>
          <w:szCs w:val="22"/>
        </w:rPr>
        <w:t xml:space="preserve"> </w:t>
      </w:r>
    </w:p>
    <w:p w14:paraId="2DFF59BF" w14:textId="39472D1D" w:rsidR="00604F4B"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 xml:space="preserve">[1] </w:t>
      </w:r>
      <w:r w:rsidR="00180525" w:rsidRPr="00DB0383">
        <w:rPr>
          <w:rFonts w:ascii="Arial" w:hAnsi="Arial" w:cs="Arial"/>
          <w:i/>
          <w:iCs/>
          <w:sz w:val="18"/>
          <w:szCs w:val="18"/>
        </w:rPr>
        <w:t>ENISA, Threat Landscape for the Financial Sector, European Union Agency for Cybersecurity, 2023.</w:t>
      </w:r>
    </w:p>
    <w:p w14:paraId="40FF76EC" w14:textId="77777777" w:rsidR="00975F5E" w:rsidRPr="00DB0383" w:rsidRDefault="00975F5E" w:rsidP="00CB147F">
      <w:pPr>
        <w:spacing w:line="360" w:lineRule="auto"/>
        <w:jc w:val="both"/>
        <w:rPr>
          <w:rFonts w:ascii="Arial" w:hAnsi="Arial" w:cs="Arial"/>
          <w:i/>
          <w:iCs/>
          <w:sz w:val="18"/>
          <w:szCs w:val="18"/>
        </w:rPr>
      </w:pPr>
    </w:p>
    <w:p w14:paraId="33CB521B" w14:textId="77777777" w:rsidR="00CC44A6"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[2] AXELOS, ITIL Foundation: ITIL 4 Edition. London, UK: The Stationery Office (TSO), 2019.</w:t>
      </w:r>
    </w:p>
    <w:p w14:paraId="2937854A" w14:textId="77777777" w:rsidR="00604F4B" w:rsidRPr="00DB0383" w:rsidRDefault="00604F4B" w:rsidP="00CB147F">
      <w:pPr>
        <w:spacing w:line="360" w:lineRule="auto"/>
        <w:jc w:val="both"/>
        <w:rPr>
          <w:rFonts w:ascii="Arial" w:hAnsi="Arial" w:cs="Arial"/>
          <w:i/>
          <w:iCs/>
          <w:sz w:val="18"/>
          <w:szCs w:val="18"/>
        </w:rPr>
      </w:pPr>
    </w:p>
    <w:p w14:paraId="1A19932D" w14:textId="77777777" w:rsidR="00CC44A6"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[3] J. R. Nurse, S. Creese, D. De Roure, and H. Goldsmith, “Information security management for cyber-physical systems,” Computers &amp; Security, vol. 89, 2020.</w:t>
      </w:r>
    </w:p>
    <w:p w14:paraId="11DC2F11" w14:textId="77777777" w:rsidR="00604F4B" w:rsidRPr="00DB0383" w:rsidRDefault="00604F4B" w:rsidP="00CB147F">
      <w:pPr>
        <w:spacing w:line="360" w:lineRule="auto"/>
        <w:jc w:val="both"/>
        <w:rPr>
          <w:rFonts w:ascii="Arial" w:hAnsi="Arial" w:cs="Arial"/>
          <w:i/>
          <w:iCs/>
          <w:sz w:val="18"/>
          <w:szCs w:val="18"/>
        </w:rPr>
      </w:pPr>
    </w:p>
    <w:p w14:paraId="622FF61E" w14:textId="6488C97B" w:rsidR="00CC44A6" w:rsidRPr="00DB0383" w:rsidRDefault="00CC44A6" w:rsidP="00DE1DC5">
      <w:pPr>
        <w:spacing w:line="360" w:lineRule="auto"/>
        <w:jc w:val="both"/>
        <w:rPr>
          <w:rFonts w:ascii="Arial" w:hAnsi="Arial" w:cs="Arial"/>
          <w:i/>
          <w:iCs/>
          <w:sz w:val="18"/>
          <w:szCs w:val="18"/>
        </w:rPr>
      </w:pPr>
      <w:r w:rsidRPr="00DB0383">
        <w:rPr>
          <w:rFonts w:ascii="Arial" w:hAnsi="Arial" w:cs="Arial"/>
          <w:i/>
          <w:iCs/>
          <w:sz w:val="18"/>
          <w:szCs w:val="18"/>
        </w:rPr>
        <w:t>[4]</w:t>
      </w:r>
      <w:r w:rsidR="000877DE" w:rsidRPr="00DB0383">
        <w:rPr>
          <w:rFonts w:ascii="Arial" w:hAnsi="Arial" w:cs="Arial"/>
        </w:rPr>
        <w:t xml:space="preserve"> </w:t>
      </w:r>
      <w:r w:rsidR="000877DE" w:rsidRPr="00DB0383">
        <w:rPr>
          <w:rFonts w:ascii="Arial" w:hAnsi="Arial" w:cs="Arial"/>
          <w:i/>
          <w:iCs/>
          <w:sz w:val="18"/>
          <w:szCs w:val="18"/>
        </w:rPr>
        <w:t>P. Marrone and M. Kolbe, “Uncovering ITIL claims: IT executives’ perception on benefits and Business-IT alignment,” Information Systems and e-Business Management, vol. 9, no. 1, pp. 5–37, 2019.</w:t>
      </w:r>
    </w:p>
    <w:p w14:paraId="5BB41EC6" w14:textId="77777777" w:rsidR="00604F4B" w:rsidRPr="00DB0383" w:rsidRDefault="00604F4B" w:rsidP="00CB147F">
      <w:pPr>
        <w:spacing w:line="360" w:lineRule="auto"/>
        <w:jc w:val="both"/>
        <w:rPr>
          <w:rFonts w:ascii="Arial" w:hAnsi="Arial" w:cs="Arial"/>
          <w:i/>
          <w:iCs/>
          <w:sz w:val="18"/>
          <w:szCs w:val="18"/>
        </w:rPr>
      </w:pPr>
    </w:p>
    <w:p w14:paraId="6501D5C1" w14:textId="77777777" w:rsidR="00CC44A6"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[5] ISO/IEC, ISO/IEC 27001:2022 Information Security, Cybersecurity and Privacy Protection — Information Security Management Systems — Requirements. Geneva, Switzerland: ISO, 2022.</w:t>
      </w:r>
    </w:p>
    <w:p w14:paraId="287E78A0" w14:textId="77777777" w:rsidR="00604F4B" w:rsidRPr="00DB0383" w:rsidRDefault="00604F4B" w:rsidP="00CB147F">
      <w:pPr>
        <w:spacing w:line="360" w:lineRule="auto"/>
        <w:jc w:val="both"/>
        <w:rPr>
          <w:rFonts w:ascii="Arial" w:hAnsi="Arial" w:cs="Arial"/>
          <w:i/>
          <w:iCs/>
          <w:sz w:val="18"/>
          <w:szCs w:val="18"/>
        </w:rPr>
      </w:pPr>
    </w:p>
    <w:p w14:paraId="1D44FCE2" w14:textId="621B9598" w:rsidR="00604F4B"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 xml:space="preserve">[6] </w:t>
      </w:r>
      <w:r w:rsidR="00B75FD5" w:rsidRPr="00DB0383">
        <w:rPr>
          <w:rFonts w:ascii="Arial" w:hAnsi="Arial" w:cs="Arial"/>
          <w:i/>
          <w:iCs/>
          <w:sz w:val="18"/>
          <w:szCs w:val="18"/>
        </w:rPr>
        <w:t>S. A. Babar, M. A. Tahir and F. Ahmed, “Critical success factors for ISO/IEC 27001 implementation in organisations,” Computers &amp; Security, vol. 115, 2022.</w:t>
      </w:r>
    </w:p>
    <w:p w14:paraId="488E7545" w14:textId="77777777" w:rsidR="00B75FD5" w:rsidRPr="00DB0383" w:rsidRDefault="00B75FD5" w:rsidP="00CB147F">
      <w:pPr>
        <w:spacing w:line="360" w:lineRule="auto"/>
        <w:jc w:val="both"/>
        <w:rPr>
          <w:rFonts w:ascii="Arial" w:hAnsi="Arial" w:cs="Arial"/>
          <w:i/>
          <w:iCs/>
          <w:sz w:val="18"/>
          <w:szCs w:val="18"/>
        </w:rPr>
      </w:pPr>
    </w:p>
    <w:p w14:paraId="45F8CF01" w14:textId="16E65484" w:rsidR="00CC44A6"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[7] E. Humphreys, “Information security management standards: Compliance, governance and risk management,” Computer Fraud &amp; Security, no. 10, pp. 5–8, 2019.</w:t>
      </w:r>
    </w:p>
    <w:p w14:paraId="554D3FF5" w14:textId="77777777" w:rsidR="00604F4B" w:rsidRPr="00DB0383" w:rsidRDefault="00604F4B" w:rsidP="00CB147F">
      <w:pPr>
        <w:spacing w:line="360" w:lineRule="auto"/>
        <w:jc w:val="both"/>
        <w:rPr>
          <w:rFonts w:ascii="Arial" w:hAnsi="Arial" w:cs="Arial"/>
          <w:i/>
          <w:iCs/>
          <w:sz w:val="18"/>
          <w:szCs w:val="18"/>
        </w:rPr>
      </w:pPr>
    </w:p>
    <w:p w14:paraId="5BD45ED3" w14:textId="36FF2C6A" w:rsidR="00604F4B"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 xml:space="preserve">[8] </w:t>
      </w:r>
      <w:r w:rsidR="00720FC4" w:rsidRPr="00DB0383">
        <w:rPr>
          <w:rFonts w:ascii="Arial" w:hAnsi="Arial" w:cs="Arial"/>
          <w:i/>
          <w:iCs/>
          <w:sz w:val="18"/>
          <w:szCs w:val="18"/>
        </w:rPr>
        <w:t>I. Martin, B. Borah and S. Palmatier, “Data privacy and GDPR compliance in financial institutions: Challenges and strategic responses,” Computers &amp; Security, vol. 122, 2023.</w:t>
      </w:r>
    </w:p>
    <w:p w14:paraId="0805CFD3" w14:textId="77777777" w:rsidR="000B46E7" w:rsidRPr="00DB0383" w:rsidRDefault="000B46E7" w:rsidP="00CB147F">
      <w:pPr>
        <w:spacing w:line="360" w:lineRule="auto"/>
        <w:jc w:val="both"/>
        <w:rPr>
          <w:rFonts w:ascii="Arial" w:hAnsi="Arial" w:cs="Arial"/>
          <w:i/>
          <w:iCs/>
          <w:sz w:val="18"/>
          <w:szCs w:val="18"/>
        </w:rPr>
      </w:pPr>
    </w:p>
    <w:p w14:paraId="752FB103" w14:textId="41A6B594" w:rsidR="004248B2"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[9]</w:t>
      </w:r>
      <w:r w:rsidR="004248B2">
        <w:rPr>
          <w:rFonts w:ascii="Arial" w:hAnsi="Arial" w:cs="Arial"/>
          <w:i/>
          <w:iCs/>
          <w:sz w:val="18"/>
          <w:szCs w:val="18"/>
        </w:rPr>
        <w:t xml:space="preserve"> </w:t>
      </w:r>
      <w:r w:rsidR="004248B2" w:rsidRPr="00DB0383">
        <w:rPr>
          <w:rFonts w:ascii="Arial" w:hAnsi="Arial" w:cs="Arial"/>
          <w:i/>
          <w:iCs/>
          <w:sz w:val="18"/>
          <w:szCs w:val="18"/>
        </w:rPr>
        <w:t>NIST, Cloud Computing Security Reference Architecture, National Institute of Standards and Technology, 2020.</w:t>
      </w:r>
    </w:p>
    <w:p w14:paraId="1DCA24F1" w14:textId="77777777" w:rsidR="00604F4B" w:rsidRPr="00DB0383" w:rsidRDefault="00604F4B" w:rsidP="00CB147F">
      <w:pPr>
        <w:spacing w:line="360" w:lineRule="auto"/>
        <w:jc w:val="both"/>
        <w:rPr>
          <w:rFonts w:ascii="Arial" w:hAnsi="Arial" w:cs="Arial"/>
          <w:i/>
          <w:iCs/>
          <w:sz w:val="18"/>
          <w:szCs w:val="18"/>
        </w:rPr>
      </w:pPr>
    </w:p>
    <w:p w14:paraId="66CDAED1" w14:textId="77777777" w:rsidR="004248B2" w:rsidRPr="00DB0383" w:rsidRDefault="00CC44A6" w:rsidP="004248B2">
      <w:pPr>
        <w:spacing w:line="360" w:lineRule="auto"/>
        <w:jc w:val="both"/>
        <w:rPr>
          <w:rFonts w:ascii="Arial" w:hAnsi="Arial" w:cs="Arial"/>
          <w:i/>
          <w:iCs/>
          <w:sz w:val="18"/>
          <w:szCs w:val="18"/>
        </w:rPr>
      </w:pPr>
      <w:r w:rsidRPr="00DB0383">
        <w:rPr>
          <w:rFonts w:ascii="Arial" w:hAnsi="Arial" w:cs="Arial"/>
          <w:i/>
          <w:iCs/>
          <w:sz w:val="18"/>
          <w:szCs w:val="18"/>
        </w:rPr>
        <w:t xml:space="preserve">[10] </w:t>
      </w:r>
      <w:r w:rsidR="004248B2" w:rsidRPr="00DB0383">
        <w:rPr>
          <w:rFonts w:ascii="Arial" w:hAnsi="Arial" w:cs="Arial"/>
          <w:i/>
          <w:iCs/>
          <w:sz w:val="18"/>
          <w:szCs w:val="18"/>
        </w:rPr>
        <w:t>European Parliament and Council of the European Union, “Regulation (EU) 2016/679 (General Data Protection Regulation),” Official Journal of the European Union, 2016.</w:t>
      </w:r>
    </w:p>
    <w:p w14:paraId="3941F663" w14:textId="77777777" w:rsidR="00604F4B" w:rsidRPr="00DB0383" w:rsidRDefault="00604F4B" w:rsidP="00CB147F">
      <w:pPr>
        <w:spacing w:line="360" w:lineRule="auto"/>
        <w:jc w:val="both"/>
        <w:rPr>
          <w:rFonts w:ascii="Arial" w:hAnsi="Arial" w:cs="Arial"/>
          <w:i/>
          <w:iCs/>
          <w:sz w:val="18"/>
          <w:szCs w:val="18"/>
        </w:rPr>
      </w:pPr>
    </w:p>
    <w:p w14:paraId="053A1099" w14:textId="6EF7F369" w:rsidR="00CC44A6"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[11] Gartner, Market Guide for Cloud Security Posture Management, Gartner Research, 2022.</w:t>
      </w:r>
    </w:p>
    <w:p w14:paraId="3DF91369" w14:textId="77777777" w:rsidR="00604F4B" w:rsidRPr="00DB0383" w:rsidRDefault="00604F4B" w:rsidP="00CB147F">
      <w:pPr>
        <w:spacing w:line="360" w:lineRule="auto"/>
        <w:jc w:val="both"/>
        <w:rPr>
          <w:rFonts w:ascii="Arial" w:hAnsi="Arial" w:cs="Arial"/>
          <w:i/>
          <w:iCs/>
          <w:sz w:val="18"/>
          <w:szCs w:val="18"/>
        </w:rPr>
      </w:pPr>
    </w:p>
    <w:p w14:paraId="1F9B6DD7" w14:textId="3295F587" w:rsidR="00CC44A6"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[12] Y. AlHogail, “Improving information security culture through the human factor: An empirical study,” Computers in Human Behavior, vol. 77, pp. 1–12, 2019.</w:t>
      </w:r>
    </w:p>
    <w:p w14:paraId="6A18EEED" w14:textId="77777777" w:rsidR="00604F4B" w:rsidRPr="00DB0383" w:rsidRDefault="00604F4B" w:rsidP="00CB147F">
      <w:pPr>
        <w:spacing w:line="360" w:lineRule="auto"/>
        <w:jc w:val="both"/>
        <w:rPr>
          <w:rFonts w:ascii="Arial" w:hAnsi="Arial" w:cs="Arial"/>
          <w:i/>
          <w:iCs/>
          <w:sz w:val="18"/>
          <w:szCs w:val="18"/>
        </w:rPr>
      </w:pPr>
    </w:p>
    <w:p w14:paraId="28D183AF" w14:textId="176A750B" w:rsidR="00CC44A6"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[13] ISACA, COBIT 2019 Framework: Governance and Management Objectives. Rolling Meadows, IL, USA: ISACA, 2019.</w:t>
      </w:r>
    </w:p>
    <w:p w14:paraId="73015707" w14:textId="77777777" w:rsidR="00604F4B" w:rsidRPr="00DB0383" w:rsidRDefault="00604F4B" w:rsidP="00CB147F">
      <w:pPr>
        <w:spacing w:line="360" w:lineRule="auto"/>
        <w:jc w:val="both"/>
        <w:rPr>
          <w:rFonts w:ascii="Arial" w:hAnsi="Arial" w:cs="Arial"/>
          <w:i/>
          <w:iCs/>
          <w:sz w:val="18"/>
          <w:szCs w:val="18"/>
        </w:rPr>
      </w:pPr>
    </w:p>
    <w:p w14:paraId="08B59B5B" w14:textId="22E19D40" w:rsidR="00CC44A6"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 xml:space="preserve">[14] </w:t>
      </w:r>
      <w:r w:rsidR="007D0577" w:rsidRPr="00DB0383">
        <w:rPr>
          <w:rFonts w:ascii="Arial" w:hAnsi="Arial" w:cs="Arial"/>
          <w:i/>
          <w:iCs/>
          <w:sz w:val="18"/>
          <w:szCs w:val="18"/>
        </w:rPr>
        <w:t>S. Rose, O. Borchert, S. Mitchell and S. Connelly, “Zero Trust Architecture,” NIST Special Publication 800-207, National Institute of Standards and Technology, 2020.</w:t>
      </w:r>
    </w:p>
    <w:p w14:paraId="33AB064B" w14:textId="77777777" w:rsidR="00604F4B" w:rsidRPr="00DB0383" w:rsidRDefault="00604F4B" w:rsidP="00CB147F">
      <w:pPr>
        <w:spacing w:line="360" w:lineRule="auto"/>
        <w:jc w:val="both"/>
        <w:rPr>
          <w:rFonts w:ascii="Arial" w:hAnsi="Arial" w:cs="Arial"/>
          <w:i/>
          <w:iCs/>
          <w:sz w:val="18"/>
          <w:szCs w:val="18"/>
        </w:rPr>
      </w:pPr>
    </w:p>
    <w:p w14:paraId="3A15B02D" w14:textId="15748F52" w:rsidR="00CC44A6"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[15] PwC, Global Digital Trust Insights Survey, PricewaterhouseCoopers, 2023.</w:t>
      </w:r>
    </w:p>
    <w:p w14:paraId="5607021E" w14:textId="77777777" w:rsidR="00604F4B" w:rsidRPr="00DB0383" w:rsidRDefault="00604F4B" w:rsidP="00CB147F">
      <w:pPr>
        <w:spacing w:line="360" w:lineRule="auto"/>
        <w:jc w:val="both"/>
        <w:rPr>
          <w:rFonts w:ascii="Arial" w:hAnsi="Arial" w:cs="Arial"/>
          <w:i/>
          <w:iCs/>
          <w:sz w:val="18"/>
          <w:szCs w:val="18"/>
        </w:rPr>
      </w:pPr>
    </w:p>
    <w:p w14:paraId="6D147813" w14:textId="431D4C5A" w:rsidR="00CC44A6"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[16] ENISA, ENISA Threat Landscape Report, European Union Agency for Cybersecurity, 2023.</w:t>
      </w:r>
    </w:p>
    <w:p w14:paraId="3CC528B3" w14:textId="77777777" w:rsidR="00604F4B" w:rsidRPr="00DB0383" w:rsidRDefault="00604F4B" w:rsidP="00CB147F">
      <w:pPr>
        <w:spacing w:line="360" w:lineRule="auto"/>
        <w:jc w:val="both"/>
        <w:rPr>
          <w:rFonts w:ascii="Arial" w:hAnsi="Arial" w:cs="Arial"/>
          <w:i/>
          <w:iCs/>
          <w:sz w:val="18"/>
          <w:szCs w:val="18"/>
        </w:rPr>
      </w:pPr>
    </w:p>
    <w:p w14:paraId="454F66EA" w14:textId="65E9288A" w:rsidR="00CC44A6" w:rsidRPr="00DB0383" w:rsidRDefault="00CC44A6" w:rsidP="00CB147F">
      <w:pPr>
        <w:spacing w:line="360" w:lineRule="auto"/>
        <w:jc w:val="both"/>
        <w:rPr>
          <w:rFonts w:ascii="Arial" w:hAnsi="Arial" w:cs="Arial"/>
          <w:i/>
          <w:iCs/>
          <w:sz w:val="18"/>
          <w:szCs w:val="18"/>
        </w:rPr>
      </w:pPr>
      <w:r w:rsidRPr="00DB0383">
        <w:rPr>
          <w:rFonts w:ascii="Arial" w:hAnsi="Arial" w:cs="Arial"/>
          <w:i/>
          <w:iCs/>
          <w:sz w:val="18"/>
          <w:szCs w:val="18"/>
        </w:rPr>
        <w:t>[17] OECD, Digital Security Risk Management: Towards a Strategic Approach, OECD Publishing, 2022.</w:t>
      </w:r>
    </w:p>
    <w:p w14:paraId="0CAB7C76" w14:textId="77777777" w:rsidR="00ED1AE3" w:rsidRPr="00DB0383" w:rsidRDefault="00ED1AE3" w:rsidP="00CB147F">
      <w:pPr>
        <w:spacing w:line="360" w:lineRule="auto"/>
        <w:jc w:val="both"/>
        <w:rPr>
          <w:rFonts w:ascii="Arial" w:hAnsi="Arial" w:cs="Arial"/>
          <w:i/>
          <w:iCs/>
          <w:sz w:val="18"/>
          <w:szCs w:val="18"/>
        </w:rPr>
      </w:pPr>
    </w:p>
    <w:sectPr w:rsidR="00ED1AE3" w:rsidRPr="00DB03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834B03" w14:textId="77777777" w:rsidR="009414B5" w:rsidRDefault="009414B5" w:rsidP="00273DFD">
      <w:r>
        <w:separator/>
      </w:r>
    </w:p>
  </w:endnote>
  <w:endnote w:type="continuationSeparator" w:id="0">
    <w:p w14:paraId="3E29A1FD" w14:textId="77777777" w:rsidR="009414B5" w:rsidRDefault="009414B5" w:rsidP="00273D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4CEF0" w14:textId="77777777" w:rsidR="009414B5" w:rsidRDefault="009414B5" w:rsidP="00273DFD">
      <w:r>
        <w:separator/>
      </w:r>
    </w:p>
  </w:footnote>
  <w:footnote w:type="continuationSeparator" w:id="0">
    <w:p w14:paraId="480780D3" w14:textId="77777777" w:rsidR="009414B5" w:rsidRDefault="009414B5" w:rsidP="00273DF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225"/>
    <w:rsid w:val="0000697B"/>
    <w:rsid w:val="00007997"/>
    <w:rsid w:val="00023243"/>
    <w:rsid w:val="00023E3A"/>
    <w:rsid w:val="00026A26"/>
    <w:rsid w:val="00027FCA"/>
    <w:rsid w:val="00031C2A"/>
    <w:rsid w:val="00036EB5"/>
    <w:rsid w:val="00041F3B"/>
    <w:rsid w:val="00042AF0"/>
    <w:rsid w:val="00057368"/>
    <w:rsid w:val="00067D1C"/>
    <w:rsid w:val="00071FF6"/>
    <w:rsid w:val="0008061A"/>
    <w:rsid w:val="000877DE"/>
    <w:rsid w:val="000964F5"/>
    <w:rsid w:val="000B46E7"/>
    <w:rsid w:val="000B550A"/>
    <w:rsid w:val="000C7DE9"/>
    <w:rsid w:val="000F189F"/>
    <w:rsid w:val="001059FD"/>
    <w:rsid w:val="00120AD6"/>
    <w:rsid w:val="0012165A"/>
    <w:rsid w:val="00123E5A"/>
    <w:rsid w:val="00146A49"/>
    <w:rsid w:val="00166E08"/>
    <w:rsid w:val="00180525"/>
    <w:rsid w:val="001836AF"/>
    <w:rsid w:val="00186D52"/>
    <w:rsid w:val="001948B8"/>
    <w:rsid w:val="00197175"/>
    <w:rsid w:val="001A5EE9"/>
    <w:rsid w:val="001B161D"/>
    <w:rsid w:val="001D36CB"/>
    <w:rsid w:val="00222AE7"/>
    <w:rsid w:val="00244834"/>
    <w:rsid w:val="0025388D"/>
    <w:rsid w:val="0027131A"/>
    <w:rsid w:val="00273DFD"/>
    <w:rsid w:val="0029661E"/>
    <w:rsid w:val="002E4DC2"/>
    <w:rsid w:val="002F492E"/>
    <w:rsid w:val="002F54BE"/>
    <w:rsid w:val="0030513A"/>
    <w:rsid w:val="0033075B"/>
    <w:rsid w:val="00331C36"/>
    <w:rsid w:val="003350AE"/>
    <w:rsid w:val="00337044"/>
    <w:rsid w:val="0034339C"/>
    <w:rsid w:val="0035558B"/>
    <w:rsid w:val="00355B0B"/>
    <w:rsid w:val="00363897"/>
    <w:rsid w:val="003726A4"/>
    <w:rsid w:val="00375C05"/>
    <w:rsid w:val="00391D77"/>
    <w:rsid w:val="003A106D"/>
    <w:rsid w:val="003B0B3C"/>
    <w:rsid w:val="003B52A3"/>
    <w:rsid w:val="003C243D"/>
    <w:rsid w:val="003D10BD"/>
    <w:rsid w:val="003D493D"/>
    <w:rsid w:val="003F61D4"/>
    <w:rsid w:val="00421D7F"/>
    <w:rsid w:val="004248B2"/>
    <w:rsid w:val="00431B80"/>
    <w:rsid w:val="00444DA3"/>
    <w:rsid w:val="00447097"/>
    <w:rsid w:val="00457D68"/>
    <w:rsid w:val="00466415"/>
    <w:rsid w:val="00470AC1"/>
    <w:rsid w:val="00483793"/>
    <w:rsid w:val="004D1F2E"/>
    <w:rsid w:val="004D3B3C"/>
    <w:rsid w:val="005101CA"/>
    <w:rsid w:val="00522088"/>
    <w:rsid w:val="005436F3"/>
    <w:rsid w:val="00547A30"/>
    <w:rsid w:val="005535CD"/>
    <w:rsid w:val="0056189E"/>
    <w:rsid w:val="005626ED"/>
    <w:rsid w:val="00562E34"/>
    <w:rsid w:val="00582BC1"/>
    <w:rsid w:val="00586466"/>
    <w:rsid w:val="005A4E38"/>
    <w:rsid w:val="005A737F"/>
    <w:rsid w:val="005B3785"/>
    <w:rsid w:val="005B447B"/>
    <w:rsid w:val="005C1D7F"/>
    <w:rsid w:val="005C3CFC"/>
    <w:rsid w:val="005D3B62"/>
    <w:rsid w:val="005E53E9"/>
    <w:rsid w:val="005E7793"/>
    <w:rsid w:val="00604F4B"/>
    <w:rsid w:val="0062318B"/>
    <w:rsid w:val="0063252A"/>
    <w:rsid w:val="00641B36"/>
    <w:rsid w:val="00642868"/>
    <w:rsid w:val="006438D7"/>
    <w:rsid w:val="00656DE0"/>
    <w:rsid w:val="00677CEA"/>
    <w:rsid w:val="006812B3"/>
    <w:rsid w:val="00682243"/>
    <w:rsid w:val="006914E3"/>
    <w:rsid w:val="00693C20"/>
    <w:rsid w:val="006C1A1B"/>
    <w:rsid w:val="006D1303"/>
    <w:rsid w:val="006E45B7"/>
    <w:rsid w:val="00720FC4"/>
    <w:rsid w:val="00723927"/>
    <w:rsid w:val="0073303E"/>
    <w:rsid w:val="00734FB2"/>
    <w:rsid w:val="00740310"/>
    <w:rsid w:val="0074120D"/>
    <w:rsid w:val="00743CA7"/>
    <w:rsid w:val="0075146C"/>
    <w:rsid w:val="0076626B"/>
    <w:rsid w:val="00784320"/>
    <w:rsid w:val="007B2DFE"/>
    <w:rsid w:val="007D0577"/>
    <w:rsid w:val="007E52B1"/>
    <w:rsid w:val="007F3A60"/>
    <w:rsid w:val="007F71DE"/>
    <w:rsid w:val="008077D8"/>
    <w:rsid w:val="00811511"/>
    <w:rsid w:val="0081439A"/>
    <w:rsid w:val="00815121"/>
    <w:rsid w:val="00823D4D"/>
    <w:rsid w:val="0083292B"/>
    <w:rsid w:val="00843FC9"/>
    <w:rsid w:val="00865465"/>
    <w:rsid w:val="008766D6"/>
    <w:rsid w:val="00876C2F"/>
    <w:rsid w:val="0088668A"/>
    <w:rsid w:val="008A09F1"/>
    <w:rsid w:val="008A205D"/>
    <w:rsid w:val="008B537F"/>
    <w:rsid w:val="008C3D6F"/>
    <w:rsid w:val="008D6DA5"/>
    <w:rsid w:val="008F031C"/>
    <w:rsid w:val="0090202E"/>
    <w:rsid w:val="009237CE"/>
    <w:rsid w:val="009253F7"/>
    <w:rsid w:val="00935DC8"/>
    <w:rsid w:val="009414B5"/>
    <w:rsid w:val="0094514A"/>
    <w:rsid w:val="00954384"/>
    <w:rsid w:val="00964A13"/>
    <w:rsid w:val="00975F5E"/>
    <w:rsid w:val="009908DC"/>
    <w:rsid w:val="00990F90"/>
    <w:rsid w:val="009968C8"/>
    <w:rsid w:val="009A4D9F"/>
    <w:rsid w:val="009B2650"/>
    <w:rsid w:val="009B4CC7"/>
    <w:rsid w:val="009B6B49"/>
    <w:rsid w:val="009C57CA"/>
    <w:rsid w:val="009D4844"/>
    <w:rsid w:val="009E73FD"/>
    <w:rsid w:val="009E7FAF"/>
    <w:rsid w:val="00A0022C"/>
    <w:rsid w:val="00A11633"/>
    <w:rsid w:val="00A128B7"/>
    <w:rsid w:val="00A23288"/>
    <w:rsid w:val="00A644E5"/>
    <w:rsid w:val="00A70144"/>
    <w:rsid w:val="00A72E95"/>
    <w:rsid w:val="00A80E10"/>
    <w:rsid w:val="00A83958"/>
    <w:rsid w:val="00AA4B21"/>
    <w:rsid w:val="00AB114B"/>
    <w:rsid w:val="00AB150D"/>
    <w:rsid w:val="00AC73C6"/>
    <w:rsid w:val="00AE40A3"/>
    <w:rsid w:val="00AF0E06"/>
    <w:rsid w:val="00AF11C2"/>
    <w:rsid w:val="00AF2975"/>
    <w:rsid w:val="00AF4966"/>
    <w:rsid w:val="00B06DD4"/>
    <w:rsid w:val="00B111B5"/>
    <w:rsid w:val="00B2344C"/>
    <w:rsid w:val="00B37076"/>
    <w:rsid w:val="00B37081"/>
    <w:rsid w:val="00B42454"/>
    <w:rsid w:val="00B5343B"/>
    <w:rsid w:val="00B64D40"/>
    <w:rsid w:val="00B7418D"/>
    <w:rsid w:val="00B75FD5"/>
    <w:rsid w:val="00B80342"/>
    <w:rsid w:val="00B91225"/>
    <w:rsid w:val="00B919A4"/>
    <w:rsid w:val="00B97AEB"/>
    <w:rsid w:val="00BA4725"/>
    <w:rsid w:val="00BC48A3"/>
    <w:rsid w:val="00BD63C6"/>
    <w:rsid w:val="00BD6919"/>
    <w:rsid w:val="00BF6C25"/>
    <w:rsid w:val="00C177B7"/>
    <w:rsid w:val="00C414ED"/>
    <w:rsid w:val="00C47ED3"/>
    <w:rsid w:val="00C50E17"/>
    <w:rsid w:val="00C51B5A"/>
    <w:rsid w:val="00C57BCC"/>
    <w:rsid w:val="00C61D1C"/>
    <w:rsid w:val="00C66B47"/>
    <w:rsid w:val="00C90F1D"/>
    <w:rsid w:val="00C96004"/>
    <w:rsid w:val="00CA4BC6"/>
    <w:rsid w:val="00CA7F74"/>
    <w:rsid w:val="00CB147F"/>
    <w:rsid w:val="00CC44A6"/>
    <w:rsid w:val="00CD3308"/>
    <w:rsid w:val="00CE3193"/>
    <w:rsid w:val="00CE7D21"/>
    <w:rsid w:val="00D129EE"/>
    <w:rsid w:val="00D12EDF"/>
    <w:rsid w:val="00D171D1"/>
    <w:rsid w:val="00D26292"/>
    <w:rsid w:val="00D3793B"/>
    <w:rsid w:val="00D53B76"/>
    <w:rsid w:val="00D611C3"/>
    <w:rsid w:val="00DA6887"/>
    <w:rsid w:val="00DA702B"/>
    <w:rsid w:val="00DB0383"/>
    <w:rsid w:val="00DB14FD"/>
    <w:rsid w:val="00DB19CF"/>
    <w:rsid w:val="00DB1FE6"/>
    <w:rsid w:val="00DB25AD"/>
    <w:rsid w:val="00DB5351"/>
    <w:rsid w:val="00DC681D"/>
    <w:rsid w:val="00DE1DC5"/>
    <w:rsid w:val="00DE3DA3"/>
    <w:rsid w:val="00DE7B20"/>
    <w:rsid w:val="00DF3594"/>
    <w:rsid w:val="00DF5DC9"/>
    <w:rsid w:val="00E01032"/>
    <w:rsid w:val="00E0323A"/>
    <w:rsid w:val="00E06561"/>
    <w:rsid w:val="00E067AF"/>
    <w:rsid w:val="00E206D7"/>
    <w:rsid w:val="00E30EFC"/>
    <w:rsid w:val="00E37497"/>
    <w:rsid w:val="00E42F63"/>
    <w:rsid w:val="00E70964"/>
    <w:rsid w:val="00E83AAC"/>
    <w:rsid w:val="00E86F12"/>
    <w:rsid w:val="00E96B5E"/>
    <w:rsid w:val="00EA6B33"/>
    <w:rsid w:val="00EB3ABC"/>
    <w:rsid w:val="00EC1808"/>
    <w:rsid w:val="00ED1AE3"/>
    <w:rsid w:val="00ED750F"/>
    <w:rsid w:val="00EE2073"/>
    <w:rsid w:val="00EE443C"/>
    <w:rsid w:val="00F406C8"/>
    <w:rsid w:val="00F955BE"/>
    <w:rsid w:val="00F95A6E"/>
    <w:rsid w:val="00FA5574"/>
    <w:rsid w:val="00FC08DC"/>
    <w:rsid w:val="00FC48A5"/>
    <w:rsid w:val="00FE5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24896"/>
  <w15:chartTrackingRefBased/>
  <w15:docId w15:val="{EF98B513-5D6A-434D-941A-5E4E963D3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225"/>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9122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9122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9122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91225"/>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B91225"/>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B91225"/>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B91225"/>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B91225"/>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B91225"/>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2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12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12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12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12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12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2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2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225"/>
    <w:rPr>
      <w:rFonts w:eastAsiaTheme="majorEastAsia" w:cstheme="majorBidi"/>
      <w:color w:val="272727" w:themeColor="text1" w:themeTint="D8"/>
    </w:rPr>
  </w:style>
  <w:style w:type="paragraph" w:styleId="Title">
    <w:name w:val="Title"/>
    <w:basedOn w:val="Normal"/>
    <w:next w:val="Normal"/>
    <w:link w:val="TitleChar"/>
    <w:uiPriority w:val="10"/>
    <w:qFormat/>
    <w:rsid w:val="00B91225"/>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912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225"/>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912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225"/>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B91225"/>
    <w:rPr>
      <w:i/>
      <w:iCs/>
      <w:color w:val="404040" w:themeColor="text1" w:themeTint="BF"/>
    </w:rPr>
  </w:style>
  <w:style w:type="paragraph" w:styleId="ListParagraph">
    <w:name w:val="List Paragraph"/>
    <w:basedOn w:val="Normal"/>
    <w:uiPriority w:val="34"/>
    <w:qFormat/>
    <w:rsid w:val="00B91225"/>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B91225"/>
    <w:rPr>
      <w:i/>
      <w:iCs/>
      <w:color w:val="0F4761" w:themeColor="accent1" w:themeShade="BF"/>
    </w:rPr>
  </w:style>
  <w:style w:type="paragraph" w:styleId="IntenseQuote">
    <w:name w:val="Intense Quote"/>
    <w:basedOn w:val="Normal"/>
    <w:next w:val="Normal"/>
    <w:link w:val="IntenseQuoteChar"/>
    <w:uiPriority w:val="30"/>
    <w:qFormat/>
    <w:rsid w:val="00B9122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B91225"/>
    <w:rPr>
      <w:i/>
      <w:iCs/>
      <w:color w:val="0F4761" w:themeColor="accent1" w:themeShade="BF"/>
    </w:rPr>
  </w:style>
  <w:style w:type="character" w:styleId="IntenseReference">
    <w:name w:val="Intense Reference"/>
    <w:basedOn w:val="DefaultParagraphFont"/>
    <w:uiPriority w:val="32"/>
    <w:qFormat/>
    <w:rsid w:val="00B91225"/>
    <w:rPr>
      <w:b/>
      <w:bCs/>
      <w:smallCaps/>
      <w:color w:val="0F4761" w:themeColor="accent1" w:themeShade="BF"/>
      <w:spacing w:val="5"/>
    </w:rPr>
  </w:style>
  <w:style w:type="paragraph" w:styleId="TOCHeading">
    <w:name w:val="TOC Heading"/>
    <w:basedOn w:val="Heading1"/>
    <w:next w:val="Normal"/>
    <w:uiPriority w:val="39"/>
    <w:unhideWhenUsed/>
    <w:qFormat/>
    <w:rsid w:val="00CB147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B147F"/>
    <w:pPr>
      <w:spacing w:after="100"/>
    </w:pPr>
  </w:style>
  <w:style w:type="character" w:styleId="Hyperlink">
    <w:name w:val="Hyperlink"/>
    <w:basedOn w:val="DefaultParagraphFont"/>
    <w:uiPriority w:val="99"/>
    <w:unhideWhenUsed/>
    <w:rsid w:val="00CB147F"/>
    <w:rPr>
      <w:color w:val="467886" w:themeColor="hyperlink"/>
      <w:u w:val="single"/>
    </w:rPr>
  </w:style>
  <w:style w:type="paragraph" w:styleId="Caption">
    <w:name w:val="caption"/>
    <w:basedOn w:val="Normal"/>
    <w:next w:val="Normal"/>
    <w:uiPriority w:val="35"/>
    <w:unhideWhenUsed/>
    <w:qFormat/>
    <w:rsid w:val="003C243D"/>
    <w:pPr>
      <w:spacing w:after="200"/>
    </w:pPr>
    <w:rPr>
      <w:i/>
      <w:iCs/>
      <w:color w:val="0E2841" w:themeColor="text2"/>
      <w:sz w:val="18"/>
      <w:szCs w:val="18"/>
    </w:rPr>
  </w:style>
  <w:style w:type="paragraph" w:styleId="TableofFigures">
    <w:name w:val="table of figures"/>
    <w:basedOn w:val="Normal"/>
    <w:next w:val="Normal"/>
    <w:uiPriority w:val="99"/>
    <w:unhideWhenUsed/>
    <w:rsid w:val="004D3B3C"/>
  </w:style>
  <w:style w:type="table" w:styleId="TableGrid">
    <w:name w:val="Table Grid"/>
    <w:basedOn w:val="TableNormal"/>
    <w:uiPriority w:val="39"/>
    <w:rsid w:val="00FA5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3DFD"/>
    <w:pPr>
      <w:tabs>
        <w:tab w:val="center" w:pos="4513"/>
        <w:tab w:val="right" w:pos="9026"/>
      </w:tabs>
    </w:pPr>
  </w:style>
  <w:style w:type="character" w:customStyle="1" w:styleId="HeaderChar">
    <w:name w:val="Header Char"/>
    <w:basedOn w:val="DefaultParagraphFont"/>
    <w:link w:val="Header"/>
    <w:uiPriority w:val="99"/>
    <w:rsid w:val="00273DFD"/>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273DFD"/>
    <w:pPr>
      <w:tabs>
        <w:tab w:val="center" w:pos="4513"/>
        <w:tab w:val="right" w:pos="9026"/>
      </w:tabs>
    </w:pPr>
  </w:style>
  <w:style w:type="character" w:customStyle="1" w:styleId="FooterChar">
    <w:name w:val="Footer Char"/>
    <w:basedOn w:val="DefaultParagraphFont"/>
    <w:link w:val="Footer"/>
    <w:uiPriority w:val="99"/>
    <w:rsid w:val="00273DFD"/>
    <w:rPr>
      <w:rFonts w:ascii="Times New Roman" w:eastAsia="Times New Roman" w:hAnsi="Times New Roman" w:cs="Times New Roman"/>
      <w:kern w:val="0"/>
      <w:sz w:val="20"/>
      <w:szCs w:val="20"/>
      <w:lang w:eastAsia="en-GB"/>
      <w14:ligatures w14:val="none"/>
    </w:rPr>
  </w:style>
  <w:style w:type="table" w:styleId="GridTable4">
    <w:name w:val="Grid Table 4"/>
    <w:basedOn w:val="TableNormal"/>
    <w:uiPriority w:val="49"/>
    <w:rsid w:val="00023E3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E96B5E"/>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3">
    <w:name w:val="Grid Table 4 Accent 3"/>
    <w:basedOn w:val="TableNormal"/>
    <w:uiPriority w:val="49"/>
    <w:rsid w:val="00E96B5E"/>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842f433b8ef5515e1dd714cc01edfea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f08bb4d737a20f96a7e70b3ccf44986"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E0B815F-A66C-43F3-A0EA-47B15B602E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89465C-9E60-4678-948C-5234764D40E7}">
  <ds:schemaRefs>
    <ds:schemaRef ds:uri="http://schemas.microsoft.com/sharepoint/v3/contenttype/forms"/>
  </ds:schemaRefs>
</ds:datastoreItem>
</file>

<file path=customXml/itemProps3.xml><?xml version="1.0" encoding="utf-8"?>
<ds:datastoreItem xmlns:ds="http://schemas.openxmlformats.org/officeDocument/2006/customXml" ds:itemID="{74CB3F46-D6BA-4D1E-B46F-7CEBCD51CE10}">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E4D70A9E-A3CB-416F-8A83-32CBE6B62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744</TotalTime>
  <Pages>14</Pages>
  <Words>3715</Words>
  <Characters>24485</Characters>
  <Application>Microsoft Office Word</Application>
  <DocSecurity>0</DocSecurity>
  <Lines>582</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Begum (2209407)</dc:creator>
  <cp:keywords/>
  <dc:description/>
  <cp:lastModifiedBy>Rabeya Begum (2209407)</cp:lastModifiedBy>
  <cp:revision>235</cp:revision>
  <dcterms:created xsi:type="dcterms:W3CDTF">2026-01-14T10:05:00Z</dcterms:created>
  <dcterms:modified xsi:type="dcterms:W3CDTF">2026-03-16T14:48:00Z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