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CB669A3" w14:textId="77777777" w:rsidR="0086281C" w:rsidRDefault="00000000">
      <w:pPr>
        <w:spacing w:after="80" w:line="480" w:lineRule="auto"/>
        <w:jc w:val="center"/>
        <w:rPr>
          <w:rFonts w:ascii="Times New Roman" w:eastAsia="Times New Roman" w:hAnsi="Times New Roman" w:cs="Times New Roman"/>
          <w:b/>
          <w:bCs/>
          <w:sz w:val="28"/>
          <w:szCs w:val="28"/>
        </w:rPr>
      </w:pPr>
      <w:r>
        <w:rPr>
          <w:noProof/>
        </w:rPr>
        <w:drawing>
          <wp:inline distT="0" distB="0" distL="0" distR="0" wp14:anchorId="4438D66B" wp14:editId="538698FE">
            <wp:extent cx="3713480" cy="1232535"/>
            <wp:effectExtent l="0" t="0" r="0" b="0"/>
            <wp:docPr id="174066581" name="image3.png" descr="Prifysgol Cymru Y Drindod Dewi Sant (University of Wales Trinity Saint  David) – UniNet project"/>
            <wp:cNvGraphicFramePr/>
            <a:graphic xmlns:a="http://schemas.openxmlformats.org/drawingml/2006/main">
              <a:graphicData uri="http://schemas.openxmlformats.org/drawingml/2006/picture">
                <pic:pic xmlns:pic="http://schemas.openxmlformats.org/drawingml/2006/picture">
                  <pic:nvPicPr>
                    <pic:cNvPr id="0" name="image3.png" descr="Prifysgol Cymru Y Drindod Dewi Sant (University of Wales Trinity Saint  David) – UniNet project"/>
                    <pic:cNvPicPr preferRelativeResize="0"/>
                  </pic:nvPicPr>
                  <pic:blipFill>
                    <a:blip r:embed="rId7"/>
                    <a:srcRect/>
                    <a:stretch>
                      <a:fillRect/>
                    </a:stretch>
                  </pic:blipFill>
                  <pic:spPr>
                    <a:xfrm>
                      <a:off x="0" y="0"/>
                      <a:ext cx="3713480" cy="1232535"/>
                    </a:xfrm>
                    <a:prstGeom prst="rect">
                      <a:avLst/>
                    </a:prstGeom>
                    <a:ln/>
                  </pic:spPr>
                </pic:pic>
              </a:graphicData>
            </a:graphic>
          </wp:inline>
        </w:drawing>
      </w:r>
    </w:p>
    <w:p w14:paraId="0CFF725A" w14:textId="77777777" w:rsidR="0086281C" w:rsidRDefault="0086281C">
      <w:pPr>
        <w:spacing w:after="80" w:line="480" w:lineRule="auto"/>
        <w:rPr>
          <w:rFonts w:ascii="Times New Roman" w:eastAsia="Times New Roman" w:hAnsi="Times New Roman" w:cs="Times New Roman"/>
          <w:b/>
          <w:bCs/>
          <w:sz w:val="28"/>
          <w:szCs w:val="28"/>
        </w:rPr>
      </w:pPr>
    </w:p>
    <w:p w14:paraId="5B3D78CF" w14:textId="729D8893" w:rsidR="00F90DAD" w:rsidRDefault="00F90DAD" w:rsidP="00F90DAD">
      <w:pPr>
        <w:spacing w:before="240" w:after="240" w:line="48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International Business Concepts</w:t>
      </w:r>
    </w:p>
    <w:p w14:paraId="6CAC02E1" w14:textId="4CEBEA70" w:rsidR="00F90DAD" w:rsidRDefault="00F90DAD" w:rsidP="00F90DAD">
      <w:pPr>
        <w:spacing w:before="240" w:after="240" w:line="48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 LCMB7034</w:t>
      </w:r>
    </w:p>
    <w:p w14:paraId="30B378AF" w14:textId="7BEFA913" w:rsidR="0086281C" w:rsidRDefault="00000000">
      <w:pPr>
        <w:spacing w:before="240" w:after="240" w:line="480" w:lineRule="auto"/>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sz w:val="28"/>
          <w:szCs w:val="28"/>
        </w:rPr>
        <w:t xml:space="preserve">Company Selected: </w:t>
      </w:r>
      <w:r>
        <w:rPr>
          <w:rFonts w:ascii="Times New Roman" w:eastAsia="Times New Roman" w:hAnsi="Times New Roman" w:cs="Times New Roman"/>
          <w:b/>
          <w:bCs/>
          <w:i/>
          <w:iCs/>
          <w:sz w:val="28"/>
          <w:szCs w:val="28"/>
        </w:rPr>
        <w:t>Aditya Birla Group</w:t>
      </w:r>
    </w:p>
    <w:p w14:paraId="702998E7" w14:textId="06EE090F" w:rsidR="0086281C" w:rsidRDefault="00F90DAD">
      <w:pPr>
        <w:spacing w:before="240" w:after="240" w:line="480" w:lineRule="auto"/>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Name:</w:t>
      </w:r>
      <w:r w:rsidR="00000000">
        <w:rPr>
          <w:rFonts w:ascii="Times New Roman" w:eastAsia="Times New Roman" w:hAnsi="Times New Roman" w:cs="Times New Roman"/>
          <w:b/>
          <w:bCs/>
          <w:i/>
          <w:iCs/>
          <w:sz w:val="28"/>
          <w:szCs w:val="28"/>
        </w:rPr>
        <w:t xml:space="preserve"> Sachin Ashokbhai Japi</w:t>
      </w:r>
    </w:p>
    <w:p w14:paraId="06DBD321" w14:textId="77777777" w:rsidR="0086281C" w:rsidRDefault="00000000">
      <w:pPr>
        <w:spacing w:before="240" w:after="240" w:line="480" w:lineRule="auto"/>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Student ID: 2430819</w:t>
      </w:r>
    </w:p>
    <w:p w14:paraId="0CBC9782" w14:textId="54958823" w:rsidR="00F90DAD" w:rsidRDefault="00F90DAD">
      <w:pPr>
        <w:spacing w:before="240" w:after="240" w:line="480" w:lineRule="auto"/>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 xml:space="preserve">Lecturer: </w:t>
      </w:r>
      <w:r w:rsidRPr="00F90DAD">
        <w:rPr>
          <w:rFonts w:ascii="Times New Roman" w:eastAsia="Times New Roman" w:hAnsi="Times New Roman" w:cs="Times New Roman"/>
          <w:b/>
          <w:bCs/>
          <w:i/>
          <w:iCs/>
          <w:sz w:val="28"/>
          <w:szCs w:val="28"/>
        </w:rPr>
        <w:t>Akshay Narayanan</w:t>
      </w:r>
    </w:p>
    <w:p w14:paraId="3A3F3A2F" w14:textId="72ED57ED" w:rsidR="0086281C" w:rsidRDefault="00000000">
      <w:pPr>
        <w:spacing w:before="240" w:after="240" w:line="48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i/>
          <w:iCs/>
          <w:sz w:val="28"/>
          <w:szCs w:val="28"/>
        </w:rPr>
        <w:t xml:space="preserve">Term: </w:t>
      </w:r>
      <w:r w:rsidR="00F90DAD">
        <w:rPr>
          <w:rFonts w:ascii="Times New Roman" w:eastAsia="Times New Roman" w:hAnsi="Times New Roman" w:cs="Times New Roman"/>
          <w:b/>
          <w:bCs/>
          <w:i/>
          <w:iCs/>
          <w:sz w:val="28"/>
          <w:szCs w:val="28"/>
        </w:rPr>
        <w:t>2</w:t>
      </w:r>
      <w:r>
        <w:rPr>
          <w:rFonts w:ascii="Times New Roman" w:eastAsia="Times New Roman" w:hAnsi="Times New Roman" w:cs="Times New Roman"/>
          <w:b/>
          <w:bCs/>
          <w:i/>
          <w:iCs/>
          <w:sz w:val="28"/>
          <w:szCs w:val="28"/>
        </w:rPr>
        <w:br/>
      </w:r>
      <w:r>
        <w:rPr>
          <w:rFonts w:ascii="Times New Roman" w:eastAsia="Times New Roman" w:hAnsi="Times New Roman" w:cs="Times New Roman"/>
          <w:b/>
          <w:bCs/>
          <w:sz w:val="28"/>
          <w:szCs w:val="28"/>
        </w:rPr>
        <w:br/>
        <w:t xml:space="preserve"> </w:t>
      </w:r>
    </w:p>
    <w:p w14:paraId="26A7E276" w14:textId="77777777" w:rsidR="0086281C" w:rsidRDefault="0086281C">
      <w:pPr>
        <w:rPr>
          <w:rFonts w:ascii="Times New Roman" w:eastAsia="Times New Roman" w:hAnsi="Times New Roman" w:cs="Times New Roman"/>
          <w:sz w:val="24"/>
          <w:szCs w:val="24"/>
        </w:rPr>
      </w:pPr>
    </w:p>
    <w:p w14:paraId="11A783FD" w14:textId="77777777" w:rsidR="0086281C" w:rsidRDefault="00000000">
      <w:pPr>
        <w:pStyle w:val="Heading3"/>
        <w:keepNext w:val="0"/>
        <w:keepLines w:val="0"/>
        <w:spacing w:before="280"/>
        <w:rPr>
          <w:rFonts w:ascii="Times New Roman" w:eastAsia="Times New Roman" w:hAnsi="Times New Roman" w:cs="Times New Roman"/>
          <w:b/>
          <w:bCs/>
          <w:color w:val="000000"/>
          <w:sz w:val="24"/>
          <w:szCs w:val="24"/>
        </w:rPr>
      </w:pPr>
      <w:bookmarkStart w:id="0" w:name="_heading=h.e6rymvrt2nce" w:colFirst="0" w:colLast="0"/>
      <w:bookmarkEnd w:id="0"/>
      <w:r>
        <w:br w:type="page"/>
      </w:r>
    </w:p>
    <w:p w14:paraId="627F4073" w14:textId="77777777" w:rsidR="0086281C" w:rsidRDefault="00000000">
      <w:pPr>
        <w:spacing w:before="28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151658659"/>
        <w:docPartObj>
          <w:docPartGallery w:val="Table of Contents"/>
          <w:docPartUnique/>
        </w:docPartObj>
      </w:sdtPr>
      <w:sdtContent>
        <w:p w14:paraId="46D856D1" w14:textId="77777777" w:rsidR="0086281C"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hxq5gssd21t0">
            <w:r>
              <w:rPr>
                <w:rFonts w:ascii="Times New Roman" w:eastAsia="Times New Roman" w:hAnsi="Times New Roman" w:cs="Times New Roman"/>
                <w:color w:val="000000"/>
                <w:sz w:val="24"/>
                <w:szCs w:val="24"/>
              </w:rPr>
              <w:t>1. Introduction to the Report</w:t>
            </w:r>
            <w:r>
              <w:rPr>
                <w:rFonts w:ascii="Times New Roman" w:eastAsia="Times New Roman" w:hAnsi="Times New Roman" w:cs="Times New Roman"/>
                <w:color w:val="000000"/>
                <w:sz w:val="24"/>
                <w:szCs w:val="24"/>
              </w:rPr>
              <w:tab/>
            </w:r>
          </w:hyperlink>
          <w:r>
            <w:fldChar w:fldCharType="begin"/>
          </w:r>
          <w:r>
            <w:instrText xml:space="preserve"> PAGEREF _heading=h.hxq5gssd21t0 \h </w:instrText>
          </w:r>
          <w:r>
            <w:fldChar w:fldCharType="separate"/>
          </w:r>
          <w:r>
            <w:rPr>
              <w:rFonts w:ascii="Times New Roman" w:eastAsia="Times New Roman" w:hAnsi="Times New Roman" w:cs="Times New Roman"/>
              <w:sz w:val="24"/>
              <w:szCs w:val="24"/>
            </w:rPr>
            <w:t>3</w:t>
          </w:r>
          <w:hyperlink w:anchor="_heading=h.hxq5gssd21t0" w:history="1"/>
        </w:p>
        <w:p w14:paraId="74875E00" w14:textId="77777777" w:rsidR="0086281C"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end"/>
          </w:r>
          <w:hyperlink w:anchor="_heading=h.aq4ut0whhbki">
            <w:r>
              <w:rPr>
                <w:rFonts w:ascii="Times New Roman" w:eastAsia="Times New Roman" w:hAnsi="Times New Roman" w:cs="Times New Roman"/>
                <w:color w:val="000000"/>
                <w:sz w:val="24"/>
                <w:szCs w:val="24"/>
              </w:rPr>
              <w:t>2. Benefits and Challenges of International Operations</w:t>
            </w:r>
            <w:r>
              <w:rPr>
                <w:rFonts w:ascii="Times New Roman" w:eastAsia="Times New Roman" w:hAnsi="Times New Roman" w:cs="Times New Roman"/>
                <w:color w:val="000000"/>
                <w:sz w:val="24"/>
                <w:szCs w:val="24"/>
              </w:rPr>
              <w:tab/>
            </w:r>
          </w:hyperlink>
          <w:r>
            <w:fldChar w:fldCharType="begin"/>
          </w:r>
          <w:r>
            <w:instrText xml:space="preserve"> PAGEREF _heading=h.aq4ut0whhbki \h </w:instrText>
          </w:r>
          <w:r>
            <w:fldChar w:fldCharType="separate"/>
          </w:r>
          <w:r>
            <w:rPr>
              <w:rFonts w:ascii="Times New Roman" w:eastAsia="Times New Roman" w:hAnsi="Times New Roman" w:cs="Times New Roman"/>
              <w:sz w:val="24"/>
              <w:szCs w:val="24"/>
            </w:rPr>
            <w:t>3</w:t>
          </w:r>
          <w:hyperlink w:anchor="_heading=h.aq4ut0whhbki" w:history="1"/>
        </w:p>
        <w:p w14:paraId="082E0A2F"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a37ka1woydd4">
            <w:r>
              <w:rPr>
                <w:rFonts w:ascii="Times New Roman" w:eastAsia="Times New Roman" w:hAnsi="Times New Roman" w:cs="Times New Roman"/>
                <w:color w:val="000000"/>
                <w:sz w:val="24"/>
                <w:szCs w:val="24"/>
              </w:rPr>
              <w:t>2.1 Aditya Birla Group as an MNC/TNC</w:t>
            </w:r>
            <w:r>
              <w:rPr>
                <w:rFonts w:ascii="Times New Roman" w:eastAsia="Times New Roman" w:hAnsi="Times New Roman" w:cs="Times New Roman"/>
                <w:color w:val="000000"/>
                <w:sz w:val="24"/>
                <w:szCs w:val="24"/>
              </w:rPr>
              <w:tab/>
            </w:r>
          </w:hyperlink>
          <w:r>
            <w:fldChar w:fldCharType="begin"/>
          </w:r>
          <w:r>
            <w:instrText xml:space="preserve"> PAGEREF _heading=h.a37ka1woydd4 \h </w:instrText>
          </w:r>
          <w:r>
            <w:fldChar w:fldCharType="separate"/>
          </w:r>
          <w:r>
            <w:rPr>
              <w:rFonts w:ascii="Times New Roman" w:eastAsia="Times New Roman" w:hAnsi="Times New Roman" w:cs="Times New Roman"/>
              <w:sz w:val="24"/>
              <w:szCs w:val="24"/>
            </w:rPr>
            <w:t>3</w:t>
          </w:r>
          <w:hyperlink w:anchor="_heading=h.a37ka1woydd4" w:history="1"/>
        </w:p>
        <w:p w14:paraId="69495B01"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ymhhazd445jm">
            <w:r>
              <w:rPr>
                <w:rFonts w:ascii="Times New Roman" w:eastAsia="Times New Roman" w:hAnsi="Times New Roman" w:cs="Times New Roman"/>
                <w:color w:val="000000"/>
                <w:sz w:val="24"/>
                <w:szCs w:val="24"/>
              </w:rPr>
              <w:t>2.2 Character of Global Operations and Value Chain Analysis.</w:t>
            </w:r>
            <w:r>
              <w:rPr>
                <w:rFonts w:ascii="Times New Roman" w:eastAsia="Times New Roman" w:hAnsi="Times New Roman" w:cs="Times New Roman"/>
                <w:color w:val="000000"/>
                <w:sz w:val="24"/>
                <w:szCs w:val="24"/>
              </w:rPr>
              <w:tab/>
            </w:r>
          </w:hyperlink>
          <w:r>
            <w:fldChar w:fldCharType="begin"/>
          </w:r>
          <w:r>
            <w:instrText xml:space="preserve"> PAGEREF _heading=h.ymhhazd445jm \h </w:instrText>
          </w:r>
          <w:r>
            <w:fldChar w:fldCharType="separate"/>
          </w:r>
          <w:r>
            <w:rPr>
              <w:rFonts w:ascii="Times New Roman" w:eastAsia="Times New Roman" w:hAnsi="Times New Roman" w:cs="Times New Roman"/>
              <w:sz w:val="24"/>
              <w:szCs w:val="24"/>
            </w:rPr>
            <w:t>4</w:t>
          </w:r>
          <w:hyperlink w:anchor="_heading=h.ymhhazd445jm" w:history="1"/>
        </w:p>
        <w:p w14:paraId="3E351C77"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nuem6qi7bwwt">
            <w:r>
              <w:rPr>
                <w:rFonts w:ascii="Times New Roman" w:eastAsia="Times New Roman" w:hAnsi="Times New Roman" w:cs="Times New Roman"/>
                <w:color w:val="000000"/>
                <w:sz w:val="24"/>
                <w:szCs w:val="24"/>
              </w:rPr>
              <w:t>2.3 International Market Entry Modes.</w:t>
            </w:r>
            <w:r>
              <w:rPr>
                <w:rFonts w:ascii="Times New Roman" w:eastAsia="Times New Roman" w:hAnsi="Times New Roman" w:cs="Times New Roman"/>
                <w:color w:val="000000"/>
                <w:sz w:val="24"/>
                <w:szCs w:val="24"/>
              </w:rPr>
              <w:tab/>
            </w:r>
          </w:hyperlink>
          <w:r>
            <w:fldChar w:fldCharType="begin"/>
          </w:r>
          <w:r>
            <w:instrText xml:space="preserve"> PAGEREF _heading=h.nuem6qi7bwwt \h </w:instrText>
          </w:r>
          <w:r>
            <w:fldChar w:fldCharType="separate"/>
          </w:r>
          <w:r>
            <w:rPr>
              <w:rFonts w:ascii="Times New Roman" w:eastAsia="Times New Roman" w:hAnsi="Times New Roman" w:cs="Times New Roman"/>
              <w:sz w:val="24"/>
              <w:szCs w:val="24"/>
            </w:rPr>
            <w:t>6</w:t>
          </w:r>
          <w:hyperlink w:anchor="_heading=h.nuem6qi7bwwt" w:history="1"/>
        </w:p>
        <w:p w14:paraId="1691D8AD"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53je5rpf5g9v">
            <w:r>
              <w:rPr>
                <w:rFonts w:ascii="Times New Roman" w:eastAsia="Times New Roman" w:hAnsi="Times New Roman" w:cs="Times New Roman"/>
                <w:color w:val="000000"/>
                <w:sz w:val="24"/>
                <w:szCs w:val="24"/>
              </w:rPr>
              <w:t>2.4 Summative Critical Advantages of International Operations.</w:t>
            </w:r>
            <w:r>
              <w:rPr>
                <w:rFonts w:ascii="Times New Roman" w:eastAsia="Times New Roman" w:hAnsi="Times New Roman" w:cs="Times New Roman"/>
                <w:color w:val="000000"/>
                <w:sz w:val="24"/>
                <w:szCs w:val="24"/>
              </w:rPr>
              <w:tab/>
            </w:r>
          </w:hyperlink>
          <w:r>
            <w:fldChar w:fldCharType="begin"/>
          </w:r>
          <w:r>
            <w:instrText xml:space="preserve"> PAGEREF _heading=h.53je5rpf5g9v \h </w:instrText>
          </w:r>
          <w:r>
            <w:fldChar w:fldCharType="separate"/>
          </w:r>
          <w:r>
            <w:rPr>
              <w:rFonts w:ascii="Times New Roman" w:eastAsia="Times New Roman" w:hAnsi="Times New Roman" w:cs="Times New Roman"/>
              <w:sz w:val="24"/>
              <w:szCs w:val="24"/>
            </w:rPr>
            <w:t>6</w:t>
          </w:r>
          <w:hyperlink w:anchor="_heading=h.53je5rpf5g9v" w:history="1"/>
        </w:p>
        <w:p w14:paraId="74321759"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yy7x0aykixhr">
            <w:r>
              <w:rPr>
                <w:rFonts w:ascii="Times New Roman" w:eastAsia="Times New Roman" w:hAnsi="Times New Roman" w:cs="Times New Roman"/>
                <w:color w:val="000000"/>
                <w:sz w:val="24"/>
                <w:szCs w:val="24"/>
              </w:rPr>
              <w:t>2.5 Major Issues of International Operations.</w:t>
            </w:r>
            <w:r>
              <w:rPr>
                <w:rFonts w:ascii="Times New Roman" w:eastAsia="Times New Roman" w:hAnsi="Times New Roman" w:cs="Times New Roman"/>
                <w:color w:val="000000"/>
                <w:sz w:val="24"/>
                <w:szCs w:val="24"/>
              </w:rPr>
              <w:tab/>
            </w:r>
          </w:hyperlink>
          <w:r>
            <w:fldChar w:fldCharType="begin"/>
          </w:r>
          <w:r>
            <w:instrText xml:space="preserve"> PAGEREF _heading=h.yy7x0aykixhr \h </w:instrText>
          </w:r>
          <w:r>
            <w:fldChar w:fldCharType="separate"/>
          </w:r>
          <w:r>
            <w:rPr>
              <w:rFonts w:ascii="Times New Roman" w:eastAsia="Times New Roman" w:hAnsi="Times New Roman" w:cs="Times New Roman"/>
              <w:sz w:val="24"/>
              <w:szCs w:val="24"/>
            </w:rPr>
            <w:t>7</w:t>
          </w:r>
          <w:hyperlink w:anchor="_heading=h.yy7x0aykixhr" w:history="1"/>
        </w:p>
        <w:p w14:paraId="40B69B81" w14:textId="77777777" w:rsidR="0086281C"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end"/>
          </w:r>
          <w:hyperlink w:anchor="_heading=h.u1r3uveleh8c">
            <w:r>
              <w:rPr>
                <w:rFonts w:ascii="Times New Roman" w:eastAsia="Times New Roman" w:hAnsi="Times New Roman" w:cs="Times New Roman"/>
                <w:color w:val="000000"/>
                <w:sz w:val="24"/>
                <w:szCs w:val="24"/>
              </w:rPr>
              <w:t>3. OLI Framework and Market Entry Strategy</w:t>
            </w:r>
            <w:r>
              <w:rPr>
                <w:rFonts w:ascii="Times New Roman" w:eastAsia="Times New Roman" w:hAnsi="Times New Roman" w:cs="Times New Roman"/>
                <w:color w:val="000000"/>
                <w:sz w:val="24"/>
                <w:szCs w:val="24"/>
              </w:rPr>
              <w:tab/>
            </w:r>
          </w:hyperlink>
          <w:r>
            <w:fldChar w:fldCharType="begin"/>
          </w:r>
          <w:r>
            <w:instrText xml:space="preserve"> PAGEREF _heading=h.u1r3uveleh8c \h </w:instrText>
          </w:r>
          <w:r>
            <w:fldChar w:fldCharType="separate"/>
          </w:r>
          <w:r>
            <w:rPr>
              <w:rFonts w:ascii="Times New Roman" w:eastAsia="Times New Roman" w:hAnsi="Times New Roman" w:cs="Times New Roman"/>
              <w:sz w:val="24"/>
              <w:szCs w:val="24"/>
            </w:rPr>
            <w:t>7</w:t>
          </w:r>
          <w:hyperlink w:anchor="_heading=h.u1r3uveleh8c" w:history="1"/>
        </w:p>
        <w:p w14:paraId="38788C8A"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4h83jyoemnrb">
            <w:r>
              <w:rPr>
                <w:rFonts w:ascii="Times New Roman" w:eastAsia="Times New Roman" w:hAnsi="Times New Roman" w:cs="Times New Roman"/>
                <w:color w:val="000000"/>
                <w:sz w:val="24"/>
                <w:szCs w:val="24"/>
              </w:rPr>
              <w:t>3.1 Ownership Advantages</w:t>
            </w:r>
            <w:r>
              <w:rPr>
                <w:rFonts w:ascii="Times New Roman" w:eastAsia="Times New Roman" w:hAnsi="Times New Roman" w:cs="Times New Roman"/>
                <w:color w:val="000000"/>
                <w:sz w:val="24"/>
                <w:szCs w:val="24"/>
              </w:rPr>
              <w:tab/>
            </w:r>
          </w:hyperlink>
          <w:r>
            <w:fldChar w:fldCharType="begin"/>
          </w:r>
          <w:r>
            <w:instrText xml:space="preserve"> PAGEREF _heading=h.4h83jyoemnrb \h </w:instrText>
          </w:r>
          <w:r>
            <w:fldChar w:fldCharType="separate"/>
          </w:r>
          <w:r>
            <w:rPr>
              <w:rFonts w:ascii="Times New Roman" w:eastAsia="Times New Roman" w:hAnsi="Times New Roman" w:cs="Times New Roman"/>
              <w:sz w:val="24"/>
              <w:szCs w:val="24"/>
            </w:rPr>
            <w:t>8</w:t>
          </w:r>
          <w:hyperlink w:anchor="_heading=h.4h83jyoemnrb" w:history="1"/>
        </w:p>
        <w:p w14:paraId="03B45A76"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k8w0st5otmhh">
            <w:r>
              <w:rPr>
                <w:rFonts w:ascii="Times New Roman" w:eastAsia="Times New Roman" w:hAnsi="Times New Roman" w:cs="Times New Roman"/>
                <w:color w:val="000000"/>
                <w:sz w:val="24"/>
                <w:szCs w:val="24"/>
              </w:rPr>
              <w:t>3.2 Location Strengths- Vietnam.</w:t>
            </w:r>
            <w:r>
              <w:rPr>
                <w:rFonts w:ascii="Times New Roman" w:eastAsia="Times New Roman" w:hAnsi="Times New Roman" w:cs="Times New Roman"/>
                <w:color w:val="000000"/>
                <w:sz w:val="24"/>
                <w:szCs w:val="24"/>
              </w:rPr>
              <w:tab/>
            </w:r>
          </w:hyperlink>
          <w:r>
            <w:fldChar w:fldCharType="begin"/>
          </w:r>
          <w:r>
            <w:instrText xml:space="preserve"> PAGEREF _heading=h.k8w0st5otmhh \h </w:instrText>
          </w:r>
          <w:r>
            <w:fldChar w:fldCharType="separate"/>
          </w:r>
          <w:r>
            <w:rPr>
              <w:rFonts w:ascii="Times New Roman" w:eastAsia="Times New Roman" w:hAnsi="Times New Roman" w:cs="Times New Roman"/>
              <w:sz w:val="24"/>
              <w:szCs w:val="24"/>
            </w:rPr>
            <w:t>9</w:t>
          </w:r>
          <w:hyperlink w:anchor="_heading=h.k8w0st5otmhh" w:history="1"/>
        </w:p>
        <w:p w14:paraId="38FF098E"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u9wqdqgftzy0">
            <w:r>
              <w:rPr>
                <w:rFonts w:ascii="Times New Roman" w:eastAsia="Times New Roman" w:hAnsi="Times New Roman" w:cs="Times New Roman"/>
                <w:color w:val="000000"/>
                <w:sz w:val="24"/>
                <w:szCs w:val="24"/>
              </w:rPr>
              <w:t>3.3 Internalisation Benefits.</w:t>
            </w:r>
            <w:r>
              <w:rPr>
                <w:rFonts w:ascii="Times New Roman" w:eastAsia="Times New Roman" w:hAnsi="Times New Roman" w:cs="Times New Roman"/>
                <w:color w:val="000000"/>
                <w:sz w:val="24"/>
                <w:szCs w:val="24"/>
              </w:rPr>
              <w:tab/>
            </w:r>
          </w:hyperlink>
          <w:r>
            <w:fldChar w:fldCharType="begin"/>
          </w:r>
          <w:r>
            <w:instrText xml:space="preserve"> PAGEREF _heading=h.u9wqdqgftzy0 \h </w:instrText>
          </w:r>
          <w:r>
            <w:fldChar w:fldCharType="separate"/>
          </w:r>
          <w:r>
            <w:rPr>
              <w:rFonts w:ascii="Times New Roman" w:eastAsia="Times New Roman" w:hAnsi="Times New Roman" w:cs="Times New Roman"/>
              <w:sz w:val="24"/>
              <w:szCs w:val="24"/>
            </w:rPr>
            <w:t>10</w:t>
          </w:r>
          <w:hyperlink w:anchor="_heading=h.u9wqdqgftzy0" w:history="1"/>
        </w:p>
        <w:p w14:paraId="2B1E5844"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1b07gt8xxysw">
            <w:r>
              <w:rPr>
                <w:rFonts w:ascii="Times New Roman" w:eastAsia="Times New Roman" w:hAnsi="Times New Roman" w:cs="Times New Roman"/>
                <w:color w:val="000000"/>
                <w:sz w:val="24"/>
                <w:szCs w:val="24"/>
              </w:rPr>
              <w:t>3.4 OLI Effect on the Entry Mode Selection.</w:t>
            </w:r>
            <w:r>
              <w:rPr>
                <w:rFonts w:ascii="Times New Roman" w:eastAsia="Times New Roman" w:hAnsi="Times New Roman" w:cs="Times New Roman"/>
                <w:color w:val="000000"/>
                <w:sz w:val="24"/>
                <w:szCs w:val="24"/>
              </w:rPr>
              <w:tab/>
            </w:r>
          </w:hyperlink>
          <w:r>
            <w:fldChar w:fldCharType="begin"/>
          </w:r>
          <w:r>
            <w:instrText xml:space="preserve"> PAGEREF _heading=h.1b07gt8xxysw \h </w:instrText>
          </w:r>
          <w:r>
            <w:fldChar w:fldCharType="separate"/>
          </w:r>
          <w:r>
            <w:rPr>
              <w:rFonts w:ascii="Times New Roman" w:eastAsia="Times New Roman" w:hAnsi="Times New Roman" w:cs="Times New Roman"/>
              <w:sz w:val="24"/>
              <w:szCs w:val="24"/>
            </w:rPr>
            <w:t>11</w:t>
          </w:r>
          <w:hyperlink w:anchor="_heading=h.1b07gt8xxysw" w:history="1"/>
        </w:p>
        <w:p w14:paraId="462CEDB6" w14:textId="77777777" w:rsidR="0086281C"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end"/>
          </w:r>
          <w:hyperlink w:anchor="_heading=h.f2xetzenms0p">
            <w:r>
              <w:rPr>
                <w:rFonts w:ascii="Times New Roman" w:eastAsia="Times New Roman" w:hAnsi="Times New Roman" w:cs="Times New Roman"/>
                <w:color w:val="000000"/>
                <w:sz w:val="24"/>
                <w:szCs w:val="24"/>
              </w:rPr>
              <w:t>4. Cultural Differences and Market Entry Impact</w:t>
            </w:r>
            <w:r>
              <w:rPr>
                <w:rFonts w:ascii="Times New Roman" w:eastAsia="Times New Roman" w:hAnsi="Times New Roman" w:cs="Times New Roman"/>
                <w:color w:val="000000"/>
                <w:sz w:val="24"/>
                <w:szCs w:val="24"/>
              </w:rPr>
              <w:tab/>
            </w:r>
          </w:hyperlink>
          <w:r>
            <w:fldChar w:fldCharType="begin"/>
          </w:r>
          <w:r>
            <w:instrText xml:space="preserve"> PAGEREF _heading=h.f2xetzenms0p \h </w:instrText>
          </w:r>
          <w:r>
            <w:fldChar w:fldCharType="separate"/>
          </w:r>
          <w:r>
            <w:rPr>
              <w:rFonts w:ascii="Times New Roman" w:eastAsia="Times New Roman" w:hAnsi="Times New Roman" w:cs="Times New Roman"/>
              <w:sz w:val="24"/>
              <w:szCs w:val="24"/>
            </w:rPr>
            <w:t>12</w:t>
          </w:r>
          <w:hyperlink w:anchor="_heading=h.f2xetzenms0p" w:history="1"/>
        </w:p>
        <w:p w14:paraId="44A8441F"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690kax9ygfyw">
            <w:r>
              <w:rPr>
                <w:rFonts w:ascii="Times New Roman" w:eastAsia="Times New Roman" w:hAnsi="Times New Roman" w:cs="Times New Roman"/>
                <w:color w:val="000000"/>
                <w:sz w:val="24"/>
                <w:szCs w:val="24"/>
              </w:rPr>
              <w:t>4.1 Home Country vs Emerging Economy Cultural Comparison.</w:t>
            </w:r>
            <w:r>
              <w:rPr>
                <w:rFonts w:ascii="Times New Roman" w:eastAsia="Times New Roman" w:hAnsi="Times New Roman" w:cs="Times New Roman"/>
                <w:color w:val="000000"/>
                <w:sz w:val="24"/>
                <w:szCs w:val="24"/>
              </w:rPr>
              <w:tab/>
            </w:r>
          </w:hyperlink>
          <w:r>
            <w:fldChar w:fldCharType="begin"/>
          </w:r>
          <w:r>
            <w:instrText xml:space="preserve"> PAGEREF _heading=h.690kax9ygfyw \h </w:instrText>
          </w:r>
          <w:r>
            <w:fldChar w:fldCharType="separate"/>
          </w:r>
          <w:r>
            <w:rPr>
              <w:rFonts w:ascii="Times New Roman" w:eastAsia="Times New Roman" w:hAnsi="Times New Roman" w:cs="Times New Roman"/>
              <w:sz w:val="24"/>
              <w:szCs w:val="24"/>
            </w:rPr>
            <w:t>12</w:t>
          </w:r>
          <w:hyperlink w:anchor="_heading=h.690kax9ygfyw" w:history="1"/>
        </w:p>
        <w:p w14:paraId="064A2D69" w14:textId="77777777" w:rsidR="0086281C"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r>
            <w:fldChar w:fldCharType="end"/>
          </w:r>
          <w:hyperlink w:anchor="_heading=h.3meipw520kjv">
            <w:r>
              <w:rPr>
                <w:rFonts w:ascii="Times New Roman" w:eastAsia="Times New Roman" w:hAnsi="Times New Roman" w:cs="Times New Roman"/>
                <w:color w:val="000000"/>
                <w:sz w:val="24"/>
                <w:szCs w:val="24"/>
              </w:rPr>
              <w:t>4.2 Effect of Culture on Business Performance and Success.</w:t>
            </w:r>
            <w:r>
              <w:rPr>
                <w:rFonts w:ascii="Times New Roman" w:eastAsia="Times New Roman" w:hAnsi="Times New Roman" w:cs="Times New Roman"/>
                <w:color w:val="000000"/>
                <w:sz w:val="24"/>
                <w:szCs w:val="24"/>
              </w:rPr>
              <w:tab/>
            </w:r>
          </w:hyperlink>
          <w:r>
            <w:fldChar w:fldCharType="begin"/>
          </w:r>
          <w:r>
            <w:instrText xml:space="preserve"> PAGEREF _heading=h.3meipw520kjv \h </w:instrText>
          </w:r>
          <w:r>
            <w:fldChar w:fldCharType="separate"/>
          </w:r>
          <w:r>
            <w:rPr>
              <w:rFonts w:ascii="Times New Roman" w:eastAsia="Times New Roman" w:hAnsi="Times New Roman" w:cs="Times New Roman"/>
              <w:sz w:val="24"/>
              <w:szCs w:val="24"/>
            </w:rPr>
            <w:t>14</w:t>
          </w:r>
          <w:hyperlink w:anchor="_heading=h.3meipw520kjv" w:history="1"/>
        </w:p>
        <w:p w14:paraId="66BCC7F2" w14:textId="77777777" w:rsidR="0086281C"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end"/>
          </w:r>
          <w:hyperlink w:anchor="_heading=h.mjk8f2m40ryb">
            <w:r>
              <w:rPr>
                <w:rFonts w:ascii="Times New Roman" w:eastAsia="Times New Roman" w:hAnsi="Times New Roman" w:cs="Times New Roman"/>
                <w:color w:val="000000"/>
                <w:sz w:val="24"/>
                <w:szCs w:val="24"/>
              </w:rPr>
              <w:t>5. SOP Adjustment to be successful in the emerging economy</w:t>
            </w:r>
            <w:r>
              <w:rPr>
                <w:rFonts w:ascii="Times New Roman" w:eastAsia="Times New Roman" w:hAnsi="Times New Roman" w:cs="Times New Roman"/>
                <w:color w:val="000000"/>
                <w:sz w:val="24"/>
                <w:szCs w:val="24"/>
              </w:rPr>
              <w:tab/>
            </w:r>
          </w:hyperlink>
          <w:r>
            <w:fldChar w:fldCharType="begin"/>
          </w:r>
          <w:r>
            <w:instrText xml:space="preserve"> PAGEREF _heading=h.mjk8f2m40ryb \h </w:instrText>
          </w:r>
          <w:r>
            <w:fldChar w:fldCharType="separate"/>
          </w:r>
          <w:r>
            <w:rPr>
              <w:rFonts w:ascii="Times New Roman" w:eastAsia="Times New Roman" w:hAnsi="Times New Roman" w:cs="Times New Roman"/>
              <w:sz w:val="24"/>
              <w:szCs w:val="24"/>
            </w:rPr>
            <w:t>15</w:t>
          </w:r>
          <w:hyperlink w:anchor="_heading=h.mjk8f2m40ryb" w:history="1"/>
        </w:p>
        <w:p w14:paraId="734F6E98" w14:textId="77777777" w:rsidR="0086281C"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end"/>
          </w:r>
          <w:hyperlink w:anchor="_heading=h.fg3df4h5my7r">
            <w:r>
              <w:rPr>
                <w:rFonts w:ascii="Times New Roman" w:eastAsia="Times New Roman" w:hAnsi="Times New Roman" w:cs="Times New Roman"/>
                <w:color w:val="000000"/>
                <w:sz w:val="24"/>
                <w:szCs w:val="24"/>
              </w:rPr>
              <w:t>6. Conclusion</w:t>
            </w:r>
            <w:r>
              <w:rPr>
                <w:rFonts w:ascii="Times New Roman" w:eastAsia="Times New Roman" w:hAnsi="Times New Roman" w:cs="Times New Roman"/>
                <w:color w:val="000000"/>
                <w:sz w:val="24"/>
                <w:szCs w:val="24"/>
              </w:rPr>
              <w:tab/>
            </w:r>
          </w:hyperlink>
          <w:r>
            <w:fldChar w:fldCharType="begin"/>
          </w:r>
          <w:r>
            <w:instrText xml:space="preserve"> PAGEREF _heading=h.fg3df4h5my7r \h </w:instrText>
          </w:r>
          <w:r>
            <w:fldChar w:fldCharType="separate"/>
          </w:r>
          <w:r>
            <w:rPr>
              <w:rFonts w:ascii="Times New Roman" w:eastAsia="Times New Roman" w:hAnsi="Times New Roman" w:cs="Times New Roman"/>
              <w:sz w:val="24"/>
              <w:szCs w:val="24"/>
            </w:rPr>
            <w:t>18</w:t>
          </w:r>
          <w:hyperlink w:anchor="_heading=h.fg3df4h5my7r" w:history="1"/>
        </w:p>
        <w:p w14:paraId="4952BBB3" w14:textId="77777777" w:rsidR="0086281C"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end"/>
          </w:r>
          <w:hyperlink w:anchor="_heading=h.qz3m83b9jl9f">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_heading=h.qz3m83b9jl9f \h </w:instrText>
          </w:r>
          <w:r>
            <w:fldChar w:fldCharType="separate"/>
          </w:r>
          <w:r>
            <w:rPr>
              <w:rFonts w:ascii="Times New Roman" w:eastAsia="Times New Roman" w:hAnsi="Times New Roman" w:cs="Times New Roman"/>
              <w:sz w:val="24"/>
              <w:szCs w:val="24"/>
            </w:rPr>
            <w:t>20</w:t>
          </w:r>
          <w:r>
            <w:fldChar w:fldCharType="end"/>
          </w:r>
          <w:r>
            <w:fldChar w:fldCharType="end"/>
          </w:r>
        </w:p>
      </w:sdtContent>
    </w:sdt>
    <w:p w14:paraId="05F78CE2" w14:textId="77777777" w:rsidR="0086281C" w:rsidRDefault="0086281C">
      <w:pPr>
        <w:spacing w:before="280"/>
        <w:rPr>
          <w:rFonts w:ascii="Times New Roman" w:eastAsia="Times New Roman" w:hAnsi="Times New Roman" w:cs="Times New Roman"/>
          <w:b/>
          <w:bCs/>
          <w:sz w:val="24"/>
          <w:szCs w:val="24"/>
        </w:rPr>
      </w:pPr>
    </w:p>
    <w:p w14:paraId="04E47F30" w14:textId="77777777" w:rsidR="0086281C" w:rsidRDefault="00000000">
      <w:pPr>
        <w:pStyle w:val="Heading2"/>
        <w:keepNext w:val="0"/>
        <w:keepLines w:val="0"/>
        <w:spacing w:after="80"/>
      </w:pPr>
      <w:bookmarkStart w:id="1" w:name="_heading=h.aevv1eibyotj" w:colFirst="0" w:colLast="0"/>
      <w:bookmarkEnd w:id="1"/>
      <w:r>
        <w:br w:type="page"/>
      </w:r>
    </w:p>
    <w:p w14:paraId="4CF01A0C" w14:textId="77777777" w:rsidR="0086281C" w:rsidRDefault="00000000">
      <w:pPr>
        <w:pStyle w:val="Heading1"/>
        <w:keepNext w:val="0"/>
        <w:keepLines w:val="0"/>
        <w:spacing w:after="80"/>
      </w:pPr>
      <w:bookmarkStart w:id="2" w:name="_heading=h.hxq5gssd21t0" w:colFirst="0" w:colLast="0"/>
      <w:bookmarkEnd w:id="2"/>
      <w:r>
        <w:lastRenderedPageBreak/>
        <w:t xml:space="preserve">1. Introduction to the Report </w:t>
      </w:r>
    </w:p>
    <w:p w14:paraId="32240E62"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Aditya Birla group is among the top multinational conglomerates in India, which has spread its operations in various fields which include metals, cement, textiles, financial services, chemicals, and telecommunications (Group, 2025). The group has a strong global presence with its operations running in more than 35 countries in Asia, Europe, Africa and the Americas, and has been able to do so with good financial performance and diversified business interests (Group, 2025).</w:t>
      </w:r>
    </w:p>
    <w:p w14:paraId="2C489F24"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consultancy report aims at critically analyzing the international business strategy of Aditya Birla Group, in terms of the advantages and weaknesses of its international business, its internationalization strategies as per the OLI framework, and how cultural differences have influenced its performance in the emerging markets. The firm has been chosen by virtue of its robust international coverage, effective internationalization, and worthiness as an Indian multinational researching in some of the emerging economies. The report will be organized in such a manner as to offer a systematic review of its operations internationally, its strategic decision making, cultural aspect, and suggestions as to how it should conduct its operations to continue to be successful globally.</w:t>
      </w:r>
    </w:p>
    <w:p w14:paraId="790E043D" w14:textId="77777777" w:rsidR="0086281C" w:rsidRDefault="00000000">
      <w:pPr>
        <w:pStyle w:val="Heading1"/>
        <w:keepNext w:val="0"/>
        <w:keepLines w:val="0"/>
        <w:spacing w:after="80"/>
      </w:pPr>
      <w:bookmarkStart w:id="3" w:name="_heading=h.aq4ut0whhbki" w:colFirst="0" w:colLast="0"/>
      <w:bookmarkEnd w:id="3"/>
      <w:r>
        <w:t xml:space="preserve">2. Benefits and Challenges of International Operations </w:t>
      </w:r>
    </w:p>
    <w:p w14:paraId="29C58209" w14:textId="77777777" w:rsidR="0086281C" w:rsidRDefault="00000000">
      <w:pPr>
        <w:pStyle w:val="Heading2"/>
        <w:keepNext w:val="0"/>
        <w:keepLines w:val="0"/>
        <w:spacing w:after="80"/>
      </w:pPr>
      <w:bookmarkStart w:id="4" w:name="_heading=h.a37ka1woydd4" w:colFirst="0" w:colLast="0"/>
      <w:bookmarkEnd w:id="4"/>
      <w:r>
        <w:t>2.1 Aditya Birla Group as an MNC/TNC</w:t>
      </w:r>
    </w:p>
    <w:p w14:paraId="191A6013"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Multinational Corporation (MNC) or Transnational Corporation (TNC) can be defined as a company that owns or manages the production or service facilities in more than a country and organizes its activity on the cross-national basis to attain the global efficiency and strategic advantage (</w:t>
      </w:r>
      <w:proofErr w:type="spellStart"/>
      <w:r>
        <w:rPr>
          <w:rFonts w:ascii="Times New Roman" w:eastAsia="Times New Roman" w:hAnsi="Times New Roman" w:cs="Times New Roman"/>
          <w:sz w:val="24"/>
          <w:szCs w:val="24"/>
        </w:rPr>
        <w:t>Zharikova</w:t>
      </w:r>
      <w:proofErr w:type="spellEnd"/>
      <w:r>
        <w:rPr>
          <w:rFonts w:ascii="Times New Roman" w:eastAsia="Times New Roman" w:hAnsi="Times New Roman" w:cs="Times New Roman"/>
          <w:sz w:val="24"/>
          <w:szCs w:val="24"/>
        </w:rPr>
        <w:t xml:space="preserve"> and Cherkesenko, 2021). These types of companies resort to foreign direct investment (FDI), work under the sub-units or under joint ventures and combine their global value chains, in various regions.</w:t>
      </w:r>
    </w:p>
    <w:p w14:paraId="23E47359"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Aditya Birla Group is a multinational corporation and this is evident in the fact that it has a large international operations, diversified international investments, and openly integrated business structure (Aditya Birla Group, 2025a). The Group has its headquarters in India and operates in over 35 countries and employs over 180000 employees. It has multiple businesses in many industries such as metals, cement, textile, chemicals, carbon black, telecom and financial services. </w:t>
      </w:r>
      <w:r>
        <w:rPr>
          <w:rFonts w:ascii="Times New Roman" w:eastAsia="Times New Roman" w:hAnsi="Times New Roman" w:cs="Times New Roman"/>
          <w:sz w:val="24"/>
          <w:szCs w:val="24"/>
        </w:rPr>
        <w:lastRenderedPageBreak/>
        <w:t>Its good transnational structure is evidenced by its major international subsidiaries including Novelis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Ultratech Cement (global operations), Grasim Industries, and Aditya Birla Fashion and Retail.</w:t>
      </w:r>
    </w:p>
    <w:p w14:paraId="0E29EAE3" w14:textId="4786A18A" w:rsidR="0086281C" w:rsidRPr="00F90DAD" w:rsidRDefault="00000000">
      <w:pPr>
        <w:spacing w:before="240" w:after="240" w:line="360" w:lineRule="auto"/>
        <w:jc w:val="both"/>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color w:val="000000" w:themeColor="text1"/>
          <w:sz w:val="24"/>
          <w:szCs w:val="24"/>
        </w:rPr>
        <w:t xml:space="preserve">The Group operates globally across Asia, Europe, North America, South America, Africa, and Australia, supported by extensive networks of production, research, and marketing facilities. It has established operational units in major economies including the United States, Canada, Brazil, Thailand, Indonesia, and several African countries (Aditya Birla Group, 2015). Evidence of its global footprint is reflected in its operations in over 35 countries and its employment base of more than 180,000 employees worldwide, highlighting the breadth of its international integration (Aditya Birla Group, 2025a). The Group’s sectoral diversification—covering metals, cement, chemicals, textiles, carbon black, telecom, and financial services—further underscores its extensive transnational presence. Its </w:t>
      </w:r>
      <w:proofErr w:type="spellStart"/>
      <w:r w:rsidRPr="00F90DAD">
        <w:rPr>
          <w:rFonts w:ascii="Times New Roman" w:eastAsia="Times New Roman" w:hAnsi="Times New Roman" w:cs="Times New Roman"/>
          <w:color w:val="000000" w:themeColor="text1"/>
          <w:sz w:val="24"/>
          <w:szCs w:val="24"/>
        </w:rPr>
        <w:t>aluminium</w:t>
      </w:r>
      <w:proofErr w:type="spellEnd"/>
      <w:r w:rsidRPr="00F90DAD">
        <w:rPr>
          <w:rFonts w:ascii="Times New Roman" w:eastAsia="Times New Roman" w:hAnsi="Times New Roman" w:cs="Times New Roman"/>
          <w:color w:val="000000" w:themeColor="text1"/>
          <w:sz w:val="24"/>
          <w:szCs w:val="24"/>
        </w:rPr>
        <w:t xml:space="preserve"> subsidiary Novelis alone operates 33 manufacturing facilities across 9 countries, while UltraTech Cement maintains over 100 plants globally, demonstrating deep value-chain </w:t>
      </w:r>
      <w:r w:rsidR="00F90DAD" w:rsidRPr="00F90DAD">
        <w:rPr>
          <w:rFonts w:ascii="Times New Roman" w:eastAsia="Times New Roman" w:hAnsi="Times New Roman" w:cs="Times New Roman"/>
          <w:color w:val="000000" w:themeColor="text1"/>
          <w:sz w:val="24"/>
          <w:szCs w:val="24"/>
        </w:rPr>
        <w:t>internationalization</w:t>
      </w:r>
      <w:r w:rsidRPr="00F90DAD">
        <w:rPr>
          <w:rFonts w:ascii="Times New Roman" w:eastAsia="Times New Roman" w:hAnsi="Times New Roman" w:cs="Times New Roman"/>
          <w:color w:val="000000" w:themeColor="text1"/>
          <w:sz w:val="24"/>
          <w:szCs w:val="24"/>
        </w:rPr>
        <w:t xml:space="preserve">. This combination of multi-regional production, cross-border managerial coordination, and globally dispersed R&amp;D functions firmly positions Aditya Birla Group as a fully integrated multinational enterprise operating under a transnational business model, </w:t>
      </w:r>
      <w:proofErr w:type="spellStart"/>
      <w:r w:rsidRPr="00F90DAD">
        <w:rPr>
          <w:rFonts w:ascii="Times New Roman" w:eastAsia="Times New Roman" w:hAnsi="Times New Roman" w:cs="Times New Roman"/>
          <w:color w:val="000000" w:themeColor="text1"/>
          <w:sz w:val="24"/>
          <w:szCs w:val="24"/>
        </w:rPr>
        <w:t>characterised</w:t>
      </w:r>
      <w:proofErr w:type="spellEnd"/>
      <w:r w:rsidRPr="00F90DAD">
        <w:rPr>
          <w:rFonts w:ascii="Times New Roman" w:eastAsia="Times New Roman" w:hAnsi="Times New Roman" w:cs="Times New Roman"/>
          <w:color w:val="000000" w:themeColor="text1"/>
          <w:sz w:val="24"/>
          <w:szCs w:val="24"/>
        </w:rPr>
        <w:t xml:space="preserve"> by global efficiency, local responsiveness, and worldwide learning.</w:t>
      </w:r>
    </w:p>
    <w:p w14:paraId="7924B9DD" w14:textId="77777777" w:rsidR="0086281C" w:rsidRDefault="00000000">
      <w:pPr>
        <w:pStyle w:val="Heading2"/>
      </w:pPr>
      <w:bookmarkStart w:id="5" w:name="_heading=h.ymhhazd445jm" w:colFirst="0" w:colLast="0"/>
      <w:bookmarkEnd w:id="5"/>
      <w:r>
        <w:t>2.2 Character of Global Operations and Value Chain Analysis.</w:t>
      </w:r>
    </w:p>
    <w:p w14:paraId="10FB445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Efficient management of its global value chain that links its research, sourcing, production, marketing, distribution, and financial activities in different countries make the Aditya Birla Group to be successful in the international market (Acquaye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w:t>
      </w:r>
    </w:p>
    <w:p w14:paraId="127A0E49"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&amp; Development (R&amp;D)</w:t>
      </w:r>
    </w:p>
    <w:p w14:paraId="6F82B4F9"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 has been of utmost importance in ensuring the competitive advantage of Aditya Birla Group. The company has a big investment in metals, chemicals, cement and textile research and development. The product innovation, process optimization, sustainable materials, and energy efficiency are addressed by the R&amp;D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in India, Europe, and North America (</w:t>
      </w:r>
      <w:proofErr w:type="spellStart"/>
      <w:r>
        <w:rPr>
          <w:rFonts w:ascii="Times New Roman" w:eastAsia="Times New Roman" w:hAnsi="Times New Roman" w:cs="Times New Roman"/>
          <w:sz w:val="24"/>
          <w:szCs w:val="24"/>
        </w:rPr>
        <w:t>Ghobakhloo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To illustrate, Novelis is a pioneer in the recycling and lightweighting technologies of </w:t>
      </w:r>
      <w:proofErr w:type="spellStart"/>
      <w:r>
        <w:rPr>
          <w:rFonts w:ascii="Times New Roman" w:eastAsia="Times New Roman" w:hAnsi="Times New Roman" w:cs="Times New Roman"/>
          <w:sz w:val="24"/>
          <w:szCs w:val="24"/>
        </w:rPr>
        <w:lastRenderedPageBreak/>
        <w:t>aluminium</w:t>
      </w:r>
      <w:proofErr w:type="spellEnd"/>
      <w:r>
        <w:rPr>
          <w:rFonts w:ascii="Times New Roman" w:eastAsia="Times New Roman" w:hAnsi="Times New Roman" w:cs="Times New Roman"/>
          <w:sz w:val="24"/>
          <w:szCs w:val="24"/>
        </w:rPr>
        <w:t xml:space="preserve"> used in the packaging and automotive industry worldwide. Such globalization in R&amp;D boosts better product quality, minimizes production expenses, and improves technological dominance in the international markets.</w:t>
      </w:r>
    </w:p>
    <w:p w14:paraId="0465A5FA"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Manufacturing &amp; Production</w:t>
      </w:r>
    </w:p>
    <w:p w14:paraId="4A9D227D" w14:textId="72A7A571"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Aditya Birla Group has large scale manufacturing plants in India, southeast Asia, Europe, North America, and Africa (Sahoo, 2024). Its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xml:space="preserve">, cement, carbon black and chemical plants are benchmarked in the world with regards to efficiency, environmental performance and quality standards. The multinational production structure provides the company with cost competitiveness, regional supply and capacity </w:t>
      </w:r>
      <w:r w:rsidR="00F90DAD">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Kharub</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 international manufacturing plants also help the Group to bypass the tariff barriers, meet the local content requirements and be nearer to the major customer markets.</w:t>
      </w:r>
    </w:p>
    <w:p w14:paraId="0940F7DF"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Marketing &amp; Sales</w:t>
      </w:r>
    </w:p>
    <w:p w14:paraId="1C71CD0D"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Group adheres to both global and local market adaptation. Although such brands as Novelis and Ultratech Cement are based on the global standards of identity, products, pricing policies, and marketing campaigns are </w:t>
      </w:r>
      <w:proofErr w:type="spellStart"/>
      <w:r>
        <w:rPr>
          <w:rFonts w:ascii="Times New Roman" w:eastAsia="Times New Roman" w:hAnsi="Times New Roman" w:cs="Times New Roman"/>
          <w:sz w:val="24"/>
          <w:szCs w:val="24"/>
        </w:rPr>
        <w:t>localised</w:t>
      </w:r>
      <w:proofErr w:type="spellEnd"/>
      <w:r>
        <w:rPr>
          <w:rFonts w:ascii="Times New Roman" w:eastAsia="Times New Roman" w:hAnsi="Times New Roman" w:cs="Times New Roman"/>
          <w:sz w:val="24"/>
          <w:szCs w:val="24"/>
        </w:rPr>
        <w:t xml:space="preserve"> depending on the preferences of consumers, local construction practice, and local needs in the industry (Matey and Narkhede, 2021). The company has strong international sales networks, dealer relationships, and business-to-business relationships which allow the company to retain customer loyalty and increase customer market share in the global market. Brand recognition and competitive positioning are also increased through cross-border marketing activities.</w:t>
      </w:r>
    </w:p>
    <w:p w14:paraId="54D4378D"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Distribution &amp; Logistics</w:t>
      </w:r>
    </w:p>
    <w:p w14:paraId="6C63EF2A" w14:textId="04A57466"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Group has a very complicated international system of logistics with shipping lines, ports, warehouses, inland transportation, and digital tracking systems. Distribution is also important and mostly efficient allocation of bulk products like cement,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chemicals and carbon black (Muñoz-Vélez</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2023). Aditya Birla Group minimizes lead times and transportation expenses by using regional hubs and strategically located manufacturing units. Dependence on global logistics networks, however, subjects the </w:t>
      </w:r>
      <w:r w:rsidR="00F90DA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port congestion, freight cost surges, and geopolitical upheavals.</w:t>
      </w:r>
    </w:p>
    <w:p w14:paraId="50DB2162"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Financial Operations</w:t>
      </w:r>
    </w:p>
    <w:p w14:paraId="019C81A6"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international financial activities of the Group encompass international investment financing, foreign exchange management, treasury activities, capital allocation as well as the cross-border risk management (Wang, 2024). They are raised by domestic and international capital market, syndicated loans and bonds. The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financial system allows optimal capital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and shields the firm against excessive currency risk. However, its exposure to foreign financials makes it vulnerable to the changes in interest rates, exchange rates and international regulatory compliance laws.</w:t>
      </w:r>
    </w:p>
    <w:p w14:paraId="6C2676FF" w14:textId="77777777" w:rsidR="0086281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DA8251B" wp14:editId="66A47F08">
            <wp:extent cx="5943600" cy="3505200"/>
            <wp:effectExtent l="25400" t="25400" r="25400" b="25400"/>
            <wp:docPr id="17406658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505200"/>
                    </a:xfrm>
                    <a:prstGeom prst="rect">
                      <a:avLst/>
                    </a:prstGeom>
                    <a:ln w="25400">
                      <a:solidFill>
                        <a:srgbClr val="000000"/>
                      </a:solidFill>
                      <a:prstDash val="solid"/>
                    </a:ln>
                  </pic:spPr>
                </pic:pic>
              </a:graphicData>
            </a:graphic>
          </wp:inline>
        </w:drawing>
      </w:r>
    </w:p>
    <w:p w14:paraId="1AB00F99"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Global Value Chain Analysis</w:t>
      </w:r>
    </w:p>
    <w:p w14:paraId="6F532271"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(Acquaye </w:t>
      </w:r>
      <w:r>
        <w:rPr>
          <w:rFonts w:ascii="Times New Roman" w:eastAsia="Times New Roman" w:hAnsi="Times New Roman" w:cs="Times New Roman"/>
          <w:b/>
          <w:bCs/>
          <w:i/>
          <w:iCs/>
          <w:sz w:val="24"/>
          <w:szCs w:val="24"/>
        </w:rPr>
        <w:t>et al.,</w:t>
      </w:r>
      <w:r>
        <w:rPr>
          <w:rFonts w:ascii="Times New Roman" w:eastAsia="Times New Roman" w:hAnsi="Times New Roman" w:cs="Times New Roman"/>
          <w:b/>
          <w:bCs/>
          <w:sz w:val="24"/>
          <w:szCs w:val="24"/>
        </w:rPr>
        <w:t xml:space="preserve"> 2023)</w:t>
      </w:r>
    </w:p>
    <w:p w14:paraId="635D3C4A" w14:textId="77777777" w:rsidR="0086281C" w:rsidRDefault="00000000">
      <w:pPr>
        <w:pStyle w:val="Heading2"/>
      </w:pPr>
      <w:bookmarkStart w:id="6" w:name="_heading=h.nuem6qi7bwwt" w:colFirst="0" w:colLast="0"/>
      <w:bookmarkEnd w:id="6"/>
      <w:r>
        <w:t>2.3 International Market Entry Modes.</w:t>
      </w:r>
    </w:p>
    <w:p w14:paraId="0ADECAD0"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Aditya Birla Group employs various modes of international market entry based on sector needs, regulatory regulations, risk of market and investment goal (</w:t>
      </w:r>
      <w:proofErr w:type="spellStart"/>
      <w:r>
        <w:rPr>
          <w:rFonts w:ascii="Times New Roman" w:eastAsia="Times New Roman" w:hAnsi="Times New Roman" w:cs="Times New Roman"/>
          <w:sz w:val="24"/>
          <w:szCs w:val="24"/>
        </w:rPr>
        <w:t>Viswaprasad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w:t>
      </w:r>
    </w:p>
    <w:p w14:paraId="20173E91"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Wholly Owned Subsidiaries</w:t>
      </w:r>
    </w:p>
    <w:p w14:paraId="36C81293" w14:textId="77777777" w:rsidR="0086281C" w:rsidRPr="00F90DAD" w:rsidRDefault="00000000">
      <w:pPr>
        <w:spacing w:before="240" w:after="240" w:line="360" w:lineRule="auto"/>
        <w:jc w:val="both"/>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color w:val="000000" w:themeColor="text1"/>
          <w:sz w:val="24"/>
          <w:szCs w:val="24"/>
        </w:rPr>
        <w:t xml:space="preserve">Aditya Birla Group frequently adopts the wholly owned subsidiary mode to exercise complete control over its foreign operations, technology transfer, and long-term strategic investments (Kuruppu et al., 2024). A key example is Novelis, acquired in 2007 for USD 6 billion, which today operates as a wholly owned subsidiary with 33 manufacturing facilities across 9 countries, making it the world’s largest rolled </w:t>
      </w:r>
      <w:proofErr w:type="spellStart"/>
      <w:r w:rsidRPr="00F90DAD">
        <w:rPr>
          <w:rFonts w:ascii="Times New Roman" w:eastAsia="Times New Roman" w:hAnsi="Times New Roman" w:cs="Times New Roman"/>
          <w:color w:val="000000" w:themeColor="text1"/>
          <w:sz w:val="24"/>
          <w:szCs w:val="24"/>
        </w:rPr>
        <w:t>aluminium</w:t>
      </w:r>
      <w:proofErr w:type="spellEnd"/>
      <w:r w:rsidRPr="00F90DAD">
        <w:rPr>
          <w:rFonts w:ascii="Times New Roman" w:eastAsia="Times New Roman" w:hAnsi="Times New Roman" w:cs="Times New Roman"/>
          <w:color w:val="000000" w:themeColor="text1"/>
          <w:sz w:val="24"/>
          <w:szCs w:val="24"/>
        </w:rPr>
        <w:t xml:space="preserve"> and </w:t>
      </w:r>
      <w:proofErr w:type="spellStart"/>
      <w:r w:rsidRPr="00F90DAD">
        <w:rPr>
          <w:rFonts w:ascii="Times New Roman" w:eastAsia="Times New Roman" w:hAnsi="Times New Roman" w:cs="Times New Roman"/>
          <w:color w:val="000000" w:themeColor="text1"/>
          <w:sz w:val="24"/>
          <w:szCs w:val="24"/>
        </w:rPr>
        <w:t>aluminium</w:t>
      </w:r>
      <w:proofErr w:type="spellEnd"/>
      <w:r w:rsidRPr="00F90DAD">
        <w:rPr>
          <w:rFonts w:ascii="Times New Roman" w:eastAsia="Times New Roman" w:hAnsi="Times New Roman" w:cs="Times New Roman"/>
          <w:color w:val="000000" w:themeColor="text1"/>
          <w:sz w:val="24"/>
          <w:szCs w:val="24"/>
        </w:rPr>
        <w:t xml:space="preserve"> recycling company. This demonstrates the Group’s preference for full ownership when technological capabilities and global integration are strategic priorities. Similarly, UltraTech Cement another core subsidiary operates over 100 manufacturing plants globally, including wholly owned units in the UAE, Bahrain, and Sri Lanka, while Grasim and other chemical and textile businesses maintain fully controlled plants across Asia and Africa (Aditya Birla Group Companies List). This evidence shows that the Group relies on wholly owned subsidiaries when it seeks total authority over technology standards, production quality, management systems, and profit retention. However, such a mode also requires substantial capital investments and exposes the firm to higher market and regulatory risks compared to shared-ownership entry structures (Giles, 2022).</w:t>
      </w:r>
    </w:p>
    <w:p w14:paraId="347D5956" w14:textId="77777777" w:rsidR="0086281C" w:rsidRPr="00F90DAD" w:rsidRDefault="00000000">
      <w:pPr>
        <w:spacing w:before="240" w:after="240" w:line="360" w:lineRule="auto"/>
        <w:jc w:val="both"/>
        <w:rPr>
          <w:rFonts w:ascii="Times New Roman" w:eastAsia="Times New Roman" w:hAnsi="Times New Roman" w:cs="Times New Roman"/>
          <w:b/>
          <w:bCs/>
          <w:color w:val="000000" w:themeColor="text1"/>
          <w:sz w:val="24"/>
          <w:szCs w:val="24"/>
        </w:rPr>
      </w:pPr>
      <w:r w:rsidRPr="00F90DAD">
        <w:rPr>
          <w:rFonts w:ascii="Times New Roman" w:eastAsia="Times New Roman" w:hAnsi="Times New Roman" w:cs="Times New Roman"/>
          <w:b/>
          <w:bCs/>
          <w:color w:val="000000" w:themeColor="text1"/>
          <w:sz w:val="24"/>
          <w:szCs w:val="24"/>
        </w:rPr>
        <w:t>Joint Ventures</w:t>
      </w:r>
    </w:p>
    <w:p w14:paraId="47D8FA1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can utilize joint ventures where the regulatory barriers, political risks, or local market knowledge are involved. By collaborating with local companies, Aditya Birla Group can access established distribution connections, government connections and consumer information and share financial and operational risks.</w:t>
      </w:r>
    </w:p>
    <w:p w14:paraId="69FFAAAF"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Strategic Alliances</w:t>
      </w:r>
    </w:p>
    <w:p w14:paraId="1043E35A"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area where the Group has been involved is the formation of strategic partnership with international companies to share technology, to have sustainability and integrate their supply chain (</w:t>
      </w:r>
      <w:proofErr w:type="spellStart"/>
      <w:r>
        <w:rPr>
          <w:rFonts w:ascii="Times New Roman" w:eastAsia="Times New Roman" w:hAnsi="Times New Roman" w:cs="Times New Roman"/>
          <w:sz w:val="24"/>
          <w:szCs w:val="24"/>
        </w:rPr>
        <w:t>Tarigan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Such non-equity alliances enable flexibility and minimize the entry risks and enhance the innovation abilities and global competitiveness.</w:t>
      </w:r>
    </w:p>
    <w:p w14:paraId="1775BD21" w14:textId="77777777" w:rsidR="0086281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FAA4A6B" wp14:editId="52F5D605">
            <wp:extent cx="5943600" cy="4584700"/>
            <wp:effectExtent l="25400" t="25400" r="25400" b="25400"/>
            <wp:docPr id="17406658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4584700"/>
                    </a:xfrm>
                    <a:prstGeom prst="rect">
                      <a:avLst/>
                    </a:prstGeom>
                    <a:ln w="25400">
                      <a:solidFill>
                        <a:srgbClr val="000000"/>
                      </a:solidFill>
                      <a:prstDash val="solid"/>
                    </a:ln>
                  </pic:spPr>
                </pic:pic>
              </a:graphicData>
            </a:graphic>
          </wp:inline>
        </w:drawing>
      </w:r>
    </w:p>
    <w:p w14:paraId="1AE54EC4"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International Market Entry Modes</w:t>
      </w:r>
    </w:p>
    <w:p w14:paraId="6A0B7C62"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(Giles, 2022)</w:t>
      </w:r>
    </w:p>
    <w:p w14:paraId="55AFAADE" w14:textId="77777777" w:rsidR="0086281C" w:rsidRDefault="00000000">
      <w:pPr>
        <w:pStyle w:val="Heading2"/>
      </w:pPr>
      <w:bookmarkStart w:id="7" w:name="_heading=h.53je5rpf5g9v" w:colFirst="0" w:colLast="0"/>
      <w:bookmarkEnd w:id="7"/>
      <w:r>
        <w:t>2.4 Summative Critical Advantages of International Operations.</w:t>
      </w:r>
    </w:p>
    <w:p w14:paraId="4F3AFCBC"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Expansion</w:t>
      </w:r>
    </w:p>
    <w:p w14:paraId="24FE9C54" w14:textId="59BC38DE" w:rsidR="0086281C" w:rsidRPr="00F90DAD" w:rsidRDefault="00000000">
      <w:pPr>
        <w:spacing w:before="240" w:after="240" w:line="360" w:lineRule="auto"/>
        <w:jc w:val="both"/>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color w:val="000000" w:themeColor="text1"/>
          <w:sz w:val="24"/>
          <w:szCs w:val="24"/>
        </w:rPr>
        <w:t xml:space="preserve">Aditya Birla Group’s </w:t>
      </w:r>
      <w:r w:rsidR="00F90DAD" w:rsidRPr="00F90DAD">
        <w:rPr>
          <w:rFonts w:ascii="Times New Roman" w:eastAsia="Times New Roman" w:hAnsi="Times New Roman" w:cs="Times New Roman"/>
          <w:color w:val="000000" w:themeColor="text1"/>
          <w:sz w:val="24"/>
          <w:szCs w:val="24"/>
        </w:rPr>
        <w:t>internationalization</w:t>
      </w:r>
      <w:r w:rsidRPr="00F90DAD">
        <w:rPr>
          <w:rFonts w:ascii="Times New Roman" w:eastAsia="Times New Roman" w:hAnsi="Times New Roman" w:cs="Times New Roman"/>
          <w:color w:val="000000" w:themeColor="text1"/>
          <w:sz w:val="24"/>
          <w:szCs w:val="24"/>
        </w:rPr>
        <w:t xml:space="preserve">, operating in 35+ countries with 180,000 employees, enables entry into fast-growing markets in Asia, Africa and Latin America while sustaining demand in mature regions such as North America and Europe. This diversified global presence reduces domestic saturation risk and </w:t>
      </w:r>
      <w:r w:rsidR="00F90DAD" w:rsidRPr="00F90DAD">
        <w:rPr>
          <w:rFonts w:ascii="Times New Roman" w:eastAsia="Times New Roman" w:hAnsi="Times New Roman" w:cs="Times New Roman"/>
          <w:color w:val="000000" w:themeColor="text1"/>
          <w:sz w:val="24"/>
          <w:szCs w:val="24"/>
        </w:rPr>
        <w:t>stabilizes</w:t>
      </w:r>
      <w:r w:rsidRPr="00F90DAD">
        <w:rPr>
          <w:rFonts w:ascii="Times New Roman" w:eastAsia="Times New Roman" w:hAnsi="Times New Roman" w:cs="Times New Roman"/>
          <w:color w:val="000000" w:themeColor="text1"/>
          <w:sz w:val="24"/>
          <w:szCs w:val="24"/>
        </w:rPr>
        <w:t xml:space="preserve"> long-term revenue flows (Aditya Birla Group, 2025a).</w:t>
      </w:r>
    </w:p>
    <w:p w14:paraId="49AADEC3" w14:textId="77777777" w:rsidR="00F90DAD" w:rsidRDefault="00F90DAD">
      <w:pPr>
        <w:spacing w:before="240" w:after="240" w:line="360" w:lineRule="auto"/>
        <w:jc w:val="both"/>
        <w:rPr>
          <w:rFonts w:ascii="Times New Roman" w:eastAsia="Times New Roman" w:hAnsi="Times New Roman" w:cs="Times New Roman"/>
          <w:b/>
          <w:bCs/>
          <w:sz w:val="24"/>
          <w:szCs w:val="24"/>
        </w:rPr>
      </w:pPr>
    </w:p>
    <w:p w14:paraId="56C008CC" w14:textId="38EF26A8"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Revenue Diversification</w:t>
      </w:r>
    </w:p>
    <w:p w14:paraId="201E627D" w14:textId="70A82A40"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revenue streams of the Group are considerably </w:t>
      </w:r>
      <w:r w:rsidR="00F90DAD">
        <w:rPr>
          <w:rFonts w:ascii="Times New Roman" w:eastAsia="Times New Roman" w:hAnsi="Times New Roman" w:cs="Times New Roman"/>
          <w:sz w:val="24"/>
          <w:szCs w:val="24"/>
        </w:rPr>
        <w:t>stabilized</w:t>
      </w:r>
      <w:r>
        <w:rPr>
          <w:rFonts w:ascii="Times New Roman" w:eastAsia="Times New Roman" w:hAnsi="Times New Roman" w:cs="Times New Roman"/>
          <w:sz w:val="24"/>
          <w:szCs w:val="24"/>
        </w:rPr>
        <w:t xml:space="preserve"> because of the geographical and sectoral diversification (Xie</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2022). The slowdown in the economies of one region may be compensated by the increase in another region. The presence in more than one market increases financial strength and shareholder value by creating long-term stability of revenues. </w:t>
      </w:r>
    </w:p>
    <w:p w14:paraId="48B509DC" w14:textId="77777777" w:rsidR="0086281C" w:rsidRDefault="00000000">
      <w:pPr>
        <w:pStyle w:val="Heading2"/>
      </w:pPr>
      <w:bookmarkStart w:id="8" w:name="_heading=h.yy7x0aykixhr" w:colFirst="0" w:colLast="0"/>
      <w:bookmarkEnd w:id="8"/>
      <w:r>
        <w:t>2.5 Major Issues of International Operations.</w:t>
      </w:r>
    </w:p>
    <w:p w14:paraId="64481C74" w14:textId="55CDEC88" w:rsidR="0086281C" w:rsidRPr="00F90DAD" w:rsidRDefault="00000000" w:rsidP="00F90DAD">
      <w:pPr>
        <w:spacing w:before="240" w:after="240" w:line="360" w:lineRule="auto"/>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b/>
          <w:bCs/>
          <w:color w:val="000000" w:themeColor="text1"/>
          <w:sz w:val="24"/>
          <w:szCs w:val="24"/>
        </w:rPr>
        <w:t>Political</w:t>
      </w:r>
      <w:r w:rsidR="00F90DAD">
        <w:rPr>
          <w:rFonts w:ascii="Times New Roman" w:eastAsia="Times New Roman" w:hAnsi="Times New Roman" w:cs="Times New Roman"/>
          <w:b/>
          <w:bCs/>
          <w:color w:val="000000" w:themeColor="text1"/>
          <w:sz w:val="24"/>
          <w:szCs w:val="24"/>
        </w:rPr>
        <w:t xml:space="preserve"> </w:t>
      </w:r>
      <w:r w:rsidRPr="00F90DAD">
        <w:rPr>
          <w:rFonts w:ascii="Times New Roman" w:eastAsia="Times New Roman" w:hAnsi="Times New Roman" w:cs="Times New Roman"/>
          <w:b/>
          <w:bCs/>
          <w:color w:val="000000" w:themeColor="text1"/>
          <w:sz w:val="24"/>
          <w:szCs w:val="24"/>
        </w:rPr>
        <w:t>and Regulatory Risks</w:t>
      </w:r>
      <w:r w:rsidRPr="00F90DAD">
        <w:rPr>
          <w:rFonts w:ascii="Times New Roman" w:eastAsia="Times New Roman" w:hAnsi="Times New Roman" w:cs="Times New Roman"/>
          <w:b/>
          <w:bCs/>
          <w:color w:val="000000" w:themeColor="text1"/>
          <w:sz w:val="24"/>
          <w:szCs w:val="24"/>
        </w:rPr>
        <w:br/>
      </w:r>
      <w:r w:rsidRPr="00F90DAD">
        <w:rPr>
          <w:rFonts w:ascii="Times New Roman" w:eastAsia="Times New Roman" w:hAnsi="Times New Roman" w:cs="Times New Roman"/>
          <w:color w:val="000000" w:themeColor="text1"/>
          <w:sz w:val="24"/>
          <w:szCs w:val="24"/>
        </w:rPr>
        <w:t xml:space="preserve"> Aditya Birla Group’s presence in over 35 countries exposes it to regulatory unpredictability, including abrupt tax revisions, FDI restrictions, environmental compliance tightening, and tariff shifts. Such volatility particularly in emerging markets—raises operational costs, delays approvals, and disrupts long-term capital planning, thereby weakening profitability and strategic stability (Bucheli et al., 2023).</w:t>
      </w:r>
    </w:p>
    <w:p w14:paraId="3D787EAF" w14:textId="63AD68A5" w:rsidR="0086281C" w:rsidRPr="00F90DAD" w:rsidRDefault="00000000" w:rsidP="00F90DAD">
      <w:pPr>
        <w:spacing w:before="240" w:after="240" w:line="360" w:lineRule="auto"/>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b/>
          <w:bCs/>
          <w:color w:val="000000" w:themeColor="text1"/>
          <w:sz w:val="24"/>
          <w:szCs w:val="24"/>
        </w:rPr>
        <w:t>Cultural Differences</w:t>
      </w:r>
      <w:r w:rsidRPr="00F90DAD">
        <w:rPr>
          <w:rFonts w:ascii="Times New Roman" w:eastAsia="Times New Roman" w:hAnsi="Times New Roman" w:cs="Times New Roman"/>
          <w:b/>
          <w:bCs/>
          <w:color w:val="000000" w:themeColor="text1"/>
          <w:sz w:val="24"/>
          <w:szCs w:val="24"/>
        </w:rPr>
        <w:br/>
      </w:r>
      <w:r w:rsidRPr="00F90DAD">
        <w:rPr>
          <w:rFonts w:ascii="Times New Roman" w:eastAsia="Times New Roman" w:hAnsi="Times New Roman" w:cs="Times New Roman"/>
          <w:color w:val="000000" w:themeColor="text1"/>
          <w:sz w:val="24"/>
          <w:szCs w:val="24"/>
        </w:rPr>
        <w:t xml:space="preserve"> Cross-border operations face managerial friction due to contrasting views on hierarchy, communication style, and work norms. Misinterpretation of indirect communication, high power-distance expectations, and collectivist </w:t>
      </w:r>
      <w:r w:rsidR="00F90DAD" w:rsidRPr="00F90DAD">
        <w:rPr>
          <w:rFonts w:ascii="Times New Roman" w:eastAsia="Times New Roman" w:hAnsi="Times New Roman" w:cs="Times New Roman"/>
          <w:color w:val="000000" w:themeColor="text1"/>
          <w:sz w:val="24"/>
          <w:szCs w:val="24"/>
        </w:rPr>
        <w:t>behavior</w:t>
      </w:r>
      <w:r w:rsidRPr="00F90DAD">
        <w:rPr>
          <w:rFonts w:ascii="Times New Roman" w:eastAsia="Times New Roman" w:hAnsi="Times New Roman" w:cs="Times New Roman"/>
          <w:color w:val="000000" w:themeColor="text1"/>
          <w:sz w:val="24"/>
          <w:szCs w:val="24"/>
        </w:rPr>
        <w:t xml:space="preserve"> can reduce expatriate effectiveness, weaken team integration, and hinder decision-making efficiency. Without structured cultural adaptation systems, subsidiaries may experience productivity losses and employee disengagement.</w:t>
      </w:r>
    </w:p>
    <w:p w14:paraId="52A0D2AB" w14:textId="77777777" w:rsidR="0086281C" w:rsidRPr="00F90DAD" w:rsidRDefault="00000000" w:rsidP="00F90DAD">
      <w:pPr>
        <w:spacing w:before="240" w:after="240" w:line="360" w:lineRule="auto"/>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b/>
          <w:bCs/>
          <w:color w:val="000000" w:themeColor="text1"/>
          <w:sz w:val="24"/>
          <w:szCs w:val="24"/>
        </w:rPr>
        <w:t>Exchange Rate Fluctuations</w:t>
      </w:r>
      <w:r w:rsidRPr="00F90DAD">
        <w:rPr>
          <w:rFonts w:ascii="Times New Roman" w:eastAsia="Times New Roman" w:hAnsi="Times New Roman" w:cs="Times New Roman"/>
          <w:b/>
          <w:bCs/>
          <w:color w:val="000000" w:themeColor="text1"/>
          <w:sz w:val="24"/>
          <w:szCs w:val="24"/>
        </w:rPr>
        <w:br/>
      </w:r>
      <w:r w:rsidRPr="00F90DAD">
        <w:rPr>
          <w:rFonts w:ascii="Times New Roman" w:eastAsia="Times New Roman" w:hAnsi="Times New Roman" w:cs="Times New Roman"/>
          <w:color w:val="000000" w:themeColor="text1"/>
          <w:sz w:val="24"/>
          <w:szCs w:val="24"/>
        </w:rPr>
        <w:t xml:space="preserve"> Currency volatility remains a critical financial challenge. Depreciating host-country currencies diminish repatriated earnings, while appreciation raises input and </w:t>
      </w:r>
      <w:proofErr w:type="spellStart"/>
      <w:r w:rsidRPr="00F90DAD">
        <w:rPr>
          <w:rFonts w:ascii="Times New Roman" w:eastAsia="Times New Roman" w:hAnsi="Times New Roman" w:cs="Times New Roman"/>
          <w:color w:val="000000" w:themeColor="text1"/>
          <w:sz w:val="24"/>
          <w:szCs w:val="24"/>
        </w:rPr>
        <w:t>labour</w:t>
      </w:r>
      <w:proofErr w:type="spellEnd"/>
      <w:r w:rsidRPr="00F90DAD">
        <w:rPr>
          <w:rFonts w:ascii="Times New Roman" w:eastAsia="Times New Roman" w:hAnsi="Times New Roman" w:cs="Times New Roman"/>
          <w:color w:val="000000" w:themeColor="text1"/>
          <w:sz w:val="24"/>
          <w:szCs w:val="24"/>
        </w:rPr>
        <w:t xml:space="preserve"> costs, undermining competitiveness in globally priced sectors such as </w:t>
      </w:r>
      <w:proofErr w:type="spellStart"/>
      <w:r w:rsidRPr="00F90DAD">
        <w:rPr>
          <w:rFonts w:ascii="Times New Roman" w:eastAsia="Times New Roman" w:hAnsi="Times New Roman" w:cs="Times New Roman"/>
          <w:color w:val="000000" w:themeColor="text1"/>
          <w:sz w:val="24"/>
          <w:szCs w:val="24"/>
        </w:rPr>
        <w:t>aluminium</w:t>
      </w:r>
      <w:proofErr w:type="spellEnd"/>
      <w:r w:rsidRPr="00F90DAD">
        <w:rPr>
          <w:rFonts w:ascii="Times New Roman" w:eastAsia="Times New Roman" w:hAnsi="Times New Roman" w:cs="Times New Roman"/>
          <w:color w:val="000000" w:themeColor="text1"/>
          <w:sz w:val="24"/>
          <w:szCs w:val="24"/>
        </w:rPr>
        <w:t xml:space="preserve"> and cement. Even with hedging, forex instability affects cashflow reliability and complicates capital budgeting (Knight, 2025).</w:t>
      </w:r>
    </w:p>
    <w:p w14:paraId="7EBED4D1" w14:textId="77777777" w:rsidR="0086281C" w:rsidRDefault="0086281C">
      <w:pPr>
        <w:spacing w:before="240" w:after="240" w:line="360" w:lineRule="auto"/>
        <w:jc w:val="both"/>
        <w:rPr>
          <w:rFonts w:ascii="Times New Roman" w:eastAsia="Times New Roman" w:hAnsi="Times New Roman" w:cs="Times New Roman"/>
          <w:sz w:val="24"/>
          <w:szCs w:val="24"/>
        </w:rPr>
      </w:pPr>
    </w:p>
    <w:p w14:paraId="5EC0DE76" w14:textId="77777777" w:rsidR="00F90DAD" w:rsidRDefault="00F90DAD">
      <w:pPr>
        <w:spacing w:before="240" w:after="240" w:line="360" w:lineRule="auto"/>
        <w:jc w:val="both"/>
        <w:rPr>
          <w:rFonts w:ascii="Times New Roman" w:eastAsia="Times New Roman" w:hAnsi="Times New Roman" w:cs="Times New Roman"/>
          <w:sz w:val="24"/>
          <w:szCs w:val="24"/>
        </w:rPr>
      </w:pPr>
    </w:p>
    <w:p w14:paraId="79F748F0" w14:textId="77777777" w:rsidR="0086281C" w:rsidRDefault="00000000">
      <w:pPr>
        <w:pStyle w:val="Heading1"/>
        <w:keepNext w:val="0"/>
        <w:keepLines w:val="0"/>
        <w:spacing w:before="480" w:line="360" w:lineRule="auto"/>
        <w:jc w:val="both"/>
      </w:pPr>
      <w:bookmarkStart w:id="9" w:name="_heading=h.u1r3uveleh8c" w:colFirst="0" w:colLast="0"/>
      <w:bookmarkEnd w:id="9"/>
      <w:r>
        <w:lastRenderedPageBreak/>
        <w:t xml:space="preserve">3. OLI Framework and Market Entry Strategy </w:t>
      </w:r>
    </w:p>
    <w:p w14:paraId="1EB61880" w14:textId="77777777" w:rsidR="0086281C" w:rsidRPr="00F90DAD" w:rsidRDefault="00000000">
      <w:pPr>
        <w:pStyle w:val="Heading2"/>
        <w:rPr>
          <w:color w:val="000000" w:themeColor="text1"/>
        </w:rPr>
      </w:pPr>
      <w:bookmarkStart w:id="10" w:name="_heading=h.4h83jyoemnrb" w:colFirst="0" w:colLast="0"/>
      <w:bookmarkEnd w:id="10"/>
      <w:r w:rsidRPr="00F90DAD">
        <w:rPr>
          <w:color w:val="000000" w:themeColor="text1"/>
        </w:rPr>
        <w:t>3.1 Ownership Advantages</w:t>
      </w:r>
    </w:p>
    <w:p w14:paraId="4AD69CF9" w14:textId="77777777" w:rsidR="0086281C" w:rsidRPr="00F90DAD" w:rsidRDefault="00000000">
      <w:pPr>
        <w:spacing w:before="240" w:after="240" w:line="360" w:lineRule="auto"/>
        <w:jc w:val="both"/>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color w:val="000000" w:themeColor="text1"/>
          <w:sz w:val="24"/>
          <w:szCs w:val="24"/>
        </w:rPr>
        <w:t>Aditya Birla Group’s ownership advantages stem from its strong global brand reputation, substantial financial resources, advanced technological capabilities, and experienced multinational leadership. These firm-specific assets enable efficient transfer of expertise, superior product quality, and economies of scale across international markets, giving the Group a sustained competitive advantage in metals, cement, textiles, chemicals, and related sectors (</w:t>
      </w:r>
      <w:proofErr w:type="spellStart"/>
      <w:r w:rsidRPr="00F90DAD">
        <w:rPr>
          <w:rFonts w:ascii="Times New Roman" w:eastAsia="Times New Roman" w:hAnsi="Times New Roman" w:cs="Times New Roman"/>
          <w:color w:val="000000" w:themeColor="text1"/>
          <w:sz w:val="24"/>
          <w:szCs w:val="24"/>
        </w:rPr>
        <w:t>Collidu</w:t>
      </w:r>
      <w:proofErr w:type="spellEnd"/>
      <w:r w:rsidRPr="00F90DAD">
        <w:rPr>
          <w:rFonts w:ascii="Times New Roman" w:eastAsia="Times New Roman" w:hAnsi="Times New Roman" w:cs="Times New Roman"/>
          <w:color w:val="000000" w:themeColor="text1"/>
          <w:sz w:val="24"/>
          <w:szCs w:val="24"/>
        </w:rPr>
        <w:t>, 2023).</w:t>
      </w:r>
    </w:p>
    <w:p w14:paraId="2650D852"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Brand Reputation</w:t>
      </w:r>
    </w:p>
    <w:p w14:paraId="06878FC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Aditya Birla Group has an established international track record of operational excellence, sustainability leadership and reliability in the various industries and operations it operates within the metals, cement, textile, chemicals and financial services sectors (Aditya Birla Group Story, 2025). The presence of the Group as an international brand, particularly with Novelis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and Ultratech (cement), enables the Group to have an instant credibility in new markets such as Vietnam. High brand equity reduces the barriers to entry, increases the level of stakeholder confidence, and boosts relationship with local distributors, suppliers and government agencies.</w:t>
      </w:r>
    </w:p>
    <w:p w14:paraId="19A41599"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Financial Strength</w:t>
      </w:r>
    </w:p>
    <w:p w14:paraId="46DD408F"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vast financial resources that the Group possesses enable it to invest in large scale greenfield investments, as well as, to acquire domestic companies and to set up sophisticated R&amp;D and manufacturing units abroad. Its diversified income streams in 35+ countries and in various segments minimizes strategic risk and enables it to expand capital intensive in the long term (</w:t>
      </w:r>
      <w:proofErr w:type="spellStart"/>
      <w:r>
        <w:rPr>
          <w:rFonts w:ascii="Times New Roman" w:eastAsia="Times New Roman" w:hAnsi="Times New Roman" w:cs="Times New Roman"/>
          <w:sz w:val="24"/>
          <w:szCs w:val="24"/>
        </w:rPr>
        <w:t>Onabowale</w:t>
      </w:r>
      <w:proofErr w:type="spellEnd"/>
      <w:r>
        <w:rPr>
          <w:rFonts w:ascii="Times New Roman" w:eastAsia="Times New Roman" w:hAnsi="Times New Roman" w:cs="Times New Roman"/>
          <w:sz w:val="24"/>
          <w:szCs w:val="24"/>
        </w:rPr>
        <w:t>, 2024). It also increases its bargaining strength and the ability to survive fluctuation in the economy, so that, the company has a financial depth that helps it to fight in the emerging economies.</w:t>
      </w:r>
    </w:p>
    <w:p w14:paraId="31028DB5"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Technological Capabilities</w:t>
      </w:r>
    </w:p>
    <w:p w14:paraId="4A0337D6"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Process innovation, sustainable materials, digital supply chains, recycling technologies, and advanced manufacturing systems are known in Aditya Birla Group. An example of this is the Novelis, which is a leading company in the world in terms of </w:t>
      </w:r>
      <w:proofErr w:type="spellStart"/>
      <w:r>
        <w:rPr>
          <w:rFonts w:ascii="Times New Roman" w:eastAsia="Times New Roman" w:hAnsi="Times New Roman" w:cs="Times New Roman"/>
          <w:sz w:val="24"/>
          <w:szCs w:val="24"/>
        </w:rPr>
        <w:t>aluminium</w:t>
      </w:r>
      <w:proofErr w:type="spellEnd"/>
      <w:r>
        <w:rPr>
          <w:rFonts w:ascii="Times New Roman" w:eastAsia="Times New Roman" w:hAnsi="Times New Roman" w:cs="Times New Roman"/>
          <w:sz w:val="24"/>
          <w:szCs w:val="24"/>
        </w:rPr>
        <w:t xml:space="preserve"> rolling and recycling </w:t>
      </w:r>
      <w:r>
        <w:rPr>
          <w:rFonts w:ascii="Times New Roman" w:eastAsia="Times New Roman" w:hAnsi="Times New Roman" w:cs="Times New Roman"/>
          <w:sz w:val="24"/>
          <w:szCs w:val="24"/>
        </w:rPr>
        <w:lastRenderedPageBreak/>
        <w:t xml:space="preserve">technology. The technologies present competitive edge in the developing automotive, construction and packaging industries in Vietnam (Van Hoang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Equally, its cement production efficiency innovations and carbon reduction would be in line with the national sustainability objectives of Vietnam.</w:t>
      </w:r>
    </w:p>
    <w:p w14:paraId="7881F9D6"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Managerial Expertise</w:t>
      </w:r>
    </w:p>
    <w:p w14:paraId="2D5A7291" w14:textId="5CEF46D1"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Group has a high quality of experienced global leadership that has experience in managing multicultural workforce and operating complex international value chains. Good governance structures, cross-border project management expertise and global HR systems assist the </w:t>
      </w:r>
      <w:r w:rsidR="00F90DAD">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adjust well to new markets (Wong Villanueva</w:t>
      </w:r>
      <w:r>
        <w:rPr>
          <w:rFonts w:ascii="Times New Roman" w:eastAsia="Times New Roman" w:hAnsi="Times New Roman" w:cs="Times New Roman"/>
          <w:i/>
          <w:iCs/>
          <w:sz w:val="24"/>
          <w:szCs w:val="24"/>
        </w:rPr>
        <w:t xml:space="preserve"> et al., </w:t>
      </w:r>
      <w:r>
        <w:rPr>
          <w:rFonts w:ascii="Times New Roman" w:eastAsia="Times New Roman" w:hAnsi="Times New Roman" w:cs="Times New Roman"/>
          <w:sz w:val="24"/>
          <w:szCs w:val="24"/>
        </w:rPr>
        <w:t xml:space="preserve">2022). The managerial skills will enhance the capacity of the firm to execute the global best practices in the operations, sustainability, and </w:t>
      </w:r>
      <w:r w:rsidR="00F90DAD">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development of Vietnam.</w:t>
      </w:r>
    </w:p>
    <w:p w14:paraId="01E9E6D7" w14:textId="77777777" w:rsidR="0086281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204DEA" wp14:editId="3E59EA84">
            <wp:extent cx="4538663" cy="2552998"/>
            <wp:effectExtent l="25400" t="25400" r="25400" b="25400"/>
            <wp:docPr id="17406658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538663" cy="2552998"/>
                    </a:xfrm>
                    <a:prstGeom prst="rect">
                      <a:avLst/>
                    </a:prstGeom>
                    <a:ln w="25400">
                      <a:solidFill>
                        <a:srgbClr val="000000"/>
                      </a:solidFill>
                      <a:prstDash val="solid"/>
                    </a:ln>
                  </pic:spPr>
                </pic:pic>
              </a:graphicData>
            </a:graphic>
          </wp:inline>
        </w:drawing>
      </w:r>
    </w:p>
    <w:p w14:paraId="0549887F"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OLI Framework</w:t>
      </w:r>
    </w:p>
    <w:p w14:paraId="71062111"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t>
      </w:r>
      <w:proofErr w:type="spellStart"/>
      <w:r>
        <w:rPr>
          <w:rFonts w:ascii="Times New Roman" w:eastAsia="Times New Roman" w:hAnsi="Times New Roman" w:cs="Times New Roman"/>
          <w:b/>
          <w:bCs/>
          <w:sz w:val="24"/>
          <w:szCs w:val="24"/>
        </w:rPr>
        <w:t>Collidu</w:t>
      </w:r>
      <w:proofErr w:type="spellEnd"/>
      <w:r>
        <w:rPr>
          <w:rFonts w:ascii="Times New Roman" w:eastAsia="Times New Roman" w:hAnsi="Times New Roman" w:cs="Times New Roman"/>
          <w:b/>
          <w:bCs/>
          <w:sz w:val="24"/>
          <w:szCs w:val="24"/>
        </w:rPr>
        <w:t>, 2023)</w:t>
      </w:r>
    </w:p>
    <w:p w14:paraId="132F6B1A" w14:textId="77777777" w:rsidR="0086281C" w:rsidRDefault="00000000">
      <w:pPr>
        <w:pStyle w:val="Heading2"/>
      </w:pPr>
      <w:bookmarkStart w:id="11" w:name="_heading=h.k8w0st5otmhh" w:colFirst="0" w:colLast="0"/>
      <w:bookmarkEnd w:id="11"/>
      <w:r>
        <w:t>3.2 Location Strengths- Vietnam.</w:t>
      </w:r>
    </w:p>
    <w:p w14:paraId="1D2C7839" w14:textId="6DE5F5A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Location advantages are those advantages that are country specific and they make Vietnam an attractive country to invest foreign direct investment (FDI). The rapid </w:t>
      </w:r>
      <w:r w:rsidR="00F90DAD">
        <w:rPr>
          <w:rFonts w:ascii="Times New Roman" w:eastAsia="Times New Roman" w:hAnsi="Times New Roman" w:cs="Times New Roman"/>
          <w:sz w:val="24"/>
          <w:szCs w:val="24"/>
        </w:rPr>
        <w:t>industrialization</w:t>
      </w:r>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lastRenderedPageBreak/>
        <w:t xml:space="preserve">geographical location and </w:t>
      </w:r>
      <w:r w:rsidR="00F90DAD">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 xml:space="preserve"> investment climate in Vietnam is in line with the long global strategy of Aditya Birla Group.</w:t>
      </w:r>
    </w:p>
    <w:p w14:paraId="4E0CE9E3"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 Size and Growth</w:t>
      </w:r>
    </w:p>
    <w:p w14:paraId="607598BB" w14:textId="66FD6D82" w:rsidR="0086281C" w:rsidRPr="00F90DAD" w:rsidRDefault="00000000">
      <w:pPr>
        <w:spacing w:before="240" w:after="240" w:line="360" w:lineRule="auto"/>
        <w:jc w:val="both"/>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color w:val="000000" w:themeColor="text1"/>
          <w:sz w:val="24"/>
          <w:szCs w:val="24"/>
        </w:rPr>
        <w:t xml:space="preserve">Vietnam is one of Southeast Asia’s fastest-growing economies, with a population of over 100 million, of which nearly 55 percent are middle-income consumers, creating a substantial demand base for metals, cement, chemicals, textiles and other products aligned with Aditya Birla Group’s portfolio (Vinh et al., 2024). Its GDP growth rate consistently ranges between 6–7 percent, driven by </w:t>
      </w:r>
      <w:r w:rsidR="00F90DAD" w:rsidRPr="00F90DAD">
        <w:rPr>
          <w:rFonts w:ascii="Times New Roman" w:eastAsia="Times New Roman" w:hAnsi="Times New Roman" w:cs="Times New Roman"/>
          <w:color w:val="000000" w:themeColor="text1"/>
          <w:sz w:val="24"/>
          <w:szCs w:val="24"/>
        </w:rPr>
        <w:t>urbanization</w:t>
      </w:r>
      <w:r w:rsidRPr="00F90DAD">
        <w:rPr>
          <w:rFonts w:ascii="Times New Roman" w:eastAsia="Times New Roman" w:hAnsi="Times New Roman" w:cs="Times New Roman"/>
          <w:color w:val="000000" w:themeColor="text1"/>
          <w:sz w:val="24"/>
          <w:szCs w:val="24"/>
        </w:rPr>
        <w:t>, manufacturing expansion, and strong FDI inflows. With a manufacturing sector valued at over USD 100 billion, Vietnam offers significant long-term market potential and strategic alignment with the Group’s expansion plans.</w:t>
      </w:r>
    </w:p>
    <w:p w14:paraId="1A713406" w14:textId="102142D6" w:rsidR="0086281C" w:rsidRPr="00F90DAD" w:rsidRDefault="00000000">
      <w:pPr>
        <w:spacing w:before="240" w:after="240" w:line="360" w:lineRule="auto"/>
        <w:jc w:val="both"/>
        <w:rPr>
          <w:rFonts w:ascii="Times New Roman" w:eastAsia="Times New Roman" w:hAnsi="Times New Roman" w:cs="Times New Roman"/>
          <w:b/>
          <w:bCs/>
          <w:color w:val="000000" w:themeColor="text1"/>
          <w:sz w:val="24"/>
          <w:szCs w:val="24"/>
        </w:rPr>
      </w:pPr>
      <w:r w:rsidRPr="00F90DAD">
        <w:rPr>
          <w:rFonts w:ascii="Times New Roman" w:eastAsia="Times New Roman" w:hAnsi="Times New Roman" w:cs="Times New Roman"/>
          <w:b/>
          <w:bCs/>
          <w:color w:val="000000" w:themeColor="text1"/>
          <w:sz w:val="24"/>
          <w:szCs w:val="24"/>
        </w:rPr>
        <w:t xml:space="preserve">Availability and Cost of </w:t>
      </w:r>
      <w:r w:rsidR="00F90DAD" w:rsidRPr="00F90DAD">
        <w:rPr>
          <w:rFonts w:ascii="Times New Roman" w:eastAsia="Times New Roman" w:hAnsi="Times New Roman" w:cs="Times New Roman"/>
          <w:b/>
          <w:bCs/>
          <w:color w:val="000000" w:themeColor="text1"/>
          <w:sz w:val="24"/>
          <w:szCs w:val="24"/>
        </w:rPr>
        <w:t>labor</w:t>
      </w:r>
      <w:r w:rsidRPr="00F90DAD">
        <w:rPr>
          <w:rFonts w:ascii="Times New Roman" w:eastAsia="Times New Roman" w:hAnsi="Times New Roman" w:cs="Times New Roman"/>
          <w:b/>
          <w:bCs/>
          <w:color w:val="000000" w:themeColor="text1"/>
          <w:sz w:val="24"/>
          <w:szCs w:val="24"/>
        </w:rPr>
        <w:t>.</w:t>
      </w:r>
    </w:p>
    <w:p w14:paraId="03E587DA" w14:textId="1702E6C9" w:rsidR="0086281C" w:rsidRPr="00F90DAD" w:rsidRDefault="00000000">
      <w:pPr>
        <w:spacing w:before="240" w:after="240" w:line="360" w:lineRule="auto"/>
        <w:jc w:val="both"/>
        <w:rPr>
          <w:rFonts w:ascii="Times New Roman" w:eastAsia="Times New Roman" w:hAnsi="Times New Roman" w:cs="Times New Roman"/>
          <w:color w:val="000000" w:themeColor="text1"/>
          <w:sz w:val="24"/>
          <w:szCs w:val="24"/>
        </w:rPr>
      </w:pPr>
      <w:r w:rsidRPr="00F90DAD">
        <w:rPr>
          <w:rFonts w:ascii="Times New Roman" w:eastAsia="Times New Roman" w:hAnsi="Times New Roman" w:cs="Times New Roman"/>
          <w:color w:val="000000" w:themeColor="text1"/>
          <w:sz w:val="24"/>
          <w:szCs w:val="24"/>
        </w:rPr>
        <w:t xml:space="preserve">The country has a young and skilled workforce that is also cost-efficient and this is a major plus to </w:t>
      </w:r>
      <w:r w:rsidR="00F90DAD" w:rsidRPr="00F90DAD">
        <w:rPr>
          <w:rFonts w:ascii="Times New Roman" w:eastAsia="Times New Roman" w:hAnsi="Times New Roman" w:cs="Times New Roman"/>
          <w:color w:val="000000" w:themeColor="text1"/>
          <w:sz w:val="24"/>
          <w:szCs w:val="24"/>
        </w:rPr>
        <w:t>labor</w:t>
      </w:r>
      <w:r w:rsidRPr="00F90DAD">
        <w:rPr>
          <w:rFonts w:ascii="Times New Roman" w:eastAsia="Times New Roman" w:hAnsi="Times New Roman" w:cs="Times New Roman"/>
          <w:color w:val="000000" w:themeColor="text1"/>
          <w:sz w:val="24"/>
          <w:szCs w:val="24"/>
        </w:rPr>
        <w:t xml:space="preserve"> intensive activities like textiles, chemical production, carbon black manufacturing and metal fabrication in Vietnam (Brown, 2024). The cost of </w:t>
      </w:r>
      <w:proofErr w:type="spellStart"/>
      <w:r w:rsidRPr="00F90DAD">
        <w:rPr>
          <w:rFonts w:ascii="Times New Roman" w:eastAsia="Times New Roman" w:hAnsi="Times New Roman" w:cs="Times New Roman"/>
          <w:color w:val="000000" w:themeColor="text1"/>
          <w:sz w:val="24"/>
          <w:szCs w:val="24"/>
        </w:rPr>
        <w:t>labour</w:t>
      </w:r>
      <w:proofErr w:type="spellEnd"/>
      <w:r w:rsidRPr="00F90DAD">
        <w:rPr>
          <w:rFonts w:ascii="Times New Roman" w:eastAsia="Times New Roman" w:hAnsi="Times New Roman" w:cs="Times New Roman"/>
          <w:color w:val="000000" w:themeColor="text1"/>
          <w:sz w:val="24"/>
          <w:szCs w:val="24"/>
        </w:rPr>
        <w:t xml:space="preserve"> is significantly low as compared to India and China, which gives a leverage in the operations of the Group and allows it to increase its cost competitiveness within the global markets (</w:t>
      </w:r>
      <w:proofErr w:type="spellStart"/>
      <w:r w:rsidRPr="00F90DAD">
        <w:rPr>
          <w:rFonts w:ascii="Times New Roman" w:eastAsia="Times New Roman" w:hAnsi="Times New Roman" w:cs="Times New Roman"/>
          <w:color w:val="000000" w:themeColor="text1"/>
          <w:sz w:val="24"/>
          <w:szCs w:val="24"/>
        </w:rPr>
        <w:t>Đỗ</w:t>
      </w:r>
      <w:proofErr w:type="spellEnd"/>
      <w:r w:rsidRPr="00F90DAD">
        <w:rPr>
          <w:rFonts w:ascii="Times New Roman" w:eastAsia="Times New Roman" w:hAnsi="Times New Roman" w:cs="Times New Roman"/>
          <w:color w:val="000000" w:themeColor="text1"/>
          <w:sz w:val="24"/>
          <w:szCs w:val="24"/>
        </w:rPr>
        <w:t>, 2023).</w:t>
      </w:r>
    </w:p>
    <w:p w14:paraId="1799561E"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Infrastructure Development</w:t>
      </w:r>
    </w:p>
    <w:p w14:paraId="70897EE8"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Vietnam has achieved a lot in terms of infrastructure with regards to ports, highways, industrial parks and special economic zones (Tang, 2023). These enhancements facilitate effective supply chain of raw materials, finished goods and exports. In the case of a conglomerate such as the Aditya Birla Group, where the logistics efficiency is the main priority, the infrastructure development of Vietnam will lead to the increase of production reliability and connectivity within the region.</w:t>
      </w:r>
    </w:p>
    <w:p w14:paraId="65D68B75"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Government Policies</w:t>
      </w:r>
    </w:p>
    <w:p w14:paraId="72B0E709" w14:textId="4F8D6FCC"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of Vietnam has been encouraging foreign investment with tax incentives, land-use benefits, investment protection laws, and relaxed regulatory procedures (Vuong, 2025). Major priorities of the Group like metals, cement, chemicals and renewable materials fit perfectly on the industrial portfolio of the Group. Free trade agreements (CPTPP, RCEP, </w:t>
      </w:r>
      <w:r w:rsidR="00F90DAD">
        <w:rPr>
          <w:rFonts w:ascii="Times New Roman" w:eastAsia="Times New Roman" w:hAnsi="Times New Roman" w:cs="Times New Roman"/>
          <w:sz w:val="24"/>
          <w:szCs w:val="24"/>
        </w:rPr>
        <w:t>EU Vietnam</w:t>
      </w:r>
      <w:r>
        <w:rPr>
          <w:rFonts w:ascii="Times New Roman" w:eastAsia="Times New Roman" w:hAnsi="Times New Roman" w:cs="Times New Roman"/>
          <w:sz w:val="24"/>
          <w:szCs w:val="24"/>
        </w:rPr>
        <w:t xml:space="preserve"> FTA) also </w:t>
      </w:r>
      <w:r>
        <w:rPr>
          <w:rFonts w:ascii="Times New Roman" w:eastAsia="Times New Roman" w:hAnsi="Times New Roman" w:cs="Times New Roman"/>
          <w:sz w:val="24"/>
          <w:szCs w:val="24"/>
        </w:rPr>
        <w:lastRenderedPageBreak/>
        <w:t>make it easier to enter markets, decrease tariffs and make Vietnam a strategic manufacturing location in Asia-Pacific and in the global markets.</w:t>
      </w:r>
    </w:p>
    <w:p w14:paraId="079C34D1" w14:textId="69849933" w:rsidR="0086281C" w:rsidRDefault="00000000">
      <w:pPr>
        <w:pStyle w:val="Heading2"/>
      </w:pPr>
      <w:bookmarkStart w:id="12" w:name="_heading=h.u9wqdqgftzy0" w:colFirst="0" w:colLast="0"/>
      <w:bookmarkEnd w:id="12"/>
      <w:r>
        <w:t xml:space="preserve">3.3 </w:t>
      </w:r>
      <w:r w:rsidR="00F90DAD">
        <w:t>Internalization</w:t>
      </w:r>
      <w:r>
        <w:t xml:space="preserve"> Benefits.</w:t>
      </w:r>
    </w:p>
    <w:p w14:paraId="0EA2E2D0" w14:textId="3FA90C0F" w:rsidR="0086281C" w:rsidRDefault="00F90DA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Internalization</w:t>
      </w:r>
      <w:r w:rsidR="00000000">
        <w:rPr>
          <w:rFonts w:ascii="Times New Roman" w:eastAsia="Times New Roman" w:hAnsi="Times New Roman" w:cs="Times New Roman"/>
          <w:sz w:val="24"/>
          <w:szCs w:val="24"/>
        </w:rPr>
        <w:t xml:space="preserve"> benefits are associated with the fact that the firm prefers to manage its operations in foreign countries internally as opposed to outsourcing, licensing, or partnering (</w:t>
      </w:r>
      <w:proofErr w:type="spellStart"/>
      <w:r w:rsidR="00000000">
        <w:rPr>
          <w:rFonts w:ascii="Times New Roman" w:eastAsia="Times New Roman" w:hAnsi="Times New Roman" w:cs="Times New Roman"/>
          <w:sz w:val="24"/>
          <w:szCs w:val="24"/>
        </w:rPr>
        <w:t>Banalieva</w:t>
      </w:r>
      <w:proofErr w:type="spellEnd"/>
      <w:r w:rsidR="00000000">
        <w:rPr>
          <w:rFonts w:ascii="Times New Roman" w:eastAsia="Times New Roman" w:hAnsi="Times New Roman" w:cs="Times New Roman"/>
          <w:sz w:val="24"/>
          <w:szCs w:val="24"/>
        </w:rPr>
        <w:t xml:space="preserve"> and Dhanaraj, 2019).</w:t>
      </w:r>
    </w:p>
    <w:p w14:paraId="19E3F179"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Intellectual Property protection.</w:t>
      </w:r>
    </w:p>
    <w:p w14:paraId="58B3735E"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central to the competitive advantage of the Group are technological assets, including metal recycling systems, carbon black formulations, specialty chemicals, and technologies of producing cement (Keskin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roofErr w:type="spellStart"/>
      <w:r>
        <w:rPr>
          <w:rFonts w:ascii="Times New Roman" w:eastAsia="Times New Roman" w:hAnsi="Times New Roman" w:cs="Times New Roman"/>
          <w:sz w:val="24"/>
          <w:szCs w:val="24"/>
        </w:rPr>
        <w:t>Internalisation</w:t>
      </w:r>
      <w:proofErr w:type="spellEnd"/>
      <w:r>
        <w:rPr>
          <w:rFonts w:ascii="Times New Roman" w:eastAsia="Times New Roman" w:hAnsi="Times New Roman" w:cs="Times New Roman"/>
          <w:sz w:val="24"/>
          <w:szCs w:val="24"/>
        </w:rPr>
        <w:t xml:space="preserve"> protects these assets against imitation or abuse especially in markets where enforcement of intellectual property may be less enforced.</w:t>
      </w:r>
    </w:p>
    <w:p w14:paraId="775DB0C4"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Quality and Cost Efficiency</w:t>
      </w:r>
    </w:p>
    <w:p w14:paraId="60534450" w14:textId="1D87C593"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internalisation</w:t>
      </w:r>
      <w:proofErr w:type="spellEnd"/>
      <w:r>
        <w:rPr>
          <w:rFonts w:ascii="Times New Roman" w:eastAsia="Times New Roman" w:hAnsi="Times New Roman" w:cs="Times New Roman"/>
          <w:sz w:val="24"/>
          <w:szCs w:val="24"/>
        </w:rPr>
        <w:t xml:space="preserve"> of key processes like manufacturing, research and development, and logistics enhances the quality control and the tight control of cost by the company (Shanmugamani and Mohamad, 2023). The internal oversight is beneficial in reducing the inefficiencies and also the international operations are subject to the international standards in terms of sustainability, safety, and governance. </w:t>
      </w:r>
      <w:r w:rsidR="00F90DAD">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helps to develop quality based supply chain and effective manufacturing networks in Vietnam.</w:t>
      </w:r>
    </w:p>
    <w:p w14:paraId="7570ADAA" w14:textId="77777777" w:rsidR="0086281C"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A86A1FF" wp14:editId="3A017786">
            <wp:extent cx="5943600" cy="3073400"/>
            <wp:effectExtent l="25400" t="25400" r="25400" b="25400"/>
            <wp:docPr id="17406658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073400"/>
                    </a:xfrm>
                    <a:prstGeom prst="rect">
                      <a:avLst/>
                    </a:prstGeom>
                    <a:ln w="25400">
                      <a:solidFill>
                        <a:srgbClr val="000000"/>
                      </a:solidFill>
                      <a:prstDash val="solid"/>
                    </a:ln>
                  </pic:spPr>
                </pic:pic>
              </a:graphicData>
            </a:graphic>
          </wp:inline>
        </w:drawing>
      </w:r>
    </w:p>
    <w:p w14:paraId="7EC35594"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4: </w:t>
      </w:r>
      <w:proofErr w:type="spellStart"/>
      <w:r>
        <w:rPr>
          <w:rFonts w:ascii="Times New Roman" w:eastAsia="Times New Roman" w:hAnsi="Times New Roman" w:cs="Times New Roman"/>
          <w:b/>
          <w:bCs/>
          <w:sz w:val="24"/>
          <w:szCs w:val="24"/>
        </w:rPr>
        <w:t>Internalisation</w:t>
      </w:r>
      <w:proofErr w:type="spellEnd"/>
      <w:r>
        <w:rPr>
          <w:rFonts w:ascii="Times New Roman" w:eastAsia="Times New Roman" w:hAnsi="Times New Roman" w:cs="Times New Roman"/>
          <w:b/>
          <w:bCs/>
          <w:sz w:val="24"/>
          <w:szCs w:val="24"/>
        </w:rPr>
        <w:t xml:space="preserve"> Benefits</w:t>
      </w:r>
    </w:p>
    <w:p w14:paraId="26B714AA"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t>
      </w:r>
      <w:proofErr w:type="spellStart"/>
      <w:r>
        <w:rPr>
          <w:rFonts w:ascii="Times New Roman" w:eastAsia="Times New Roman" w:hAnsi="Times New Roman" w:cs="Times New Roman"/>
          <w:b/>
          <w:bCs/>
          <w:sz w:val="24"/>
          <w:szCs w:val="24"/>
        </w:rPr>
        <w:t>Banalieva</w:t>
      </w:r>
      <w:proofErr w:type="spellEnd"/>
      <w:r>
        <w:rPr>
          <w:rFonts w:ascii="Times New Roman" w:eastAsia="Times New Roman" w:hAnsi="Times New Roman" w:cs="Times New Roman"/>
          <w:b/>
          <w:bCs/>
          <w:sz w:val="24"/>
          <w:szCs w:val="24"/>
        </w:rPr>
        <w:t xml:space="preserve"> and Dhanaraj, 2019)</w:t>
      </w:r>
    </w:p>
    <w:p w14:paraId="58A08803" w14:textId="77777777" w:rsidR="0086281C" w:rsidRDefault="00000000">
      <w:pPr>
        <w:pStyle w:val="Heading2"/>
      </w:pPr>
      <w:bookmarkStart w:id="13" w:name="_heading=h.1b07gt8xxysw" w:colFirst="0" w:colLast="0"/>
      <w:bookmarkEnd w:id="13"/>
      <w:r>
        <w:t>3.4 OLI Effect on the Entry Mode Selection.</w:t>
      </w:r>
    </w:p>
    <w:p w14:paraId="218EB528"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Fit Strategy between Ownership and Entry Mode.</w:t>
      </w:r>
    </w:p>
    <w:p w14:paraId="7AC87FBE"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ownership advantages of Aditya Birla Group are strong and decisive in the determination of its preferred international entry strategy to Vietnam. The strong brand name, strong financial base, high technological competence and global management experience have given the Group the confidence and capability to venture into the foreign markets using high control mode (Szczepańska-</w:t>
      </w:r>
      <w:proofErr w:type="spellStart"/>
      <w:r>
        <w:rPr>
          <w:rFonts w:ascii="Times New Roman" w:eastAsia="Times New Roman" w:hAnsi="Times New Roman" w:cs="Times New Roman"/>
          <w:sz w:val="24"/>
          <w:szCs w:val="24"/>
        </w:rPr>
        <w:t>Woszczyna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Gatnar</w:t>
      </w:r>
      <w:proofErr w:type="spellEnd"/>
      <w:r>
        <w:rPr>
          <w:rFonts w:ascii="Times New Roman" w:eastAsia="Times New Roman" w:hAnsi="Times New Roman" w:cs="Times New Roman"/>
          <w:sz w:val="24"/>
          <w:szCs w:val="24"/>
        </w:rPr>
        <w:t>, 2022). These merits ensure that a firm is not as reliant on the partners in the region and it can transfer its operational norms, quality frameworks and corporate principles to the host country itself. Consequently, Aditya Birla Group is structurally in the best position to pursue entry mode of complete ownership and strategic autonomy as opposed to shared ownerships like joint ventures.</w:t>
      </w:r>
    </w:p>
    <w:p w14:paraId="78D98F69"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Vietnam Conditions of Location and Structure of Investment.</w:t>
      </w:r>
    </w:p>
    <w:p w14:paraId="4D5FA4D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location benefits of Vietnam are very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which </w:t>
      </w:r>
      <w:proofErr w:type="spellStart"/>
      <w:r>
        <w:rPr>
          <w:rFonts w:ascii="Times New Roman" w:eastAsia="Times New Roman" w:hAnsi="Times New Roman" w:cs="Times New Roman"/>
          <w:sz w:val="24"/>
          <w:szCs w:val="24"/>
        </w:rPr>
        <w:t>favours</w:t>
      </w:r>
      <w:proofErr w:type="spellEnd"/>
      <w:r>
        <w:rPr>
          <w:rFonts w:ascii="Times New Roman" w:eastAsia="Times New Roman" w:hAnsi="Times New Roman" w:cs="Times New Roman"/>
          <w:sz w:val="24"/>
          <w:szCs w:val="24"/>
        </w:rPr>
        <w:t xml:space="preserve"> entry mode that is based on direct investment. The fast economic growth, growing industrial base, improved infrastructure and proactive foreign investment policies (policies) provide the country with a favorable environment that is very conducive to capital intensive projects that require a long term (</w:t>
      </w:r>
      <w:proofErr w:type="spellStart"/>
      <w:r>
        <w:rPr>
          <w:rFonts w:ascii="Times New Roman" w:eastAsia="Times New Roman" w:hAnsi="Times New Roman" w:cs="Times New Roman"/>
          <w:sz w:val="24"/>
          <w:szCs w:val="24"/>
        </w:rPr>
        <w:t>Sitepu</w:t>
      </w:r>
      <w:proofErr w:type="spellEnd"/>
      <w:r>
        <w:rPr>
          <w:rFonts w:ascii="Times New Roman" w:eastAsia="Times New Roman" w:hAnsi="Times New Roman" w:cs="Times New Roman"/>
          <w:sz w:val="24"/>
          <w:szCs w:val="24"/>
        </w:rPr>
        <w:t xml:space="preserve"> and Tampubolon, 2024). Also, low-cost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entry to regional trade agreements is another enhancement that makes Vietnam more competitive as a manufacturing and exporting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These are the conditions that prompt Aditya Birla Group to invest heavily in greenfield investments or acquisitions as opposed to low risk, low reward entry modes. The predictability of the regulatory environment in Vietnam and the ease with which it is opened to foreign ownership also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institutional risks of full ownership strategies (Dat and Nguyen, 2023).</w:t>
      </w:r>
    </w:p>
    <w:p w14:paraId="69444D2F" w14:textId="74382B60"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Final Entry Mode Justification </w:t>
      </w:r>
      <w:r w:rsidR="00A06B95">
        <w:rPr>
          <w:rFonts w:ascii="Times New Roman" w:eastAsia="Times New Roman" w:hAnsi="Times New Roman" w:cs="Times New Roman"/>
          <w:b/>
          <w:bCs/>
          <w:sz w:val="24"/>
          <w:szCs w:val="24"/>
        </w:rPr>
        <w:t>Internalization</w:t>
      </w:r>
      <w:r>
        <w:rPr>
          <w:rFonts w:ascii="Times New Roman" w:eastAsia="Times New Roman" w:hAnsi="Times New Roman" w:cs="Times New Roman"/>
          <w:b/>
          <w:bCs/>
          <w:sz w:val="24"/>
          <w:szCs w:val="24"/>
        </w:rPr>
        <w:t xml:space="preserve"> Logic.</w:t>
      </w:r>
    </w:p>
    <w:p w14:paraId="7C51E5ED" w14:textId="29F4D7FE"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rationale in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of wholly owned subsidiaries or acquisitions as the two entry modes preferred by Aditya Birla Group when entering Vietnam is </w:t>
      </w:r>
      <w:r w:rsidR="00A06B95">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benefits. Through </w:t>
      </w:r>
      <w:r w:rsidR="00A06B95">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the company is able to secure the proprietary technologies, preserve high level of quality, and secure its intellectual property as well as ensuring complete adherence to the global sustainability and governance standards (Yan</w:t>
      </w:r>
      <w:r>
        <w:rPr>
          <w:rFonts w:ascii="Times New Roman" w:eastAsia="Times New Roman" w:hAnsi="Times New Roman" w:cs="Times New Roman"/>
          <w:i/>
          <w:iCs/>
          <w:sz w:val="24"/>
          <w:szCs w:val="24"/>
        </w:rPr>
        <w:t xml:space="preserve"> et al., </w:t>
      </w:r>
      <w:r>
        <w:rPr>
          <w:rFonts w:ascii="Times New Roman" w:eastAsia="Times New Roman" w:hAnsi="Times New Roman" w:cs="Times New Roman"/>
          <w:sz w:val="24"/>
          <w:szCs w:val="24"/>
        </w:rPr>
        <w:t>2022). Tighter integration with the global supply chains and financial systems of the Group is also achieved through internal control, which increases its operation efficiency and cost effectiveness. The acquisitions have the advantage of quick entrance into the market and direct integration with the local market, whereas the greenfield investment is a long-term strategic control and tailored operational design (Shapiro, 2025). Thus, considering the OLI lens, a hybrid entry mode, which involves both acquiring and expanding wholly, is the most strategically appropriate mode of entry of Aditya Birla Group in Vietnam.</w:t>
      </w:r>
    </w:p>
    <w:p w14:paraId="6CEEBDD7" w14:textId="77777777" w:rsidR="0086281C" w:rsidRDefault="00000000">
      <w:pPr>
        <w:pStyle w:val="Heading1"/>
        <w:keepNext w:val="0"/>
        <w:keepLines w:val="0"/>
        <w:spacing w:after="80"/>
      </w:pPr>
      <w:bookmarkStart w:id="14" w:name="_heading=h.f2xetzenms0p" w:colFirst="0" w:colLast="0"/>
      <w:bookmarkEnd w:id="14"/>
      <w:r>
        <w:t>4. Cultural Differences and Market Entry Impact</w:t>
      </w:r>
    </w:p>
    <w:p w14:paraId="1DF5CDFB" w14:textId="77777777" w:rsidR="0086281C" w:rsidRDefault="00000000">
      <w:pPr>
        <w:pStyle w:val="Heading2"/>
      </w:pPr>
      <w:bookmarkStart w:id="15" w:name="_heading=h.690kax9ygfyw" w:colFirst="0" w:colLast="0"/>
      <w:bookmarkEnd w:id="15"/>
      <w:r>
        <w:t>4.1 Home Country vs Emerging Economy Cultural Comparison.</w:t>
      </w:r>
    </w:p>
    <w:p w14:paraId="79EBC6CF" w14:textId="281BBD05"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cultural framework created by Hofstede gives us good understanding of the basic cultural differences between India and Vietnam. Power distance is considered to be one of the most important dimensions, as it implies how much weaker members of the society tolerate unequal distribution of power (Sedita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India and Vietnam both contain rather high power </w:t>
      </w:r>
      <w:r>
        <w:rPr>
          <w:rFonts w:ascii="Times New Roman" w:eastAsia="Times New Roman" w:hAnsi="Times New Roman" w:cs="Times New Roman"/>
          <w:sz w:val="24"/>
          <w:szCs w:val="24"/>
        </w:rPr>
        <w:lastRenderedPageBreak/>
        <w:t xml:space="preserve">distance cultures, as the hierarchical structures, decision-making relying on authority, and respect to older leadership are highly accepted in both countries. But Vietnam exhibits even more </w:t>
      </w:r>
      <w:r w:rsidR="00A06B95">
        <w:rPr>
          <w:rFonts w:ascii="Times New Roman" w:eastAsia="Times New Roman" w:hAnsi="Times New Roman" w:cs="Times New Roman"/>
          <w:sz w:val="24"/>
          <w:szCs w:val="24"/>
        </w:rPr>
        <w:t>centralized</w:t>
      </w:r>
      <w:r>
        <w:rPr>
          <w:rFonts w:ascii="Times New Roman" w:eastAsia="Times New Roman" w:hAnsi="Times New Roman" w:cs="Times New Roman"/>
          <w:sz w:val="24"/>
          <w:szCs w:val="24"/>
        </w:rPr>
        <w:t xml:space="preserve"> control based on its socialist system of governance where India though a hierarchical country permits more discretion in managing and participatory leadership in contemporary corporate setups (Gulati, 2024).</w:t>
      </w:r>
    </w:p>
    <w:p w14:paraId="6536EEFB"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55318E2" wp14:editId="3FEE81B3">
            <wp:extent cx="5943600" cy="1714500"/>
            <wp:effectExtent l="0" t="0" r="0" b="0"/>
            <wp:docPr id="17406658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1714500"/>
                    </a:xfrm>
                    <a:prstGeom prst="rect">
                      <a:avLst/>
                    </a:prstGeom>
                    <a:ln/>
                  </pic:spPr>
                </pic:pic>
              </a:graphicData>
            </a:graphic>
          </wp:inline>
        </w:drawing>
      </w:r>
    </w:p>
    <w:p w14:paraId="077AEFB9"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India and Vietnam Cultural Comparison </w:t>
      </w:r>
    </w:p>
    <w:p w14:paraId="124B4C33" w14:textId="77777777" w:rsidR="0086281C"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w:t>
      </w:r>
      <w:hyperlink r:id="rId13">
        <w:r>
          <w:rPr>
            <w:rFonts w:ascii="Times New Roman" w:eastAsia="Times New Roman" w:hAnsi="Times New Roman" w:cs="Times New Roman"/>
            <w:b/>
            <w:bCs/>
            <w:color w:val="1155CC"/>
            <w:sz w:val="24"/>
            <w:szCs w:val="24"/>
            <w:u w:val="single"/>
          </w:rPr>
          <w:t>www.theculturefactor.com</w:t>
        </w:r>
      </w:hyperlink>
      <w:r>
        <w:rPr>
          <w:rFonts w:ascii="Times New Roman" w:eastAsia="Times New Roman" w:hAnsi="Times New Roman" w:cs="Times New Roman"/>
          <w:b/>
          <w:bCs/>
          <w:sz w:val="24"/>
          <w:szCs w:val="24"/>
        </w:rPr>
        <w:t>, 2025</w:t>
      </w:r>
    </w:p>
    <w:p w14:paraId="6DB6F8A5"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individualism verses collectivism dimension shows that the two countries are highly collectivist. The social relationships, family ties and group loyalty are significant in the business relationships in India. On the same note, the Vietnamese culture highly emphasizes on community, harmony, and collective responsibility (Trang and Hung, 2025). Nevertheless, Vietnamese collectivism has got its earliest roots in Confucianism where conformity, social harmony, and group welfare remain in high regard even higher as compared to India. It means that the relationships and the network of trust are even more significant in Vietnam to do business successfully.</w:t>
      </w:r>
    </w:p>
    <w:p w14:paraId="1F6DD405"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in terms of uncertainty avoidance is moderate in its tolerance of unpredictability and risk thus providing more flexibility in making decisions and engaging in entrepreneurial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(Bate, 2022). Vietnam on the other hand is more of uncertainty avoidance whereby people are more inclined to have rules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procedures and consistency. This disparity implies that Vietnamese employees and business partners tend to desire well-structured operational systems, official policies and foreseeable workflow.</w:t>
      </w:r>
    </w:p>
    <w:p w14:paraId="536B83E1"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Traditionally, Indian managerial culture is a combination of hierarchy with the growing degree of participative management and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 xml:space="preserve"> decision-making within the multinational companies, in terms of the leadership style (</w:t>
      </w:r>
      <w:proofErr w:type="spellStart"/>
      <w:r>
        <w:rPr>
          <w:rFonts w:ascii="Times New Roman" w:eastAsia="Times New Roman" w:hAnsi="Times New Roman" w:cs="Times New Roman"/>
          <w:sz w:val="24"/>
          <w:szCs w:val="24"/>
        </w:rPr>
        <w:t>Matyakubovna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Ozodbek</w:t>
      </w:r>
      <w:proofErr w:type="spellEnd"/>
      <w:r>
        <w:rPr>
          <w:rFonts w:ascii="Times New Roman" w:eastAsia="Times New Roman" w:hAnsi="Times New Roman" w:cs="Times New Roman"/>
          <w:sz w:val="24"/>
          <w:szCs w:val="24"/>
        </w:rPr>
        <w:t>, 2025). By comparison, the Vietnamese leadership expectations are more strictly hierarchical and the employees are highly obedient to the authority and the top management. Consequently, Aditya Birla Group should become more directive in its leadership style in Vietnam, at least at the initial phase of market penetration, and then gradually facilitate empowerment through training and cultural assimilation.</w:t>
      </w:r>
    </w:p>
    <w:p w14:paraId="5EAF3431"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culture of collectivism and high-context also affects negotiation practices in Vietnam. Vietnam has a relationship-based, indirect and patient business bargaining process (</w:t>
      </w:r>
      <w:proofErr w:type="spellStart"/>
      <w:r>
        <w:rPr>
          <w:rFonts w:ascii="Times New Roman" w:eastAsia="Times New Roman" w:hAnsi="Times New Roman" w:cs="Times New Roman"/>
          <w:sz w:val="24"/>
          <w:szCs w:val="24"/>
        </w:rPr>
        <w:t>Madisa</w:t>
      </w:r>
      <w:proofErr w:type="spellEnd"/>
      <w:r>
        <w:rPr>
          <w:rFonts w:ascii="Times New Roman" w:eastAsia="Times New Roman" w:hAnsi="Times New Roman" w:cs="Times New Roman"/>
          <w:sz w:val="24"/>
          <w:szCs w:val="24"/>
        </w:rPr>
        <w:t>, 2025). Trust, reputation and long term commitment can be important factors than short term financial terms. Indian companies, though being also relationship based, are more adaptable and fast in their negotiations. Aditya Birla Group should therefore take a lot of time to earn the confidence of the Vietnamese stakeholders, governmental bodies and suppliers before anticipating commercial deals.</w:t>
      </w:r>
    </w:p>
    <w:p w14:paraId="02721365" w14:textId="3123543D"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matters in human resource management entail meticulous </w:t>
      </w:r>
      <w:r w:rsidR="00A06B95">
        <w:rPr>
          <w:rFonts w:ascii="Times New Roman" w:eastAsia="Times New Roman" w:hAnsi="Times New Roman" w:cs="Times New Roman"/>
          <w:sz w:val="24"/>
          <w:szCs w:val="24"/>
        </w:rPr>
        <w:t>localization</w:t>
      </w:r>
      <w:r>
        <w:rPr>
          <w:rFonts w:ascii="Times New Roman" w:eastAsia="Times New Roman" w:hAnsi="Times New Roman" w:cs="Times New Roman"/>
          <w:sz w:val="24"/>
          <w:szCs w:val="24"/>
        </w:rPr>
        <w:t xml:space="preserve"> of HR policies in the region. Performance based incentives, open communication and empowerment of employees are increasingly encouraged by Indian firms (</w:t>
      </w:r>
      <w:proofErr w:type="spellStart"/>
      <w:r>
        <w:rPr>
          <w:rFonts w:ascii="Times New Roman" w:eastAsia="Times New Roman" w:hAnsi="Times New Roman" w:cs="Times New Roman"/>
          <w:sz w:val="24"/>
          <w:szCs w:val="24"/>
        </w:rPr>
        <w:t>Rizqulloh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But, Vietnamese employees are more concerned with job security, </w:t>
      </w:r>
      <w:r w:rsidR="00A06B95">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stability, respect towards hierarchy and group success. Cultural sensitivity must thus be considered in performance evaluation systems, leadership development strategies and employee engagement strategies to prevent the resistance and disengagement.</w:t>
      </w:r>
    </w:p>
    <w:p w14:paraId="6D5ECA21" w14:textId="09AA80C1" w:rsidR="0086281C" w:rsidRPr="00A06B95" w:rsidRDefault="00000000">
      <w:pPr>
        <w:spacing w:before="240" w:after="240" w:line="360" w:lineRule="auto"/>
        <w:jc w:val="both"/>
        <w:rPr>
          <w:rFonts w:ascii="Times New Roman" w:eastAsia="Times New Roman" w:hAnsi="Times New Roman" w:cs="Times New Roman"/>
          <w:color w:val="000000" w:themeColor="text1"/>
          <w:sz w:val="24"/>
          <w:szCs w:val="24"/>
        </w:rPr>
      </w:pPr>
      <w:r w:rsidRPr="00A06B95">
        <w:rPr>
          <w:rFonts w:ascii="Times New Roman" w:eastAsia="Times New Roman" w:hAnsi="Times New Roman" w:cs="Times New Roman"/>
          <w:color w:val="000000" w:themeColor="text1"/>
          <w:sz w:val="24"/>
          <w:szCs w:val="24"/>
        </w:rPr>
        <w:t xml:space="preserve">Another aspect influenced by cultural differences is marketing communication. Indian marketing increasingly relies on emotional appeal, innovation and aspirational imagery, whereas Vietnamese consumers </w:t>
      </w:r>
      <w:proofErr w:type="spellStart"/>
      <w:r w:rsidRPr="00A06B95">
        <w:rPr>
          <w:rFonts w:ascii="Times New Roman" w:eastAsia="Times New Roman" w:hAnsi="Times New Roman" w:cs="Times New Roman"/>
          <w:color w:val="000000" w:themeColor="text1"/>
          <w:sz w:val="24"/>
          <w:szCs w:val="24"/>
        </w:rPr>
        <w:t>prioritise</w:t>
      </w:r>
      <w:proofErr w:type="spellEnd"/>
      <w:r w:rsidRPr="00A06B95">
        <w:rPr>
          <w:rFonts w:ascii="Times New Roman" w:eastAsia="Times New Roman" w:hAnsi="Times New Roman" w:cs="Times New Roman"/>
          <w:color w:val="000000" w:themeColor="text1"/>
          <w:sz w:val="24"/>
          <w:szCs w:val="24"/>
        </w:rPr>
        <w:t xml:space="preserve"> family values, trust, product quality and social harmony (De </w:t>
      </w:r>
      <w:proofErr w:type="spellStart"/>
      <w:r w:rsidRPr="00A06B95">
        <w:rPr>
          <w:rFonts w:ascii="Times New Roman" w:eastAsia="Times New Roman" w:hAnsi="Times New Roman" w:cs="Times New Roman"/>
          <w:color w:val="000000" w:themeColor="text1"/>
          <w:sz w:val="24"/>
          <w:szCs w:val="24"/>
        </w:rPr>
        <w:t>Mooij</w:t>
      </w:r>
      <w:proofErr w:type="spellEnd"/>
      <w:r w:rsidRPr="00A06B95">
        <w:rPr>
          <w:rFonts w:ascii="Times New Roman" w:eastAsia="Times New Roman" w:hAnsi="Times New Roman" w:cs="Times New Roman"/>
          <w:color w:val="000000" w:themeColor="text1"/>
          <w:sz w:val="24"/>
          <w:szCs w:val="24"/>
        </w:rPr>
        <w:t xml:space="preserve">, 2021). Additionally, Vietnam’s linguistic landscape where Vietnamese is the primary language and English proficiency varies regionally requires </w:t>
      </w:r>
      <w:r w:rsidR="00A06B95" w:rsidRPr="00A06B95">
        <w:rPr>
          <w:rFonts w:ascii="Times New Roman" w:eastAsia="Times New Roman" w:hAnsi="Times New Roman" w:cs="Times New Roman"/>
          <w:color w:val="000000" w:themeColor="text1"/>
          <w:sz w:val="24"/>
          <w:szCs w:val="24"/>
        </w:rPr>
        <w:t>localization</w:t>
      </w:r>
      <w:r w:rsidRPr="00A06B95">
        <w:rPr>
          <w:rFonts w:ascii="Times New Roman" w:eastAsia="Times New Roman" w:hAnsi="Times New Roman" w:cs="Times New Roman"/>
          <w:color w:val="000000" w:themeColor="text1"/>
          <w:sz w:val="24"/>
          <w:szCs w:val="24"/>
        </w:rPr>
        <w:t xml:space="preserve"> of messaging, tone and customer-facing materials to ensure clarity and cultural resonance. Religion also shapes consumer expectations; Buddhism and Confucian values strongly influence attitudes toward modesty, respect, community orientation and ethical business </w:t>
      </w:r>
      <w:proofErr w:type="spellStart"/>
      <w:r w:rsidRPr="00A06B95">
        <w:rPr>
          <w:rFonts w:ascii="Times New Roman" w:eastAsia="Times New Roman" w:hAnsi="Times New Roman" w:cs="Times New Roman"/>
          <w:color w:val="000000" w:themeColor="text1"/>
          <w:sz w:val="24"/>
          <w:szCs w:val="24"/>
        </w:rPr>
        <w:t>behaviour</w:t>
      </w:r>
      <w:proofErr w:type="spellEnd"/>
      <w:r w:rsidRPr="00A06B95">
        <w:rPr>
          <w:rFonts w:ascii="Times New Roman" w:eastAsia="Times New Roman" w:hAnsi="Times New Roman" w:cs="Times New Roman"/>
          <w:color w:val="000000" w:themeColor="text1"/>
          <w:sz w:val="24"/>
          <w:szCs w:val="24"/>
        </w:rPr>
        <w:t xml:space="preserve">. Consequently, promotional styles that are direct or </w:t>
      </w:r>
      <w:r w:rsidRPr="00A06B95">
        <w:rPr>
          <w:rFonts w:ascii="Times New Roman" w:eastAsia="Times New Roman" w:hAnsi="Times New Roman" w:cs="Times New Roman"/>
          <w:color w:val="000000" w:themeColor="text1"/>
          <w:sz w:val="24"/>
          <w:szCs w:val="24"/>
        </w:rPr>
        <w:lastRenderedPageBreak/>
        <w:t>aggressive may be ineffective. Aditya Birla Group must therefore tailor its branding, advertising content and communication channels to align with Vietnamese linguistic norms, cultural symbolism and religious sensitivities to strengthen acceptance and consumer connection in the market.</w:t>
      </w:r>
    </w:p>
    <w:p w14:paraId="687D35EB" w14:textId="77777777" w:rsidR="0086281C" w:rsidRDefault="00000000">
      <w:pPr>
        <w:pStyle w:val="Heading2"/>
      </w:pPr>
      <w:bookmarkStart w:id="16" w:name="_heading=h.3meipw520kjv" w:colFirst="0" w:colLast="0"/>
      <w:bookmarkEnd w:id="16"/>
      <w:r>
        <w:t>4.2 Effect of Culture on Business Performance and Success.</w:t>
      </w:r>
    </w:p>
    <w:p w14:paraId="268A78BA"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cultural variations also have a long term effect on the work force integration, effectiveness of managers, and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which directly affect the business performance in Vietnam (Hoang and Bui, 2025).</w:t>
      </w:r>
    </w:p>
    <w:p w14:paraId="294630D1"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important challenge to multinational firms is workforce integration. The variations in communication styles, perception of authority, teamwork and conflict resolution can be the first cause of misunderstanding between the employees of the Vietnamese and the Indian expatriate managers. Vietnamese workers are not fond of face-to-face communication, as they use indirect forms of communication and avoid losing face. Otherwise, it may lead to the inhibited workplace conflicts, less flow of feedback, and slower solutions of problems. Effective workforce integration therefore entails cross cultural training, inclusive leadership practices and development of local talent.</w:t>
      </w:r>
    </w:p>
    <w:p w14:paraId="04CB9314"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intelligence is also associated with managerial effectiveness. The Indian managers within Vietnam have to change their leadership styles to be compatible with the expectation of the people in terms of respect, communication and social hierarchy (Anh Vu</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2025). Inability to comprehend these cultural norms can decrease trust among the employees, power, and influence on decision implementation. Nevertheless, once the alignment between culture is reached, managerial effectiveness is heightened, as the employees are more loyal, less likely to leave the company, and more committed to it.</w:t>
      </w:r>
    </w:p>
    <w:p w14:paraId="10D60EE1" w14:textId="2117B48D"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collectivism, tradition, social influence are the major factors influencing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preferences in Vietnam. Price and functionality are not the only factors that determine the purchasing decisions because social approval, family preferences, and brand trust are also considered factors. This market will force Indian firms entering this market to focus on customer education, brand reputability and long term relationship building as opposed to short </w:t>
      </w:r>
      <w:r>
        <w:rPr>
          <w:rFonts w:ascii="Times New Roman" w:eastAsia="Times New Roman" w:hAnsi="Times New Roman" w:cs="Times New Roman"/>
          <w:sz w:val="24"/>
          <w:szCs w:val="24"/>
        </w:rPr>
        <w:lastRenderedPageBreak/>
        <w:t xml:space="preserve">term </w:t>
      </w:r>
      <w:r w:rsidR="00A06B95">
        <w:rPr>
          <w:rFonts w:ascii="Times New Roman" w:eastAsia="Times New Roman" w:hAnsi="Times New Roman" w:cs="Times New Roman"/>
          <w:sz w:val="24"/>
          <w:szCs w:val="24"/>
        </w:rPr>
        <w:t>maximization</w:t>
      </w:r>
      <w:r>
        <w:rPr>
          <w:rFonts w:ascii="Times New Roman" w:eastAsia="Times New Roman" w:hAnsi="Times New Roman" w:cs="Times New Roman"/>
          <w:sz w:val="24"/>
          <w:szCs w:val="24"/>
        </w:rPr>
        <w:t xml:space="preserve"> of sales. It is critical to change the product design, packaging, pricing and promotional messages to align with the expectations of Vietnamese consumers in order to achieve success in the market over the long term.</w:t>
      </w:r>
    </w:p>
    <w:p w14:paraId="7F059272" w14:textId="77777777" w:rsidR="0086281C" w:rsidRDefault="00000000">
      <w:pPr>
        <w:pStyle w:val="Heading1"/>
        <w:spacing w:before="240" w:after="240" w:line="360" w:lineRule="auto"/>
        <w:jc w:val="both"/>
      </w:pPr>
      <w:bookmarkStart w:id="17" w:name="_heading=h.mjk8f2m40ryb" w:colFirst="0" w:colLast="0"/>
      <w:bookmarkEnd w:id="17"/>
      <w:r>
        <w:t xml:space="preserve">5. SOP Adjustment to be successful in the emerging economy </w:t>
      </w:r>
    </w:p>
    <w:p w14:paraId="13D00EE9"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Adjustment 1: Human Resource/ Leadership Practices.</w:t>
      </w:r>
    </w:p>
    <w:p w14:paraId="2FD8BEE9"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culturally sensitive international operation areas is the human resource management. Success in the expansion of Aditya Birla Group in Vietnam will be largely determined by the level at which the innovations of the company align its recruitment, training and leadership systems with the local cultural and institutional setting.</w:t>
      </w:r>
    </w:p>
    <w:p w14:paraId="2920C850"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Recruitment Practices</w:t>
      </w:r>
    </w:p>
    <w:p w14:paraId="69B16C78" w14:textId="7E890D24"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market in Vietnam is typified by a young, disciplined and well skilled work force that is on the rise. Nevertheless, there are high expectations of employees based on strong desire to work in stable, hierarchical and long-term </w:t>
      </w:r>
      <w:r w:rsidR="00A06B95">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commitment. Aditya Birla Group will need to change its recruitment SOPs to focus on local hiring, especially of technical, supervisory, and middle managers (Dash, 2021). Over dependence on expatriates in India can cause the cultural gap and restrict the domestic uptake. The process of recruitment must be able to include some tests on cultural compatibility, teamwork orientation, and adaptability instead of just concentrating on the technical competence. The collaboration with Vietnamese universities, vocational education and training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with industries would also enhance the workforce </w:t>
      </w:r>
      <w:r w:rsidR="00A06B95">
        <w:rPr>
          <w:rFonts w:ascii="Times New Roman" w:eastAsia="Times New Roman" w:hAnsi="Times New Roman" w:cs="Times New Roman"/>
          <w:sz w:val="24"/>
          <w:szCs w:val="24"/>
        </w:rPr>
        <w:t>localization</w:t>
      </w:r>
      <w:r>
        <w:rPr>
          <w:rFonts w:ascii="Times New Roman" w:eastAsia="Times New Roman" w:hAnsi="Times New Roman" w:cs="Times New Roman"/>
          <w:sz w:val="24"/>
          <w:szCs w:val="24"/>
        </w:rPr>
        <w:t xml:space="preserve"> and the long-term talent development.</w:t>
      </w:r>
    </w:p>
    <w:p w14:paraId="569B1567"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Training and Development</w:t>
      </w:r>
    </w:p>
    <w:p w14:paraId="1690FA25" w14:textId="34A5C87F"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training of SOPs should be restructured to deal with the building of technical capabilities as well as the cross-cultural integration. Relatively high uncertainty avoidance causes the Vietnamese employees to prefer the structured learning environment and the easily identified performance benchmarks (Cao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w:t>
      </w:r>
      <w:r w:rsidR="00A06B95">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training </w:t>
      </w:r>
      <w:r w:rsidR="00A06B95">
        <w:rPr>
          <w:rFonts w:ascii="Times New Roman" w:eastAsia="Times New Roman" w:hAnsi="Times New Roman" w:cs="Times New Roman"/>
          <w:sz w:val="24"/>
          <w:szCs w:val="24"/>
        </w:rPr>
        <w:t>programs</w:t>
      </w:r>
      <w:r>
        <w:rPr>
          <w:rFonts w:ascii="Times New Roman" w:eastAsia="Times New Roman" w:hAnsi="Times New Roman" w:cs="Times New Roman"/>
          <w:sz w:val="24"/>
          <w:szCs w:val="24"/>
        </w:rPr>
        <w:t xml:space="preserve"> are supposed to be formalized, routine based and have specific manuals on how to do them. Meanwhile, Indian expatriate managers ought to be given an intense cross-cultural training based on the Vietnamese social norms, power distance </w:t>
      </w:r>
      <w:r>
        <w:rPr>
          <w:rFonts w:ascii="Times New Roman" w:eastAsia="Times New Roman" w:hAnsi="Times New Roman" w:cs="Times New Roman"/>
          <w:sz w:val="24"/>
          <w:szCs w:val="24"/>
        </w:rPr>
        <w:lastRenderedPageBreak/>
        <w:t xml:space="preserve">sensibilities, indirect communication, and conflict-avoidance attitudes. The leadership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must also aim at instilling participative management over a period because a radical change in leadership structure to </w:t>
      </w:r>
      <w:r w:rsidR="00A06B95">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leadership might cause confusion and rejection.</w:t>
      </w:r>
    </w:p>
    <w:p w14:paraId="52D91C3B"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Leadership Adaptation</w:t>
      </w:r>
    </w:p>
    <w:p w14:paraId="6E1CE583" w14:textId="60F6F01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Vietnamese traditional </w:t>
      </w:r>
      <w:r w:rsidR="00A06B95">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are strongly hierarchical based leadership with authority highly respected and hardly contested. The leadership SOPs in Aditya Birla Group whereby empowerment and performance-based autonomy are ever more endorsed need to be adapted with care and not transferred. To start with, managers in Vietnam ought to become more directive in their leadership style, which is clear, stable, and formulated supervision style. With time, the scheme of controlled empowerment can be implemented with the help of team-based decision-making and constant improvements programs. Such a culturally aware leadership development will increase trust, motivation of the employees and long term commitment to the </w:t>
      </w:r>
      <w:r w:rsidR="00A06B95">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w:t>
      </w:r>
    </w:p>
    <w:p w14:paraId="659DC9E0"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Adjustment 2: Operational and Supply Chain Procedures.</w:t>
      </w:r>
    </w:p>
    <w:p w14:paraId="715676CE"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international competitiveness of Aditya Birla Group is dominated by operational efficiency and supply chain resilience. Nevertheless, the immature infrastructure, regulations, and supplier networks in Vietnam require country-level procedural fit.</w:t>
      </w:r>
    </w:p>
    <w:p w14:paraId="1D18B446"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Local Sourcing</w:t>
      </w:r>
    </w:p>
    <w:p w14:paraId="57C8A996"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Vietnam has affordable access to raw materials, semi- processed inputs, and industrial components. Aditya Birla Group ought to modify its sourcing SOPs to focus more on the development of local suppliers instead of depending more on imported materials. This change saves logistics costs, exposure to the risks of shipping disruption globally, and host-country legitimacy. Nevertheless, the potential in the local suppliers might not be up to the international quality standards. Hence, the Group must launch supplier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in areas of quality certification, environmental compliance and digital integration.</w:t>
      </w:r>
    </w:p>
    <w:p w14:paraId="5E516534" w14:textId="77777777" w:rsidR="00A06B95" w:rsidRDefault="00A06B95">
      <w:pPr>
        <w:spacing w:before="240" w:after="240" w:line="360" w:lineRule="auto"/>
        <w:jc w:val="both"/>
        <w:rPr>
          <w:rFonts w:ascii="Times New Roman" w:eastAsia="Times New Roman" w:hAnsi="Times New Roman" w:cs="Times New Roman"/>
          <w:b/>
          <w:bCs/>
          <w:sz w:val="24"/>
          <w:szCs w:val="24"/>
        </w:rPr>
      </w:pPr>
    </w:p>
    <w:p w14:paraId="03936BEF" w14:textId="77777777" w:rsidR="00A06B95" w:rsidRDefault="00A06B95">
      <w:pPr>
        <w:spacing w:before="240" w:after="240" w:line="360" w:lineRule="auto"/>
        <w:jc w:val="both"/>
        <w:rPr>
          <w:rFonts w:ascii="Times New Roman" w:eastAsia="Times New Roman" w:hAnsi="Times New Roman" w:cs="Times New Roman"/>
          <w:b/>
          <w:bCs/>
          <w:sz w:val="24"/>
          <w:szCs w:val="24"/>
        </w:rPr>
      </w:pPr>
    </w:p>
    <w:p w14:paraId="481EB642" w14:textId="73A45D12"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Quality Control</w:t>
      </w:r>
    </w:p>
    <w:p w14:paraId="5D42E8DA"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Quality management is also one of the fundamental ownership strengths of Aditya Birla Group and should be safeguarded by having strict SOP implementation. The manufacturing ecosystem in Vietnam presupposes different levels of quality maturity, which requires the strict internal quality assurance system. The Group must adopt uniform international quality standards throughout the Vietnamese operations with the aid of on-going inspection, Six-Sigma techniques, and digital live monitoring. To prevent production defects, reputational risks, and regulatory non-compliance, it is important to train the local employees according to the global safety, sustainability and operational excellence standards (Basiru</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2023). The SOPs associated with quality have to be aligned to the Vietnamese industrial laws and international certification requirements as well.</w:t>
      </w:r>
    </w:p>
    <w:p w14:paraId="6AEBDC18" w14:textId="2BB4B420"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Logistics </w:t>
      </w:r>
      <w:r w:rsidR="00A06B95">
        <w:rPr>
          <w:rFonts w:ascii="Times New Roman" w:eastAsia="Times New Roman" w:hAnsi="Times New Roman" w:cs="Times New Roman"/>
          <w:b/>
          <w:bCs/>
          <w:sz w:val="24"/>
          <w:szCs w:val="24"/>
        </w:rPr>
        <w:t>Optimization</w:t>
      </w:r>
    </w:p>
    <w:p w14:paraId="756769F2"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Vietnam logistics infrastructure has grown very fast although it is still unevenly distributed. The SOPs of logistics of Aditya Birla Group should hence concentrate on developing regional hubs, integrating multimodal transport, and tracking digital supply chain. The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of manufacturing facilities around ports, industrial areas and export belts will reduce delays in transport and costs of holding inventory (Cecil, 2024). Moreover, there has to be the introduction of contingency logistics planning that will deal with risks associated with port congestion, regulatory delays and also the changing freight costs. Such upgrades in procedures will enhance the reliability of the supply chain in the local and foreign markets.</w:t>
      </w:r>
    </w:p>
    <w:p w14:paraId="1B58520B"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Adjustment 3: Ethics, Adjustment, Marketing, and Governance Procedures.</w:t>
      </w:r>
    </w:p>
    <w:p w14:paraId="26501D7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trust, social acceptance, and regulatory stability in the overseas markets are directly affected by marketing communication, ethical behaviors, and governance frameworks. These SOP areas are especially to be realigned in Vietnam.</w:t>
      </w:r>
    </w:p>
    <w:p w14:paraId="6A87B4F9"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Branding Adaptation</w:t>
      </w:r>
    </w:p>
    <w:p w14:paraId="7336A49F" w14:textId="12B443F6"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consumer psychology of Vietnamese is highly collectivists, family-oriented, and has a long-term brand loyalty. Aditya Birla Group will therefore need to change their marketing SOPs to focus more on relationship-based branding as opposed to intensive promotion. Advertised </w:t>
      </w:r>
      <w:r>
        <w:rPr>
          <w:rFonts w:ascii="Times New Roman" w:eastAsia="Times New Roman" w:hAnsi="Times New Roman" w:cs="Times New Roman"/>
          <w:sz w:val="24"/>
          <w:szCs w:val="24"/>
        </w:rPr>
        <w:lastRenderedPageBreak/>
        <w:t>messages ought to touch on reliability of the product, safety, social worth, and the contribution to the society (</w:t>
      </w:r>
      <w:proofErr w:type="spellStart"/>
      <w:r>
        <w:rPr>
          <w:rFonts w:ascii="Times New Roman" w:eastAsia="Times New Roman" w:hAnsi="Times New Roman" w:cs="Times New Roman"/>
          <w:sz w:val="24"/>
          <w:szCs w:val="24"/>
        </w:rPr>
        <w:t>Rachmad</w:t>
      </w:r>
      <w:proofErr w:type="spellEnd"/>
      <w:r>
        <w:rPr>
          <w:rFonts w:ascii="Times New Roman" w:eastAsia="Times New Roman" w:hAnsi="Times New Roman" w:cs="Times New Roman"/>
          <w:sz w:val="24"/>
          <w:szCs w:val="24"/>
        </w:rPr>
        <w:t xml:space="preserve">, 2023). Brand acceptance will improve when corporate storytelling is used to emphasize job creation, sustainability efforts, and economic growth at the local level. Also, </w:t>
      </w:r>
      <w:r w:rsidR="00A06B95">
        <w:rPr>
          <w:rFonts w:ascii="Times New Roman" w:eastAsia="Times New Roman" w:hAnsi="Times New Roman" w:cs="Times New Roman"/>
          <w:sz w:val="24"/>
          <w:szCs w:val="24"/>
        </w:rPr>
        <w:t>localization</w:t>
      </w:r>
      <w:r>
        <w:rPr>
          <w:rFonts w:ascii="Times New Roman" w:eastAsia="Times New Roman" w:hAnsi="Times New Roman" w:cs="Times New Roman"/>
          <w:sz w:val="24"/>
          <w:szCs w:val="24"/>
        </w:rPr>
        <w:t xml:space="preserve"> of language, symbols that are culturally sensitive, and conventional promotional strategies based on festivals should be incorporated into the communication plans.</w:t>
      </w:r>
    </w:p>
    <w:p w14:paraId="125664BF"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Ethical Compliance</w:t>
      </w:r>
    </w:p>
    <w:p w14:paraId="1763A5F7" w14:textId="19601D36"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fundamental </w:t>
      </w:r>
      <w:r w:rsidR="00A06B95">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strengths of Aditya Birla Group is ethical standards which should not be compromised when it comes to expanding internationally. The regulatory enforcement environment in Vietnam is also still developing, which requires strong internal ethical SOPs. The Group needs to have stringent measures against corruption, open procurement procedures, environmental adherence measures and workplace safety enforcement systems. Training on employee ethics and whistleblower protection systems should be </w:t>
      </w:r>
      <w:proofErr w:type="spellStart"/>
      <w:r>
        <w:rPr>
          <w:rFonts w:ascii="Times New Roman" w:eastAsia="Times New Roman" w:hAnsi="Times New Roman" w:cs="Times New Roman"/>
          <w:sz w:val="24"/>
          <w:szCs w:val="24"/>
        </w:rPr>
        <w:t>institutionalised</w:t>
      </w:r>
      <w:proofErr w:type="spellEnd"/>
      <w:r>
        <w:rPr>
          <w:rFonts w:ascii="Times New Roman" w:eastAsia="Times New Roman" w:hAnsi="Times New Roman" w:cs="Times New Roman"/>
          <w:sz w:val="24"/>
          <w:szCs w:val="24"/>
        </w:rPr>
        <w:t xml:space="preserve"> to eliminate informal practices that might contravene the global values of the company (Lee and Liu, 2025). The global ethical consistency will save the Group the trouble of legal fines, negative publicity, and governance breakdowns.</w:t>
      </w:r>
    </w:p>
    <w:p w14:paraId="64E2BF82" w14:textId="77777777" w:rsidR="0086281C"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Corporate Governance Alignment</w:t>
      </w:r>
    </w:p>
    <w:p w14:paraId="69D9C2B4" w14:textId="10B07F94"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corporate governance SOPs should be such that they are in line with the global system of governance in Aditya Birla Group, and the local regulatory requirements in Vietnam. This will incorporate adherence to foreign investment laws,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laws, shareholder protection policies and environmental reporting standards. At the board level, there should be put in place overseeing mechanisms to guarantee that Vietnamese operations adhere to global reporting, audit and risk management procedures. Simultaneously, the flexibility of </w:t>
      </w:r>
      <w:r w:rsidR="00A06B95">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governance is needed in order to enable local managers to adapt to the dynamism in the Vietnamese regulatory setting. An equitable system of governance that is operationally transparent, combining world control and local sensitivity will enhance strategic stability and transparency.</w:t>
      </w:r>
    </w:p>
    <w:p w14:paraId="620F637B" w14:textId="77777777" w:rsidR="0086281C" w:rsidRDefault="00000000">
      <w:pPr>
        <w:pStyle w:val="Heading1"/>
        <w:spacing w:before="240" w:after="240" w:line="360" w:lineRule="auto"/>
        <w:jc w:val="both"/>
      </w:pPr>
      <w:bookmarkStart w:id="18" w:name="_heading=h.fg3df4h5my7r" w:colFirst="0" w:colLast="0"/>
      <w:bookmarkEnd w:id="18"/>
      <w:r>
        <w:t xml:space="preserve">6. Conclusion </w:t>
      </w:r>
    </w:p>
    <w:p w14:paraId="03685BB3" w14:textId="5A9F0B5B"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consultancy report has presented an extensive appraisal of the international business strategy of Aditya Birla Group as well as a detailed observation of its activities as a multinational company </w:t>
      </w:r>
      <w:r>
        <w:rPr>
          <w:rFonts w:ascii="Times New Roman" w:eastAsia="Times New Roman" w:hAnsi="Times New Roman" w:cs="Times New Roman"/>
          <w:sz w:val="24"/>
          <w:szCs w:val="24"/>
        </w:rPr>
        <w:lastRenderedPageBreak/>
        <w:t xml:space="preserve">and its possible expansion into Vietnam as an emerging market. The outcomes emphasize that the high level of </w:t>
      </w:r>
      <w:r w:rsidR="00A06B95">
        <w:rPr>
          <w:rFonts w:ascii="Times New Roman" w:eastAsia="Times New Roman" w:hAnsi="Times New Roman" w:cs="Times New Roman"/>
          <w:sz w:val="24"/>
          <w:szCs w:val="24"/>
        </w:rPr>
        <w:t>internationalization</w:t>
      </w:r>
      <w:r>
        <w:rPr>
          <w:rFonts w:ascii="Times New Roman" w:eastAsia="Times New Roman" w:hAnsi="Times New Roman" w:cs="Times New Roman"/>
          <w:sz w:val="24"/>
          <w:szCs w:val="24"/>
        </w:rPr>
        <w:t xml:space="preserve"> through the strong presence of the Group, diversified portfolio, and integrated value chain has allowed it to realize the high level of </w:t>
      </w:r>
      <w:r w:rsidR="00A06B95">
        <w:rPr>
          <w:rFonts w:ascii="Times New Roman" w:eastAsia="Times New Roman" w:hAnsi="Times New Roman" w:cs="Times New Roman"/>
          <w:sz w:val="24"/>
          <w:szCs w:val="24"/>
        </w:rPr>
        <w:t>internationalization</w:t>
      </w:r>
      <w:r>
        <w:rPr>
          <w:rFonts w:ascii="Times New Roman" w:eastAsia="Times New Roman" w:hAnsi="Times New Roman" w:cs="Times New Roman"/>
          <w:sz w:val="24"/>
          <w:szCs w:val="24"/>
        </w:rPr>
        <w:t xml:space="preserve"> advantages such as market expansion, diversification of revenue, economy of scale, and global brand awareness. Simultaneously, the report identifies such international risks as political and regulatory uncertainty, cultural issues, exchange rate volatility, operational complexity, and the disruption of the global supply chain.</w:t>
      </w:r>
    </w:p>
    <w:p w14:paraId="559298B9" w14:textId="2866018A"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OLI framework analysis has shown that Aditya Birla Group has powerful ownership benefits of brand strength, financial resources, technology and global management skills. The high-growth rate of the economy, low-cost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better infrastructure coupled with the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policies on FDIs is a positive location factor to Vietnam, whereas </w:t>
      </w:r>
      <w:r w:rsidR="00A06B95">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benefits is a reason to adopt high-control entry mode which includes acquisitions and wholly owned subsidiaries.</w:t>
      </w:r>
    </w:p>
    <w:p w14:paraId="73F9E1F9" w14:textId="77777777" w:rsidR="0086281C" w:rsidRDefault="00000000">
      <w:pPr>
        <w:spacing w:before="240" w:after="240" w:line="360" w:lineRule="auto"/>
        <w:jc w:val="both"/>
        <w:rPr>
          <w:rFonts w:ascii="Times New Roman" w:eastAsia="Times New Roman" w:hAnsi="Times New Roman" w:cs="Times New Roman"/>
          <w:sz w:val="24"/>
          <w:szCs w:val="24"/>
        </w:rPr>
      </w:pPr>
      <w:r>
        <w:br w:type="page"/>
      </w:r>
    </w:p>
    <w:p w14:paraId="545EF575" w14:textId="77777777" w:rsidR="0086281C" w:rsidRDefault="00000000">
      <w:pPr>
        <w:pStyle w:val="Heading1"/>
        <w:spacing w:before="240" w:after="240" w:line="360" w:lineRule="auto"/>
        <w:jc w:val="both"/>
      </w:pPr>
      <w:bookmarkStart w:id="19" w:name="_heading=h.qz3m83b9jl9f" w:colFirst="0" w:colLast="0"/>
      <w:bookmarkEnd w:id="19"/>
      <w:r>
        <w:lastRenderedPageBreak/>
        <w:t xml:space="preserve">References </w:t>
      </w:r>
    </w:p>
    <w:p w14:paraId="59FB67D6"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Aditya Birla Group (2015). </w:t>
      </w:r>
      <w:r>
        <w:rPr>
          <w:rFonts w:ascii="Times New Roman" w:eastAsia="Times New Roman" w:hAnsi="Times New Roman" w:cs="Times New Roman"/>
          <w:i/>
          <w:iCs/>
          <w:sz w:val="24"/>
          <w:szCs w:val="24"/>
        </w:rPr>
        <w:t>Aditya Birla Group | US</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adityabirla</w:t>
      </w:r>
      <w:proofErr w:type="spellEnd"/>
      <w:r>
        <w:rPr>
          <w:rFonts w:ascii="Times New Roman" w:eastAsia="Times New Roman" w:hAnsi="Times New Roman" w:cs="Times New Roman"/>
          <w:sz w:val="24"/>
          <w:szCs w:val="24"/>
        </w:rPr>
        <w:t>. Available at: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https://www.adityabirla.com/businesses/countries/us/</w:t>
        </w:r>
      </w:hyperlink>
      <w:r>
        <w:rPr>
          <w:rFonts w:ascii="Times New Roman" w:eastAsia="Times New Roman" w:hAnsi="Times New Roman" w:cs="Times New Roman"/>
          <w:sz w:val="24"/>
          <w:szCs w:val="24"/>
        </w:rPr>
        <w:t xml:space="preserve">  [Accessed 29 Nov. 2025].</w:t>
      </w:r>
    </w:p>
    <w:p w14:paraId="1CCB70E2"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Aditya Birla Group (2025a). </w:t>
      </w:r>
      <w:r>
        <w:rPr>
          <w:rFonts w:ascii="Times New Roman" w:eastAsia="Times New Roman" w:hAnsi="Times New Roman" w:cs="Times New Roman"/>
          <w:i/>
          <w:iCs/>
          <w:sz w:val="24"/>
          <w:szCs w:val="24"/>
        </w:rPr>
        <w:t>Aditya Birla Group</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adityabirla</w:t>
      </w:r>
      <w:proofErr w:type="spellEnd"/>
      <w:r>
        <w:rPr>
          <w:rFonts w:ascii="Times New Roman" w:eastAsia="Times New Roman" w:hAnsi="Times New Roman" w:cs="Times New Roman"/>
          <w:sz w:val="24"/>
          <w:szCs w:val="24"/>
        </w:rPr>
        <w:t>. Available at:</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https://www.adityabirla.com/en/</w:t>
        </w:r>
      </w:hyperlink>
      <w:r>
        <w:rPr>
          <w:rFonts w:ascii="Times New Roman" w:eastAsia="Times New Roman" w:hAnsi="Times New Roman" w:cs="Times New Roman"/>
          <w:sz w:val="24"/>
          <w:szCs w:val="24"/>
        </w:rPr>
        <w:t xml:space="preserve">. </w:t>
      </w:r>
    </w:p>
    <w:p w14:paraId="43B65668"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Aditya Birla Group Companies List: Leadership Across Industries. (2025). </w:t>
      </w:r>
      <w:proofErr w:type="spellStart"/>
      <w:r>
        <w:rPr>
          <w:rFonts w:ascii="Times New Roman" w:eastAsia="Times New Roman" w:hAnsi="Times New Roman" w:cs="Times New Roman"/>
          <w:sz w:val="24"/>
          <w:szCs w:val="24"/>
        </w:rPr>
        <w:t>Adityabirla</w:t>
      </w:r>
      <w:proofErr w:type="spellEnd"/>
      <w:r>
        <w:rPr>
          <w:rFonts w:ascii="Times New Roman" w:eastAsia="Times New Roman" w:hAnsi="Times New Roman" w:cs="Times New Roman"/>
          <w:sz w:val="24"/>
          <w:szCs w:val="24"/>
        </w:rPr>
        <w:t xml:space="preserve">. </w:t>
      </w:r>
      <w:hyperlink r:id="rId18">
        <w:r>
          <w:rPr>
            <w:rFonts w:ascii="Times New Roman" w:eastAsia="Times New Roman" w:hAnsi="Times New Roman" w:cs="Times New Roman"/>
            <w:color w:val="1155CC"/>
            <w:sz w:val="24"/>
            <w:szCs w:val="24"/>
            <w:u w:val="single"/>
          </w:rPr>
          <w:t>https://www.adityabirla.com/businesses/companies/</w:t>
        </w:r>
      </w:hyperlink>
      <w:r>
        <w:rPr>
          <w:rFonts w:ascii="Times New Roman" w:eastAsia="Times New Roman" w:hAnsi="Times New Roman" w:cs="Times New Roman"/>
          <w:sz w:val="24"/>
          <w:szCs w:val="24"/>
        </w:rPr>
        <w:t xml:space="preserve"> </w:t>
      </w:r>
    </w:p>
    <w:p w14:paraId="451DB87C"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Aditya Birla Group Story (2025). </w:t>
      </w:r>
      <w:r>
        <w:rPr>
          <w:rFonts w:ascii="Times New Roman" w:eastAsia="Times New Roman" w:hAnsi="Times New Roman" w:cs="Times New Roman"/>
          <w:i/>
          <w:iCs/>
          <w:sz w:val="24"/>
          <w:szCs w:val="24"/>
        </w:rPr>
        <w:t>Aditya Birla Group Story - A leading business conglomerate in India</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adityabirla</w:t>
      </w:r>
      <w:proofErr w:type="spellEnd"/>
      <w:r>
        <w:rPr>
          <w:rFonts w:ascii="Times New Roman" w:eastAsia="Times New Roman" w:hAnsi="Times New Roman" w:cs="Times New Roman"/>
          <w:sz w:val="24"/>
          <w:szCs w:val="24"/>
        </w:rPr>
        <w:t>. Available at:</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https://www.adityabirla.com/en/our-story/</w:t>
        </w:r>
      </w:hyperlink>
      <w:r>
        <w:rPr>
          <w:rFonts w:ascii="Times New Roman" w:eastAsia="Times New Roman" w:hAnsi="Times New Roman" w:cs="Times New Roman"/>
          <w:sz w:val="24"/>
          <w:szCs w:val="24"/>
        </w:rPr>
        <w:t xml:space="preserve"> [Accessed 29 Nov. 2025].</w:t>
      </w:r>
    </w:p>
    <w:p w14:paraId="203B4BAF"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Anh Vu, T., Plimmer, G., Berman, E. and Ha, P.N., 2022. Performance management in the Vietnam public sector: The role of institution, traditional culture and leadership. International Journal of Public Administration, 45(1), pp.49-63.</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u w:val="single"/>
          </w:rPr>
          <w:t>https://www.researchgate.net/profile/Geoff-Plimmer/publication/350563357_Performance_management_in_the_Vietnam_public_sector_The_role_of_institution_traditional_culture_and_leadership/links/67bff7e7207c0c20fa988793/Performance-management-in-the-Vietnam-public-sector-The-role-of-institution-traditional-culture-and-leadership.pdf</w:t>
        </w:r>
      </w:hyperlink>
      <w:r>
        <w:rPr>
          <w:rFonts w:ascii="Times New Roman" w:eastAsia="Times New Roman" w:hAnsi="Times New Roman" w:cs="Times New Roman"/>
          <w:sz w:val="24"/>
          <w:szCs w:val="24"/>
        </w:rPr>
        <w:t xml:space="preserve"> </w:t>
      </w:r>
    </w:p>
    <w:p w14:paraId="1DD33BDD" w14:textId="77777777" w:rsidR="0086281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Acquaye, A.A., Yamoah, F.A., Ibn-Mohammed, T., Quaye, E. and </w:t>
      </w:r>
      <w:proofErr w:type="spellStart"/>
      <w:r>
        <w:rPr>
          <w:rFonts w:ascii="Times New Roman" w:eastAsia="Times New Roman" w:hAnsi="Times New Roman" w:cs="Times New Roman"/>
          <w:sz w:val="24"/>
          <w:szCs w:val="24"/>
        </w:rPr>
        <w:t>Yawson</w:t>
      </w:r>
      <w:proofErr w:type="spellEnd"/>
      <w:r>
        <w:rPr>
          <w:rFonts w:ascii="Times New Roman" w:eastAsia="Times New Roman" w:hAnsi="Times New Roman" w:cs="Times New Roman"/>
          <w:sz w:val="24"/>
          <w:szCs w:val="24"/>
        </w:rPr>
        <w:t xml:space="preserve">, D.E. (2023). Equitable Global Value Chain and Production Network as a Driver for Enhanced Sustainability in Developing Economies.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[online] 15(19), p.14550. </w:t>
      </w:r>
      <w:proofErr w:type="spellStart"/>
      <w:r>
        <w:rPr>
          <w:rFonts w:ascii="Times New Roman" w:eastAsia="Times New Roman" w:hAnsi="Times New Roman" w:cs="Times New Roman"/>
          <w:sz w:val="24"/>
          <w:szCs w:val="24"/>
        </w:rPr>
        <w:t>doi:</w:t>
      </w:r>
      <w:hyperlink r:id="rId23">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://doi.org/10.3390/su151914550</w:t>
        </w:r>
      </w:hyperlink>
      <w:r>
        <w:rPr>
          <w:rFonts w:ascii="Times New Roman" w:eastAsia="Times New Roman" w:hAnsi="Times New Roman" w:cs="Times New Roman"/>
          <w:sz w:val="24"/>
          <w:szCs w:val="24"/>
        </w:rPr>
        <w:t xml:space="preserve">. </w:t>
      </w:r>
    </w:p>
    <w:p w14:paraId="4BAC451B" w14:textId="77777777" w:rsidR="0086281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Banalieva</w:t>
      </w:r>
      <w:proofErr w:type="spellEnd"/>
      <w:r>
        <w:rPr>
          <w:rFonts w:ascii="Times New Roman" w:eastAsia="Times New Roman" w:hAnsi="Times New Roman" w:cs="Times New Roman"/>
          <w:sz w:val="24"/>
          <w:szCs w:val="24"/>
        </w:rPr>
        <w:t xml:space="preserve">, E.R. and Dhanaraj, C. (2019). Internalization Theory for the Digital Economy. </w:t>
      </w:r>
      <w:r>
        <w:rPr>
          <w:rFonts w:ascii="Times New Roman" w:eastAsia="Times New Roman" w:hAnsi="Times New Roman" w:cs="Times New Roman"/>
          <w:i/>
          <w:iCs/>
          <w:sz w:val="24"/>
          <w:szCs w:val="24"/>
        </w:rPr>
        <w:t>Journal of International Business Studies</w:t>
      </w:r>
      <w:r>
        <w:rPr>
          <w:rFonts w:ascii="Times New Roman" w:eastAsia="Times New Roman" w:hAnsi="Times New Roman" w:cs="Times New Roman"/>
          <w:sz w:val="24"/>
          <w:szCs w:val="24"/>
        </w:rPr>
        <w:t xml:space="preserve">, 50(8), pp.1372–1387. </w:t>
      </w:r>
      <w:proofErr w:type="spellStart"/>
      <w:r>
        <w:rPr>
          <w:rFonts w:ascii="Times New Roman" w:eastAsia="Times New Roman" w:hAnsi="Times New Roman" w:cs="Times New Roman"/>
          <w:sz w:val="24"/>
          <w:szCs w:val="24"/>
        </w:rPr>
        <w:t>doi:</w:t>
      </w:r>
      <w:hyperlink r:id="rId24">
        <w:r>
          <w:rPr>
            <w:rFonts w:ascii="Times New Roman" w:eastAsia="Times New Roman" w:hAnsi="Times New Roman" w:cs="Times New Roman"/>
            <w:color w:val="1155CC"/>
            <w:sz w:val="24"/>
            <w:szCs w:val="24"/>
            <w:u w:val="single"/>
          </w:rPr>
          <w:t>https</w:t>
        </w:r>
        <w:proofErr w:type="spellEnd"/>
        <w:r>
          <w:rPr>
            <w:rFonts w:ascii="Times New Roman" w:eastAsia="Times New Roman" w:hAnsi="Times New Roman" w:cs="Times New Roman"/>
            <w:color w:val="1155CC"/>
            <w:sz w:val="24"/>
            <w:szCs w:val="24"/>
            <w:u w:val="single"/>
          </w:rPr>
          <w:t>://doi.org/10.1057/s41267-019-00243-7</w:t>
        </w:r>
      </w:hyperlink>
      <w:r>
        <w:rPr>
          <w:rFonts w:ascii="Times New Roman" w:eastAsia="Times New Roman" w:hAnsi="Times New Roman" w:cs="Times New Roman"/>
          <w:sz w:val="24"/>
          <w:szCs w:val="24"/>
        </w:rPr>
        <w:t xml:space="preserve">. </w:t>
      </w:r>
    </w:p>
    <w:p w14:paraId="2AE40303"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Basiru, J.O., Ejiofor, C.L., </w:t>
      </w:r>
      <w:proofErr w:type="spellStart"/>
      <w:r>
        <w:rPr>
          <w:rFonts w:ascii="Times New Roman" w:eastAsia="Times New Roman" w:hAnsi="Times New Roman" w:cs="Times New Roman"/>
          <w:sz w:val="24"/>
          <w:szCs w:val="24"/>
        </w:rPr>
        <w:t>Onukwulu</w:t>
      </w:r>
      <w:proofErr w:type="spellEnd"/>
      <w:r>
        <w:rPr>
          <w:rFonts w:ascii="Times New Roman" w:eastAsia="Times New Roman" w:hAnsi="Times New Roman" w:cs="Times New Roman"/>
          <w:sz w:val="24"/>
          <w:szCs w:val="24"/>
        </w:rPr>
        <w:t>, E.C. and Attah, R.U., 2023. Corporate health and safety protocols: A conceptual model for ensuring sustainability in global operations. Iconic Research and Engineering Journals, 6(8), pp.324-343.</w:t>
      </w:r>
      <w:hyperlink r:id="rId25">
        <w:r>
          <w:rPr>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color w:val="1155CC"/>
            <w:sz w:val="24"/>
            <w:szCs w:val="24"/>
            <w:u w:val="single"/>
          </w:rPr>
          <w:t>https://www.researchgate.net/profile/Rita-</w:t>
        </w:r>
        <w:r>
          <w:rPr>
            <w:rFonts w:ascii="Times New Roman" w:eastAsia="Times New Roman" w:hAnsi="Times New Roman" w:cs="Times New Roman"/>
            <w:color w:val="1155CC"/>
            <w:sz w:val="24"/>
            <w:szCs w:val="24"/>
            <w:u w:val="single"/>
          </w:rPr>
          <w:lastRenderedPageBreak/>
          <w:t>Attah/publication/388418888_Corporate_Health_and_Safety_Protocols_A_Conceptual_Model_for_Ensuring_Sustainability_in_Global_Operations/links/6797c5e6645ef274a449d2ff/Corporate-Health-and-Safety-Protocols-A-Conceptual-Model-for-Ensuring-Sustainability-in-Global-Operations.pdf</w:t>
        </w:r>
      </w:hyperlink>
      <w:r>
        <w:rPr>
          <w:rFonts w:ascii="Times New Roman" w:eastAsia="Times New Roman" w:hAnsi="Times New Roman" w:cs="Times New Roman"/>
          <w:sz w:val="24"/>
          <w:szCs w:val="24"/>
        </w:rPr>
        <w:t xml:space="preserve"> </w:t>
      </w:r>
    </w:p>
    <w:p w14:paraId="08545AA4"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Bate, A.F., 2022. The nexus between uncertainty avoidance culture and risk-taking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entrepreneurial firms’ decision making. Journal of Intercultural Management, 14(1), pp.104-132.</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color w:val="1155CC"/>
            <w:sz w:val="24"/>
            <w:szCs w:val="24"/>
            <w:u w:val="single"/>
          </w:rPr>
          <w:t>https://sciendo.com/pdf/10.2478/joim-2022-0004</w:t>
        </w:r>
      </w:hyperlink>
      <w:r>
        <w:rPr>
          <w:rFonts w:ascii="Times New Roman" w:eastAsia="Times New Roman" w:hAnsi="Times New Roman" w:cs="Times New Roman"/>
          <w:sz w:val="24"/>
          <w:szCs w:val="24"/>
        </w:rPr>
        <w:t xml:space="preserve"> </w:t>
      </w:r>
    </w:p>
    <w:p w14:paraId="2726032C"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Brown, P., 2024. Education, opportunity and the future of work in the fourth industrial revolution. British Journal of sociology of Education, 45(4), pp.475-493.</w:t>
      </w:r>
      <w:hyperlink r:id="rId29">
        <w:r>
          <w:rPr>
            <w:rFonts w:ascii="Times New Roman" w:eastAsia="Times New Roman" w:hAnsi="Times New Roman" w:cs="Times New Roman"/>
            <w:sz w:val="24"/>
            <w:szCs w:val="24"/>
          </w:rPr>
          <w:t xml:space="preserve"> </w:t>
        </w:r>
      </w:hyperlink>
      <w:hyperlink r:id="rId30">
        <w:r>
          <w:rPr>
            <w:rFonts w:ascii="Times New Roman" w:eastAsia="Times New Roman" w:hAnsi="Times New Roman" w:cs="Times New Roman"/>
            <w:color w:val="1155CC"/>
            <w:sz w:val="24"/>
            <w:szCs w:val="24"/>
            <w:u w:val="single"/>
          </w:rPr>
          <w:t>https://orca.cardiff.ac.uk/id/eprint/169091/3/Ed%20%26%204IR%20BJSofE%20Pre-Publication%202024.pdf</w:t>
        </w:r>
      </w:hyperlink>
      <w:r>
        <w:rPr>
          <w:rFonts w:ascii="Times New Roman" w:eastAsia="Times New Roman" w:hAnsi="Times New Roman" w:cs="Times New Roman"/>
          <w:sz w:val="24"/>
          <w:szCs w:val="24"/>
        </w:rPr>
        <w:t xml:space="preserve"> </w:t>
      </w:r>
    </w:p>
    <w:p w14:paraId="78546E4C"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Bucheli, M., </w:t>
      </w:r>
      <w:proofErr w:type="spellStart"/>
      <w:r>
        <w:rPr>
          <w:rFonts w:ascii="Times New Roman" w:eastAsia="Times New Roman" w:hAnsi="Times New Roman" w:cs="Times New Roman"/>
          <w:sz w:val="24"/>
          <w:szCs w:val="24"/>
        </w:rPr>
        <w:t>Ciravegna</w:t>
      </w:r>
      <w:proofErr w:type="spellEnd"/>
      <w:r>
        <w:rPr>
          <w:rFonts w:ascii="Times New Roman" w:eastAsia="Times New Roman" w:hAnsi="Times New Roman" w:cs="Times New Roman"/>
          <w:sz w:val="24"/>
          <w:szCs w:val="24"/>
        </w:rPr>
        <w:t>, L. and Saenz, L.F., 2023. The octopus that shrank: A historical analysis of how multinationals address policy and contractual uncertainty in a global value chain. Strategic Management Journal, 44(13), pp.3289-3323.</w:t>
      </w:r>
      <w:hyperlink r:id="rId31">
        <w:r>
          <w:rPr>
            <w:rFonts w:ascii="Times New Roman" w:eastAsia="Times New Roman" w:hAnsi="Times New Roman" w:cs="Times New Roman"/>
            <w:sz w:val="24"/>
            <w:szCs w:val="24"/>
          </w:rPr>
          <w:t xml:space="preserve"> </w:t>
        </w:r>
      </w:hyperlink>
      <w:hyperlink r:id="rId32">
        <w:r>
          <w:rPr>
            <w:rFonts w:ascii="Times New Roman" w:eastAsia="Times New Roman" w:hAnsi="Times New Roman" w:cs="Times New Roman"/>
            <w:color w:val="1155CC"/>
            <w:sz w:val="24"/>
            <w:szCs w:val="24"/>
            <w:u w:val="single"/>
          </w:rPr>
          <w:t>https://onlinelibrary.wiley.com/doi/pdf/10.1002%2Fsmj.3537</w:t>
        </w:r>
      </w:hyperlink>
      <w:r>
        <w:rPr>
          <w:rFonts w:ascii="Times New Roman" w:eastAsia="Times New Roman" w:hAnsi="Times New Roman" w:cs="Times New Roman"/>
          <w:sz w:val="24"/>
          <w:szCs w:val="24"/>
        </w:rPr>
        <w:t xml:space="preserve"> </w:t>
      </w:r>
    </w:p>
    <w:p w14:paraId="5A18461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Cao, T.H.V., Chai, D.S., Nguyen, L.P., Nguyen, H.T.H., Han, C.S.H. and Park, S., 2024. Learning organization and employee performance: the mediating role of job satisfaction in the Vietnamese context. The Learning Organization, 32(7), pp.53-73.</w:t>
      </w:r>
      <w:hyperlink r:id="rId33">
        <w:r>
          <w:rPr>
            <w:rFonts w:ascii="Times New Roman" w:eastAsia="Times New Roman" w:hAnsi="Times New Roman" w:cs="Times New Roman"/>
            <w:sz w:val="24"/>
            <w:szCs w:val="24"/>
          </w:rPr>
          <w:t xml:space="preserve"> </w:t>
        </w:r>
      </w:hyperlink>
      <w:hyperlink r:id="rId34">
        <w:r>
          <w:rPr>
            <w:rFonts w:ascii="Times New Roman" w:eastAsia="Times New Roman" w:hAnsi="Times New Roman" w:cs="Times New Roman"/>
            <w:color w:val="1155CC"/>
            <w:sz w:val="24"/>
            <w:szCs w:val="24"/>
            <w:u w:val="single"/>
          </w:rPr>
          <w:t>https://www.emerald.com/insight/content/doi/10.1108/TLO-09-2023-0177/full/pdf</w:t>
        </w:r>
      </w:hyperlink>
      <w:r>
        <w:rPr>
          <w:rFonts w:ascii="Times New Roman" w:eastAsia="Times New Roman" w:hAnsi="Times New Roman" w:cs="Times New Roman"/>
          <w:sz w:val="24"/>
          <w:szCs w:val="24"/>
        </w:rPr>
        <w:t xml:space="preserve">  </w:t>
      </w:r>
    </w:p>
    <w:p w14:paraId="7046543F" w14:textId="77777777" w:rsidR="0086281C" w:rsidRDefault="0000000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Collidu</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iCs/>
          <w:sz w:val="24"/>
          <w:szCs w:val="24"/>
        </w:rPr>
        <w:t>Eclectic Paradigm</w:t>
      </w:r>
      <w:r>
        <w:rPr>
          <w:rFonts w:ascii="Times New Roman" w:eastAsia="Times New Roman" w:hAnsi="Times New Roman" w:cs="Times New Roman"/>
          <w:sz w:val="24"/>
          <w:szCs w:val="24"/>
        </w:rPr>
        <w:t xml:space="preserve">. [online] Collidu.com. Available at: </w:t>
      </w:r>
      <w:hyperlink r:id="rId35">
        <w:r>
          <w:rPr>
            <w:rFonts w:ascii="Times New Roman" w:eastAsia="Times New Roman" w:hAnsi="Times New Roman" w:cs="Times New Roman"/>
            <w:color w:val="1155CC"/>
            <w:sz w:val="24"/>
            <w:szCs w:val="24"/>
            <w:u w:val="single"/>
          </w:rPr>
          <w:t>https://www.collidu.com/presentation-eclectic-paradigm</w:t>
        </w:r>
      </w:hyperlink>
      <w:r>
        <w:rPr>
          <w:rFonts w:ascii="Times New Roman" w:eastAsia="Times New Roman" w:hAnsi="Times New Roman" w:cs="Times New Roman"/>
          <w:sz w:val="24"/>
          <w:szCs w:val="24"/>
        </w:rPr>
        <w:t xml:space="preserve">. </w:t>
      </w:r>
    </w:p>
    <w:p w14:paraId="551AD7F1"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Cecil, P., 2024. Cross-Border Supply Chain Optimization: Strategies for Managing International Operations While Maintaining Speed and Cost Efficiency. International Journal of Scientific Research and Management (IJSRM), 12(05), pp.6565-6588.</w:t>
      </w:r>
      <w:hyperlink r:id="rId36">
        <w:r>
          <w:rPr>
            <w:rFonts w:ascii="Times New Roman" w:eastAsia="Times New Roman" w:hAnsi="Times New Roman" w:cs="Times New Roman"/>
            <w:sz w:val="24"/>
            <w:szCs w:val="24"/>
          </w:rPr>
          <w:t xml:space="preserve"> </w:t>
        </w:r>
      </w:hyperlink>
      <w:hyperlink r:id="rId37">
        <w:r>
          <w:rPr>
            <w:rFonts w:ascii="Times New Roman" w:eastAsia="Times New Roman" w:hAnsi="Times New Roman" w:cs="Times New Roman"/>
            <w:color w:val="1155CC"/>
            <w:sz w:val="24"/>
            <w:szCs w:val="24"/>
            <w:u w:val="single"/>
          </w:rPr>
          <w:t>https://www.researchgate.net/profile/Kuku-Oluwamayowa/publication/390666191_Cross-Border_Supply_Chain_Optimization_Strategies_for_Managing_International_Operations_While_Maintaining_Speed_and_Cost_Efficiency/links/67f8004c60241d51400ad2cb/Cross-Border-</w:t>
        </w:r>
        <w:r>
          <w:rPr>
            <w:rFonts w:ascii="Times New Roman" w:eastAsia="Times New Roman" w:hAnsi="Times New Roman" w:cs="Times New Roman"/>
            <w:color w:val="1155CC"/>
            <w:sz w:val="24"/>
            <w:szCs w:val="24"/>
            <w:u w:val="single"/>
          </w:rPr>
          <w:lastRenderedPageBreak/>
          <w:t>Supply-Chain-Optimization-Strategies-for-Managing-International-Operations-While-Maintaining-Speed-and-Cost-Efficiency.pdf</w:t>
        </w:r>
      </w:hyperlink>
      <w:r>
        <w:rPr>
          <w:rFonts w:ascii="Times New Roman" w:eastAsia="Times New Roman" w:hAnsi="Times New Roman" w:cs="Times New Roman"/>
          <w:sz w:val="24"/>
          <w:szCs w:val="24"/>
        </w:rPr>
        <w:t xml:space="preserve"> </w:t>
      </w:r>
    </w:p>
    <w:p w14:paraId="01DB177D"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Dash, I., 2021. Human Resource Management I.</w:t>
      </w:r>
      <w:hyperlink r:id="rId38">
        <w:r>
          <w:rPr>
            <w:rFonts w:ascii="Times New Roman" w:eastAsia="Times New Roman" w:hAnsi="Times New Roman" w:cs="Times New Roman"/>
            <w:sz w:val="24"/>
            <w:szCs w:val="24"/>
          </w:rPr>
          <w:t xml:space="preserve"> </w:t>
        </w:r>
      </w:hyperlink>
      <w:hyperlink r:id="rId39">
        <w:r>
          <w:rPr>
            <w:rFonts w:ascii="Times New Roman" w:eastAsia="Times New Roman" w:hAnsi="Times New Roman" w:cs="Times New Roman"/>
            <w:color w:val="1155CC"/>
            <w:sz w:val="24"/>
            <w:szCs w:val="24"/>
            <w:u w:val="single"/>
          </w:rPr>
          <w:t>http://biitm.dspaces.org/bitstream/123456789/317/1/HRM-1%20%28I-MBA%29.pdf</w:t>
        </w:r>
      </w:hyperlink>
      <w:r>
        <w:rPr>
          <w:rFonts w:ascii="Times New Roman" w:eastAsia="Times New Roman" w:hAnsi="Times New Roman" w:cs="Times New Roman"/>
          <w:sz w:val="24"/>
          <w:szCs w:val="24"/>
        </w:rPr>
        <w:t xml:space="preserve"> </w:t>
      </w:r>
    </w:p>
    <w:p w14:paraId="4D20CF35"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 P.T. and Nguyen, K.Q.T., 2023. Foreign ownership and national governance quality affect liquidity risk–case in Vietnam. Cogent Business &amp; Management, 10(2), p.2244752.</w:t>
      </w:r>
      <w:hyperlink r:id="rId40">
        <w:r>
          <w:rPr>
            <w:rFonts w:ascii="Times New Roman" w:eastAsia="Times New Roman" w:hAnsi="Times New Roman" w:cs="Times New Roman"/>
            <w:sz w:val="24"/>
            <w:szCs w:val="24"/>
          </w:rPr>
          <w:t xml:space="preserve"> </w:t>
        </w:r>
      </w:hyperlink>
      <w:hyperlink r:id="rId41">
        <w:r>
          <w:rPr>
            <w:rFonts w:ascii="Times New Roman" w:eastAsia="Times New Roman" w:hAnsi="Times New Roman" w:cs="Times New Roman"/>
            <w:color w:val="1155CC"/>
            <w:sz w:val="24"/>
            <w:szCs w:val="24"/>
            <w:u w:val="single"/>
          </w:rPr>
          <w:t>https://www.tandfonline.com/doi/pdf/10.1080/23311975.2023.2244752</w:t>
        </w:r>
      </w:hyperlink>
      <w:r>
        <w:rPr>
          <w:rFonts w:ascii="Times New Roman" w:eastAsia="Times New Roman" w:hAnsi="Times New Roman" w:cs="Times New Roman"/>
          <w:sz w:val="24"/>
          <w:szCs w:val="24"/>
        </w:rPr>
        <w:t xml:space="preserve"> </w:t>
      </w:r>
    </w:p>
    <w:p w14:paraId="7EB9F1F4"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Mooij, M., 2021. Global marketing and advertising: Understanding cultural paradoxes.</w:t>
      </w:r>
      <w:hyperlink r:id="rId42">
        <w:r>
          <w:rPr>
            <w:rFonts w:ascii="Times New Roman" w:eastAsia="Times New Roman" w:hAnsi="Times New Roman" w:cs="Times New Roman"/>
            <w:sz w:val="24"/>
            <w:szCs w:val="24"/>
          </w:rPr>
          <w:t xml:space="preserve"> </w:t>
        </w:r>
      </w:hyperlink>
      <w:hyperlink r:id="rId43">
        <w:r>
          <w:rPr>
            <w:rFonts w:ascii="Times New Roman" w:eastAsia="Times New Roman" w:hAnsi="Times New Roman" w:cs="Times New Roman"/>
            <w:color w:val="1155CC"/>
            <w:sz w:val="24"/>
            <w:szCs w:val="24"/>
            <w:u w:val="single"/>
          </w:rPr>
          <w:t>https://www.academia.edu/download/8323021/590136127.pdf</w:t>
        </w:r>
      </w:hyperlink>
      <w:r>
        <w:rPr>
          <w:rFonts w:ascii="Times New Roman" w:eastAsia="Times New Roman" w:hAnsi="Times New Roman" w:cs="Times New Roman"/>
          <w:sz w:val="24"/>
          <w:szCs w:val="24"/>
        </w:rPr>
        <w:t xml:space="preserve"> </w:t>
      </w:r>
    </w:p>
    <w:p w14:paraId="3E841C58"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Đỗ</w:t>
      </w:r>
      <w:proofErr w:type="spellEnd"/>
      <w:r>
        <w:rPr>
          <w:rFonts w:ascii="Times New Roman" w:eastAsia="Times New Roman" w:hAnsi="Times New Roman" w:cs="Times New Roman"/>
          <w:sz w:val="24"/>
          <w:szCs w:val="24"/>
        </w:rPr>
        <w:t xml:space="preserve">, T. U. (2023, April 6). Selecting The Best Manufacturing Destination: A Comparative Analysis Of China, Vietnam, And India. </w:t>
      </w:r>
      <w:proofErr w:type="spellStart"/>
      <w:r>
        <w:rPr>
          <w:rFonts w:ascii="Times New Roman" w:eastAsia="Times New Roman" w:hAnsi="Times New Roman" w:cs="Times New Roman"/>
          <w:sz w:val="24"/>
          <w:szCs w:val="24"/>
        </w:rPr>
        <w:t>Rockhillasia</w:t>
      </w:r>
      <w:proofErr w:type="spellEnd"/>
      <w:r>
        <w:rPr>
          <w:rFonts w:ascii="Times New Roman" w:eastAsia="Times New Roman" w:hAnsi="Times New Roman" w:cs="Times New Roman"/>
          <w:sz w:val="24"/>
          <w:szCs w:val="24"/>
        </w:rPr>
        <w:t xml:space="preserve">. </w:t>
      </w:r>
      <w:hyperlink r:id="rId44">
        <w:r>
          <w:rPr>
            <w:rFonts w:ascii="Times New Roman" w:eastAsia="Times New Roman" w:hAnsi="Times New Roman" w:cs="Times New Roman"/>
            <w:color w:val="1155CC"/>
            <w:sz w:val="24"/>
            <w:szCs w:val="24"/>
            <w:u w:val="single"/>
          </w:rPr>
          <w:t>https://www.rockhillasia.com/post/selecting-the-best-manufacturing-destination-china-vietnam-and-india</w:t>
        </w:r>
      </w:hyperlink>
      <w:r>
        <w:rPr>
          <w:rFonts w:ascii="Times New Roman" w:eastAsia="Times New Roman" w:hAnsi="Times New Roman" w:cs="Times New Roman"/>
          <w:sz w:val="24"/>
          <w:szCs w:val="24"/>
        </w:rPr>
        <w:t xml:space="preserve"> </w:t>
      </w:r>
    </w:p>
    <w:p w14:paraId="6D403BCD"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Ghobakhloo</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Iranmanesh</w:t>
      </w:r>
      <w:proofErr w:type="spellEnd"/>
      <w:r>
        <w:rPr>
          <w:rFonts w:ascii="Times New Roman" w:eastAsia="Times New Roman" w:hAnsi="Times New Roman" w:cs="Times New Roman"/>
          <w:sz w:val="24"/>
          <w:szCs w:val="24"/>
        </w:rPr>
        <w:t xml:space="preserve">, M., Grybauskas, A., Vilkas, M. and </w:t>
      </w:r>
      <w:proofErr w:type="spellStart"/>
      <w:r>
        <w:rPr>
          <w:rFonts w:ascii="Times New Roman" w:eastAsia="Times New Roman" w:hAnsi="Times New Roman" w:cs="Times New Roman"/>
          <w:sz w:val="24"/>
          <w:szCs w:val="24"/>
        </w:rPr>
        <w:t>Petraitė</w:t>
      </w:r>
      <w:proofErr w:type="spellEnd"/>
      <w:r>
        <w:rPr>
          <w:rFonts w:ascii="Times New Roman" w:eastAsia="Times New Roman" w:hAnsi="Times New Roman" w:cs="Times New Roman"/>
          <w:sz w:val="24"/>
          <w:szCs w:val="24"/>
        </w:rPr>
        <w:t>, M., 2021. Industry 4.0, innovation, and sustainable development: A systematic review and a roadmap to sustainable innovation. Business Strategy and the Environment, 30(8), pp.4237-4257.</w:t>
      </w:r>
      <w:hyperlink r:id="rId45">
        <w:r>
          <w:rPr>
            <w:rFonts w:ascii="Times New Roman" w:eastAsia="Times New Roman" w:hAnsi="Times New Roman" w:cs="Times New Roman"/>
            <w:sz w:val="24"/>
            <w:szCs w:val="24"/>
          </w:rPr>
          <w:t xml:space="preserve"> </w:t>
        </w:r>
      </w:hyperlink>
      <w:hyperlink r:id="rId46">
        <w:r>
          <w:rPr>
            <w:rFonts w:ascii="Times New Roman" w:eastAsia="Times New Roman" w:hAnsi="Times New Roman" w:cs="Times New Roman"/>
            <w:color w:val="1155CC"/>
            <w:sz w:val="24"/>
            <w:szCs w:val="24"/>
            <w:u w:val="single"/>
          </w:rPr>
          <w:t>https://www.researchgate.net/profile/Mohammad-Iranmanesh-2/publication/353677530_Industry_40_innovation_and_sustainable_development_A_systematic_review_and_a_roadmap_to_sustainable_innovation/links/6152eb72522ef665fb660742/Industry-40-innovation-and-sustainable-development-A-systematic-review-and-a-roadmap-to-sustainable-innovation.pdf</w:t>
        </w:r>
      </w:hyperlink>
      <w:r>
        <w:rPr>
          <w:rFonts w:ascii="Times New Roman" w:eastAsia="Times New Roman" w:hAnsi="Times New Roman" w:cs="Times New Roman"/>
          <w:sz w:val="24"/>
          <w:szCs w:val="24"/>
        </w:rPr>
        <w:t xml:space="preserve"> </w:t>
      </w:r>
    </w:p>
    <w:p w14:paraId="54430D86" w14:textId="77777777" w:rsidR="0086281C"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Giles, A. (2022). International Entry Modes. </w:t>
      </w:r>
      <w:r>
        <w:rPr>
          <w:rFonts w:ascii="Times New Roman" w:eastAsia="Times New Roman" w:hAnsi="Times New Roman" w:cs="Times New Roman"/>
          <w:i/>
          <w:iCs/>
          <w:sz w:val="24"/>
          <w:szCs w:val="24"/>
        </w:rPr>
        <w:t>ecampusontario.pressbooks.pub</w:t>
      </w:r>
      <w:r>
        <w:rPr>
          <w:rFonts w:ascii="Times New Roman" w:eastAsia="Times New Roman" w:hAnsi="Times New Roman" w:cs="Times New Roman"/>
          <w:sz w:val="24"/>
          <w:szCs w:val="24"/>
        </w:rPr>
        <w:t xml:space="preserve">. [online] Available at: </w:t>
      </w:r>
      <w:hyperlink r:id="rId47">
        <w:r>
          <w:rPr>
            <w:rFonts w:ascii="Times New Roman" w:eastAsia="Times New Roman" w:hAnsi="Times New Roman" w:cs="Times New Roman"/>
            <w:color w:val="1155CC"/>
            <w:sz w:val="24"/>
            <w:szCs w:val="24"/>
            <w:u w:val="single"/>
          </w:rPr>
          <w:t>https://ecampusontario.pressbooks.pub/globalmarketing/chapter/6-1-international-entry-modes/</w:t>
        </w:r>
      </w:hyperlink>
      <w:r>
        <w:rPr>
          <w:rFonts w:ascii="Times New Roman" w:eastAsia="Times New Roman" w:hAnsi="Times New Roman" w:cs="Times New Roman"/>
          <w:sz w:val="24"/>
          <w:szCs w:val="24"/>
        </w:rPr>
        <w:t xml:space="preserve">. </w:t>
      </w:r>
    </w:p>
    <w:p w14:paraId="2B6AB6CE"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Group, A.B. (2025b). </w:t>
      </w:r>
      <w:r>
        <w:rPr>
          <w:rFonts w:ascii="Times New Roman" w:eastAsia="Times New Roman" w:hAnsi="Times New Roman" w:cs="Times New Roman"/>
          <w:i/>
          <w:iCs/>
          <w:sz w:val="24"/>
          <w:szCs w:val="24"/>
        </w:rPr>
        <w:t>A Conglomerate in Action: What drives business at Aditya Birla Group</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adityabirla</w:t>
      </w:r>
      <w:proofErr w:type="spellEnd"/>
      <w:r>
        <w:rPr>
          <w:rFonts w:ascii="Times New Roman" w:eastAsia="Times New Roman" w:hAnsi="Times New Roman" w:cs="Times New Roman"/>
          <w:sz w:val="24"/>
          <w:szCs w:val="24"/>
        </w:rPr>
        <w:t>. Available at:</w:t>
      </w:r>
      <w:hyperlink r:id="rId48">
        <w:r>
          <w:rPr>
            <w:rFonts w:ascii="Times New Roman" w:eastAsia="Times New Roman" w:hAnsi="Times New Roman" w:cs="Times New Roman"/>
            <w:sz w:val="24"/>
            <w:szCs w:val="24"/>
          </w:rPr>
          <w:t xml:space="preserve"> </w:t>
        </w:r>
      </w:hyperlink>
      <w:hyperlink r:id="rId49">
        <w:r>
          <w:rPr>
            <w:rFonts w:ascii="Times New Roman" w:eastAsia="Times New Roman" w:hAnsi="Times New Roman" w:cs="Times New Roman"/>
            <w:color w:val="1155CC"/>
            <w:sz w:val="24"/>
            <w:szCs w:val="24"/>
            <w:u w:val="single"/>
          </w:rPr>
          <w:t>https://www.adityabirla.com/media/stories/a-conglomerate-in-action-what-drives-business-at-aditya-birla-group/</w:t>
        </w:r>
      </w:hyperlink>
      <w:r>
        <w:rPr>
          <w:rFonts w:ascii="Times New Roman" w:eastAsia="Times New Roman" w:hAnsi="Times New Roman" w:cs="Times New Roman"/>
          <w:sz w:val="24"/>
          <w:szCs w:val="24"/>
        </w:rPr>
        <w:t xml:space="preserve">  [Accessed 29 Nov. 2025].</w:t>
      </w:r>
    </w:p>
    <w:p w14:paraId="37F3D09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Gulati, P., 2024. RETHINKING GOVERNANCE FOR SOCIETAL PROGRESS: A LEGAL STUDY FOR REFORMS IN INDIAN ADMINISTRATIVE LAW. Panjab University Law Review, 63(1).</w:t>
      </w:r>
      <w:hyperlink r:id="rId50">
        <w:r>
          <w:rPr>
            <w:rFonts w:ascii="Times New Roman" w:eastAsia="Times New Roman" w:hAnsi="Times New Roman" w:cs="Times New Roman"/>
            <w:sz w:val="24"/>
            <w:szCs w:val="24"/>
          </w:rPr>
          <w:t xml:space="preserve"> </w:t>
        </w:r>
      </w:hyperlink>
      <w:hyperlink r:id="rId51">
        <w:r>
          <w:rPr>
            <w:rFonts w:ascii="Times New Roman" w:eastAsia="Times New Roman" w:hAnsi="Times New Roman" w:cs="Times New Roman"/>
            <w:color w:val="1155CC"/>
            <w:sz w:val="24"/>
            <w:szCs w:val="24"/>
            <w:u w:val="single"/>
          </w:rPr>
          <w:t>https://pulr.puchd.ac.in/index.php/pulr/article/download/277/57</w:t>
        </w:r>
      </w:hyperlink>
      <w:r>
        <w:rPr>
          <w:rFonts w:ascii="Times New Roman" w:eastAsia="Times New Roman" w:hAnsi="Times New Roman" w:cs="Times New Roman"/>
          <w:sz w:val="24"/>
          <w:szCs w:val="24"/>
        </w:rPr>
        <w:t xml:space="preserve"> </w:t>
      </w:r>
    </w:p>
    <w:p w14:paraId="1F96A6FF"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Hoang, L.V.P. and Bui, H.T.T., 2025. The impact of cultural identity and attitude-to-brands on customer loyalty in Vietnamese context. HO CHI MINH CITY OPEN UNIVERSITY JOURNAL OF SCIENCE-ECONOMICS AND BUSINESS ADMINISTRATION, 15(2), pp.105-127.</w:t>
      </w:r>
      <w:hyperlink r:id="rId52">
        <w:r>
          <w:rPr>
            <w:rFonts w:ascii="Times New Roman" w:eastAsia="Times New Roman" w:hAnsi="Times New Roman" w:cs="Times New Roman"/>
            <w:sz w:val="24"/>
            <w:szCs w:val="24"/>
          </w:rPr>
          <w:t xml:space="preserve"> </w:t>
        </w:r>
      </w:hyperlink>
      <w:hyperlink r:id="rId53">
        <w:r>
          <w:rPr>
            <w:rFonts w:ascii="Times New Roman" w:eastAsia="Times New Roman" w:hAnsi="Times New Roman" w:cs="Times New Roman"/>
            <w:color w:val="1155CC"/>
            <w:sz w:val="24"/>
            <w:szCs w:val="24"/>
            <w:u w:val="single"/>
          </w:rPr>
          <w:t>https://journalofscience.ou.edu.vn/index.php/econ-en/article/download/3124/2161</w:t>
        </w:r>
      </w:hyperlink>
      <w:r>
        <w:rPr>
          <w:rFonts w:ascii="Times New Roman" w:eastAsia="Times New Roman" w:hAnsi="Times New Roman" w:cs="Times New Roman"/>
          <w:sz w:val="24"/>
          <w:szCs w:val="24"/>
        </w:rPr>
        <w:t xml:space="preserve"> </w:t>
      </w:r>
    </w:p>
    <w:p w14:paraId="7191528F"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Keskin, T., Yilmaz, E., Kasap, T., Sari, M. and Cao, S., 2024. Toward viable industrial solid residual waste recycling: a review of its innovative applications and future perspectives. Minerals, 14(9), p.943.</w:t>
      </w:r>
      <w:hyperlink r:id="rId54">
        <w:r>
          <w:rPr>
            <w:rFonts w:ascii="Times New Roman" w:eastAsia="Times New Roman" w:hAnsi="Times New Roman" w:cs="Times New Roman"/>
            <w:sz w:val="24"/>
            <w:szCs w:val="24"/>
          </w:rPr>
          <w:t xml:space="preserve"> </w:t>
        </w:r>
      </w:hyperlink>
      <w:hyperlink r:id="rId55">
        <w:r>
          <w:rPr>
            <w:rFonts w:ascii="Times New Roman" w:eastAsia="Times New Roman" w:hAnsi="Times New Roman" w:cs="Times New Roman"/>
            <w:color w:val="1155CC"/>
            <w:sz w:val="24"/>
            <w:szCs w:val="24"/>
            <w:u w:val="single"/>
          </w:rPr>
          <w:t>https://www.mdpi.com/2075-163X/14/9/943</w:t>
        </w:r>
      </w:hyperlink>
      <w:r>
        <w:rPr>
          <w:rFonts w:ascii="Times New Roman" w:eastAsia="Times New Roman" w:hAnsi="Times New Roman" w:cs="Times New Roman"/>
          <w:sz w:val="24"/>
          <w:szCs w:val="24"/>
        </w:rPr>
        <w:t xml:space="preserve"> </w:t>
      </w:r>
    </w:p>
    <w:p w14:paraId="6F19348D"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Kharub</w:t>
      </w:r>
      <w:proofErr w:type="spellEnd"/>
      <w:r>
        <w:rPr>
          <w:rFonts w:ascii="Times New Roman" w:eastAsia="Times New Roman" w:hAnsi="Times New Roman" w:cs="Times New Roman"/>
          <w:sz w:val="24"/>
          <w:szCs w:val="24"/>
        </w:rPr>
        <w:t>, M., Mor, R.S. and Rana, S., 2022. Mediating role of manufacturing strategy in the competitive strategy and firm performance: evidence from SMEs. Benchmarking: An International Journal, 29(10), pp.3275-3301.</w:t>
      </w:r>
      <w:hyperlink r:id="rId56">
        <w:r>
          <w:rPr>
            <w:rFonts w:ascii="Times New Roman" w:eastAsia="Times New Roman" w:hAnsi="Times New Roman" w:cs="Times New Roman"/>
            <w:sz w:val="24"/>
            <w:szCs w:val="24"/>
          </w:rPr>
          <w:t xml:space="preserve"> </w:t>
        </w:r>
      </w:hyperlink>
      <w:hyperlink r:id="rId57">
        <w:r>
          <w:rPr>
            <w:rFonts w:ascii="Times New Roman" w:eastAsia="Times New Roman" w:hAnsi="Times New Roman" w:cs="Times New Roman"/>
            <w:color w:val="1155CC"/>
            <w:sz w:val="24"/>
            <w:szCs w:val="24"/>
            <w:u w:val="single"/>
          </w:rPr>
          <w:t>https://www.researchgate.net/profile/Manjeet-Kharub-3/publication/358033074_Mediating_role_of_manufacturing_strategy_in_the_competitive_strategy_and_firm_performance_evidence_from_SMEs/links/64a2f820c41fb852dd4b7756/Mediating-role-of-manufacturing-strategy-in-the-competitive-strategy-and-firm-performance-evidence-from-SMEs.pdf</w:t>
        </w:r>
      </w:hyperlink>
      <w:r>
        <w:rPr>
          <w:rFonts w:ascii="Times New Roman" w:eastAsia="Times New Roman" w:hAnsi="Times New Roman" w:cs="Times New Roman"/>
          <w:sz w:val="24"/>
          <w:szCs w:val="24"/>
        </w:rPr>
        <w:t xml:space="preserve"> </w:t>
      </w:r>
    </w:p>
    <w:p w14:paraId="35020820"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Knight, F., 2025. Risk, uncertainty and profit. </w:t>
      </w:r>
      <w:proofErr w:type="spellStart"/>
      <w:r>
        <w:rPr>
          <w:rFonts w:ascii="Times New Roman" w:eastAsia="Times New Roman" w:hAnsi="Times New Roman" w:cs="Times New Roman"/>
          <w:sz w:val="24"/>
          <w:szCs w:val="24"/>
        </w:rPr>
        <w:t>Bonhopai</w:t>
      </w:r>
      <w:proofErr w:type="spellEnd"/>
      <w:r>
        <w:rPr>
          <w:rFonts w:ascii="Times New Roman" w:eastAsia="Times New Roman" w:hAnsi="Times New Roman" w:cs="Times New Roman"/>
          <w:sz w:val="24"/>
          <w:szCs w:val="24"/>
        </w:rPr>
        <w:t xml:space="preserve"> Books.</w:t>
      </w:r>
      <w:hyperlink r:id="rId58">
        <w:r>
          <w:rPr>
            <w:rFonts w:ascii="Times New Roman" w:eastAsia="Times New Roman" w:hAnsi="Times New Roman" w:cs="Times New Roman"/>
            <w:sz w:val="24"/>
            <w:szCs w:val="24"/>
          </w:rPr>
          <w:t xml:space="preserve"> </w:t>
        </w:r>
      </w:hyperlink>
      <w:hyperlink r:id="rId59">
        <w:r>
          <w:rPr>
            <w:rFonts w:ascii="Times New Roman" w:eastAsia="Times New Roman" w:hAnsi="Times New Roman" w:cs="Times New Roman"/>
            <w:color w:val="1155CC"/>
            <w:sz w:val="24"/>
            <w:szCs w:val="24"/>
            <w:u w:val="single"/>
          </w:rPr>
          <w:t>https://cdn.gecacademy.cn/oa/upload/2022-03-10%2011-28-18-knight-uncertainty-and-profit.pdf</w:t>
        </w:r>
      </w:hyperlink>
      <w:r>
        <w:rPr>
          <w:rFonts w:ascii="Times New Roman" w:eastAsia="Times New Roman" w:hAnsi="Times New Roman" w:cs="Times New Roman"/>
          <w:sz w:val="24"/>
          <w:szCs w:val="24"/>
        </w:rPr>
        <w:t xml:space="preserve"> </w:t>
      </w:r>
    </w:p>
    <w:p w14:paraId="29FE73B1"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Kuruppu, S.C., Milne, M.J. and Tilt, C.A., 2024. Sustainability control systems in short-term operational and long-term strategic decision-making. </w:t>
      </w:r>
      <w:proofErr w:type="spellStart"/>
      <w:r>
        <w:rPr>
          <w:rFonts w:ascii="Times New Roman" w:eastAsia="Times New Roman" w:hAnsi="Times New Roman" w:cs="Times New Roman"/>
          <w:sz w:val="24"/>
          <w:szCs w:val="24"/>
        </w:rPr>
        <w:t>Meditari</w:t>
      </w:r>
      <w:proofErr w:type="spellEnd"/>
      <w:r>
        <w:rPr>
          <w:rFonts w:ascii="Times New Roman" w:eastAsia="Times New Roman" w:hAnsi="Times New Roman" w:cs="Times New Roman"/>
          <w:sz w:val="24"/>
          <w:szCs w:val="24"/>
        </w:rPr>
        <w:t xml:space="preserve"> Accountancy Research, 32(1), pp.234-265.</w:t>
      </w:r>
      <w:hyperlink r:id="rId60">
        <w:r>
          <w:rPr>
            <w:rFonts w:ascii="Times New Roman" w:eastAsia="Times New Roman" w:hAnsi="Times New Roman" w:cs="Times New Roman"/>
            <w:sz w:val="24"/>
            <w:szCs w:val="24"/>
          </w:rPr>
          <w:t xml:space="preserve"> </w:t>
        </w:r>
      </w:hyperlink>
      <w:hyperlink r:id="rId61">
        <w:r>
          <w:rPr>
            <w:rFonts w:ascii="Times New Roman" w:eastAsia="Times New Roman" w:hAnsi="Times New Roman" w:cs="Times New Roman"/>
            <w:color w:val="1155CC"/>
            <w:sz w:val="24"/>
            <w:szCs w:val="24"/>
            <w:u w:val="single"/>
          </w:rPr>
          <w:t>https://papers.ssrn.com/sol3/Delivery.cfm?abstractid=4695784</w:t>
        </w:r>
      </w:hyperlink>
      <w:r>
        <w:rPr>
          <w:rFonts w:ascii="Times New Roman" w:eastAsia="Times New Roman" w:hAnsi="Times New Roman" w:cs="Times New Roman"/>
          <w:sz w:val="24"/>
          <w:szCs w:val="24"/>
        </w:rPr>
        <w:t xml:space="preserve"> </w:t>
      </w:r>
    </w:p>
    <w:p w14:paraId="21A90C65"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Lee, C.W. and Liu, P.T., 2025. Employee Ethics and Corporate Governance: Evaluating Internal Whistleblowing Mechanisms. Journal of Applied Finance &amp; Banking, 15(2), pp.35-55.</w:t>
      </w:r>
      <w:hyperlink r:id="rId62">
        <w:r>
          <w:rPr>
            <w:rFonts w:ascii="Times New Roman" w:eastAsia="Times New Roman" w:hAnsi="Times New Roman" w:cs="Times New Roman"/>
            <w:sz w:val="24"/>
            <w:szCs w:val="24"/>
          </w:rPr>
          <w:t xml:space="preserve"> </w:t>
        </w:r>
      </w:hyperlink>
      <w:hyperlink r:id="rId63">
        <w:r>
          <w:rPr>
            <w:rFonts w:ascii="Times New Roman" w:eastAsia="Times New Roman" w:hAnsi="Times New Roman" w:cs="Times New Roman"/>
            <w:color w:val="1155CC"/>
            <w:sz w:val="24"/>
            <w:szCs w:val="24"/>
            <w:u w:val="single"/>
          </w:rPr>
          <w:t>http://www.scienpress.com/Upload/JAFB/Vol%2015_2_3.pdf</w:t>
        </w:r>
      </w:hyperlink>
      <w:r>
        <w:rPr>
          <w:rFonts w:ascii="Times New Roman" w:eastAsia="Times New Roman" w:hAnsi="Times New Roman" w:cs="Times New Roman"/>
          <w:sz w:val="24"/>
          <w:szCs w:val="24"/>
        </w:rPr>
        <w:t xml:space="preserve"> </w:t>
      </w:r>
    </w:p>
    <w:p w14:paraId="6D4D2FEB"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Madisa</w:t>
      </w:r>
      <w:proofErr w:type="spellEnd"/>
      <w:r>
        <w:rPr>
          <w:rFonts w:ascii="Times New Roman" w:eastAsia="Times New Roman" w:hAnsi="Times New Roman" w:cs="Times New Roman"/>
          <w:sz w:val="24"/>
          <w:szCs w:val="24"/>
        </w:rPr>
        <w:t>, M.K., 2025. The Impact of Culture on Negotiation Styles and Outcomes.</w:t>
      </w:r>
      <w:hyperlink r:id="rId64">
        <w:r>
          <w:rPr>
            <w:rFonts w:ascii="Times New Roman" w:eastAsia="Times New Roman" w:hAnsi="Times New Roman" w:cs="Times New Roman"/>
            <w:sz w:val="24"/>
            <w:szCs w:val="24"/>
          </w:rPr>
          <w:t xml:space="preserve"> </w:t>
        </w:r>
      </w:hyperlink>
      <w:hyperlink r:id="rId65">
        <w:r>
          <w:rPr>
            <w:rFonts w:ascii="Times New Roman" w:eastAsia="Times New Roman" w:hAnsi="Times New Roman" w:cs="Times New Roman"/>
            <w:color w:val="1155CC"/>
            <w:sz w:val="24"/>
            <w:szCs w:val="24"/>
            <w:u w:val="single"/>
          </w:rPr>
          <w:t>https://www.researchgate.net/profile/Mayibongwe-</w:t>
        </w:r>
        <w:r>
          <w:rPr>
            <w:rFonts w:ascii="Times New Roman" w:eastAsia="Times New Roman" w:hAnsi="Times New Roman" w:cs="Times New Roman"/>
            <w:color w:val="1155CC"/>
            <w:sz w:val="24"/>
            <w:szCs w:val="24"/>
            <w:u w:val="single"/>
          </w:rPr>
          <w:lastRenderedPageBreak/>
          <w:t>Madisa/publication/391914603_The_Impact_of_Culture_on_Negotiation_Styles_and_Outcomes/links/682d6fab026fee1034f9a197/The-Impact-of-Culture-on-Negotiation-Styles-and-Outcomes.pdf</w:t>
        </w:r>
      </w:hyperlink>
      <w:r>
        <w:rPr>
          <w:rFonts w:ascii="Times New Roman" w:eastAsia="Times New Roman" w:hAnsi="Times New Roman" w:cs="Times New Roman"/>
          <w:sz w:val="24"/>
          <w:szCs w:val="24"/>
        </w:rPr>
        <w:t xml:space="preserve"> </w:t>
      </w:r>
    </w:p>
    <w:p w14:paraId="4534312C"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Matey, C. and Narkhede, S., 2021. Marketing Strategy Adopted by Cement Industry in India. RESEARCH JOURNEY, p.20.</w:t>
      </w:r>
      <w:hyperlink r:id="rId66" w:anchor="page=21">
        <w:r>
          <w:rPr>
            <w:rFonts w:ascii="Times New Roman" w:eastAsia="Times New Roman" w:hAnsi="Times New Roman" w:cs="Times New Roman"/>
            <w:sz w:val="24"/>
            <w:szCs w:val="24"/>
          </w:rPr>
          <w:t xml:space="preserve"> </w:t>
        </w:r>
      </w:hyperlink>
      <w:hyperlink r:id="rId67" w:anchor="page=21">
        <w:r>
          <w:rPr>
            <w:rFonts w:ascii="Times New Roman" w:eastAsia="Times New Roman" w:hAnsi="Times New Roman" w:cs="Times New Roman"/>
            <w:color w:val="1155CC"/>
            <w:sz w:val="24"/>
            <w:szCs w:val="24"/>
            <w:u w:val="single"/>
          </w:rPr>
          <w:t>https://www.shriwaghmarebrothers.com/wp-content/uploads/2021/12/Special_Issue_269_C-SPKM_Sawantwadi.pdf#page=21</w:t>
        </w:r>
      </w:hyperlink>
      <w:r>
        <w:rPr>
          <w:rFonts w:ascii="Times New Roman" w:eastAsia="Times New Roman" w:hAnsi="Times New Roman" w:cs="Times New Roman"/>
          <w:sz w:val="24"/>
          <w:szCs w:val="24"/>
        </w:rPr>
        <w:t xml:space="preserve"> </w:t>
      </w:r>
    </w:p>
    <w:p w14:paraId="7E4F46EA"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Matyakubovna</w:t>
      </w:r>
      <w:proofErr w:type="spellEnd"/>
      <w:r>
        <w:rPr>
          <w:rFonts w:ascii="Times New Roman" w:eastAsia="Times New Roman" w:hAnsi="Times New Roman" w:cs="Times New Roman"/>
          <w:sz w:val="24"/>
          <w:szCs w:val="24"/>
        </w:rPr>
        <w:t xml:space="preserve">, M.K. and </w:t>
      </w:r>
      <w:proofErr w:type="spellStart"/>
      <w:r>
        <w:rPr>
          <w:rFonts w:ascii="Times New Roman" w:eastAsia="Times New Roman" w:hAnsi="Times New Roman" w:cs="Times New Roman"/>
          <w:sz w:val="24"/>
          <w:szCs w:val="24"/>
        </w:rPr>
        <w:t>Ozodbek</w:t>
      </w:r>
      <w:proofErr w:type="spellEnd"/>
      <w:r>
        <w:rPr>
          <w:rFonts w:ascii="Times New Roman" w:eastAsia="Times New Roman" w:hAnsi="Times New Roman" w:cs="Times New Roman"/>
          <w:sz w:val="24"/>
          <w:szCs w:val="24"/>
        </w:rPr>
        <w:t>, I., 2025. CORPORATE CULTURE AND LEADERSHIP STYLES: A COMPARATIVE ANALYSIS OF WESTERN AND EASTERN MANAGEMENT. JOURNAL OF MULTIDISCIPLINARY BULLETIN, 8(3), pp.126-133.</w:t>
      </w:r>
      <w:hyperlink r:id="rId68">
        <w:r>
          <w:rPr>
            <w:rFonts w:ascii="Times New Roman" w:eastAsia="Times New Roman" w:hAnsi="Times New Roman" w:cs="Times New Roman"/>
            <w:sz w:val="24"/>
            <w:szCs w:val="24"/>
          </w:rPr>
          <w:t xml:space="preserve"> </w:t>
        </w:r>
      </w:hyperlink>
      <w:hyperlink r:id="rId69">
        <w:r>
          <w:rPr>
            <w:rFonts w:ascii="Times New Roman" w:eastAsia="Times New Roman" w:hAnsi="Times New Roman" w:cs="Times New Roman"/>
            <w:color w:val="1155CC"/>
            <w:sz w:val="24"/>
            <w:szCs w:val="24"/>
            <w:u w:val="single"/>
          </w:rPr>
          <w:t>https://sirpublishers.org/index.php/jomb/article/download/1073/2032</w:t>
        </w:r>
      </w:hyperlink>
      <w:r>
        <w:rPr>
          <w:rFonts w:ascii="Times New Roman" w:eastAsia="Times New Roman" w:hAnsi="Times New Roman" w:cs="Times New Roman"/>
          <w:sz w:val="24"/>
          <w:szCs w:val="24"/>
        </w:rPr>
        <w:t xml:space="preserve"> </w:t>
      </w:r>
    </w:p>
    <w:p w14:paraId="4260685B"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Muñoz-Vélez, M.F., Salazar-Serna, K., Escobar-Torres, D., Rojas-Manzano, M.A., Gómez-Gómez, A. and Maury-Ramírez, A., 2023. Circular economy: adding value to the post-industrial waste through the transformation of aluminum dross for cement matrix applications. Sustainability, 15(18), p.13952.</w:t>
      </w:r>
      <w:hyperlink r:id="rId70">
        <w:r>
          <w:rPr>
            <w:rFonts w:ascii="Times New Roman" w:eastAsia="Times New Roman" w:hAnsi="Times New Roman" w:cs="Times New Roman"/>
            <w:sz w:val="24"/>
            <w:szCs w:val="24"/>
          </w:rPr>
          <w:t xml:space="preserve"> </w:t>
        </w:r>
      </w:hyperlink>
      <w:hyperlink r:id="rId71">
        <w:r>
          <w:rPr>
            <w:rFonts w:ascii="Times New Roman" w:eastAsia="Times New Roman" w:hAnsi="Times New Roman" w:cs="Times New Roman"/>
            <w:color w:val="1155CC"/>
            <w:sz w:val="24"/>
            <w:szCs w:val="24"/>
            <w:u w:val="single"/>
          </w:rPr>
          <w:t>https://www.mdpi.com/2071-1050/15/18/13952</w:t>
        </w:r>
      </w:hyperlink>
      <w:r>
        <w:rPr>
          <w:rFonts w:ascii="Times New Roman" w:eastAsia="Times New Roman" w:hAnsi="Times New Roman" w:cs="Times New Roman"/>
          <w:sz w:val="24"/>
          <w:szCs w:val="24"/>
        </w:rPr>
        <w:t xml:space="preserve"> </w:t>
      </w:r>
    </w:p>
    <w:p w14:paraId="079053E3"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Onabowale</w:t>
      </w:r>
      <w:proofErr w:type="spellEnd"/>
      <w:r>
        <w:rPr>
          <w:rFonts w:ascii="Times New Roman" w:eastAsia="Times New Roman" w:hAnsi="Times New Roman" w:cs="Times New Roman"/>
          <w:sz w:val="24"/>
          <w:szCs w:val="24"/>
        </w:rPr>
        <w:t>, O., 2024. Unveiling energy finance: Capital dynamics and market influence on financial achievement. International Research Journal of Modernization in Engineering Technology and Science, 7, pp.2582-5208.</w:t>
      </w:r>
      <w:hyperlink r:id="rId72">
        <w:r>
          <w:rPr>
            <w:rFonts w:ascii="Times New Roman" w:eastAsia="Times New Roman" w:hAnsi="Times New Roman" w:cs="Times New Roman"/>
            <w:sz w:val="24"/>
            <w:szCs w:val="24"/>
          </w:rPr>
          <w:t xml:space="preserve"> </w:t>
        </w:r>
      </w:hyperlink>
      <w:hyperlink r:id="rId73">
        <w:r>
          <w:rPr>
            <w:rFonts w:ascii="Times New Roman" w:eastAsia="Times New Roman" w:hAnsi="Times New Roman" w:cs="Times New Roman"/>
            <w:color w:val="1155CC"/>
            <w:sz w:val="24"/>
            <w:szCs w:val="24"/>
            <w:u w:val="single"/>
          </w:rPr>
          <w:t>https://www.researchgate.net/profile/Oreoluwa-Onabowale-2/publication/388492057_UNVEILING_ENERGY_FINANCE_CAPITAL_DYNAMICS_AND_MARKET_INFLUENCE_ON_FINANCIAL_ACHIEVEMENT/links/679a9d1b4c479b26c9c0dac3/UNVEILING-ENERGY-FINANCE-CAPITAL-DYNAMICS-AND-MARKET-INFLUENCE-ON-FINANCIAL-ACHIEVEMENT.pdf</w:t>
        </w:r>
      </w:hyperlink>
      <w:r>
        <w:rPr>
          <w:rFonts w:ascii="Times New Roman" w:eastAsia="Times New Roman" w:hAnsi="Times New Roman" w:cs="Times New Roman"/>
          <w:sz w:val="24"/>
          <w:szCs w:val="24"/>
        </w:rPr>
        <w:t xml:space="preserve"> </w:t>
      </w:r>
    </w:p>
    <w:p w14:paraId="46EEE35C"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Rachmad</w:t>
      </w:r>
      <w:proofErr w:type="spellEnd"/>
      <w:r>
        <w:rPr>
          <w:rFonts w:ascii="Times New Roman" w:eastAsia="Times New Roman" w:hAnsi="Times New Roman" w:cs="Times New Roman"/>
          <w:sz w:val="24"/>
          <w:szCs w:val="24"/>
        </w:rPr>
        <w:t>, Y.E., 2023. Authenticity-Driven Engagement Theory.</w:t>
      </w:r>
      <w:hyperlink r:id="rId74">
        <w:r>
          <w:rPr>
            <w:rFonts w:ascii="Times New Roman" w:eastAsia="Times New Roman" w:hAnsi="Times New Roman" w:cs="Times New Roman"/>
            <w:sz w:val="24"/>
            <w:szCs w:val="24"/>
          </w:rPr>
          <w:t xml:space="preserve"> </w:t>
        </w:r>
      </w:hyperlink>
      <w:hyperlink r:id="rId75">
        <w:r>
          <w:rPr>
            <w:rFonts w:ascii="Times New Roman" w:eastAsia="Times New Roman" w:hAnsi="Times New Roman" w:cs="Times New Roman"/>
            <w:color w:val="1155CC"/>
            <w:sz w:val="24"/>
            <w:szCs w:val="24"/>
            <w:u w:val="single"/>
          </w:rPr>
          <w:t>https://www.researchgate.net/profile/Yoesoep-Rachmad/publication/397273112_Authenticity-Driven_Engagement_Theory/links/690aa48aa404d65709a27937/Authenticity-Driven-Engagement-Theory.pdf</w:t>
        </w:r>
      </w:hyperlink>
      <w:r>
        <w:rPr>
          <w:rFonts w:ascii="Times New Roman" w:eastAsia="Times New Roman" w:hAnsi="Times New Roman" w:cs="Times New Roman"/>
          <w:sz w:val="24"/>
          <w:szCs w:val="24"/>
        </w:rPr>
        <w:t xml:space="preserve">  </w:t>
      </w:r>
    </w:p>
    <w:p w14:paraId="55952D97"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Rizqulloh</w:t>
      </w:r>
      <w:proofErr w:type="spellEnd"/>
      <w:r>
        <w:rPr>
          <w:rFonts w:ascii="Times New Roman" w:eastAsia="Times New Roman" w:hAnsi="Times New Roman" w:cs="Times New Roman"/>
          <w:sz w:val="24"/>
          <w:szCs w:val="24"/>
        </w:rPr>
        <w:t xml:space="preserve">, A.D.B., </w:t>
      </w:r>
      <w:proofErr w:type="spellStart"/>
      <w:r>
        <w:rPr>
          <w:rFonts w:ascii="Times New Roman" w:eastAsia="Times New Roman" w:hAnsi="Times New Roman" w:cs="Times New Roman"/>
          <w:sz w:val="24"/>
          <w:szCs w:val="24"/>
        </w:rPr>
        <w:t>Kuncoro</w:t>
      </w:r>
      <w:proofErr w:type="spellEnd"/>
      <w:r>
        <w:rPr>
          <w:rFonts w:ascii="Times New Roman" w:eastAsia="Times New Roman" w:hAnsi="Times New Roman" w:cs="Times New Roman"/>
          <w:sz w:val="24"/>
          <w:szCs w:val="24"/>
        </w:rPr>
        <w:t xml:space="preserve">, W.A., </w:t>
      </w:r>
      <w:proofErr w:type="spellStart"/>
      <w:r>
        <w:rPr>
          <w:rFonts w:ascii="Times New Roman" w:eastAsia="Times New Roman" w:hAnsi="Times New Roman" w:cs="Times New Roman"/>
          <w:sz w:val="24"/>
          <w:szCs w:val="24"/>
        </w:rPr>
        <w:t>Hidayati</w:t>
      </w:r>
      <w:proofErr w:type="spellEnd"/>
      <w:r>
        <w:rPr>
          <w:rFonts w:ascii="Times New Roman" w:eastAsia="Times New Roman" w:hAnsi="Times New Roman" w:cs="Times New Roman"/>
          <w:sz w:val="24"/>
          <w:szCs w:val="24"/>
        </w:rPr>
        <w:t xml:space="preserve">, R. and </w:t>
      </w:r>
      <w:proofErr w:type="spellStart"/>
      <w:r>
        <w:rPr>
          <w:rFonts w:ascii="Times New Roman" w:eastAsia="Times New Roman" w:hAnsi="Times New Roman" w:cs="Times New Roman"/>
          <w:sz w:val="24"/>
          <w:szCs w:val="24"/>
        </w:rPr>
        <w:t>Lataruva</w:t>
      </w:r>
      <w:proofErr w:type="spellEnd"/>
      <w:r>
        <w:rPr>
          <w:rFonts w:ascii="Times New Roman" w:eastAsia="Times New Roman" w:hAnsi="Times New Roman" w:cs="Times New Roman"/>
          <w:sz w:val="24"/>
          <w:szCs w:val="24"/>
        </w:rPr>
        <w:t>, E., 2024. Improving employee performance quality through training and work life balance: literature review. Research Horizon, 4(6), pp.317-326.</w:t>
      </w:r>
      <w:hyperlink r:id="rId76">
        <w:r>
          <w:rPr>
            <w:rFonts w:ascii="Times New Roman" w:eastAsia="Times New Roman" w:hAnsi="Times New Roman" w:cs="Times New Roman"/>
            <w:sz w:val="24"/>
            <w:szCs w:val="24"/>
          </w:rPr>
          <w:t xml:space="preserve"> </w:t>
        </w:r>
      </w:hyperlink>
      <w:hyperlink r:id="rId77">
        <w:r>
          <w:rPr>
            <w:rFonts w:ascii="Times New Roman" w:eastAsia="Times New Roman" w:hAnsi="Times New Roman" w:cs="Times New Roman"/>
            <w:color w:val="1155CC"/>
            <w:sz w:val="24"/>
            <w:szCs w:val="24"/>
            <w:u w:val="single"/>
          </w:rPr>
          <w:t>http://journal.lifescifi.com/index.php/RH/article/download/427/344</w:t>
        </w:r>
      </w:hyperlink>
      <w:r>
        <w:rPr>
          <w:rFonts w:ascii="Times New Roman" w:eastAsia="Times New Roman" w:hAnsi="Times New Roman" w:cs="Times New Roman"/>
          <w:sz w:val="24"/>
          <w:szCs w:val="24"/>
        </w:rPr>
        <w:t xml:space="preserve">  </w:t>
      </w:r>
    </w:p>
    <w:p w14:paraId="5702ECA5"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Sahoo, L., 2024. A Cost Management on Aditya Birla Fashion and Retail Ltd.</w:t>
      </w:r>
      <w:hyperlink r:id="rId78">
        <w:r>
          <w:rPr>
            <w:rFonts w:ascii="Times New Roman" w:eastAsia="Times New Roman" w:hAnsi="Times New Roman" w:cs="Times New Roman"/>
            <w:sz w:val="24"/>
            <w:szCs w:val="24"/>
          </w:rPr>
          <w:t xml:space="preserve"> </w:t>
        </w:r>
      </w:hyperlink>
      <w:hyperlink r:id="rId79">
        <w:r>
          <w:rPr>
            <w:rFonts w:ascii="Times New Roman" w:eastAsia="Times New Roman" w:hAnsi="Times New Roman" w:cs="Times New Roman"/>
            <w:color w:val="1155CC"/>
            <w:sz w:val="24"/>
            <w:szCs w:val="24"/>
            <w:u w:val="single"/>
          </w:rPr>
          <w:t>http://biitm.dspaces.org/bitstream/123456789/1176/1/LIPSA%20SAHOO%20SIP-29.pdf</w:t>
        </w:r>
      </w:hyperlink>
      <w:r>
        <w:rPr>
          <w:rFonts w:ascii="Times New Roman" w:eastAsia="Times New Roman" w:hAnsi="Times New Roman" w:cs="Times New Roman"/>
          <w:sz w:val="24"/>
          <w:szCs w:val="24"/>
        </w:rPr>
        <w:t xml:space="preserve"> </w:t>
      </w:r>
    </w:p>
    <w:p w14:paraId="263D5A46"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Sedita, S.R., Blasi, S. and Yang, J., 2022. The cultural dimensions of sustainable development: A cross‐country configurational analysis. Sustainable Development, 30(6), pp.1838-1849.</w:t>
      </w:r>
      <w:hyperlink r:id="rId80">
        <w:r>
          <w:rPr>
            <w:rFonts w:ascii="Times New Roman" w:eastAsia="Times New Roman" w:hAnsi="Times New Roman" w:cs="Times New Roman"/>
            <w:sz w:val="24"/>
            <w:szCs w:val="24"/>
          </w:rPr>
          <w:t xml:space="preserve"> </w:t>
        </w:r>
      </w:hyperlink>
      <w:hyperlink r:id="rId81">
        <w:r>
          <w:rPr>
            <w:rFonts w:ascii="Times New Roman" w:eastAsia="Times New Roman" w:hAnsi="Times New Roman" w:cs="Times New Roman"/>
            <w:color w:val="1155CC"/>
            <w:sz w:val="24"/>
            <w:szCs w:val="24"/>
            <w:u w:val="single"/>
          </w:rPr>
          <w:t>https://onlinelibrary.wiley.com/doi/pdfdirect/10.1002/sd.2351</w:t>
        </w:r>
      </w:hyperlink>
      <w:r>
        <w:rPr>
          <w:rFonts w:ascii="Times New Roman" w:eastAsia="Times New Roman" w:hAnsi="Times New Roman" w:cs="Times New Roman"/>
          <w:sz w:val="24"/>
          <w:szCs w:val="24"/>
        </w:rPr>
        <w:t xml:space="preserve">  </w:t>
      </w:r>
    </w:p>
    <w:p w14:paraId="1ABCEB3A"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Shanmugamani, K. and Mohamad, F., 2023. The implementation of warehouse management system (</w:t>
      </w:r>
      <w:proofErr w:type="spellStart"/>
      <w:r>
        <w:rPr>
          <w:rFonts w:ascii="Times New Roman" w:eastAsia="Times New Roman" w:hAnsi="Times New Roman" w:cs="Times New Roman"/>
          <w:sz w:val="24"/>
          <w:szCs w:val="24"/>
        </w:rPr>
        <w:t>wms</w:t>
      </w:r>
      <w:proofErr w:type="spellEnd"/>
      <w:r>
        <w:rPr>
          <w:rFonts w:ascii="Times New Roman" w:eastAsia="Times New Roman" w:hAnsi="Times New Roman" w:cs="Times New Roman"/>
          <w:sz w:val="24"/>
          <w:szCs w:val="24"/>
        </w:rPr>
        <w:t>) to improve warehouse performance in business to business (B2B). International Journal of Industrial Management, 17(4), pp.231-239.</w:t>
      </w:r>
      <w:hyperlink r:id="rId82">
        <w:r>
          <w:rPr>
            <w:rFonts w:ascii="Times New Roman" w:eastAsia="Times New Roman" w:hAnsi="Times New Roman" w:cs="Times New Roman"/>
            <w:sz w:val="24"/>
            <w:szCs w:val="24"/>
          </w:rPr>
          <w:t xml:space="preserve"> </w:t>
        </w:r>
      </w:hyperlink>
      <w:hyperlink r:id="rId83">
        <w:r>
          <w:rPr>
            <w:rFonts w:ascii="Times New Roman" w:eastAsia="Times New Roman" w:hAnsi="Times New Roman" w:cs="Times New Roman"/>
            <w:color w:val="1155CC"/>
            <w:sz w:val="24"/>
            <w:szCs w:val="24"/>
            <w:u w:val="single"/>
          </w:rPr>
          <w:t>https://journal.ump.edu.my/ijim/article/download/10091/3054</w:t>
        </w:r>
      </w:hyperlink>
      <w:r>
        <w:rPr>
          <w:rFonts w:ascii="Times New Roman" w:eastAsia="Times New Roman" w:hAnsi="Times New Roman" w:cs="Times New Roman"/>
          <w:sz w:val="24"/>
          <w:szCs w:val="24"/>
        </w:rPr>
        <w:t xml:space="preserve"> </w:t>
      </w:r>
    </w:p>
    <w:p w14:paraId="5C98C199"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Shapiro, C., 2025. Acquisitions to Enter New Markets. Journal of Economic Perspectives, 39(1), pp.53-76.</w:t>
      </w:r>
      <w:hyperlink r:id="rId84">
        <w:r>
          <w:rPr>
            <w:rFonts w:ascii="Times New Roman" w:eastAsia="Times New Roman" w:hAnsi="Times New Roman" w:cs="Times New Roman"/>
            <w:sz w:val="24"/>
            <w:szCs w:val="24"/>
          </w:rPr>
          <w:t xml:space="preserve"> </w:t>
        </w:r>
      </w:hyperlink>
      <w:hyperlink r:id="rId85">
        <w:r>
          <w:rPr>
            <w:rFonts w:ascii="Times New Roman" w:eastAsia="Times New Roman" w:hAnsi="Times New Roman" w:cs="Times New Roman"/>
            <w:color w:val="1155CC"/>
            <w:sz w:val="24"/>
            <w:szCs w:val="24"/>
            <w:u w:val="single"/>
          </w:rPr>
          <w:t>https://pubs.aeaweb.org/doi/pdf/10.1257/jep.20241414</w:t>
        </w:r>
      </w:hyperlink>
      <w:r>
        <w:rPr>
          <w:rFonts w:ascii="Times New Roman" w:eastAsia="Times New Roman" w:hAnsi="Times New Roman" w:cs="Times New Roman"/>
          <w:sz w:val="24"/>
          <w:szCs w:val="24"/>
        </w:rPr>
        <w:t xml:space="preserve"> </w:t>
      </w:r>
    </w:p>
    <w:p w14:paraId="6B47E6E4"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Sitepu</w:t>
      </w:r>
      <w:proofErr w:type="spellEnd"/>
      <w:r>
        <w:rPr>
          <w:rFonts w:ascii="Times New Roman" w:eastAsia="Times New Roman" w:hAnsi="Times New Roman" w:cs="Times New Roman"/>
          <w:sz w:val="24"/>
          <w:szCs w:val="24"/>
        </w:rPr>
        <w:t xml:space="preserve">, K. and Tampubolon, A.M., 2024. Government Policies and Foreign Direct Investment: Driving Sustainable Economic Growth and Development. </w:t>
      </w:r>
      <w:proofErr w:type="spellStart"/>
      <w:r>
        <w:rPr>
          <w:rFonts w:ascii="Times New Roman" w:eastAsia="Times New Roman" w:hAnsi="Times New Roman" w:cs="Times New Roman"/>
          <w:sz w:val="24"/>
          <w:szCs w:val="24"/>
        </w:rPr>
        <w:t>Inspirasi</w:t>
      </w:r>
      <w:proofErr w:type="spellEnd"/>
      <w:r>
        <w:rPr>
          <w:rFonts w:ascii="Times New Roman" w:eastAsia="Times New Roman" w:hAnsi="Times New Roman" w:cs="Times New Roman"/>
          <w:sz w:val="24"/>
          <w:szCs w:val="24"/>
        </w:rPr>
        <w:t xml:space="preserve"> &amp; Strategi (INSPIRAT): </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Kebijakan</w:t>
      </w:r>
      <w:proofErr w:type="spellEnd"/>
      <w:r>
        <w:rPr>
          <w:rFonts w:ascii="Times New Roman" w:eastAsia="Times New Roman" w:hAnsi="Times New Roman" w:cs="Times New Roman"/>
          <w:sz w:val="24"/>
          <w:szCs w:val="24"/>
        </w:rPr>
        <w:t xml:space="preserve"> Publik &amp; </w:t>
      </w:r>
      <w:proofErr w:type="spellStart"/>
      <w:r>
        <w:rPr>
          <w:rFonts w:ascii="Times New Roman" w:eastAsia="Times New Roman" w:hAnsi="Times New Roman" w:cs="Times New Roman"/>
          <w:sz w:val="24"/>
          <w:szCs w:val="24"/>
        </w:rPr>
        <w:t>Bisnis</w:t>
      </w:r>
      <w:proofErr w:type="spellEnd"/>
      <w:r>
        <w:rPr>
          <w:rFonts w:ascii="Times New Roman" w:eastAsia="Times New Roman" w:hAnsi="Times New Roman" w:cs="Times New Roman"/>
          <w:sz w:val="24"/>
          <w:szCs w:val="24"/>
        </w:rPr>
        <w:t>, 15(1), pp.1-9.</w:t>
      </w:r>
      <w:hyperlink r:id="rId86">
        <w:r>
          <w:rPr>
            <w:rFonts w:ascii="Times New Roman" w:eastAsia="Times New Roman" w:hAnsi="Times New Roman" w:cs="Times New Roman"/>
            <w:sz w:val="24"/>
            <w:szCs w:val="24"/>
          </w:rPr>
          <w:t xml:space="preserve"> </w:t>
        </w:r>
      </w:hyperlink>
      <w:hyperlink r:id="rId87">
        <w:r>
          <w:rPr>
            <w:rFonts w:ascii="Times New Roman" w:eastAsia="Times New Roman" w:hAnsi="Times New Roman" w:cs="Times New Roman"/>
            <w:color w:val="1155CC"/>
            <w:sz w:val="24"/>
            <w:szCs w:val="24"/>
            <w:u w:val="single"/>
          </w:rPr>
          <w:t>https://ejournal.isha.or.id/index.php/Inspirat/article/download/335/370</w:t>
        </w:r>
      </w:hyperlink>
      <w:r>
        <w:rPr>
          <w:rFonts w:ascii="Times New Roman" w:eastAsia="Times New Roman" w:hAnsi="Times New Roman" w:cs="Times New Roman"/>
          <w:sz w:val="24"/>
          <w:szCs w:val="24"/>
        </w:rPr>
        <w:t xml:space="preserve"> </w:t>
      </w:r>
    </w:p>
    <w:p w14:paraId="4071B0A4"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Szczepańska-</w:t>
      </w:r>
      <w:proofErr w:type="spellStart"/>
      <w:r>
        <w:rPr>
          <w:rFonts w:ascii="Times New Roman" w:eastAsia="Times New Roman" w:hAnsi="Times New Roman" w:cs="Times New Roman"/>
          <w:sz w:val="24"/>
          <w:szCs w:val="24"/>
        </w:rPr>
        <w:t>Woszczyna</w:t>
      </w:r>
      <w:proofErr w:type="spellEnd"/>
      <w:r>
        <w:rPr>
          <w:rFonts w:ascii="Times New Roman" w:eastAsia="Times New Roman" w:hAnsi="Times New Roman" w:cs="Times New Roman"/>
          <w:sz w:val="24"/>
          <w:szCs w:val="24"/>
        </w:rPr>
        <w:t xml:space="preserve">, K. and </w:t>
      </w:r>
      <w:proofErr w:type="spellStart"/>
      <w:r>
        <w:rPr>
          <w:rFonts w:ascii="Times New Roman" w:eastAsia="Times New Roman" w:hAnsi="Times New Roman" w:cs="Times New Roman"/>
          <w:sz w:val="24"/>
          <w:szCs w:val="24"/>
        </w:rPr>
        <w:t>Gatnar</w:t>
      </w:r>
      <w:proofErr w:type="spellEnd"/>
      <w:r>
        <w:rPr>
          <w:rFonts w:ascii="Times New Roman" w:eastAsia="Times New Roman" w:hAnsi="Times New Roman" w:cs="Times New Roman"/>
          <w:sz w:val="24"/>
          <w:szCs w:val="24"/>
        </w:rPr>
        <w:t xml:space="preserve">, S., 2022, September. Key competences of research and development project managers in high technology sector. In Forum Scientiae </w:t>
      </w:r>
      <w:proofErr w:type="spellStart"/>
      <w:r>
        <w:rPr>
          <w:rFonts w:ascii="Times New Roman" w:eastAsia="Times New Roman" w:hAnsi="Times New Roman" w:cs="Times New Roman"/>
          <w:sz w:val="24"/>
          <w:szCs w:val="24"/>
        </w:rPr>
        <w:t>Oeconomia</w:t>
      </w:r>
      <w:proofErr w:type="spellEnd"/>
      <w:r>
        <w:rPr>
          <w:rFonts w:ascii="Times New Roman" w:eastAsia="Times New Roman" w:hAnsi="Times New Roman" w:cs="Times New Roman"/>
          <w:sz w:val="24"/>
          <w:szCs w:val="24"/>
        </w:rPr>
        <w:t xml:space="preserve"> (Vol. 10, No. 3, pp. 107-130).</w:t>
      </w:r>
      <w:hyperlink r:id="rId88">
        <w:r>
          <w:rPr>
            <w:rFonts w:ascii="Times New Roman" w:eastAsia="Times New Roman" w:hAnsi="Times New Roman" w:cs="Times New Roman"/>
            <w:sz w:val="24"/>
            <w:szCs w:val="24"/>
          </w:rPr>
          <w:t xml:space="preserve"> </w:t>
        </w:r>
      </w:hyperlink>
      <w:hyperlink r:id="rId89">
        <w:r>
          <w:rPr>
            <w:rFonts w:ascii="Times New Roman" w:eastAsia="Times New Roman" w:hAnsi="Times New Roman" w:cs="Times New Roman"/>
            <w:color w:val="1155CC"/>
            <w:sz w:val="24"/>
            <w:szCs w:val="24"/>
            <w:u w:val="single"/>
          </w:rPr>
          <w:t>https://ojs.wsb.edu.pl/index.php/fso/article/download/574/324</w:t>
        </w:r>
      </w:hyperlink>
      <w:r>
        <w:rPr>
          <w:rFonts w:ascii="Times New Roman" w:eastAsia="Times New Roman" w:hAnsi="Times New Roman" w:cs="Times New Roman"/>
          <w:sz w:val="24"/>
          <w:szCs w:val="24"/>
        </w:rPr>
        <w:t xml:space="preserve"> </w:t>
      </w:r>
    </w:p>
    <w:p w14:paraId="64924823"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Tang, K., 2023. The political economy of special economic zones: the cases of Ethiopia and Vietnam. Review of International Political Economy, 30(5), pp.1957-1983.</w:t>
      </w:r>
      <w:hyperlink r:id="rId90">
        <w:r>
          <w:rPr>
            <w:rFonts w:ascii="Times New Roman" w:eastAsia="Times New Roman" w:hAnsi="Times New Roman" w:cs="Times New Roman"/>
            <w:sz w:val="24"/>
            <w:szCs w:val="24"/>
          </w:rPr>
          <w:t xml:space="preserve"> </w:t>
        </w:r>
      </w:hyperlink>
      <w:hyperlink r:id="rId91">
        <w:r>
          <w:rPr>
            <w:rFonts w:ascii="Times New Roman" w:eastAsia="Times New Roman" w:hAnsi="Times New Roman" w:cs="Times New Roman"/>
            <w:color w:val="1155CC"/>
            <w:sz w:val="24"/>
            <w:szCs w:val="24"/>
            <w:u w:val="single"/>
          </w:rPr>
          <w:t>https://www.academia.edu/download/95396953/The_political_economy_of_special_economic_zones_the_cases_of_Ethiopia_and_Vietnam.pdf</w:t>
        </w:r>
      </w:hyperlink>
      <w:r>
        <w:rPr>
          <w:rFonts w:ascii="Times New Roman" w:eastAsia="Times New Roman" w:hAnsi="Times New Roman" w:cs="Times New Roman"/>
          <w:sz w:val="24"/>
          <w:szCs w:val="24"/>
        </w:rPr>
        <w:t xml:space="preserve"> </w:t>
      </w:r>
    </w:p>
    <w:p w14:paraId="5AE64845"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Tarigan</w:t>
      </w:r>
      <w:proofErr w:type="spellEnd"/>
      <w:r>
        <w:rPr>
          <w:rFonts w:ascii="Times New Roman" w:eastAsia="Times New Roman" w:hAnsi="Times New Roman" w:cs="Times New Roman"/>
          <w:sz w:val="24"/>
          <w:szCs w:val="24"/>
        </w:rPr>
        <w:t xml:space="preserve">, Z.J.H., </w:t>
      </w:r>
      <w:proofErr w:type="spellStart"/>
      <w:r>
        <w:rPr>
          <w:rFonts w:ascii="Times New Roman" w:eastAsia="Times New Roman" w:hAnsi="Times New Roman" w:cs="Times New Roman"/>
          <w:sz w:val="24"/>
          <w:szCs w:val="24"/>
        </w:rPr>
        <w:t>Siagian</w:t>
      </w:r>
      <w:proofErr w:type="spellEnd"/>
      <w:r>
        <w:rPr>
          <w:rFonts w:ascii="Times New Roman" w:eastAsia="Times New Roman" w:hAnsi="Times New Roman" w:cs="Times New Roman"/>
          <w:sz w:val="24"/>
          <w:szCs w:val="24"/>
        </w:rPr>
        <w:t>, H. and Jie, F., 2021. Impact of internal integration, supply chain partnership, supply chain agility, and supply chain resilience on sustainable advantage. Sustainability, 13(10), p.5460.</w:t>
      </w:r>
      <w:hyperlink r:id="rId92">
        <w:r>
          <w:rPr>
            <w:rFonts w:ascii="Times New Roman" w:eastAsia="Times New Roman" w:hAnsi="Times New Roman" w:cs="Times New Roman"/>
            <w:sz w:val="24"/>
            <w:szCs w:val="24"/>
          </w:rPr>
          <w:t xml:space="preserve"> </w:t>
        </w:r>
      </w:hyperlink>
      <w:hyperlink r:id="rId93">
        <w:r>
          <w:rPr>
            <w:rFonts w:ascii="Times New Roman" w:eastAsia="Times New Roman" w:hAnsi="Times New Roman" w:cs="Times New Roman"/>
            <w:color w:val="1155CC"/>
            <w:sz w:val="24"/>
            <w:szCs w:val="24"/>
            <w:u w:val="single"/>
          </w:rPr>
          <w:t>https://www.mdpi.com/2071-1050/13/10/5460/pdf</w:t>
        </w:r>
      </w:hyperlink>
      <w:r>
        <w:rPr>
          <w:rFonts w:ascii="Times New Roman" w:eastAsia="Times New Roman" w:hAnsi="Times New Roman" w:cs="Times New Roman"/>
          <w:sz w:val="24"/>
          <w:szCs w:val="24"/>
        </w:rPr>
        <w:t xml:space="preserve"> </w:t>
      </w:r>
    </w:p>
    <w:p w14:paraId="4F6F6BF0"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Trang, N.M. and Hung, T., 2025. The Conflict Between Individual Freedom and Social Order in Vietnam Traditional Communities. International Journal of Social Science and Economic Research, 10(05), pp.1703-1720.</w:t>
      </w:r>
      <w:hyperlink r:id="rId94">
        <w:r>
          <w:rPr>
            <w:rFonts w:ascii="Times New Roman" w:eastAsia="Times New Roman" w:hAnsi="Times New Roman" w:cs="Times New Roman"/>
            <w:sz w:val="24"/>
            <w:szCs w:val="24"/>
          </w:rPr>
          <w:t xml:space="preserve"> </w:t>
        </w:r>
      </w:hyperlink>
      <w:hyperlink r:id="rId95">
        <w:r>
          <w:rPr>
            <w:rFonts w:ascii="Times New Roman" w:eastAsia="Times New Roman" w:hAnsi="Times New Roman" w:cs="Times New Roman"/>
            <w:color w:val="1155CC"/>
            <w:sz w:val="24"/>
            <w:szCs w:val="24"/>
            <w:u w:val="single"/>
          </w:rPr>
          <w:t>https://mail.ijsser.org/2025files/ijsser_10__112.pdf</w:t>
        </w:r>
      </w:hyperlink>
      <w:r>
        <w:rPr>
          <w:rFonts w:ascii="Times New Roman" w:eastAsia="Times New Roman" w:hAnsi="Times New Roman" w:cs="Times New Roman"/>
          <w:sz w:val="24"/>
          <w:szCs w:val="24"/>
        </w:rPr>
        <w:t xml:space="preserve"> </w:t>
      </w:r>
    </w:p>
    <w:p w14:paraId="008CAD1C"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Hoang, D., </w:t>
      </w:r>
      <w:proofErr w:type="spellStart"/>
      <w:r>
        <w:rPr>
          <w:rFonts w:ascii="Times New Roman" w:eastAsia="Times New Roman" w:hAnsi="Times New Roman" w:cs="Times New Roman"/>
          <w:sz w:val="24"/>
          <w:szCs w:val="24"/>
        </w:rPr>
        <w:t>Thi</w:t>
      </w:r>
      <w:proofErr w:type="spellEnd"/>
      <w:r>
        <w:rPr>
          <w:rFonts w:ascii="Times New Roman" w:eastAsia="Times New Roman" w:hAnsi="Times New Roman" w:cs="Times New Roman"/>
          <w:sz w:val="24"/>
          <w:szCs w:val="24"/>
        </w:rPr>
        <w:t xml:space="preserve"> Hien, N., Van Thang, H., Nguyen Truc Phuong, P. and </w:t>
      </w:r>
      <w:proofErr w:type="spellStart"/>
      <w:r>
        <w:rPr>
          <w:rFonts w:ascii="Times New Roman" w:eastAsia="Times New Roman" w:hAnsi="Times New Roman" w:cs="Times New Roman"/>
          <w:sz w:val="24"/>
          <w:szCs w:val="24"/>
        </w:rPr>
        <w:t>Thi</w:t>
      </w:r>
      <w:proofErr w:type="spellEnd"/>
      <w:r>
        <w:rPr>
          <w:rFonts w:ascii="Times New Roman" w:eastAsia="Times New Roman" w:hAnsi="Times New Roman" w:cs="Times New Roman"/>
          <w:sz w:val="24"/>
          <w:szCs w:val="24"/>
        </w:rPr>
        <w:t>-Thuy Duong, T., 2025. Digital capabilities and sustainable competitive advantages: the case of emerging market manufacturing SMEs. Sage Open, 15(2), p.21582440251329967.</w:t>
      </w:r>
      <w:hyperlink r:id="rId96">
        <w:r>
          <w:rPr>
            <w:rFonts w:ascii="Times New Roman" w:eastAsia="Times New Roman" w:hAnsi="Times New Roman" w:cs="Times New Roman"/>
            <w:sz w:val="24"/>
            <w:szCs w:val="24"/>
          </w:rPr>
          <w:t xml:space="preserve"> </w:t>
        </w:r>
      </w:hyperlink>
      <w:hyperlink r:id="rId97">
        <w:r>
          <w:rPr>
            <w:rFonts w:ascii="Times New Roman" w:eastAsia="Times New Roman" w:hAnsi="Times New Roman" w:cs="Times New Roman"/>
            <w:color w:val="1155CC"/>
            <w:sz w:val="24"/>
            <w:szCs w:val="24"/>
            <w:u w:val="single"/>
          </w:rPr>
          <w:t>https://journals.sagepub.com/doi/pdf/10.1177/21582440251329967</w:t>
        </w:r>
      </w:hyperlink>
      <w:r>
        <w:rPr>
          <w:rFonts w:ascii="Times New Roman" w:eastAsia="Times New Roman" w:hAnsi="Times New Roman" w:cs="Times New Roman"/>
          <w:sz w:val="24"/>
          <w:szCs w:val="24"/>
        </w:rPr>
        <w:t xml:space="preserve"> </w:t>
      </w:r>
    </w:p>
    <w:p w14:paraId="2FD9B343"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Vinh, H.X., Van, L.H., Thao, N.T., Thao, N.T.P., Giang, L.T.H. and Nga, D.T., 2024. Middle-income traps: Experiences of Asian countries and lessons for Vietnam. Multidisciplinary Reviews, 7(5), pp.2024100-2024100.</w:t>
      </w:r>
      <w:hyperlink r:id="rId98">
        <w:r>
          <w:rPr>
            <w:rFonts w:ascii="Times New Roman" w:eastAsia="Times New Roman" w:hAnsi="Times New Roman" w:cs="Times New Roman"/>
            <w:sz w:val="24"/>
            <w:szCs w:val="24"/>
          </w:rPr>
          <w:t xml:space="preserve"> </w:t>
        </w:r>
      </w:hyperlink>
      <w:hyperlink r:id="rId99">
        <w:r>
          <w:rPr>
            <w:rFonts w:ascii="Times New Roman" w:eastAsia="Times New Roman" w:hAnsi="Times New Roman" w:cs="Times New Roman"/>
            <w:color w:val="1155CC"/>
            <w:sz w:val="24"/>
            <w:szCs w:val="24"/>
            <w:u w:val="single"/>
          </w:rPr>
          <w:t>https://malque.pub/ojs/index.php/mr/article/download/1942/1190</w:t>
        </w:r>
      </w:hyperlink>
      <w:r>
        <w:rPr>
          <w:rFonts w:ascii="Times New Roman" w:eastAsia="Times New Roman" w:hAnsi="Times New Roman" w:cs="Times New Roman"/>
          <w:sz w:val="24"/>
          <w:szCs w:val="24"/>
        </w:rPr>
        <w:t xml:space="preserve"> </w:t>
      </w:r>
    </w:p>
    <w:p w14:paraId="4DBECBA2" w14:textId="77777777" w:rsidR="0086281C"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Viswaprasad</w:t>
      </w:r>
      <w:proofErr w:type="spellEnd"/>
      <w:r>
        <w:rPr>
          <w:rFonts w:ascii="Times New Roman" w:eastAsia="Times New Roman" w:hAnsi="Times New Roman" w:cs="Times New Roman"/>
          <w:sz w:val="24"/>
          <w:szCs w:val="24"/>
        </w:rPr>
        <w:t xml:space="preserve">, R., Sunitha, K., Sri, S.D. and </w:t>
      </w:r>
      <w:proofErr w:type="spellStart"/>
      <w:r>
        <w:rPr>
          <w:rFonts w:ascii="Times New Roman" w:eastAsia="Times New Roman" w:hAnsi="Times New Roman" w:cs="Times New Roman"/>
          <w:sz w:val="24"/>
          <w:szCs w:val="24"/>
        </w:rPr>
        <w:t>Parvataneni</w:t>
      </w:r>
      <w:proofErr w:type="spellEnd"/>
      <w:r>
        <w:rPr>
          <w:rFonts w:ascii="Times New Roman" w:eastAsia="Times New Roman" w:hAnsi="Times New Roman" w:cs="Times New Roman"/>
          <w:sz w:val="24"/>
          <w:szCs w:val="24"/>
        </w:rPr>
        <w:t>, N.S., 2025. Corporate Pathways to Sustainability through Resource Management in Indian Enterprises. Involvement International Journal of Business, 2(4), pp.218-229.</w:t>
      </w:r>
      <w:hyperlink r:id="rId100">
        <w:r>
          <w:rPr>
            <w:rFonts w:ascii="Times New Roman" w:eastAsia="Times New Roman" w:hAnsi="Times New Roman" w:cs="Times New Roman"/>
            <w:sz w:val="24"/>
            <w:szCs w:val="24"/>
          </w:rPr>
          <w:t xml:space="preserve"> </w:t>
        </w:r>
      </w:hyperlink>
      <w:hyperlink r:id="rId101">
        <w:r>
          <w:rPr>
            <w:rFonts w:ascii="Times New Roman" w:eastAsia="Times New Roman" w:hAnsi="Times New Roman" w:cs="Times New Roman"/>
            <w:color w:val="1155CC"/>
            <w:sz w:val="24"/>
            <w:szCs w:val="24"/>
            <w:u w:val="single"/>
          </w:rPr>
          <w:t>https://ejournal.agungmediapublisher.com/index.php/iijb/article/download/158/121</w:t>
        </w:r>
      </w:hyperlink>
      <w:r>
        <w:rPr>
          <w:rFonts w:ascii="Times New Roman" w:eastAsia="Times New Roman" w:hAnsi="Times New Roman" w:cs="Times New Roman"/>
          <w:sz w:val="24"/>
          <w:szCs w:val="24"/>
        </w:rPr>
        <w:t xml:space="preserve"> </w:t>
      </w:r>
    </w:p>
    <w:p w14:paraId="2B96F755"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Vuong, T.T.H., 2025. Tax Policy Reform for Sustainable Foreign Direct Investment Attraction in Vietnam: Aligning with the SDGs. Journal of Lifestyle and SDGs Review, 5(6), pp.e06969-e06969.</w:t>
      </w:r>
      <w:hyperlink r:id="rId102">
        <w:r>
          <w:rPr>
            <w:rFonts w:ascii="Times New Roman" w:eastAsia="Times New Roman" w:hAnsi="Times New Roman" w:cs="Times New Roman"/>
            <w:sz w:val="24"/>
            <w:szCs w:val="24"/>
          </w:rPr>
          <w:t xml:space="preserve"> </w:t>
        </w:r>
      </w:hyperlink>
      <w:hyperlink r:id="rId103">
        <w:r>
          <w:rPr>
            <w:rFonts w:ascii="Times New Roman" w:eastAsia="Times New Roman" w:hAnsi="Times New Roman" w:cs="Times New Roman"/>
            <w:color w:val="1155CC"/>
            <w:sz w:val="24"/>
            <w:szCs w:val="24"/>
            <w:u w:val="single"/>
          </w:rPr>
          <w:t>https://sdgsreview.org/LifestyleJournal/article/download/6969/2984</w:t>
        </w:r>
      </w:hyperlink>
      <w:r>
        <w:rPr>
          <w:rFonts w:ascii="Times New Roman" w:eastAsia="Times New Roman" w:hAnsi="Times New Roman" w:cs="Times New Roman"/>
          <w:sz w:val="24"/>
          <w:szCs w:val="24"/>
        </w:rPr>
        <w:t xml:space="preserve"> </w:t>
      </w:r>
    </w:p>
    <w:p w14:paraId="599B4235"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Wang, X., 2024. Cross-border Asset Allocation Strategies and Global Capital Market Integration. Journal of Business and Marketing, 1(03), pp.121-125.</w:t>
      </w:r>
      <w:hyperlink r:id="rId104">
        <w:r>
          <w:rPr>
            <w:rFonts w:ascii="Times New Roman" w:eastAsia="Times New Roman" w:hAnsi="Times New Roman" w:cs="Times New Roman"/>
            <w:sz w:val="24"/>
            <w:szCs w:val="24"/>
          </w:rPr>
          <w:t xml:space="preserve"> </w:t>
        </w:r>
      </w:hyperlink>
      <w:hyperlink r:id="rId105">
        <w:r>
          <w:rPr>
            <w:rFonts w:ascii="Times New Roman" w:eastAsia="Times New Roman" w:hAnsi="Times New Roman" w:cs="Times New Roman"/>
            <w:color w:val="1155CC"/>
            <w:sz w:val="24"/>
            <w:szCs w:val="24"/>
            <w:u w:val="single"/>
          </w:rPr>
          <w:t>http://www.stemmpress.com/uploadfile/202407/eff094056dec5da.pdf</w:t>
        </w:r>
      </w:hyperlink>
      <w:r>
        <w:rPr>
          <w:rFonts w:ascii="Times New Roman" w:eastAsia="Times New Roman" w:hAnsi="Times New Roman" w:cs="Times New Roman"/>
          <w:sz w:val="24"/>
          <w:szCs w:val="24"/>
        </w:rPr>
        <w:t xml:space="preserve"> </w:t>
      </w:r>
    </w:p>
    <w:p w14:paraId="3447CC49"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Wong Villanueva, J.L., </w:t>
      </w:r>
      <w:proofErr w:type="spellStart"/>
      <w:r>
        <w:rPr>
          <w:rFonts w:ascii="Times New Roman" w:eastAsia="Times New Roman" w:hAnsi="Times New Roman" w:cs="Times New Roman"/>
          <w:sz w:val="24"/>
          <w:szCs w:val="24"/>
        </w:rPr>
        <w:t>Kidokoro</w:t>
      </w:r>
      <w:proofErr w:type="spellEnd"/>
      <w:r>
        <w:rPr>
          <w:rFonts w:ascii="Times New Roman" w:eastAsia="Times New Roman" w:hAnsi="Times New Roman" w:cs="Times New Roman"/>
          <w:sz w:val="24"/>
          <w:szCs w:val="24"/>
        </w:rPr>
        <w:t>, T. and Seta, F., 2022. Cross-border integration, cooperation and governance: A systems approach for evaluating “good” governance in cross-border regions. Journal of Borderlands Studies, 37(5), pp.1047-1070.</w:t>
      </w:r>
      <w:hyperlink r:id="rId106">
        <w:r>
          <w:rPr>
            <w:rFonts w:ascii="Times New Roman" w:eastAsia="Times New Roman" w:hAnsi="Times New Roman" w:cs="Times New Roman"/>
            <w:sz w:val="24"/>
            <w:szCs w:val="24"/>
          </w:rPr>
          <w:t xml:space="preserve"> </w:t>
        </w:r>
      </w:hyperlink>
      <w:hyperlink r:id="rId107">
        <w:r>
          <w:rPr>
            <w:rFonts w:ascii="Times New Roman" w:eastAsia="Times New Roman" w:hAnsi="Times New Roman" w:cs="Times New Roman"/>
            <w:color w:val="1155CC"/>
            <w:sz w:val="24"/>
            <w:szCs w:val="24"/>
            <w:u w:val="single"/>
          </w:rPr>
          <w:t>https://www.tandfonline.com/doi/pdf/10.1080/08865655.2020.1855227</w:t>
        </w:r>
      </w:hyperlink>
      <w:r>
        <w:rPr>
          <w:rFonts w:ascii="Times New Roman" w:eastAsia="Times New Roman" w:hAnsi="Times New Roman" w:cs="Times New Roman"/>
          <w:sz w:val="24"/>
          <w:szCs w:val="24"/>
        </w:rPr>
        <w:t xml:space="preserve"> </w:t>
      </w:r>
    </w:p>
    <w:p w14:paraId="4174EEFA"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Xie, Z., Liu, X., Najam, H., Fu, Q., Abbas, J., Comite, U., Cismas, L.M. and </w:t>
      </w:r>
      <w:proofErr w:type="spellStart"/>
      <w:r>
        <w:rPr>
          <w:rFonts w:ascii="Times New Roman" w:eastAsia="Times New Roman" w:hAnsi="Times New Roman" w:cs="Times New Roman"/>
          <w:sz w:val="24"/>
          <w:szCs w:val="24"/>
        </w:rPr>
        <w:t>Miculescu</w:t>
      </w:r>
      <w:proofErr w:type="spellEnd"/>
      <w:r>
        <w:rPr>
          <w:rFonts w:ascii="Times New Roman" w:eastAsia="Times New Roman" w:hAnsi="Times New Roman" w:cs="Times New Roman"/>
          <w:sz w:val="24"/>
          <w:szCs w:val="24"/>
        </w:rPr>
        <w:t>, A., 2022. Achieving financial sustainability through revenue diversification: A green pathway for financial institutions in Asia. Sustainability, 14(6), p.3512.</w:t>
      </w:r>
      <w:hyperlink r:id="rId108">
        <w:r>
          <w:rPr>
            <w:rFonts w:ascii="Times New Roman" w:eastAsia="Times New Roman" w:hAnsi="Times New Roman" w:cs="Times New Roman"/>
            <w:sz w:val="24"/>
            <w:szCs w:val="24"/>
          </w:rPr>
          <w:t xml:space="preserve"> </w:t>
        </w:r>
      </w:hyperlink>
      <w:hyperlink r:id="rId109">
        <w:r>
          <w:rPr>
            <w:rFonts w:ascii="Times New Roman" w:eastAsia="Times New Roman" w:hAnsi="Times New Roman" w:cs="Times New Roman"/>
            <w:color w:val="1155CC"/>
            <w:sz w:val="24"/>
            <w:szCs w:val="24"/>
            <w:u w:val="single"/>
          </w:rPr>
          <w:t>https://www.mdpi.com/2071-1050/14/6/3512</w:t>
        </w:r>
      </w:hyperlink>
      <w:r>
        <w:rPr>
          <w:rFonts w:ascii="Times New Roman" w:eastAsia="Times New Roman" w:hAnsi="Times New Roman" w:cs="Times New Roman"/>
          <w:sz w:val="24"/>
          <w:szCs w:val="24"/>
        </w:rPr>
        <w:t xml:space="preserve"> </w:t>
      </w:r>
    </w:p>
    <w:p w14:paraId="3E00BA39"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Yan, Y., Li, J. and Zhang, J., 2022. Protecting intellectual property in foreign subsidiaries: An internal network defense perspective. Journal of International Business Studies, 53(9), pp.1924-1944.</w:t>
      </w:r>
      <w:hyperlink r:id="rId110">
        <w:r>
          <w:rPr>
            <w:rFonts w:ascii="Times New Roman" w:eastAsia="Times New Roman" w:hAnsi="Times New Roman" w:cs="Times New Roman"/>
            <w:sz w:val="24"/>
            <w:szCs w:val="24"/>
          </w:rPr>
          <w:t xml:space="preserve"> </w:t>
        </w:r>
      </w:hyperlink>
      <w:hyperlink r:id="rId111">
        <w:r>
          <w:rPr>
            <w:rFonts w:ascii="Times New Roman" w:eastAsia="Times New Roman" w:hAnsi="Times New Roman" w:cs="Times New Roman"/>
            <w:color w:val="1155CC"/>
            <w:sz w:val="24"/>
            <w:szCs w:val="24"/>
            <w:u w:val="single"/>
          </w:rPr>
          <w:t>https://link.springer.com/content/pdf/10.1057/s41267-021-00430-5.pdf</w:t>
        </w:r>
      </w:hyperlink>
      <w:r>
        <w:rPr>
          <w:rFonts w:ascii="Times New Roman" w:eastAsia="Times New Roman" w:hAnsi="Times New Roman" w:cs="Times New Roman"/>
          <w:sz w:val="24"/>
          <w:szCs w:val="24"/>
        </w:rPr>
        <w:t xml:space="preserve"> </w:t>
      </w:r>
    </w:p>
    <w:p w14:paraId="3CF4E889"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Zharikova, О. and </w:t>
      </w:r>
      <w:proofErr w:type="spellStart"/>
      <w:r>
        <w:rPr>
          <w:rFonts w:ascii="Times New Roman" w:eastAsia="Times New Roman" w:hAnsi="Times New Roman" w:cs="Times New Roman"/>
          <w:sz w:val="24"/>
          <w:szCs w:val="24"/>
        </w:rPr>
        <w:t>Cherkesenko</w:t>
      </w:r>
      <w:proofErr w:type="spellEnd"/>
      <w:r>
        <w:rPr>
          <w:rFonts w:ascii="Times New Roman" w:eastAsia="Times New Roman" w:hAnsi="Times New Roman" w:cs="Times New Roman"/>
          <w:sz w:val="24"/>
          <w:szCs w:val="24"/>
        </w:rPr>
        <w:t>, K., 2021. Personnel management development issues in multinational corporations of the world economy. Economics &amp; Education, 6(3), pp.45-51.</w:t>
      </w:r>
      <w:hyperlink r:id="rId112">
        <w:r>
          <w:rPr>
            <w:rFonts w:ascii="Times New Roman" w:eastAsia="Times New Roman" w:hAnsi="Times New Roman" w:cs="Times New Roman"/>
            <w:sz w:val="24"/>
            <w:szCs w:val="24"/>
          </w:rPr>
          <w:t xml:space="preserve"> </w:t>
        </w:r>
      </w:hyperlink>
      <w:hyperlink r:id="rId113">
        <w:r>
          <w:rPr>
            <w:rFonts w:ascii="Times New Roman" w:eastAsia="Times New Roman" w:hAnsi="Times New Roman" w:cs="Times New Roman"/>
            <w:color w:val="1155CC"/>
            <w:sz w:val="24"/>
            <w:szCs w:val="24"/>
            <w:u w:val="single"/>
          </w:rPr>
          <w:t>http://www.baltijapublishing.lv/index.php/econedu/article/download/1546/1562</w:t>
        </w:r>
      </w:hyperlink>
      <w:r>
        <w:rPr>
          <w:rFonts w:ascii="Times New Roman" w:eastAsia="Times New Roman" w:hAnsi="Times New Roman" w:cs="Times New Roman"/>
          <w:sz w:val="24"/>
          <w:szCs w:val="24"/>
        </w:rPr>
        <w:t xml:space="preserve"> </w:t>
      </w:r>
    </w:p>
    <w:p w14:paraId="1A89A2B8" w14:textId="77777777" w:rsidR="0086281C"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D34233E" w14:textId="77777777" w:rsidR="0086281C" w:rsidRDefault="0086281C">
      <w:pPr>
        <w:rPr>
          <w:rFonts w:ascii="Times New Roman" w:eastAsia="Times New Roman" w:hAnsi="Times New Roman" w:cs="Times New Roman"/>
          <w:sz w:val="24"/>
          <w:szCs w:val="24"/>
        </w:rPr>
      </w:pPr>
    </w:p>
    <w:sectPr w:rsidR="0086281C">
      <w:footerReference w:type="default" r:id="rId1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C8892" w14:textId="77777777" w:rsidR="004D20D0" w:rsidRDefault="004D20D0">
      <w:pPr>
        <w:spacing w:line="240" w:lineRule="auto"/>
      </w:pPr>
      <w:r>
        <w:separator/>
      </w:r>
    </w:p>
  </w:endnote>
  <w:endnote w:type="continuationSeparator" w:id="0">
    <w:p w14:paraId="2A4F110C" w14:textId="77777777" w:rsidR="004D20D0" w:rsidRDefault="004D20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64C2A42-80F6-40BE-9A92-4DC3F938FA5B}"/>
  </w:font>
  <w:font w:name="Cambria">
    <w:panose1 w:val="02040503050406030204"/>
    <w:charset w:val="00"/>
    <w:family w:val="roman"/>
    <w:pitch w:val="variable"/>
    <w:sig w:usb0="E00006FF" w:usb1="420024FF" w:usb2="02000000" w:usb3="00000000" w:csb0="0000019F" w:csb1="00000000"/>
    <w:embedRegular r:id="rId2" w:fontKey="{52286BDF-C5D6-42AC-8464-BE6711BFD6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F85B5" w14:textId="77777777" w:rsidR="0086281C" w:rsidRDefault="00000000">
    <w:pPr>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F90DAD">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5410A" w14:textId="77777777" w:rsidR="004D20D0" w:rsidRDefault="004D20D0">
      <w:pPr>
        <w:spacing w:line="240" w:lineRule="auto"/>
      </w:pPr>
      <w:r>
        <w:separator/>
      </w:r>
    </w:p>
  </w:footnote>
  <w:footnote w:type="continuationSeparator" w:id="0">
    <w:p w14:paraId="25212D4E" w14:textId="77777777" w:rsidR="004D20D0" w:rsidRDefault="004D20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81C"/>
    <w:rsid w:val="004D20D0"/>
    <w:rsid w:val="0086281C"/>
    <w:rsid w:val="00A06B95"/>
    <w:rsid w:val="00CC058A"/>
    <w:rsid w:val="00F90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911B0"/>
  <w15:docId w15:val="{106AEABF-29A2-47B4-AAC0-EDF9DB611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40" w:after="24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0D25A4"/>
    <w:pPr>
      <w:tabs>
        <w:tab w:val="center" w:pos="4513"/>
        <w:tab w:val="right" w:pos="9026"/>
      </w:tabs>
      <w:spacing w:line="240" w:lineRule="auto"/>
    </w:pPr>
  </w:style>
  <w:style w:type="character" w:customStyle="1" w:styleId="HeaderChar">
    <w:name w:val="Header Char"/>
    <w:basedOn w:val="DefaultParagraphFont"/>
    <w:link w:val="Header"/>
    <w:uiPriority w:val="99"/>
    <w:rsid w:val="000D25A4"/>
  </w:style>
  <w:style w:type="paragraph" w:styleId="Footer">
    <w:name w:val="footer"/>
    <w:basedOn w:val="Normal"/>
    <w:link w:val="FooterChar"/>
    <w:uiPriority w:val="99"/>
    <w:unhideWhenUsed/>
    <w:rsid w:val="000D25A4"/>
    <w:pPr>
      <w:tabs>
        <w:tab w:val="center" w:pos="4513"/>
        <w:tab w:val="right" w:pos="9026"/>
      </w:tabs>
      <w:spacing w:line="240" w:lineRule="auto"/>
    </w:pPr>
  </w:style>
  <w:style w:type="character" w:customStyle="1" w:styleId="FooterChar">
    <w:name w:val="Footer Char"/>
    <w:basedOn w:val="DefaultParagraphFont"/>
    <w:link w:val="Footer"/>
    <w:uiPriority w:val="99"/>
    <w:rsid w:val="000D25A4"/>
  </w:style>
  <w:style w:type="character" w:styleId="CommentReference">
    <w:name w:val="annotation reference"/>
    <w:basedOn w:val="DefaultParagraphFont"/>
    <w:uiPriority w:val="99"/>
    <w:semiHidden/>
    <w:unhideWhenUsed/>
    <w:rsid w:val="000D25A4"/>
    <w:rPr>
      <w:sz w:val="16"/>
      <w:szCs w:val="16"/>
    </w:rPr>
  </w:style>
  <w:style w:type="paragraph" w:styleId="CommentText">
    <w:name w:val="annotation text"/>
    <w:basedOn w:val="Normal"/>
    <w:link w:val="CommentTextChar"/>
    <w:uiPriority w:val="99"/>
    <w:unhideWhenUsed/>
    <w:rsid w:val="000D25A4"/>
    <w:pPr>
      <w:spacing w:line="240" w:lineRule="auto"/>
    </w:pPr>
    <w:rPr>
      <w:sz w:val="20"/>
      <w:szCs w:val="20"/>
    </w:rPr>
  </w:style>
  <w:style w:type="character" w:customStyle="1" w:styleId="CommentTextChar">
    <w:name w:val="Comment Text Char"/>
    <w:basedOn w:val="DefaultParagraphFont"/>
    <w:link w:val="CommentText"/>
    <w:uiPriority w:val="99"/>
    <w:rsid w:val="000D25A4"/>
    <w:rPr>
      <w:sz w:val="20"/>
      <w:szCs w:val="20"/>
    </w:rPr>
  </w:style>
  <w:style w:type="paragraph" w:styleId="CommentSubject">
    <w:name w:val="annotation subject"/>
    <w:basedOn w:val="CommentText"/>
    <w:next w:val="CommentText"/>
    <w:link w:val="CommentSubjectChar"/>
    <w:uiPriority w:val="99"/>
    <w:semiHidden/>
    <w:unhideWhenUsed/>
    <w:rsid w:val="000D25A4"/>
    <w:rPr>
      <w:b/>
      <w:bCs/>
    </w:rPr>
  </w:style>
  <w:style w:type="character" w:customStyle="1" w:styleId="CommentSubjectChar">
    <w:name w:val="Comment Subject Char"/>
    <w:basedOn w:val="CommentTextChar"/>
    <w:link w:val="CommentSubject"/>
    <w:uiPriority w:val="99"/>
    <w:semiHidden/>
    <w:rsid w:val="000D25A4"/>
    <w:rPr>
      <w:b/>
      <w:bCs/>
      <w:sz w:val="20"/>
      <w:szCs w:val="20"/>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Rita-Attah/publication/388418888_Corporate_Health_and_Safety_Protocols_A_Conceptual_Model_for_Ensuring_Sustainability_in_Global_Operations/links/6797c5e6645ef274a449d2ff/Corporate-Health-and-Safety-Protocols-A-Conceptual-Model-for-Ensuring-Sustainability-in-Global-Operations.pdf" TargetMode="External"/><Relationship Id="rId21" Type="http://schemas.openxmlformats.org/officeDocument/2006/relationships/hyperlink" Target="https://www.researchgate.net/profile/Geoff-Plimmer/publication/350563357_Performance_management_in_the_Vietnam_public_sector_The_role_of_institution_traditional_culture_and_leadership/links/67bff7e7207c0c20fa988793/Performance-management-in-the-Vietnam-public-sector-The-role-of-institution-traditional-culture-and-leadership.pdf" TargetMode="External"/><Relationship Id="rId42" Type="http://schemas.openxmlformats.org/officeDocument/2006/relationships/hyperlink" Target="https://www.academia.edu/download/8323021/590136127.pdf" TargetMode="External"/><Relationship Id="rId47" Type="http://schemas.openxmlformats.org/officeDocument/2006/relationships/hyperlink" Target="https://ecampusontario.pressbooks.pub/globalmarketing/chapter/6-1-international-entry-modes/" TargetMode="External"/><Relationship Id="rId63" Type="http://schemas.openxmlformats.org/officeDocument/2006/relationships/hyperlink" Target="http://www.scienpress.com/Upload/JAFB/Vol%2015_2_3.pdf" TargetMode="External"/><Relationship Id="rId68" Type="http://schemas.openxmlformats.org/officeDocument/2006/relationships/hyperlink" Target="https://sirpublishers.org/index.php/jomb/article/download/1073/2032" TargetMode="External"/><Relationship Id="rId84" Type="http://schemas.openxmlformats.org/officeDocument/2006/relationships/hyperlink" Target="https://pubs.aeaweb.org/doi/pdf/10.1257/jep.20241414" TargetMode="External"/><Relationship Id="rId89" Type="http://schemas.openxmlformats.org/officeDocument/2006/relationships/hyperlink" Target="https://ojs.wsb.edu.pl/index.php/fso/article/download/574/324" TargetMode="External"/><Relationship Id="rId112" Type="http://schemas.openxmlformats.org/officeDocument/2006/relationships/hyperlink" Target="http://www.baltijapublishing.lv/index.php/econedu/article/download/1546/1562" TargetMode="External"/><Relationship Id="rId16" Type="http://schemas.openxmlformats.org/officeDocument/2006/relationships/hyperlink" Target="https://www.adityabirla.com/en/" TargetMode="External"/><Relationship Id="rId107" Type="http://schemas.openxmlformats.org/officeDocument/2006/relationships/hyperlink" Target="https://www.tandfonline.com/doi/pdf/10.1080/08865655.2020.1855227" TargetMode="External"/><Relationship Id="rId11" Type="http://schemas.openxmlformats.org/officeDocument/2006/relationships/image" Target="media/image5.png"/><Relationship Id="rId32" Type="http://schemas.openxmlformats.org/officeDocument/2006/relationships/hyperlink" Target="https://onlinelibrary.wiley.com/doi/pdf/10.1002%2Fsmj.3537" TargetMode="External"/><Relationship Id="rId37" Type="http://schemas.openxmlformats.org/officeDocument/2006/relationships/hyperlink" Target="https://www.researchgate.net/profile/Kuku-Oluwamayowa/publication/390666191_Cross-Border_Supply_Chain_Optimization_Strategies_for_Managing_International_Operations_While_Maintaining_Speed_and_Cost_Efficiency/links/67f8004c60241d51400ad2cb/Cross-Border-Supply-Chain-Optimization-Strategies-for-Managing-International-Operations-While-Maintaining-Speed-and-Cost-Efficiency.pdf" TargetMode="External"/><Relationship Id="rId53" Type="http://schemas.openxmlformats.org/officeDocument/2006/relationships/hyperlink" Target="https://journalofscience.ou.edu.vn/index.php/econ-en/article/download/3124/2161" TargetMode="External"/><Relationship Id="rId58" Type="http://schemas.openxmlformats.org/officeDocument/2006/relationships/hyperlink" Target="https://cdn.gecacademy.cn/oa/upload/2022-03-10%2011-28-18-knight-uncertainty-and-profit.pdf" TargetMode="External"/><Relationship Id="rId74" Type="http://schemas.openxmlformats.org/officeDocument/2006/relationships/hyperlink" Target="https://www.researchgate.net/profile/Yoesoep-Rachmad/publication/397273112_Authenticity-Driven_Engagement_Theory/links/690aa48aa404d65709a27937/Authenticity-Driven-Engagement-Theory.pdf" TargetMode="External"/><Relationship Id="rId79" Type="http://schemas.openxmlformats.org/officeDocument/2006/relationships/hyperlink" Target="http://biitm.dspaces.org/bitstream/123456789/1176/1/LIPSA%20SAHOO%20SIP-29.pdf" TargetMode="External"/><Relationship Id="rId102" Type="http://schemas.openxmlformats.org/officeDocument/2006/relationships/hyperlink" Target="https://sdgsreview.org/LifestyleJournal/article/download/6969/2984" TargetMode="External"/><Relationship Id="rId5" Type="http://schemas.openxmlformats.org/officeDocument/2006/relationships/footnotes" Target="footnotes.xml"/><Relationship Id="rId90" Type="http://schemas.openxmlformats.org/officeDocument/2006/relationships/hyperlink" Target="https://www.academia.edu/download/95396953/The_political_economy_of_special_economic_zones_the_cases_of_Ethiopia_and_Vietnam.pdf" TargetMode="External"/><Relationship Id="rId95" Type="http://schemas.openxmlformats.org/officeDocument/2006/relationships/hyperlink" Target="https://mail.ijsser.org/2025files/ijsser_10__112.pdf" TargetMode="External"/><Relationship Id="rId22" Type="http://schemas.openxmlformats.org/officeDocument/2006/relationships/hyperlink" Target="https://www.researchgate.net/profile/Geoff-Plimmer/publication/350563357_Performance_management_in_the_Vietnam_public_sector_The_role_of_institution_traditional_culture_and_leadership/links/67bff7e7207c0c20fa988793/Performance-management-in-the-Vietnam-public-sector-The-role-of-institution-traditional-culture-and-leadership.pdf" TargetMode="External"/><Relationship Id="rId27" Type="http://schemas.openxmlformats.org/officeDocument/2006/relationships/hyperlink" Target="https://sciendo.com/pdf/10.2478/joim-2022-0004" TargetMode="External"/><Relationship Id="rId43" Type="http://schemas.openxmlformats.org/officeDocument/2006/relationships/hyperlink" Target="https://www.academia.edu/download/8323021/590136127.pdf" TargetMode="External"/><Relationship Id="rId48" Type="http://schemas.openxmlformats.org/officeDocument/2006/relationships/hyperlink" Target="https://www.adityabirla.com/media/stories/a-conglomerate-in-action-what-drives-business-at-aditya-birla-group/" TargetMode="External"/><Relationship Id="rId64" Type="http://schemas.openxmlformats.org/officeDocument/2006/relationships/hyperlink" Target="https://www.researchgate.net/profile/Mayibongwe-Madisa/publication/391914603_The_Impact_of_Culture_on_Negotiation_Styles_and_Outcomes/links/682d6fab026fee1034f9a197/The-Impact-of-Culture-on-Negotiation-Styles-and-Outcomes.pdf" TargetMode="External"/><Relationship Id="rId69" Type="http://schemas.openxmlformats.org/officeDocument/2006/relationships/hyperlink" Target="https://sirpublishers.org/index.php/jomb/article/download/1073/2032" TargetMode="External"/><Relationship Id="rId113" Type="http://schemas.openxmlformats.org/officeDocument/2006/relationships/hyperlink" Target="http://www.baltijapublishing.lv/index.php/econedu/article/download/1546/1562" TargetMode="External"/><Relationship Id="rId80" Type="http://schemas.openxmlformats.org/officeDocument/2006/relationships/hyperlink" Target="https://onlinelibrary.wiley.com/doi/pdfdirect/10.1002/sd.2351" TargetMode="External"/><Relationship Id="rId85" Type="http://schemas.openxmlformats.org/officeDocument/2006/relationships/hyperlink" Target="https://pubs.aeaweb.org/doi/pdf/10.1257/jep.20241414" TargetMode="External"/><Relationship Id="rId12" Type="http://schemas.openxmlformats.org/officeDocument/2006/relationships/image" Target="media/image6.png"/><Relationship Id="rId17" Type="http://schemas.openxmlformats.org/officeDocument/2006/relationships/hyperlink" Target="https://www.adityabirla.com/en/" TargetMode="External"/><Relationship Id="rId33" Type="http://schemas.openxmlformats.org/officeDocument/2006/relationships/hyperlink" Target="https://www.emerald.com/insight/content/doi/10.1108/TLO-09-2023-0177/full/pdf" TargetMode="External"/><Relationship Id="rId38" Type="http://schemas.openxmlformats.org/officeDocument/2006/relationships/hyperlink" Target="http://biitm.dspaces.org/bitstream/123456789/317/1/HRM-1%20%28I-MBA%29.pdf" TargetMode="External"/><Relationship Id="rId59" Type="http://schemas.openxmlformats.org/officeDocument/2006/relationships/hyperlink" Target="https://cdn.gecacademy.cn/oa/upload/2022-03-10%2011-28-18-knight-uncertainty-and-profit.pdf" TargetMode="External"/><Relationship Id="rId103" Type="http://schemas.openxmlformats.org/officeDocument/2006/relationships/hyperlink" Target="https://sdgsreview.org/LifestyleJournal/article/download/6969/2984" TargetMode="External"/><Relationship Id="rId108" Type="http://schemas.openxmlformats.org/officeDocument/2006/relationships/hyperlink" Target="https://www.mdpi.com/2071-1050/14/6/3512" TargetMode="External"/><Relationship Id="rId54" Type="http://schemas.openxmlformats.org/officeDocument/2006/relationships/hyperlink" Target="https://www.mdpi.com/2075-163X/14/9/943" TargetMode="External"/><Relationship Id="rId70" Type="http://schemas.openxmlformats.org/officeDocument/2006/relationships/hyperlink" Target="https://www.mdpi.com/2071-1050/15/18/13952" TargetMode="External"/><Relationship Id="rId75" Type="http://schemas.openxmlformats.org/officeDocument/2006/relationships/hyperlink" Target="https://www.researchgate.net/profile/Yoesoep-Rachmad/publication/397273112_Authenticity-Driven_Engagement_Theory/links/690aa48aa404d65709a27937/Authenticity-Driven-Engagement-Theory.pdf" TargetMode="External"/><Relationship Id="rId91" Type="http://schemas.openxmlformats.org/officeDocument/2006/relationships/hyperlink" Target="https://www.academia.edu/download/95396953/The_political_economy_of_special_economic_zones_the_cases_of_Ethiopia_and_Vietnam.pdf" TargetMode="External"/><Relationship Id="rId96" Type="http://schemas.openxmlformats.org/officeDocument/2006/relationships/hyperlink" Target="https://journals.sagepub.com/doi/pdf/10.1177/21582440251329967"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adityabirla.com/businesses/countries/us/" TargetMode="External"/><Relationship Id="rId23" Type="http://schemas.openxmlformats.org/officeDocument/2006/relationships/hyperlink" Target="https://doi.org/10.3390/su151914550" TargetMode="External"/><Relationship Id="rId28" Type="http://schemas.openxmlformats.org/officeDocument/2006/relationships/hyperlink" Target="https://sciendo.com/pdf/10.2478/joim-2022-0004" TargetMode="External"/><Relationship Id="rId36" Type="http://schemas.openxmlformats.org/officeDocument/2006/relationships/hyperlink" Target="https://www.researchgate.net/profile/Kuku-Oluwamayowa/publication/390666191_Cross-Border_Supply_Chain_Optimization_Strategies_for_Managing_International_Operations_While_Maintaining_Speed_and_Cost_Efficiency/links/67f8004c60241d51400ad2cb/Cross-Border-Supply-Chain-Optimization-Strategies-for-Managing-International-Operations-While-Maintaining-Speed-and-Cost-Efficiency.pdf" TargetMode="External"/><Relationship Id="rId49" Type="http://schemas.openxmlformats.org/officeDocument/2006/relationships/hyperlink" Target="https://www.adityabirla.com/media/stories/a-conglomerate-in-action-what-drives-business-at-aditya-birla-group/" TargetMode="External"/><Relationship Id="rId57" Type="http://schemas.openxmlformats.org/officeDocument/2006/relationships/hyperlink" Target="https://www.researchgate.net/profile/Manjeet-Kharub-3/publication/358033074_Mediating_role_of_manufacturing_strategy_in_the_competitive_strategy_and_firm_performance_evidence_from_SMEs/links/64a2f820c41fb852dd4b7756/Mediating-role-of-manufacturing-strategy-in-the-competitive-strategy-and-firm-performance-evidence-from-SMEs.pdf" TargetMode="External"/><Relationship Id="rId106" Type="http://schemas.openxmlformats.org/officeDocument/2006/relationships/hyperlink" Target="https://www.tandfonline.com/doi/pdf/10.1080/08865655.2020.1855227" TargetMode="External"/><Relationship Id="rId114"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hyperlink" Target="https://onlinelibrary.wiley.com/doi/pdf/10.1002%2Fsmj.3537" TargetMode="External"/><Relationship Id="rId44" Type="http://schemas.openxmlformats.org/officeDocument/2006/relationships/hyperlink" Target="https://www.rockhillasia.com/post/selecting-the-best-manufacturing-destination-china-vietnam-and-india" TargetMode="External"/><Relationship Id="rId52" Type="http://schemas.openxmlformats.org/officeDocument/2006/relationships/hyperlink" Target="https://journalofscience.ou.edu.vn/index.php/econ-en/article/download/3124/2161" TargetMode="External"/><Relationship Id="rId60" Type="http://schemas.openxmlformats.org/officeDocument/2006/relationships/hyperlink" Target="https://papers.ssrn.com/sol3/Delivery.cfm?abstractid=4695784" TargetMode="External"/><Relationship Id="rId65" Type="http://schemas.openxmlformats.org/officeDocument/2006/relationships/hyperlink" Target="https://www.researchgate.net/profile/Mayibongwe-Madisa/publication/391914603_The_Impact_of_Culture_on_Negotiation_Styles_and_Outcomes/links/682d6fab026fee1034f9a197/The-Impact-of-Culture-on-Negotiation-Styles-and-Outcomes.pdf" TargetMode="External"/><Relationship Id="rId73" Type="http://schemas.openxmlformats.org/officeDocument/2006/relationships/hyperlink" Target="https://www.researchgate.net/profile/Oreoluwa-Onabowale-2/publication/388492057_UNVEILING_ENERGY_FINANCE_CAPITAL_DYNAMICS_AND_MARKET_INFLUENCE_ON_FINANCIAL_ACHIEVEMENT/links/679a9d1b4c479b26c9c0dac3/UNVEILING-ENERGY-FINANCE-CAPITAL-DYNAMICS-AND-MARKET-INFLUENCE-ON-FINANCIAL-ACHIEVEMENT.pdf" TargetMode="External"/><Relationship Id="rId78" Type="http://schemas.openxmlformats.org/officeDocument/2006/relationships/hyperlink" Target="http://biitm.dspaces.org/bitstream/123456789/1176/1/LIPSA%20SAHOO%20SIP-29.pdf" TargetMode="External"/><Relationship Id="rId81" Type="http://schemas.openxmlformats.org/officeDocument/2006/relationships/hyperlink" Target="https://onlinelibrary.wiley.com/doi/pdfdirect/10.1002/sd.2351" TargetMode="External"/><Relationship Id="rId86" Type="http://schemas.openxmlformats.org/officeDocument/2006/relationships/hyperlink" Target="https://ejournal.isha.or.id/index.php/Inspirat/article/download/335/370" TargetMode="External"/><Relationship Id="rId94" Type="http://schemas.openxmlformats.org/officeDocument/2006/relationships/hyperlink" Target="https://mail.ijsser.org/2025files/ijsser_10__112.pdf" TargetMode="External"/><Relationship Id="rId99" Type="http://schemas.openxmlformats.org/officeDocument/2006/relationships/hyperlink" Target="https://malque.pub/ojs/index.php/mr/article/download/1942/1190" TargetMode="External"/><Relationship Id="rId101" Type="http://schemas.openxmlformats.org/officeDocument/2006/relationships/hyperlink" Target="https://ejournal.agungmediapublisher.com/index.php/iijb/article/download/158/121"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www.theculturefactor.com" TargetMode="External"/><Relationship Id="rId18" Type="http://schemas.openxmlformats.org/officeDocument/2006/relationships/hyperlink" Target="https://www.adityabirla.com/businesses/companies/" TargetMode="External"/><Relationship Id="rId39" Type="http://schemas.openxmlformats.org/officeDocument/2006/relationships/hyperlink" Target="http://biitm.dspaces.org/bitstream/123456789/317/1/HRM-1%20%28I-MBA%29.pdf" TargetMode="External"/><Relationship Id="rId109" Type="http://schemas.openxmlformats.org/officeDocument/2006/relationships/hyperlink" Target="https://www.mdpi.com/2071-1050/14/6/3512" TargetMode="External"/><Relationship Id="rId34" Type="http://schemas.openxmlformats.org/officeDocument/2006/relationships/hyperlink" Target="https://www.emerald.com/insight/content/doi/10.1108/TLO-09-2023-0177/full/pdf" TargetMode="External"/><Relationship Id="rId50" Type="http://schemas.openxmlformats.org/officeDocument/2006/relationships/hyperlink" Target="https://pulr.puchd.ac.in/index.php/pulr/article/download/277/57" TargetMode="External"/><Relationship Id="rId55" Type="http://schemas.openxmlformats.org/officeDocument/2006/relationships/hyperlink" Target="https://www.mdpi.com/2075-163X/14/9/943" TargetMode="External"/><Relationship Id="rId76" Type="http://schemas.openxmlformats.org/officeDocument/2006/relationships/hyperlink" Target="http://journal.lifescifi.com/index.php/RH/article/download/427/344" TargetMode="External"/><Relationship Id="rId97" Type="http://schemas.openxmlformats.org/officeDocument/2006/relationships/hyperlink" Target="https://journals.sagepub.com/doi/pdf/10.1177/21582440251329967" TargetMode="External"/><Relationship Id="rId104" Type="http://schemas.openxmlformats.org/officeDocument/2006/relationships/hyperlink" Target="http://www.stemmpress.com/uploadfile/202407/eff094056dec5da.pdf" TargetMode="External"/><Relationship Id="rId7" Type="http://schemas.openxmlformats.org/officeDocument/2006/relationships/image" Target="media/image1.png"/><Relationship Id="rId71" Type="http://schemas.openxmlformats.org/officeDocument/2006/relationships/hyperlink" Target="https://www.mdpi.com/2071-1050/15/18/13952" TargetMode="External"/><Relationship Id="rId92" Type="http://schemas.openxmlformats.org/officeDocument/2006/relationships/hyperlink" Target="https://www.mdpi.com/2071-1050/13/10/5460/pdf" TargetMode="External"/><Relationship Id="rId2" Type="http://schemas.openxmlformats.org/officeDocument/2006/relationships/styles" Target="styles.xml"/><Relationship Id="rId29" Type="http://schemas.openxmlformats.org/officeDocument/2006/relationships/hyperlink" Target="https://orca.cardiff.ac.uk/id/eprint/169091/3/Ed%20%26%204IR%20BJSofE%20Pre-Publication%202024.pdf" TargetMode="External"/><Relationship Id="rId24" Type="http://schemas.openxmlformats.org/officeDocument/2006/relationships/hyperlink" Target="https://doi.org/10.1057/s41267-019-00243-7" TargetMode="External"/><Relationship Id="rId40" Type="http://schemas.openxmlformats.org/officeDocument/2006/relationships/hyperlink" Target="https://www.tandfonline.com/doi/pdf/10.1080/23311975.2023.2244752" TargetMode="External"/><Relationship Id="rId45" Type="http://schemas.openxmlformats.org/officeDocument/2006/relationships/hyperlink" Target="https://www.researchgate.net/profile/Mohammad-Iranmanesh-2/publication/353677530_Industry_40_innovation_and_sustainable_development_A_systematic_review_and_a_roadmap_to_sustainable_innovation/links/6152eb72522ef665fb660742/Industry-40-innovation-and-sustainable-development-A-systematic-review-and-a-roadmap-to-sustainable-innovation.pdf" TargetMode="External"/><Relationship Id="rId66" Type="http://schemas.openxmlformats.org/officeDocument/2006/relationships/hyperlink" Target="https://www.shriwaghmarebrothers.com/wp-content/uploads/2021/12/Special_Issue_269_C-SPKM_Sawantwadi.pdf" TargetMode="External"/><Relationship Id="rId87" Type="http://schemas.openxmlformats.org/officeDocument/2006/relationships/hyperlink" Target="https://ejournal.isha.or.id/index.php/Inspirat/article/download/335/370" TargetMode="External"/><Relationship Id="rId110" Type="http://schemas.openxmlformats.org/officeDocument/2006/relationships/hyperlink" Target="https://link.springer.com/content/pdf/10.1057/s41267-021-00430-5.pdf" TargetMode="External"/><Relationship Id="rId115" Type="http://schemas.openxmlformats.org/officeDocument/2006/relationships/fontTable" Target="fontTable.xml"/><Relationship Id="rId61" Type="http://schemas.openxmlformats.org/officeDocument/2006/relationships/hyperlink" Target="https://papers.ssrn.com/sol3/Delivery.cfm?abstractid=4695784" TargetMode="External"/><Relationship Id="rId82" Type="http://schemas.openxmlformats.org/officeDocument/2006/relationships/hyperlink" Target="https://journal.ump.edu.my/ijim/article/download/10091/3054" TargetMode="External"/><Relationship Id="rId19" Type="http://schemas.openxmlformats.org/officeDocument/2006/relationships/hyperlink" Target="https://www.adityabirla.com/en/our-story/" TargetMode="External"/><Relationship Id="rId14" Type="http://schemas.openxmlformats.org/officeDocument/2006/relationships/hyperlink" Target="https://www.adityabirla.com/businesses/countries/us/" TargetMode="External"/><Relationship Id="rId30" Type="http://schemas.openxmlformats.org/officeDocument/2006/relationships/hyperlink" Target="https://orca.cardiff.ac.uk/id/eprint/169091/3/Ed%20%26%204IR%20BJSofE%20Pre-Publication%202024.pdf" TargetMode="External"/><Relationship Id="rId35" Type="http://schemas.openxmlformats.org/officeDocument/2006/relationships/hyperlink" Target="https://www.collidu.com/presentation-eclectic-paradigm" TargetMode="External"/><Relationship Id="rId56" Type="http://schemas.openxmlformats.org/officeDocument/2006/relationships/hyperlink" Target="https://www.researchgate.net/profile/Manjeet-Kharub-3/publication/358033074_Mediating_role_of_manufacturing_strategy_in_the_competitive_strategy_and_firm_performance_evidence_from_SMEs/links/64a2f820c41fb852dd4b7756/Mediating-role-of-manufacturing-strategy-in-the-competitive-strategy-and-firm-performance-evidence-from-SMEs.pdf" TargetMode="External"/><Relationship Id="rId77" Type="http://schemas.openxmlformats.org/officeDocument/2006/relationships/hyperlink" Target="http://journal.lifescifi.com/index.php/RH/article/download/427/344" TargetMode="External"/><Relationship Id="rId100" Type="http://schemas.openxmlformats.org/officeDocument/2006/relationships/hyperlink" Target="https://ejournal.agungmediapublisher.com/index.php/iijb/article/download/158/121" TargetMode="External"/><Relationship Id="rId105" Type="http://schemas.openxmlformats.org/officeDocument/2006/relationships/hyperlink" Target="http://www.stemmpress.com/uploadfile/202407/eff094056dec5da.pdf" TargetMode="External"/><Relationship Id="rId8" Type="http://schemas.openxmlformats.org/officeDocument/2006/relationships/image" Target="media/image2.png"/><Relationship Id="rId51" Type="http://schemas.openxmlformats.org/officeDocument/2006/relationships/hyperlink" Target="https://pulr.puchd.ac.in/index.php/pulr/article/download/277/57" TargetMode="External"/><Relationship Id="rId72" Type="http://schemas.openxmlformats.org/officeDocument/2006/relationships/hyperlink" Target="https://www.researchgate.net/profile/Oreoluwa-Onabowale-2/publication/388492057_UNVEILING_ENERGY_FINANCE_CAPITAL_DYNAMICS_AND_MARKET_INFLUENCE_ON_FINANCIAL_ACHIEVEMENT/links/679a9d1b4c479b26c9c0dac3/UNVEILING-ENERGY-FINANCE-CAPITAL-DYNAMICS-AND-MARKET-INFLUENCE-ON-FINANCIAL-ACHIEVEMENT.pdf" TargetMode="External"/><Relationship Id="rId93" Type="http://schemas.openxmlformats.org/officeDocument/2006/relationships/hyperlink" Target="https://www.mdpi.com/2071-1050/13/10/5460/pdf" TargetMode="External"/><Relationship Id="rId98" Type="http://schemas.openxmlformats.org/officeDocument/2006/relationships/hyperlink" Target="https://malque.pub/ojs/index.php/mr/article/download/1942/1190" TargetMode="External"/><Relationship Id="rId3" Type="http://schemas.openxmlformats.org/officeDocument/2006/relationships/settings" Target="settings.xml"/><Relationship Id="rId25" Type="http://schemas.openxmlformats.org/officeDocument/2006/relationships/hyperlink" Target="https://www.researchgate.net/profile/Rita-Attah/publication/388418888_Corporate_Health_and_Safety_Protocols_A_Conceptual_Model_for_Ensuring_Sustainability_in_Global_Operations/links/6797c5e6645ef274a449d2ff/Corporate-Health-and-Safety-Protocols-A-Conceptual-Model-for-Ensuring-Sustainability-in-Global-Operations.pdf" TargetMode="External"/><Relationship Id="rId46" Type="http://schemas.openxmlformats.org/officeDocument/2006/relationships/hyperlink" Target="https://www.researchgate.net/profile/Mohammad-Iranmanesh-2/publication/353677530_Industry_40_innovation_and_sustainable_development_A_systematic_review_and_a_roadmap_to_sustainable_innovation/links/6152eb72522ef665fb660742/Industry-40-innovation-and-sustainable-development-A-systematic-review-and-a-roadmap-to-sustainable-innovation.pdf" TargetMode="External"/><Relationship Id="rId67" Type="http://schemas.openxmlformats.org/officeDocument/2006/relationships/hyperlink" Target="https://www.shriwaghmarebrothers.com/wp-content/uploads/2021/12/Special_Issue_269_C-SPKM_Sawantwadi.pdf" TargetMode="External"/><Relationship Id="rId116" Type="http://schemas.openxmlformats.org/officeDocument/2006/relationships/theme" Target="theme/theme1.xml"/><Relationship Id="rId20" Type="http://schemas.openxmlformats.org/officeDocument/2006/relationships/hyperlink" Target="https://www.adityabirla.com/en/our-story/" TargetMode="External"/><Relationship Id="rId41" Type="http://schemas.openxmlformats.org/officeDocument/2006/relationships/hyperlink" Target="https://www.tandfonline.com/doi/pdf/10.1080/23311975.2023.2244752" TargetMode="External"/><Relationship Id="rId62" Type="http://schemas.openxmlformats.org/officeDocument/2006/relationships/hyperlink" Target="http://www.scienpress.com/Upload/JAFB/Vol%2015_2_3.pdf" TargetMode="External"/><Relationship Id="rId83" Type="http://schemas.openxmlformats.org/officeDocument/2006/relationships/hyperlink" Target="https://journal.ump.edu.my/ijim/article/download/10091/3054" TargetMode="External"/><Relationship Id="rId88" Type="http://schemas.openxmlformats.org/officeDocument/2006/relationships/hyperlink" Target="https://ojs.wsb.edu.pl/index.php/fso/article/download/574/324" TargetMode="External"/><Relationship Id="rId111" Type="http://schemas.openxmlformats.org/officeDocument/2006/relationships/hyperlink" Target="https://link.springer.com/content/pdf/10.1057/s41267-021-00430-5.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ecP2Vyj+IBXq1QNfmXkVoJEmcA==">CgMxLjAyDmguZTZyeW12cnQybmNlMg5oLmFldnYxZWlieW90ajIOaC5oeHE1Z3NzZDIxdDAyDmguYXE0dXQwd2hoYmtpMg5oLmEzN2thMXdveWRkNDIOaC55bWhoYXpkNDQ1am0yDmgubnVlbTZxaTdid3d0Mg5oLjUzamU1cnBmNWc5djIOaC55eTd4MGF5a2l4aHIyDmgudTFyM3V2ZWxlaDhjMg5oLjRoODNqeW9lbW5yYjIOaC5rOHcwc3Q1b3RtaGgyDmgudTl3cWRxZ2Z0enkwMg5oLjFiMDdndDh4eHlzdzIOaC5mMnhldHplbm1zMHAyDmguNjkwa2F4OXlnZnl3Mg5oLjNtZWlwdzUyMGtqdjIOaC5tams4ZjJtNDByeWIyDmguZmczZGY0aDVteTdyMg5oLnF6M204M2I5amw5ZjgAciExTE14UHlhQ3o5eUFPUnRtVGJZWWF1dDQzM2pGOXdhZG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31</Pages>
  <Words>10361</Words>
  <Characters>59064</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Sachin Ashokbhai Japi (2430819)</cp:lastModifiedBy>
  <cp:revision>2</cp:revision>
  <dcterms:created xsi:type="dcterms:W3CDTF">2025-12-09T10:10:00Z</dcterms:created>
  <dcterms:modified xsi:type="dcterms:W3CDTF">2025-12-13T20:34:00Z</dcterms:modified>
</cp:coreProperties>
</file>