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86928" w14:textId="77777777" w:rsidR="00313224" w:rsidRPr="00DA73A5" w:rsidRDefault="00313224" w:rsidP="00313224">
      <w:pPr>
        <w:spacing w:line="360" w:lineRule="auto"/>
        <w:jc w:val="center"/>
        <w:rPr>
          <w:rFonts w:ascii="Arial" w:hAnsi="Arial" w:cs="Arial"/>
          <w:b/>
        </w:rPr>
      </w:pPr>
    </w:p>
    <w:p w14:paraId="5931D8BC" w14:textId="77777777" w:rsidR="00DA73A5" w:rsidRPr="00DA73A5" w:rsidRDefault="00DA73A5" w:rsidP="00313224">
      <w:pPr>
        <w:spacing w:line="360" w:lineRule="auto"/>
        <w:jc w:val="center"/>
        <w:rPr>
          <w:rFonts w:ascii="Arial" w:hAnsi="Arial" w:cs="Arial"/>
          <w:b/>
        </w:rPr>
      </w:pPr>
    </w:p>
    <w:p w14:paraId="0BFA0AEC" w14:textId="144A7287" w:rsidR="00313224" w:rsidRPr="00DA73A5" w:rsidRDefault="00313224" w:rsidP="00313224">
      <w:pPr>
        <w:spacing w:line="360" w:lineRule="auto"/>
        <w:jc w:val="center"/>
        <w:rPr>
          <w:rFonts w:ascii="Arial" w:hAnsi="Arial" w:cs="Arial"/>
          <w:sz w:val="28"/>
          <w:szCs w:val="28"/>
        </w:rPr>
      </w:pPr>
      <w:r w:rsidRPr="00DA73A5">
        <w:rPr>
          <w:rFonts w:ascii="Arial" w:hAnsi="Arial" w:cs="Arial"/>
          <w:b/>
          <w:sz w:val="28"/>
          <w:szCs w:val="28"/>
        </w:rPr>
        <w:t>University of Wales Trinity Saint David</w:t>
      </w:r>
    </w:p>
    <w:p w14:paraId="133E01E1" w14:textId="77777777" w:rsidR="00313224" w:rsidRPr="00DA73A5" w:rsidRDefault="00313224" w:rsidP="00313224">
      <w:pPr>
        <w:spacing w:line="360" w:lineRule="auto"/>
        <w:jc w:val="center"/>
        <w:rPr>
          <w:rFonts w:ascii="Arial" w:hAnsi="Arial" w:cs="Arial"/>
        </w:rPr>
      </w:pPr>
    </w:p>
    <w:p w14:paraId="506A32DB" w14:textId="77777777" w:rsidR="00313224" w:rsidRPr="00DA73A5" w:rsidRDefault="00313224" w:rsidP="00313224">
      <w:pPr>
        <w:spacing w:line="360" w:lineRule="auto"/>
        <w:jc w:val="center"/>
        <w:rPr>
          <w:rFonts w:ascii="Arial" w:hAnsi="Arial" w:cs="Arial"/>
        </w:rPr>
      </w:pPr>
    </w:p>
    <w:p w14:paraId="4CDADF24" w14:textId="77777777" w:rsidR="00313224" w:rsidRPr="00DA73A5" w:rsidRDefault="00313224" w:rsidP="00313224">
      <w:pPr>
        <w:spacing w:line="360" w:lineRule="auto"/>
        <w:jc w:val="center"/>
        <w:rPr>
          <w:rFonts w:ascii="Arial" w:hAnsi="Arial" w:cs="Arial"/>
          <w:b/>
          <w:sz w:val="26"/>
          <w:szCs w:val="26"/>
        </w:rPr>
      </w:pPr>
      <w:r w:rsidRPr="00DA73A5">
        <w:rPr>
          <w:rFonts w:ascii="Arial" w:hAnsi="Arial" w:cs="Arial"/>
          <w:b/>
          <w:sz w:val="26"/>
          <w:szCs w:val="26"/>
        </w:rPr>
        <w:t>Poland and Romania: How Culture, Politics and EU Membership Have Shaped Economic Outcomes</w:t>
      </w:r>
    </w:p>
    <w:p w14:paraId="195DC75E" w14:textId="77777777" w:rsidR="00313224" w:rsidRPr="00DA73A5" w:rsidRDefault="00313224" w:rsidP="00313224">
      <w:pPr>
        <w:spacing w:line="360" w:lineRule="auto"/>
        <w:jc w:val="center"/>
        <w:rPr>
          <w:rFonts w:ascii="Arial" w:hAnsi="Arial" w:cs="Arial"/>
        </w:rPr>
      </w:pPr>
    </w:p>
    <w:p w14:paraId="0ED034B2" w14:textId="77777777" w:rsidR="00313224" w:rsidRPr="00DA73A5" w:rsidRDefault="00313224" w:rsidP="00313224">
      <w:pPr>
        <w:spacing w:line="360" w:lineRule="auto"/>
        <w:jc w:val="center"/>
        <w:rPr>
          <w:rFonts w:ascii="Arial" w:hAnsi="Arial" w:cs="Arial"/>
        </w:rPr>
      </w:pPr>
    </w:p>
    <w:p w14:paraId="628F6C75" w14:textId="77777777" w:rsidR="00073C32" w:rsidRPr="00DA73A5" w:rsidRDefault="00073C32" w:rsidP="00313224">
      <w:pPr>
        <w:spacing w:line="360" w:lineRule="auto"/>
        <w:jc w:val="center"/>
        <w:rPr>
          <w:rFonts w:ascii="Arial" w:hAnsi="Arial" w:cs="Arial"/>
        </w:rPr>
      </w:pPr>
    </w:p>
    <w:p w14:paraId="5554561C" w14:textId="77777777" w:rsidR="00073C32" w:rsidRPr="00DA73A5" w:rsidRDefault="00073C32" w:rsidP="00313224">
      <w:pPr>
        <w:spacing w:line="360" w:lineRule="auto"/>
        <w:jc w:val="center"/>
        <w:rPr>
          <w:rFonts w:ascii="Arial" w:hAnsi="Arial" w:cs="Arial"/>
        </w:rPr>
      </w:pPr>
    </w:p>
    <w:p w14:paraId="63D910FA" w14:textId="77777777" w:rsidR="00073C32" w:rsidRPr="00DA73A5" w:rsidRDefault="00073C32" w:rsidP="00313224">
      <w:pPr>
        <w:spacing w:line="360" w:lineRule="auto"/>
        <w:jc w:val="center"/>
        <w:rPr>
          <w:rFonts w:ascii="Arial" w:hAnsi="Arial" w:cs="Arial"/>
        </w:rPr>
      </w:pPr>
    </w:p>
    <w:p w14:paraId="604ECFBA" w14:textId="77777777" w:rsidR="00073C32" w:rsidRDefault="00073C32" w:rsidP="00DA73A5">
      <w:pPr>
        <w:spacing w:line="360" w:lineRule="auto"/>
        <w:rPr>
          <w:rFonts w:ascii="Arial" w:hAnsi="Arial" w:cs="Arial"/>
        </w:rPr>
      </w:pPr>
    </w:p>
    <w:p w14:paraId="12DA7E15" w14:textId="77777777" w:rsidR="00DA73A5" w:rsidRDefault="00DA73A5" w:rsidP="00DA73A5">
      <w:pPr>
        <w:spacing w:line="360" w:lineRule="auto"/>
        <w:rPr>
          <w:rFonts w:ascii="Arial" w:hAnsi="Arial" w:cs="Arial"/>
        </w:rPr>
      </w:pPr>
    </w:p>
    <w:p w14:paraId="56DEE861" w14:textId="77777777" w:rsidR="00DA73A5" w:rsidRPr="00DA73A5" w:rsidRDefault="00DA73A5" w:rsidP="00DA73A5">
      <w:pPr>
        <w:spacing w:line="360" w:lineRule="auto"/>
        <w:rPr>
          <w:rFonts w:ascii="Arial" w:hAnsi="Arial" w:cs="Arial"/>
        </w:rPr>
      </w:pPr>
    </w:p>
    <w:p w14:paraId="03AF5015" w14:textId="77777777" w:rsidR="00313224" w:rsidRPr="00DA73A5" w:rsidRDefault="00313224" w:rsidP="00313224">
      <w:pPr>
        <w:spacing w:line="360" w:lineRule="auto"/>
        <w:jc w:val="center"/>
        <w:rPr>
          <w:rFonts w:ascii="Arial" w:hAnsi="Arial" w:cs="Arial"/>
        </w:rPr>
      </w:pPr>
      <w:r w:rsidRPr="00DA73A5">
        <w:rPr>
          <w:rFonts w:ascii="Arial" w:hAnsi="Arial" w:cs="Arial"/>
        </w:rPr>
        <w:t>Submitted by:</w:t>
      </w:r>
    </w:p>
    <w:p w14:paraId="779FED99" w14:textId="77777777" w:rsidR="00313224" w:rsidRPr="00DA73A5" w:rsidRDefault="00313224" w:rsidP="00313224">
      <w:pPr>
        <w:spacing w:line="360" w:lineRule="auto"/>
        <w:jc w:val="center"/>
        <w:rPr>
          <w:rFonts w:ascii="Arial" w:hAnsi="Arial" w:cs="Arial"/>
        </w:rPr>
      </w:pPr>
      <w:r w:rsidRPr="00DA73A5">
        <w:rPr>
          <w:rFonts w:ascii="Arial" w:hAnsi="Arial" w:cs="Arial"/>
          <w:b/>
        </w:rPr>
        <w:t>Alexandru Inasescu</w:t>
      </w:r>
    </w:p>
    <w:p w14:paraId="4D6AFAB8" w14:textId="77777777" w:rsidR="00313224" w:rsidRPr="00DA73A5" w:rsidRDefault="00313224" w:rsidP="00313224">
      <w:pPr>
        <w:spacing w:line="360" w:lineRule="auto"/>
        <w:jc w:val="center"/>
        <w:rPr>
          <w:rFonts w:ascii="Arial" w:hAnsi="Arial" w:cs="Arial"/>
        </w:rPr>
      </w:pPr>
      <w:r w:rsidRPr="00DA73A5">
        <w:rPr>
          <w:rFonts w:ascii="Arial" w:hAnsi="Arial" w:cs="Arial"/>
        </w:rPr>
        <w:t>Student Number: 2210486</w:t>
      </w:r>
    </w:p>
    <w:p w14:paraId="1107E459" w14:textId="77777777" w:rsidR="00313224" w:rsidRPr="00DA73A5" w:rsidRDefault="00313224" w:rsidP="00313224">
      <w:pPr>
        <w:spacing w:line="360" w:lineRule="auto"/>
        <w:jc w:val="center"/>
        <w:rPr>
          <w:rFonts w:ascii="Arial" w:hAnsi="Arial" w:cs="Arial"/>
        </w:rPr>
      </w:pPr>
    </w:p>
    <w:p w14:paraId="1C2153AA" w14:textId="77777777" w:rsidR="00313224" w:rsidRPr="00DA73A5" w:rsidRDefault="00313224" w:rsidP="00313224">
      <w:pPr>
        <w:spacing w:line="360" w:lineRule="auto"/>
        <w:jc w:val="center"/>
        <w:rPr>
          <w:rFonts w:ascii="Arial" w:hAnsi="Arial" w:cs="Arial"/>
        </w:rPr>
      </w:pPr>
      <w:r w:rsidRPr="00DA73A5">
        <w:rPr>
          <w:rFonts w:ascii="Arial" w:hAnsi="Arial" w:cs="Arial"/>
        </w:rPr>
        <w:t>Submitted in partial fulfilment of the requirements for the degree of</w:t>
      </w:r>
    </w:p>
    <w:p w14:paraId="45936D09" w14:textId="77777777" w:rsidR="00313224" w:rsidRPr="00DA73A5" w:rsidRDefault="00313224" w:rsidP="00313224">
      <w:pPr>
        <w:spacing w:line="360" w:lineRule="auto"/>
        <w:jc w:val="center"/>
        <w:rPr>
          <w:rFonts w:ascii="Arial" w:hAnsi="Arial" w:cs="Arial"/>
        </w:rPr>
      </w:pPr>
      <w:r w:rsidRPr="00DA73A5">
        <w:rPr>
          <w:rFonts w:ascii="Arial" w:hAnsi="Arial" w:cs="Arial"/>
          <w:b/>
        </w:rPr>
        <w:t>BA (Hons) Business Management</w:t>
      </w:r>
    </w:p>
    <w:p w14:paraId="43CAC8A9" w14:textId="77777777" w:rsidR="00313224" w:rsidRPr="00DA73A5" w:rsidRDefault="00313224" w:rsidP="00313224">
      <w:pPr>
        <w:spacing w:line="360" w:lineRule="auto"/>
        <w:jc w:val="center"/>
        <w:rPr>
          <w:rFonts w:ascii="Arial" w:hAnsi="Arial" w:cs="Arial"/>
        </w:rPr>
      </w:pPr>
      <w:r w:rsidRPr="00DA73A5">
        <w:rPr>
          <w:rFonts w:ascii="Arial" w:hAnsi="Arial" w:cs="Arial"/>
        </w:rPr>
        <w:t>Supervisor: Alastair Moyes</w:t>
      </w:r>
    </w:p>
    <w:p w14:paraId="5580E5CB" w14:textId="77777777" w:rsidR="00313224" w:rsidRPr="00DA73A5" w:rsidRDefault="00313224" w:rsidP="00313224">
      <w:pPr>
        <w:spacing w:line="360" w:lineRule="auto"/>
        <w:jc w:val="center"/>
        <w:rPr>
          <w:rFonts w:ascii="Arial" w:hAnsi="Arial" w:cs="Arial"/>
        </w:rPr>
      </w:pPr>
      <w:r w:rsidRPr="00DA73A5">
        <w:rPr>
          <w:rFonts w:ascii="Arial" w:hAnsi="Arial" w:cs="Arial"/>
        </w:rPr>
        <w:t>Module Code: LCBB6000_BIRM</w:t>
      </w:r>
    </w:p>
    <w:p w14:paraId="33D11C88" w14:textId="35D93368" w:rsidR="00DA73A5" w:rsidRPr="00DA73A5" w:rsidRDefault="00313224" w:rsidP="00DA73A5">
      <w:pPr>
        <w:spacing w:line="360" w:lineRule="auto"/>
        <w:jc w:val="center"/>
        <w:rPr>
          <w:rFonts w:ascii="Arial" w:hAnsi="Arial" w:cs="Arial"/>
        </w:rPr>
      </w:pPr>
      <w:r w:rsidRPr="00DA73A5">
        <w:rPr>
          <w:rFonts w:ascii="Arial" w:hAnsi="Arial" w:cs="Arial"/>
          <w:b/>
        </w:rPr>
        <w:t>July 2025</w:t>
      </w:r>
    </w:p>
    <w:p w14:paraId="77B37B66" w14:textId="10F8CCAF" w:rsidR="00CB3541" w:rsidRPr="00B82603" w:rsidRDefault="00CB3541" w:rsidP="00CB3541">
      <w:pPr>
        <w:rPr>
          <w:rFonts w:ascii="Arial" w:hAnsi="Arial" w:cs="Arial"/>
          <w:b/>
          <w:bCs/>
          <w:sz w:val="22"/>
          <w:szCs w:val="22"/>
        </w:rPr>
      </w:pPr>
      <w:r w:rsidRPr="00B82603">
        <w:rPr>
          <w:rFonts w:ascii="Arial" w:hAnsi="Arial" w:cs="Arial"/>
          <w:b/>
          <w:bCs/>
          <w:sz w:val="22"/>
          <w:szCs w:val="22"/>
        </w:rPr>
        <w:lastRenderedPageBreak/>
        <w:t>Abstract</w:t>
      </w:r>
    </w:p>
    <w:p w14:paraId="3B91F20A" w14:textId="77777777" w:rsidR="00CB3541" w:rsidRPr="00B82603" w:rsidRDefault="00CB3541" w:rsidP="00BB0BA3">
      <w:pPr>
        <w:spacing w:line="360" w:lineRule="auto"/>
        <w:jc w:val="both"/>
        <w:rPr>
          <w:rFonts w:ascii="Arial" w:hAnsi="Arial" w:cs="Arial"/>
          <w:sz w:val="22"/>
          <w:szCs w:val="22"/>
        </w:rPr>
      </w:pPr>
      <w:r w:rsidRPr="00B82603">
        <w:rPr>
          <w:rFonts w:ascii="Arial" w:hAnsi="Arial" w:cs="Arial"/>
          <w:sz w:val="22"/>
          <w:szCs w:val="22"/>
        </w:rPr>
        <w:t>This dissertation conducts a comparative analysis of Poland and Romania to assess how culture, politics, and European Union (EU) membership have shaped their economic development since accession. While both countries share a legacy of centrally planned economies and transitioned into EU membership in the 2000s, their post-accession trajectories diverged significantly. The study applies a multi-theoretical framework drawing on Hofstede’s Cultural Dimensions, Dunning’s OLI paradigm, Institutional Theory, Porter’s Diamond Model, and Cascade Theory to evaluate differences in GDP growth, foreign direct investment (FDI), governance quality, sectoral development, and leadership performance.</w:t>
      </w:r>
    </w:p>
    <w:p w14:paraId="68FF3861" w14:textId="77777777" w:rsidR="00CB3541" w:rsidRPr="00B82603" w:rsidRDefault="00CB3541" w:rsidP="00BB0BA3">
      <w:pPr>
        <w:spacing w:line="360" w:lineRule="auto"/>
        <w:jc w:val="both"/>
        <w:rPr>
          <w:rFonts w:ascii="Arial" w:hAnsi="Arial" w:cs="Arial"/>
          <w:sz w:val="22"/>
          <w:szCs w:val="22"/>
        </w:rPr>
      </w:pPr>
      <w:r w:rsidRPr="00B82603">
        <w:rPr>
          <w:rFonts w:ascii="Arial" w:hAnsi="Arial" w:cs="Arial"/>
          <w:sz w:val="22"/>
          <w:szCs w:val="22"/>
        </w:rPr>
        <w:t>Poland is shown to have achieved greater economic convergence through early institutional reform, effective EU fund utilisation, strategic FDI alignment, and cultural adaptability. Romania, despite notable progress, has faced recurring challenges related to bureaucratic rigidity, political volatility, and limited absorptive capacity. Sectoral case studies further illustrate these contrasts, with Poland excelling in automotive manufacturing and Romania developing a competitive but fragile IT sector.</w:t>
      </w:r>
    </w:p>
    <w:p w14:paraId="2222DDC5" w14:textId="77777777" w:rsidR="00CB3541" w:rsidRPr="00B82603" w:rsidRDefault="00CB3541" w:rsidP="00BB0BA3">
      <w:pPr>
        <w:spacing w:line="360" w:lineRule="auto"/>
        <w:jc w:val="both"/>
        <w:rPr>
          <w:rFonts w:ascii="Arial" w:hAnsi="Arial" w:cs="Arial"/>
          <w:sz w:val="22"/>
          <w:szCs w:val="22"/>
        </w:rPr>
      </w:pPr>
      <w:r w:rsidRPr="00B82603">
        <w:rPr>
          <w:rFonts w:ascii="Arial" w:hAnsi="Arial" w:cs="Arial"/>
          <w:sz w:val="22"/>
          <w:szCs w:val="22"/>
        </w:rPr>
        <w:t>Through qualitative and quantitative analysis, the research addresses six objectives and concludes that EU membership alone is insufficient for sustained economic success. Instead, institutional strength, cultural readiness, and strategic leadership are the critical drivers of development. The study offers tailored recommendations for Romania and the EU, focusing on governance reform, diaspora reintegration, and regional innovation. By integrating academic theory with empirical evidence, this dissertation contributes to understanding the complexities of post-accession development in Central and Eastern Europe.</w:t>
      </w:r>
    </w:p>
    <w:p w14:paraId="6DA33C08" w14:textId="77777777" w:rsidR="003E06C3" w:rsidRPr="00B82603" w:rsidRDefault="003E06C3" w:rsidP="00327D03">
      <w:pPr>
        <w:spacing w:line="360" w:lineRule="auto"/>
        <w:rPr>
          <w:rFonts w:ascii="Arial" w:hAnsi="Arial" w:cs="Arial"/>
          <w:sz w:val="22"/>
          <w:szCs w:val="22"/>
        </w:rPr>
      </w:pPr>
    </w:p>
    <w:p w14:paraId="31C56DFE" w14:textId="77777777" w:rsidR="00CB3541" w:rsidRPr="00B82603" w:rsidRDefault="00CB3541" w:rsidP="00327D03">
      <w:pPr>
        <w:spacing w:line="360" w:lineRule="auto"/>
        <w:rPr>
          <w:rFonts w:ascii="Arial" w:hAnsi="Arial" w:cs="Arial"/>
          <w:sz w:val="22"/>
          <w:szCs w:val="22"/>
        </w:rPr>
      </w:pPr>
    </w:p>
    <w:p w14:paraId="30A1D66F" w14:textId="77777777" w:rsidR="00CB3541" w:rsidRPr="00B82603" w:rsidRDefault="00CB3541" w:rsidP="00327D03">
      <w:pPr>
        <w:spacing w:line="360" w:lineRule="auto"/>
        <w:rPr>
          <w:rFonts w:ascii="Arial" w:hAnsi="Arial" w:cs="Arial"/>
          <w:sz w:val="22"/>
          <w:szCs w:val="22"/>
        </w:rPr>
      </w:pPr>
    </w:p>
    <w:p w14:paraId="307CB6F5" w14:textId="77777777" w:rsidR="00CB3541" w:rsidRPr="00B82603" w:rsidRDefault="00CB3541" w:rsidP="00327D03">
      <w:pPr>
        <w:spacing w:line="360" w:lineRule="auto"/>
        <w:rPr>
          <w:rFonts w:ascii="Arial" w:hAnsi="Arial" w:cs="Arial"/>
          <w:sz w:val="22"/>
          <w:szCs w:val="22"/>
        </w:rPr>
      </w:pPr>
    </w:p>
    <w:p w14:paraId="27128805" w14:textId="77777777" w:rsidR="00CB3541" w:rsidRPr="00B82603" w:rsidRDefault="00CB3541" w:rsidP="00327D03">
      <w:pPr>
        <w:spacing w:line="360" w:lineRule="auto"/>
        <w:rPr>
          <w:rFonts w:ascii="Arial" w:hAnsi="Arial" w:cs="Arial"/>
          <w:sz w:val="22"/>
          <w:szCs w:val="22"/>
        </w:rPr>
      </w:pPr>
    </w:p>
    <w:p w14:paraId="46C46715" w14:textId="77777777" w:rsidR="00CB3541" w:rsidRPr="00B82603" w:rsidRDefault="00CB3541" w:rsidP="00327D03">
      <w:pPr>
        <w:spacing w:line="360" w:lineRule="auto"/>
        <w:rPr>
          <w:rFonts w:ascii="Arial" w:hAnsi="Arial" w:cs="Arial"/>
          <w:sz w:val="22"/>
          <w:szCs w:val="22"/>
        </w:rPr>
      </w:pPr>
    </w:p>
    <w:p w14:paraId="62763E10" w14:textId="77777777" w:rsidR="003E06C3" w:rsidRPr="00B82603" w:rsidRDefault="003E06C3" w:rsidP="00327D03">
      <w:pPr>
        <w:spacing w:line="360" w:lineRule="auto"/>
        <w:rPr>
          <w:rFonts w:ascii="Arial" w:hAnsi="Arial" w:cs="Arial"/>
          <w:sz w:val="22"/>
          <w:szCs w:val="22"/>
        </w:rPr>
      </w:pPr>
    </w:p>
    <w:p w14:paraId="584FA0D0" w14:textId="77777777" w:rsidR="003E06C3" w:rsidRPr="00B82603" w:rsidRDefault="003E06C3" w:rsidP="00327D03">
      <w:pPr>
        <w:spacing w:line="360" w:lineRule="auto"/>
        <w:rPr>
          <w:rFonts w:ascii="Arial" w:hAnsi="Arial" w:cs="Arial"/>
          <w:sz w:val="22"/>
          <w:szCs w:val="22"/>
        </w:rPr>
      </w:pPr>
    </w:p>
    <w:sdt>
      <w:sdtPr>
        <w:rPr>
          <w:rFonts w:ascii="Arial" w:eastAsiaTheme="minorHAnsi" w:hAnsi="Arial" w:cs="Arial"/>
          <w:color w:val="auto"/>
          <w:kern w:val="2"/>
          <w:sz w:val="22"/>
          <w:szCs w:val="22"/>
          <w:lang w:val="en-GB"/>
          <w14:ligatures w14:val="standardContextual"/>
        </w:rPr>
        <w:id w:val="1786465955"/>
        <w:docPartObj>
          <w:docPartGallery w:val="Table of Contents"/>
          <w:docPartUnique/>
        </w:docPartObj>
      </w:sdtPr>
      <w:sdtEndPr>
        <w:rPr>
          <w:b/>
          <w:bCs/>
          <w:noProof/>
        </w:rPr>
      </w:sdtEndPr>
      <w:sdtContent>
        <w:p w14:paraId="066450DE" w14:textId="0174DFA1" w:rsidR="00327D03" w:rsidRPr="009F05FB" w:rsidRDefault="00327D03" w:rsidP="00240902">
          <w:pPr>
            <w:pStyle w:val="TOCHeading"/>
            <w:spacing w:line="360" w:lineRule="auto"/>
            <w:rPr>
              <w:rFonts w:ascii="Arial" w:hAnsi="Arial" w:cs="Arial"/>
              <w:b/>
              <w:bCs/>
              <w:color w:val="auto"/>
              <w:sz w:val="22"/>
              <w:szCs w:val="22"/>
            </w:rPr>
          </w:pPr>
          <w:r w:rsidRPr="009F05FB">
            <w:rPr>
              <w:rFonts w:ascii="Arial" w:hAnsi="Arial" w:cs="Arial"/>
              <w:b/>
              <w:bCs/>
              <w:color w:val="auto"/>
              <w:sz w:val="22"/>
              <w:szCs w:val="22"/>
            </w:rPr>
            <w:t>Table of Contents</w:t>
          </w:r>
        </w:p>
        <w:p w14:paraId="38BDA311" w14:textId="33EBCF94" w:rsidR="009F05FB" w:rsidRPr="009F05FB" w:rsidRDefault="00327D03">
          <w:pPr>
            <w:pStyle w:val="TOC1"/>
            <w:tabs>
              <w:tab w:val="right" w:leader="dot" w:pos="9016"/>
            </w:tabs>
            <w:rPr>
              <w:rFonts w:ascii="Arial" w:eastAsiaTheme="minorEastAsia" w:hAnsi="Arial" w:cs="Arial"/>
              <w:noProof/>
              <w:sz w:val="22"/>
              <w:szCs w:val="22"/>
              <w:lang w:eastAsia="en-GB"/>
            </w:rPr>
          </w:pPr>
          <w:r w:rsidRPr="009F05FB">
            <w:rPr>
              <w:rFonts w:ascii="Arial" w:hAnsi="Arial" w:cs="Arial"/>
              <w:b/>
              <w:bCs/>
              <w:sz w:val="22"/>
              <w:szCs w:val="22"/>
            </w:rPr>
            <w:fldChar w:fldCharType="begin"/>
          </w:r>
          <w:r w:rsidRPr="009F05FB">
            <w:rPr>
              <w:rFonts w:ascii="Arial" w:hAnsi="Arial" w:cs="Arial"/>
              <w:b/>
              <w:bCs/>
              <w:sz w:val="22"/>
              <w:szCs w:val="22"/>
            </w:rPr>
            <w:instrText xml:space="preserve"> TOC \o "1-3" \h \z \u </w:instrText>
          </w:r>
          <w:r w:rsidRPr="009F05FB">
            <w:rPr>
              <w:rFonts w:ascii="Arial" w:hAnsi="Arial" w:cs="Arial"/>
              <w:b/>
              <w:bCs/>
              <w:sz w:val="22"/>
              <w:szCs w:val="22"/>
            </w:rPr>
            <w:fldChar w:fldCharType="separate"/>
          </w:r>
          <w:hyperlink w:anchor="_Toc204167105" w:history="1">
            <w:r w:rsidR="009F05FB" w:rsidRPr="009F05FB">
              <w:rPr>
                <w:rStyle w:val="Hyperlink"/>
                <w:rFonts w:ascii="Arial" w:eastAsia="Times New Roman" w:hAnsi="Arial" w:cs="Arial"/>
                <w:b/>
                <w:bCs/>
                <w:noProof/>
                <w:sz w:val="22"/>
                <w:szCs w:val="22"/>
                <w:lang w:eastAsia="en-GB"/>
              </w:rPr>
              <w:t>Chapter 1: Introduction</w:t>
            </w:r>
            <w:r w:rsidR="009F05FB" w:rsidRPr="009F05FB">
              <w:rPr>
                <w:rFonts w:ascii="Arial" w:hAnsi="Arial" w:cs="Arial"/>
                <w:noProof/>
                <w:webHidden/>
                <w:sz w:val="22"/>
                <w:szCs w:val="22"/>
              </w:rPr>
              <w:tab/>
            </w:r>
            <w:r w:rsidR="009F05FB" w:rsidRPr="009F05FB">
              <w:rPr>
                <w:rFonts w:ascii="Arial" w:hAnsi="Arial" w:cs="Arial"/>
                <w:noProof/>
                <w:webHidden/>
                <w:sz w:val="22"/>
                <w:szCs w:val="22"/>
              </w:rPr>
              <w:fldChar w:fldCharType="begin"/>
            </w:r>
            <w:r w:rsidR="009F05FB" w:rsidRPr="009F05FB">
              <w:rPr>
                <w:rFonts w:ascii="Arial" w:hAnsi="Arial" w:cs="Arial"/>
                <w:noProof/>
                <w:webHidden/>
                <w:sz w:val="22"/>
                <w:szCs w:val="22"/>
              </w:rPr>
              <w:instrText xml:space="preserve"> PAGEREF _Toc204167105 \h </w:instrText>
            </w:r>
            <w:r w:rsidR="009F05FB" w:rsidRPr="009F05FB">
              <w:rPr>
                <w:rFonts w:ascii="Arial" w:hAnsi="Arial" w:cs="Arial"/>
                <w:noProof/>
                <w:webHidden/>
                <w:sz w:val="22"/>
                <w:szCs w:val="22"/>
              </w:rPr>
            </w:r>
            <w:r w:rsidR="009F05FB" w:rsidRPr="009F05FB">
              <w:rPr>
                <w:rFonts w:ascii="Arial" w:hAnsi="Arial" w:cs="Arial"/>
                <w:noProof/>
                <w:webHidden/>
                <w:sz w:val="22"/>
                <w:szCs w:val="22"/>
              </w:rPr>
              <w:fldChar w:fldCharType="separate"/>
            </w:r>
            <w:r w:rsidR="009F05FB" w:rsidRPr="009F05FB">
              <w:rPr>
                <w:rFonts w:ascii="Arial" w:hAnsi="Arial" w:cs="Arial"/>
                <w:noProof/>
                <w:webHidden/>
                <w:sz w:val="22"/>
                <w:szCs w:val="22"/>
              </w:rPr>
              <w:t>4</w:t>
            </w:r>
            <w:r w:rsidR="009F05FB" w:rsidRPr="009F05FB">
              <w:rPr>
                <w:rFonts w:ascii="Arial" w:hAnsi="Arial" w:cs="Arial"/>
                <w:noProof/>
                <w:webHidden/>
                <w:sz w:val="22"/>
                <w:szCs w:val="22"/>
              </w:rPr>
              <w:fldChar w:fldCharType="end"/>
            </w:r>
          </w:hyperlink>
        </w:p>
        <w:p w14:paraId="5E259F69" w14:textId="745C3AF2" w:rsidR="009F05FB" w:rsidRPr="009F05FB" w:rsidRDefault="009F05FB">
          <w:pPr>
            <w:pStyle w:val="TOC2"/>
            <w:rPr>
              <w:rFonts w:eastAsiaTheme="minorEastAsia"/>
              <w:b w:val="0"/>
              <w:bCs w:val="0"/>
            </w:rPr>
          </w:pPr>
          <w:hyperlink w:anchor="_Toc204167106" w:history="1">
            <w:r w:rsidRPr="009F05FB">
              <w:rPr>
                <w:rStyle w:val="Hyperlink"/>
              </w:rPr>
              <w:t>1.1 Background and Context</w:t>
            </w:r>
            <w:r w:rsidRPr="009F05FB">
              <w:rPr>
                <w:webHidden/>
              </w:rPr>
              <w:tab/>
            </w:r>
            <w:r w:rsidRPr="009F05FB">
              <w:rPr>
                <w:webHidden/>
              </w:rPr>
              <w:fldChar w:fldCharType="begin"/>
            </w:r>
            <w:r w:rsidRPr="009F05FB">
              <w:rPr>
                <w:webHidden/>
              </w:rPr>
              <w:instrText xml:space="preserve"> PAGEREF _Toc204167106 \h </w:instrText>
            </w:r>
            <w:r w:rsidRPr="009F05FB">
              <w:rPr>
                <w:webHidden/>
              </w:rPr>
            </w:r>
            <w:r w:rsidRPr="009F05FB">
              <w:rPr>
                <w:webHidden/>
              </w:rPr>
              <w:fldChar w:fldCharType="separate"/>
            </w:r>
            <w:r w:rsidRPr="009F05FB">
              <w:rPr>
                <w:webHidden/>
              </w:rPr>
              <w:t>4</w:t>
            </w:r>
            <w:r w:rsidRPr="009F05FB">
              <w:rPr>
                <w:webHidden/>
              </w:rPr>
              <w:fldChar w:fldCharType="end"/>
            </w:r>
          </w:hyperlink>
        </w:p>
        <w:p w14:paraId="64616FFC" w14:textId="059B0B07" w:rsidR="009F05FB" w:rsidRPr="009F05FB" w:rsidRDefault="009F05FB">
          <w:pPr>
            <w:pStyle w:val="TOC2"/>
            <w:rPr>
              <w:rFonts w:eastAsiaTheme="minorEastAsia"/>
              <w:b w:val="0"/>
              <w:bCs w:val="0"/>
            </w:rPr>
          </w:pPr>
          <w:hyperlink w:anchor="_Toc204167107" w:history="1">
            <w:r w:rsidRPr="009F05FB">
              <w:rPr>
                <w:rStyle w:val="Hyperlink"/>
              </w:rPr>
              <w:t>1.2 Rationale for the Study</w:t>
            </w:r>
            <w:r w:rsidRPr="009F05FB">
              <w:rPr>
                <w:webHidden/>
              </w:rPr>
              <w:tab/>
            </w:r>
            <w:r w:rsidRPr="009F05FB">
              <w:rPr>
                <w:webHidden/>
              </w:rPr>
              <w:fldChar w:fldCharType="begin"/>
            </w:r>
            <w:r w:rsidRPr="009F05FB">
              <w:rPr>
                <w:webHidden/>
              </w:rPr>
              <w:instrText xml:space="preserve"> PAGEREF _Toc204167107 \h </w:instrText>
            </w:r>
            <w:r w:rsidRPr="009F05FB">
              <w:rPr>
                <w:webHidden/>
              </w:rPr>
            </w:r>
            <w:r w:rsidRPr="009F05FB">
              <w:rPr>
                <w:webHidden/>
              </w:rPr>
              <w:fldChar w:fldCharType="separate"/>
            </w:r>
            <w:r w:rsidRPr="009F05FB">
              <w:rPr>
                <w:webHidden/>
              </w:rPr>
              <w:t>5</w:t>
            </w:r>
            <w:r w:rsidRPr="009F05FB">
              <w:rPr>
                <w:webHidden/>
              </w:rPr>
              <w:fldChar w:fldCharType="end"/>
            </w:r>
          </w:hyperlink>
        </w:p>
        <w:p w14:paraId="09120585" w14:textId="0D5589C2" w:rsidR="009F05FB" w:rsidRPr="009F05FB" w:rsidRDefault="009F05FB">
          <w:pPr>
            <w:pStyle w:val="TOC2"/>
            <w:rPr>
              <w:rFonts w:eastAsiaTheme="minorEastAsia"/>
              <w:b w:val="0"/>
              <w:bCs w:val="0"/>
            </w:rPr>
          </w:pPr>
          <w:hyperlink w:anchor="_Toc204167108" w:history="1">
            <w:r w:rsidRPr="009F05FB">
              <w:rPr>
                <w:rStyle w:val="Hyperlink"/>
              </w:rPr>
              <w:t>1.3 Research Aim and Objectives</w:t>
            </w:r>
            <w:r w:rsidRPr="009F05FB">
              <w:rPr>
                <w:webHidden/>
              </w:rPr>
              <w:tab/>
            </w:r>
            <w:r w:rsidRPr="009F05FB">
              <w:rPr>
                <w:webHidden/>
              </w:rPr>
              <w:fldChar w:fldCharType="begin"/>
            </w:r>
            <w:r w:rsidRPr="009F05FB">
              <w:rPr>
                <w:webHidden/>
              </w:rPr>
              <w:instrText xml:space="preserve"> PAGEREF _Toc204167108 \h </w:instrText>
            </w:r>
            <w:r w:rsidRPr="009F05FB">
              <w:rPr>
                <w:webHidden/>
              </w:rPr>
            </w:r>
            <w:r w:rsidRPr="009F05FB">
              <w:rPr>
                <w:webHidden/>
              </w:rPr>
              <w:fldChar w:fldCharType="separate"/>
            </w:r>
            <w:r w:rsidRPr="009F05FB">
              <w:rPr>
                <w:webHidden/>
              </w:rPr>
              <w:t>6</w:t>
            </w:r>
            <w:r w:rsidRPr="009F05FB">
              <w:rPr>
                <w:webHidden/>
              </w:rPr>
              <w:fldChar w:fldCharType="end"/>
            </w:r>
          </w:hyperlink>
        </w:p>
        <w:p w14:paraId="136A732B" w14:textId="0253DF88" w:rsidR="009F05FB" w:rsidRPr="009F05FB" w:rsidRDefault="009F05FB">
          <w:pPr>
            <w:pStyle w:val="TOC2"/>
            <w:rPr>
              <w:rFonts w:eastAsiaTheme="minorEastAsia"/>
              <w:b w:val="0"/>
              <w:bCs w:val="0"/>
            </w:rPr>
          </w:pPr>
          <w:hyperlink w:anchor="_Toc204167109" w:history="1">
            <w:r w:rsidRPr="009F05FB">
              <w:rPr>
                <w:rStyle w:val="Hyperlink"/>
              </w:rPr>
              <w:t>1.4 Research Questions</w:t>
            </w:r>
            <w:r w:rsidRPr="009F05FB">
              <w:rPr>
                <w:webHidden/>
              </w:rPr>
              <w:tab/>
            </w:r>
            <w:r w:rsidRPr="009F05FB">
              <w:rPr>
                <w:webHidden/>
              </w:rPr>
              <w:fldChar w:fldCharType="begin"/>
            </w:r>
            <w:r w:rsidRPr="009F05FB">
              <w:rPr>
                <w:webHidden/>
              </w:rPr>
              <w:instrText xml:space="preserve"> PAGEREF _Toc204167109 \h </w:instrText>
            </w:r>
            <w:r w:rsidRPr="009F05FB">
              <w:rPr>
                <w:webHidden/>
              </w:rPr>
            </w:r>
            <w:r w:rsidRPr="009F05FB">
              <w:rPr>
                <w:webHidden/>
              </w:rPr>
              <w:fldChar w:fldCharType="separate"/>
            </w:r>
            <w:r w:rsidRPr="009F05FB">
              <w:rPr>
                <w:webHidden/>
              </w:rPr>
              <w:t>6</w:t>
            </w:r>
            <w:r w:rsidRPr="009F05FB">
              <w:rPr>
                <w:webHidden/>
              </w:rPr>
              <w:fldChar w:fldCharType="end"/>
            </w:r>
          </w:hyperlink>
        </w:p>
        <w:p w14:paraId="75D106C5" w14:textId="7FBC29DE" w:rsidR="009F05FB" w:rsidRPr="009F05FB" w:rsidRDefault="009F05FB">
          <w:pPr>
            <w:pStyle w:val="TOC2"/>
            <w:rPr>
              <w:rFonts w:eastAsiaTheme="minorEastAsia"/>
              <w:b w:val="0"/>
              <w:bCs w:val="0"/>
            </w:rPr>
          </w:pPr>
          <w:hyperlink w:anchor="_Toc204167110" w:history="1">
            <w:r w:rsidRPr="009F05FB">
              <w:rPr>
                <w:rStyle w:val="Hyperlink"/>
              </w:rPr>
              <w:t>1.5 Structure of the Dissertation</w:t>
            </w:r>
            <w:r w:rsidRPr="009F05FB">
              <w:rPr>
                <w:webHidden/>
              </w:rPr>
              <w:tab/>
            </w:r>
            <w:r w:rsidRPr="009F05FB">
              <w:rPr>
                <w:webHidden/>
              </w:rPr>
              <w:fldChar w:fldCharType="begin"/>
            </w:r>
            <w:r w:rsidRPr="009F05FB">
              <w:rPr>
                <w:webHidden/>
              </w:rPr>
              <w:instrText xml:space="preserve"> PAGEREF _Toc204167110 \h </w:instrText>
            </w:r>
            <w:r w:rsidRPr="009F05FB">
              <w:rPr>
                <w:webHidden/>
              </w:rPr>
            </w:r>
            <w:r w:rsidRPr="009F05FB">
              <w:rPr>
                <w:webHidden/>
              </w:rPr>
              <w:fldChar w:fldCharType="separate"/>
            </w:r>
            <w:r w:rsidRPr="009F05FB">
              <w:rPr>
                <w:webHidden/>
              </w:rPr>
              <w:t>6</w:t>
            </w:r>
            <w:r w:rsidRPr="009F05FB">
              <w:rPr>
                <w:webHidden/>
              </w:rPr>
              <w:fldChar w:fldCharType="end"/>
            </w:r>
          </w:hyperlink>
        </w:p>
        <w:p w14:paraId="6EFD9EB6" w14:textId="2423ECCF" w:rsidR="009F05FB" w:rsidRPr="009F05FB" w:rsidRDefault="009F05FB">
          <w:pPr>
            <w:pStyle w:val="TOC1"/>
            <w:tabs>
              <w:tab w:val="right" w:leader="dot" w:pos="9016"/>
            </w:tabs>
            <w:rPr>
              <w:rFonts w:ascii="Arial" w:eastAsiaTheme="minorEastAsia" w:hAnsi="Arial" w:cs="Arial"/>
              <w:noProof/>
              <w:sz w:val="22"/>
              <w:szCs w:val="22"/>
              <w:lang w:eastAsia="en-GB"/>
            </w:rPr>
          </w:pPr>
          <w:hyperlink w:anchor="_Toc204167111" w:history="1">
            <w:r w:rsidRPr="009F05FB">
              <w:rPr>
                <w:rStyle w:val="Hyperlink"/>
                <w:rFonts w:ascii="Arial" w:eastAsia="Times New Roman" w:hAnsi="Arial" w:cs="Arial"/>
                <w:b/>
                <w:bCs/>
                <w:noProof/>
                <w:sz w:val="22"/>
                <w:szCs w:val="22"/>
                <w:lang w:eastAsia="en-GB"/>
              </w:rPr>
              <w:t>Chapter 2: Literature Review</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_Toc204167111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7</w:t>
            </w:r>
            <w:r w:rsidRPr="009F05FB">
              <w:rPr>
                <w:rFonts w:ascii="Arial" w:hAnsi="Arial" w:cs="Arial"/>
                <w:noProof/>
                <w:webHidden/>
                <w:sz w:val="22"/>
                <w:szCs w:val="22"/>
              </w:rPr>
              <w:fldChar w:fldCharType="end"/>
            </w:r>
          </w:hyperlink>
        </w:p>
        <w:p w14:paraId="12BEA2BB" w14:textId="71E85596" w:rsidR="009F05FB" w:rsidRPr="009F05FB" w:rsidRDefault="009F05FB">
          <w:pPr>
            <w:pStyle w:val="TOC2"/>
            <w:rPr>
              <w:rFonts w:eastAsiaTheme="minorEastAsia"/>
              <w:b w:val="0"/>
              <w:bCs w:val="0"/>
            </w:rPr>
          </w:pPr>
          <w:hyperlink w:anchor="_Toc204167112" w:history="1">
            <w:r w:rsidRPr="009F05FB">
              <w:rPr>
                <w:rStyle w:val="Hyperlink"/>
              </w:rPr>
              <w:t>2.1 Overview of EU Integration and Post-Accession Context</w:t>
            </w:r>
            <w:r w:rsidRPr="009F05FB">
              <w:rPr>
                <w:webHidden/>
              </w:rPr>
              <w:tab/>
            </w:r>
            <w:r w:rsidRPr="009F05FB">
              <w:rPr>
                <w:webHidden/>
              </w:rPr>
              <w:fldChar w:fldCharType="begin"/>
            </w:r>
            <w:r w:rsidRPr="009F05FB">
              <w:rPr>
                <w:webHidden/>
              </w:rPr>
              <w:instrText xml:space="preserve"> PAGEREF _Toc204167112 \h </w:instrText>
            </w:r>
            <w:r w:rsidRPr="009F05FB">
              <w:rPr>
                <w:webHidden/>
              </w:rPr>
            </w:r>
            <w:r w:rsidRPr="009F05FB">
              <w:rPr>
                <w:webHidden/>
              </w:rPr>
              <w:fldChar w:fldCharType="separate"/>
            </w:r>
            <w:r w:rsidRPr="009F05FB">
              <w:rPr>
                <w:webHidden/>
              </w:rPr>
              <w:t>7</w:t>
            </w:r>
            <w:r w:rsidRPr="009F05FB">
              <w:rPr>
                <w:webHidden/>
              </w:rPr>
              <w:fldChar w:fldCharType="end"/>
            </w:r>
          </w:hyperlink>
        </w:p>
        <w:p w14:paraId="3675A817" w14:textId="17FCFF55" w:rsidR="009F05FB" w:rsidRPr="009F05FB" w:rsidRDefault="009F05FB">
          <w:pPr>
            <w:pStyle w:val="TOC2"/>
            <w:rPr>
              <w:rFonts w:eastAsiaTheme="minorEastAsia"/>
              <w:b w:val="0"/>
              <w:bCs w:val="0"/>
            </w:rPr>
          </w:pPr>
          <w:hyperlink w:anchor="_Toc204167113" w:history="1">
            <w:r w:rsidRPr="009F05FB">
              <w:rPr>
                <w:rStyle w:val="Hyperlink"/>
              </w:rPr>
              <w:t>2.2 Economic Convergence, Foreign Direct Investment (FDI) and Cascade Theory</w:t>
            </w:r>
            <w:r w:rsidRPr="009F05FB">
              <w:rPr>
                <w:webHidden/>
              </w:rPr>
              <w:tab/>
            </w:r>
            <w:r w:rsidRPr="009F05FB">
              <w:rPr>
                <w:webHidden/>
              </w:rPr>
              <w:fldChar w:fldCharType="begin"/>
            </w:r>
            <w:r w:rsidRPr="009F05FB">
              <w:rPr>
                <w:webHidden/>
              </w:rPr>
              <w:instrText xml:space="preserve"> PAGEREF _Toc204167113 \h </w:instrText>
            </w:r>
            <w:r w:rsidRPr="009F05FB">
              <w:rPr>
                <w:webHidden/>
              </w:rPr>
            </w:r>
            <w:r w:rsidRPr="009F05FB">
              <w:rPr>
                <w:webHidden/>
              </w:rPr>
              <w:fldChar w:fldCharType="separate"/>
            </w:r>
            <w:r w:rsidRPr="009F05FB">
              <w:rPr>
                <w:webHidden/>
              </w:rPr>
              <w:t>8</w:t>
            </w:r>
            <w:r w:rsidRPr="009F05FB">
              <w:rPr>
                <w:webHidden/>
              </w:rPr>
              <w:fldChar w:fldCharType="end"/>
            </w:r>
          </w:hyperlink>
        </w:p>
        <w:p w14:paraId="5ABE511F" w14:textId="1C887193" w:rsidR="009F05FB" w:rsidRPr="009F05FB" w:rsidRDefault="009F05FB">
          <w:pPr>
            <w:pStyle w:val="TOC3"/>
            <w:tabs>
              <w:tab w:val="right" w:leader="dot" w:pos="9016"/>
            </w:tabs>
            <w:rPr>
              <w:rFonts w:ascii="Arial" w:eastAsiaTheme="minorEastAsia" w:hAnsi="Arial" w:cs="Arial"/>
              <w:noProof/>
              <w:sz w:val="22"/>
              <w:szCs w:val="22"/>
              <w:lang w:eastAsia="en-GB"/>
            </w:rPr>
          </w:pPr>
          <w:hyperlink w:anchor="_Toc204167114" w:history="1">
            <w:r w:rsidRPr="009F05FB">
              <w:rPr>
                <w:rStyle w:val="Hyperlink"/>
                <w:rFonts w:ascii="Arial" w:eastAsia="Times New Roman" w:hAnsi="Arial" w:cs="Arial"/>
                <w:b/>
                <w:bCs/>
                <w:noProof/>
                <w:sz w:val="22"/>
                <w:szCs w:val="22"/>
                <w:lang w:eastAsia="en-GB"/>
              </w:rPr>
              <w:t>2.2.1 FDI as a Driver of Growth</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_Toc204167114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8</w:t>
            </w:r>
            <w:r w:rsidRPr="009F05FB">
              <w:rPr>
                <w:rFonts w:ascii="Arial" w:hAnsi="Arial" w:cs="Arial"/>
                <w:noProof/>
                <w:webHidden/>
                <w:sz w:val="22"/>
                <w:szCs w:val="22"/>
              </w:rPr>
              <w:fldChar w:fldCharType="end"/>
            </w:r>
          </w:hyperlink>
        </w:p>
        <w:p w14:paraId="523AF923" w14:textId="0FC7D67C" w:rsidR="009F05FB" w:rsidRPr="009F05FB" w:rsidRDefault="009F05FB">
          <w:pPr>
            <w:pStyle w:val="TOC3"/>
            <w:tabs>
              <w:tab w:val="right" w:leader="dot" w:pos="9016"/>
            </w:tabs>
            <w:rPr>
              <w:rFonts w:ascii="Arial" w:eastAsiaTheme="minorEastAsia" w:hAnsi="Arial" w:cs="Arial"/>
              <w:noProof/>
              <w:sz w:val="22"/>
              <w:szCs w:val="22"/>
              <w:lang w:eastAsia="en-GB"/>
            </w:rPr>
          </w:pPr>
          <w:hyperlink w:anchor="_Toc204167115" w:history="1">
            <w:r w:rsidRPr="009F05FB">
              <w:rPr>
                <w:rStyle w:val="Hyperlink"/>
                <w:rFonts w:ascii="Arial" w:eastAsia="Times New Roman" w:hAnsi="Arial" w:cs="Arial"/>
                <w:b/>
                <w:bCs/>
                <w:noProof/>
                <w:sz w:val="22"/>
                <w:szCs w:val="22"/>
                <w:lang w:eastAsia="en-GB"/>
              </w:rPr>
              <w:t>2.2.2 Comparative FDI Trends</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_Toc204167115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9</w:t>
            </w:r>
            <w:r w:rsidRPr="009F05FB">
              <w:rPr>
                <w:rFonts w:ascii="Arial" w:hAnsi="Arial" w:cs="Arial"/>
                <w:noProof/>
                <w:webHidden/>
                <w:sz w:val="22"/>
                <w:szCs w:val="22"/>
              </w:rPr>
              <w:fldChar w:fldCharType="end"/>
            </w:r>
          </w:hyperlink>
        </w:p>
        <w:p w14:paraId="3B749C9D" w14:textId="2F63E7C0" w:rsidR="009F05FB" w:rsidRPr="009F05FB" w:rsidRDefault="009F05FB">
          <w:pPr>
            <w:pStyle w:val="TOC3"/>
            <w:tabs>
              <w:tab w:val="right" w:leader="dot" w:pos="9016"/>
            </w:tabs>
            <w:rPr>
              <w:rFonts w:ascii="Arial" w:eastAsiaTheme="minorEastAsia" w:hAnsi="Arial" w:cs="Arial"/>
              <w:noProof/>
              <w:sz w:val="22"/>
              <w:szCs w:val="22"/>
              <w:lang w:eastAsia="en-GB"/>
            </w:rPr>
          </w:pPr>
          <w:hyperlink w:anchor="_Toc204167116" w:history="1">
            <w:r w:rsidRPr="009F05FB">
              <w:rPr>
                <w:rStyle w:val="Hyperlink"/>
                <w:rFonts w:ascii="Arial" w:eastAsia="Times New Roman" w:hAnsi="Arial" w:cs="Arial"/>
                <w:b/>
                <w:bCs/>
                <w:noProof/>
                <w:sz w:val="22"/>
                <w:szCs w:val="22"/>
                <w:lang w:eastAsia="en-GB"/>
              </w:rPr>
              <w:t>2.2.3 Cascade Theory and Technology Spillovers</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_Toc204167116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9</w:t>
            </w:r>
            <w:r w:rsidRPr="009F05FB">
              <w:rPr>
                <w:rFonts w:ascii="Arial" w:hAnsi="Arial" w:cs="Arial"/>
                <w:noProof/>
                <w:webHidden/>
                <w:sz w:val="22"/>
                <w:szCs w:val="22"/>
              </w:rPr>
              <w:fldChar w:fldCharType="end"/>
            </w:r>
          </w:hyperlink>
        </w:p>
        <w:p w14:paraId="03A91844" w14:textId="776D194D" w:rsidR="009F05FB" w:rsidRPr="009F05FB" w:rsidRDefault="009F05FB">
          <w:pPr>
            <w:pStyle w:val="TOC2"/>
            <w:rPr>
              <w:rFonts w:eastAsiaTheme="minorEastAsia"/>
              <w:b w:val="0"/>
              <w:bCs w:val="0"/>
            </w:rPr>
          </w:pPr>
          <w:hyperlink w:anchor="_Toc204167117" w:history="1">
            <w:r w:rsidRPr="009F05FB">
              <w:rPr>
                <w:rStyle w:val="Hyperlink"/>
              </w:rPr>
              <w:t>2.3 Political and Institutional Transformation</w:t>
            </w:r>
            <w:r w:rsidRPr="009F05FB">
              <w:rPr>
                <w:webHidden/>
              </w:rPr>
              <w:tab/>
            </w:r>
            <w:r w:rsidRPr="009F05FB">
              <w:rPr>
                <w:webHidden/>
              </w:rPr>
              <w:fldChar w:fldCharType="begin"/>
            </w:r>
            <w:r w:rsidRPr="009F05FB">
              <w:rPr>
                <w:webHidden/>
              </w:rPr>
              <w:instrText xml:space="preserve"> PAGEREF _Toc204167117 \h </w:instrText>
            </w:r>
            <w:r w:rsidRPr="009F05FB">
              <w:rPr>
                <w:webHidden/>
              </w:rPr>
            </w:r>
            <w:r w:rsidRPr="009F05FB">
              <w:rPr>
                <w:webHidden/>
              </w:rPr>
              <w:fldChar w:fldCharType="separate"/>
            </w:r>
            <w:r w:rsidRPr="009F05FB">
              <w:rPr>
                <w:webHidden/>
              </w:rPr>
              <w:t>10</w:t>
            </w:r>
            <w:r w:rsidRPr="009F05FB">
              <w:rPr>
                <w:webHidden/>
              </w:rPr>
              <w:fldChar w:fldCharType="end"/>
            </w:r>
          </w:hyperlink>
        </w:p>
        <w:p w14:paraId="0914AB65" w14:textId="0D59B16D" w:rsidR="009F05FB" w:rsidRPr="009F05FB" w:rsidRDefault="009F05FB">
          <w:pPr>
            <w:pStyle w:val="TOC2"/>
            <w:rPr>
              <w:rFonts w:eastAsiaTheme="minorEastAsia"/>
              <w:b w:val="0"/>
              <w:bCs w:val="0"/>
            </w:rPr>
          </w:pPr>
          <w:hyperlink w:anchor="_Toc204167118" w:history="1">
            <w:r w:rsidRPr="009F05FB">
              <w:rPr>
                <w:rStyle w:val="Hyperlink"/>
              </w:rPr>
              <w:t>2.4 Cultural Influences Using Hofstede’s Dimensions</w:t>
            </w:r>
            <w:r w:rsidRPr="009F05FB">
              <w:rPr>
                <w:webHidden/>
              </w:rPr>
              <w:tab/>
            </w:r>
            <w:r w:rsidRPr="009F05FB">
              <w:rPr>
                <w:webHidden/>
              </w:rPr>
              <w:fldChar w:fldCharType="begin"/>
            </w:r>
            <w:r w:rsidRPr="009F05FB">
              <w:rPr>
                <w:webHidden/>
              </w:rPr>
              <w:instrText xml:space="preserve"> PAGEREF _Toc204167118 \h </w:instrText>
            </w:r>
            <w:r w:rsidRPr="009F05FB">
              <w:rPr>
                <w:webHidden/>
              </w:rPr>
            </w:r>
            <w:r w:rsidRPr="009F05FB">
              <w:rPr>
                <w:webHidden/>
              </w:rPr>
              <w:fldChar w:fldCharType="separate"/>
            </w:r>
            <w:r w:rsidRPr="009F05FB">
              <w:rPr>
                <w:webHidden/>
              </w:rPr>
              <w:t>10</w:t>
            </w:r>
            <w:r w:rsidRPr="009F05FB">
              <w:rPr>
                <w:webHidden/>
              </w:rPr>
              <w:fldChar w:fldCharType="end"/>
            </w:r>
          </w:hyperlink>
        </w:p>
        <w:p w14:paraId="78FFE820" w14:textId="06CB7FEA" w:rsidR="009F05FB" w:rsidRPr="009F05FB" w:rsidRDefault="009F05FB">
          <w:pPr>
            <w:pStyle w:val="TOC2"/>
            <w:rPr>
              <w:rFonts w:eastAsiaTheme="minorEastAsia"/>
              <w:b w:val="0"/>
              <w:bCs w:val="0"/>
            </w:rPr>
          </w:pPr>
          <w:hyperlink w:anchor="_Toc204167119" w:history="1">
            <w:r w:rsidRPr="009F05FB">
              <w:rPr>
                <w:rStyle w:val="Hyperlink"/>
              </w:rPr>
              <w:t>2.5 Sectoral Development in Poland and Romania</w:t>
            </w:r>
            <w:r w:rsidRPr="009F05FB">
              <w:rPr>
                <w:webHidden/>
              </w:rPr>
              <w:tab/>
            </w:r>
            <w:r w:rsidRPr="009F05FB">
              <w:rPr>
                <w:webHidden/>
              </w:rPr>
              <w:fldChar w:fldCharType="begin"/>
            </w:r>
            <w:r w:rsidRPr="009F05FB">
              <w:rPr>
                <w:webHidden/>
              </w:rPr>
              <w:instrText xml:space="preserve"> PAGEREF _Toc204167119 \h </w:instrText>
            </w:r>
            <w:r w:rsidRPr="009F05FB">
              <w:rPr>
                <w:webHidden/>
              </w:rPr>
            </w:r>
            <w:r w:rsidRPr="009F05FB">
              <w:rPr>
                <w:webHidden/>
              </w:rPr>
              <w:fldChar w:fldCharType="separate"/>
            </w:r>
            <w:r w:rsidRPr="009F05FB">
              <w:rPr>
                <w:webHidden/>
              </w:rPr>
              <w:t>11</w:t>
            </w:r>
            <w:r w:rsidRPr="009F05FB">
              <w:rPr>
                <w:webHidden/>
              </w:rPr>
              <w:fldChar w:fldCharType="end"/>
            </w:r>
          </w:hyperlink>
        </w:p>
        <w:p w14:paraId="0C791ACD" w14:textId="64E7BF8E" w:rsidR="009F05FB" w:rsidRPr="009F05FB" w:rsidRDefault="009F05FB">
          <w:pPr>
            <w:pStyle w:val="TOC2"/>
            <w:rPr>
              <w:rFonts w:eastAsiaTheme="minorEastAsia"/>
              <w:b w:val="0"/>
              <w:bCs w:val="0"/>
            </w:rPr>
          </w:pPr>
          <w:hyperlink w:anchor="_Toc204167120" w:history="1">
            <w:r w:rsidRPr="009F05FB">
              <w:rPr>
                <w:rStyle w:val="Hyperlink"/>
              </w:rPr>
              <w:t>2.6 Diaspora and Labour Mobility</w:t>
            </w:r>
            <w:r w:rsidRPr="009F05FB">
              <w:rPr>
                <w:webHidden/>
              </w:rPr>
              <w:tab/>
            </w:r>
            <w:r w:rsidRPr="009F05FB">
              <w:rPr>
                <w:webHidden/>
              </w:rPr>
              <w:fldChar w:fldCharType="begin"/>
            </w:r>
            <w:r w:rsidRPr="009F05FB">
              <w:rPr>
                <w:webHidden/>
              </w:rPr>
              <w:instrText xml:space="preserve"> PAGEREF _Toc204167120 \h </w:instrText>
            </w:r>
            <w:r w:rsidRPr="009F05FB">
              <w:rPr>
                <w:webHidden/>
              </w:rPr>
            </w:r>
            <w:r w:rsidRPr="009F05FB">
              <w:rPr>
                <w:webHidden/>
              </w:rPr>
              <w:fldChar w:fldCharType="separate"/>
            </w:r>
            <w:r w:rsidRPr="009F05FB">
              <w:rPr>
                <w:webHidden/>
              </w:rPr>
              <w:t>11</w:t>
            </w:r>
            <w:r w:rsidRPr="009F05FB">
              <w:rPr>
                <w:webHidden/>
              </w:rPr>
              <w:fldChar w:fldCharType="end"/>
            </w:r>
          </w:hyperlink>
        </w:p>
        <w:p w14:paraId="1D05D1AA" w14:textId="5D271B53" w:rsidR="009F05FB" w:rsidRPr="009F05FB" w:rsidRDefault="009F05FB">
          <w:pPr>
            <w:pStyle w:val="TOC2"/>
            <w:rPr>
              <w:rFonts w:eastAsiaTheme="minorEastAsia"/>
              <w:b w:val="0"/>
              <w:bCs w:val="0"/>
            </w:rPr>
          </w:pPr>
          <w:hyperlink w:anchor="_Toc204167121" w:history="1">
            <w:r w:rsidRPr="009F05FB">
              <w:rPr>
                <w:rStyle w:val="Hyperlink"/>
              </w:rPr>
              <w:t>2.7 Summary of Literature Gaps and Theoretical Direction</w:t>
            </w:r>
            <w:r w:rsidRPr="009F05FB">
              <w:rPr>
                <w:webHidden/>
              </w:rPr>
              <w:tab/>
            </w:r>
            <w:r w:rsidRPr="009F05FB">
              <w:rPr>
                <w:webHidden/>
              </w:rPr>
              <w:fldChar w:fldCharType="begin"/>
            </w:r>
            <w:r w:rsidRPr="009F05FB">
              <w:rPr>
                <w:webHidden/>
              </w:rPr>
              <w:instrText xml:space="preserve"> PAGEREF _Toc204167121 \h </w:instrText>
            </w:r>
            <w:r w:rsidRPr="009F05FB">
              <w:rPr>
                <w:webHidden/>
              </w:rPr>
            </w:r>
            <w:r w:rsidRPr="009F05FB">
              <w:rPr>
                <w:webHidden/>
              </w:rPr>
              <w:fldChar w:fldCharType="separate"/>
            </w:r>
            <w:r w:rsidRPr="009F05FB">
              <w:rPr>
                <w:webHidden/>
              </w:rPr>
              <w:t>12</w:t>
            </w:r>
            <w:r w:rsidRPr="009F05FB">
              <w:rPr>
                <w:webHidden/>
              </w:rPr>
              <w:fldChar w:fldCharType="end"/>
            </w:r>
          </w:hyperlink>
        </w:p>
        <w:p w14:paraId="03491A2A" w14:textId="5E795BD0" w:rsidR="009F05FB" w:rsidRPr="009F05FB" w:rsidRDefault="009F05FB">
          <w:pPr>
            <w:pStyle w:val="TOC1"/>
            <w:tabs>
              <w:tab w:val="right" w:leader="dot" w:pos="9016"/>
            </w:tabs>
            <w:rPr>
              <w:rFonts w:ascii="Arial" w:eastAsiaTheme="minorEastAsia" w:hAnsi="Arial" w:cs="Arial"/>
              <w:noProof/>
              <w:sz w:val="22"/>
              <w:szCs w:val="22"/>
              <w:lang w:eastAsia="en-GB"/>
            </w:rPr>
          </w:pPr>
          <w:hyperlink w:anchor="_Toc204167122" w:history="1">
            <w:r w:rsidRPr="009F05FB">
              <w:rPr>
                <w:rStyle w:val="Hyperlink"/>
                <w:rFonts w:ascii="Arial" w:hAnsi="Arial" w:cs="Arial"/>
                <w:b/>
                <w:bCs/>
                <w:noProof/>
                <w:sz w:val="22"/>
                <w:szCs w:val="22"/>
              </w:rPr>
              <w:t>Chapter 3: Methodology</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_Toc204167122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13</w:t>
            </w:r>
            <w:r w:rsidRPr="009F05FB">
              <w:rPr>
                <w:rFonts w:ascii="Arial" w:hAnsi="Arial" w:cs="Arial"/>
                <w:noProof/>
                <w:webHidden/>
                <w:sz w:val="22"/>
                <w:szCs w:val="22"/>
              </w:rPr>
              <w:fldChar w:fldCharType="end"/>
            </w:r>
          </w:hyperlink>
        </w:p>
        <w:p w14:paraId="267D619A" w14:textId="2D1327CF" w:rsidR="009F05FB" w:rsidRPr="009F05FB" w:rsidRDefault="009F05FB">
          <w:pPr>
            <w:pStyle w:val="TOC2"/>
            <w:rPr>
              <w:rFonts w:eastAsiaTheme="minorEastAsia"/>
              <w:b w:val="0"/>
              <w:bCs w:val="0"/>
            </w:rPr>
          </w:pPr>
          <w:hyperlink w:anchor="_Toc204167123" w:history="1">
            <w:r w:rsidRPr="009F05FB">
              <w:rPr>
                <w:rStyle w:val="Hyperlink"/>
              </w:rPr>
              <w:t>3.1 Introduction</w:t>
            </w:r>
            <w:r w:rsidRPr="009F05FB">
              <w:rPr>
                <w:webHidden/>
              </w:rPr>
              <w:tab/>
            </w:r>
            <w:r w:rsidRPr="009F05FB">
              <w:rPr>
                <w:webHidden/>
              </w:rPr>
              <w:fldChar w:fldCharType="begin"/>
            </w:r>
            <w:r w:rsidRPr="009F05FB">
              <w:rPr>
                <w:webHidden/>
              </w:rPr>
              <w:instrText xml:space="preserve"> PAGEREF _Toc204167123 \h </w:instrText>
            </w:r>
            <w:r w:rsidRPr="009F05FB">
              <w:rPr>
                <w:webHidden/>
              </w:rPr>
            </w:r>
            <w:r w:rsidRPr="009F05FB">
              <w:rPr>
                <w:webHidden/>
              </w:rPr>
              <w:fldChar w:fldCharType="separate"/>
            </w:r>
            <w:r w:rsidRPr="009F05FB">
              <w:rPr>
                <w:webHidden/>
              </w:rPr>
              <w:t>13</w:t>
            </w:r>
            <w:r w:rsidRPr="009F05FB">
              <w:rPr>
                <w:webHidden/>
              </w:rPr>
              <w:fldChar w:fldCharType="end"/>
            </w:r>
          </w:hyperlink>
        </w:p>
        <w:p w14:paraId="33160819" w14:textId="1997653A" w:rsidR="009F05FB" w:rsidRPr="009F05FB" w:rsidRDefault="009F05FB">
          <w:pPr>
            <w:pStyle w:val="TOC2"/>
            <w:rPr>
              <w:rFonts w:eastAsiaTheme="minorEastAsia"/>
              <w:b w:val="0"/>
              <w:bCs w:val="0"/>
            </w:rPr>
          </w:pPr>
          <w:hyperlink w:anchor="_Toc204167124" w:history="1">
            <w:r w:rsidRPr="009F05FB">
              <w:rPr>
                <w:rStyle w:val="Hyperlink"/>
              </w:rPr>
              <w:t>3.2 Research Philosophy and Approach</w:t>
            </w:r>
            <w:r w:rsidRPr="009F05FB">
              <w:rPr>
                <w:webHidden/>
              </w:rPr>
              <w:tab/>
            </w:r>
            <w:r w:rsidRPr="009F05FB">
              <w:rPr>
                <w:webHidden/>
              </w:rPr>
              <w:fldChar w:fldCharType="begin"/>
            </w:r>
            <w:r w:rsidRPr="009F05FB">
              <w:rPr>
                <w:webHidden/>
              </w:rPr>
              <w:instrText xml:space="preserve"> PAGEREF _Toc204167124 \h </w:instrText>
            </w:r>
            <w:r w:rsidRPr="009F05FB">
              <w:rPr>
                <w:webHidden/>
              </w:rPr>
            </w:r>
            <w:r w:rsidRPr="009F05FB">
              <w:rPr>
                <w:webHidden/>
              </w:rPr>
              <w:fldChar w:fldCharType="separate"/>
            </w:r>
            <w:r w:rsidRPr="009F05FB">
              <w:rPr>
                <w:webHidden/>
              </w:rPr>
              <w:t>13</w:t>
            </w:r>
            <w:r w:rsidRPr="009F05FB">
              <w:rPr>
                <w:webHidden/>
              </w:rPr>
              <w:fldChar w:fldCharType="end"/>
            </w:r>
          </w:hyperlink>
        </w:p>
        <w:p w14:paraId="6F416592" w14:textId="59C94F87" w:rsidR="009F05FB" w:rsidRPr="009F05FB" w:rsidRDefault="009F05FB">
          <w:pPr>
            <w:pStyle w:val="TOC2"/>
            <w:rPr>
              <w:rFonts w:eastAsiaTheme="minorEastAsia"/>
              <w:b w:val="0"/>
              <w:bCs w:val="0"/>
            </w:rPr>
          </w:pPr>
          <w:hyperlink w:anchor="_Toc204167125" w:history="1">
            <w:r w:rsidRPr="009F05FB">
              <w:rPr>
                <w:rStyle w:val="Hyperlink"/>
              </w:rPr>
              <w:t>3.3 Research Design</w:t>
            </w:r>
            <w:r w:rsidRPr="009F05FB">
              <w:rPr>
                <w:webHidden/>
              </w:rPr>
              <w:tab/>
            </w:r>
            <w:r w:rsidRPr="009F05FB">
              <w:rPr>
                <w:webHidden/>
              </w:rPr>
              <w:fldChar w:fldCharType="begin"/>
            </w:r>
            <w:r w:rsidRPr="009F05FB">
              <w:rPr>
                <w:webHidden/>
              </w:rPr>
              <w:instrText xml:space="preserve"> PAGEREF _Toc204167125 \h </w:instrText>
            </w:r>
            <w:r w:rsidRPr="009F05FB">
              <w:rPr>
                <w:webHidden/>
              </w:rPr>
            </w:r>
            <w:r w:rsidRPr="009F05FB">
              <w:rPr>
                <w:webHidden/>
              </w:rPr>
              <w:fldChar w:fldCharType="separate"/>
            </w:r>
            <w:r w:rsidRPr="009F05FB">
              <w:rPr>
                <w:webHidden/>
              </w:rPr>
              <w:t>13</w:t>
            </w:r>
            <w:r w:rsidRPr="009F05FB">
              <w:rPr>
                <w:webHidden/>
              </w:rPr>
              <w:fldChar w:fldCharType="end"/>
            </w:r>
          </w:hyperlink>
        </w:p>
        <w:p w14:paraId="3AE27E9C" w14:textId="6EEEB660" w:rsidR="009F05FB" w:rsidRPr="009F05FB" w:rsidRDefault="009F05FB">
          <w:pPr>
            <w:pStyle w:val="TOC2"/>
            <w:rPr>
              <w:rFonts w:eastAsiaTheme="minorEastAsia"/>
              <w:b w:val="0"/>
              <w:bCs w:val="0"/>
            </w:rPr>
          </w:pPr>
          <w:hyperlink w:anchor="_Toc204167126" w:history="1">
            <w:r w:rsidRPr="009F05FB">
              <w:rPr>
                <w:rStyle w:val="Hyperlink"/>
              </w:rPr>
              <w:t>3.4 Data Collection Methods</w:t>
            </w:r>
            <w:r w:rsidRPr="009F05FB">
              <w:rPr>
                <w:webHidden/>
              </w:rPr>
              <w:tab/>
            </w:r>
            <w:r w:rsidRPr="009F05FB">
              <w:rPr>
                <w:webHidden/>
              </w:rPr>
              <w:fldChar w:fldCharType="begin"/>
            </w:r>
            <w:r w:rsidRPr="009F05FB">
              <w:rPr>
                <w:webHidden/>
              </w:rPr>
              <w:instrText xml:space="preserve"> PAGEREF _Toc204167126 \h </w:instrText>
            </w:r>
            <w:r w:rsidRPr="009F05FB">
              <w:rPr>
                <w:webHidden/>
              </w:rPr>
            </w:r>
            <w:r w:rsidRPr="009F05FB">
              <w:rPr>
                <w:webHidden/>
              </w:rPr>
              <w:fldChar w:fldCharType="separate"/>
            </w:r>
            <w:r w:rsidRPr="009F05FB">
              <w:rPr>
                <w:webHidden/>
              </w:rPr>
              <w:t>13</w:t>
            </w:r>
            <w:r w:rsidRPr="009F05FB">
              <w:rPr>
                <w:webHidden/>
              </w:rPr>
              <w:fldChar w:fldCharType="end"/>
            </w:r>
          </w:hyperlink>
        </w:p>
        <w:p w14:paraId="1E200828" w14:textId="20AE59FC" w:rsidR="009F05FB" w:rsidRPr="009F05FB" w:rsidRDefault="009F05FB">
          <w:pPr>
            <w:pStyle w:val="TOC2"/>
            <w:rPr>
              <w:rFonts w:eastAsiaTheme="minorEastAsia"/>
              <w:b w:val="0"/>
              <w:bCs w:val="0"/>
            </w:rPr>
          </w:pPr>
          <w:hyperlink w:anchor="_Toc204167127" w:history="1">
            <w:r w:rsidRPr="009F05FB">
              <w:rPr>
                <w:rStyle w:val="Hyperlink"/>
              </w:rPr>
              <w:t>3.5 Data Analysis Techniques</w:t>
            </w:r>
            <w:r w:rsidRPr="009F05FB">
              <w:rPr>
                <w:webHidden/>
              </w:rPr>
              <w:tab/>
            </w:r>
            <w:r w:rsidRPr="009F05FB">
              <w:rPr>
                <w:webHidden/>
              </w:rPr>
              <w:fldChar w:fldCharType="begin"/>
            </w:r>
            <w:r w:rsidRPr="009F05FB">
              <w:rPr>
                <w:webHidden/>
              </w:rPr>
              <w:instrText xml:space="preserve"> PAGEREF _Toc204167127 \h </w:instrText>
            </w:r>
            <w:r w:rsidRPr="009F05FB">
              <w:rPr>
                <w:webHidden/>
              </w:rPr>
            </w:r>
            <w:r w:rsidRPr="009F05FB">
              <w:rPr>
                <w:webHidden/>
              </w:rPr>
              <w:fldChar w:fldCharType="separate"/>
            </w:r>
            <w:r w:rsidRPr="009F05FB">
              <w:rPr>
                <w:webHidden/>
              </w:rPr>
              <w:t>14</w:t>
            </w:r>
            <w:r w:rsidRPr="009F05FB">
              <w:rPr>
                <w:webHidden/>
              </w:rPr>
              <w:fldChar w:fldCharType="end"/>
            </w:r>
          </w:hyperlink>
        </w:p>
        <w:p w14:paraId="4DE5A612" w14:textId="45A245F1" w:rsidR="009F05FB" w:rsidRPr="009F05FB" w:rsidRDefault="009F05FB">
          <w:pPr>
            <w:pStyle w:val="TOC2"/>
            <w:rPr>
              <w:rFonts w:eastAsiaTheme="minorEastAsia"/>
              <w:b w:val="0"/>
              <w:bCs w:val="0"/>
            </w:rPr>
          </w:pPr>
          <w:hyperlink w:anchor="_Toc204167128" w:history="1">
            <w:r w:rsidRPr="009F05FB">
              <w:rPr>
                <w:rStyle w:val="Hyperlink"/>
              </w:rPr>
              <w:t>3.6 Justification of Methodology</w:t>
            </w:r>
            <w:r w:rsidRPr="009F05FB">
              <w:rPr>
                <w:webHidden/>
              </w:rPr>
              <w:tab/>
            </w:r>
            <w:r w:rsidRPr="009F05FB">
              <w:rPr>
                <w:webHidden/>
              </w:rPr>
              <w:fldChar w:fldCharType="begin"/>
            </w:r>
            <w:r w:rsidRPr="009F05FB">
              <w:rPr>
                <w:webHidden/>
              </w:rPr>
              <w:instrText xml:space="preserve"> PAGEREF _Toc204167128 \h </w:instrText>
            </w:r>
            <w:r w:rsidRPr="009F05FB">
              <w:rPr>
                <w:webHidden/>
              </w:rPr>
            </w:r>
            <w:r w:rsidRPr="009F05FB">
              <w:rPr>
                <w:webHidden/>
              </w:rPr>
              <w:fldChar w:fldCharType="separate"/>
            </w:r>
            <w:r w:rsidRPr="009F05FB">
              <w:rPr>
                <w:webHidden/>
              </w:rPr>
              <w:t>14</w:t>
            </w:r>
            <w:r w:rsidRPr="009F05FB">
              <w:rPr>
                <w:webHidden/>
              </w:rPr>
              <w:fldChar w:fldCharType="end"/>
            </w:r>
          </w:hyperlink>
        </w:p>
        <w:p w14:paraId="7E20DB93" w14:textId="34111FB3" w:rsidR="009F05FB" w:rsidRPr="009F05FB" w:rsidRDefault="009F05FB">
          <w:pPr>
            <w:pStyle w:val="TOC2"/>
            <w:rPr>
              <w:rFonts w:eastAsiaTheme="minorEastAsia"/>
              <w:b w:val="0"/>
              <w:bCs w:val="0"/>
            </w:rPr>
          </w:pPr>
          <w:hyperlink w:anchor="_Toc204167129" w:history="1">
            <w:r w:rsidRPr="009F05FB">
              <w:rPr>
                <w:rStyle w:val="Hyperlink"/>
              </w:rPr>
              <w:t>3.7 Ethical Considerations</w:t>
            </w:r>
            <w:r w:rsidRPr="009F05FB">
              <w:rPr>
                <w:webHidden/>
              </w:rPr>
              <w:tab/>
            </w:r>
            <w:r w:rsidRPr="009F05FB">
              <w:rPr>
                <w:webHidden/>
              </w:rPr>
              <w:fldChar w:fldCharType="begin"/>
            </w:r>
            <w:r w:rsidRPr="009F05FB">
              <w:rPr>
                <w:webHidden/>
              </w:rPr>
              <w:instrText xml:space="preserve"> PAGEREF _Toc204167129 \h </w:instrText>
            </w:r>
            <w:r w:rsidRPr="009F05FB">
              <w:rPr>
                <w:webHidden/>
              </w:rPr>
            </w:r>
            <w:r w:rsidRPr="009F05FB">
              <w:rPr>
                <w:webHidden/>
              </w:rPr>
              <w:fldChar w:fldCharType="separate"/>
            </w:r>
            <w:r w:rsidRPr="009F05FB">
              <w:rPr>
                <w:webHidden/>
              </w:rPr>
              <w:t>14</w:t>
            </w:r>
            <w:r w:rsidRPr="009F05FB">
              <w:rPr>
                <w:webHidden/>
              </w:rPr>
              <w:fldChar w:fldCharType="end"/>
            </w:r>
          </w:hyperlink>
        </w:p>
        <w:p w14:paraId="4D948AD7" w14:textId="02B8E638" w:rsidR="009F05FB" w:rsidRPr="009F05FB" w:rsidRDefault="009F05FB">
          <w:pPr>
            <w:pStyle w:val="TOC2"/>
            <w:rPr>
              <w:rFonts w:eastAsiaTheme="minorEastAsia"/>
              <w:b w:val="0"/>
              <w:bCs w:val="0"/>
            </w:rPr>
          </w:pPr>
          <w:hyperlink w:anchor="_Toc204167130" w:history="1">
            <w:r w:rsidRPr="009F05FB">
              <w:rPr>
                <w:rStyle w:val="Hyperlink"/>
              </w:rPr>
              <w:t>3.8 Limitations</w:t>
            </w:r>
            <w:r w:rsidRPr="009F05FB">
              <w:rPr>
                <w:webHidden/>
              </w:rPr>
              <w:tab/>
            </w:r>
            <w:r w:rsidRPr="009F05FB">
              <w:rPr>
                <w:webHidden/>
              </w:rPr>
              <w:fldChar w:fldCharType="begin"/>
            </w:r>
            <w:r w:rsidRPr="009F05FB">
              <w:rPr>
                <w:webHidden/>
              </w:rPr>
              <w:instrText xml:space="preserve"> PAGEREF _Toc204167130 \h </w:instrText>
            </w:r>
            <w:r w:rsidRPr="009F05FB">
              <w:rPr>
                <w:webHidden/>
              </w:rPr>
            </w:r>
            <w:r w:rsidRPr="009F05FB">
              <w:rPr>
                <w:webHidden/>
              </w:rPr>
              <w:fldChar w:fldCharType="separate"/>
            </w:r>
            <w:r w:rsidRPr="009F05FB">
              <w:rPr>
                <w:webHidden/>
              </w:rPr>
              <w:t>15</w:t>
            </w:r>
            <w:r w:rsidRPr="009F05FB">
              <w:rPr>
                <w:webHidden/>
              </w:rPr>
              <w:fldChar w:fldCharType="end"/>
            </w:r>
          </w:hyperlink>
        </w:p>
        <w:p w14:paraId="569F3E6F" w14:textId="5495DFCE" w:rsidR="009F05FB" w:rsidRPr="009F05FB" w:rsidRDefault="009F05FB">
          <w:pPr>
            <w:pStyle w:val="TOC2"/>
            <w:rPr>
              <w:rFonts w:eastAsiaTheme="minorEastAsia"/>
              <w:b w:val="0"/>
              <w:bCs w:val="0"/>
            </w:rPr>
          </w:pPr>
          <w:hyperlink w:anchor="_Toc204167131" w:history="1">
            <w:r w:rsidRPr="009F05FB">
              <w:rPr>
                <w:rStyle w:val="Hyperlink"/>
              </w:rPr>
              <w:t>3.9 Chapter Summary</w:t>
            </w:r>
            <w:r w:rsidRPr="009F05FB">
              <w:rPr>
                <w:webHidden/>
              </w:rPr>
              <w:tab/>
            </w:r>
            <w:r w:rsidRPr="009F05FB">
              <w:rPr>
                <w:webHidden/>
              </w:rPr>
              <w:fldChar w:fldCharType="begin"/>
            </w:r>
            <w:r w:rsidRPr="009F05FB">
              <w:rPr>
                <w:webHidden/>
              </w:rPr>
              <w:instrText xml:space="preserve"> PAGEREF _Toc204167131 \h </w:instrText>
            </w:r>
            <w:r w:rsidRPr="009F05FB">
              <w:rPr>
                <w:webHidden/>
              </w:rPr>
            </w:r>
            <w:r w:rsidRPr="009F05FB">
              <w:rPr>
                <w:webHidden/>
              </w:rPr>
              <w:fldChar w:fldCharType="separate"/>
            </w:r>
            <w:r w:rsidRPr="009F05FB">
              <w:rPr>
                <w:webHidden/>
              </w:rPr>
              <w:t>15</w:t>
            </w:r>
            <w:r w:rsidRPr="009F05FB">
              <w:rPr>
                <w:webHidden/>
              </w:rPr>
              <w:fldChar w:fldCharType="end"/>
            </w:r>
          </w:hyperlink>
        </w:p>
        <w:p w14:paraId="362B0A7B" w14:textId="67D26F91" w:rsidR="009F05FB" w:rsidRPr="009F05FB" w:rsidRDefault="009F05FB">
          <w:pPr>
            <w:pStyle w:val="TOC1"/>
            <w:tabs>
              <w:tab w:val="right" w:leader="dot" w:pos="9016"/>
            </w:tabs>
            <w:rPr>
              <w:rFonts w:ascii="Arial" w:eastAsiaTheme="minorEastAsia" w:hAnsi="Arial" w:cs="Arial"/>
              <w:noProof/>
              <w:sz w:val="22"/>
              <w:szCs w:val="22"/>
              <w:lang w:eastAsia="en-GB"/>
            </w:rPr>
          </w:pPr>
          <w:hyperlink w:anchor="_Toc204167132" w:history="1">
            <w:r w:rsidRPr="009F05FB">
              <w:rPr>
                <w:rStyle w:val="Hyperlink"/>
                <w:rFonts w:ascii="Arial" w:eastAsia="Times New Roman" w:hAnsi="Arial" w:cs="Arial"/>
                <w:b/>
                <w:bCs/>
                <w:noProof/>
                <w:sz w:val="22"/>
                <w:szCs w:val="22"/>
                <w:lang w:eastAsia="en-GB"/>
              </w:rPr>
              <w:t>Chapter 4: Findings and Data Analysis</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_Toc204167132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15</w:t>
            </w:r>
            <w:r w:rsidRPr="009F05FB">
              <w:rPr>
                <w:rFonts w:ascii="Arial" w:hAnsi="Arial" w:cs="Arial"/>
                <w:noProof/>
                <w:webHidden/>
                <w:sz w:val="22"/>
                <w:szCs w:val="22"/>
              </w:rPr>
              <w:fldChar w:fldCharType="end"/>
            </w:r>
          </w:hyperlink>
        </w:p>
        <w:p w14:paraId="2C3DE893" w14:textId="4BAECF49" w:rsidR="009F05FB" w:rsidRPr="009F05FB" w:rsidRDefault="009F05FB">
          <w:pPr>
            <w:pStyle w:val="TOC2"/>
            <w:rPr>
              <w:rFonts w:eastAsiaTheme="minorEastAsia"/>
              <w:b w:val="0"/>
              <w:bCs w:val="0"/>
            </w:rPr>
          </w:pPr>
          <w:hyperlink w:anchor="_Toc204167133" w:history="1">
            <w:r w:rsidRPr="009F05FB">
              <w:rPr>
                <w:rStyle w:val="Hyperlink"/>
              </w:rPr>
              <w:t>4.1 Introduction</w:t>
            </w:r>
            <w:r w:rsidRPr="009F05FB">
              <w:rPr>
                <w:webHidden/>
              </w:rPr>
              <w:tab/>
            </w:r>
            <w:r w:rsidRPr="009F05FB">
              <w:rPr>
                <w:webHidden/>
              </w:rPr>
              <w:fldChar w:fldCharType="begin"/>
            </w:r>
            <w:r w:rsidRPr="009F05FB">
              <w:rPr>
                <w:webHidden/>
              </w:rPr>
              <w:instrText xml:space="preserve"> PAGEREF _Toc204167133 \h </w:instrText>
            </w:r>
            <w:r w:rsidRPr="009F05FB">
              <w:rPr>
                <w:webHidden/>
              </w:rPr>
            </w:r>
            <w:r w:rsidRPr="009F05FB">
              <w:rPr>
                <w:webHidden/>
              </w:rPr>
              <w:fldChar w:fldCharType="separate"/>
            </w:r>
            <w:r w:rsidRPr="009F05FB">
              <w:rPr>
                <w:webHidden/>
              </w:rPr>
              <w:t>15</w:t>
            </w:r>
            <w:r w:rsidRPr="009F05FB">
              <w:rPr>
                <w:webHidden/>
              </w:rPr>
              <w:fldChar w:fldCharType="end"/>
            </w:r>
          </w:hyperlink>
        </w:p>
        <w:p w14:paraId="5E102BB6" w14:textId="685292A2" w:rsidR="009F05FB" w:rsidRPr="009F05FB" w:rsidRDefault="009F05FB">
          <w:pPr>
            <w:pStyle w:val="TOC2"/>
            <w:rPr>
              <w:rFonts w:eastAsiaTheme="minorEastAsia"/>
              <w:b w:val="0"/>
              <w:bCs w:val="0"/>
            </w:rPr>
          </w:pPr>
          <w:hyperlink w:anchor="_Toc204167134" w:history="1">
            <w:r w:rsidRPr="009F05FB">
              <w:rPr>
                <w:rStyle w:val="Hyperlink"/>
              </w:rPr>
              <w:t>4.2 Macroeconomic Performance</w:t>
            </w:r>
            <w:r w:rsidRPr="009F05FB">
              <w:rPr>
                <w:webHidden/>
              </w:rPr>
              <w:tab/>
            </w:r>
            <w:r w:rsidRPr="009F05FB">
              <w:rPr>
                <w:webHidden/>
              </w:rPr>
              <w:fldChar w:fldCharType="begin"/>
            </w:r>
            <w:r w:rsidRPr="009F05FB">
              <w:rPr>
                <w:webHidden/>
              </w:rPr>
              <w:instrText xml:space="preserve"> PAGEREF _Toc204167134 \h </w:instrText>
            </w:r>
            <w:r w:rsidRPr="009F05FB">
              <w:rPr>
                <w:webHidden/>
              </w:rPr>
            </w:r>
            <w:r w:rsidRPr="009F05FB">
              <w:rPr>
                <w:webHidden/>
              </w:rPr>
              <w:fldChar w:fldCharType="separate"/>
            </w:r>
            <w:r w:rsidRPr="009F05FB">
              <w:rPr>
                <w:webHidden/>
              </w:rPr>
              <w:t>15</w:t>
            </w:r>
            <w:r w:rsidRPr="009F05FB">
              <w:rPr>
                <w:webHidden/>
              </w:rPr>
              <w:fldChar w:fldCharType="end"/>
            </w:r>
          </w:hyperlink>
        </w:p>
        <w:p w14:paraId="2D69DCEE" w14:textId="49CE59C5" w:rsidR="009F05FB" w:rsidRPr="009F05FB" w:rsidRDefault="009F05FB">
          <w:pPr>
            <w:pStyle w:val="TOC3"/>
            <w:tabs>
              <w:tab w:val="right" w:leader="dot" w:pos="9016"/>
            </w:tabs>
            <w:rPr>
              <w:rFonts w:ascii="Arial" w:eastAsiaTheme="minorEastAsia" w:hAnsi="Arial" w:cs="Arial"/>
              <w:noProof/>
              <w:sz w:val="22"/>
              <w:szCs w:val="22"/>
              <w:lang w:eastAsia="en-GB"/>
            </w:rPr>
          </w:pPr>
          <w:hyperlink w:anchor="_Toc204167135" w:history="1">
            <w:r w:rsidRPr="009F05FB">
              <w:rPr>
                <w:rStyle w:val="Hyperlink"/>
                <w:rFonts w:ascii="Arial" w:eastAsia="Times New Roman" w:hAnsi="Arial" w:cs="Arial"/>
                <w:b/>
                <w:bCs/>
                <w:noProof/>
                <w:sz w:val="22"/>
                <w:szCs w:val="22"/>
                <w:lang w:eastAsia="en-GB"/>
              </w:rPr>
              <w:t>4.2.1 GDP Growth</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_Toc204167135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15</w:t>
            </w:r>
            <w:r w:rsidRPr="009F05FB">
              <w:rPr>
                <w:rFonts w:ascii="Arial" w:hAnsi="Arial" w:cs="Arial"/>
                <w:noProof/>
                <w:webHidden/>
                <w:sz w:val="22"/>
                <w:szCs w:val="22"/>
              </w:rPr>
              <w:fldChar w:fldCharType="end"/>
            </w:r>
          </w:hyperlink>
        </w:p>
        <w:p w14:paraId="514D5AF2" w14:textId="76B55B8B" w:rsidR="009F05FB" w:rsidRPr="009F05FB" w:rsidRDefault="009F05FB">
          <w:pPr>
            <w:pStyle w:val="TOC3"/>
            <w:tabs>
              <w:tab w:val="right" w:leader="dot" w:pos="9016"/>
            </w:tabs>
            <w:rPr>
              <w:rFonts w:ascii="Arial" w:eastAsiaTheme="minorEastAsia" w:hAnsi="Arial" w:cs="Arial"/>
              <w:noProof/>
              <w:sz w:val="22"/>
              <w:szCs w:val="22"/>
              <w:lang w:eastAsia="en-GB"/>
            </w:rPr>
          </w:pPr>
          <w:hyperlink w:anchor="_Toc204167136" w:history="1">
            <w:r w:rsidRPr="009F05FB">
              <w:rPr>
                <w:rStyle w:val="Hyperlink"/>
                <w:rFonts w:ascii="Arial" w:hAnsi="Arial" w:cs="Arial"/>
                <w:b/>
                <w:bCs/>
                <w:noProof/>
                <w:sz w:val="22"/>
                <w:szCs w:val="22"/>
              </w:rPr>
              <w:t>4.2.2 Comparison Chart</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_Toc204167136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16</w:t>
            </w:r>
            <w:r w:rsidRPr="009F05FB">
              <w:rPr>
                <w:rFonts w:ascii="Arial" w:hAnsi="Arial" w:cs="Arial"/>
                <w:noProof/>
                <w:webHidden/>
                <w:sz w:val="22"/>
                <w:szCs w:val="22"/>
              </w:rPr>
              <w:fldChar w:fldCharType="end"/>
            </w:r>
          </w:hyperlink>
        </w:p>
        <w:p w14:paraId="1FA6D081" w14:textId="78328A92" w:rsidR="009F05FB" w:rsidRPr="009F05FB" w:rsidRDefault="009F05FB">
          <w:pPr>
            <w:pStyle w:val="TOC2"/>
            <w:rPr>
              <w:rFonts w:eastAsiaTheme="minorEastAsia"/>
              <w:b w:val="0"/>
              <w:bCs w:val="0"/>
            </w:rPr>
          </w:pPr>
          <w:hyperlink w:anchor="_Toc204167137" w:history="1">
            <w:r w:rsidRPr="009F05FB">
              <w:rPr>
                <w:rStyle w:val="Hyperlink"/>
              </w:rPr>
              <w:t>4.3 FDI Inflows</w:t>
            </w:r>
            <w:r w:rsidRPr="009F05FB">
              <w:rPr>
                <w:webHidden/>
              </w:rPr>
              <w:tab/>
            </w:r>
            <w:r w:rsidRPr="009F05FB">
              <w:rPr>
                <w:webHidden/>
              </w:rPr>
              <w:fldChar w:fldCharType="begin"/>
            </w:r>
            <w:r w:rsidRPr="009F05FB">
              <w:rPr>
                <w:webHidden/>
              </w:rPr>
              <w:instrText xml:space="preserve"> PAGEREF _Toc204167137 \h </w:instrText>
            </w:r>
            <w:r w:rsidRPr="009F05FB">
              <w:rPr>
                <w:webHidden/>
              </w:rPr>
            </w:r>
            <w:r w:rsidRPr="009F05FB">
              <w:rPr>
                <w:webHidden/>
              </w:rPr>
              <w:fldChar w:fldCharType="separate"/>
            </w:r>
            <w:r w:rsidRPr="009F05FB">
              <w:rPr>
                <w:webHidden/>
              </w:rPr>
              <w:t>16</w:t>
            </w:r>
            <w:r w:rsidRPr="009F05FB">
              <w:rPr>
                <w:webHidden/>
              </w:rPr>
              <w:fldChar w:fldCharType="end"/>
            </w:r>
          </w:hyperlink>
        </w:p>
        <w:p w14:paraId="5D99AF7E" w14:textId="45EF7EEE" w:rsidR="009F05FB" w:rsidRPr="009F05FB" w:rsidRDefault="009F05FB">
          <w:pPr>
            <w:pStyle w:val="TOC2"/>
            <w:rPr>
              <w:rFonts w:eastAsiaTheme="minorEastAsia"/>
              <w:b w:val="0"/>
              <w:bCs w:val="0"/>
            </w:rPr>
          </w:pPr>
          <w:hyperlink w:anchor="_Toc204167138" w:history="1">
            <w:r w:rsidRPr="009F05FB">
              <w:rPr>
                <w:rStyle w:val="Hyperlink"/>
              </w:rPr>
              <w:t>4.4 Ease of Doing Business</w:t>
            </w:r>
            <w:r w:rsidRPr="009F05FB">
              <w:rPr>
                <w:webHidden/>
              </w:rPr>
              <w:tab/>
            </w:r>
            <w:r w:rsidRPr="009F05FB">
              <w:rPr>
                <w:webHidden/>
              </w:rPr>
              <w:fldChar w:fldCharType="begin"/>
            </w:r>
            <w:r w:rsidRPr="009F05FB">
              <w:rPr>
                <w:webHidden/>
              </w:rPr>
              <w:instrText xml:space="preserve"> PAGEREF _Toc204167138 \h </w:instrText>
            </w:r>
            <w:r w:rsidRPr="009F05FB">
              <w:rPr>
                <w:webHidden/>
              </w:rPr>
            </w:r>
            <w:r w:rsidRPr="009F05FB">
              <w:rPr>
                <w:webHidden/>
              </w:rPr>
              <w:fldChar w:fldCharType="separate"/>
            </w:r>
            <w:r w:rsidRPr="009F05FB">
              <w:rPr>
                <w:webHidden/>
              </w:rPr>
              <w:t>17</w:t>
            </w:r>
            <w:r w:rsidRPr="009F05FB">
              <w:rPr>
                <w:webHidden/>
              </w:rPr>
              <w:fldChar w:fldCharType="end"/>
            </w:r>
          </w:hyperlink>
        </w:p>
        <w:p w14:paraId="6BEE4B50" w14:textId="67CDFB42" w:rsidR="009F05FB" w:rsidRPr="009F05FB" w:rsidRDefault="009F05FB">
          <w:pPr>
            <w:pStyle w:val="TOC2"/>
            <w:rPr>
              <w:rFonts w:eastAsiaTheme="minorEastAsia"/>
              <w:b w:val="0"/>
              <w:bCs w:val="0"/>
            </w:rPr>
          </w:pPr>
          <w:hyperlink w:anchor="_Toc204167139" w:history="1">
            <w:r w:rsidRPr="009F05FB">
              <w:rPr>
                <w:rStyle w:val="Hyperlink"/>
              </w:rPr>
              <w:t>4.5 Corruption and Transparency</w:t>
            </w:r>
            <w:r w:rsidRPr="009F05FB">
              <w:rPr>
                <w:webHidden/>
              </w:rPr>
              <w:tab/>
            </w:r>
            <w:r w:rsidRPr="009F05FB">
              <w:rPr>
                <w:webHidden/>
              </w:rPr>
              <w:fldChar w:fldCharType="begin"/>
            </w:r>
            <w:r w:rsidRPr="009F05FB">
              <w:rPr>
                <w:webHidden/>
              </w:rPr>
              <w:instrText xml:space="preserve"> PAGEREF _Toc204167139 \h </w:instrText>
            </w:r>
            <w:r w:rsidRPr="009F05FB">
              <w:rPr>
                <w:webHidden/>
              </w:rPr>
            </w:r>
            <w:r w:rsidRPr="009F05FB">
              <w:rPr>
                <w:webHidden/>
              </w:rPr>
              <w:fldChar w:fldCharType="separate"/>
            </w:r>
            <w:r w:rsidRPr="009F05FB">
              <w:rPr>
                <w:webHidden/>
              </w:rPr>
              <w:t>17</w:t>
            </w:r>
            <w:r w:rsidRPr="009F05FB">
              <w:rPr>
                <w:webHidden/>
              </w:rPr>
              <w:fldChar w:fldCharType="end"/>
            </w:r>
          </w:hyperlink>
        </w:p>
        <w:p w14:paraId="2FCC3466" w14:textId="2DE718AC" w:rsidR="009F05FB" w:rsidRPr="009F05FB" w:rsidRDefault="009F05FB">
          <w:pPr>
            <w:pStyle w:val="TOC2"/>
            <w:rPr>
              <w:rFonts w:eastAsiaTheme="minorEastAsia"/>
              <w:b w:val="0"/>
              <w:bCs w:val="0"/>
            </w:rPr>
          </w:pPr>
          <w:hyperlink w:anchor="_Toc204167140" w:history="1">
            <w:r w:rsidRPr="009F05FB">
              <w:rPr>
                <w:rStyle w:val="Hyperlink"/>
              </w:rPr>
              <w:t>4.6 Sectoral Case Studies</w:t>
            </w:r>
            <w:r w:rsidRPr="009F05FB">
              <w:rPr>
                <w:webHidden/>
              </w:rPr>
              <w:tab/>
            </w:r>
            <w:r w:rsidRPr="009F05FB">
              <w:rPr>
                <w:webHidden/>
              </w:rPr>
              <w:fldChar w:fldCharType="begin"/>
            </w:r>
            <w:r w:rsidRPr="009F05FB">
              <w:rPr>
                <w:webHidden/>
              </w:rPr>
              <w:instrText xml:space="preserve"> PAGEREF _Toc204167140 \h </w:instrText>
            </w:r>
            <w:r w:rsidRPr="009F05FB">
              <w:rPr>
                <w:webHidden/>
              </w:rPr>
            </w:r>
            <w:r w:rsidRPr="009F05FB">
              <w:rPr>
                <w:webHidden/>
              </w:rPr>
              <w:fldChar w:fldCharType="separate"/>
            </w:r>
            <w:r w:rsidRPr="009F05FB">
              <w:rPr>
                <w:webHidden/>
              </w:rPr>
              <w:t>18</w:t>
            </w:r>
            <w:r w:rsidRPr="009F05FB">
              <w:rPr>
                <w:webHidden/>
              </w:rPr>
              <w:fldChar w:fldCharType="end"/>
            </w:r>
          </w:hyperlink>
        </w:p>
        <w:p w14:paraId="4802FC1B" w14:textId="410E70B7" w:rsidR="009F05FB" w:rsidRPr="009F05FB" w:rsidRDefault="009F05FB">
          <w:pPr>
            <w:pStyle w:val="TOC2"/>
            <w:rPr>
              <w:rFonts w:eastAsiaTheme="minorEastAsia"/>
              <w:b w:val="0"/>
              <w:bCs w:val="0"/>
            </w:rPr>
          </w:pPr>
          <w:hyperlink w:anchor="_Toc204167141" w:history="1">
            <w:r w:rsidRPr="009F05FB">
              <w:rPr>
                <w:rStyle w:val="Hyperlink"/>
              </w:rPr>
              <w:t>4.7 Diaspora and Labour Mobility</w:t>
            </w:r>
            <w:r w:rsidRPr="009F05FB">
              <w:rPr>
                <w:webHidden/>
              </w:rPr>
              <w:tab/>
            </w:r>
            <w:r w:rsidRPr="009F05FB">
              <w:rPr>
                <w:webHidden/>
              </w:rPr>
              <w:fldChar w:fldCharType="begin"/>
            </w:r>
            <w:r w:rsidRPr="009F05FB">
              <w:rPr>
                <w:webHidden/>
              </w:rPr>
              <w:instrText xml:space="preserve"> PAGEREF _Toc204167141 \h </w:instrText>
            </w:r>
            <w:r w:rsidRPr="009F05FB">
              <w:rPr>
                <w:webHidden/>
              </w:rPr>
            </w:r>
            <w:r w:rsidRPr="009F05FB">
              <w:rPr>
                <w:webHidden/>
              </w:rPr>
              <w:fldChar w:fldCharType="separate"/>
            </w:r>
            <w:r w:rsidRPr="009F05FB">
              <w:rPr>
                <w:webHidden/>
              </w:rPr>
              <w:t>18</w:t>
            </w:r>
            <w:r w:rsidRPr="009F05FB">
              <w:rPr>
                <w:webHidden/>
              </w:rPr>
              <w:fldChar w:fldCharType="end"/>
            </w:r>
          </w:hyperlink>
        </w:p>
        <w:p w14:paraId="358E637D" w14:textId="40275955" w:rsidR="009F05FB" w:rsidRPr="009F05FB" w:rsidRDefault="009F05FB">
          <w:pPr>
            <w:pStyle w:val="TOC2"/>
            <w:rPr>
              <w:rFonts w:eastAsiaTheme="minorEastAsia"/>
              <w:b w:val="0"/>
              <w:bCs w:val="0"/>
            </w:rPr>
          </w:pPr>
          <w:hyperlink w:anchor="_Toc204167142" w:history="1">
            <w:r w:rsidRPr="009F05FB">
              <w:rPr>
                <w:rStyle w:val="Hyperlink"/>
              </w:rPr>
              <w:t>4.8 Summary of Findings</w:t>
            </w:r>
            <w:r w:rsidRPr="009F05FB">
              <w:rPr>
                <w:webHidden/>
              </w:rPr>
              <w:tab/>
            </w:r>
            <w:r w:rsidRPr="009F05FB">
              <w:rPr>
                <w:webHidden/>
              </w:rPr>
              <w:fldChar w:fldCharType="begin"/>
            </w:r>
            <w:r w:rsidRPr="009F05FB">
              <w:rPr>
                <w:webHidden/>
              </w:rPr>
              <w:instrText xml:space="preserve"> PAGEREF _Toc204167142 \h </w:instrText>
            </w:r>
            <w:r w:rsidRPr="009F05FB">
              <w:rPr>
                <w:webHidden/>
              </w:rPr>
            </w:r>
            <w:r w:rsidRPr="009F05FB">
              <w:rPr>
                <w:webHidden/>
              </w:rPr>
              <w:fldChar w:fldCharType="separate"/>
            </w:r>
            <w:r w:rsidRPr="009F05FB">
              <w:rPr>
                <w:webHidden/>
              </w:rPr>
              <w:t>18</w:t>
            </w:r>
            <w:r w:rsidRPr="009F05FB">
              <w:rPr>
                <w:webHidden/>
              </w:rPr>
              <w:fldChar w:fldCharType="end"/>
            </w:r>
          </w:hyperlink>
        </w:p>
        <w:p w14:paraId="328B776C" w14:textId="11A26B68" w:rsidR="009F05FB" w:rsidRPr="009F05FB" w:rsidRDefault="009F05FB">
          <w:pPr>
            <w:pStyle w:val="TOC1"/>
            <w:tabs>
              <w:tab w:val="right" w:leader="dot" w:pos="9016"/>
            </w:tabs>
            <w:rPr>
              <w:rFonts w:ascii="Arial" w:eastAsiaTheme="minorEastAsia" w:hAnsi="Arial" w:cs="Arial"/>
              <w:noProof/>
              <w:sz w:val="22"/>
              <w:szCs w:val="22"/>
              <w:lang w:eastAsia="en-GB"/>
            </w:rPr>
          </w:pPr>
          <w:hyperlink w:anchor="_Toc204167143" w:history="1">
            <w:r w:rsidRPr="009F05FB">
              <w:rPr>
                <w:rStyle w:val="Hyperlink"/>
                <w:rFonts w:ascii="Arial" w:eastAsia="Times New Roman" w:hAnsi="Arial" w:cs="Arial"/>
                <w:b/>
                <w:bCs/>
                <w:noProof/>
                <w:sz w:val="22"/>
                <w:szCs w:val="22"/>
                <w:lang w:eastAsia="en-GB"/>
              </w:rPr>
              <w:t>Chapter 5: Discussion</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_Toc204167143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19</w:t>
            </w:r>
            <w:r w:rsidRPr="009F05FB">
              <w:rPr>
                <w:rFonts w:ascii="Arial" w:hAnsi="Arial" w:cs="Arial"/>
                <w:noProof/>
                <w:webHidden/>
                <w:sz w:val="22"/>
                <w:szCs w:val="22"/>
              </w:rPr>
              <w:fldChar w:fldCharType="end"/>
            </w:r>
          </w:hyperlink>
        </w:p>
        <w:p w14:paraId="2B7128E0" w14:textId="40D479D3" w:rsidR="009F05FB" w:rsidRPr="009F05FB" w:rsidRDefault="009F05FB">
          <w:pPr>
            <w:pStyle w:val="TOC2"/>
            <w:rPr>
              <w:rFonts w:eastAsiaTheme="minorEastAsia"/>
              <w:b w:val="0"/>
              <w:bCs w:val="0"/>
            </w:rPr>
          </w:pPr>
          <w:hyperlink w:anchor="_Toc204167144" w:history="1">
            <w:r w:rsidRPr="009F05FB">
              <w:rPr>
                <w:rStyle w:val="Hyperlink"/>
              </w:rPr>
              <w:t>5.1 Introduction</w:t>
            </w:r>
            <w:r w:rsidRPr="009F05FB">
              <w:rPr>
                <w:webHidden/>
              </w:rPr>
              <w:tab/>
            </w:r>
            <w:r w:rsidRPr="009F05FB">
              <w:rPr>
                <w:webHidden/>
              </w:rPr>
              <w:fldChar w:fldCharType="begin"/>
            </w:r>
            <w:r w:rsidRPr="009F05FB">
              <w:rPr>
                <w:webHidden/>
              </w:rPr>
              <w:instrText xml:space="preserve"> PAGEREF _Toc204167144 \h </w:instrText>
            </w:r>
            <w:r w:rsidRPr="009F05FB">
              <w:rPr>
                <w:webHidden/>
              </w:rPr>
            </w:r>
            <w:r w:rsidRPr="009F05FB">
              <w:rPr>
                <w:webHidden/>
              </w:rPr>
              <w:fldChar w:fldCharType="separate"/>
            </w:r>
            <w:r w:rsidRPr="009F05FB">
              <w:rPr>
                <w:webHidden/>
              </w:rPr>
              <w:t>19</w:t>
            </w:r>
            <w:r w:rsidRPr="009F05FB">
              <w:rPr>
                <w:webHidden/>
              </w:rPr>
              <w:fldChar w:fldCharType="end"/>
            </w:r>
          </w:hyperlink>
        </w:p>
        <w:p w14:paraId="2F39ED85" w14:textId="20955D0F" w:rsidR="009F05FB" w:rsidRPr="009F05FB" w:rsidRDefault="009F05FB">
          <w:pPr>
            <w:pStyle w:val="TOC2"/>
            <w:rPr>
              <w:rFonts w:eastAsiaTheme="minorEastAsia"/>
              <w:b w:val="0"/>
              <w:bCs w:val="0"/>
            </w:rPr>
          </w:pPr>
          <w:hyperlink w:anchor="_Toc204167145" w:history="1">
            <w:r w:rsidRPr="009F05FB">
              <w:rPr>
                <w:rStyle w:val="Hyperlink"/>
              </w:rPr>
              <w:t>5.2 Economic Performance</w:t>
            </w:r>
            <w:r w:rsidRPr="009F05FB">
              <w:rPr>
                <w:webHidden/>
              </w:rPr>
              <w:tab/>
            </w:r>
            <w:r w:rsidRPr="009F05FB">
              <w:rPr>
                <w:webHidden/>
              </w:rPr>
              <w:fldChar w:fldCharType="begin"/>
            </w:r>
            <w:r w:rsidRPr="009F05FB">
              <w:rPr>
                <w:webHidden/>
              </w:rPr>
              <w:instrText xml:space="preserve"> PAGEREF _Toc204167145 \h </w:instrText>
            </w:r>
            <w:r w:rsidRPr="009F05FB">
              <w:rPr>
                <w:webHidden/>
              </w:rPr>
            </w:r>
            <w:r w:rsidRPr="009F05FB">
              <w:rPr>
                <w:webHidden/>
              </w:rPr>
              <w:fldChar w:fldCharType="separate"/>
            </w:r>
            <w:r w:rsidRPr="009F05FB">
              <w:rPr>
                <w:webHidden/>
              </w:rPr>
              <w:t>19</w:t>
            </w:r>
            <w:r w:rsidRPr="009F05FB">
              <w:rPr>
                <w:webHidden/>
              </w:rPr>
              <w:fldChar w:fldCharType="end"/>
            </w:r>
          </w:hyperlink>
        </w:p>
        <w:p w14:paraId="5C59E07B" w14:textId="66A71730" w:rsidR="009F05FB" w:rsidRPr="009F05FB" w:rsidRDefault="009F05FB">
          <w:pPr>
            <w:pStyle w:val="TOC2"/>
            <w:rPr>
              <w:rFonts w:eastAsiaTheme="minorEastAsia"/>
              <w:b w:val="0"/>
              <w:bCs w:val="0"/>
            </w:rPr>
          </w:pPr>
          <w:hyperlink w:anchor="_Toc204167146" w:history="1">
            <w:r w:rsidRPr="009F05FB">
              <w:rPr>
                <w:rStyle w:val="Hyperlink"/>
              </w:rPr>
              <w:t>5.3 Sectoral Development and Strategic Frameworks</w:t>
            </w:r>
            <w:r w:rsidRPr="009F05FB">
              <w:rPr>
                <w:webHidden/>
              </w:rPr>
              <w:tab/>
            </w:r>
            <w:r w:rsidRPr="009F05FB">
              <w:rPr>
                <w:webHidden/>
              </w:rPr>
              <w:fldChar w:fldCharType="begin"/>
            </w:r>
            <w:r w:rsidRPr="009F05FB">
              <w:rPr>
                <w:webHidden/>
              </w:rPr>
              <w:instrText xml:space="preserve"> PAGEREF _Toc204167146 \h </w:instrText>
            </w:r>
            <w:r w:rsidRPr="009F05FB">
              <w:rPr>
                <w:webHidden/>
              </w:rPr>
            </w:r>
            <w:r w:rsidRPr="009F05FB">
              <w:rPr>
                <w:webHidden/>
              </w:rPr>
              <w:fldChar w:fldCharType="separate"/>
            </w:r>
            <w:r w:rsidRPr="009F05FB">
              <w:rPr>
                <w:webHidden/>
              </w:rPr>
              <w:t>20</w:t>
            </w:r>
            <w:r w:rsidRPr="009F05FB">
              <w:rPr>
                <w:webHidden/>
              </w:rPr>
              <w:fldChar w:fldCharType="end"/>
            </w:r>
          </w:hyperlink>
        </w:p>
        <w:p w14:paraId="7F05AE5D" w14:textId="0D40F486" w:rsidR="009F05FB" w:rsidRPr="009F05FB" w:rsidRDefault="009F05FB">
          <w:pPr>
            <w:pStyle w:val="TOC2"/>
            <w:rPr>
              <w:rFonts w:eastAsiaTheme="minorEastAsia"/>
              <w:b w:val="0"/>
              <w:bCs w:val="0"/>
            </w:rPr>
          </w:pPr>
          <w:hyperlink w:anchor="_Toc204167147" w:history="1">
            <w:r w:rsidRPr="009F05FB">
              <w:rPr>
                <w:rStyle w:val="Hyperlink"/>
              </w:rPr>
              <w:t>5.4 Cultural Influences Using Hofstede’s Dimensions</w:t>
            </w:r>
            <w:r w:rsidRPr="009F05FB">
              <w:rPr>
                <w:webHidden/>
              </w:rPr>
              <w:tab/>
            </w:r>
            <w:r w:rsidRPr="009F05FB">
              <w:rPr>
                <w:webHidden/>
              </w:rPr>
              <w:fldChar w:fldCharType="begin"/>
            </w:r>
            <w:r w:rsidRPr="009F05FB">
              <w:rPr>
                <w:webHidden/>
              </w:rPr>
              <w:instrText xml:space="preserve"> PAGEREF _Toc204167147 \h </w:instrText>
            </w:r>
            <w:r w:rsidRPr="009F05FB">
              <w:rPr>
                <w:webHidden/>
              </w:rPr>
            </w:r>
            <w:r w:rsidRPr="009F05FB">
              <w:rPr>
                <w:webHidden/>
              </w:rPr>
              <w:fldChar w:fldCharType="separate"/>
            </w:r>
            <w:r w:rsidRPr="009F05FB">
              <w:rPr>
                <w:webHidden/>
              </w:rPr>
              <w:t>20</w:t>
            </w:r>
            <w:r w:rsidRPr="009F05FB">
              <w:rPr>
                <w:webHidden/>
              </w:rPr>
              <w:fldChar w:fldCharType="end"/>
            </w:r>
          </w:hyperlink>
        </w:p>
        <w:p w14:paraId="17FF2444" w14:textId="3BC66C97" w:rsidR="009F05FB" w:rsidRPr="009F05FB" w:rsidRDefault="009F05FB">
          <w:pPr>
            <w:pStyle w:val="TOC2"/>
            <w:rPr>
              <w:rFonts w:eastAsiaTheme="minorEastAsia"/>
              <w:b w:val="0"/>
              <w:bCs w:val="0"/>
            </w:rPr>
          </w:pPr>
          <w:hyperlink w:anchor="_Toc204167148" w:history="1">
            <w:r w:rsidRPr="009F05FB">
              <w:rPr>
                <w:rStyle w:val="Hyperlink"/>
              </w:rPr>
              <w:t>5.5 Political Governance and Institutional Theory</w:t>
            </w:r>
            <w:r w:rsidRPr="009F05FB">
              <w:rPr>
                <w:webHidden/>
              </w:rPr>
              <w:tab/>
            </w:r>
            <w:r w:rsidRPr="009F05FB">
              <w:rPr>
                <w:webHidden/>
              </w:rPr>
              <w:fldChar w:fldCharType="begin"/>
            </w:r>
            <w:r w:rsidRPr="009F05FB">
              <w:rPr>
                <w:webHidden/>
              </w:rPr>
              <w:instrText xml:space="preserve"> PAGEREF _Toc204167148 \h </w:instrText>
            </w:r>
            <w:r w:rsidRPr="009F05FB">
              <w:rPr>
                <w:webHidden/>
              </w:rPr>
            </w:r>
            <w:r w:rsidRPr="009F05FB">
              <w:rPr>
                <w:webHidden/>
              </w:rPr>
              <w:fldChar w:fldCharType="separate"/>
            </w:r>
            <w:r w:rsidRPr="009F05FB">
              <w:rPr>
                <w:webHidden/>
              </w:rPr>
              <w:t>21</w:t>
            </w:r>
            <w:r w:rsidRPr="009F05FB">
              <w:rPr>
                <w:webHidden/>
              </w:rPr>
              <w:fldChar w:fldCharType="end"/>
            </w:r>
          </w:hyperlink>
        </w:p>
        <w:p w14:paraId="321F0F8F" w14:textId="3D76A7C6" w:rsidR="009F05FB" w:rsidRPr="009F05FB" w:rsidRDefault="009F05FB">
          <w:pPr>
            <w:pStyle w:val="TOC2"/>
            <w:rPr>
              <w:rFonts w:eastAsiaTheme="minorEastAsia"/>
              <w:b w:val="0"/>
              <w:bCs w:val="0"/>
            </w:rPr>
          </w:pPr>
          <w:hyperlink w:anchor="_Toc204167149" w:history="1">
            <w:r w:rsidRPr="009F05FB">
              <w:rPr>
                <w:rStyle w:val="Hyperlink"/>
              </w:rPr>
              <w:t>5.6 Diaspora, Labour Mobility, and Human Capital Flow</w:t>
            </w:r>
            <w:r w:rsidRPr="009F05FB">
              <w:rPr>
                <w:webHidden/>
              </w:rPr>
              <w:tab/>
            </w:r>
            <w:r w:rsidRPr="009F05FB">
              <w:rPr>
                <w:webHidden/>
              </w:rPr>
              <w:fldChar w:fldCharType="begin"/>
            </w:r>
            <w:r w:rsidRPr="009F05FB">
              <w:rPr>
                <w:webHidden/>
              </w:rPr>
              <w:instrText xml:space="preserve"> PAGEREF _Toc204167149 \h </w:instrText>
            </w:r>
            <w:r w:rsidRPr="009F05FB">
              <w:rPr>
                <w:webHidden/>
              </w:rPr>
            </w:r>
            <w:r w:rsidRPr="009F05FB">
              <w:rPr>
                <w:webHidden/>
              </w:rPr>
              <w:fldChar w:fldCharType="separate"/>
            </w:r>
            <w:r w:rsidRPr="009F05FB">
              <w:rPr>
                <w:webHidden/>
              </w:rPr>
              <w:t>22</w:t>
            </w:r>
            <w:r w:rsidRPr="009F05FB">
              <w:rPr>
                <w:webHidden/>
              </w:rPr>
              <w:fldChar w:fldCharType="end"/>
            </w:r>
          </w:hyperlink>
        </w:p>
        <w:p w14:paraId="6CA4A608" w14:textId="3D47AD51" w:rsidR="009F05FB" w:rsidRPr="009F05FB" w:rsidRDefault="009F05FB">
          <w:pPr>
            <w:pStyle w:val="TOC2"/>
            <w:rPr>
              <w:rFonts w:eastAsiaTheme="minorEastAsia"/>
              <w:b w:val="0"/>
              <w:bCs w:val="0"/>
            </w:rPr>
          </w:pPr>
          <w:hyperlink w:anchor="_Toc204167150" w:history="1">
            <w:r w:rsidRPr="009F05FB">
              <w:rPr>
                <w:rStyle w:val="Hyperlink"/>
              </w:rPr>
              <w:t>5.7 Leadership Assessment Matrix</w:t>
            </w:r>
            <w:r w:rsidRPr="009F05FB">
              <w:rPr>
                <w:webHidden/>
              </w:rPr>
              <w:tab/>
            </w:r>
            <w:r w:rsidRPr="009F05FB">
              <w:rPr>
                <w:webHidden/>
              </w:rPr>
              <w:fldChar w:fldCharType="begin"/>
            </w:r>
            <w:r w:rsidRPr="009F05FB">
              <w:rPr>
                <w:webHidden/>
              </w:rPr>
              <w:instrText xml:space="preserve"> PAGEREF _Toc204167150 \h </w:instrText>
            </w:r>
            <w:r w:rsidRPr="009F05FB">
              <w:rPr>
                <w:webHidden/>
              </w:rPr>
            </w:r>
            <w:r w:rsidRPr="009F05FB">
              <w:rPr>
                <w:webHidden/>
              </w:rPr>
              <w:fldChar w:fldCharType="separate"/>
            </w:r>
            <w:r w:rsidRPr="009F05FB">
              <w:rPr>
                <w:webHidden/>
              </w:rPr>
              <w:t>22</w:t>
            </w:r>
            <w:r w:rsidRPr="009F05FB">
              <w:rPr>
                <w:webHidden/>
              </w:rPr>
              <w:fldChar w:fldCharType="end"/>
            </w:r>
          </w:hyperlink>
        </w:p>
        <w:p w14:paraId="03826CE2" w14:textId="43EF5DEB" w:rsidR="009F05FB" w:rsidRPr="009F05FB" w:rsidRDefault="009F05FB">
          <w:pPr>
            <w:pStyle w:val="TOC2"/>
            <w:rPr>
              <w:rFonts w:eastAsiaTheme="minorEastAsia"/>
              <w:b w:val="0"/>
              <w:bCs w:val="0"/>
            </w:rPr>
          </w:pPr>
          <w:hyperlink w:anchor="_Toc204167151" w:history="1">
            <w:r w:rsidRPr="009F05FB">
              <w:rPr>
                <w:rStyle w:val="Hyperlink"/>
              </w:rPr>
              <w:t>5.8 Summary of Key Insights</w:t>
            </w:r>
            <w:r w:rsidRPr="009F05FB">
              <w:rPr>
                <w:webHidden/>
              </w:rPr>
              <w:tab/>
            </w:r>
            <w:r w:rsidRPr="009F05FB">
              <w:rPr>
                <w:webHidden/>
              </w:rPr>
              <w:fldChar w:fldCharType="begin"/>
            </w:r>
            <w:r w:rsidRPr="009F05FB">
              <w:rPr>
                <w:webHidden/>
              </w:rPr>
              <w:instrText xml:space="preserve"> PAGEREF _Toc204167151 \h </w:instrText>
            </w:r>
            <w:r w:rsidRPr="009F05FB">
              <w:rPr>
                <w:webHidden/>
              </w:rPr>
            </w:r>
            <w:r w:rsidRPr="009F05FB">
              <w:rPr>
                <w:webHidden/>
              </w:rPr>
              <w:fldChar w:fldCharType="separate"/>
            </w:r>
            <w:r w:rsidRPr="009F05FB">
              <w:rPr>
                <w:webHidden/>
              </w:rPr>
              <w:t>23</w:t>
            </w:r>
            <w:r w:rsidRPr="009F05FB">
              <w:rPr>
                <w:webHidden/>
              </w:rPr>
              <w:fldChar w:fldCharType="end"/>
            </w:r>
          </w:hyperlink>
        </w:p>
        <w:p w14:paraId="3D97C3D6" w14:textId="0F5C95C9" w:rsidR="009F05FB" w:rsidRPr="009F05FB" w:rsidRDefault="009F05FB">
          <w:pPr>
            <w:pStyle w:val="TOC1"/>
            <w:tabs>
              <w:tab w:val="right" w:leader="dot" w:pos="9016"/>
            </w:tabs>
            <w:rPr>
              <w:rFonts w:ascii="Arial" w:eastAsiaTheme="minorEastAsia" w:hAnsi="Arial" w:cs="Arial"/>
              <w:noProof/>
              <w:sz w:val="22"/>
              <w:szCs w:val="22"/>
              <w:lang w:eastAsia="en-GB"/>
            </w:rPr>
          </w:pPr>
          <w:hyperlink w:anchor="_Toc204167152" w:history="1">
            <w:r w:rsidRPr="009F05FB">
              <w:rPr>
                <w:rStyle w:val="Hyperlink"/>
                <w:rFonts w:ascii="Arial" w:hAnsi="Arial" w:cs="Arial"/>
                <w:b/>
                <w:bCs/>
                <w:noProof/>
                <w:sz w:val="22"/>
                <w:szCs w:val="22"/>
              </w:rPr>
              <w:t>Chapter 6: Conclusion and Recommendations</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_Toc204167152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23</w:t>
            </w:r>
            <w:r w:rsidRPr="009F05FB">
              <w:rPr>
                <w:rFonts w:ascii="Arial" w:hAnsi="Arial" w:cs="Arial"/>
                <w:noProof/>
                <w:webHidden/>
                <w:sz w:val="22"/>
                <w:szCs w:val="22"/>
              </w:rPr>
              <w:fldChar w:fldCharType="end"/>
            </w:r>
          </w:hyperlink>
        </w:p>
        <w:p w14:paraId="0240C941" w14:textId="6D4C359C" w:rsidR="009F05FB" w:rsidRPr="009F05FB" w:rsidRDefault="009F05FB">
          <w:pPr>
            <w:pStyle w:val="TOC2"/>
            <w:rPr>
              <w:rFonts w:eastAsiaTheme="minorEastAsia"/>
              <w:b w:val="0"/>
              <w:bCs w:val="0"/>
            </w:rPr>
          </w:pPr>
          <w:hyperlink w:anchor="_Toc204167153" w:history="1">
            <w:r w:rsidRPr="009F05FB">
              <w:rPr>
                <w:rStyle w:val="Hyperlink"/>
              </w:rPr>
              <w:t>6.1 Introduction</w:t>
            </w:r>
            <w:r w:rsidRPr="009F05FB">
              <w:rPr>
                <w:webHidden/>
              </w:rPr>
              <w:tab/>
            </w:r>
            <w:r w:rsidRPr="009F05FB">
              <w:rPr>
                <w:webHidden/>
              </w:rPr>
              <w:fldChar w:fldCharType="begin"/>
            </w:r>
            <w:r w:rsidRPr="009F05FB">
              <w:rPr>
                <w:webHidden/>
              </w:rPr>
              <w:instrText xml:space="preserve"> PAGEREF _Toc204167153 \h </w:instrText>
            </w:r>
            <w:r w:rsidRPr="009F05FB">
              <w:rPr>
                <w:webHidden/>
              </w:rPr>
            </w:r>
            <w:r w:rsidRPr="009F05FB">
              <w:rPr>
                <w:webHidden/>
              </w:rPr>
              <w:fldChar w:fldCharType="separate"/>
            </w:r>
            <w:r w:rsidRPr="009F05FB">
              <w:rPr>
                <w:webHidden/>
              </w:rPr>
              <w:t>23</w:t>
            </w:r>
            <w:r w:rsidRPr="009F05FB">
              <w:rPr>
                <w:webHidden/>
              </w:rPr>
              <w:fldChar w:fldCharType="end"/>
            </w:r>
          </w:hyperlink>
        </w:p>
        <w:p w14:paraId="0A75744B" w14:textId="7D3CD8E0" w:rsidR="009F05FB" w:rsidRPr="009F05FB" w:rsidRDefault="009F05FB">
          <w:pPr>
            <w:pStyle w:val="TOC2"/>
            <w:rPr>
              <w:rFonts w:eastAsiaTheme="minorEastAsia"/>
              <w:b w:val="0"/>
              <w:bCs w:val="0"/>
            </w:rPr>
          </w:pPr>
          <w:hyperlink w:anchor="_Toc204167154" w:history="1">
            <w:r w:rsidRPr="009F05FB">
              <w:rPr>
                <w:rStyle w:val="Hyperlink"/>
              </w:rPr>
              <w:t>6.2 Revisiting Research Objectives</w:t>
            </w:r>
            <w:r w:rsidRPr="009F05FB">
              <w:rPr>
                <w:webHidden/>
              </w:rPr>
              <w:tab/>
            </w:r>
            <w:r w:rsidRPr="009F05FB">
              <w:rPr>
                <w:webHidden/>
              </w:rPr>
              <w:fldChar w:fldCharType="begin"/>
            </w:r>
            <w:r w:rsidRPr="009F05FB">
              <w:rPr>
                <w:webHidden/>
              </w:rPr>
              <w:instrText xml:space="preserve"> PAGEREF _Toc204167154 \h </w:instrText>
            </w:r>
            <w:r w:rsidRPr="009F05FB">
              <w:rPr>
                <w:webHidden/>
              </w:rPr>
            </w:r>
            <w:r w:rsidRPr="009F05FB">
              <w:rPr>
                <w:webHidden/>
              </w:rPr>
              <w:fldChar w:fldCharType="separate"/>
            </w:r>
            <w:r w:rsidRPr="009F05FB">
              <w:rPr>
                <w:webHidden/>
              </w:rPr>
              <w:t>24</w:t>
            </w:r>
            <w:r w:rsidRPr="009F05FB">
              <w:rPr>
                <w:webHidden/>
              </w:rPr>
              <w:fldChar w:fldCharType="end"/>
            </w:r>
          </w:hyperlink>
        </w:p>
        <w:p w14:paraId="56FB2522" w14:textId="4DB45A5F" w:rsidR="009F05FB" w:rsidRPr="009F05FB" w:rsidRDefault="009F05FB">
          <w:pPr>
            <w:pStyle w:val="TOC2"/>
            <w:rPr>
              <w:rFonts w:eastAsiaTheme="minorEastAsia"/>
              <w:b w:val="0"/>
              <w:bCs w:val="0"/>
            </w:rPr>
          </w:pPr>
          <w:hyperlink w:anchor="_Toc204167155" w:history="1">
            <w:r w:rsidRPr="009F05FB">
              <w:rPr>
                <w:rStyle w:val="Hyperlink"/>
              </w:rPr>
              <w:t>6.3 Key Conclusions</w:t>
            </w:r>
            <w:r w:rsidRPr="009F05FB">
              <w:rPr>
                <w:webHidden/>
              </w:rPr>
              <w:tab/>
            </w:r>
            <w:r w:rsidRPr="009F05FB">
              <w:rPr>
                <w:webHidden/>
              </w:rPr>
              <w:fldChar w:fldCharType="begin"/>
            </w:r>
            <w:r w:rsidRPr="009F05FB">
              <w:rPr>
                <w:webHidden/>
              </w:rPr>
              <w:instrText xml:space="preserve"> PAGEREF _Toc204167155 \h </w:instrText>
            </w:r>
            <w:r w:rsidRPr="009F05FB">
              <w:rPr>
                <w:webHidden/>
              </w:rPr>
            </w:r>
            <w:r w:rsidRPr="009F05FB">
              <w:rPr>
                <w:webHidden/>
              </w:rPr>
              <w:fldChar w:fldCharType="separate"/>
            </w:r>
            <w:r w:rsidRPr="009F05FB">
              <w:rPr>
                <w:webHidden/>
              </w:rPr>
              <w:t>26</w:t>
            </w:r>
            <w:r w:rsidRPr="009F05FB">
              <w:rPr>
                <w:webHidden/>
              </w:rPr>
              <w:fldChar w:fldCharType="end"/>
            </w:r>
          </w:hyperlink>
        </w:p>
        <w:p w14:paraId="7BCC698C" w14:textId="477B9F4A" w:rsidR="009F05FB" w:rsidRPr="009F05FB" w:rsidRDefault="009F05FB">
          <w:pPr>
            <w:pStyle w:val="TOC2"/>
            <w:rPr>
              <w:rFonts w:eastAsiaTheme="minorEastAsia"/>
              <w:b w:val="0"/>
              <w:bCs w:val="0"/>
            </w:rPr>
          </w:pPr>
          <w:hyperlink w:anchor="_Toc204167156" w:history="1">
            <w:r w:rsidRPr="009F05FB">
              <w:rPr>
                <w:rStyle w:val="Hyperlink"/>
              </w:rPr>
              <w:t>6.4 Recommendations</w:t>
            </w:r>
            <w:r w:rsidRPr="009F05FB">
              <w:rPr>
                <w:webHidden/>
              </w:rPr>
              <w:tab/>
            </w:r>
            <w:r w:rsidRPr="009F05FB">
              <w:rPr>
                <w:webHidden/>
              </w:rPr>
              <w:fldChar w:fldCharType="begin"/>
            </w:r>
            <w:r w:rsidRPr="009F05FB">
              <w:rPr>
                <w:webHidden/>
              </w:rPr>
              <w:instrText xml:space="preserve"> PAGEREF _Toc204167156 \h </w:instrText>
            </w:r>
            <w:r w:rsidRPr="009F05FB">
              <w:rPr>
                <w:webHidden/>
              </w:rPr>
            </w:r>
            <w:r w:rsidRPr="009F05FB">
              <w:rPr>
                <w:webHidden/>
              </w:rPr>
              <w:fldChar w:fldCharType="separate"/>
            </w:r>
            <w:r w:rsidRPr="009F05FB">
              <w:rPr>
                <w:webHidden/>
              </w:rPr>
              <w:t>26</w:t>
            </w:r>
            <w:r w:rsidRPr="009F05FB">
              <w:rPr>
                <w:webHidden/>
              </w:rPr>
              <w:fldChar w:fldCharType="end"/>
            </w:r>
          </w:hyperlink>
        </w:p>
        <w:p w14:paraId="6BFA1977" w14:textId="083AD75F" w:rsidR="009F05FB" w:rsidRPr="009F05FB" w:rsidRDefault="009F05FB">
          <w:pPr>
            <w:pStyle w:val="TOC2"/>
            <w:rPr>
              <w:rFonts w:eastAsiaTheme="minorEastAsia"/>
              <w:b w:val="0"/>
              <w:bCs w:val="0"/>
            </w:rPr>
          </w:pPr>
          <w:hyperlink w:anchor="_Toc204167157" w:history="1">
            <w:r w:rsidRPr="009F05FB">
              <w:rPr>
                <w:rStyle w:val="Hyperlink"/>
              </w:rPr>
              <w:t>6.5 Personal Reflection and Academic Contribution</w:t>
            </w:r>
            <w:r w:rsidRPr="009F05FB">
              <w:rPr>
                <w:webHidden/>
              </w:rPr>
              <w:tab/>
            </w:r>
            <w:r w:rsidRPr="009F05FB">
              <w:rPr>
                <w:webHidden/>
              </w:rPr>
              <w:fldChar w:fldCharType="begin"/>
            </w:r>
            <w:r w:rsidRPr="009F05FB">
              <w:rPr>
                <w:webHidden/>
              </w:rPr>
              <w:instrText xml:space="preserve"> PAGEREF _Toc204167157 \h </w:instrText>
            </w:r>
            <w:r w:rsidRPr="009F05FB">
              <w:rPr>
                <w:webHidden/>
              </w:rPr>
            </w:r>
            <w:r w:rsidRPr="009F05FB">
              <w:rPr>
                <w:webHidden/>
              </w:rPr>
              <w:fldChar w:fldCharType="separate"/>
            </w:r>
            <w:r w:rsidRPr="009F05FB">
              <w:rPr>
                <w:webHidden/>
              </w:rPr>
              <w:t>27</w:t>
            </w:r>
            <w:r w:rsidRPr="009F05FB">
              <w:rPr>
                <w:webHidden/>
              </w:rPr>
              <w:fldChar w:fldCharType="end"/>
            </w:r>
          </w:hyperlink>
        </w:p>
        <w:p w14:paraId="74AFE2F0" w14:textId="43355FA7" w:rsidR="009F05FB" w:rsidRPr="009F05FB" w:rsidRDefault="009F05FB">
          <w:pPr>
            <w:pStyle w:val="TOC2"/>
            <w:rPr>
              <w:rFonts w:eastAsiaTheme="minorEastAsia"/>
              <w:b w:val="0"/>
              <w:bCs w:val="0"/>
            </w:rPr>
          </w:pPr>
          <w:hyperlink w:anchor="_Toc204167158" w:history="1">
            <w:r w:rsidRPr="009F05FB">
              <w:rPr>
                <w:rStyle w:val="Hyperlink"/>
              </w:rPr>
              <w:t>6.6 Final Thoughts</w:t>
            </w:r>
            <w:r w:rsidRPr="009F05FB">
              <w:rPr>
                <w:webHidden/>
              </w:rPr>
              <w:tab/>
            </w:r>
            <w:r w:rsidRPr="009F05FB">
              <w:rPr>
                <w:webHidden/>
              </w:rPr>
              <w:fldChar w:fldCharType="begin"/>
            </w:r>
            <w:r w:rsidRPr="009F05FB">
              <w:rPr>
                <w:webHidden/>
              </w:rPr>
              <w:instrText xml:space="preserve"> PAGEREF _Toc204167158 \h </w:instrText>
            </w:r>
            <w:r w:rsidRPr="009F05FB">
              <w:rPr>
                <w:webHidden/>
              </w:rPr>
            </w:r>
            <w:r w:rsidRPr="009F05FB">
              <w:rPr>
                <w:webHidden/>
              </w:rPr>
              <w:fldChar w:fldCharType="separate"/>
            </w:r>
            <w:r w:rsidRPr="009F05FB">
              <w:rPr>
                <w:webHidden/>
              </w:rPr>
              <w:t>28</w:t>
            </w:r>
            <w:r w:rsidRPr="009F05FB">
              <w:rPr>
                <w:webHidden/>
              </w:rPr>
              <w:fldChar w:fldCharType="end"/>
            </w:r>
          </w:hyperlink>
        </w:p>
        <w:p w14:paraId="1AA20302" w14:textId="227E174D" w:rsidR="009F05FB" w:rsidRPr="009F05FB" w:rsidRDefault="009F05FB">
          <w:pPr>
            <w:pStyle w:val="TOC1"/>
            <w:tabs>
              <w:tab w:val="right" w:leader="dot" w:pos="9016"/>
            </w:tabs>
            <w:rPr>
              <w:rFonts w:ascii="Arial" w:eastAsiaTheme="minorEastAsia" w:hAnsi="Arial" w:cs="Arial"/>
              <w:noProof/>
              <w:sz w:val="22"/>
              <w:szCs w:val="22"/>
              <w:lang w:eastAsia="en-GB"/>
            </w:rPr>
          </w:pPr>
          <w:hyperlink w:anchor="_Toc204167159" w:history="1">
            <w:r w:rsidRPr="009F05FB">
              <w:rPr>
                <w:rStyle w:val="Hyperlink"/>
                <w:rFonts w:ascii="Arial" w:hAnsi="Arial" w:cs="Arial"/>
                <w:b/>
                <w:bCs/>
                <w:noProof/>
                <w:sz w:val="22"/>
                <w:szCs w:val="22"/>
              </w:rPr>
              <w:t>Chapter 7: References</w:t>
            </w:r>
            <w:r w:rsidRPr="009F05FB">
              <w:rPr>
                <w:rFonts w:ascii="Arial" w:hAnsi="Arial" w:cs="Arial"/>
                <w:noProof/>
                <w:webHidden/>
                <w:sz w:val="22"/>
                <w:szCs w:val="22"/>
              </w:rPr>
              <w:tab/>
            </w:r>
            <w:r w:rsidRPr="008733A3">
              <w:rPr>
                <w:rFonts w:ascii="Arial" w:hAnsi="Arial" w:cs="Arial"/>
                <w:b/>
                <w:bCs/>
                <w:noProof/>
                <w:webHidden/>
                <w:sz w:val="22"/>
                <w:szCs w:val="22"/>
              </w:rPr>
              <w:fldChar w:fldCharType="begin"/>
            </w:r>
            <w:r w:rsidRPr="008733A3">
              <w:rPr>
                <w:rFonts w:ascii="Arial" w:hAnsi="Arial" w:cs="Arial"/>
                <w:b/>
                <w:bCs/>
                <w:noProof/>
                <w:webHidden/>
                <w:sz w:val="22"/>
                <w:szCs w:val="22"/>
              </w:rPr>
              <w:instrText xml:space="preserve"> PAGEREF _Toc204167159 \h </w:instrText>
            </w:r>
            <w:r w:rsidRPr="008733A3">
              <w:rPr>
                <w:rFonts w:ascii="Arial" w:hAnsi="Arial" w:cs="Arial"/>
                <w:b/>
                <w:bCs/>
                <w:noProof/>
                <w:webHidden/>
                <w:sz w:val="22"/>
                <w:szCs w:val="22"/>
              </w:rPr>
            </w:r>
            <w:r w:rsidRPr="008733A3">
              <w:rPr>
                <w:rFonts w:ascii="Arial" w:hAnsi="Arial" w:cs="Arial"/>
                <w:b/>
                <w:bCs/>
                <w:noProof/>
                <w:webHidden/>
                <w:sz w:val="22"/>
                <w:szCs w:val="22"/>
              </w:rPr>
              <w:fldChar w:fldCharType="separate"/>
            </w:r>
            <w:r w:rsidRPr="008733A3">
              <w:rPr>
                <w:rFonts w:ascii="Arial" w:hAnsi="Arial" w:cs="Arial"/>
                <w:b/>
                <w:bCs/>
                <w:noProof/>
                <w:webHidden/>
                <w:sz w:val="22"/>
                <w:szCs w:val="22"/>
              </w:rPr>
              <w:t>29</w:t>
            </w:r>
            <w:r w:rsidRPr="008733A3">
              <w:rPr>
                <w:rFonts w:ascii="Arial" w:hAnsi="Arial" w:cs="Arial"/>
                <w:b/>
                <w:bCs/>
                <w:noProof/>
                <w:webHidden/>
                <w:sz w:val="22"/>
                <w:szCs w:val="22"/>
              </w:rPr>
              <w:fldChar w:fldCharType="end"/>
            </w:r>
          </w:hyperlink>
        </w:p>
        <w:p w14:paraId="0C026B37" w14:textId="30858BEA" w:rsidR="008733A3" w:rsidRPr="008733A3" w:rsidRDefault="00327D03" w:rsidP="008733A3">
          <w:pPr>
            <w:spacing w:line="360" w:lineRule="auto"/>
            <w:rPr>
              <w:rFonts w:ascii="Arial" w:hAnsi="Arial" w:cs="Arial"/>
              <w:b/>
              <w:bCs/>
              <w:noProof/>
              <w:sz w:val="22"/>
              <w:szCs w:val="22"/>
            </w:rPr>
            <w:sectPr w:rsidR="008733A3" w:rsidRPr="008733A3">
              <w:headerReference w:type="default" r:id="rId8"/>
              <w:footerReference w:type="default" r:id="rId9"/>
              <w:pgSz w:w="11906" w:h="16838"/>
              <w:pgMar w:top="1440" w:right="1440" w:bottom="1440" w:left="1440" w:header="708" w:footer="708" w:gutter="0"/>
              <w:cols w:space="708"/>
              <w:docGrid w:linePitch="360"/>
            </w:sectPr>
          </w:pPr>
          <w:r w:rsidRPr="009F05FB">
            <w:rPr>
              <w:rFonts w:ascii="Arial" w:hAnsi="Arial" w:cs="Arial"/>
              <w:b/>
              <w:bCs/>
              <w:noProof/>
              <w:sz w:val="22"/>
              <w:szCs w:val="22"/>
            </w:rPr>
            <w:fldChar w:fldCharType="end"/>
          </w:r>
        </w:p>
      </w:sdtContent>
    </w:sdt>
    <w:bookmarkStart w:id="0" w:name="_Toc204167105" w:displacedByCustomXml="prev"/>
    <w:p w14:paraId="67A96610" w14:textId="77777777" w:rsidR="009F05FB" w:rsidRDefault="009F05FB" w:rsidP="009F05FB">
      <w:pPr>
        <w:rPr>
          <w:lang w:eastAsia="en-GB"/>
        </w:rPr>
      </w:pPr>
    </w:p>
    <w:p w14:paraId="5F54DBBF" w14:textId="7149FC91" w:rsidR="00CB7455" w:rsidRPr="00B82603" w:rsidRDefault="001310A9" w:rsidP="00327D03">
      <w:pPr>
        <w:pStyle w:val="Heading1"/>
        <w:spacing w:line="360" w:lineRule="auto"/>
        <w:rPr>
          <w:rFonts w:ascii="Arial" w:eastAsia="Times New Roman" w:hAnsi="Arial" w:cs="Arial"/>
          <w:b/>
          <w:bCs/>
          <w:color w:val="auto"/>
          <w:sz w:val="22"/>
          <w:szCs w:val="22"/>
          <w:lang w:eastAsia="en-GB"/>
        </w:rPr>
      </w:pPr>
      <w:r>
        <w:rPr>
          <w:rFonts w:ascii="Arial" w:eastAsia="Times New Roman" w:hAnsi="Arial" w:cs="Arial"/>
          <w:b/>
          <w:bCs/>
          <w:noProof/>
          <w:color w:val="auto"/>
          <w:sz w:val="22"/>
          <w:szCs w:val="22"/>
          <w:lang w:eastAsia="en-GB"/>
        </w:rPr>
        <mc:AlternateContent>
          <mc:Choice Requires="wpi">
            <w:drawing>
              <wp:anchor distT="0" distB="0" distL="114300" distR="114300" simplePos="0" relativeHeight="251659264" behindDoc="0" locked="0" layoutInCell="1" allowOverlap="1" wp14:anchorId="4B249371" wp14:editId="42AC312C">
                <wp:simplePos x="0" y="0"/>
                <wp:positionH relativeFrom="column">
                  <wp:posOffset>-2118380</wp:posOffset>
                </wp:positionH>
                <wp:positionV relativeFrom="paragraph">
                  <wp:posOffset>-364590</wp:posOffset>
                </wp:positionV>
                <wp:extent cx="382680" cy="1573200"/>
                <wp:effectExtent l="38100" t="38100" r="36830" b="46355"/>
                <wp:wrapNone/>
                <wp:docPr id="1355410078" name="Ink 1"/>
                <wp:cNvGraphicFramePr/>
                <a:graphic xmlns:a="http://schemas.openxmlformats.org/drawingml/2006/main">
                  <a:graphicData uri="http://schemas.microsoft.com/office/word/2010/wordprocessingInk">
                    <w14:contentPart bwMode="auto" r:id="rId10">
                      <w14:nvContentPartPr>
                        <w14:cNvContentPartPr/>
                      </w14:nvContentPartPr>
                      <w14:xfrm>
                        <a:off x="0" y="0"/>
                        <a:ext cx="382680" cy="1573200"/>
                      </w14:xfrm>
                    </w14:contentPart>
                  </a:graphicData>
                </a:graphic>
              </wp:anchor>
            </w:drawing>
          </mc:Choice>
          <mc:Fallback>
            <w:pict>
              <v:shapetype w14:anchorId="624B6CE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67.15pt;margin-top:-29.05pt;width:30.85pt;height:124.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">
                <v:imagedata r:id="rId11" o:title=""/>
              </v:shape>
            </w:pict>
          </mc:Fallback>
        </mc:AlternateContent>
      </w:r>
      <w:r w:rsidR="00CB7455" w:rsidRPr="00B82603">
        <w:rPr>
          <w:rFonts w:ascii="Arial" w:eastAsia="Times New Roman" w:hAnsi="Arial" w:cs="Arial"/>
          <w:b/>
          <w:bCs/>
          <w:color w:val="auto"/>
          <w:sz w:val="22"/>
          <w:szCs w:val="22"/>
          <w:lang w:eastAsia="en-GB"/>
        </w:rPr>
        <w:t>Chapter 1: Introduction</w:t>
      </w:r>
      <w:bookmarkEnd w:id="0"/>
    </w:p>
    <w:p w14:paraId="557F28AB" w14:textId="17480A30"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and Romania: How Culture, Politics and EU Membership Have Shaped Economic Outcomes</w:t>
      </w:r>
    </w:p>
    <w:p w14:paraId="0A4812BF" w14:textId="77777777" w:rsidR="00CB7455" w:rsidRPr="00B82603" w:rsidRDefault="00CB7455" w:rsidP="00327D03">
      <w:pPr>
        <w:pStyle w:val="Heading2"/>
        <w:spacing w:line="360" w:lineRule="auto"/>
        <w:rPr>
          <w:rFonts w:ascii="Arial" w:eastAsia="Times New Roman" w:hAnsi="Arial" w:cs="Arial"/>
          <w:b/>
          <w:bCs/>
          <w:color w:val="auto"/>
          <w:sz w:val="22"/>
          <w:szCs w:val="22"/>
          <w:lang w:eastAsia="en-GB"/>
        </w:rPr>
      </w:pPr>
      <w:bookmarkStart w:id="1" w:name="_Toc204167106"/>
      <w:r w:rsidRPr="00B82603">
        <w:rPr>
          <w:rFonts w:ascii="Arial" w:eastAsia="Times New Roman" w:hAnsi="Arial" w:cs="Arial"/>
          <w:b/>
          <w:bCs/>
          <w:color w:val="auto"/>
          <w:sz w:val="22"/>
          <w:szCs w:val="22"/>
          <w:lang w:eastAsia="en-GB"/>
        </w:rPr>
        <w:t>1.1 Background and Context</w:t>
      </w:r>
      <w:bookmarkEnd w:id="1"/>
    </w:p>
    <w:p w14:paraId="0A03EF13" w14:textId="488D77C1"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 integration of Central and Eastern European (CEE) countries into the European Union (EU) is widely considered one of the most transformative political and economic developments in post-Cold War Europe. With the 2004 enlargement, ten new countries joined the EU, eight of which were from the former Eastern Bloc. This process continued with the accession of Bulgaria and Romania in 2007 and Croatia in 2013. These enlargements marked a significant shift in the political, economic and cultural map of Europe, aiming to strengthen regional stability, democracy and market liberalisation.</w:t>
      </w:r>
    </w:p>
    <w:p w14:paraId="53F75C88" w14:textId="5B6FDA7F"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and Romania, although geographically and historically similar in some respects, have experienced different levels of success following EU accession. Poland joined the EU in 2004 and is often cited as a model for successful integration, with steady GDP growth, strong foreign direct investment (FDI) inflows and effective use of EU funds. Romania, which joined three years later in 2007, has also made considerable progress but continues to face persistent structural and institutional challenges. Both countries share a legacy of centrally planned economies, large diasporas and political transition, but the divergence in economic outcomes makes their comparison highly relevant for academic and policy inquiry.</w:t>
      </w:r>
    </w:p>
    <w:p w14:paraId="53A5A2D3" w14:textId="36642A52"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dissertation focuses on a comparative analysis of Poland and Romania’s post-accession development across economic, political and cultural dimensions. It particularly explores how GDP growth, FDI patterns, sectoral development and institutional quality have evolved in both nations since EU accession. Additionally, it assesses how cultural frameworks (such as Hofstede’s dimensions) and governance indicators (such as the Corruption Perceptions Index) shape business and investment environments.</w:t>
      </w:r>
    </w:p>
    <w:p w14:paraId="14645531" w14:textId="77777777" w:rsidR="00CB7455" w:rsidRPr="00B82603" w:rsidRDefault="00CB7455" w:rsidP="00327D03">
      <w:pPr>
        <w:pStyle w:val="Heading2"/>
        <w:spacing w:line="360" w:lineRule="auto"/>
        <w:rPr>
          <w:rFonts w:ascii="Arial" w:eastAsia="Times New Roman" w:hAnsi="Arial" w:cs="Arial"/>
          <w:b/>
          <w:bCs/>
          <w:color w:val="auto"/>
          <w:sz w:val="22"/>
          <w:szCs w:val="22"/>
          <w:lang w:eastAsia="en-GB"/>
        </w:rPr>
      </w:pPr>
      <w:bookmarkStart w:id="2" w:name="_Toc204167107"/>
      <w:r w:rsidRPr="00B82603">
        <w:rPr>
          <w:rFonts w:ascii="Arial" w:eastAsia="Times New Roman" w:hAnsi="Arial" w:cs="Arial"/>
          <w:b/>
          <w:bCs/>
          <w:color w:val="auto"/>
          <w:sz w:val="22"/>
          <w:szCs w:val="22"/>
          <w:lang w:eastAsia="en-GB"/>
        </w:rPr>
        <w:t>1.2 Rationale for the Study</w:t>
      </w:r>
      <w:bookmarkEnd w:id="2"/>
    </w:p>
    <w:p w14:paraId="6824F8CA" w14:textId="2A5F3756"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There is growing academic interest in the uneven effects of EU integration across member states. While many studies focus on macroeconomic convergence or institutional harmonisation, fewer have examined the combined effect of economic performance, political governance and cultural influences through a comparative, country-specific lens. Poland and Romania serve as compelling cases due to their size, population, EU accession timing and developmental contrasts.</w:t>
      </w:r>
    </w:p>
    <w:p w14:paraId="6D693BDD" w14:textId="7A0B0AD6"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lastRenderedPageBreak/>
        <w:t xml:space="preserve">This study also has personal academic relevance. The modules studied throughout the Business Management programme including International Financial Management, Strategic Management, International Business Communication and Managing People </w:t>
      </w:r>
      <w:r w:rsidR="0073465D"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directly inform the theoretical and practical angles of this research. By applying academic theory to real-world national outcomes, this dissertation bridges the gap between classroom learning and applied policy evaluation. The dissertation will also assess the extent to which key theories </w:t>
      </w:r>
      <w:r w:rsidR="0073465D"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such as Hofstede’s cultural dimensions, Porter’s Diamond model, Dunning’s OLI paradigm, Cascade Theory and Institutional Theory can explain the comparative outcomes between Poland and Romania and whether alternative explanations may be required.</w:t>
      </w:r>
    </w:p>
    <w:p w14:paraId="792A8F5C" w14:textId="77777777" w:rsidR="00CB7455" w:rsidRPr="00B82603" w:rsidRDefault="00CB7455" w:rsidP="00327D03">
      <w:pPr>
        <w:pStyle w:val="Heading2"/>
        <w:spacing w:line="360" w:lineRule="auto"/>
        <w:rPr>
          <w:rFonts w:ascii="Arial" w:eastAsia="Times New Roman" w:hAnsi="Arial" w:cs="Arial"/>
          <w:b/>
          <w:bCs/>
          <w:color w:val="auto"/>
          <w:sz w:val="22"/>
          <w:szCs w:val="22"/>
          <w:lang w:eastAsia="en-GB"/>
        </w:rPr>
      </w:pPr>
      <w:bookmarkStart w:id="3" w:name="_Toc204167108"/>
      <w:r w:rsidRPr="00B82603">
        <w:rPr>
          <w:rFonts w:ascii="Arial" w:eastAsia="Times New Roman" w:hAnsi="Arial" w:cs="Arial"/>
          <w:b/>
          <w:bCs/>
          <w:color w:val="auto"/>
          <w:sz w:val="22"/>
          <w:szCs w:val="22"/>
          <w:lang w:eastAsia="en-GB"/>
        </w:rPr>
        <w:t>1.3 Research Aim and Objectives</w:t>
      </w:r>
      <w:bookmarkEnd w:id="3"/>
    </w:p>
    <w:p w14:paraId="70CAA2D9" w14:textId="3222E654"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 primary aim of this dissertation is to evaluate and compare the economic, political and cultural impacts of EU integration on Poland and Romania and to explain the divergence in their post-accession development trajectories.</w:t>
      </w:r>
    </w:p>
    <w:p w14:paraId="28D6445D" w14:textId="77777777" w:rsidR="00CB7455" w:rsidRPr="00B82603" w:rsidRDefault="00CB7455" w:rsidP="00327D03">
      <w:pPr>
        <w:spacing w:line="360" w:lineRule="auto"/>
        <w:rPr>
          <w:rFonts w:ascii="Arial" w:eastAsia="Times New Roman" w:hAnsi="Arial" w:cs="Arial"/>
          <w:b/>
          <w:bCs/>
          <w:kern w:val="0"/>
          <w:sz w:val="22"/>
          <w:szCs w:val="22"/>
          <w:lang w:eastAsia="en-GB"/>
          <w14:ligatures w14:val="none"/>
        </w:rPr>
      </w:pPr>
      <w:r w:rsidRPr="00B82603">
        <w:rPr>
          <w:rFonts w:ascii="Arial" w:eastAsia="Times New Roman" w:hAnsi="Arial" w:cs="Arial"/>
          <w:b/>
          <w:bCs/>
          <w:kern w:val="0"/>
          <w:sz w:val="22"/>
          <w:szCs w:val="22"/>
          <w:lang w:eastAsia="en-GB"/>
          <w14:ligatures w14:val="none"/>
        </w:rPr>
        <w:t>Objectives:</w:t>
      </w:r>
    </w:p>
    <w:p w14:paraId="3F095C0F" w14:textId="77777777" w:rsidR="00CB7455" w:rsidRPr="00B82603" w:rsidRDefault="00CB7455" w:rsidP="00A6021A">
      <w:pPr>
        <w:pStyle w:val="ListParagraph"/>
        <w:numPr>
          <w:ilvl w:val="0"/>
          <w:numId w:val="1"/>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To compare GDP growth and FDI inflows in Poland and Romania since joining the EU.</w:t>
      </w:r>
    </w:p>
    <w:p w14:paraId="651D6EBC" w14:textId="77777777" w:rsidR="00CB7455" w:rsidRPr="00B82603" w:rsidRDefault="00CB7455" w:rsidP="00A6021A">
      <w:pPr>
        <w:pStyle w:val="ListParagraph"/>
        <w:numPr>
          <w:ilvl w:val="0"/>
          <w:numId w:val="1"/>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To assess sectoral development in each country through selected case studies.</w:t>
      </w:r>
    </w:p>
    <w:p w14:paraId="352E007C" w14:textId="77777777" w:rsidR="00CB7455" w:rsidRPr="00B82603" w:rsidRDefault="00CB7455" w:rsidP="00A6021A">
      <w:pPr>
        <w:pStyle w:val="ListParagraph"/>
        <w:numPr>
          <w:ilvl w:val="0"/>
          <w:numId w:val="1"/>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To analyse the role of political governance (e.g., Transparency International, Ease of Doing Business) in shaping investment climates.</w:t>
      </w:r>
    </w:p>
    <w:p w14:paraId="40D554E3" w14:textId="77777777" w:rsidR="00CB7455" w:rsidRPr="00B82603" w:rsidRDefault="00CB7455" w:rsidP="00A6021A">
      <w:pPr>
        <w:pStyle w:val="ListParagraph"/>
        <w:numPr>
          <w:ilvl w:val="0"/>
          <w:numId w:val="1"/>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To evaluate the influence of cultural differences using Hofstede’s dimensions.</w:t>
      </w:r>
    </w:p>
    <w:p w14:paraId="53265903" w14:textId="7D57786C" w:rsidR="00CB7455" w:rsidRPr="00B82603" w:rsidRDefault="00CB7455" w:rsidP="00A6021A">
      <w:pPr>
        <w:pStyle w:val="ListParagraph"/>
        <w:numPr>
          <w:ilvl w:val="0"/>
          <w:numId w:val="1"/>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To apply theoretical frameworks including Dunning’s OLI model, Cascade Theory and Institutional Theory to interpret outcomes.</w:t>
      </w:r>
    </w:p>
    <w:p w14:paraId="0131AC0C" w14:textId="77777777" w:rsidR="00CB7455" w:rsidRPr="00B82603" w:rsidRDefault="00CB7455" w:rsidP="00A6021A">
      <w:pPr>
        <w:pStyle w:val="ListParagraph"/>
        <w:numPr>
          <w:ilvl w:val="0"/>
          <w:numId w:val="1"/>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To conduct a leadership assessment of both countries and identify the approach that has contributed most to economic success.</w:t>
      </w:r>
    </w:p>
    <w:p w14:paraId="69A207AC" w14:textId="77777777" w:rsidR="00CB7455" w:rsidRPr="00B82603" w:rsidRDefault="00CB7455" w:rsidP="00327D03">
      <w:pPr>
        <w:pStyle w:val="Heading2"/>
        <w:spacing w:line="360" w:lineRule="auto"/>
        <w:rPr>
          <w:rFonts w:ascii="Arial" w:eastAsia="Times New Roman" w:hAnsi="Arial" w:cs="Arial"/>
          <w:b/>
          <w:bCs/>
          <w:color w:val="auto"/>
          <w:sz w:val="22"/>
          <w:szCs w:val="22"/>
          <w:lang w:eastAsia="en-GB"/>
        </w:rPr>
      </w:pPr>
      <w:bookmarkStart w:id="4" w:name="_Toc204167109"/>
      <w:r w:rsidRPr="00B82603">
        <w:rPr>
          <w:rFonts w:ascii="Arial" w:eastAsia="Times New Roman" w:hAnsi="Arial" w:cs="Arial"/>
          <w:b/>
          <w:bCs/>
          <w:color w:val="auto"/>
          <w:sz w:val="22"/>
          <w:szCs w:val="22"/>
          <w:lang w:eastAsia="en-GB"/>
        </w:rPr>
        <w:t>1.4 Research Questions</w:t>
      </w:r>
      <w:bookmarkEnd w:id="4"/>
    </w:p>
    <w:p w14:paraId="080D3DFC" w14:textId="77777777" w:rsidR="00CB7455" w:rsidRPr="00B82603" w:rsidRDefault="00CB7455" w:rsidP="00A6021A">
      <w:pPr>
        <w:pStyle w:val="ListParagraph"/>
        <w:numPr>
          <w:ilvl w:val="0"/>
          <w:numId w:val="2"/>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How have Poland and Romania performed economically since joining the EU in terms of GDP growth and FDI inflows?</w:t>
      </w:r>
    </w:p>
    <w:p w14:paraId="7F0FAC15" w14:textId="760A10C5" w:rsidR="00CB7455" w:rsidRPr="00B82603" w:rsidRDefault="00CB7455" w:rsidP="00A6021A">
      <w:pPr>
        <w:pStyle w:val="ListParagraph"/>
        <w:numPr>
          <w:ilvl w:val="0"/>
          <w:numId w:val="2"/>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Which industries in Poland and Romania have thrived or struggled since accession and what factors contributed?</w:t>
      </w:r>
    </w:p>
    <w:p w14:paraId="1749A308" w14:textId="77777777" w:rsidR="00CB7455" w:rsidRPr="00B82603" w:rsidRDefault="00CB7455" w:rsidP="00A6021A">
      <w:pPr>
        <w:pStyle w:val="ListParagraph"/>
        <w:numPr>
          <w:ilvl w:val="0"/>
          <w:numId w:val="2"/>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How do political and institutional conditions influence economic outcomes in both countries?</w:t>
      </w:r>
    </w:p>
    <w:p w14:paraId="7F00380E" w14:textId="77777777" w:rsidR="00CB7455" w:rsidRPr="00B82603" w:rsidRDefault="00CB7455" w:rsidP="00A6021A">
      <w:pPr>
        <w:pStyle w:val="ListParagraph"/>
        <w:numPr>
          <w:ilvl w:val="0"/>
          <w:numId w:val="2"/>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What role do cultural factors play in shaping business and organisational success post-accession?</w:t>
      </w:r>
    </w:p>
    <w:p w14:paraId="46735C3C" w14:textId="7B324AFA" w:rsidR="00CB7455" w:rsidRPr="00B82603" w:rsidRDefault="00CB7455" w:rsidP="00A6021A">
      <w:pPr>
        <w:pStyle w:val="ListParagraph"/>
        <w:numPr>
          <w:ilvl w:val="0"/>
          <w:numId w:val="2"/>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lastRenderedPageBreak/>
        <w:t>What leadership factors have shaped economic outcomes in each country and which leadership approach has been more effective?</w:t>
      </w:r>
    </w:p>
    <w:p w14:paraId="52A63A0B" w14:textId="77777777" w:rsidR="00CB7455" w:rsidRPr="00B82603" w:rsidRDefault="00CB7455" w:rsidP="00A6021A">
      <w:pPr>
        <w:pStyle w:val="ListParagraph"/>
        <w:numPr>
          <w:ilvl w:val="0"/>
          <w:numId w:val="2"/>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What lessons can be drawn from Poland’s experience that may be applicable to Romania’s continued development?</w:t>
      </w:r>
    </w:p>
    <w:p w14:paraId="4E0DA671" w14:textId="77777777" w:rsidR="00CB7455" w:rsidRPr="00B82603" w:rsidRDefault="00CB7455" w:rsidP="00327D03">
      <w:pPr>
        <w:pStyle w:val="Heading2"/>
        <w:spacing w:line="360" w:lineRule="auto"/>
        <w:rPr>
          <w:rFonts w:ascii="Arial" w:eastAsia="Times New Roman" w:hAnsi="Arial" w:cs="Arial"/>
          <w:b/>
          <w:bCs/>
          <w:color w:val="auto"/>
          <w:sz w:val="22"/>
          <w:szCs w:val="22"/>
          <w:lang w:eastAsia="en-GB"/>
        </w:rPr>
      </w:pPr>
      <w:bookmarkStart w:id="5" w:name="_Toc204167110"/>
      <w:r w:rsidRPr="00B82603">
        <w:rPr>
          <w:rFonts w:ascii="Arial" w:eastAsia="Times New Roman" w:hAnsi="Arial" w:cs="Arial"/>
          <w:b/>
          <w:bCs/>
          <w:color w:val="auto"/>
          <w:sz w:val="22"/>
          <w:szCs w:val="22"/>
          <w:lang w:eastAsia="en-GB"/>
        </w:rPr>
        <w:t>1.5 Structure of the Dissertation</w:t>
      </w:r>
      <w:bookmarkEnd w:id="5"/>
    </w:p>
    <w:p w14:paraId="7CB70CD9" w14:textId="77777777"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dissertation is organised into six chapters:</w:t>
      </w:r>
    </w:p>
    <w:p w14:paraId="1574CBD5" w14:textId="53734AEF"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Chapter 1: Introduction </w:t>
      </w:r>
      <w:r w:rsidR="00C14DA1"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Presents the background, rationale, aim, objectives and research questions.</w:t>
      </w:r>
    </w:p>
    <w:p w14:paraId="3CBC6C8B" w14:textId="090EA53E"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Chapter 2: Literature Review </w:t>
      </w:r>
      <w:r w:rsidR="00C14DA1"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Discusses existing research on EU integration, cultural and institutional theory and comparative studies on CEE countries.</w:t>
      </w:r>
    </w:p>
    <w:p w14:paraId="239CD2E2" w14:textId="11E5FD04"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Chapter 3: Methodology </w:t>
      </w:r>
      <w:r w:rsidR="00C14DA1"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Describes the research design, use of secondary data and comparative case study approach.</w:t>
      </w:r>
    </w:p>
    <w:p w14:paraId="5252FF64" w14:textId="7FBBDE7E"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Chapter 4: Findings and </w:t>
      </w:r>
      <w:r w:rsidR="00CE7BAC" w:rsidRPr="00B82603">
        <w:rPr>
          <w:rFonts w:ascii="Arial" w:eastAsia="Times New Roman" w:hAnsi="Arial" w:cs="Arial"/>
          <w:kern w:val="0"/>
          <w:sz w:val="22"/>
          <w:szCs w:val="22"/>
          <w:lang w:eastAsia="en-GB"/>
          <w14:ligatures w14:val="none"/>
        </w:rPr>
        <w:t>Data analysis</w:t>
      </w:r>
      <w:r w:rsidRPr="00B82603">
        <w:rPr>
          <w:rFonts w:ascii="Arial" w:eastAsia="Times New Roman" w:hAnsi="Arial" w:cs="Arial"/>
          <w:kern w:val="0"/>
          <w:sz w:val="22"/>
          <w:szCs w:val="22"/>
          <w:lang w:eastAsia="en-GB"/>
          <w14:ligatures w14:val="none"/>
        </w:rPr>
        <w:t xml:space="preserve"> </w:t>
      </w:r>
      <w:r w:rsidR="00C14DA1"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Presents the economic data analysis and sectoral case studies from Poland and Romania.</w:t>
      </w:r>
    </w:p>
    <w:p w14:paraId="551C909E" w14:textId="3F282C7D"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Chapter 5: Discussion </w:t>
      </w:r>
      <w:r w:rsidR="00C14DA1"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Interprets findings through the theoretical frameworks, includes a leadership assessment matrix comparing Poland and Romania and addresses the core research questions.</w:t>
      </w:r>
    </w:p>
    <w:p w14:paraId="43E4EFD0" w14:textId="033F8D6F"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Chapter 6: Conclusion and Recommendations </w:t>
      </w:r>
      <w:r w:rsidR="00C14DA1"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Applies theories to synthesise conclusions, highlights key lessons for Romania and Poland and provides actionable recommendations based on comparative analysis.</w:t>
      </w:r>
    </w:p>
    <w:p w14:paraId="16C2EB86" w14:textId="31489D78" w:rsidR="001A1010" w:rsidRPr="00B82603" w:rsidRDefault="001A1010"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Chapter 7: References </w:t>
      </w:r>
    </w:p>
    <w:p w14:paraId="45BCE1C7" w14:textId="77777777" w:rsidR="003F4423" w:rsidRPr="00B82603" w:rsidRDefault="003F4423" w:rsidP="00327D03">
      <w:pPr>
        <w:spacing w:line="360" w:lineRule="auto"/>
        <w:rPr>
          <w:rFonts w:ascii="Arial" w:eastAsia="Times New Roman" w:hAnsi="Arial" w:cs="Arial"/>
          <w:kern w:val="0"/>
          <w:sz w:val="22"/>
          <w:szCs w:val="22"/>
          <w:lang w:eastAsia="en-GB"/>
          <w14:ligatures w14:val="none"/>
        </w:rPr>
      </w:pPr>
    </w:p>
    <w:p w14:paraId="745DE0E8" w14:textId="03FDAC77" w:rsidR="007D7465" w:rsidRPr="00B82603" w:rsidRDefault="00C14DA1" w:rsidP="00327D03">
      <w:pPr>
        <w:pStyle w:val="Heading1"/>
        <w:spacing w:line="360" w:lineRule="auto"/>
        <w:rPr>
          <w:rFonts w:ascii="Arial" w:eastAsia="Times New Roman" w:hAnsi="Arial" w:cs="Arial"/>
          <w:b/>
          <w:bCs/>
          <w:color w:val="auto"/>
          <w:sz w:val="22"/>
          <w:szCs w:val="22"/>
          <w:lang w:eastAsia="en-GB"/>
        </w:rPr>
      </w:pPr>
      <w:bookmarkStart w:id="6" w:name="_Toc204167111"/>
      <w:r w:rsidRPr="00B82603">
        <w:rPr>
          <w:rFonts w:ascii="Arial" w:eastAsia="Times New Roman" w:hAnsi="Arial" w:cs="Arial"/>
          <w:b/>
          <w:bCs/>
          <w:color w:val="auto"/>
          <w:sz w:val="22"/>
          <w:szCs w:val="22"/>
          <w:lang w:eastAsia="en-GB"/>
        </w:rPr>
        <w:t>Chapter 2: Literature Review</w:t>
      </w:r>
      <w:bookmarkEnd w:id="6"/>
    </w:p>
    <w:p w14:paraId="6702E6FF" w14:textId="77777777" w:rsidR="007212A3" w:rsidRPr="00B82603" w:rsidRDefault="007212A3" w:rsidP="00327D03">
      <w:pPr>
        <w:pStyle w:val="Heading2"/>
        <w:spacing w:line="360" w:lineRule="auto"/>
        <w:rPr>
          <w:rFonts w:ascii="Arial" w:eastAsia="Times New Roman" w:hAnsi="Arial" w:cs="Arial"/>
          <w:b/>
          <w:bCs/>
          <w:color w:val="auto"/>
          <w:sz w:val="22"/>
          <w:szCs w:val="22"/>
          <w:lang w:eastAsia="en-GB"/>
        </w:rPr>
      </w:pPr>
      <w:bookmarkStart w:id="7" w:name="_Toc204167112"/>
      <w:r w:rsidRPr="00B82603">
        <w:rPr>
          <w:rFonts w:ascii="Arial" w:eastAsia="Times New Roman" w:hAnsi="Arial" w:cs="Arial"/>
          <w:b/>
          <w:bCs/>
          <w:color w:val="auto"/>
          <w:sz w:val="22"/>
          <w:szCs w:val="22"/>
          <w:lang w:eastAsia="en-GB"/>
        </w:rPr>
        <w:t>2.1 Overview of EU Integration and Post-Accession Context</w:t>
      </w:r>
      <w:bookmarkEnd w:id="7"/>
    </w:p>
    <w:p w14:paraId="7564A3CB" w14:textId="6718345A" w:rsidR="007212A3" w:rsidRPr="00B82603" w:rsidRDefault="007212A3"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The European Union’s (EU) eastward expansion in 2004 and 2007 marked one of the most ambitious phases of regional integration in modern history. Countries from Central and Eastern Europe (CEE) many of them former communist states were invited to join the EU, provided they adopted political and economic reforms aligned with the Copenhagen criteria: democracy, rule of law, human rights, market economy and the ability to adopt the acquis </w:t>
      </w:r>
      <w:proofErr w:type="spellStart"/>
      <w:r w:rsidRPr="00B82603">
        <w:rPr>
          <w:rFonts w:ascii="Arial" w:eastAsia="Times New Roman" w:hAnsi="Arial" w:cs="Arial"/>
          <w:kern w:val="0"/>
          <w:sz w:val="22"/>
          <w:szCs w:val="22"/>
          <w:lang w:eastAsia="en-GB"/>
          <w14:ligatures w14:val="none"/>
        </w:rPr>
        <w:t>communautaire</w:t>
      </w:r>
      <w:proofErr w:type="spellEnd"/>
      <w:r w:rsidRPr="00B82603">
        <w:rPr>
          <w:rFonts w:ascii="Arial" w:eastAsia="Times New Roman" w:hAnsi="Arial" w:cs="Arial"/>
          <w:kern w:val="0"/>
          <w:sz w:val="22"/>
          <w:szCs w:val="22"/>
          <w:lang w:eastAsia="en-GB"/>
          <w14:ligatures w14:val="none"/>
        </w:rPr>
        <w:t xml:space="preserve"> (European Commission, 2003). Poland joined the EU in 2004, alongside </w:t>
      </w:r>
      <w:r w:rsidRPr="00B82603">
        <w:rPr>
          <w:rFonts w:ascii="Arial" w:eastAsia="Times New Roman" w:hAnsi="Arial" w:cs="Arial"/>
          <w:kern w:val="0"/>
          <w:sz w:val="22"/>
          <w:szCs w:val="22"/>
          <w:lang w:eastAsia="en-GB"/>
          <w14:ligatures w14:val="none"/>
        </w:rPr>
        <w:lastRenderedPageBreak/>
        <w:t>seven other CEE countries. Romania followed in 2007, after a delayed accession linked to concerns over corruption, institutional readiness and judicial independence (Grabbe, 2006).</w:t>
      </w:r>
    </w:p>
    <w:p w14:paraId="30EC96D0" w14:textId="1F712E84" w:rsidR="007212A3" w:rsidRPr="00B82603" w:rsidRDefault="007212A3"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 rationale behind EU enlargement was not only economic but also geopolitical. The enlargement was viewed as a path to securing political stability in post-Soviet Europe and promoting economic convergence within the region (</w:t>
      </w:r>
      <w:proofErr w:type="spellStart"/>
      <w:r w:rsidRPr="00B82603">
        <w:rPr>
          <w:rFonts w:ascii="Arial" w:eastAsia="Times New Roman" w:hAnsi="Arial" w:cs="Arial"/>
          <w:kern w:val="0"/>
          <w:sz w:val="22"/>
          <w:szCs w:val="22"/>
          <w:lang w:eastAsia="en-GB"/>
          <w14:ligatures w14:val="none"/>
        </w:rPr>
        <w:t>Schimmelfennig</w:t>
      </w:r>
      <w:proofErr w:type="spellEnd"/>
      <w:r w:rsidRPr="00B82603">
        <w:rPr>
          <w:rFonts w:ascii="Arial" w:eastAsia="Times New Roman" w:hAnsi="Arial" w:cs="Arial"/>
          <w:kern w:val="0"/>
          <w:sz w:val="22"/>
          <w:szCs w:val="22"/>
          <w:lang w:eastAsia="en-GB"/>
          <w14:ligatures w14:val="none"/>
        </w:rPr>
        <w:t xml:space="preserve"> &amp; </w:t>
      </w:r>
      <w:proofErr w:type="spellStart"/>
      <w:r w:rsidRPr="00B82603">
        <w:rPr>
          <w:rFonts w:ascii="Arial" w:eastAsia="Times New Roman" w:hAnsi="Arial" w:cs="Arial"/>
          <w:kern w:val="0"/>
          <w:sz w:val="22"/>
          <w:szCs w:val="22"/>
          <w:lang w:eastAsia="en-GB"/>
          <w14:ligatures w14:val="none"/>
        </w:rPr>
        <w:t>Sedelmeier</w:t>
      </w:r>
      <w:proofErr w:type="spellEnd"/>
      <w:r w:rsidRPr="00B82603">
        <w:rPr>
          <w:rFonts w:ascii="Arial" w:eastAsia="Times New Roman" w:hAnsi="Arial" w:cs="Arial"/>
          <w:kern w:val="0"/>
          <w:sz w:val="22"/>
          <w:szCs w:val="22"/>
          <w:lang w:eastAsia="en-GB"/>
          <w14:ligatures w14:val="none"/>
        </w:rPr>
        <w:t>, 2005). Integration promised access to the single market, EU funding and freedom of movement, while also demanding adherence to structural reforms and institutional alignment.</w:t>
      </w:r>
    </w:p>
    <w:p w14:paraId="7F626AF9" w14:textId="3B27422B" w:rsidR="007212A3" w:rsidRPr="00B82603" w:rsidRDefault="007212A3"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Empirical research shows that while the EU’s common framework provided a platform for economic growth, outcomes across member states have varied widely (Bohle &amp; Greskovits, 2012). For example, Poland has emerged as one of the most successful cases, characterised by sustained GDP growth, strong foreign direct investment (FDI) and well-managed EU funds (OECD, 2021). In contrast, Romania’s growth, though notable, has been more volatile, with persistent governance challenges and slower institutional reform (World Bank, 2020). These divergent trajectories provide a rich comparative case for exploring how culture, politics and institutional factors interact with EU membership to shape economic outcomes.</w:t>
      </w:r>
    </w:p>
    <w:p w14:paraId="7DAEC23F" w14:textId="52EBBA7A" w:rsidR="007212A3" w:rsidRPr="00B82603" w:rsidRDefault="007212A3"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A key component of this literature focuses on the concept of economic convergence </w:t>
      </w:r>
      <w:r w:rsidR="00200DBF"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the idea that poorer EU members would gradually catch up to wealthier ones through access to markets, capital and structural funds. Although Poland and Romania both recorded improvements in GDP per capita, productivity and employment rates post-accession, the pace and quality of convergence differ significantly (Campos et al., 2019). This dissertation focuses on comparing how EU membership interacted with national conditions </w:t>
      </w:r>
      <w:r w:rsidR="00200DBF"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including governance quality, leadership and cultural norms </w:t>
      </w:r>
      <w:r w:rsidR="00200DBF"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to generate distinct development paths in Poland and Romania.</w:t>
      </w:r>
    </w:p>
    <w:p w14:paraId="11B0F2B9" w14:textId="385DC325" w:rsidR="007C353E" w:rsidRPr="00B82603" w:rsidRDefault="007C353E" w:rsidP="00327D03">
      <w:pPr>
        <w:pStyle w:val="Heading2"/>
        <w:spacing w:line="360" w:lineRule="auto"/>
        <w:rPr>
          <w:rFonts w:ascii="Arial" w:eastAsia="Times New Roman" w:hAnsi="Arial" w:cs="Arial"/>
          <w:b/>
          <w:bCs/>
          <w:color w:val="auto"/>
          <w:sz w:val="22"/>
          <w:szCs w:val="22"/>
          <w:lang w:eastAsia="en-GB"/>
        </w:rPr>
      </w:pPr>
      <w:bookmarkStart w:id="8" w:name="_Toc204167113"/>
      <w:r w:rsidRPr="00B82603">
        <w:rPr>
          <w:rFonts w:ascii="Arial" w:eastAsia="Times New Roman" w:hAnsi="Arial" w:cs="Arial"/>
          <w:b/>
          <w:bCs/>
          <w:color w:val="auto"/>
          <w:sz w:val="22"/>
          <w:szCs w:val="22"/>
          <w:lang w:eastAsia="en-GB"/>
        </w:rPr>
        <w:t>2.2 Economic Convergence, Foreign Direct Investment (FDI) and Cascade Theory</w:t>
      </w:r>
      <w:bookmarkEnd w:id="8"/>
    </w:p>
    <w:p w14:paraId="4C5C4F31" w14:textId="001440B5"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One of the core economic arguments for EU enlargement was the promise of economic convergence </w:t>
      </w:r>
      <w:r w:rsidR="00B85280"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the process through which less developed economies would grow faster than more advanced ones, gradually narrowing the income gap (Barro &amp; Sala-</w:t>
      </w:r>
      <w:proofErr w:type="spellStart"/>
      <w:r w:rsidRPr="00B82603">
        <w:rPr>
          <w:rFonts w:ascii="Arial" w:eastAsia="Times New Roman" w:hAnsi="Arial" w:cs="Arial"/>
          <w:kern w:val="0"/>
          <w:sz w:val="22"/>
          <w:szCs w:val="22"/>
          <w:lang w:eastAsia="en-GB"/>
          <w14:ligatures w14:val="none"/>
        </w:rPr>
        <w:t>i</w:t>
      </w:r>
      <w:proofErr w:type="spellEnd"/>
      <w:r w:rsidRPr="00B82603">
        <w:rPr>
          <w:rFonts w:ascii="Arial" w:eastAsia="Times New Roman" w:hAnsi="Arial" w:cs="Arial"/>
          <w:kern w:val="0"/>
          <w:sz w:val="22"/>
          <w:szCs w:val="22"/>
          <w:lang w:eastAsia="en-GB"/>
          <w14:ligatures w14:val="none"/>
        </w:rPr>
        <w:t xml:space="preserve">-Martin, 1992). EU membership was expected to accelerate this process by improving access to trade, capital and institutional support. For many CEE countries, this indeed occurred </w:t>
      </w:r>
      <w:r w:rsidR="00B85280"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but with considerable variation.</w:t>
      </w:r>
    </w:p>
    <w:p w14:paraId="0C56D62F" w14:textId="0B8ACC88" w:rsidR="007C353E" w:rsidRPr="00B82603" w:rsidRDefault="001E0392" w:rsidP="001B08C5">
      <w:pPr>
        <w:pStyle w:val="Heading3"/>
        <w:rPr>
          <w:rFonts w:ascii="Arial" w:eastAsia="Times New Roman" w:hAnsi="Arial" w:cs="Arial"/>
          <w:b/>
          <w:bCs/>
          <w:color w:val="auto"/>
          <w:sz w:val="22"/>
          <w:szCs w:val="22"/>
          <w:lang w:eastAsia="en-GB"/>
        </w:rPr>
      </w:pPr>
      <w:bookmarkStart w:id="9" w:name="_Toc204167114"/>
      <w:r w:rsidRPr="00B82603">
        <w:rPr>
          <w:rFonts w:ascii="Arial" w:eastAsia="Times New Roman" w:hAnsi="Arial" w:cs="Arial"/>
          <w:b/>
          <w:bCs/>
          <w:color w:val="auto"/>
          <w:sz w:val="22"/>
          <w:szCs w:val="22"/>
          <w:lang w:eastAsia="en-GB"/>
        </w:rPr>
        <w:lastRenderedPageBreak/>
        <w:t>2.2.1</w:t>
      </w:r>
      <w:r w:rsidR="001B08C5" w:rsidRPr="00B82603">
        <w:rPr>
          <w:rFonts w:ascii="Arial" w:eastAsia="Times New Roman" w:hAnsi="Arial" w:cs="Arial"/>
          <w:b/>
          <w:bCs/>
          <w:color w:val="auto"/>
          <w:sz w:val="22"/>
          <w:szCs w:val="22"/>
          <w:lang w:eastAsia="en-GB"/>
        </w:rPr>
        <w:t xml:space="preserve"> </w:t>
      </w:r>
      <w:r w:rsidR="007C353E" w:rsidRPr="00B82603">
        <w:rPr>
          <w:rFonts w:ascii="Arial" w:eastAsia="Times New Roman" w:hAnsi="Arial" w:cs="Arial"/>
          <w:b/>
          <w:bCs/>
          <w:color w:val="auto"/>
          <w:sz w:val="22"/>
          <w:szCs w:val="22"/>
          <w:lang w:eastAsia="en-GB"/>
        </w:rPr>
        <w:t>FDI as a Driver of Growth</w:t>
      </w:r>
      <w:bookmarkEnd w:id="9"/>
    </w:p>
    <w:p w14:paraId="7A637235" w14:textId="77777777"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Foreign Direct Investment (FDI) has been a key instrument in this convergence process. According to Dunning’s Eclectic Paradigm, also known as the OLI model (Dunning, 1981), FDI occurs when three conditions are met:</w:t>
      </w:r>
    </w:p>
    <w:p w14:paraId="542150BE" w14:textId="77777777" w:rsidR="007C353E" w:rsidRPr="00B82603" w:rsidRDefault="007C353E" w:rsidP="00A6021A">
      <w:pPr>
        <w:pStyle w:val="ListParagraph"/>
        <w:numPr>
          <w:ilvl w:val="0"/>
          <w:numId w:val="13"/>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Ownership advantages (e.g. brand, technology),</w:t>
      </w:r>
    </w:p>
    <w:p w14:paraId="1D235BAC" w14:textId="7E9C15EA" w:rsidR="007C353E" w:rsidRPr="00B82603" w:rsidRDefault="007C353E" w:rsidP="00A6021A">
      <w:pPr>
        <w:pStyle w:val="ListParagraph"/>
        <w:numPr>
          <w:ilvl w:val="0"/>
          <w:numId w:val="13"/>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Location advantages (e.g. low costs, skilled labour, EU membership)</w:t>
      </w:r>
    </w:p>
    <w:p w14:paraId="7080965F" w14:textId="77777777" w:rsidR="007C353E" w:rsidRPr="00B82603" w:rsidRDefault="007C353E" w:rsidP="00A6021A">
      <w:pPr>
        <w:pStyle w:val="ListParagraph"/>
        <w:numPr>
          <w:ilvl w:val="0"/>
          <w:numId w:val="13"/>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Internalisation advantages (e.g. better control of operations abroad).</w:t>
      </w:r>
    </w:p>
    <w:p w14:paraId="10159FE5" w14:textId="7799329A"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quickly emerged as an attractive FDI destination due to its political stability, large market size, well-educated workforce and early compliance with EU legal frameworks (UNCTAD, 2022). Romania, on the other hand, attracted lower levels of FDI in the early years due to institutional weaknesses, slow reforms and higher corruption risk (</w:t>
      </w:r>
      <w:proofErr w:type="spellStart"/>
      <w:r w:rsidRPr="00B82603">
        <w:rPr>
          <w:rFonts w:ascii="Arial" w:eastAsia="Times New Roman" w:hAnsi="Arial" w:cs="Arial"/>
          <w:kern w:val="0"/>
          <w:sz w:val="22"/>
          <w:szCs w:val="22"/>
          <w:lang w:eastAsia="en-GB"/>
          <w14:ligatures w14:val="none"/>
        </w:rPr>
        <w:t>Babecky</w:t>
      </w:r>
      <w:proofErr w:type="spellEnd"/>
      <w:r w:rsidRPr="00B82603">
        <w:rPr>
          <w:rFonts w:ascii="Arial" w:eastAsia="Times New Roman" w:hAnsi="Arial" w:cs="Arial"/>
          <w:kern w:val="0"/>
          <w:sz w:val="22"/>
          <w:szCs w:val="22"/>
          <w:lang w:eastAsia="en-GB"/>
          <w14:ligatures w14:val="none"/>
        </w:rPr>
        <w:t xml:space="preserve"> &amp; Havránek, 2014; Transparency International, 2023).</w:t>
      </w:r>
    </w:p>
    <w:p w14:paraId="28A3BE87" w14:textId="126FA083" w:rsidR="007C353E" w:rsidRPr="00B82603" w:rsidRDefault="001B08C5" w:rsidP="001B08C5">
      <w:pPr>
        <w:pStyle w:val="Heading3"/>
        <w:rPr>
          <w:rFonts w:ascii="Arial" w:eastAsia="Times New Roman" w:hAnsi="Arial" w:cs="Arial"/>
          <w:b/>
          <w:bCs/>
          <w:color w:val="auto"/>
          <w:sz w:val="22"/>
          <w:szCs w:val="22"/>
          <w:lang w:eastAsia="en-GB"/>
        </w:rPr>
      </w:pPr>
      <w:bookmarkStart w:id="10" w:name="_Toc204167115"/>
      <w:r w:rsidRPr="00B82603">
        <w:rPr>
          <w:rFonts w:ascii="Arial" w:eastAsia="Times New Roman" w:hAnsi="Arial" w:cs="Arial"/>
          <w:b/>
          <w:bCs/>
          <w:color w:val="auto"/>
          <w:sz w:val="22"/>
          <w:szCs w:val="22"/>
          <w:lang w:eastAsia="en-GB"/>
        </w:rPr>
        <w:t xml:space="preserve">2.2.2 </w:t>
      </w:r>
      <w:r w:rsidR="007C353E" w:rsidRPr="00B82603">
        <w:rPr>
          <w:rFonts w:ascii="Arial" w:eastAsia="Times New Roman" w:hAnsi="Arial" w:cs="Arial"/>
          <w:b/>
          <w:bCs/>
          <w:color w:val="auto"/>
          <w:sz w:val="22"/>
          <w:szCs w:val="22"/>
          <w:lang w:eastAsia="en-GB"/>
        </w:rPr>
        <w:t>Comparative FDI Trends</w:t>
      </w:r>
      <w:bookmarkEnd w:id="10"/>
    </w:p>
    <w:p w14:paraId="2CD10C92" w14:textId="77777777"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received around €10–14 billion in annual FDI in the decade following accession, with much of it focused on manufacturing, automotive, and IT services (OECD, 2020).</w:t>
      </w:r>
    </w:p>
    <w:p w14:paraId="6ADC1A79" w14:textId="4424D08D"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Romania, although attracting FDI, saw less volume and greater volatility and struggled to retain long-term investors due to unpredictability in governance and legal enforcement (World Bank, 2021).</w:t>
      </w:r>
    </w:p>
    <w:p w14:paraId="18F08135" w14:textId="77777777" w:rsidR="007C353E"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 result is that FDI-led industrial development in Poland was far more consistent and strategically aligned with national growth goals than in Romania, where reliance on short-term investments and labour outsourcing has limited long-term sectoral upgrading (EBRD, 2022).</w:t>
      </w:r>
    </w:p>
    <w:p w14:paraId="3899A506" w14:textId="5A9EEE3E" w:rsidR="002B746B" w:rsidRPr="00B82603" w:rsidRDefault="002B746B" w:rsidP="00327D03">
      <w:pPr>
        <w:spacing w:line="360" w:lineRule="auto"/>
        <w:rPr>
          <w:rFonts w:ascii="Arial" w:eastAsia="Times New Roman" w:hAnsi="Arial" w:cs="Arial"/>
          <w:kern w:val="0"/>
          <w:sz w:val="22"/>
          <w:szCs w:val="22"/>
          <w:lang w:eastAsia="en-GB"/>
          <w14:ligatures w14:val="none"/>
        </w:rPr>
      </w:pPr>
      <w:r w:rsidRPr="002B746B">
        <w:rPr>
          <w:rFonts w:ascii="Arial" w:eastAsia="Times New Roman" w:hAnsi="Arial" w:cs="Arial"/>
          <w:noProof/>
          <w:kern w:val="0"/>
          <w:sz w:val="22"/>
          <w:szCs w:val="22"/>
          <w:lang w:eastAsia="en-GB"/>
          <w14:ligatures w14:val="none"/>
        </w:rPr>
        <w:drawing>
          <wp:inline distT="0" distB="0" distL="0" distR="0" wp14:anchorId="36807D8E" wp14:editId="1E26A17C">
            <wp:extent cx="5731510" cy="2843530"/>
            <wp:effectExtent l="0" t="0" r="2540" b="0"/>
            <wp:docPr id="1782572028" name="Picture 4" descr="A graph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572028" name="Picture 4" descr="A graph with orange line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43530"/>
                    </a:xfrm>
                    <a:prstGeom prst="rect">
                      <a:avLst/>
                    </a:prstGeom>
                    <a:noFill/>
                    <a:ln>
                      <a:noFill/>
                    </a:ln>
                  </pic:spPr>
                </pic:pic>
              </a:graphicData>
            </a:graphic>
          </wp:inline>
        </w:drawing>
      </w:r>
    </w:p>
    <w:p w14:paraId="5D997B6F" w14:textId="3EBF85D2" w:rsidR="007C353E" w:rsidRPr="00B82603" w:rsidRDefault="001B08C5" w:rsidP="001B08C5">
      <w:pPr>
        <w:pStyle w:val="Heading3"/>
        <w:rPr>
          <w:rFonts w:ascii="Arial" w:eastAsia="Times New Roman" w:hAnsi="Arial" w:cs="Arial"/>
          <w:b/>
          <w:bCs/>
          <w:sz w:val="22"/>
          <w:szCs w:val="22"/>
          <w:lang w:eastAsia="en-GB"/>
        </w:rPr>
      </w:pPr>
      <w:bookmarkStart w:id="11" w:name="_Toc204167116"/>
      <w:r w:rsidRPr="00B82603">
        <w:rPr>
          <w:rFonts w:ascii="Arial" w:eastAsia="Times New Roman" w:hAnsi="Arial" w:cs="Arial"/>
          <w:b/>
          <w:bCs/>
          <w:color w:val="auto"/>
          <w:sz w:val="22"/>
          <w:szCs w:val="22"/>
          <w:lang w:eastAsia="en-GB"/>
        </w:rPr>
        <w:lastRenderedPageBreak/>
        <w:t xml:space="preserve">2.2.3 </w:t>
      </w:r>
      <w:r w:rsidR="007C353E" w:rsidRPr="00B82603">
        <w:rPr>
          <w:rFonts w:ascii="Arial" w:eastAsia="Times New Roman" w:hAnsi="Arial" w:cs="Arial"/>
          <w:b/>
          <w:bCs/>
          <w:color w:val="auto"/>
          <w:sz w:val="22"/>
          <w:szCs w:val="22"/>
          <w:lang w:eastAsia="en-GB"/>
        </w:rPr>
        <w:t>Cascade Theory and Technology Spillovers</w:t>
      </w:r>
      <w:bookmarkEnd w:id="11"/>
    </w:p>
    <w:p w14:paraId="64213F78" w14:textId="601EA85F"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Cascade Theory (Vernon, 1966) offers a useful lens to explain how economic development spreads from core to peripheral countries. In the EU context, countries like Germany, France and the Netherlands serve as innovation hubs, while newer members (such as Poland and Romania) become receivers of capital, skills and supply chain linkages. However, the effectiveness of this cascade depends heavily on a country’s ability to absorb, retain and scale these inputs.</w:t>
      </w:r>
    </w:p>
    <w:p w14:paraId="6A8CB8E1" w14:textId="132E2B9E"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has succeeded in converting inward investment into long-term spillovers, fostering local supplier networks, innovation ecosystems and higher value-added production (McDonald, 2014). Romania has faced more difficulty in transforming initial investment into structural upgrades, often remaining in lower-cost assembly or subcontracting roles, particularly in sectors like textiles and basic electronics (Kovacs, 2019).</w:t>
      </w:r>
    </w:p>
    <w:p w14:paraId="339D8B39" w14:textId="77777777" w:rsidR="007C353E" w:rsidRPr="00B82603" w:rsidRDefault="007C353E" w:rsidP="00327D03">
      <w:pPr>
        <w:spacing w:line="360" w:lineRule="auto"/>
        <w:rPr>
          <w:rFonts w:ascii="Arial" w:eastAsia="Times New Roman" w:hAnsi="Arial" w:cs="Arial"/>
          <w:b/>
          <w:bCs/>
          <w:kern w:val="0"/>
          <w:sz w:val="22"/>
          <w:szCs w:val="22"/>
          <w:lang w:eastAsia="en-GB"/>
          <w14:ligatures w14:val="none"/>
        </w:rPr>
      </w:pPr>
      <w:r w:rsidRPr="00B82603">
        <w:rPr>
          <w:rFonts w:ascii="Arial" w:eastAsia="Times New Roman" w:hAnsi="Arial" w:cs="Arial"/>
          <w:b/>
          <w:bCs/>
          <w:kern w:val="0"/>
          <w:sz w:val="22"/>
          <w:szCs w:val="22"/>
          <w:lang w:eastAsia="en-GB"/>
          <w14:ligatures w14:val="none"/>
        </w:rPr>
        <w:t>Economic Structures and Absorptive Capacity</w:t>
      </w:r>
    </w:p>
    <w:p w14:paraId="3DF2CA5F" w14:textId="51E57CDB"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The absorptive capacity of a country </w:t>
      </w:r>
      <w:r w:rsidR="00B85280"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its ability to learn from and implement new technologies and practices </w:t>
      </w:r>
      <w:r w:rsidR="00B85280"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is shaped by education levels, governance and infrastructure. Poland’s relative advantage in these areas has allowed it to make more effective use of EU funding and FDI. Romania’s lower absorptive capacity, linked to inconsistent reforms and public sector inefficiency, has been a bottleneck in replicating Poland’s growth model (Buch, 2017).</w:t>
      </w:r>
    </w:p>
    <w:p w14:paraId="3773194C" w14:textId="77777777" w:rsidR="0077340D" w:rsidRPr="00B82603" w:rsidRDefault="0077340D" w:rsidP="00327D03">
      <w:pPr>
        <w:pStyle w:val="Heading2"/>
        <w:spacing w:line="360" w:lineRule="auto"/>
        <w:rPr>
          <w:rFonts w:ascii="Arial" w:eastAsia="Times New Roman" w:hAnsi="Arial" w:cs="Arial"/>
          <w:b/>
          <w:bCs/>
          <w:color w:val="auto"/>
          <w:sz w:val="22"/>
          <w:szCs w:val="22"/>
          <w:lang w:eastAsia="en-GB"/>
        </w:rPr>
      </w:pPr>
      <w:bookmarkStart w:id="12" w:name="_Toc204167117"/>
      <w:r w:rsidRPr="00B82603">
        <w:rPr>
          <w:rFonts w:ascii="Arial" w:eastAsia="Times New Roman" w:hAnsi="Arial" w:cs="Arial"/>
          <w:b/>
          <w:bCs/>
          <w:color w:val="auto"/>
          <w:sz w:val="22"/>
          <w:szCs w:val="22"/>
          <w:lang w:eastAsia="en-GB"/>
        </w:rPr>
        <w:t>2.3 Political and Institutional Transformation</w:t>
      </w:r>
      <w:bookmarkEnd w:id="12"/>
    </w:p>
    <w:p w14:paraId="559E5C7D" w14:textId="77777777"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Political stability and the quality of governance play critical roles in post-accession development. According to Transparency International (2023), Poland consistently ranks better than Romania in perceived corruption, with Romania frequently criticised for politicised institutions and judicial inefficiencies.</w:t>
      </w:r>
    </w:p>
    <w:p w14:paraId="374F061F" w14:textId="77777777"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EU conditionality mechanisms such as the Cooperation and Verification Mechanism (CVM) were applied to Romania but not to Poland, underlining the EU’s concerns with rule-of-law progress. These mechanisms highlight how internal politics affect EU-driven reforms (Hughes, 2013).</w:t>
      </w:r>
    </w:p>
    <w:p w14:paraId="4569AB04" w14:textId="52DC7637"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also invested early in decentralisation, giving local governments control over EU funds. Romania, however, has faced challenges in absorbing EU structural funds effectively, particularly in rural and infrastructure development (Kovacs, 2019).</w:t>
      </w:r>
    </w:p>
    <w:p w14:paraId="01D29F2F" w14:textId="77777777" w:rsidR="0077340D" w:rsidRPr="00B82603" w:rsidRDefault="0077340D" w:rsidP="00327D03">
      <w:pPr>
        <w:pStyle w:val="Heading2"/>
        <w:spacing w:line="360" w:lineRule="auto"/>
        <w:rPr>
          <w:rFonts w:ascii="Arial" w:eastAsia="Times New Roman" w:hAnsi="Arial" w:cs="Arial"/>
          <w:b/>
          <w:bCs/>
          <w:color w:val="auto"/>
          <w:sz w:val="22"/>
          <w:szCs w:val="22"/>
          <w:lang w:eastAsia="en-GB"/>
        </w:rPr>
      </w:pPr>
      <w:bookmarkStart w:id="13" w:name="_Toc204167118"/>
      <w:r w:rsidRPr="00B82603">
        <w:rPr>
          <w:rFonts w:ascii="Arial" w:eastAsia="Times New Roman" w:hAnsi="Arial" w:cs="Arial"/>
          <w:b/>
          <w:bCs/>
          <w:color w:val="auto"/>
          <w:sz w:val="22"/>
          <w:szCs w:val="22"/>
          <w:lang w:eastAsia="en-GB"/>
        </w:rPr>
        <w:lastRenderedPageBreak/>
        <w:t>2.4 Cultural Influences Using Hofstede’s Dimensions</w:t>
      </w:r>
      <w:bookmarkEnd w:id="13"/>
    </w:p>
    <w:p w14:paraId="45132667" w14:textId="77777777" w:rsidR="009F05FB"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Geert Hofstede’s cultural dimensions theory helps explain behavioural and organisational differences between countries. </w:t>
      </w:r>
    </w:p>
    <w:p w14:paraId="62273B2E" w14:textId="77777777" w:rsidR="009F05FB" w:rsidRDefault="009F05FB" w:rsidP="00327D03">
      <w:pPr>
        <w:spacing w:line="360" w:lineRule="auto"/>
        <w:rPr>
          <w:rFonts w:ascii="Arial" w:eastAsia="Times New Roman" w:hAnsi="Arial" w:cs="Arial"/>
          <w:kern w:val="0"/>
          <w:sz w:val="22"/>
          <w:szCs w:val="22"/>
          <w:lang w:eastAsia="en-GB"/>
          <w14:ligatures w14:val="none"/>
        </w:rPr>
      </w:pPr>
    </w:p>
    <w:p w14:paraId="6CC4418C" w14:textId="77777777" w:rsidR="009F05FB" w:rsidRDefault="009F05FB" w:rsidP="00327D03">
      <w:pPr>
        <w:spacing w:line="360" w:lineRule="auto"/>
        <w:rPr>
          <w:rFonts w:ascii="Arial" w:eastAsia="Times New Roman" w:hAnsi="Arial" w:cs="Arial"/>
          <w:kern w:val="0"/>
          <w:sz w:val="22"/>
          <w:szCs w:val="22"/>
          <w:lang w:eastAsia="en-GB"/>
          <w14:ligatures w14:val="none"/>
        </w:rPr>
      </w:pPr>
    </w:p>
    <w:p w14:paraId="474257A6" w14:textId="77777777" w:rsidR="009F05FB" w:rsidRDefault="009F05FB" w:rsidP="00327D03">
      <w:pPr>
        <w:spacing w:line="360" w:lineRule="auto"/>
        <w:rPr>
          <w:rFonts w:ascii="Arial" w:eastAsia="Times New Roman" w:hAnsi="Arial" w:cs="Arial"/>
          <w:kern w:val="0"/>
          <w:sz w:val="22"/>
          <w:szCs w:val="22"/>
          <w:lang w:eastAsia="en-GB"/>
          <w14:ligatures w14:val="none"/>
        </w:rPr>
      </w:pPr>
    </w:p>
    <w:p w14:paraId="083182AD" w14:textId="401380D6"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For instance:</w:t>
      </w:r>
    </w:p>
    <w:tbl>
      <w:tblPr>
        <w:tblW w:w="8721" w:type="dxa"/>
        <w:tblLook w:val="04A0" w:firstRow="1" w:lastRow="0" w:firstColumn="1" w:lastColumn="0" w:noHBand="0" w:noVBand="1"/>
      </w:tblPr>
      <w:tblGrid>
        <w:gridCol w:w="4423"/>
        <w:gridCol w:w="2234"/>
        <w:gridCol w:w="2064"/>
      </w:tblGrid>
      <w:tr w:rsidR="00F84796" w:rsidRPr="00B82603" w14:paraId="3A68872E" w14:textId="77777777" w:rsidTr="00F84796">
        <w:trPr>
          <w:trHeight w:val="291"/>
        </w:trPr>
        <w:tc>
          <w:tcPr>
            <w:tcW w:w="4423" w:type="dxa"/>
            <w:tcBorders>
              <w:top w:val="single" w:sz="8" w:space="0" w:color="auto"/>
              <w:left w:val="single" w:sz="8" w:space="0" w:color="auto"/>
              <w:bottom w:val="single" w:sz="8" w:space="0" w:color="auto"/>
              <w:right w:val="single" w:sz="4" w:space="0" w:color="auto"/>
            </w:tcBorders>
            <w:noWrap/>
            <w:vAlign w:val="center"/>
            <w:hideMark/>
          </w:tcPr>
          <w:p w14:paraId="3C41D2A1" w14:textId="77777777" w:rsidR="00F84796" w:rsidRPr="00B82603" w:rsidRDefault="00F84796" w:rsidP="00F84796">
            <w:pPr>
              <w:spacing w:after="0" w:line="240" w:lineRule="auto"/>
              <w:jc w:val="center"/>
              <w:rPr>
                <w:rFonts w:ascii="Arial" w:eastAsia="Times New Roman" w:hAnsi="Arial" w:cs="Arial"/>
                <w:b/>
                <w:bCs/>
                <w:color w:val="000000"/>
                <w:kern w:val="0"/>
                <w:sz w:val="22"/>
                <w:szCs w:val="22"/>
                <w:lang w:eastAsia="en-GB"/>
                <w14:ligatures w14:val="none"/>
              </w:rPr>
            </w:pPr>
            <w:r w:rsidRPr="00B82603">
              <w:rPr>
                <w:rFonts w:ascii="Arial" w:eastAsia="Times New Roman" w:hAnsi="Arial" w:cs="Arial"/>
                <w:b/>
                <w:bCs/>
                <w:color w:val="000000"/>
                <w:kern w:val="0"/>
                <w:sz w:val="22"/>
                <w:szCs w:val="22"/>
                <w:lang w:eastAsia="en-GB"/>
                <w14:ligatures w14:val="none"/>
              </w:rPr>
              <w:t>Dimension</w:t>
            </w:r>
          </w:p>
        </w:tc>
        <w:tc>
          <w:tcPr>
            <w:tcW w:w="2234" w:type="dxa"/>
            <w:tcBorders>
              <w:top w:val="single" w:sz="8" w:space="0" w:color="auto"/>
              <w:left w:val="nil"/>
              <w:bottom w:val="single" w:sz="8" w:space="0" w:color="auto"/>
              <w:right w:val="single" w:sz="4" w:space="0" w:color="auto"/>
            </w:tcBorders>
            <w:noWrap/>
            <w:vAlign w:val="center"/>
            <w:hideMark/>
          </w:tcPr>
          <w:p w14:paraId="443A3245" w14:textId="77777777" w:rsidR="00F84796" w:rsidRPr="00B82603" w:rsidRDefault="00F84796" w:rsidP="00F84796">
            <w:pPr>
              <w:spacing w:after="0" w:line="240" w:lineRule="auto"/>
              <w:jc w:val="center"/>
              <w:rPr>
                <w:rFonts w:ascii="Arial" w:eastAsia="Times New Roman" w:hAnsi="Arial" w:cs="Arial"/>
                <w:b/>
                <w:bCs/>
                <w:color w:val="000000"/>
                <w:kern w:val="0"/>
                <w:sz w:val="22"/>
                <w:szCs w:val="22"/>
                <w:lang w:eastAsia="en-GB"/>
                <w14:ligatures w14:val="none"/>
              </w:rPr>
            </w:pPr>
            <w:r w:rsidRPr="00B82603">
              <w:rPr>
                <w:rFonts w:ascii="Arial" w:eastAsia="Times New Roman" w:hAnsi="Arial" w:cs="Arial"/>
                <w:b/>
                <w:bCs/>
                <w:color w:val="000000"/>
                <w:kern w:val="0"/>
                <w:sz w:val="22"/>
                <w:szCs w:val="22"/>
                <w:lang w:eastAsia="en-GB"/>
                <w14:ligatures w14:val="none"/>
              </w:rPr>
              <w:t>Poland</w:t>
            </w:r>
          </w:p>
        </w:tc>
        <w:tc>
          <w:tcPr>
            <w:tcW w:w="2064" w:type="dxa"/>
            <w:tcBorders>
              <w:top w:val="single" w:sz="8" w:space="0" w:color="auto"/>
              <w:left w:val="nil"/>
              <w:bottom w:val="single" w:sz="8" w:space="0" w:color="auto"/>
              <w:right w:val="single" w:sz="8" w:space="0" w:color="auto"/>
            </w:tcBorders>
            <w:noWrap/>
            <w:vAlign w:val="center"/>
            <w:hideMark/>
          </w:tcPr>
          <w:p w14:paraId="07A75B5C" w14:textId="77777777" w:rsidR="00F84796" w:rsidRPr="00B82603" w:rsidRDefault="00F84796" w:rsidP="00F84796">
            <w:pPr>
              <w:spacing w:after="0" w:line="240" w:lineRule="auto"/>
              <w:jc w:val="center"/>
              <w:rPr>
                <w:rFonts w:ascii="Arial" w:eastAsia="Times New Roman" w:hAnsi="Arial" w:cs="Arial"/>
                <w:b/>
                <w:bCs/>
                <w:color w:val="000000"/>
                <w:kern w:val="0"/>
                <w:sz w:val="22"/>
                <w:szCs w:val="22"/>
                <w:lang w:eastAsia="en-GB"/>
                <w14:ligatures w14:val="none"/>
              </w:rPr>
            </w:pPr>
            <w:r w:rsidRPr="00B82603">
              <w:rPr>
                <w:rFonts w:ascii="Arial" w:eastAsia="Times New Roman" w:hAnsi="Arial" w:cs="Arial"/>
                <w:b/>
                <w:bCs/>
                <w:color w:val="000000"/>
                <w:kern w:val="0"/>
                <w:sz w:val="22"/>
                <w:szCs w:val="22"/>
                <w:lang w:eastAsia="en-GB"/>
                <w14:ligatures w14:val="none"/>
              </w:rPr>
              <w:t>Romania</w:t>
            </w:r>
          </w:p>
        </w:tc>
      </w:tr>
      <w:tr w:rsidR="00F84796" w:rsidRPr="00B82603" w14:paraId="3E230F3A" w14:textId="77777777" w:rsidTr="00F84796">
        <w:trPr>
          <w:trHeight w:val="282"/>
        </w:trPr>
        <w:tc>
          <w:tcPr>
            <w:tcW w:w="4423" w:type="dxa"/>
            <w:tcBorders>
              <w:top w:val="nil"/>
              <w:left w:val="single" w:sz="8" w:space="0" w:color="auto"/>
              <w:bottom w:val="single" w:sz="4" w:space="0" w:color="auto"/>
              <w:right w:val="single" w:sz="4" w:space="0" w:color="auto"/>
            </w:tcBorders>
            <w:noWrap/>
            <w:vAlign w:val="center"/>
            <w:hideMark/>
          </w:tcPr>
          <w:p w14:paraId="5716B05F"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Power Distance</w:t>
            </w:r>
          </w:p>
        </w:tc>
        <w:tc>
          <w:tcPr>
            <w:tcW w:w="2234" w:type="dxa"/>
            <w:tcBorders>
              <w:top w:val="nil"/>
              <w:left w:val="nil"/>
              <w:bottom w:val="single" w:sz="4" w:space="0" w:color="auto"/>
              <w:right w:val="single" w:sz="4" w:space="0" w:color="auto"/>
            </w:tcBorders>
            <w:noWrap/>
            <w:vAlign w:val="center"/>
            <w:hideMark/>
          </w:tcPr>
          <w:p w14:paraId="1C79235A"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High</w:t>
            </w:r>
          </w:p>
        </w:tc>
        <w:tc>
          <w:tcPr>
            <w:tcW w:w="2064" w:type="dxa"/>
            <w:tcBorders>
              <w:top w:val="nil"/>
              <w:left w:val="nil"/>
              <w:bottom w:val="single" w:sz="4" w:space="0" w:color="auto"/>
              <w:right w:val="single" w:sz="8" w:space="0" w:color="auto"/>
            </w:tcBorders>
            <w:noWrap/>
            <w:vAlign w:val="center"/>
            <w:hideMark/>
          </w:tcPr>
          <w:p w14:paraId="6E4DEA51"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Very High</w:t>
            </w:r>
          </w:p>
        </w:tc>
      </w:tr>
      <w:tr w:rsidR="00F84796" w:rsidRPr="00B82603" w14:paraId="5DEE42E2" w14:textId="77777777" w:rsidTr="00F84796">
        <w:trPr>
          <w:trHeight w:val="282"/>
        </w:trPr>
        <w:tc>
          <w:tcPr>
            <w:tcW w:w="4423" w:type="dxa"/>
            <w:tcBorders>
              <w:top w:val="nil"/>
              <w:left w:val="single" w:sz="8" w:space="0" w:color="auto"/>
              <w:bottom w:val="single" w:sz="4" w:space="0" w:color="auto"/>
              <w:right w:val="single" w:sz="4" w:space="0" w:color="auto"/>
            </w:tcBorders>
            <w:noWrap/>
            <w:vAlign w:val="center"/>
            <w:hideMark/>
          </w:tcPr>
          <w:p w14:paraId="620BE9D4"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Individualism</w:t>
            </w:r>
          </w:p>
        </w:tc>
        <w:tc>
          <w:tcPr>
            <w:tcW w:w="2234" w:type="dxa"/>
            <w:tcBorders>
              <w:top w:val="nil"/>
              <w:left w:val="nil"/>
              <w:bottom w:val="single" w:sz="4" w:space="0" w:color="auto"/>
              <w:right w:val="single" w:sz="4" w:space="0" w:color="auto"/>
            </w:tcBorders>
            <w:noWrap/>
            <w:vAlign w:val="center"/>
            <w:hideMark/>
          </w:tcPr>
          <w:p w14:paraId="7E1647F9"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Moderate</w:t>
            </w:r>
          </w:p>
        </w:tc>
        <w:tc>
          <w:tcPr>
            <w:tcW w:w="2064" w:type="dxa"/>
            <w:tcBorders>
              <w:top w:val="nil"/>
              <w:left w:val="nil"/>
              <w:bottom w:val="single" w:sz="4" w:space="0" w:color="auto"/>
              <w:right w:val="single" w:sz="8" w:space="0" w:color="auto"/>
            </w:tcBorders>
            <w:noWrap/>
            <w:vAlign w:val="center"/>
            <w:hideMark/>
          </w:tcPr>
          <w:p w14:paraId="37D4131E"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Low</w:t>
            </w:r>
          </w:p>
        </w:tc>
      </w:tr>
      <w:tr w:rsidR="00F84796" w:rsidRPr="00B82603" w14:paraId="4FFEB87F" w14:textId="77777777" w:rsidTr="00F84796">
        <w:trPr>
          <w:trHeight w:val="282"/>
        </w:trPr>
        <w:tc>
          <w:tcPr>
            <w:tcW w:w="4423" w:type="dxa"/>
            <w:tcBorders>
              <w:top w:val="nil"/>
              <w:left w:val="single" w:sz="8" w:space="0" w:color="auto"/>
              <w:bottom w:val="single" w:sz="4" w:space="0" w:color="auto"/>
              <w:right w:val="single" w:sz="4" w:space="0" w:color="auto"/>
            </w:tcBorders>
            <w:noWrap/>
            <w:vAlign w:val="center"/>
            <w:hideMark/>
          </w:tcPr>
          <w:p w14:paraId="1888C1E7"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Uncertainty Avoidance</w:t>
            </w:r>
          </w:p>
        </w:tc>
        <w:tc>
          <w:tcPr>
            <w:tcW w:w="2234" w:type="dxa"/>
            <w:tcBorders>
              <w:top w:val="nil"/>
              <w:left w:val="nil"/>
              <w:bottom w:val="single" w:sz="4" w:space="0" w:color="auto"/>
              <w:right w:val="single" w:sz="4" w:space="0" w:color="auto"/>
            </w:tcBorders>
            <w:noWrap/>
            <w:vAlign w:val="center"/>
            <w:hideMark/>
          </w:tcPr>
          <w:p w14:paraId="518380AD"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High</w:t>
            </w:r>
          </w:p>
        </w:tc>
        <w:tc>
          <w:tcPr>
            <w:tcW w:w="2064" w:type="dxa"/>
            <w:tcBorders>
              <w:top w:val="nil"/>
              <w:left w:val="nil"/>
              <w:bottom w:val="single" w:sz="4" w:space="0" w:color="auto"/>
              <w:right w:val="single" w:sz="8" w:space="0" w:color="auto"/>
            </w:tcBorders>
            <w:noWrap/>
            <w:vAlign w:val="center"/>
            <w:hideMark/>
          </w:tcPr>
          <w:p w14:paraId="3CEC4ACF"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High</w:t>
            </w:r>
          </w:p>
        </w:tc>
      </w:tr>
      <w:tr w:rsidR="00F84796" w:rsidRPr="00B82603" w14:paraId="119DE5AC" w14:textId="77777777" w:rsidTr="00F84796">
        <w:trPr>
          <w:trHeight w:val="282"/>
        </w:trPr>
        <w:tc>
          <w:tcPr>
            <w:tcW w:w="4423" w:type="dxa"/>
            <w:tcBorders>
              <w:top w:val="nil"/>
              <w:left w:val="single" w:sz="8" w:space="0" w:color="auto"/>
              <w:bottom w:val="single" w:sz="4" w:space="0" w:color="auto"/>
              <w:right w:val="single" w:sz="4" w:space="0" w:color="auto"/>
            </w:tcBorders>
            <w:noWrap/>
            <w:vAlign w:val="center"/>
            <w:hideMark/>
          </w:tcPr>
          <w:p w14:paraId="79F8BD0B"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Masculinity</w:t>
            </w:r>
          </w:p>
        </w:tc>
        <w:tc>
          <w:tcPr>
            <w:tcW w:w="2234" w:type="dxa"/>
            <w:tcBorders>
              <w:top w:val="nil"/>
              <w:left w:val="nil"/>
              <w:bottom w:val="single" w:sz="4" w:space="0" w:color="auto"/>
              <w:right w:val="single" w:sz="4" w:space="0" w:color="auto"/>
            </w:tcBorders>
            <w:noWrap/>
            <w:vAlign w:val="center"/>
            <w:hideMark/>
          </w:tcPr>
          <w:p w14:paraId="56795830"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Moderate</w:t>
            </w:r>
          </w:p>
        </w:tc>
        <w:tc>
          <w:tcPr>
            <w:tcW w:w="2064" w:type="dxa"/>
            <w:tcBorders>
              <w:top w:val="nil"/>
              <w:left w:val="nil"/>
              <w:bottom w:val="single" w:sz="4" w:space="0" w:color="auto"/>
              <w:right w:val="single" w:sz="8" w:space="0" w:color="auto"/>
            </w:tcBorders>
            <w:noWrap/>
            <w:vAlign w:val="center"/>
            <w:hideMark/>
          </w:tcPr>
          <w:p w14:paraId="083919C2"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High</w:t>
            </w:r>
          </w:p>
        </w:tc>
      </w:tr>
      <w:tr w:rsidR="00F84796" w:rsidRPr="00B82603" w14:paraId="71A489BD" w14:textId="77777777" w:rsidTr="00F84796">
        <w:trPr>
          <w:trHeight w:val="291"/>
        </w:trPr>
        <w:tc>
          <w:tcPr>
            <w:tcW w:w="4423" w:type="dxa"/>
            <w:tcBorders>
              <w:top w:val="nil"/>
              <w:left w:val="single" w:sz="8" w:space="0" w:color="auto"/>
              <w:bottom w:val="single" w:sz="8" w:space="0" w:color="auto"/>
              <w:right w:val="single" w:sz="4" w:space="0" w:color="auto"/>
            </w:tcBorders>
            <w:noWrap/>
            <w:vAlign w:val="center"/>
            <w:hideMark/>
          </w:tcPr>
          <w:p w14:paraId="7180A1D1"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Long-Term Orientation</w:t>
            </w:r>
          </w:p>
        </w:tc>
        <w:tc>
          <w:tcPr>
            <w:tcW w:w="2234" w:type="dxa"/>
            <w:tcBorders>
              <w:top w:val="nil"/>
              <w:left w:val="nil"/>
              <w:bottom w:val="single" w:sz="8" w:space="0" w:color="auto"/>
              <w:right w:val="single" w:sz="4" w:space="0" w:color="auto"/>
            </w:tcBorders>
            <w:noWrap/>
            <w:vAlign w:val="center"/>
            <w:hideMark/>
          </w:tcPr>
          <w:p w14:paraId="6ECCC0D0"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Low</w:t>
            </w:r>
          </w:p>
        </w:tc>
        <w:tc>
          <w:tcPr>
            <w:tcW w:w="2064" w:type="dxa"/>
            <w:tcBorders>
              <w:top w:val="nil"/>
              <w:left w:val="nil"/>
              <w:bottom w:val="single" w:sz="8" w:space="0" w:color="auto"/>
              <w:right w:val="single" w:sz="8" w:space="0" w:color="auto"/>
            </w:tcBorders>
            <w:noWrap/>
            <w:vAlign w:val="center"/>
            <w:hideMark/>
          </w:tcPr>
          <w:p w14:paraId="400DEF5D"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Low</w:t>
            </w:r>
          </w:p>
        </w:tc>
      </w:tr>
    </w:tbl>
    <w:p w14:paraId="2D895051" w14:textId="77777777" w:rsidR="00064F80" w:rsidRDefault="00064F80" w:rsidP="00327D03">
      <w:pPr>
        <w:spacing w:line="360" w:lineRule="auto"/>
        <w:rPr>
          <w:rFonts w:ascii="Arial" w:eastAsia="Times New Roman" w:hAnsi="Arial" w:cs="Arial"/>
          <w:kern w:val="0"/>
          <w:sz w:val="22"/>
          <w:szCs w:val="22"/>
          <w:lang w:eastAsia="en-GB"/>
          <w14:ligatures w14:val="none"/>
        </w:rPr>
      </w:pPr>
    </w:p>
    <w:p w14:paraId="3C38F4F2" w14:textId="7A1FB5AB"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These cultural dimensions affect policy implementation, innovation, and organisational behaviour. High power distance and low individualism in Romania may contribute to less initiative-taking in institutions and businesses, whereas Poland’s slightly more individualistic and participatory culture fosters innovation (Hofstede Insights, 2024).</w:t>
      </w:r>
    </w:p>
    <w:p w14:paraId="7019B623" w14:textId="77777777" w:rsidR="0077340D" w:rsidRPr="00B82603" w:rsidRDefault="0077340D" w:rsidP="00327D03">
      <w:pPr>
        <w:pStyle w:val="Heading2"/>
        <w:spacing w:line="360" w:lineRule="auto"/>
        <w:rPr>
          <w:rFonts w:ascii="Arial" w:eastAsia="Times New Roman" w:hAnsi="Arial" w:cs="Arial"/>
          <w:b/>
          <w:bCs/>
          <w:color w:val="auto"/>
          <w:sz w:val="22"/>
          <w:szCs w:val="22"/>
          <w:lang w:eastAsia="en-GB"/>
        </w:rPr>
      </w:pPr>
      <w:bookmarkStart w:id="14" w:name="_Toc204167119"/>
      <w:r w:rsidRPr="00B82603">
        <w:rPr>
          <w:rFonts w:ascii="Arial" w:eastAsia="Times New Roman" w:hAnsi="Arial" w:cs="Arial"/>
          <w:b/>
          <w:bCs/>
          <w:color w:val="auto"/>
          <w:sz w:val="22"/>
          <w:szCs w:val="22"/>
          <w:lang w:eastAsia="en-GB"/>
        </w:rPr>
        <w:t>2.5 Sectoral Development in Poland and Romania</w:t>
      </w:r>
      <w:bookmarkEnd w:id="14"/>
    </w:p>
    <w:p w14:paraId="283CD15C" w14:textId="50525134" w:rsidR="00E4211A" w:rsidRPr="00B82603" w:rsidRDefault="00E4211A"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 xml:space="preserve">Poland </w:t>
      </w:r>
      <w:r w:rsidR="001A04A3" w:rsidRPr="00B82603">
        <w:rPr>
          <w:rFonts w:ascii="Arial" w:eastAsia="Times New Roman" w:hAnsi="Arial" w:cs="Arial"/>
          <w:b/>
          <w:bCs/>
          <w:kern w:val="0"/>
          <w:sz w:val="22"/>
          <w:szCs w:val="22"/>
          <w:lang w:eastAsia="en-GB"/>
          <w14:ligatures w14:val="none"/>
        </w:rPr>
        <w:t xml:space="preserve">- </w:t>
      </w:r>
      <w:r w:rsidRPr="00B82603">
        <w:rPr>
          <w:rFonts w:ascii="Arial" w:eastAsia="Times New Roman" w:hAnsi="Arial" w:cs="Arial"/>
          <w:b/>
          <w:bCs/>
          <w:kern w:val="0"/>
          <w:sz w:val="22"/>
          <w:szCs w:val="22"/>
          <w:lang w:eastAsia="en-GB"/>
          <w14:ligatures w14:val="none"/>
        </w:rPr>
        <w:t>Thriving Sector</w:t>
      </w:r>
      <w:r w:rsidRPr="00B82603">
        <w:rPr>
          <w:rFonts w:ascii="Arial" w:eastAsia="Times New Roman" w:hAnsi="Arial" w:cs="Arial"/>
          <w:kern w:val="0"/>
          <w:sz w:val="22"/>
          <w:szCs w:val="22"/>
          <w:lang w:eastAsia="en-GB"/>
          <w14:ligatures w14:val="none"/>
        </w:rPr>
        <w:t>: Automotive Manufacturing</w:t>
      </w:r>
      <w:r w:rsidRPr="00B82603">
        <w:rPr>
          <w:rFonts w:ascii="Arial" w:eastAsia="Times New Roman" w:hAnsi="Arial" w:cs="Arial"/>
          <w:kern w:val="0"/>
          <w:sz w:val="22"/>
          <w:szCs w:val="22"/>
          <w:lang w:eastAsia="en-GB"/>
          <w14:ligatures w14:val="none"/>
        </w:rPr>
        <w:br/>
        <w:t>Backed by strong FDI from companies such as Volkswagen and Fiat, Poland has built a robust automotive industry. Strategic use of EU funds has strengthened its supply chains, infrastructure, and R&amp;D, positioning the country as a major manufacturing hub in Central Europe</w:t>
      </w:r>
      <w:r w:rsidR="00052EF1" w:rsidRPr="00B82603">
        <w:rPr>
          <w:rFonts w:ascii="Arial" w:eastAsia="Times New Roman" w:hAnsi="Arial" w:cs="Arial"/>
          <w:kern w:val="0"/>
          <w:sz w:val="22"/>
          <w:szCs w:val="22"/>
          <w:lang w:eastAsia="en-GB"/>
          <w14:ligatures w14:val="none"/>
        </w:rPr>
        <w:t xml:space="preserve"> (OECD, 2022).</w:t>
      </w:r>
    </w:p>
    <w:p w14:paraId="6D760D6E" w14:textId="2647BC5A"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 xml:space="preserve">Poland </w:t>
      </w:r>
      <w:r w:rsidR="001930BD" w:rsidRPr="00B82603">
        <w:rPr>
          <w:rFonts w:ascii="Arial" w:eastAsia="Times New Roman" w:hAnsi="Arial" w:cs="Arial"/>
          <w:b/>
          <w:bCs/>
          <w:kern w:val="0"/>
          <w:sz w:val="22"/>
          <w:szCs w:val="22"/>
          <w:lang w:eastAsia="en-GB"/>
          <w14:ligatures w14:val="none"/>
        </w:rPr>
        <w:t>-</w:t>
      </w:r>
      <w:r w:rsidRPr="00B82603">
        <w:rPr>
          <w:rFonts w:ascii="Arial" w:eastAsia="Times New Roman" w:hAnsi="Arial" w:cs="Arial"/>
          <w:b/>
          <w:bCs/>
          <w:kern w:val="0"/>
          <w:sz w:val="22"/>
          <w:szCs w:val="22"/>
          <w:lang w:eastAsia="en-GB"/>
          <w14:ligatures w14:val="none"/>
        </w:rPr>
        <w:t xml:space="preserve"> Struggling Sector</w:t>
      </w:r>
      <w:r w:rsidRPr="00B82603">
        <w:rPr>
          <w:rFonts w:ascii="Arial" w:eastAsia="Times New Roman" w:hAnsi="Arial" w:cs="Arial"/>
          <w:kern w:val="0"/>
          <w:sz w:val="22"/>
          <w:szCs w:val="22"/>
          <w:lang w:eastAsia="en-GB"/>
          <w14:ligatures w14:val="none"/>
        </w:rPr>
        <w:t>: Coal Mining</w:t>
      </w:r>
      <w:r w:rsidRPr="00B82603">
        <w:rPr>
          <w:rFonts w:ascii="Arial" w:eastAsia="Times New Roman" w:hAnsi="Arial" w:cs="Arial"/>
          <w:kern w:val="0"/>
          <w:sz w:val="22"/>
          <w:szCs w:val="22"/>
          <w:lang w:eastAsia="en-GB"/>
          <w14:ligatures w14:val="none"/>
        </w:rPr>
        <w:br/>
        <w:t>Despite EU pressure to decarbonise, Poland has struggled to reform its coal sector due to political resistance and social dependency on mining jobs.</w:t>
      </w:r>
    </w:p>
    <w:p w14:paraId="64EE1CCF" w14:textId="1F037397"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 xml:space="preserve">Romania </w:t>
      </w:r>
      <w:r w:rsidR="001930BD" w:rsidRPr="00B82603">
        <w:rPr>
          <w:rFonts w:ascii="Arial" w:eastAsia="Times New Roman" w:hAnsi="Arial" w:cs="Arial"/>
          <w:b/>
          <w:bCs/>
          <w:kern w:val="0"/>
          <w:sz w:val="22"/>
          <w:szCs w:val="22"/>
          <w:lang w:eastAsia="en-GB"/>
          <w14:ligatures w14:val="none"/>
        </w:rPr>
        <w:t>-</w:t>
      </w:r>
      <w:r w:rsidRPr="00B82603">
        <w:rPr>
          <w:rFonts w:ascii="Arial" w:eastAsia="Times New Roman" w:hAnsi="Arial" w:cs="Arial"/>
          <w:b/>
          <w:bCs/>
          <w:kern w:val="0"/>
          <w:sz w:val="22"/>
          <w:szCs w:val="22"/>
          <w:lang w:eastAsia="en-GB"/>
          <w14:ligatures w14:val="none"/>
        </w:rPr>
        <w:t xml:space="preserve"> Thriving Sector</w:t>
      </w:r>
      <w:r w:rsidRPr="00B82603">
        <w:rPr>
          <w:rFonts w:ascii="Arial" w:eastAsia="Times New Roman" w:hAnsi="Arial" w:cs="Arial"/>
          <w:kern w:val="0"/>
          <w:sz w:val="22"/>
          <w:szCs w:val="22"/>
          <w:lang w:eastAsia="en-GB"/>
          <w14:ligatures w14:val="none"/>
        </w:rPr>
        <w:t>: IT Services</w:t>
      </w:r>
      <w:r w:rsidRPr="00B82603">
        <w:rPr>
          <w:rFonts w:ascii="Arial" w:eastAsia="Times New Roman" w:hAnsi="Arial" w:cs="Arial"/>
          <w:kern w:val="0"/>
          <w:sz w:val="22"/>
          <w:szCs w:val="22"/>
          <w:lang w:eastAsia="en-GB"/>
          <w14:ligatures w14:val="none"/>
        </w:rPr>
        <w:br/>
        <w:t>Romania's tech talent and low costs attracted companies like Oracle and IBM. Cluj-Napoca and Bucharest are now recognised tech hubs. EU funds have also supported digital innovation and education (World Bank, 2021).</w:t>
      </w:r>
    </w:p>
    <w:p w14:paraId="7D608541" w14:textId="1C0A8B81" w:rsidR="001A1010"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lastRenderedPageBreak/>
        <w:t xml:space="preserve">Romania </w:t>
      </w:r>
      <w:r w:rsidR="001930BD" w:rsidRPr="00B82603">
        <w:rPr>
          <w:rFonts w:ascii="Arial" w:eastAsia="Times New Roman" w:hAnsi="Arial" w:cs="Arial"/>
          <w:b/>
          <w:bCs/>
          <w:kern w:val="0"/>
          <w:sz w:val="22"/>
          <w:szCs w:val="22"/>
          <w:lang w:eastAsia="en-GB"/>
          <w14:ligatures w14:val="none"/>
        </w:rPr>
        <w:t>-</w:t>
      </w:r>
      <w:r w:rsidRPr="00B82603">
        <w:rPr>
          <w:rFonts w:ascii="Arial" w:eastAsia="Times New Roman" w:hAnsi="Arial" w:cs="Arial"/>
          <w:b/>
          <w:bCs/>
          <w:kern w:val="0"/>
          <w:sz w:val="22"/>
          <w:szCs w:val="22"/>
          <w:lang w:eastAsia="en-GB"/>
          <w14:ligatures w14:val="none"/>
        </w:rPr>
        <w:t xml:space="preserve"> Struggling Sector</w:t>
      </w:r>
      <w:r w:rsidRPr="00B82603">
        <w:rPr>
          <w:rFonts w:ascii="Arial" w:eastAsia="Times New Roman" w:hAnsi="Arial" w:cs="Arial"/>
          <w:kern w:val="0"/>
          <w:sz w:val="22"/>
          <w:szCs w:val="22"/>
          <w:lang w:eastAsia="en-GB"/>
          <w14:ligatures w14:val="none"/>
        </w:rPr>
        <w:t>: Agriculture</w:t>
      </w:r>
      <w:r w:rsidRPr="00B82603">
        <w:rPr>
          <w:rFonts w:ascii="Arial" w:eastAsia="Times New Roman" w:hAnsi="Arial" w:cs="Arial"/>
          <w:kern w:val="0"/>
          <w:sz w:val="22"/>
          <w:szCs w:val="22"/>
          <w:lang w:eastAsia="en-GB"/>
          <w14:ligatures w14:val="none"/>
        </w:rPr>
        <w:br/>
        <w:t>Fragmented land ownership, outdated technology, and poor EU fund absorption continue to hinder agricultural development. Despite vast potential, rural poverty remains high (European Commission, 2023).</w:t>
      </w:r>
    </w:p>
    <w:p w14:paraId="5EA6174D" w14:textId="77777777" w:rsidR="0077340D" w:rsidRPr="00B82603" w:rsidRDefault="0077340D" w:rsidP="00327D03">
      <w:pPr>
        <w:pStyle w:val="Heading2"/>
        <w:spacing w:line="360" w:lineRule="auto"/>
        <w:rPr>
          <w:rFonts w:ascii="Arial" w:eastAsia="Times New Roman" w:hAnsi="Arial" w:cs="Arial"/>
          <w:b/>
          <w:bCs/>
          <w:color w:val="auto"/>
          <w:sz w:val="22"/>
          <w:szCs w:val="22"/>
          <w:lang w:eastAsia="en-GB"/>
        </w:rPr>
      </w:pPr>
      <w:bookmarkStart w:id="15" w:name="_Toc204167120"/>
      <w:r w:rsidRPr="00B82603">
        <w:rPr>
          <w:rFonts w:ascii="Arial" w:eastAsia="Times New Roman" w:hAnsi="Arial" w:cs="Arial"/>
          <w:b/>
          <w:bCs/>
          <w:color w:val="auto"/>
          <w:sz w:val="22"/>
          <w:szCs w:val="22"/>
          <w:lang w:eastAsia="en-GB"/>
        </w:rPr>
        <w:t>2.6 Diaspora and Labour Mobility</w:t>
      </w:r>
      <w:bookmarkEnd w:id="15"/>
    </w:p>
    <w:p w14:paraId="2CEBA2E8" w14:textId="73503CC3"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Since accession, both countries have seen massive emigration. The Romanian diaspora is now over 4 million strong, one of the largest in Europe. Polish migration peaked post</w:t>
      </w:r>
      <w:r w:rsidR="00893F0B" w:rsidRPr="00B82603">
        <w:rPr>
          <w:rFonts w:ascii="Arial" w:eastAsia="Times New Roman" w:hAnsi="Arial" w:cs="Arial"/>
          <w:kern w:val="0"/>
          <w:sz w:val="22"/>
          <w:szCs w:val="22"/>
          <w:lang w:eastAsia="en-GB"/>
          <w14:ligatures w14:val="none"/>
        </w:rPr>
        <w:t xml:space="preserve"> </w:t>
      </w:r>
      <w:r w:rsidRPr="00B82603">
        <w:rPr>
          <w:rFonts w:ascii="Arial" w:eastAsia="Times New Roman" w:hAnsi="Arial" w:cs="Arial"/>
          <w:kern w:val="0"/>
          <w:sz w:val="22"/>
          <w:szCs w:val="22"/>
          <w:lang w:eastAsia="en-GB"/>
          <w14:ligatures w14:val="none"/>
        </w:rPr>
        <w:t>2004 but has since stabilised. Diasporas contribute through remittances and returnee entrepreneurship but also result in brain drain, particularly acute in Romania’s healthcare and engineering sectors (Eurostat, 2023).</w:t>
      </w:r>
    </w:p>
    <w:p w14:paraId="41067A98" w14:textId="14F378B4" w:rsidR="00433BAC" w:rsidRPr="00B82603" w:rsidRDefault="00433BAC"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noProof/>
          <w:kern w:val="0"/>
          <w:sz w:val="22"/>
          <w:szCs w:val="22"/>
          <w:lang w:eastAsia="en-GB"/>
          <w14:ligatures w14:val="none"/>
        </w:rPr>
        <w:drawing>
          <wp:inline distT="0" distB="0" distL="0" distR="0" wp14:anchorId="2D53542E" wp14:editId="5236BB89">
            <wp:extent cx="5731510" cy="3415665"/>
            <wp:effectExtent l="0" t="0" r="2540" b="0"/>
            <wp:docPr id="1406130905" name="Picture 2" descr="A graph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130905" name="Picture 2" descr="A graph with orange line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415665"/>
                    </a:xfrm>
                    <a:prstGeom prst="rect">
                      <a:avLst/>
                    </a:prstGeom>
                    <a:noFill/>
                    <a:ln>
                      <a:noFill/>
                    </a:ln>
                  </pic:spPr>
                </pic:pic>
              </a:graphicData>
            </a:graphic>
          </wp:inline>
        </w:drawing>
      </w:r>
    </w:p>
    <w:p w14:paraId="66D556DA" w14:textId="77777777" w:rsidR="0077340D" w:rsidRPr="00B82603" w:rsidRDefault="0077340D" w:rsidP="00327D03">
      <w:pPr>
        <w:pStyle w:val="Heading2"/>
        <w:spacing w:line="360" w:lineRule="auto"/>
        <w:rPr>
          <w:rFonts w:ascii="Arial" w:eastAsia="Times New Roman" w:hAnsi="Arial" w:cs="Arial"/>
          <w:b/>
          <w:bCs/>
          <w:color w:val="auto"/>
          <w:sz w:val="22"/>
          <w:szCs w:val="22"/>
          <w:lang w:eastAsia="en-GB"/>
        </w:rPr>
      </w:pPr>
      <w:bookmarkStart w:id="16" w:name="_Toc204167121"/>
      <w:r w:rsidRPr="00B82603">
        <w:rPr>
          <w:rFonts w:ascii="Arial" w:eastAsia="Times New Roman" w:hAnsi="Arial" w:cs="Arial"/>
          <w:b/>
          <w:bCs/>
          <w:color w:val="auto"/>
          <w:sz w:val="22"/>
          <w:szCs w:val="22"/>
          <w:lang w:eastAsia="en-GB"/>
        </w:rPr>
        <w:t>2.7 Summary of Literature Gaps and Theoretical Direction</w:t>
      </w:r>
      <w:bookmarkEnd w:id="16"/>
    </w:p>
    <w:p w14:paraId="4F160846" w14:textId="3646A4B0" w:rsidR="00AA2026"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Existing literature covers EU integration's macroeconomic effects but often lacks cross-country, theory-applied comparisons. There is also limited integration of cultural and leadership factors in economic analysis.</w:t>
      </w:r>
    </w:p>
    <w:p w14:paraId="252018C3" w14:textId="77777777"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dissertation fills the gap by:</w:t>
      </w:r>
    </w:p>
    <w:p w14:paraId="5B62B22D" w14:textId="77777777" w:rsidR="0077340D" w:rsidRPr="00B82603" w:rsidRDefault="0077340D" w:rsidP="00A6021A">
      <w:pPr>
        <w:pStyle w:val="ListParagraph"/>
        <w:numPr>
          <w:ilvl w:val="0"/>
          <w:numId w:val="3"/>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Comparing two case-study countries with contrasting outcomes</w:t>
      </w:r>
    </w:p>
    <w:p w14:paraId="745A512B" w14:textId="77777777" w:rsidR="0077340D" w:rsidRPr="00B82603" w:rsidRDefault="0077340D" w:rsidP="00A6021A">
      <w:pPr>
        <w:pStyle w:val="ListParagraph"/>
        <w:numPr>
          <w:ilvl w:val="0"/>
          <w:numId w:val="3"/>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Applying Hofstede, convergence, FDI, and strategic management theories</w:t>
      </w:r>
    </w:p>
    <w:p w14:paraId="47E8E33E" w14:textId="77777777" w:rsidR="0077340D" w:rsidRPr="00B82603" w:rsidRDefault="0077340D" w:rsidP="00A6021A">
      <w:pPr>
        <w:pStyle w:val="ListParagraph"/>
        <w:numPr>
          <w:ilvl w:val="0"/>
          <w:numId w:val="3"/>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Linking cultural, political, and economic dimensions</w:t>
      </w:r>
    </w:p>
    <w:p w14:paraId="31804948" w14:textId="3BFA2B07" w:rsidR="006771FA" w:rsidRPr="00B82603" w:rsidRDefault="0077340D" w:rsidP="00A6021A">
      <w:pPr>
        <w:pStyle w:val="ListParagraph"/>
        <w:numPr>
          <w:ilvl w:val="0"/>
          <w:numId w:val="3"/>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Building toward practical recommendations and leadership analysis</w:t>
      </w:r>
    </w:p>
    <w:p w14:paraId="6CA74EBD" w14:textId="4472A8AC" w:rsidR="00AA2026" w:rsidRPr="00B82603" w:rsidRDefault="00AA2026"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lastRenderedPageBreak/>
        <w:t xml:space="preserve">These literature insights directly inform the research objectives, particularly Objectives 1 through 5. By reviewing economic convergence, FDI flows, institutional frameworks, cultural dimensions, and sectoral dynamics, this chapter lays the theoretical foundation for the empirical analysis that follows. The comparative case study of Poland and Romania will </w:t>
      </w:r>
      <w:r w:rsidR="00D409A5" w:rsidRPr="00B82603">
        <w:rPr>
          <w:rFonts w:ascii="Arial" w:eastAsia="Times New Roman" w:hAnsi="Arial" w:cs="Arial"/>
          <w:kern w:val="0"/>
          <w:sz w:val="22"/>
          <w:szCs w:val="22"/>
          <w:lang w:eastAsia="en-GB"/>
          <w14:ligatures w14:val="none"/>
        </w:rPr>
        <w:t>assess</w:t>
      </w:r>
      <w:r w:rsidRPr="00B82603">
        <w:rPr>
          <w:rFonts w:ascii="Arial" w:eastAsia="Times New Roman" w:hAnsi="Arial" w:cs="Arial"/>
          <w:kern w:val="0"/>
          <w:sz w:val="22"/>
          <w:szCs w:val="22"/>
          <w:lang w:eastAsia="en-GB"/>
          <w14:ligatures w14:val="none"/>
        </w:rPr>
        <w:t xml:space="preserve"> the relevance of these frameworks in addressing post-accession divergence.</w:t>
      </w:r>
    </w:p>
    <w:p w14:paraId="111EDBF2" w14:textId="298394A5" w:rsidR="0070792C" w:rsidRPr="00B82603" w:rsidRDefault="0070792C"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 theoretical foundation established in this chapter serves as a critical lens for interpreting the comparative data presented in later chapters. Dunning’s OLI paradigm will help analyse FDI trends; Hofstede’s cultural dimensions will explain behavioural and institutional differences; and Institutional Theory will shed light on governance and reform trajectories. Cascade Theory will be used to assess knowledge transfer and diaspora effects, while Porter’s Diamond Model will interpret sectoral competitiveness. These frameworks collectively form a structured analytical toolkit for evaluating how culture, politics, and EU membership have shaped development in Poland and Romania.</w:t>
      </w:r>
    </w:p>
    <w:p w14:paraId="3D9E4F0E" w14:textId="77777777" w:rsidR="003F4423" w:rsidRPr="00B82603" w:rsidRDefault="003F4423" w:rsidP="00327D03">
      <w:pPr>
        <w:spacing w:line="360" w:lineRule="auto"/>
        <w:rPr>
          <w:rFonts w:ascii="Arial" w:eastAsia="Times New Roman" w:hAnsi="Arial" w:cs="Arial"/>
          <w:kern w:val="0"/>
          <w:sz w:val="22"/>
          <w:szCs w:val="22"/>
          <w:lang w:eastAsia="en-GB"/>
          <w14:ligatures w14:val="none"/>
        </w:rPr>
      </w:pPr>
    </w:p>
    <w:p w14:paraId="421A9E7C" w14:textId="77777777" w:rsidR="006907C8" w:rsidRPr="00B82603" w:rsidRDefault="006907C8" w:rsidP="00327D03">
      <w:pPr>
        <w:pStyle w:val="Heading1"/>
        <w:spacing w:line="360" w:lineRule="auto"/>
        <w:rPr>
          <w:rFonts w:ascii="Arial" w:hAnsi="Arial" w:cs="Arial"/>
          <w:b/>
          <w:bCs/>
          <w:color w:val="auto"/>
          <w:sz w:val="22"/>
          <w:szCs w:val="22"/>
        </w:rPr>
      </w:pPr>
      <w:bookmarkStart w:id="17" w:name="_Toc204167122"/>
      <w:r w:rsidRPr="00B82603">
        <w:rPr>
          <w:rFonts w:ascii="Arial" w:hAnsi="Arial" w:cs="Arial"/>
          <w:b/>
          <w:bCs/>
          <w:color w:val="auto"/>
          <w:sz w:val="22"/>
          <w:szCs w:val="22"/>
        </w:rPr>
        <w:t>Chapter 3: Methodology</w:t>
      </w:r>
      <w:bookmarkEnd w:id="17"/>
    </w:p>
    <w:p w14:paraId="1DF5EEF0" w14:textId="77777777" w:rsidR="001A1010" w:rsidRPr="00B82603" w:rsidRDefault="006907C8" w:rsidP="00327D03">
      <w:pPr>
        <w:spacing w:line="360" w:lineRule="auto"/>
        <w:rPr>
          <w:rFonts w:ascii="Arial" w:hAnsi="Arial" w:cs="Arial"/>
          <w:sz w:val="22"/>
          <w:szCs w:val="22"/>
        </w:rPr>
      </w:pPr>
      <w:bookmarkStart w:id="18" w:name="_Toc204167123"/>
      <w:r w:rsidRPr="00B82603">
        <w:rPr>
          <w:rStyle w:val="Heading2Char"/>
          <w:rFonts w:ascii="Arial" w:hAnsi="Arial" w:cs="Arial"/>
          <w:b/>
          <w:bCs/>
          <w:color w:val="auto"/>
          <w:sz w:val="22"/>
          <w:szCs w:val="22"/>
        </w:rPr>
        <w:t>3.1 Introduction</w:t>
      </w:r>
      <w:bookmarkEnd w:id="18"/>
      <w:r w:rsidRPr="00B82603">
        <w:rPr>
          <w:rFonts w:ascii="Arial" w:hAnsi="Arial" w:cs="Arial"/>
          <w:sz w:val="22"/>
          <w:szCs w:val="22"/>
        </w:rPr>
        <w:t xml:space="preserve"> </w:t>
      </w:r>
    </w:p>
    <w:p w14:paraId="25F3CA66" w14:textId="4024CE38" w:rsidR="00F74E11" w:rsidRPr="00B82603" w:rsidRDefault="006907C8" w:rsidP="00327D03">
      <w:pPr>
        <w:spacing w:line="360" w:lineRule="auto"/>
        <w:rPr>
          <w:rFonts w:ascii="Arial" w:hAnsi="Arial" w:cs="Arial"/>
          <w:sz w:val="22"/>
          <w:szCs w:val="22"/>
        </w:rPr>
      </w:pPr>
      <w:r w:rsidRPr="00B82603">
        <w:rPr>
          <w:rFonts w:ascii="Arial" w:hAnsi="Arial" w:cs="Arial"/>
          <w:sz w:val="22"/>
          <w:szCs w:val="22"/>
        </w:rPr>
        <w:t>This chapter outlines the research approach, data sources, and analytical methods used to investigate the economic, cultural, and political outcomes of EU membership for Poland and Romania. The methodology is designed to support a comparative case study that addresses the research objectives and questions outlined in Chapter 1.</w:t>
      </w:r>
    </w:p>
    <w:p w14:paraId="55F08F69" w14:textId="77777777" w:rsidR="00796DFC" w:rsidRDefault="006907C8" w:rsidP="00327D03">
      <w:pPr>
        <w:spacing w:line="360" w:lineRule="auto"/>
        <w:rPr>
          <w:rFonts w:ascii="Arial" w:hAnsi="Arial" w:cs="Arial"/>
          <w:sz w:val="22"/>
          <w:szCs w:val="22"/>
        </w:rPr>
      </w:pPr>
      <w:bookmarkStart w:id="19" w:name="_Toc204167124"/>
      <w:r w:rsidRPr="00B82603">
        <w:rPr>
          <w:rStyle w:val="Heading2Char"/>
          <w:rFonts w:ascii="Arial" w:hAnsi="Arial" w:cs="Arial"/>
          <w:b/>
          <w:bCs/>
          <w:color w:val="auto"/>
          <w:sz w:val="22"/>
          <w:szCs w:val="22"/>
        </w:rPr>
        <w:t>3.2 Research Philosophy and Approach</w:t>
      </w:r>
      <w:bookmarkEnd w:id="19"/>
      <w:r w:rsidRPr="00B82603">
        <w:rPr>
          <w:rFonts w:ascii="Arial" w:hAnsi="Arial" w:cs="Arial"/>
          <w:sz w:val="22"/>
          <w:szCs w:val="22"/>
        </w:rPr>
        <w:t xml:space="preserve"> </w:t>
      </w:r>
    </w:p>
    <w:p w14:paraId="1109682A" w14:textId="22669F0E" w:rsidR="006907C8" w:rsidRPr="00B82603" w:rsidRDefault="006907C8" w:rsidP="00327D03">
      <w:pPr>
        <w:spacing w:line="360" w:lineRule="auto"/>
        <w:rPr>
          <w:rFonts w:ascii="Arial" w:hAnsi="Arial" w:cs="Arial"/>
          <w:sz w:val="22"/>
          <w:szCs w:val="22"/>
        </w:rPr>
      </w:pPr>
      <w:r w:rsidRPr="00B82603">
        <w:rPr>
          <w:rFonts w:ascii="Arial" w:hAnsi="Arial" w:cs="Arial"/>
          <w:sz w:val="22"/>
          <w:szCs w:val="22"/>
        </w:rPr>
        <w:t xml:space="preserve">The research adopts a positivist epistemological stance, favouring observable and measurable indicators to understand macroeconomic and institutional outcomes. This is coupled with a realist ontology, </w:t>
      </w:r>
      <w:proofErr w:type="gramStart"/>
      <w:r w:rsidRPr="00B82603">
        <w:rPr>
          <w:rFonts w:ascii="Arial" w:hAnsi="Arial" w:cs="Arial"/>
          <w:sz w:val="22"/>
          <w:szCs w:val="22"/>
        </w:rPr>
        <w:t>assuming that</w:t>
      </w:r>
      <w:proofErr w:type="gramEnd"/>
      <w:r w:rsidRPr="00B82603">
        <w:rPr>
          <w:rFonts w:ascii="Arial" w:hAnsi="Arial" w:cs="Arial"/>
          <w:sz w:val="22"/>
          <w:szCs w:val="22"/>
        </w:rPr>
        <w:t xml:space="preserve"> social and political structures influence economic trajectories. The deductive approach starts with established theories</w:t>
      </w:r>
      <w:r w:rsidR="00F02F5F" w:rsidRPr="00B82603">
        <w:rPr>
          <w:rFonts w:ascii="Arial" w:hAnsi="Arial" w:cs="Arial"/>
          <w:sz w:val="22"/>
          <w:szCs w:val="22"/>
        </w:rPr>
        <w:t xml:space="preserve"> </w:t>
      </w:r>
      <w:r w:rsidRPr="00B82603">
        <w:rPr>
          <w:rFonts w:ascii="Arial" w:hAnsi="Arial" w:cs="Arial"/>
          <w:sz w:val="22"/>
          <w:szCs w:val="22"/>
        </w:rPr>
        <w:t>such as Hofstede’s Cultural Dimensions, Institutional Theory, and the OLI paradigm</w:t>
      </w:r>
      <w:r w:rsidR="00F02F5F" w:rsidRPr="00B82603">
        <w:rPr>
          <w:rFonts w:ascii="Arial" w:hAnsi="Arial" w:cs="Arial"/>
          <w:sz w:val="22"/>
          <w:szCs w:val="22"/>
        </w:rPr>
        <w:t xml:space="preserve"> </w:t>
      </w:r>
      <w:r w:rsidRPr="00B82603">
        <w:rPr>
          <w:rFonts w:ascii="Arial" w:hAnsi="Arial" w:cs="Arial"/>
          <w:sz w:val="22"/>
          <w:szCs w:val="22"/>
        </w:rPr>
        <w:t xml:space="preserve">and </w:t>
      </w:r>
      <w:r w:rsidR="00D409A5" w:rsidRPr="00B82603">
        <w:rPr>
          <w:rFonts w:ascii="Arial" w:hAnsi="Arial" w:cs="Arial"/>
          <w:sz w:val="22"/>
          <w:szCs w:val="22"/>
        </w:rPr>
        <w:t>assesses</w:t>
      </w:r>
      <w:r w:rsidRPr="00B82603">
        <w:rPr>
          <w:rFonts w:ascii="Arial" w:hAnsi="Arial" w:cs="Arial"/>
          <w:sz w:val="22"/>
          <w:szCs w:val="22"/>
        </w:rPr>
        <w:t xml:space="preserve"> their applicability in the context of Poland and Romania.</w:t>
      </w:r>
    </w:p>
    <w:p w14:paraId="3AFD3E26" w14:textId="77777777" w:rsidR="001A1010" w:rsidRPr="00B82603" w:rsidRDefault="006907C8" w:rsidP="00327D03">
      <w:pPr>
        <w:spacing w:line="360" w:lineRule="auto"/>
        <w:rPr>
          <w:rFonts w:ascii="Arial" w:hAnsi="Arial" w:cs="Arial"/>
          <w:sz w:val="22"/>
          <w:szCs w:val="22"/>
        </w:rPr>
      </w:pPr>
      <w:bookmarkStart w:id="20" w:name="_Toc204167125"/>
      <w:r w:rsidRPr="00B82603">
        <w:rPr>
          <w:rStyle w:val="Heading2Char"/>
          <w:rFonts w:ascii="Arial" w:hAnsi="Arial" w:cs="Arial"/>
          <w:b/>
          <w:bCs/>
          <w:color w:val="auto"/>
          <w:sz w:val="22"/>
          <w:szCs w:val="22"/>
        </w:rPr>
        <w:t>3.3 Research Design</w:t>
      </w:r>
      <w:bookmarkEnd w:id="20"/>
      <w:r w:rsidRPr="00B82603">
        <w:rPr>
          <w:rFonts w:ascii="Arial" w:hAnsi="Arial" w:cs="Arial"/>
          <w:sz w:val="22"/>
          <w:szCs w:val="22"/>
        </w:rPr>
        <w:t xml:space="preserve"> </w:t>
      </w:r>
    </w:p>
    <w:p w14:paraId="30EDC8E8" w14:textId="016FD9A5" w:rsidR="006907C8" w:rsidRPr="00B82603" w:rsidRDefault="006907C8" w:rsidP="00327D03">
      <w:pPr>
        <w:spacing w:line="360" w:lineRule="auto"/>
        <w:rPr>
          <w:rFonts w:ascii="Arial" w:hAnsi="Arial" w:cs="Arial"/>
          <w:sz w:val="22"/>
          <w:szCs w:val="22"/>
        </w:rPr>
      </w:pPr>
      <w:r w:rsidRPr="00B82603">
        <w:rPr>
          <w:rFonts w:ascii="Arial" w:hAnsi="Arial" w:cs="Arial"/>
          <w:sz w:val="22"/>
          <w:szCs w:val="22"/>
        </w:rPr>
        <w:t xml:space="preserve">This dissertation employs a comparative case study design, using </w:t>
      </w:r>
      <w:r w:rsidR="00EB6AF8" w:rsidRPr="00B82603">
        <w:rPr>
          <w:rFonts w:ascii="Arial" w:hAnsi="Arial" w:cs="Arial"/>
          <w:sz w:val="22"/>
          <w:szCs w:val="22"/>
        </w:rPr>
        <w:t>mixed methods</w:t>
      </w:r>
      <w:r w:rsidRPr="00B82603">
        <w:rPr>
          <w:rFonts w:ascii="Arial" w:hAnsi="Arial" w:cs="Arial"/>
          <w:sz w:val="22"/>
          <w:szCs w:val="22"/>
        </w:rPr>
        <w:t xml:space="preserve"> to combine quantitative economic indicators with qualitative analysis of political, cultural, and institutional variables. Poland and Romania were selected based on their EU accession </w:t>
      </w:r>
      <w:r w:rsidRPr="00B82603">
        <w:rPr>
          <w:rFonts w:ascii="Arial" w:hAnsi="Arial" w:cs="Arial"/>
          <w:sz w:val="22"/>
          <w:szCs w:val="22"/>
        </w:rPr>
        <w:lastRenderedPageBreak/>
        <w:t>timeline, geographic proximity, similar historical backgrounds, and contrasting post-accession economic results.</w:t>
      </w:r>
    </w:p>
    <w:p w14:paraId="37DE2995" w14:textId="77777777" w:rsidR="001A1010" w:rsidRPr="00B82603" w:rsidRDefault="006907C8" w:rsidP="00327D03">
      <w:pPr>
        <w:spacing w:line="360" w:lineRule="auto"/>
        <w:rPr>
          <w:rFonts w:ascii="Arial" w:hAnsi="Arial" w:cs="Arial"/>
          <w:sz w:val="22"/>
          <w:szCs w:val="22"/>
        </w:rPr>
      </w:pPr>
      <w:bookmarkStart w:id="21" w:name="_Toc204167126"/>
      <w:r w:rsidRPr="00B82603">
        <w:rPr>
          <w:rStyle w:val="Heading2Char"/>
          <w:rFonts w:ascii="Arial" w:hAnsi="Arial" w:cs="Arial"/>
          <w:b/>
          <w:bCs/>
          <w:color w:val="auto"/>
          <w:sz w:val="22"/>
          <w:szCs w:val="22"/>
        </w:rPr>
        <w:t>3.4 Data Collection Methods</w:t>
      </w:r>
      <w:bookmarkEnd w:id="21"/>
      <w:r w:rsidRPr="00B82603">
        <w:rPr>
          <w:rFonts w:ascii="Arial" w:hAnsi="Arial" w:cs="Arial"/>
          <w:sz w:val="22"/>
          <w:szCs w:val="22"/>
        </w:rPr>
        <w:t xml:space="preserve"> </w:t>
      </w:r>
    </w:p>
    <w:p w14:paraId="2D414838" w14:textId="2045FBEB" w:rsidR="006907C8" w:rsidRPr="00B82603" w:rsidRDefault="006907C8" w:rsidP="00327D03">
      <w:pPr>
        <w:spacing w:line="360" w:lineRule="auto"/>
        <w:rPr>
          <w:rFonts w:ascii="Arial" w:hAnsi="Arial" w:cs="Arial"/>
          <w:sz w:val="22"/>
          <w:szCs w:val="22"/>
        </w:rPr>
      </w:pPr>
      <w:r w:rsidRPr="00B82603">
        <w:rPr>
          <w:rFonts w:ascii="Arial" w:hAnsi="Arial" w:cs="Arial"/>
          <w:sz w:val="22"/>
          <w:szCs w:val="22"/>
        </w:rPr>
        <w:t>Secondary data was collected from the following credible sources:</w:t>
      </w:r>
    </w:p>
    <w:p w14:paraId="3C7C6150" w14:textId="77777777" w:rsidR="006907C8" w:rsidRPr="00B82603" w:rsidRDefault="006907C8" w:rsidP="00A6021A">
      <w:pPr>
        <w:pStyle w:val="ListParagraph"/>
        <w:numPr>
          <w:ilvl w:val="0"/>
          <w:numId w:val="4"/>
        </w:numPr>
        <w:spacing w:line="360" w:lineRule="auto"/>
        <w:rPr>
          <w:rFonts w:ascii="Arial" w:hAnsi="Arial" w:cs="Arial"/>
          <w:sz w:val="22"/>
          <w:szCs w:val="22"/>
        </w:rPr>
      </w:pPr>
      <w:r w:rsidRPr="00B82603">
        <w:rPr>
          <w:rFonts w:ascii="Arial" w:hAnsi="Arial" w:cs="Arial"/>
          <w:sz w:val="22"/>
          <w:szCs w:val="22"/>
        </w:rPr>
        <w:t>Eurostat (GDP, labour migration, and sectoral output)</w:t>
      </w:r>
    </w:p>
    <w:p w14:paraId="0AAE1328" w14:textId="77777777" w:rsidR="006907C8" w:rsidRPr="00B82603" w:rsidRDefault="006907C8" w:rsidP="00A6021A">
      <w:pPr>
        <w:pStyle w:val="ListParagraph"/>
        <w:numPr>
          <w:ilvl w:val="0"/>
          <w:numId w:val="4"/>
        </w:numPr>
        <w:spacing w:line="360" w:lineRule="auto"/>
        <w:rPr>
          <w:rFonts w:ascii="Arial" w:hAnsi="Arial" w:cs="Arial"/>
          <w:sz w:val="22"/>
          <w:szCs w:val="22"/>
        </w:rPr>
      </w:pPr>
      <w:r w:rsidRPr="00B82603">
        <w:rPr>
          <w:rFonts w:ascii="Arial" w:hAnsi="Arial" w:cs="Arial"/>
          <w:sz w:val="22"/>
          <w:szCs w:val="22"/>
        </w:rPr>
        <w:t>OECD (FDI, competitiveness indicators)</w:t>
      </w:r>
    </w:p>
    <w:p w14:paraId="532197E2" w14:textId="77777777" w:rsidR="006907C8" w:rsidRPr="00B82603" w:rsidRDefault="006907C8" w:rsidP="00A6021A">
      <w:pPr>
        <w:pStyle w:val="ListParagraph"/>
        <w:numPr>
          <w:ilvl w:val="0"/>
          <w:numId w:val="4"/>
        </w:numPr>
        <w:spacing w:line="360" w:lineRule="auto"/>
        <w:rPr>
          <w:rFonts w:ascii="Arial" w:hAnsi="Arial" w:cs="Arial"/>
          <w:sz w:val="22"/>
          <w:szCs w:val="22"/>
        </w:rPr>
      </w:pPr>
      <w:r w:rsidRPr="00B82603">
        <w:rPr>
          <w:rFonts w:ascii="Arial" w:hAnsi="Arial" w:cs="Arial"/>
          <w:sz w:val="22"/>
          <w:szCs w:val="22"/>
        </w:rPr>
        <w:t>World Bank (Ease of Doing Business, governance indicators)</w:t>
      </w:r>
    </w:p>
    <w:p w14:paraId="4ACC9557" w14:textId="77777777" w:rsidR="006907C8" w:rsidRPr="00B82603" w:rsidRDefault="006907C8" w:rsidP="00A6021A">
      <w:pPr>
        <w:pStyle w:val="ListParagraph"/>
        <w:numPr>
          <w:ilvl w:val="0"/>
          <w:numId w:val="4"/>
        </w:numPr>
        <w:spacing w:line="360" w:lineRule="auto"/>
        <w:rPr>
          <w:rFonts w:ascii="Arial" w:hAnsi="Arial" w:cs="Arial"/>
          <w:sz w:val="22"/>
          <w:szCs w:val="22"/>
        </w:rPr>
      </w:pPr>
      <w:r w:rsidRPr="00B82603">
        <w:rPr>
          <w:rFonts w:ascii="Arial" w:hAnsi="Arial" w:cs="Arial"/>
          <w:sz w:val="22"/>
          <w:szCs w:val="22"/>
        </w:rPr>
        <w:t>Transparency International (Corruption Perceptions Index)</w:t>
      </w:r>
    </w:p>
    <w:p w14:paraId="2589F516" w14:textId="77777777" w:rsidR="006907C8" w:rsidRPr="00B82603" w:rsidRDefault="006907C8" w:rsidP="00A6021A">
      <w:pPr>
        <w:pStyle w:val="ListParagraph"/>
        <w:numPr>
          <w:ilvl w:val="0"/>
          <w:numId w:val="4"/>
        </w:numPr>
        <w:spacing w:line="360" w:lineRule="auto"/>
        <w:rPr>
          <w:rFonts w:ascii="Arial" w:hAnsi="Arial" w:cs="Arial"/>
          <w:sz w:val="22"/>
          <w:szCs w:val="22"/>
        </w:rPr>
      </w:pPr>
      <w:r w:rsidRPr="00B82603">
        <w:rPr>
          <w:rFonts w:ascii="Arial" w:hAnsi="Arial" w:cs="Arial"/>
          <w:sz w:val="22"/>
          <w:szCs w:val="22"/>
        </w:rPr>
        <w:t>National statistical offices (GUS for Poland, INSSE for Romania)</w:t>
      </w:r>
    </w:p>
    <w:p w14:paraId="388C1599" w14:textId="77777777" w:rsidR="006907C8" w:rsidRPr="00B82603" w:rsidRDefault="006907C8" w:rsidP="00A6021A">
      <w:pPr>
        <w:pStyle w:val="ListParagraph"/>
        <w:numPr>
          <w:ilvl w:val="0"/>
          <w:numId w:val="4"/>
        </w:numPr>
        <w:spacing w:line="360" w:lineRule="auto"/>
        <w:rPr>
          <w:rFonts w:ascii="Arial" w:hAnsi="Arial" w:cs="Arial"/>
          <w:sz w:val="22"/>
          <w:szCs w:val="22"/>
        </w:rPr>
      </w:pPr>
      <w:r w:rsidRPr="00B82603">
        <w:rPr>
          <w:rFonts w:ascii="Arial" w:hAnsi="Arial" w:cs="Arial"/>
          <w:sz w:val="22"/>
          <w:szCs w:val="22"/>
        </w:rPr>
        <w:t>Peer-reviewed journals, policy briefs, and academic publications</w:t>
      </w:r>
    </w:p>
    <w:p w14:paraId="712568CB" w14:textId="77777777" w:rsidR="006907C8" w:rsidRPr="00B82603" w:rsidRDefault="006907C8" w:rsidP="00327D03">
      <w:pPr>
        <w:spacing w:line="360" w:lineRule="auto"/>
        <w:rPr>
          <w:rFonts w:ascii="Arial" w:hAnsi="Arial" w:cs="Arial"/>
          <w:sz w:val="22"/>
          <w:szCs w:val="22"/>
        </w:rPr>
      </w:pPr>
      <w:r w:rsidRPr="00B82603">
        <w:rPr>
          <w:rFonts w:ascii="Arial" w:hAnsi="Arial" w:cs="Arial"/>
          <w:sz w:val="22"/>
          <w:szCs w:val="22"/>
        </w:rPr>
        <w:t>Key indicators include:</w:t>
      </w:r>
    </w:p>
    <w:p w14:paraId="43322842" w14:textId="77777777" w:rsidR="006907C8" w:rsidRPr="00B82603" w:rsidRDefault="006907C8" w:rsidP="00A6021A">
      <w:pPr>
        <w:pStyle w:val="ListParagraph"/>
        <w:numPr>
          <w:ilvl w:val="0"/>
          <w:numId w:val="5"/>
        </w:numPr>
        <w:spacing w:line="360" w:lineRule="auto"/>
        <w:rPr>
          <w:rFonts w:ascii="Arial" w:hAnsi="Arial" w:cs="Arial"/>
          <w:sz w:val="22"/>
          <w:szCs w:val="22"/>
        </w:rPr>
      </w:pPr>
      <w:r w:rsidRPr="00B82603">
        <w:rPr>
          <w:rFonts w:ascii="Arial" w:hAnsi="Arial" w:cs="Arial"/>
          <w:sz w:val="22"/>
          <w:szCs w:val="22"/>
        </w:rPr>
        <w:t>GDP growth and per capita development</w:t>
      </w:r>
    </w:p>
    <w:p w14:paraId="763F5732" w14:textId="77777777" w:rsidR="006907C8" w:rsidRPr="00B82603" w:rsidRDefault="006907C8" w:rsidP="00A6021A">
      <w:pPr>
        <w:pStyle w:val="ListParagraph"/>
        <w:numPr>
          <w:ilvl w:val="0"/>
          <w:numId w:val="5"/>
        </w:numPr>
        <w:spacing w:line="360" w:lineRule="auto"/>
        <w:rPr>
          <w:rFonts w:ascii="Arial" w:hAnsi="Arial" w:cs="Arial"/>
          <w:sz w:val="22"/>
          <w:szCs w:val="22"/>
        </w:rPr>
      </w:pPr>
      <w:r w:rsidRPr="00B82603">
        <w:rPr>
          <w:rFonts w:ascii="Arial" w:hAnsi="Arial" w:cs="Arial"/>
          <w:sz w:val="22"/>
          <w:szCs w:val="22"/>
        </w:rPr>
        <w:t>Annual and cumulative FDI inflows</w:t>
      </w:r>
    </w:p>
    <w:p w14:paraId="77011697" w14:textId="77777777" w:rsidR="006907C8" w:rsidRPr="00B82603" w:rsidRDefault="006907C8" w:rsidP="00A6021A">
      <w:pPr>
        <w:pStyle w:val="ListParagraph"/>
        <w:numPr>
          <w:ilvl w:val="0"/>
          <w:numId w:val="5"/>
        </w:numPr>
        <w:spacing w:line="360" w:lineRule="auto"/>
        <w:rPr>
          <w:rFonts w:ascii="Arial" w:hAnsi="Arial" w:cs="Arial"/>
          <w:sz w:val="22"/>
          <w:szCs w:val="22"/>
        </w:rPr>
      </w:pPr>
      <w:r w:rsidRPr="00B82603">
        <w:rPr>
          <w:rFonts w:ascii="Arial" w:hAnsi="Arial" w:cs="Arial"/>
          <w:sz w:val="22"/>
          <w:szCs w:val="22"/>
        </w:rPr>
        <w:t>Ease of doing business scores and sub-indices</w:t>
      </w:r>
    </w:p>
    <w:p w14:paraId="7FCCA1C0" w14:textId="77777777" w:rsidR="006907C8" w:rsidRPr="00B82603" w:rsidRDefault="006907C8" w:rsidP="00A6021A">
      <w:pPr>
        <w:pStyle w:val="ListParagraph"/>
        <w:numPr>
          <w:ilvl w:val="0"/>
          <w:numId w:val="5"/>
        </w:numPr>
        <w:spacing w:line="360" w:lineRule="auto"/>
        <w:rPr>
          <w:rFonts w:ascii="Arial" w:hAnsi="Arial" w:cs="Arial"/>
          <w:sz w:val="22"/>
          <w:szCs w:val="22"/>
        </w:rPr>
      </w:pPr>
      <w:r w:rsidRPr="00B82603">
        <w:rPr>
          <w:rFonts w:ascii="Arial" w:hAnsi="Arial" w:cs="Arial"/>
          <w:sz w:val="22"/>
          <w:szCs w:val="22"/>
        </w:rPr>
        <w:t>Sectoral performance in manufacturing, IT, agriculture, and mining</w:t>
      </w:r>
    </w:p>
    <w:p w14:paraId="68664F8A" w14:textId="77777777" w:rsidR="006907C8" w:rsidRPr="00B82603" w:rsidRDefault="006907C8" w:rsidP="00A6021A">
      <w:pPr>
        <w:pStyle w:val="ListParagraph"/>
        <w:numPr>
          <w:ilvl w:val="0"/>
          <w:numId w:val="5"/>
        </w:numPr>
        <w:spacing w:line="360" w:lineRule="auto"/>
        <w:rPr>
          <w:rFonts w:ascii="Arial" w:hAnsi="Arial" w:cs="Arial"/>
          <w:sz w:val="22"/>
          <w:szCs w:val="22"/>
        </w:rPr>
      </w:pPr>
      <w:r w:rsidRPr="00B82603">
        <w:rPr>
          <w:rFonts w:ascii="Arial" w:hAnsi="Arial" w:cs="Arial"/>
          <w:sz w:val="22"/>
          <w:szCs w:val="22"/>
        </w:rPr>
        <w:t>Corruption indices and public sector effectiveness</w:t>
      </w:r>
    </w:p>
    <w:p w14:paraId="380646A9" w14:textId="77777777" w:rsidR="006907C8" w:rsidRPr="00B82603" w:rsidRDefault="006907C8" w:rsidP="00A6021A">
      <w:pPr>
        <w:pStyle w:val="ListParagraph"/>
        <w:numPr>
          <w:ilvl w:val="0"/>
          <w:numId w:val="5"/>
        </w:numPr>
        <w:spacing w:line="360" w:lineRule="auto"/>
        <w:rPr>
          <w:rFonts w:ascii="Arial" w:hAnsi="Arial" w:cs="Arial"/>
          <w:sz w:val="22"/>
          <w:szCs w:val="22"/>
        </w:rPr>
      </w:pPr>
      <w:r w:rsidRPr="00B82603">
        <w:rPr>
          <w:rFonts w:ascii="Arial" w:hAnsi="Arial" w:cs="Arial"/>
          <w:sz w:val="22"/>
          <w:szCs w:val="22"/>
        </w:rPr>
        <w:t>Cultural profiles and leadership typologies</w:t>
      </w:r>
    </w:p>
    <w:p w14:paraId="33C5566F" w14:textId="77777777" w:rsidR="001A1010" w:rsidRPr="00B82603" w:rsidRDefault="006907C8" w:rsidP="00327D03">
      <w:pPr>
        <w:spacing w:line="360" w:lineRule="auto"/>
        <w:rPr>
          <w:rFonts w:ascii="Arial" w:hAnsi="Arial" w:cs="Arial"/>
          <w:sz w:val="22"/>
          <w:szCs w:val="22"/>
        </w:rPr>
      </w:pPr>
      <w:bookmarkStart w:id="22" w:name="_Toc204167127"/>
      <w:r w:rsidRPr="00B82603">
        <w:rPr>
          <w:rStyle w:val="Heading2Char"/>
          <w:rFonts w:ascii="Arial" w:hAnsi="Arial" w:cs="Arial"/>
          <w:b/>
          <w:bCs/>
          <w:color w:val="auto"/>
          <w:sz w:val="22"/>
          <w:szCs w:val="22"/>
        </w:rPr>
        <w:t>3.5 Data Analysis Techniques</w:t>
      </w:r>
      <w:bookmarkEnd w:id="22"/>
      <w:r w:rsidRPr="00B82603">
        <w:rPr>
          <w:rFonts w:ascii="Arial" w:hAnsi="Arial" w:cs="Arial"/>
          <w:sz w:val="22"/>
          <w:szCs w:val="22"/>
        </w:rPr>
        <w:t xml:space="preserve"> </w:t>
      </w:r>
    </w:p>
    <w:p w14:paraId="63D19FF4" w14:textId="6711DFD8" w:rsidR="006907C8" w:rsidRPr="00B82603" w:rsidRDefault="006907C8" w:rsidP="00327D03">
      <w:pPr>
        <w:spacing w:line="360" w:lineRule="auto"/>
        <w:rPr>
          <w:rFonts w:ascii="Arial" w:hAnsi="Arial" w:cs="Arial"/>
          <w:sz w:val="22"/>
          <w:szCs w:val="22"/>
        </w:rPr>
      </w:pPr>
      <w:r w:rsidRPr="00B82603">
        <w:rPr>
          <w:rFonts w:ascii="Arial" w:hAnsi="Arial" w:cs="Arial"/>
          <w:sz w:val="22"/>
          <w:szCs w:val="22"/>
        </w:rPr>
        <w:t>The data was analysed using the following approaches:</w:t>
      </w:r>
    </w:p>
    <w:p w14:paraId="7BF23651" w14:textId="77777777" w:rsidR="006907C8" w:rsidRPr="00B82603" w:rsidRDefault="006907C8" w:rsidP="00A6021A">
      <w:pPr>
        <w:pStyle w:val="ListParagraph"/>
        <w:numPr>
          <w:ilvl w:val="0"/>
          <w:numId w:val="6"/>
        </w:numPr>
        <w:spacing w:line="360" w:lineRule="auto"/>
        <w:rPr>
          <w:rFonts w:ascii="Arial" w:hAnsi="Arial" w:cs="Arial"/>
          <w:sz w:val="22"/>
          <w:szCs w:val="22"/>
        </w:rPr>
      </w:pPr>
      <w:r w:rsidRPr="00B82603">
        <w:rPr>
          <w:rFonts w:ascii="Arial" w:hAnsi="Arial" w:cs="Arial"/>
          <w:sz w:val="22"/>
          <w:szCs w:val="22"/>
        </w:rPr>
        <w:t>Descriptive statistics: average growth rates, variance in FDI flows</w:t>
      </w:r>
    </w:p>
    <w:p w14:paraId="161ACA19" w14:textId="77777777" w:rsidR="006907C8" w:rsidRPr="00B82603" w:rsidRDefault="006907C8" w:rsidP="00A6021A">
      <w:pPr>
        <w:pStyle w:val="ListParagraph"/>
        <w:numPr>
          <w:ilvl w:val="0"/>
          <w:numId w:val="6"/>
        </w:numPr>
        <w:spacing w:line="360" w:lineRule="auto"/>
        <w:rPr>
          <w:rFonts w:ascii="Arial" w:hAnsi="Arial" w:cs="Arial"/>
          <w:sz w:val="22"/>
          <w:szCs w:val="22"/>
        </w:rPr>
      </w:pPr>
      <w:r w:rsidRPr="00B82603">
        <w:rPr>
          <w:rFonts w:ascii="Arial" w:hAnsi="Arial" w:cs="Arial"/>
          <w:sz w:val="22"/>
          <w:szCs w:val="22"/>
        </w:rPr>
        <w:t>Trend analysis: GDP and FDI over time</w:t>
      </w:r>
    </w:p>
    <w:p w14:paraId="1CC7E08C" w14:textId="77777777" w:rsidR="006907C8" w:rsidRPr="00B82603" w:rsidRDefault="006907C8" w:rsidP="00A6021A">
      <w:pPr>
        <w:pStyle w:val="ListParagraph"/>
        <w:numPr>
          <w:ilvl w:val="0"/>
          <w:numId w:val="6"/>
        </w:numPr>
        <w:spacing w:line="360" w:lineRule="auto"/>
        <w:rPr>
          <w:rFonts w:ascii="Arial" w:hAnsi="Arial" w:cs="Arial"/>
          <w:sz w:val="22"/>
          <w:szCs w:val="22"/>
        </w:rPr>
      </w:pPr>
      <w:r w:rsidRPr="00B82603">
        <w:rPr>
          <w:rFonts w:ascii="Arial" w:hAnsi="Arial" w:cs="Arial"/>
          <w:sz w:val="22"/>
          <w:szCs w:val="22"/>
        </w:rPr>
        <w:t>Comparative charts: cross-country rankings in governance and ease of business</w:t>
      </w:r>
    </w:p>
    <w:p w14:paraId="3AFE2EEE" w14:textId="77777777" w:rsidR="006907C8" w:rsidRPr="00B82603" w:rsidRDefault="006907C8" w:rsidP="00A6021A">
      <w:pPr>
        <w:pStyle w:val="ListParagraph"/>
        <w:numPr>
          <w:ilvl w:val="0"/>
          <w:numId w:val="6"/>
        </w:numPr>
        <w:spacing w:line="360" w:lineRule="auto"/>
        <w:rPr>
          <w:rFonts w:ascii="Arial" w:hAnsi="Arial" w:cs="Arial"/>
          <w:sz w:val="22"/>
          <w:szCs w:val="22"/>
        </w:rPr>
      </w:pPr>
      <w:r w:rsidRPr="00B82603">
        <w:rPr>
          <w:rFonts w:ascii="Arial" w:hAnsi="Arial" w:cs="Arial"/>
          <w:sz w:val="22"/>
          <w:szCs w:val="22"/>
        </w:rPr>
        <w:t>Thematic analysis: qualitative interpretation of cultural, political, and leadership narratives</w:t>
      </w:r>
    </w:p>
    <w:p w14:paraId="445B32A8" w14:textId="77777777" w:rsidR="006907C8" w:rsidRPr="00B82603" w:rsidRDefault="006907C8" w:rsidP="00A6021A">
      <w:pPr>
        <w:pStyle w:val="ListParagraph"/>
        <w:numPr>
          <w:ilvl w:val="0"/>
          <w:numId w:val="6"/>
        </w:numPr>
        <w:spacing w:line="360" w:lineRule="auto"/>
        <w:rPr>
          <w:rFonts w:ascii="Arial" w:hAnsi="Arial" w:cs="Arial"/>
          <w:sz w:val="22"/>
          <w:szCs w:val="22"/>
        </w:rPr>
      </w:pPr>
      <w:r w:rsidRPr="00B82603">
        <w:rPr>
          <w:rFonts w:ascii="Arial" w:hAnsi="Arial" w:cs="Arial"/>
          <w:sz w:val="22"/>
          <w:szCs w:val="22"/>
        </w:rPr>
        <w:t>Theoretical application: aligning empirical patterns with Hofstede’s theory, Dunning’s OLI model, and Institutional Theory</w:t>
      </w:r>
    </w:p>
    <w:p w14:paraId="53A46A0C" w14:textId="77777777" w:rsidR="001A1010" w:rsidRPr="00B82603" w:rsidRDefault="006907C8" w:rsidP="00327D03">
      <w:pPr>
        <w:spacing w:line="360" w:lineRule="auto"/>
        <w:rPr>
          <w:rFonts w:ascii="Arial" w:hAnsi="Arial" w:cs="Arial"/>
          <w:sz w:val="22"/>
          <w:szCs w:val="22"/>
        </w:rPr>
      </w:pPr>
      <w:bookmarkStart w:id="23" w:name="_Toc204167128"/>
      <w:r w:rsidRPr="00B82603">
        <w:rPr>
          <w:rStyle w:val="Heading2Char"/>
          <w:rFonts w:ascii="Arial" w:hAnsi="Arial" w:cs="Arial"/>
          <w:b/>
          <w:bCs/>
          <w:color w:val="auto"/>
          <w:sz w:val="22"/>
          <w:szCs w:val="22"/>
        </w:rPr>
        <w:t>3.6 Justification of Methodology</w:t>
      </w:r>
      <w:bookmarkEnd w:id="23"/>
      <w:r w:rsidRPr="00B82603">
        <w:rPr>
          <w:rFonts w:ascii="Arial" w:hAnsi="Arial" w:cs="Arial"/>
          <w:sz w:val="22"/>
          <w:szCs w:val="22"/>
        </w:rPr>
        <w:t xml:space="preserve"> </w:t>
      </w:r>
    </w:p>
    <w:p w14:paraId="79B33AD5" w14:textId="3C7E4832" w:rsidR="006907C8" w:rsidRPr="00B82603" w:rsidRDefault="006907C8" w:rsidP="00327D03">
      <w:pPr>
        <w:spacing w:line="360" w:lineRule="auto"/>
        <w:rPr>
          <w:rFonts w:ascii="Arial" w:hAnsi="Arial" w:cs="Arial"/>
          <w:sz w:val="22"/>
          <w:szCs w:val="22"/>
        </w:rPr>
      </w:pPr>
      <w:r w:rsidRPr="00B82603">
        <w:rPr>
          <w:rFonts w:ascii="Arial" w:hAnsi="Arial" w:cs="Arial"/>
          <w:sz w:val="22"/>
          <w:szCs w:val="22"/>
        </w:rPr>
        <w:t xml:space="preserve">The reliance on secondary data is appropriate given the macroeconomic and institutional scope of the study. Using multiple credible databases ensures triangulation and increases the validity of findings. Comparative methodology enables the researcher to isolate factors </w:t>
      </w:r>
      <w:r w:rsidRPr="00B82603">
        <w:rPr>
          <w:rFonts w:ascii="Arial" w:hAnsi="Arial" w:cs="Arial"/>
          <w:sz w:val="22"/>
          <w:szCs w:val="22"/>
        </w:rPr>
        <w:lastRenderedPageBreak/>
        <w:t>that account for divergence in performance between countries with initially similar characteristics.</w:t>
      </w:r>
    </w:p>
    <w:p w14:paraId="6BE4FB7B" w14:textId="77777777" w:rsidR="006907C8" w:rsidRPr="00B82603" w:rsidRDefault="006907C8" w:rsidP="00327D03">
      <w:pPr>
        <w:pStyle w:val="Heading2"/>
        <w:spacing w:line="360" w:lineRule="auto"/>
        <w:rPr>
          <w:rFonts w:ascii="Arial" w:hAnsi="Arial" w:cs="Arial"/>
          <w:b/>
          <w:bCs/>
          <w:color w:val="auto"/>
          <w:sz w:val="22"/>
          <w:szCs w:val="22"/>
        </w:rPr>
      </w:pPr>
      <w:bookmarkStart w:id="24" w:name="_Toc204167129"/>
      <w:r w:rsidRPr="00B82603">
        <w:rPr>
          <w:rFonts w:ascii="Arial" w:hAnsi="Arial" w:cs="Arial"/>
          <w:b/>
          <w:bCs/>
          <w:color w:val="auto"/>
          <w:sz w:val="22"/>
          <w:szCs w:val="22"/>
        </w:rPr>
        <w:t>3.7 Ethical Considerations</w:t>
      </w:r>
      <w:bookmarkEnd w:id="24"/>
    </w:p>
    <w:p w14:paraId="4A90927F" w14:textId="77777777" w:rsidR="006907C8" w:rsidRPr="00B82603" w:rsidRDefault="006907C8" w:rsidP="00E44883">
      <w:pPr>
        <w:pStyle w:val="ListParagraph"/>
        <w:numPr>
          <w:ilvl w:val="0"/>
          <w:numId w:val="14"/>
        </w:numPr>
        <w:spacing w:line="360" w:lineRule="auto"/>
        <w:rPr>
          <w:rFonts w:ascii="Arial" w:hAnsi="Arial" w:cs="Arial"/>
          <w:sz w:val="22"/>
          <w:szCs w:val="22"/>
        </w:rPr>
      </w:pPr>
      <w:r w:rsidRPr="00B82603">
        <w:rPr>
          <w:rFonts w:ascii="Arial" w:hAnsi="Arial" w:cs="Arial"/>
          <w:sz w:val="22"/>
          <w:szCs w:val="22"/>
        </w:rPr>
        <w:t>No human participants were involved.</w:t>
      </w:r>
    </w:p>
    <w:p w14:paraId="2750F2DF" w14:textId="77777777" w:rsidR="006907C8" w:rsidRPr="00B82603" w:rsidRDefault="006907C8" w:rsidP="00E44883">
      <w:pPr>
        <w:pStyle w:val="ListParagraph"/>
        <w:numPr>
          <w:ilvl w:val="0"/>
          <w:numId w:val="14"/>
        </w:numPr>
        <w:spacing w:line="360" w:lineRule="auto"/>
        <w:rPr>
          <w:rFonts w:ascii="Arial" w:hAnsi="Arial" w:cs="Arial"/>
          <w:sz w:val="22"/>
          <w:szCs w:val="22"/>
        </w:rPr>
      </w:pPr>
      <w:r w:rsidRPr="00B82603">
        <w:rPr>
          <w:rFonts w:ascii="Arial" w:hAnsi="Arial" w:cs="Arial"/>
          <w:sz w:val="22"/>
          <w:szCs w:val="22"/>
        </w:rPr>
        <w:t>Data is sourced from public or open-access platforms.</w:t>
      </w:r>
    </w:p>
    <w:p w14:paraId="67821B98" w14:textId="77777777" w:rsidR="006907C8" w:rsidRPr="00B82603" w:rsidRDefault="006907C8" w:rsidP="00E44883">
      <w:pPr>
        <w:pStyle w:val="ListParagraph"/>
        <w:numPr>
          <w:ilvl w:val="0"/>
          <w:numId w:val="14"/>
        </w:numPr>
        <w:spacing w:line="360" w:lineRule="auto"/>
        <w:rPr>
          <w:rFonts w:ascii="Arial" w:hAnsi="Arial" w:cs="Arial"/>
          <w:sz w:val="22"/>
          <w:szCs w:val="22"/>
        </w:rPr>
      </w:pPr>
      <w:r w:rsidRPr="00B82603">
        <w:rPr>
          <w:rFonts w:ascii="Arial" w:hAnsi="Arial" w:cs="Arial"/>
          <w:sz w:val="22"/>
          <w:szCs w:val="22"/>
        </w:rPr>
        <w:t>Full referencing of sources has been maintained.</w:t>
      </w:r>
    </w:p>
    <w:p w14:paraId="0569741C" w14:textId="77777777" w:rsidR="006907C8" w:rsidRPr="00B82603" w:rsidRDefault="006907C8" w:rsidP="00E44883">
      <w:pPr>
        <w:pStyle w:val="ListParagraph"/>
        <w:numPr>
          <w:ilvl w:val="0"/>
          <w:numId w:val="14"/>
        </w:numPr>
        <w:spacing w:line="360" w:lineRule="auto"/>
        <w:rPr>
          <w:rFonts w:ascii="Arial" w:hAnsi="Arial" w:cs="Arial"/>
          <w:sz w:val="22"/>
          <w:szCs w:val="22"/>
        </w:rPr>
      </w:pPr>
      <w:r w:rsidRPr="00B82603">
        <w:rPr>
          <w:rFonts w:ascii="Arial" w:hAnsi="Arial" w:cs="Arial"/>
          <w:sz w:val="22"/>
          <w:szCs w:val="22"/>
        </w:rPr>
        <w:t>The research adheres to the ethical standards approved by UWTSD ethics committee.</w:t>
      </w:r>
    </w:p>
    <w:p w14:paraId="3997FA23" w14:textId="77777777" w:rsidR="006907C8" w:rsidRPr="00B82603" w:rsidRDefault="006907C8" w:rsidP="00327D03">
      <w:pPr>
        <w:pStyle w:val="Heading2"/>
        <w:spacing w:line="360" w:lineRule="auto"/>
        <w:rPr>
          <w:rFonts w:ascii="Arial" w:hAnsi="Arial" w:cs="Arial"/>
          <w:b/>
          <w:bCs/>
          <w:color w:val="auto"/>
          <w:sz w:val="22"/>
          <w:szCs w:val="22"/>
        </w:rPr>
      </w:pPr>
      <w:bookmarkStart w:id="25" w:name="_Toc204167130"/>
      <w:r w:rsidRPr="00B82603">
        <w:rPr>
          <w:rFonts w:ascii="Arial" w:hAnsi="Arial" w:cs="Arial"/>
          <w:b/>
          <w:bCs/>
          <w:color w:val="auto"/>
          <w:sz w:val="22"/>
          <w:szCs w:val="22"/>
        </w:rPr>
        <w:t>3.8 Limitations</w:t>
      </w:r>
      <w:bookmarkEnd w:id="25"/>
    </w:p>
    <w:p w14:paraId="1663F1C0" w14:textId="77777777" w:rsidR="006907C8" w:rsidRPr="00B82603" w:rsidRDefault="006907C8" w:rsidP="00E44883">
      <w:pPr>
        <w:pStyle w:val="ListParagraph"/>
        <w:numPr>
          <w:ilvl w:val="0"/>
          <w:numId w:val="15"/>
        </w:numPr>
        <w:spacing w:line="360" w:lineRule="auto"/>
        <w:rPr>
          <w:rFonts w:ascii="Arial" w:hAnsi="Arial" w:cs="Arial"/>
          <w:sz w:val="22"/>
          <w:szCs w:val="22"/>
        </w:rPr>
      </w:pPr>
      <w:r w:rsidRPr="00B82603">
        <w:rPr>
          <w:rFonts w:ascii="Arial" w:hAnsi="Arial" w:cs="Arial"/>
          <w:sz w:val="22"/>
          <w:szCs w:val="22"/>
        </w:rPr>
        <w:t>Lack of primary data restricts the study’s ability to capture nuanced perceptions.</w:t>
      </w:r>
    </w:p>
    <w:p w14:paraId="133E0ED8" w14:textId="77777777" w:rsidR="006907C8" w:rsidRPr="00B82603" w:rsidRDefault="006907C8" w:rsidP="00E44883">
      <w:pPr>
        <w:pStyle w:val="ListParagraph"/>
        <w:numPr>
          <w:ilvl w:val="0"/>
          <w:numId w:val="15"/>
        </w:numPr>
        <w:spacing w:line="360" w:lineRule="auto"/>
        <w:rPr>
          <w:rFonts w:ascii="Arial" w:hAnsi="Arial" w:cs="Arial"/>
          <w:sz w:val="22"/>
          <w:szCs w:val="22"/>
        </w:rPr>
      </w:pPr>
      <w:r w:rsidRPr="00B82603">
        <w:rPr>
          <w:rFonts w:ascii="Arial" w:hAnsi="Arial" w:cs="Arial"/>
          <w:sz w:val="22"/>
          <w:szCs w:val="22"/>
        </w:rPr>
        <w:t>Secondary data may vary in collection methodology across countries.</w:t>
      </w:r>
    </w:p>
    <w:p w14:paraId="4ECC41DE" w14:textId="77777777" w:rsidR="006907C8" w:rsidRPr="00B82603" w:rsidRDefault="006907C8" w:rsidP="00E44883">
      <w:pPr>
        <w:pStyle w:val="ListParagraph"/>
        <w:numPr>
          <w:ilvl w:val="0"/>
          <w:numId w:val="15"/>
        </w:numPr>
        <w:spacing w:line="360" w:lineRule="auto"/>
        <w:rPr>
          <w:rFonts w:ascii="Arial" w:hAnsi="Arial" w:cs="Arial"/>
          <w:sz w:val="22"/>
          <w:szCs w:val="22"/>
        </w:rPr>
      </w:pPr>
      <w:r w:rsidRPr="00B82603">
        <w:rPr>
          <w:rFonts w:ascii="Arial" w:hAnsi="Arial" w:cs="Arial"/>
          <w:sz w:val="22"/>
          <w:szCs w:val="22"/>
        </w:rPr>
        <w:t>Cultural and political dimensions involve interpretive bias, despite attempts at objectivity.</w:t>
      </w:r>
    </w:p>
    <w:p w14:paraId="0D07D3D8" w14:textId="77777777" w:rsidR="006907C8" w:rsidRPr="00B82603" w:rsidRDefault="006907C8" w:rsidP="00E44883">
      <w:pPr>
        <w:pStyle w:val="ListParagraph"/>
        <w:numPr>
          <w:ilvl w:val="0"/>
          <w:numId w:val="15"/>
        </w:numPr>
        <w:spacing w:line="360" w:lineRule="auto"/>
        <w:rPr>
          <w:rFonts w:ascii="Arial" w:hAnsi="Arial" w:cs="Arial"/>
          <w:sz w:val="22"/>
          <w:szCs w:val="22"/>
        </w:rPr>
      </w:pPr>
      <w:r w:rsidRPr="00B82603">
        <w:rPr>
          <w:rFonts w:ascii="Arial" w:hAnsi="Arial" w:cs="Arial"/>
          <w:sz w:val="22"/>
          <w:szCs w:val="22"/>
        </w:rPr>
        <w:t>Some governance and sectoral data were unavailable for every year post-accession, creating minor temporal inconsistencies.</w:t>
      </w:r>
    </w:p>
    <w:p w14:paraId="43A598B2" w14:textId="77777777" w:rsidR="001A1010" w:rsidRPr="00B82603" w:rsidRDefault="006907C8" w:rsidP="00327D03">
      <w:pPr>
        <w:spacing w:line="360" w:lineRule="auto"/>
        <w:rPr>
          <w:rFonts w:ascii="Arial" w:hAnsi="Arial" w:cs="Arial"/>
          <w:sz w:val="22"/>
          <w:szCs w:val="22"/>
        </w:rPr>
      </w:pPr>
      <w:bookmarkStart w:id="26" w:name="_Toc204167131"/>
      <w:r w:rsidRPr="00B82603">
        <w:rPr>
          <w:rStyle w:val="Heading2Char"/>
          <w:rFonts w:ascii="Arial" w:hAnsi="Arial" w:cs="Arial"/>
          <w:b/>
          <w:bCs/>
          <w:color w:val="auto"/>
          <w:sz w:val="22"/>
          <w:szCs w:val="22"/>
        </w:rPr>
        <w:t>3.9 Chapter Summary</w:t>
      </w:r>
      <w:bookmarkEnd w:id="26"/>
      <w:r w:rsidRPr="00B82603">
        <w:rPr>
          <w:rFonts w:ascii="Arial" w:hAnsi="Arial" w:cs="Arial"/>
          <w:sz w:val="22"/>
          <w:szCs w:val="22"/>
        </w:rPr>
        <w:t xml:space="preserve"> </w:t>
      </w:r>
    </w:p>
    <w:p w14:paraId="0056B20E" w14:textId="65853DED" w:rsidR="006907C8" w:rsidRPr="00B82603" w:rsidRDefault="006907C8" w:rsidP="00327D03">
      <w:pPr>
        <w:spacing w:line="360" w:lineRule="auto"/>
        <w:rPr>
          <w:rFonts w:ascii="Arial" w:hAnsi="Arial" w:cs="Arial"/>
          <w:sz w:val="22"/>
          <w:szCs w:val="22"/>
        </w:rPr>
      </w:pPr>
      <w:r w:rsidRPr="00B82603">
        <w:rPr>
          <w:rFonts w:ascii="Arial" w:hAnsi="Arial" w:cs="Arial"/>
          <w:sz w:val="22"/>
          <w:szCs w:val="22"/>
        </w:rPr>
        <w:t>This chapter presented the research framework, data sources, and analytical tools employed in this dissertation. By using a comparative case study approach with theoretical application, the methodology supports a robust analysis of how EU membership, political governance, and cultural dynamics shaped the economic outcomes of Poland and Romania. The next chapter presents the core findings from the data collected, structured by economic, political, and sectoral themes.</w:t>
      </w:r>
    </w:p>
    <w:p w14:paraId="6AE44B2A" w14:textId="63489A06" w:rsidR="00714268" w:rsidRPr="00B82603" w:rsidRDefault="006C0994" w:rsidP="00327D03">
      <w:pPr>
        <w:spacing w:line="360" w:lineRule="auto"/>
        <w:rPr>
          <w:rFonts w:ascii="Arial" w:hAnsi="Arial" w:cs="Arial"/>
          <w:sz w:val="22"/>
          <w:szCs w:val="22"/>
        </w:rPr>
      </w:pPr>
      <w:r w:rsidRPr="00B82603">
        <w:rPr>
          <w:rFonts w:ascii="Arial" w:hAnsi="Arial" w:cs="Arial"/>
          <w:sz w:val="22"/>
          <w:szCs w:val="22"/>
        </w:rPr>
        <w:t>Furthermore, this chapter's methodology clearly supports the dissertation’s research objectives, particularly the comparative nature of Objectives 1, 2, and 3. The decision to focus on Poland and Romania allows for controlled comparison due to their shared EU integration pathway but divergent developmental results. The selected theories</w:t>
      </w:r>
      <w:r w:rsidR="00F02F5F" w:rsidRPr="00B82603">
        <w:rPr>
          <w:rFonts w:ascii="Arial" w:hAnsi="Arial" w:cs="Arial"/>
          <w:sz w:val="22"/>
          <w:szCs w:val="22"/>
        </w:rPr>
        <w:t xml:space="preserve"> </w:t>
      </w:r>
      <w:r w:rsidRPr="00B82603">
        <w:rPr>
          <w:rFonts w:ascii="Arial" w:hAnsi="Arial" w:cs="Arial"/>
          <w:sz w:val="22"/>
          <w:szCs w:val="22"/>
        </w:rPr>
        <w:t>such as Hofstede's dimensions and the OLI paradigm</w:t>
      </w:r>
      <w:r w:rsidR="00F02F5F" w:rsidRPr="00B82603">
        <w:rPr>
          <w:rFonts w:ascii="Arial" w:hAnsi="Arial" w:cs="Arial"/>
          <w:sz w:val="22"/>
          <w:szCs w:val="22"/>
        </w:rPr>
        <w:t xml:space="preserve"> </w:t>
      </w:r>
      <w:r w:rsidRPr="00B82603">
        <w:rPr>
          <w:rFonts w:ascii="Arial" w:hAnsi="Arial" w:cs="Arial"/>
          <w:sz w:val="22"/>
          <w:szCs w:val="22"/>
        </w:rPr>
        <w:t>will be applied throughout the analysis in Chapters 4 and 5, strengthening the connection between empirical data and conceptual frameworks.</w:t>
      </w:r>
    </w:p>
    <w:p w14:paraId="5AD89EE1" w14:textId="77777777" w:rsidR="003F4423" w:rsidRPr="00B82603" w:rsidRDefault="003F4423" w:rsidP="00327D03">
      <w:pPr>
        <w:spacing w:line="360" w:lineRule="auto"/>
        <w:rPr>
          <w:rFonts w:ascii="Arial" w:hAnsi="Arial" w:cs="Arial"/>
          <w:sz w:val="22"/>
          <w:szCs w:val="22"/>
        </w:rPr>
      </w:pPr>
    </w:p>
    <w:p w14:paraId="53248AC2" w14:textId="77777777" w:rsidR="00714268" w:rsidRPr="00B82603" w:rsidRDefault="00714268" w:rsidP="00327D03">
      <w:pPr>
        <w:pStyle w:val="Heading1"/>
        <w:spacing w:line="360" w:lineRule="auto"/>
        <w:rPr>
          <w:rFonts w:ascii="Arial" w:eastAsia="Times New Roman" w:hAnsi="Arial" w:cs="Arial"/>
          <w:b/>
          <w:bCs/>
          <w:color w:val="auto"/>
          <w:sz w:val="22"/>
          <w:szCs w:val="22"/>
          <w:lang w:eastAsia="en-GB"/>
        </w:rPr>
      </w:pPr>
      <w:bookmarkStart w:id="27" w:name="_Toc204167132"/>
      <w:r w:rsidRPr="00B82603">
        <w:rPr>
          <w:rFonts w:ascii="Arial" w:eastAsia="Times New Roman" w:hAnsi="Arial" w:cs="Arial"/>
          <w:b/>
          <w:bCs/>
          <w:color w:val="auto"/>
          <w:sz w:val="22"/>
          <w:szCs w:val="22"/>
          <w:lang w:eastAsia="en-GB"/>
        </w:rPr>
        <w:lastRenderedPageBreak/>
        <w:t>Chapter 4: Findings and Data Analysis</w:t>
      </w:r>
      <w:bookmarkEnd w:id="27"/>
    </w:p>
    <w:p w14:paraId="3BEC2219"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28" w:name="_Toc204167133"/>
      <w:r w:rsidRPr="00B82603">
        <w:rPr>
          <w:rFonts w:ascii="Arial" w:eastAsia="Times New Roman" w:hAnsi="Arial" w:cs="Arial"/>
          <w:b/>
          <w:bCs/>
          <w:color w:val="auto"/>
          <w:sz w:val="22"/>
          <w:szCs w:val="22"/>
          <w:lang w:eastAsia="en-GB"/>
        </w:rPr>
        <w:t>4.1 Introduction</w:t>
      </w:r>
      <w:bookmarkEnd w:id="28"/>
    </w:p>
    <w:p w14:paraId="6CE4E8F4"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chapter presents the comparative findings on Poland and Romania since their EU accession, structured by the main themes: GDP growth, FDI inflows, political transparency, ease of doing business, and sectoral case studies.</w:t>
      </w:r>
    </w:p>
    <w:p w14:paraId="24C9CA9C"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29" w:name="_Toc204167134"/>
      <w:r w:rsidRPr="00B82603">
        <w:rPr>
          <w:rFonts w:ascii="Arial" w:eastAsia="Times New Roman" w:hAnsi="Arial" w:cs="Arial"/>
          <w:b/>
          <w:bCs/>
          <w:color w:val="auto"/>
          <w:sz w:val="22"/>
          <w:szCs w:val="22"/>
          <w:lang w:eastAsia="en-GB"/>
        </w:rPr>
        <w:t>4.2 Macroeconomic Performance</w:t>
      </w:r>
      <w:bookmarkEnd w:id="29"/>
    </w:p>
    <w:p w14:paraId="6C6E80C9" w14:textId="77777777" w:rsidR="00714268" w:rsidRPr="00B82603" w:rsidRDefault="00714268" w:rsidP="00327D03">
      <w:pPr>
        <w:pStyle w:val="Heading3"/>
        <w:spacing w:line="360" w:lineRule="auto"/>
        <w:rPr>
          <w:rFonts w:ascii="Arial" w:eastAsia="Times New Roman" w:hAnsi="Arial" w:cs="Arial"/>
          <w:b/>
          <w:bCs/>
          <w:color w:val="auto"/>
          <w:sz w:val="22"/>
          <w:szCs w:val="22"/>
          <w:lang w:eastAsia="en-GB"/>
        </w:rPr>
      </w:pPr>
      <w:bookmarkStart w:id="30" w:name="_Toc204167135"/>
      <w:r w:rsidRPr="00B82603">
        <w:rPr>
          <w:rFonts w:ascii="Arial" w:eastAsia="Times New Roman" w:hAnsi="Arial" w:cs="Arial"/>
          <w:b/>
          <w:bCs/>
          <w:color w:val="auto"/>
          <w:sz w:val="22"/>
          <w:szCs w:val="22"/>
          <w:lang w:eastAsia="en-GB"/>
        </w:rPr>
        <w:t>4.2.1 GDP Growth</w:t>
      </w:r>
      <w:bookmarkEnd w:id="30"/>
    </w:p>
    <w:p w14:paraId="664F8F1C"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Poland experienced consistent GDP growth post-2004, even during the 2008 crisis. Between 2004–2023, Poland’s GDP grew from €198 billion to €748 billion (Eurostat, 2023).</w:t>
      </w:r>
    </w:p>
    <w:p w14:paraId="560FF0E8" w14:textId="614E6B87" w:rsidR="007C5E32"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Romania: </w:t>
      </w:r>
      <w:r w:rsidR="004F3A4C" w:rsidRPr="00B82603">
        <w:rPr>
          <w:rFonts w:ascii="Arial" w:eastAsia="Times New Roman" w:hAnsi="Arial" w:cs="Arial"/>
          <w:kern w:val="0"/>
          <w:sz w:val="22"/>
          <w:szCs w:val="22"/>
          <w:lang w:eastAsia="en-GB"/>
          <w14:ligatures w14:val="none"/>
        </w:rPr>
        <w:t>Romania joined in 2007 and has shown strong but volatile growth. As of 2023, its GDP has increased from €124 billion to €341 billion (Eurostat, 2023).</w:t>
      </w:r>
    </w:p>
    <w:p w14:paraId="3428DC1A" w14:textId="4C00234F" w:rsidR="006B31C7" w:rsidRPr="00B82603" w:rsidRDefault="007C5E32"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divergence also reflects differences in economic policy orientation. Poland pursued export-driven growth supported by EU investment and industrial policy, whereas Romania relied more heavily on consumption and remittances. These distinct strategies affected long-term sustainability, with Poland better weathering economic shocks and maintaining stable growth.</w:t>
      </w:r>
    </w:p>
    <w:p w14:paraId="3E49B723" w14:textId="7549D81E" w:rsidR="00714268" w:rsidRPr="00B82603" w:rsidRDefault="00714268" w:rsidP="00327D03">
      <w:pPr>
        <w:spacing w:line="360" w:lineRule="auto"/>
        <w:rPr>
          <w:rFonts w:ascii="Arial" w:eastAsia="Times New Roman" w:hAnsi="Arial" w:cs="Arial"/>
          <w:kern w:val="0"/>
          <w:sz w:val="22"/>
          <w:szCs w:val="22"/>
          <w:lang w:eastAsia="en-GB"/>
          <w14:ligatures w14:val="none"/>
        </w:rPr>
      </w:pPr>
      <w:bookmarkStart w:id="31" w:name="_Toc204167136"/>
      <w:r w:rsidRPr="00B82603">
        <w:rPr>
          <w:rStyle w:val="Heading3Char"/>
          <w:rFonts w:ascii="Arial" w:hAnsi="Arial" w:cs="Arial"/>
          <w:b/>
          <w:bCs/>
          <w:color w:val="auto"/>
          <w:sz w:val="22"/>
          <w:szCs w:val="22"/>
        </w:rPr>
        <w:t>4.2.2 Comparison Chart</w:t>
      </w:r>
      <w:bookmarkEnd w:id="31"/>
    </w:p>
    <w:p w14:paraId="4BAE5F94" w14:textId="71385B59" w:rsidR="0059684E" w:rsidRPr="00B82603" w:rsidRDefault="00327D02"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noProof/>
          <w:kern w:val="0"/>
          <w:sz w:val="22"/>
          <w:szCs w:val="22"/>
          <w:lang w:eastAsia="en-GB"/>
          <w14:ligatures w14:val="none"/>
        </w:rPr>
        <w:drawing>
          <wp:inline distT="0" distB="0" distL="0" distR="0" wp14:anchorId="0A6991B7" wp14:editId="2CF4EA4A">
            <wp:extent cx="5731510" cy="3415665"/>
            <wp:effectExtent l="0" t="0" r="2540" b="0"/>
            <wp:docPr id="1762868970" name="Picture 4" descr="A graph with orang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868970" name="Picture 4" descr="A graph with orange lin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415665"/>
                    </a:xfrm>
                    <a:prstGeom prst="rect">
                      <a:avLst/>
                    </a:prstGeom>
                    <a:noFill/>
                    <a:ln>
                      <a:noFill/>
                    </a:ln>
                  </pic:spPr>
                </pic:pic>
              </a:graphicData>
            </a:graphic>
          </wp:inline>
        </w:drawing>
      </w:r>
    </w:p>
    <w:p w14:paraId="2D03841F"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32" w:name="_Toc204167137"/>
      <w:r w:rsidRPr="00B82603">
        <w:rPr>
          <w:rFonts w:ascii="Arial" w:eastAsia="Times New Roman" w:hAnsi="Arial" w:cs="Arial"/>
          <w:b/>
          <w:bCs/>
          <w:color w:val="auto"/>
          <w:sz w:val="22"/>
          <w:szCs w:val="22"/>
          <w:lang w:eastAsia="en-GB"/>
        </w:rPr>
        <w:lastRenderedPageBreak/>
        <w:t>4.3 FDI Inflows</w:t>
      </w:r>
      <w:bookmarkEnd w:id="32"/>
    </w:p>
    <w:p w14:paraId="7AF05AE5"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Poland:</w:t>
      </w:r>
      <w:r w:rsidRPr="00B82603">
        <w:rPr>
          <w:rFonts w:ascii="Arial" w:eastAsia="Times New Roman" w:hAnsi="Arial" w:cs="Arial"/>
          <w:kern w:val="0"/>
          <w:sz w:val="22"/>
          <w:szCs w:val="22"/>
          <w:lang w:eastAsia="en-GB"/>
          <w14:ligatures w14:val="none"/>
        </w:rPr>
        <w:t xml:space="preserve"> Attracted higher and more consistent FDI, especially in manufacturing, services, and tech sectors. FDI reached €26.2 billion in 2022 (OECD, 2023).</w:t>
      </w:r>
    </w:p>
    <w:p w14:paraId="71DC07E3" w14:textId="77777777" w:rsidR="00714268"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Romania:</w:t>
      </w:r>
      <w:r w:rsidRPr="00B82603">
        <w:rPr>
          <w:rFonts w:ascii="Arial" w:eastAsia="Times New Roman" w:hAnsi="Arial" w:cs="Arial"/>
          <w:kern w:val="0"/>
          <w:sz w:val="22"/>
          <w:szCs w:val="22"/>
          <w:lang w:eastAsia="en-GB"/>
          <w14:ligatures w14:val="none"/>
        </w:rPr>
        <w:t xml:space="preserve"> Slower to attract high-value FDI, often limited to low-cost manufacturing and outsourcing. 2022 FDI was around €10.7 billion.</w:t>
      </w:r>
    </w:p>
    <w:p w14:paraId="021A5491" w14:textId="77777777" w:rsidR="009F05FB" w:rsidRPr="00B82603" w:rsidRDefault="009F05FB" w:rsidP="00327D03">
      <w:pPr>
        <w:spacing w:line="360" w:lineRule="auto"/>
        <w:rPr>
          <w:rFonts w:ascii="Arial" w:eastAsia="Times New Roman" w:hAnsi="Arial" w:cs="Arial"/>
          <w:kern w:val="0"/>
          <w:sz w:val="22"/>
          <w:szCs w:val="22"/>
          <w:lang w:eastAsia="en-GB"/>
          <w14:ligatures w14:val="none"/>
        </w:rPr>
      </w:pPr>
    </w:p>
    <w:p w14:paraId="212783AE" w14:textId="77777777" w:rsidR="00714268" w:rsidRPr="00B82603" w:rsidRDefault="00714268" w:rsidP="00327D03">
      <w:pPr>
        <w:spacing w:line="360" w:lineRule="auto"/>
        <w:rPr>
          <w:rFonts w:ascii="Arial" w:eastAsia="Times New Roman" w:hAnsi="Arial" w:cs="Arial"/>
          <w:b/>
          <w:bCs/>
          <w:kern w:val="0"/>
          <w:sz w:val="22"/>
          <w:szCs w:val="22"/>
          <w:lang w:eastAsia="en-GB"/>
          <w14:ligatures w14:val="none"/>
        </w:rPr>
      </w:pPr>
      <w:r w:rsidRPr="00B82603">
        <w:rPr>
          <w:rFonts w:ascii="Arial" w:eastAsia="Times New Roman" w:hAnsi="Arial" w:cs="Arial"/>
          <w:b/>
          <w:bCs/>
          <w:kern w:val="0"/>
          <w:sz w:val="22"/>
          <w:szCs w:val="22"/>
          <w:lang w:eastAsia="en-GB"/>
          <w14:ligatures w14:val="none"/>
        </w:rPr>
        <w:t>Key Influences:</w:t>
      </w:r>
    </w:p>
    <w:p w14:paraId="03F37990" w14:textId="77777777" w:rsidR="00714268" w:rsidRPr="00B82603" w:rsidRDefault="00714268" w:rsidP="00A6021A">
      <w:pPr>
        <w:pStyle w:val="ListParagraph"/>
        <w:numPr>
          <w:ilvl w:val="0"/>
          <w:numId w:val="7"/>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Poland's early reforms and larger market size</w:t>
      </w:r>
    </w:p>
    <w:p w14:paraId="2E8B4A80" w14:textId="77777777" w:rsidR="00714268" w:rsidRPr="00B82603" w:rsidRDefault="00714268" w:rsidP="00A6021A">
      <w:pPr>
        <w:pStyle w:val="ListParagraph"/>
        <w:numPr>
          <w:ilvl w:val="0"/>
          <w:numId w:val="7"/>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Political instability in Romania slowed investor confidence</w:t>
      </w:r>
    </w:p>
    <w:p w14:paraId="30B5EB64"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33" w:name="_Toc204167138"/>
      <w:r w:rsidRPr="00B82603">
        <w:rPr>
          <w:rFonts w:ascii="Arial" w:eastAsia="Times New Roman" w:hAnsi="Arial" w:cs="Arial"/>
          <w:b/>
          <w:bCs/>
          <w:color w:val="auto"/>
          <w:sz w:val="22"/>
          <w:szCs w:val="22"/>
          <w:lang w:eastAsia="en-GB"/>
        </w:rPr>
        <w:t>4.4 Ease of Doing Business</w:t>
      </w:r>
      <w:bookmarkEnd w:id="33"/>
    </w:p>
    <w:p w14:paraId="4E141B77" w14:textId="3F6BAD61"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ranked 40</w:t>
      </w:r>
      <w:r w:rsidR="00C54943" w:rsidRPr="00B82603">
        <w:rPr>
          <w:rFonts w:ascii="Arial" w:eastAsia="Times New Roman" w:hAnsi="Arial" w:cs="Arial"/>
          <w:kern w:val="0"/>
          <w:sz w:val="22"/>
          <w:szCs w:val="22"/>
          <w:lang w:eastAsia="en-GB"/>
          <w14:ligatures w14:val="none"/>
        </w:rPr>
        <w:t>th</w:t>
      </w:r>
      <w:r w:rsidRPr="00B82603">
        <w:rPr>
          <w:rFonts w:ascii="Arial" w:eastAsia="Times New Roman" w:hAnsi="Arial" w:cs="Arial"/>
          <w:kern w:val="0"/>
          <w:sz w:val="22"/>
          <w:szCs w:val="22"/>
          <w:lang w:eastAsia="en-GB"/>
          <w14:ligatures w14:val="none"/>
        </w:rPr>
        <w:t xml:space="preserve"> in 2020 (World Bank, 2020)</w:t>
      </w:r>
    </w:p>
    <w:p w14:paraId="746E90A6"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Romania ranked 55th in 2020</w:t>
      </w:r>
    </w:p>
    <w:p w14:paraId="50B02A23"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scores better in areas such as contract enforcement, investor protection, and tax compliance.</w:t>
      </w:r>
    </w:p>
    <w:p w14:paraId="1A34BE22" w14:textId="786DC6B9" w:rsidR="007A7F3E" w:rsidRPr="00B82603" w:rsidRDefault="007A7F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No official global rankings have been published post</w:t>
      </w:r>
      <w:r w:rsidR="00423401" w:rsidRPr="00B82603">
        <w:rPr>
          <w:rFonts w:ascii="Arial" w:eastAsia="Times New Roman" w:hAnsi="Arial" w:cs="Arial"/>
          <w:kern w:val="0"/>
          <w:sz w:val="22"/>
          <w:szCs w:val="22"/>
          <w:lang w:eastAsia="en-GB"/>
          <w14:ligatures w14:val="none"/>
        </w:rPr>
        <w:t xml:space="preserve"> </w:t>
      </w:r>
      <w:r w:rsidRPr="00B82603">
        <w:rPr>
          <w:rFonts w:ascii="Arial" w:eastAsia="Times New Roman" w:hAnsi="Arial" w:cs="Arial"/>
          <w:kern w:val="0"/>
          <w:sz w:val="22"/>
          <w:szCs w:val="22"/>
          <w:lang w:eastAsia="en-GB"/>
          <w14:ligatures w14:val="none"/>
        </w:rPr>
        <w:t>2020, though the Business Ready tool is being developed.</w:t>
      </w:r>
    </w:p>
    <w:p w14:paraId="114D680B"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34" w:name="_Toc204167139"/>
      <w:r w:rsidRPr="00B82603">
        <w:rPr>
          <w:rFonts w:ascii="Arial" w:eastAsia="Times New Roman" w:hAnsi="Arial" w:cs="Arial"/>
          <w:b/>
          <w:bCs/>
          <w:color w:val="auto"/>
          <w:sz w:val="22"/>
          <w:szCs w:val="22"/>
          <w:lang w:eastAsia="en-GB"/>
        </w:rPr>
        <w:t>4.5 Corruption and Transparency</w:t>
      </w:r>
      <w:bookmarkEnd w:id="34"/>
    </w:p>
    <w:p w14:paraId="619D33FA" w14:textId="751433EA"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Transparency International CPI (202</w:t>
      </w:r>
      <w:r w:rsidR="008422BF" w:rsidRPr="00B82603">
        <w:rPr>
          <w:rFonts w:ascii="Arial" w:eastAsia="Times New Roman" w:hAnsi="Arial" w:cs="Arial"/>
          <w:kern w:val="0"/>
          <w:sz w:val="22"/>
          <w:szCs w:val="22"/>
          <w:lang w:eastAsia="en-GB"/>
          <w14:ligatures w14:val="none"/>
        </w:rPr>
        <w:t>4</w:t>
      </w:r>
      <w:r w:rsidRPr="00B82603">
        <w:rPr>
          <w:rFonts w:ascii="Arial" w:eastAsia="Times New Roman" w:hAnsi="Arial" w:cs="Arial"/>
          <w:kern w:val="0"/>
          <w:sz w:val="22"/>
          <w:szCs w:val="22"/>
          <w:lang w:eastAsia="en-GB"/>
          <w14:ligatures w14:val="none"/>
        </w:rPr>
        <w:t>):</w:t>
      </w:r>
    </w:p>
    <w:p w14:paraId="35497FD6" w14:textId="7F89EEE7" w:rsidR="00724ACA" w:rsidRPr="00B82603" w:rsidRDefault="00A1770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noProof/>
          <w:kern w:val="0"/>
          <w:sz w:val="22"/>
          <w:szCs w:val="22"/>
          <w:lang w:eastAsia="en-GB"/>
          <w14:ligatures w14:val="none"/>
        </w:rPr>
        <w:lastRenderedPageBreak/>
        <w:drawing>
          <wp:inline distT="0" distB="0" distL="0" distR="0" wp14:anchorId="3702579C" wp14:editId="7E59F0CB">
            <wp:extent cx="5731510" cy="3415665"/>
            <wp:effectExtent l="0" t="0" r="2540" b="0"/>
            <wp:docPr id="259327715" name="Picture 2" descr="A graph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327715" name="Picture 2" descr="A graph with orange line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415665"/>
                    </a:xfrm>
                    <a:prstGeom prst="rect">
                      <a:avLst/>
                    </a:prstGeom>
                    <a:noFill/>
                    <a:ln>
                      <a:noFill/>
                    </a:ln>
                  </pic:spPr>
                </pic:pic>
              </a:graphicData>
            </a:graphic>
          </wp:inline>
        </w:drawing>
      </w:r>
    </w:p>
    <w:p w14:paraId="71C1CD0B" w14:textId="1E03B712"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Romania still struggles with judicial reform and high-profile corruption cases, while Poland faces concerns over political interference but maintains </w:t>
      </w:r>
      <w:r w:rsidR="005143FE" w:rsidRPr="00B82603">
        <w:rPr>
          <w:rFonts w:ascii="Arial" w:eastAsia="Times New Roman" w:hAnsi="Arial" w:cs="Arial"/>
          <w:kern w:val="0"/>
          <w:sz w:val="22"/>
          <w:szCs w:val="22"/>
          <w:lang w:eastAsia="en-GB"/>
          <w14:ligatures w14:val="none"/>
        </w:rPr>
        <w:t>stronger</w:t>
      </w:r>
      <w:r w:rsidRPr="00B82603">
        <w:rPr>
          <w:rFonts w:ascii="Arial" w:eastAsia="Times New Roman" w:hAnsi="Arial" w:cs="Arial"/>
          <w:kern w:val="0"/>
          <w:sz w:val="22"/>
          <w:szCs w:val="22"/>
          <w:lang w:eastAsia="en-GB"/>
          <w14:ligatures w14:val="none"/>
        </w:rPr>
        <w:t xml:space="preserve"> institutions.</w:t>
      </w:r>
    </w:p>
    <w:p w14:paraId="32E41DA0"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35" w:name="_Toc204167140"/>
      <w:r w:rsidRPr="00B82603">
        <w:rPr>
          <w:rFonts w:ascii="Arial" w:eastAsia="Times New Roman" w:hAnsi="Arial" w:cs="Arial"/>
          <w:b/>
          <w:bCs/>
          <w:color w:val="auto"/>
          <w:sz w:val="22"/>
          <w:szCs w:val="22"/>
          <w:lang w:eastAsia="en-GB"/>
        </w:rPr>
        <w:t>4.6 Sectoral Case Studies</w:t>
      </w:r>
      <w:bookmarkEnd w:id="35"/>
    </w:p>
    <w:p w14:paraId="74515C10"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Poland</w:t>
      </w:r>
      <w:r w:rsidRPr="00B82603">
        <w:rPr>
          <w:rFonts w:ascii="Arial" w:eastAsia="Times New Roman" w:hAnsi="Arial" w:cs="Arial"/>
          <w:kern w:val="0"/>
          <w:sz w:val="22"/>
          <w:szCs w:val="22"/>
          <w:lang w:eastAsia="en-GB"/>
          <w14:ligatures w14:val="none"/>
        </w:rPr>
        <w:t>: Thriving Industry – Automotive Sector</w:t>
      </w:r>
    </w:p>
    <w:p w14:paraId="7045C2F4" w14:textId="77777777" w:rsidR="00714268" w:rsidRPr="00B82603" w:rsidRDefault="00714268" w:rsidP="00A6021A">
      <w:pPr>
        <w:pStyle w:val="ListParagraph"/>
        <w:numPr>
          <w:ilvl w:val="0"/>
          <w:numId w:val="8"/>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Major hub for vehicle parts manufacturing and export.</w:t>
      </w:r>
    </w:p>
    <w:p w14:paraId="3F54EF45" w14:textId="77777777" w:rsidR="00714268" w:rsidRPr="00B82603" w:rsidRDefault="00714268" w:rsidP="00A6021A">
      <w:pPr>
        <w:pStyle w:val="ListParagraph"/>
        <w:numPr>
          <w:ilvl w:val="0"/>
          <w:numId w:val="8"/>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FDI from Germany, France, and Japan.</w:t>
      </w:r>
    </w:p>
    <w:p w14:paraId="386C01CF" w14:textId="118CBD93" w:rsidR="00714268" w:rsidRPr="00B82603" w:rsidRDefault="00714268" w:rsidP="00A6021A">
      <w:pPr>
        <w:pStyle w:val="ListParagraph"/>
        <w:numPr>
          <w:ilvl w:val="0"/>
          <w:numId w:val="8"/>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Contributed 10% to GDP in 2022.</w:t>
      </w:r>
    </w:p>
    <w:p w14:paraId="228E3094"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Romania</w:t>
      </w:r>
      <w:r w:rsidRPr="00B82603">
        <w:rPr>
          <w:rFonts w:ascii="Arial" w:eastAsia="Times New Roman" w:hAnsi="Arial" w:cs="Arial"/>
          <w:kern w:val="0"/>
          <w:sz w:val="22"/>
          <w:szCs w:val="22"/>
          <w:lang w:eastAsia="en-GB"/>
          <w14:ligatures w14:val="none"/>
        </w:rPr>
        <w:t>: Thriving Industry – IT and Software Services</w:t>
      </w:r>
    </w:p>
    <w:p w14:paraId="43EA5117" w14:textId="77777777" w:rsidR="00714268" w:rsidRPr="00B82603" w:rsidRDefault="00714268" w:rsidP="00A6021A">
      <w:pPr>
        <w:pStyle w:val="ListParagraph"/>
        <w:numPr>
          <w:ilvl w:val="0"/>
          <w:numId w:val="9"/>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Rapid growth due to skilled labour and low costs.</w:t>
      </w:r>
    </w:p>
    <w:p w14:paraId="0F35C975" w14:textId="77777777" w:rsidR="00714268" w:rsidRPr="00B82603" w:rsidRDefault="00714268" w:rsidP="00A6021A">
      <w:pPr>
        <w:pStyle w:val="ListParagraph"/>
        <w:numPr>
          <w:ilvl w:val="0"/>
          <w:numId w:val="9"/>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Companies like UiPath emerged as global leaders.</w:t>
      </w:r>
    </w:p>
    <w:p w14:paraId="1D7E48C6"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Romania</w:t>
      </w:r>
      <w:r w:rsidRPr="00B82603">
        <w:rPr>
          <w:rFonts w:ascii="Arial" w:eastAsia="Times New Roman" w:hAnsi="Arial" w:cs="Arial"/>
          <w:kern w:val="0"/>
          <w:sz w:val="22"/>
          <w:szCs w:val="22"/>
          <w:lang w:eastAsia="en-GB"/>
          <w14:ligatures w14:val="none"/>
        </w:rPr>
        <w:t>: Struggling Sector – Agriculture</w:t>
      </w:r>
    </w:p>
    <w:p w14:paraId="10BAA169" w14:textId="77777777" w:rsidR="00714268" w:rsidRPr="00B82603" w:rsidRDefault="00714268" w:rsidP="00A6021A">
      <w:pPr>
        <w:pStyle w:val="ListParagraph"/>
        <w:numPr>
          <w:ilvl w:val="0"/>
          <w:numId w:val="10"/>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Limited EU fund absorption, low productivity.</w:t>
      </w:r>
    </w:p>
    <w:p w14:paraId="62CEE593"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Poland</w:t>
      </w:r>
      <w:r w:rsidRPr="00B82603">
        <w:rPr>
          <w:rFonts w:ascii="Arial" w:eastAsia="Times New Roman" w:hAnsi="Arial" w:cs="Arial"/>
          <w:kern w:val="0"/>
          <w:sz w:val="22"/>
          <w:szCs w:val="22"/>
          <w:lang w:eastAsia="en-GB"/>
          <w14:ligatures w14:val="none"/>
        </w:rPr>
        <w:t>: Struggling Sector – Coal Mining</w:t>
      </w:r>
    </w:p>
    <w:p w14:paraId="364A2D97" w14:textId="77777777" w:rsidR="00714268" w:rsidRPr="00B82603" w:rsidRDefault="00714268" w:rsidP="00A6021A">
      <w:pPr>
        <w:pStyle w:val="ListParagraph"/>
        <w:numPr>
          <w:ilvl w:val="0"/>
          <w:numId w:val="10"/>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EU climate targets and decarbonisation pressure.</w:t>
      </w:r>
    </w:p>
    <w:p w14:paraId="56C3D6FE"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36" w:name="_Toc204167141"/>
      <w:r w:rsidRPr="00B82603">
        <w:rPr>
          <w:rFonts w:ascii="Arial" w:eastAsia="Times New Roman" w:hAnsi="Arial" w:cs="Arial"/>
          <w:b/>
          <w:bCs/>
          <w:color w:val="auto"/>
          <w:sz w:val="22"/>
          <w:szCs w:val="22"/>
          <w:lang w:eastAsia="en-GB"/>
        </w:rPr>
        <w:t>4.7 Diaspora and Labour Mobility</w:t>
      </w:r>
      <w:bookmarkEnd w:id="36"/>
    </w:p>
    <w:p w14:paraId="321B9FA6" w14:textId="7D52256C"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Romania: 5 million working abroad (Eurostat, 2023)</w:t>
      </w:r>
    </w:p>
    <w:p w14:paraId="68C860D2" w14:textId="53729353"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lastRenderedPageBreak/>
        <w:t>Poland: 2.5 million abroad</w:t>
      </w:r>
    </w:p>
    <w:p w14:paraId="6A3736FF" w14:textId="77777777" w:rsidR="00714268" w:rsidRPr="00B82603" w:rsidRDefault="00714268" w:rsidP="00327D03">
      <w:pPr>
        <w:spacing w:line="360" w:lineRule="auto"/>
        <w:rPr>
          <w:rFonts w:ascii="Arial" w:eastAsia="Times New Roman" w:hAnsi="Arial" w:cs="Arial"/>
          <w:b/>
          <w:bCs/>
          <w:kern w:val="0"/>
          <w:sz w:val="22"/>
          <w:szCs w:val="22"/>
          <w:lang w:eastAsia="en-GB"/>
          <w14:ligatures w14:val="none"/>
        </w:rPr>
      </w:pPr>
      <w:r w:rsidRPr="00B82603">
        <w:rPr>
          <w:rFonts w:ascii="Arial" w:eastAsia="Times New Roman" w:hAnsi="Arial" w:cs="Arial"/>
          <w:b/>
          <w:bCs/>
          <w:kern w:val="0"/>
          <w:sz w:val="22"/>
          <w:szCs w:val="22"/>
          <w:lang w:eastAsia="en-GB"/>
          <w14:ligatures w14:val="none"/>
        </w:rPr>
        <w:t>Impact:</w:t>
      </w:r>
    </w:p>
    <w:p w14:paraId="6345C541" w14:textId="77777777" w:rsidR="00714268" w:rsidRPr="00B82603" w:rsidRDefault="00714268" w:rsidP="00A6021A">
      <w:pPr>
        <w:pStyle w:val="ListParagraph"/>
        <w:numPr>
          <w:ilvl w:val="0"/>
          <w:numId w:val="10"/>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Brain </w:t>
      </w:r>
      <w:proofErr w:type="gramStart"/>
      <w:r w:rsidRPr="00B82603">
        <w:rPr>
          <w:rFonts w:ascii="Arial" w:eastAsia="Times New Roman" w:hAnsi="Arial" w:cs="Arial"/>
          <w:kern w:val="0"/>
          <w:sz w:val="22"/>
          <w:szCs w:val="22"/>
          <w:lang w:eastAsia="en-GB"/>
          <w14:ligatures w14:val="none"/>
        </w:rPr>
        <w:t>drain</w:t>
      </w:r>
      <w:proofErr w:type="gramEnd"/>
      <w:r w:rsidRPr="00B82603">
        <w:rPr>
          <w:rFonts w:ascii="Arial" w:eastAsia="Times New Roman" w:hAnsi="Arial" w:cs="Arial"/>
          <w:kern w:val="0"/>
          <w:sz w:val="22"/>
          <w:szCs w:val="22"/>
          <w:lang w:eastAsia="en-GB"/>
          <w14:ligatures w14:val="none"/>
        </w:rPr>
        <w:t xml:space="preserve"> vs. remittances</w:t>
      </w:r>
    </w:p>
    <w:p w14:paraId="06AD28AE" w14:textId="77777777" w:rsidR="00714268" w:rsidRPr="00B82603" w:rsidRDefault="00714268" w:rsidP="00A6021A">
      <w:pPr>
        <w:pStyle w:val="ListParagraph"/>
        <w:numPr>
          <w:ilvl w:val="0"/>
          <w:numId w:val="10"/>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benefited more from return migration and reinvestment</w:t>
      </w:r>
    </w:p>
    <w:p w14:paraId="691048FD" w14:textId="32DFCF67" w:rsidR="001C62AB" w:rsidRPr="00B82603" w:rsidRDefault="001C62AB" w:rsidP="00327D03">
      <w:pPr>
        <w:spacing w:line="360" w:lineRule="auto"/>
        <w:rPr>
          <w:rFonts w:ascii="Arial" w:hAnsi="Arial" w:cs="Arial"/>
          <w:sz w:val="22"/>
          <w:szCs w:val="22"/>
        </w:rPr>
      </w:pPr>
      <w:r w:rsidRPr="00B82603">
        <w:rPr>
          <w:rFonts w:ascii="Arial" w:hAnsi="Arial" w:cs="Arial"/>
          <w:sz w:val="22"/>
          <w:szCs w:val="22"/>
        </w:rPr>
        <w:t>In Romania, the impact of emigration has been particularly visible in public services. The healthcare and engineering sectors have seen chronic shortages due to workforce migration, which in turn limits the country’s ability to modernise infrastructure and sustain growth across key sectors.</w:t>
      </w:r>
    </w:p>
    <w:p w14:paraId="3BFE5B6D"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37" w:name="_Toc204167142"/>
      <w:r w:rsidRPr="00B82603">
        <w:rPr>
          <w:rFonts w:ascii="Arial" w:eastAsia="Times New Roman" w:hAnsi="Arial" w:cs="Arial"/>
          <w:b/>
          <w:bCs/>
          <w:color w:val="auto"/>
          <w:sz w:val="22"/>
          <w:szCs w:val="22"/>
          <w:lang w:eastAsia="en-GB"/>
        </w:rPr>
        <w:t>4.8 Summary of Findings</w:t>
      </w:r>
      <w:bookmarkEnd w:id="37"/>
    </w:p>
    <w:p w14:paraId="0C8E6251" w14:textId="7569AA9E" w:rsidR="00B153E7"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Poland’s earlier reforms, stronger institutions, and higher FDI absorption have led to a more stable post-accession trajectory. Romania’s progress is real but hindered by political inconsistency and weaker governance. Cultural factors and EU funding absorption rates also play major roles.</w:t>
      </w:r>
    </w:p>
    <w:p w14:paraId="69992188" w14:textId="67CF11FD" w:rsidR="00061A86" w:rsidRPr="00B82603" w:rsidRDefault="00061A86"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These findings align directly with the dissertation’s research objectives. Objective 1 is addressed through the clear comparison of GDP growth and FDI flows. Objective 2 is supported by the analysis of sectoral development across automotive, IT, agriculture, and coal. Objective 3 is reflected in the governance comparisons via CPI scores and ease of doing business. Objective 4 is touched on through migration dynamics, which link to cultural and institutional capacity. These empirical insights set the stage for deeper theoretical interpretation in Chapter 5 and reinforce the relevance of applying models such as Institutional Theory, Hofstede’s dimensions, and Dunning’s OLI paradigm to assess post-accession divergence.</w:t>
      </w:r>
    </w:p>
    <w:p w14:paraId="74F17752" w14:textId="77777777" w:rsidR="003F4423" w:rsidRPr="00B82603" w:rsidRDefault="003F4423" w:rsidP="00327D03">
      <w:pPr>
        <w:spacing w:line="360" w:lineRule="auto"/>
        <w:rPr>
          <w:rFonts w:ascii="Arial" w:eastAsia="Times New Roman" w:hAnsi="Arial" w:cs="Arial"/>
          <w:kern w:val="0"/>
          <w:sz w:val="22"/>
          <w:szCs w:val="22"/>
          <w:lang w:eastAsia="en-GB"/>
          <w14:ligatures w14:val="none"/>
        </w:rPr>
      </w:pPr>
    </w:p>
    <w:p w14:paraId="125046C9" w14:textId="77777777" w:rsidR="005761FD" w:rsidRPr="00B82603" w:rsidRDefault="005761FD" w:rsidP="00327D03">
      <w:pPr>
        <w:pStyle w:val="Heading1"/>
        <w:spacing w:line="360" w:lineRule="auto"/>
        <w:rPr>
          <w:rFonts w:ascii="Arial" w:eastAsia="Times New Roman" w:hAnsi="Arial" w:cs="Arial"/>
          <w:b/>
          <w:bCs/>
          <w:color w:val="auto"/>
          <w:sz w:val="22"/>
          <w:szCs w:val="22"/>
          <w:lang w:eastAsia="en-GB"/>
        </w:rPr>
      </w:pPr>
      <w:bookmarkStart w:id="38" w:name="_Toc204167143"/>
      <w:r w:rsidRPr="00B82603">
        <w:rPr>
          <w:rFonts w:ascii="Arial" w:eastAsia="Times New Roman" w:hAnsi="Arial" w:cs="Arial"/>
          <w:b/>
          <w:bCs/>
          <w:color w:val="auto"/>
          <w:sz w:val="22"/>
          <w:szCs w:val="22"/>
          <w:lang w:eastAsia="en-GB"/>
        </w:rPr>
        <w:t>Chapter 5: Discussion</w:t>
      </w:r>
      <w:bookmarkEnd w:id="38"/>
    </w:p>
    <w:p w14:paraId="6E125F59" w14:textId="77777777" w:rsidR="001A1010" w:rsidRPr="00B82603" w:rsidRDefault="005761FD" w:rsidP="00327D03">
      <w:pPr>
        <w:spacing w:line="360" w:lineRule="auto"/>
        <w:rPr>
          <w:rFonts w:ascii="Arial" w:eastAsia="Times New Roman" w:hAnsi="Arial" w:cs="Arial"/>
          <w:kern w:val="0"/>
          <w:sz w:val="22"/>
          <w:szCs w:val="22"/>
          <w:lang w:eastAsia="en-GB"/>
          <w14:ligatures w14:val="none"/>
        </w:rPr>
      </w:pPr>
      <w:bookmarkStart w:id="39" w:name="_Toc204167144"/>
      <w:r w:rsidRPr="00B82603">
        <w:rPr>
          <w:rStyle w:val="Heading2Char"/>
          <w:rFonts w:ascii="Arial" w:hAnsi="Arial" w:cs="Arial"/>
          <w:b/>
          <w:bCs/>
          <w:color w:val="auto"/>
          <w:sz w:val="22"/>
          <w:szCs w:val="22"/>
        </w:rPr>
        <w:t>5.1 Introduction</w:t>
      </w:r>
      <w:bookmarkEnd w:id="39"/>
      <w:r w:rsidRPr="00B82603">
        <w:rPr>
          <w:rFonts w:ascii="Arial" w:eastAsia="Times New Roman" w:hAnsi="Arial" w:cs="Arial"/>
          <w:kern w:val="0"/>
          <w:sz w:val="22"/>
          <w:szCs w:val="22"/>
          <w:lang w:eastAsia="en-GB"/>
          <w14:ligatures w14:val="none"/>
        </w:rPr>
        <w:t xml:space="preserve"> </w:t>
      </w:r>
    </w:p>
    <w:p w14:paraId="2CB83841" w14:textId="776B6519"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This chapter analyses the findings presented in Chapter 4, interpreting them through the lens of key theories and academic frameworks. It addresses the research objectives and questions while incorporating the insights gained from Hofstede’s Cultural Dimensions, Dunning’s OLI model, Cascade Theory, Porter’s Diamond Framework, and Institutional Theory. The chapter also includes a leadership assessment of Poland and Romania to evaluate which approach has been more effective in shaping economic outcomes. The discussion is structured around the main themes: economic performance, sectoral </w:t>
      </w:r>
      <w:r w:rsidRPr="00B82603">
        <w:rPr>
          <w:rFonts w:ascii="Arial" w:eastAsia="Times New Roman" w:hAnsi="Arial" w:cs="Arial"/>
          <w:kern w:val="0"/>
          <w:sz w:val="22"/>
          <w:szCs w:val="22"/>
          <w:lang w:eastAsia="en-GB"/>
          <w14:ligatures w14:val="none"/>
        </w:rPr>
        <w:lastRenderedPageBreak/>
        <w:t>development, political governance, cultural influences, diaspora impact, and leadership. This analytical approach reflects not only a synthesis of research findings but also the application of business and economics theories studied during the university programme.</w:t>
      </w:r>
    </w:p>
    <w:p w14:paraId="05C3F200" w14:textId="77777777" w:rsidR="001A1010" w:rsidRPr="00B82603" w:rsidRDefault="005761FD" w:rsidP="00327D03">
      <w:pPr>
        <w:spacing w:line="360" w:lineRule="auto"/>
        <w:rPr>
          <w:rStyle w:val="Heading1Char"/>
          <w:rFonts w:ascii="Arial" w:hAnsi="Arial" w:cs="Arial"/>
          <w:b/>
          <w:bCs/>
          <w:color w:val="auto"/>
          <w:sz w:val="22"/>
          <w:szCs w:val="22"/>
          <w:lang w:eastAsia="en-GB"/>
        </w:rPr>
      </w:pPr>
      <w:bookmarkStart w:id="40" w:name="_Toc204167145"/>
      <w:r w:rsidRPr="00B82603">
        <w:rPr>
          <w:rStyle w:val="Heading2Char"/>
          <w:rFonts w:ascii="Arial" w:hAnsi="Arial" w:cs="Arial"/>
          <w:b/>
          <w:bCs/>
          <w:color w:val="auto"/>
          <w:sz w:val="22"/>
          <w:szCs w:val="22"/>
        </w:rPr>
        <w:t>5.2 Economic Performance</w:t>
      </w:r>
      <w:bookmarkEnd w:id="40"/>
    </w:p>
    <w:p w14:paraId="3252E809" w14:textId="6157F0F6"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GDP and FDI through the Lens of Convergence and OLI Theory This section directly addresses Objective 1 of the research: to compare GDP growth and FDI inflows in Poland and Romania since joining the EU. The data from Chapter 4 revealed a clear economic divergence between the two countries. Poland’s steady GDP growth and higher FDI inflows align with the expectations of Convergence Theory, which posits that less developed economies should grow faster than advanced ones when structural conditions support capital inflow, institutional development, and innovation (Barro and Sala-</w:t>
      </w:r>
      <w:proofErr w:type="spellStart"/>
      <w:r w:rsidRPr="00B82603">
        <w:rPr>
          <w:rFonts w:ascii="Arial" w:eastAsia="Times New Roman" w:hAnsi="Arial" w:cs="Arial"/>
          <w:kern w:val="0"/>
          <w:sz w:val="22"/>
          <w:szCs w:val="22"/>
          <w:lang w:eastAsia="en-GB"/>
          <w14:ligatures w14:val="none"/>
        </w:rPr>
        <w:t>i</w:t>
      </w:r>
      <w:proofErr w:type="spellEnd"/>
      <w:r w:rsidRPr="00B82603">
        <w:rPr>
          <w:rFonts w:ascii="Arial" w:eastAsia="Times New Roman" w:hAnsi="Arial" w:cs="Arial"/>
          <w:kern w:val="0"/>
          <w:sz w:val="22"/>
          <w:szCs w:val="22"/>
          <w:lang w:eastAsia="en-GB"/>
          <w14:ligatures w14:val="none"/>
        </w:rPr>
        <w:t>-Martin, 1992). Poland’s early reforms and effective use of EU structural funds enhanced its absorptive capacity, a concept crucial to Convergence Theory.</w:t>
      </w:r>
    </w:p>
    <w:p w14:paraId="319C739E" w14:textId="77777777"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Applying Dunning’s OLI paradigm, Poland presented stronger Ownership, Location, and Internalisation advantages for multinational firms. The country’s location in Central Europe, stable institutions, and skilled labour attracted sustained investment, particularly in high-value sectors such as automotive and IT. Romania, while meeting some OLI conditions, fell short in internalisation and location-specific advantages due to weaker governance and inconsistent policy environments. This reduced investor confidence and limited long-term FDI retention. While the OLI paradigm helps explain these trends, it may understate informal institutional barriers, such as corruption or clientelism, which have a deeper cultural and political basis, particularly in Romania. This highlights the need for an integrated analysis of formal and informal institutions.</w:t>
      </w:r>
    </w:p>
    <w:p w14:paraId="0F7DC6BF" w14:textId="77777777" w:rsidR="001A1010" w:rsidRPr="00B82603" w:rsidRDefault="005761FD" w:rsidP="00327D03">
      <w:pPr>
        <w:spacing w:line="360" w:lineRule="auto"/>
        <w:rPr>
          <w:rStyle w:val="Heading1Char"/>
          <w:rFonts w:ascii="Arial" w:hAnsi="Arial" w:cs="Arial"/>
          <w:b/>
          <w:bCs/>
          <w:color w:val="auto"/>
          <w:sz w:val="22"/>
          <w:szCs w:val="22"/>
          <w:lang w:eastAsia="en-GB"/>
        </w:rPr>
      </w:pPr>
      <w:bookmarkStart w:id="41" w:name="_Toc204167146"/>
      <w:r w:rsidRPr="00B82603">
        <w:rPr>
          <w:rStyle w:val="Heading2Char"/>
          <w:rFonts w:ascii="Arial" w:hAnsi="Arial" w:cs="Arial"/>
          <w:b/>
          <w:bCs/>
          <w:color w:val="auto"/>
          <w:sz w:val="22"/>
          <w:szCs w:val="22"/>
        </w:rPr>
        <w:t>5.3 Sectoral Development and Strategic Frameworks</w:t>
      </w:r>
      <w:bookmarkEnd w:id="41"/>
      <w:r w:rsidRPr="00B82603">
        <w:rPr>
          <w:rStyle w:val="Heading1Char"/>
          <w:rFonts w:ascii="Arial" w:hAnsi="Arial" w:cs="Arial"/>
          <w:b/>
          <w:bCs/>
          <w:color w:val="auto"/>
          <w:sz w:val="22"/>
          <w:szCs w:val="22"/>
          <w:lang w:eastAsia="en-GB"/>
        </w:rPr>
        <w:t xml:space="preserve"> </w:t>
      </w:r>
    </w:p>
    <w:p w14:paraId="5A0C3FC6" w14:textId="49279B4D" w:rsidR="005761FD" w:rsidRPr="00B82603" w:rsidRDefault="0075281C"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This section supports Objective 2 by comparing sectoral development in Poland and Romania using strategic management frameworks. </w:t>
      </w:r>
      <w:r w:rsidR="005761FD" w:rsidRPr="00B82603">
        <w:rPr>
          <w:rFonts w:ascii="Arial" w:eastAsia="Times New Roman" w:hAnsi="Arial" w:cs="Arial"/>
          <w:kern w:val="0"/>
          <w:sz w:val="22"/>
          <w:szCs w:val="22"/>
          <w:lang w:eastAsia="en-GB"/>
          <w14:ligatures w14:val="none"/>
        </w:rPr>
        <w:t>Sectoral analysis highlighted Poland’s thriving automotive industry versus Romania’s flourishing IT sector. Porter’s Diamond Framework helps explain these outcomes by examining four key attributes: factor conditions, demand conditions, related and supporting industries, and firm strategy, structure, and rivalry. Poland’s automotive sector benefited from strong supplier networks, high labour productivity, and proximity to Germany’s auto cluster, fulfilling Porter’s model effectively.</w:t>
      </w:r>
    </w:p>
    <w:p w14:paraId="22F784CB" w14:textId="77777777"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Romania’s IT sector, though growing rapidly, reflects different dynamics. The surge in tech services stems more from cost competitiveness and talent availability than systemic strategic development. Romania's lack of strong supporting industries and limited government-led </w:t>
      </w:r>
      <w:r w:rsidRPr="00B82603">
        <w:rPr>
          <w:rFonts w:ascii="Arial" w:eastAsia="Times New Roman" w:hAnsi="Arial" w:cs="Arial"/>
          <w:kern w:val="0"/>
          <w:sz w:val="22"/>
          <w:szCs w:val="22"/>
          <w:lang w:eastAsia="en-GB"/>
          <w14:ligatures w14:val="none"/>
        </w:rPr>
        <w:lastRenderedPageBreak/>
        <w:t>innovation policy makes its success more fragile under Porter’s framework. Additionally, Romania's agricultural sector continues to underperform due to poor infrastructure and fragmented land ownership, further evidencing weaker industrial policy coordination.</w:t>
      </w:r>
    </w:p>
    <w:p w14:paraId="0CAE2EE0" w14:textId="77777777"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In contrast, Poland's automotive sector shows how alignment between government strategy and investor expectations, along with EU regional cluster development initiatives, create long-term economic value. These examples reinforce the importance of coherent national strategy and policy coordination in sectoral upgrading.</w:t>
      </w:r>
    </w:p>
    <w:p w14:paraId="5AE3891A" w14:textId="77777777" w:rsidR="001A1010" w:rsidRPr="00B82603" w:rsidRDefault="005761FD" w:rsidP="00327D03">
      <w:pPr>
        <w:spacing w:line="360" w:lineRule="auto"/>
        <w:rPr>
          <w:rFonts w:ascii="Arial" w:eastAsia="Times New Roman" w:hAnsi="Arial" w:cs="Arial"/>
          <w:kern w:val="0"/>
          <w:sz w:val="22"/>
          <w:szCs w:val="22"/>
          <w:lang w:eastAsia="en-GB"/>
          <w14:ligatures w14:val="none"/>
        </w:rPr>
      </w:pPr>
      <w:bookmarkStart w:id="42" w:name="_Toc204167147"/>
      <w:r w:rsidRPr="00B82603">
        <w:rPr>
          <w:rStyle w:val="Heading2Char"/>
          <w:rFonts w:ascii="Arial" w:hAnsi="Arial" w:cs="Arial"/>
          <w:b/>
          <w:bCs/>
          <w:color w:val="auto"/>
          <w:sz w:val="22"/>
          <w:szCs w:val="22"/>
        </w:rPr>
        <w:t>5.4 Cultural Influences Using Hofstede’s Dimensions</w:t>
      </w:r>
      <w:bookmarkEnd w:id="42"/>
      <w:r w:rsidRPr="00B82603">
        <w:rPr>
          <w:rFonts w:ascii="Arial" w:eastAsia="Times New Roman" w:hAnsi="Arial" w:cs="Arial"/>
          <w:kern w:val="0"/>
          <w:sz w:val="22"/>
          <w:szCs w:val="22"/>
          <w:lang w:eastAsia="en-GB"/>
          <w14:ligatures w14:val="none"/>
        </w:rPr>
        <w:t xml:space="preserve"> </w:t>
      </w:r>
    </w:p>
    <w:p w14:paraId="1148F3A9" w14:textId="673E44D5" w:rsidR="005761FD" w:rsidRPr="00B82603" w:rsidRDefault="0075281C"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This section addresses Objective 4 by analysing how cultural differences shaped organisational and economic outcomes, using Hofstede’s </w:t>
      </w:r>
      <w:r w:rsidR="00EB6AF8" w:rsidRPr="00B82603">
        <w:rPr>
          <w:rFonts w:ascii="Arial" w:eastAsia="Times New Roman" w:hAnsi="Arial" w:cs="Arial"/>
          <w:kern w:val="0"/>
          <w:sz w:val="22"/>
          <w:szCs w:val="22"/>
          <w:lang w:eastAsia="en-GB"/>
          <w14:ligatures w14:val="none"/>
        </w:rPr>
        <w:t>dimensions.</w:t>
      </w:r>
      <w:r w:rsidR="005761FD" w:rsidRPr="00B82603">
        <w:rPr>
          <w:rFonts w:ascii="Arial" w:eastAsia="Times New Roman" w:hAnsi="Arial" w:cs="Arial"/>
          <w:kern w:val="0"/>
          <w:sz w:val="22"/>
          <w:szCs w:val="22"/>
          <w:lang w:eastAsia="en-GB"/>
          <w14:ligatures w14:val="none"/>
        </w:rPr>
        <w:t xml:space="preserve"> Cultural dimensions play a subtle but powerful role in shaping institutional and organisational outcomes. Hofstede’s framework illustrates that Romania scores higher in Power Distance and Uncertainty Avoidance than Poland, implying more hierarchical institutions and lower openness to innovation or decentralised decision-making. </w:t>
      </w:r>
      <w:r w:rsidR="008D3F57" w:rsidRPr="00B82603">
        <w:rPr>
          <w:rFonts w:ascii="Arial" w:eastAsia="Times New Roman" w:hAnsi="Arial" w:cs="Arial"/>
          <w:kern w:val="0"/>
          <w:sz w:val="22"/>
          <w:szCs w:val="22"/>
          <w:lang w:eastAsia="en-GB"/>
          <w14:ligatures w14:val="none"/>
        </w:rPr>
        <w:t xml:space="preserve">These traits can deter agile policy responses and create environments where bureaucratic inefficiencies persist. For instance, Romania’s </w:t>
      </w:r>
      <w:r w:rsidR="00EB6AF8" w:rsidRPr="00B82603">
        <w:rPr>
          <w:rFonts w:ascii="Arial" w:eastAsia="Times New Roman" w:hAnsi="Arial" w:cs="Arial"/>
          <w:kern w:val="0"/>
          <w:sz w:val="22"/>
          <w:szCs w:val="22"/>
          <w:lang w:eastAsia="en-GB"/>
          <w14:ligatures w14:val="none"/>
        </w:rPr>
        <w:t>high-power</w:t>
      </w:r>
      <w:r w:rsidR="008D3F57" w:rsidRPr="00B82603">
        <w:rPr>
          <w:rFonts w:ascii="Arial" w:eastAsia="Times New Roman" w:hAnsi="Arial" w:cs="Arial"/>
          <w:kern w:val="0"/>
          <w:sz w:val="22"/>
          <w:szCs w:val="22"/>
          <w:lang w:eastAsia="en-GB"/>
          <w14:ligatures w14:val="none"/>
        </w:rPr>
        <w:t xml:space="preserve"> distance and low individualism are evident in its fragmented agricultural sector, where top-down governance limits innovation and land reform. Meanwhile, Poland’s moderate power distance has supported participatory structures in its automotive sector, encouraging collaboration between foreign investors and local suppliers </w:t>
      </w:r>
      <w:r w:rsidR="009A1B0F" w:rsidRPr="00B82603">
        <w:rPr>
          <w:rFonts w:ascii="Arial" w:eastAsia="Times New Roman" w:hAnsi="Arial" w:cs="Arial"/>
          <w:kern w:val="0"/>
          <w:sz w:val="22"/>
          <w:szCs w:val="22"/>
          <w:lang w:eastAsia="en-GB"/>
          <w14:ligatures w14:val="none"/>
        </w:rPr>
        <w:t>-</w:t>
      </w:r>
      <w:r w:rsidR="008D3F57" w:rsidRPr="00B82603">
        <w:rPr>
          <w:rFonts w:ascii="Arial" w:eastAsia="Times New Roman" w:hAnsi="Arial" w:cs="Arial"/>
          <w:kern w:val="0"/>
          <w:sz w:val="22"/>
          <w:szCs w:val="22"/>
          <w:lang w:eastAsia="en-GB"/>
          <w14:ligatures w14:val="none"/>
        </w:rPr>
        <w:t xml:space="preserve"> a key factor in sustained FDI.</w:t>
      </w:r>
    </w:p>
    <w:p w14:paraId="36B85B49" w14:textId="294539A3"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Poland’s slightly more individualistic and moderate power distance culture supports a participative business environment, more aligned with Western management practices. This difference is crucial in explaining variations in institutional quality and FDI attraction. For example, Poland’s cultural profile helped foster growth in sectors such as automotive manufacturing and IT, where decentralised decision-making and innovation are critical. In contrast, Romania’s </w:t>
      </w:r>
      <w:r w:rsidR="00EB6AF8" w:rsidRPr="00B82603">
        <w:rPr>
          <w:rFonts w:ascii="Arial" w:eastAsia="Times New Roman" w:hAnsi="Arial" w:cs="Arial"/>
          <w:kern w:val="0"/>
          <w:sz w:val="22"/>
          <w:szCs w:val="22"/>
          <w:lang w:eastAsia="en-GB"/>
          <w14:ligatures w14:val="none"/>
        </w:rPr>
        <w:t>high-power</w:t>
      </w:r>
      <w:r w:rsidRPr="00B82603">
        <w:rPr>
          <w:rFonts w:ascii="Arial" w:eastAsia="Times New Roman" w:hAnsi="Arial" w:cs="Arial"/>
          <w:kern w:val="0"/>
          <w:sz w:val="22"/>
          <w:szCs w:val="22"/>
          <w:lang w:eastAsia="en-GB"/>
          <w14:ligatures w14:val="none"/>
        </w:rPr>
        <w:t xml:space="preserve"> distance may have hindered managerial autonomy and slowed progress in agriculture and infrastructure development.</w:t>
      </w:r>
    </w:p>
    <w:p w14:paraId="5992BE88" w14:textId="53209FE9"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While culture alone does not determine outcomes, it significantly influences how reforms are designed, accepted, and implemented, shaping each country’s capacity to attract investment, build institutions, and develop competitive sectors.</w:t>
      </w:r>
      <w:r w:rsidR="00E80E95" w:rsidRPr="00B82603">
        <w:rPr>
          <w:rFonts w:ascii="Arial" w:hAnsi="Arial" w:cs="Arial"/>
          <w:sz w:val="22"/>
          <w:szCs w:val="22"/>
        </w:rPr>
        <w:t xml:space="preserve"> </w:t>
      </w:r>
      <w:r w:rsidR="00E80E95" w:rsidRPr="00B82603">
        <w:rPr>
          <w:rFonts w:ascii="Arial" w:eastAsia="Times New Roman" w:hAnsi="Arial" w:cs="Arial"/>
          <w:kern w:val="0"/>
          <w:sz w:val="22"/>
          <w:szCs w:val="22"/>
          <w:lang w:eastAsia="en-GB"/>
          <w14:ligatures w14:val="none"/>
        </w:rPr>
        <w:t xml:space="preserve">These cultural influences are also evident in organisational change processes. In Poland, flatter hierarchies have encouraged collaborative innovation and faster adaptation to EU regulations. Conversely, in Romania, the persistence of hierarchical norms has slowed digitalisation efforts in public institutions and reduced the effectiveness of decentralised decision-making, impacting both </w:t>
      </w:r>
      <w:r w:rsidR="00E80E95" w:rsidRPr="00B82603">
        <w:rPr>
          <w:rFonts w:ascii="Arial" w:eastAsia="Times New Roman" w:hAnsi="Arial" w:cs="Arial"/>
          <w:kern w:val="0"/>
          <w:sz w:val="22"/>
          <w:szCs w:val="22"/>
          <w:lang w:eastAsia="en-GB"/>
          <w14:ligatures w14:val="none"/>
        </w:rPr>
        <w:lastRenderedPageBreak/>
        <w:t xml:space="preserve">economic reform and service </w:t>
      </w:r>
      <w:r w:rsidR="00EB6AF8" w:rsidRPr="00B82603">
        <w:rPr>
          <w:rFonts w:ascii="Arial" w:eastAsia="Times New Roman" w:hAnsi="Arial" w:cs="Arial"/>
          <w:kern w:val="0"/>
          <w:sz w:val="22"/>
          <w:szCs w:val="22"/>
          <w:lang w:eastAsia="en-GB"/>
          <w14:ligatures w14:val="none"/>
        </w:rPr>
        <w:t>delivery. Applying</w:t>
      </w:r>
      <w:r w:rsidRPr="00B82603">
        <w:rPr>
          <w:rFonts w:ascii="Arial" w:eastAsia="Times New Roman" w:hAnsi="Arial" w:cs="Arial"/>
          <w:kern w:val="0"/>
          <w:sz w:val="22"/>
          <w:szCs w:val="22"/>
          <w:lang w:eastAsia="en-GB"/>
          <w14:ligatures w14:val="none"/>
        </w:rPr>
        <w:t xml:space="preserve"> these insights more directly to investment outcomes, one could argue that Poland’s more adaptive cultural setting allowed faster legal and policy harmonisation with EU norms, increasing investor trust.</w:t>
      </w:r>
    </w:p>
    <w:p w14:paraId="7E04C2A9" w14:textId="77777777" w:rsidR="001A1010" w:rsidRPr="00B82603" w:rsidRDefault="005761FD" w:rsidP="00327D03">
      <w:pPr>
        <w:spacing w:line="360" w:lineRule="auto"/>
        <w:rPr>
          <w:rStyle w:val="Heading2Char"/>
          <w:rFonts w:ascii="Arial" w:hAnsi="Arial" w:cs="Arial"/>
          <w:b/>
          <w:bCs/>
          <w:color w:val="auto"/>
          <w:sz w:val="22"/>
          <w:szCs w:val="22"/>
        </w:rPr>
      </w:pPr>
      <w:bookmarkStart w:id="43" w:name="_Toc204167148"/>
      <w:r w:rsidRPr="00B82603">
        <w:rPr>
          <w:rStyle w:val="Heading2Char"/>
          <w:rFonts w:ascii="Arial" w:hAnsi="Arial" w:cs="Arial"/>
          <w:b/>
          <w:bCs/>
          <w:color w:val="auto"/>
          <w:sz w:val="22"/>
          <w:szCs w:val="22"/>
        </w:rPr>
        <w:t>5.5 Political Governance and Institutional Theory</w:t>
      </w:r>
      <w:bookmarkEnd w:id="43"/>
    </w:p>
    <w:p w14:paraId="6DA45E64" w14:textId="17ACC4AF" w:rsidR="005761FD" w:rsidRPr="00B82603" w:rsidRDefault="004B39D6"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Objective 3 is addressed here through the lens of Institutional Theory, which helps explain differences in governance and their economic implications</w:t>
      </w:r>
      <w:r w:rsidR="005761FD" w:rsidRPr="00B82603">
        <w:rPr>
          <w:rFonts w:ascii="Arial" w:eastAsia="Times New Roman" w:hAnsi="Arial" w:cs="Arial"/>
          <w:kern w:val="0"/>
          <w:sz w:val="22"/>
          <w:szCs w:val="22"/>
          <w:lang w:eastAsia="en-GB"/>
          <w14:ligatures w14:val="none"/>
        </w:rPr>
        <w:t>. Poland’s stronger institutions, decentralised governance, and effective use of EU funds mirror this claim. Romania’s slower institutional reform and politicised judiciary highlight the consequences of weak institutional scaffolding. The Cooperation and Verification Mechanism (CVM), applied only to Romania, underscores the EU’s concerns over its governance.</w:t>
      </w:r>
    </w:p>
    <w:p w14:paraId="55C60D40" w14:textId="77777777"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Transparency International's Corruption Perceptions Index shows a consistent gap between Poland and Romania, with Romania ranking lower in governance transparency. These disparities affect the ease of doing business, tax policy enforcement, and long-term investor trust. Such political and institutional differences align closely with academic insights from Institutional Theory and support the observed divergence in economic performance.</w:t>
      </w:r>
    </w:p>
    <w:p w14:paraId="29F731E2" w14:textId="77777777"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Yet Institutional Theory may not fully explain the reasons for delayed reform in Romania. Political leadership turnover, weaker civil society, and electoral populism may also explain why institutions remain vulnerable. Therefore, this analysis supports the integration of leadership theory into economic governance analysis.</w:t>
      </w:r>
    </w:p>
    <w:p w14:paraId="1FB7B604" w14:textId="77777777" w:rsidR="001A1010" w:rsidRPr="00B82603" w:rsidRDefault="005761FD" w:rsidP="00327D03">
      <w:pPr>
        <w:spacing w:line="360" w:lineRule="auto"/>
        <w:rPr>
          <w:rFonts w:ascii="Arial" w:eastAsia="Times New Roman" w:hAnsi="Arial" w:cs="Arial"/>
          <w:kern w:val="0"/>
          <w:sz w:val="22"/>
          <w:szCs w:val="22"/>
          <w:lang w:eastAsia="en-GB"/>
          <w14:ligatures w14:val="none"/>
        </w:rPr>
      </w:pPr>
      <w:bookmarkStart w:id="44" w:name="_Toc204167149"/>
      <w:r w:rsidRPr="00B82603">
        <w:rPr>
          <w:rStyle w:val="Heading2Char"/>
          <w:rFonts w:ascii="Arial" w:hAnsi="Arial" w:cs="Arial"/>
          <w:b/>
          <w:bCs/>
          <w:color w:val="auto"/>
          <w:sz w:val="22"/>
          <w:szCs w:val="22"/>
        </w:rPr>
        <w:t>5.6 Diaspora, Labour Mobility, and Human Capital Flow</w:t>
      </w:r>
      <w:bookmarkEnd w:id="44"/>
      <w:r w:rsidRPr="00B82603">
        <w:rPr>
          <w:rFonts w:ascii="Arial" w:eastAsia="Times New Roman" w:hAnsi="Arial" w:cs="Arial"/>
          <w:b/>
          <w:bCs/>
          <w:kern w:val="0"/>
          <w:sz w:val="22"/>
          <w:szCs w:val="22"/>
          <w:lang w:eastAsia="en-GB"/>
          <w14:ligatures w14:val="none"/>
        </w:rPr>
        <w:t xml:space="preserve"> </w:t>
      </w:r>
    </w:p>
    <w:p w14:paraId="0B417895" w14:textId="5A0227A4" w:rsidR="005761FD" w:rsidRPr="00B82603" w:rsidRDefault="00FA2B3C"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section relates to Objectives 2 and 5 by examining the impact of diaspora dynamics and labour mobility on national development strategies.</w:t>
      </w:r>
      <w:r w:rsidR="005761FD" w:rsidRPr="00B82603">
        <w:rPr>
          <w:rFonts w:ascii="Arial" w:eastAsia="Times New Roman" w:hAnsi="Arial" w:cs="Arial"/>
          <w:kern w:val="0"/>
          <w:sz w:val="22"/>
          <w:szCs w:val="22"/>
          <w:lang w:eastAsia="en-GB"/>
          <w14:ligatures w14:val="none"/>
        </w:rPr>
        <w:t xml:space="preserve"> While remittances from the diaspora provide financial inflows, brain drain weakens domestic capacity, especially in healthcare, engineering, and education. Romania's higher emigration rates and reliance on low-cost labour reflect a reactive economic model compared to Poland’s more balanced approach, which benefits from return migration and reinvestment.</w:t>
      </w:r>
    </w:p>
    <w:p w14:paraId="69BB988F" w14:textId="3E2E9051"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Cascade Theory helps contextualise this. As a second-tier recipient of economic and social capital, Romania has not consistently transformed external inputs into domestic advancement. Poland has more effectively absorbed spillovers from Western European firms and institutions, reinforcing growth through skilled labour utilisation, infrastructure investment, and industrial upgrading. This ability to internalise external knowledge flows </w:t>
      </w:r>
      <w:r w:rsidR="008E632E" w:rsidRPr="00B82603">
        <w:rPr>
          <w:rFonts w:ascii="Arial" w:eastAsia="Times New Roman" w:hAnsi="Arial" w:cs="Arial"/>
          <w:kern w:val="0"/>
          <w:sz w:val="22"/>
          <w:szCs w:val="22"/>
          <w:lang w:eastAsia="en-GB"/>
          <w14:ligatures w14:val="none"/>
        </w:rPr>
        <w:t>links</w:t>
      </w:r>
      <w:r w:rsidRPr="00B82603">
        <w:rPr>
          <w:rFonts w:ascii="Arial" w:eastAsia="Times New Roman" w:hAnsi="Arial" w:cs="Arial"/>
          <w:kern w:val="0"/>
          <w:sz w:val="22"/>
          <w:szCs w:val="22"/>
          <w:lang w:eastAsia="en-GB"/>
          <w14:ligatures w14:val="none"/>
        </w:rPr>
        <w:t xml:space="preserve"> to Institutional Theory and absorptive capacity frameworks.</w:t>
      </w:r>
    </w:p>
    <w:p w14:paraId="3DFC9AB3" w14:textId="77777777" w:rsidR="001A1010" w:rsidRPr="00B82603" w:rsidRDefault="005761FD" w:rsidP="00327D03">
      <w:pPr>
        <w:spacing w:line="360" w:lineRule="auto"/>
        <w:rPr>
          <w:rFonts w:ascii="Arial" w:eastAsia="Times New Roman" w:hAnsi="Arial" w:cs="Arial"/>
          <w:kern w:val="0"/>
          <w:sz w:val="22"/>
          <w:szCs w:val="22"/>
          <w:lang w:eastAsia="en-GB"/>
          <w14:ligatures w14:val="none"/>
        </w:rPr>
      </w:pPr>
      <w:bookmarkStart w:id="45" w:name="_Toc204167150"/>
      <w:r w:rsidRPr="00B82603">
        <w:rPr>
          <w:rStyle w:val="Heading2Char"/>
          <w:rFonts w:ascii="Arial" w:hAnsi="Arial" w:cs="Arial"/>
          <w:b/>
          <w:bCs/>
          <w:color w:val="auto"/>
          <w:sz w:val="22"/>
          <w:szCs w:val="22"/>
        </w:rPr>
        <w:t>5.7 Leadership Assessment Matrix</w:t>
      </w:r>
      <w:bookmarkEnd w:id="45"/>
      <w:r w:rsidRPr="00B82603">
        <w:rPr>
          <w:rFonts w:ascii="Arial" w:eastAsia="Times New Roman" w:hAnsi="Arial" w:cs="Arial"/>
          <w:kern w:val="0"/>
          <w:sz w:val="22"/>
          <w:szCs w:val="22"/>
          <w:lang w:eastAsia="en-GB"/>
          <w14:ligatures w14:val="none"/>
        </w:rPr>
        <w:t xml:space="preserve"> </w:t>
      </w:r>
    </w:p>
    <w:p w14:paraId="5CD89B23" w14:textId="65CE7F75" w:rsidR="005761FD" w:rsidRPr="00B82603" w:rsidRDefault="004B71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lastRenderedPageBreak/>
        <w:t>This section focuses on Objective 6 by comparing leadership performance across six key domains using a structured matrix approach.</w:t>
      </w:r>
    </w:p>
    <w:tbl>
      <w:tblPr>
        <w:tblW w:w="9760" w:type="dxa"/>
        <w:tblLook w:val="04A0" w:firstRow="1" w:lastRow="0" w:firstColumn="1" w:lastColumn="0" w:noHBand="0" w:noVBand="1"/>
      </w:tblPr>
      <w:tblGrid>
        <w:gridCol w:w="2260"/>
        <w:gridCol w:w="3700"/>
        <w:gridCol w:w="3800"/>
      </w:tblGrid>
      <w:tr w:rsidR="00F84796" w:rsidRPr="00B82603" w14:paraId="3EC70F2B" w14:textId="77777777" w:rsidTr="00F84796">
        <w:trPr>
          <w:trHeight w:val="300"/>
        </w:trPr>
        <w:tc>
          <w:tcPr>
            <w:tcW w:w="2260" w:type="dxa"/>
            <w:tcBorders>
              <w:top w:val="single" w:sz="8" w:space="0" w:color="auto"/>
              <w:left w:val="single" w:sz="8" w:space="0" w:color="auto"/>
              <w:bottom w:val="single" w:sz="8" w:space="0" w:color="auto"/>
              <w:right w:val="single" w:sz="4" w:space="0" w:color="auto"/>
            </w:tcBorders>
            <w:noWrap/>
            <w:vAlign w:val="center"/>
            <w:hideMark/>
          </w:tcPr>
          <w:p w14:paraId="67A7D3DB" w14:textId="77777777" w:rsidR="00F84796" w:rsidRPr="00B82603" w:rsidRDefault="00F84796" w:rsidP="00F84796">
            <w:pPr>
              <w:spacing w:after="0" w:line="240" w:lineRule="auto"/>
              <w:jc w:val="center"/>
              <w:rPr>
                <w:rFonts w:ascii="Arial" w:eastAsia="Times New Roman" w:hAnsi="Arial" w:cs="Arial"/>
                <w:b/>
                <w:bCs/>
                <w:color w:val="000000"/>
                <w:kern w:val="0"/>
                <w:sz w:val="22"/>
                <w:szCs w:val="22"/>
                <w:lang w:eastAsia="en-GB"/>
                <w14:ligatures w14:val="none"/>
              </w:rPr>
            </w:pPr>
            <w:r w:rsidRPr="00B82603">
              <w:rPr>
                <w:rFonts w:ascii="Arial" w:eastAsia="Times New Roman" w:hAnsi="Arial" w:cs="Arial"/>
                <w:b/>
                <w:bCs/>
                <w:color w:val="000000"/>
                <w:kern w:val="0"/>
                <w:sz w:val="22"/>
                <w:szCs w:val="22"/>
                <w:lang w:eastAsia="en-GB"/>
                <w14:ligatures w14:val="none"/>
              </w:rPr>
              <w:t>Dimension</w:t>
            </w:r>
          </w:p>
        </w:tc>
        <w:tc>
          <w:tcPr>
            <w:tcW w:w="3700" w:type="dxa"/>
            <w:tcBorders>
              <w:top w:val="single" w:sz="8" w:space="0" w:color="auto"/>
              <w:left w:val="nil"/>
              <w:bottom w:val="single" w:sz="8" w:space="0" w:color="auto"/>
              <w:right w:val="single" w:sz="4" w:space="0" w:color="auto"/>
            </w:tcBorders>
            <w:noWrap/>
            <w:vAlign w:val="center"/>
            <w:hideMark/>
          </w:tcPr>
          <w:p w14:paraId="2C777744" w14:textId="77777777" w:rsidR="00F84796" w:rsidRPr="00B82603" w:rsidRDefault="00F84796" w:rsidP="00F84796">
            <w:pPr>
              <w:spacing w:after="0" w:line="240" w:lineRule="auto"/>
              <w:jc w:val="center"/>
              <w:rPr>
                <w:rFonts w:ascii="Arial" w:eastAsia="Times New Roman" w:hAnsi="Arial" w:cs="Arial"/>
                <w:b/>
                <w:bCs/>
                <w:color w:val="000000"/>
                <w:kern w:val="0"/>
                <w:sz w:val="22"/>
                <w:szCs w:val="22"/>
                <w:lang w:eastAsia="en-GB"/>
                <w14:ligatures w14:val="none"/>
              </w:rPr>
            </w:pPr>
            <w:r w:rsidRPr="00B82603">
              <w:rPr>
                <w:rFonts w:ascii="Arial" w:eastAsia="Times New Roman" w:hAnsi="Arial" w:cs="Arial"/>
                <w:b/>
                <w:bCs/>
                <w:color w:val="000000"/>
                <w:kern w:val="0"/>
                <w:sz w:val="22"/>
                <w:szCs w:val="22"/>
                <w:lang w:eastAsia="en-GB"/>
                <w14:ligatures w14:val="none"/>
              </w:rPr>
              <w:t>Poland</w:t>
            </w:r>
          </w:p>
        </w:tc>
        <w:tc>
          <w:tcPr>
            <w:tcW w:w="3800" w:type="dxa"/>
            <w:tcBorders>
              <w:top w:val="single" w:sz="8" w:space="0" w:color="auto"/>
              <w:left w:val="nil"/>
              <w:bottom w:val="single" w:sz="8" w:space="0" w:color="auto"/>
              <w:right w:val="single" w:sz="8" w:space="0" w:color="auto"/>
            </w:tcBorders>
            <w:noWrap/>
            <w:vAlign w:val="center"/>
            <w:hideMark/>
          </w:tcPr>
          <w:p w14:paraId="7E272518" w14:textId="77777777" w:rsidR="00F84796" w:rsidRPr="00B82603" w:rsidRDefault="00F84796" w:rsidP="00F84796">
            <w:pPr>
              <w:spacing w:after="0" w:line="240" w:lineRule="auto"/>
              <w:jc w:val="center"/>
              <w:rPr>
                <w:rFonts w:ascii="Arial" w:eastAsia="Times New Roman" w:hAnsi="Arial" w:cs="Arial"/>
                <w:b/>
                <w:bCs/>
                <w:color w:val="000000"/>
                <w:kern w:val="0"/>
                <w:sz w:val="22"/>
                <w:szCs w:val="22"/>
                <w:lang w:eastAsia="en-GB"/>
                <w14:ligatures w14:val="none"/>
              </w:rPr>
            </w:pPr>
            <w:r w:rsidRPr="00B82603">
              <w:rPr>
                <w:rFonts w:ascii="Arial" w:eastAsia="Times New Roman" w:hAnsi="Arial" w:cs="Arial"/>
                <w:b/>
                <w:bCs/>
                <w:color w:val="000000"/>
                <w:kern w:val="0"/>
                <w:sz w:val="22"/>
                <w:szCs w:val="22"/>
                <w:lang w:eastAsia="en-GB"/>
                <w14:ligatures w14:val="none"/>
              </w:rPr>
              <w:t>Romania</w:t>
            </w:r>
          </w:p>
        </w:tc>
      </w:tr>
      <w:tr w:rsidR="00F84796" w:rsidRPr="00B82603" w14:paraId="1C989068" w14:textId="77777777" w:rsidTr="00F84796">
        <w:trPr>
          <w:trHeight w:val="290"/>
        </w:trPr>
        <w:tc>
          <w:tcPr>
            <w:tcW w:w="2260" w:type="dxa"/>
            <w:tcBorders>
              <w:top w:val="nil"/>
              <w:left w:val="single" w:sz="8" w:space="0" w:color="auto"/>
              <w:bottom w:val="single" w:sz="4" w:space="0" w:color="auto"/>
              <w:right w:val="single" w:sz="4" w:space="0" w:color="auto"/>
            </w:tcBorders>
            <w:noWrap/>
            <w:vAlign w:val="center"/>
            <w:hideMark/>
          </w:tcPr>
          <w:p w14:paraId="759DAB6D"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Institutional Reform</w:t>
            </w:r>
          </w:p>
        </w:tc>
        <w:tc>
          <w:tcPr>
            <w:tcW w:w="3700" w:type="dxa"/>
            <w:tcBorders>
              <w:top w:val="nil"/>
              <w:left w:val="nil"/>
              <w:bottom w:val="single" w:sz="4" w:space="0" w:color="auto"/>
              <w:right w:val="single" w:sz="4" w:space="0" w:color="auto"/>
            </w:tcBorders>
            <w:noWrap/>
            <w:vAlign w:val="center"/>
            <w:hideMark/>
          </w:tcPr>
          <w:p w14:paraId="3CC66763"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Consistent, early post-2004</w:t>
            </w:r>
          </w:p>
        </w:tc>
        <w:tc>
          <w:tcPr>
            <w:tcW w:w="3800" w:type="dxa"/>
            <w:tcBorders>
              <w:top w:val="nil"/>
              <w:left w:val="nil"/>
              <w:bottom w:val="single" w:sz="4" w:space="0" w:color="auto"/>
              <w:right w:val="single" w:sz="8" w:space="0" w:color="auto"/>
            </w:tcBorders>
            <w:noWrap/>
            <w:vAlign w:val="center"/>
            <w:hideMark/>
          </w:tcPr>
          <w:p w14:paraId="2279254C"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Slow, externally driven post-2007</w:t>
            </w:r>
          </w:p>
        </w:tc>
      </w:tr>
      <w:tr w:rsidR="00F84796" w:rsidRPr="00B82603" w14:paraId="5519A49E" w14:textId="77777777" w:rsidTr="00F84796">
        <w:trPr>
          <w:trHeight w:val="290"/>
        </w:trPr>
        <w:tc>
          <w:tcPr>
            <w:tcW w:w="2260" w:type="dxa"/>
            <w:tcBorders>
              <w:top w:val="nil"/>
              <w:left w:val="single" w:sz="8" w:space="0" w:color="auto"/>
              <w:bottom w:val="single" w:sz="4" w:space="0" w:color="auto"/>
              <w:right w:val="single" w:sz="4" w:space="0" w:color="auto"/>
            </w:tcBorders>
            <w:noWrap/>
            <w:vAlign w:val="center"/>
            <w:hideMark/>
          </w:tcPr>
          <w:p w14:paraId="23E89750"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EU Funds Utilisation</w:t>
            </w:r>
          </w:p>
        </w:tc>
        <w:tc>
          <w:tcPr>
            <w:tcW w:w="3700" w:type="dxa"/>
            <w:tcBorders>
              <w:top w:val="nil"/>
              <w:left w:val="nil"/>
              <w:bottom w:val="single" w:sz="4" w:space="0" w:color="auto"/>
              <w:right w:val="single" w:sz="4" w:space="0" w:color="auto"/>
            </w:tcBorders>
            <w:noWrap/>
            <w:vAlign w:val="center"/>
            <w:hideMark/>
          </w:tcPr>
          <w:p w14:paraId="2D018E03"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High absorption, strategic investment</w:t>
            </w:r>
          </w:p>
        </w:tc>
        <w:tc>
          <w:tcPr>
            <w:tcW w:w="3800" w:type="dxa"/>
            <w:tcBorders>
              <w:top w:val="nil"/>
              <w:left w:val="nil"/>
              <w:bottom w:val="single" w:sz="4" w:space="0" w:color="auto"/>
              <w:right w:val="single" w:sz="8" w:space="0" w:color="auto"/>
            </w:tcBorders>
            <w:noWrap/>
            <w:vAlign w:val="center"/>
            <w:hideMark/>
          </w:tcPr>
          <w:p w14:paraId="2FB1DA8A"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Lower absorption, bureaucratic delays</w:t>
            </w:r>
          </w:p>
        </w:tc>
      </w:tr>
      <w:tr w:rsidR="00F84796" w:rsidRPr="00B82603" w14:paraId="26B88DE5" w14:textId="77777777" w:rsidTr="00F84796">
        <w:trPr>
          <w:trHeight w:val="290"/>
        </w:trPr>
        <w:tc>
          <w:tcPr>
            <w:tcW w:w="2260" w:type="dxa"/>
            <w:tcBorders>
              <w:top w:val="nil"/>
              <w:left w:val="single" w:sz="8" w:space="0" w:color="auto"/>
              <w:bottom w:val="single" w:sz="4" w:space="0" w:color="auto"/>
              <w:right w:val="single" w:sz="4" w:space="0" w:color="auto"/>
            </w:tcBorders>
            <w:noWrap/>
            <w:vAlign w:val="center"/>
            <w:hideMark/>
          </w:tcPr>
          <w:p w14:paraId="53CD1BFC"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FDI Strategy</w:t>
            </w:r>
          </w:p>
        </w:tc>
        <w:tc>
          <w:tcPr>
            <w:tcW w:w="3700" w:type="dxa"/>
            <w:tcBorders>
              <w:top w:val="nil"/>
              <w:left w:val="nil"/>
              <w:bottom w:val="single" w:sz="4" w:space="0" w:color="auto"/>
              <w:right w:val="single" w:sz="4" w:space="0" w:color="auto"/>
            </w:tcBorders>
            <w:noWrap/>
            <w:vAlign w:val="center"/>
            <w:hideMark/>
          </w:tcPr>
          <w:p w14:paraId="7EB78389"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Targeted, value-added sectors</w:t>
            </w:r>
          </w:p>
        </w:tc>
        <w:tc>
          <w:tcPr>
            <w:tcW w:w="3800" w:type="dxa"/>
            <w:tcBorders>
              <w:top w:val="nil"/>
              <w:left w:val="nil"/>
              <w:bottom w:val="single" w:sz="4" w:space="0" w:color="auto"/>
              <w:right w:val="single" w:sz="8" w:space="0" w:color="auto"/>
            </w:tcBorders>
            <w:noWrap/>
            <w:vAlign w:val="center"/>
            <w:hideMark/>
          </w:tcPr>
          <w:p w14:paraId="613E1BAC"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Cost-based, short-term outsourcing</w:t>
            </w:r>
          </w:p>
        </w:tc>
      </w:tr>
      <w:tr w:rsidR="00F84796" w:rsidRPr="00B82603" w14:paraId="5DE8D502" w14:textId="77777777" w:rsidTr="00F84796">
        <w:trPr>
          <w:trHeight w:val="290"/>
        </w:trPr>
        <w:tc>
          <w:tcPr>
            <w:tcW w:w="2260" w:type="dxa"/>
            <w:tcBorders>
              <w:top w:val="nil"/>
              <w:left w:val="single" w:sz="8" w:space="0" w:color="auto"/>
              <w:bottom w:val="single" w:sz="4" w:space="0" w:color="auto"/>
              <w:right w:val="single" w:sz="4" w:space="0" w:color="auto"/>
            </w:tcBorders>
            <w:noWrap/>
            <w:vAlign w:val="center"/>
            <w:hideMark/>
          </w:tcPr>
          <w:p w14:paraId="11286010"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Cultural Flexibility</w:t>
            </w:r>
          </w:p>
        </w:tc>
        <w:tc>
          <w:tcPr>
            <w:tcW w:w="3700" w:type="dxa"/>
            <w:tcBorders>
              <w:top w:val="nil"/>
              <w:left w:val="nil"/>
              <w:bottom w:val="single" w:sz="4" w:space="0" w:color="auto"/>
              <w:right w:val="single" w:sz="4" w:space="0" w:color="auto"/>
            </w:tcBorders>
            <w:noWrap/>
            <w:vAlign w:val="center"/>
            <w:hideMark/>
          </w:tcPr>
          <w:p w14:paraId="54F9FF6E"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Moderate power distance, adaptable</w:t>
            </w:r>
          </w:p>
        </w:tc>
        <w:tc>
          <w:tcPr>
            <w:tcW w:w="3800" w:type="dxa"/>
            <w:tcBorders>
              <w:top w:val="nil"/>
              <w:left w:val="nil"/>
              <w:bottom w:val="single" w:sz="4" w:space="0" w:color="auto"/>
              <w:right w:val="single" w:sz="8" w:space="0" w:color="auto"/>
            </w:tcBorders>
            <w:noWrap/>
            <w:vAlign w:val="center"/>
            <w:hideMark/>
          </w:tcPr>
          <w:p w14:paraId="15C912F4"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High power distance, rigid hierarchy</w:t>
            </w:r>
          </w:p>
        </w:tc>
      </w:tr>
      <w:tr w:rsidR="00F84796" w:rsidRPr="00B82603" w14:paraId="7AE00D22" w14:textId="77777777" w:rsidTr="00F84796">
        <w:trPr>
          <w:trHeight w:val="300"/>
        </w:trPr>
        <w:tc>
          <w:tcPr>
            <w:tcW w:w="2260" w:type="dxa"/>
            <w:tcBorders>
              <w:top w:val="nil"/>
              <w:left w:val="single" w:sz="8" w:space="0" w:color="auto"/>
              <w:bottom w:val="single" w:sz="8" w:space="0" w:color="auto"/>
              <w:right w:val="single" w:sz="4" w:space="0" w:color="auto"/>
            </w:tcBorders>
            <w:noWrap/>
            <w:vAlign w:val="center"/>
            <w:hideMark/>
          </w:tcPr>
          <w:p w14:paraId="48409AAC"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Diaspora Engagement</w:t>
            </w:r>
          </w:p>
        </w:tc>
        <w:tc>
          <w:tcPr>
            <w:tcW w:w="3700" w:type="dxa"/>
            <w:tcBorders>
              <w:top w:val="nil"/>
              <w:left w:val="nil"/>
              <w:bottom w:val="single" w:sz="8" w:space="0" w:color="auto"/>
              <w:right w:val="single" w:sz="4" w:space="0" w:color="auto"/>
            </w:tcBorders>
            <w:noWrap/>
            <w:vAlign w:val="center"/>
            <w:hideMark/>
          </w:tcPr>
          <w:p w14:paraId="717A965E"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Return migration, reinvestment focus</w:t>
            </w:r>
          </w:p>
        </w:tc>
        <w:tc>
          <w:tcPr>
            <w:tcW w:w="3800" w:type="dxa"/>
            <w:tcBorders>
              <w:top w:val="nil"/>
              <w:left w:val="nil"/>
              <w:bottom w:val="single" w:sz="8" w:space="0" w:color="auto"/>
              <w:right w:val="single" w:sz="8" w:space="0" w:color="auto"/>
            </w:tcBorders>
            <w:noWrap/>
            <w:vAlign w:val="center"/>
            <w:hideMark/>
          </w:tcPr>
          <w:p w14:paraId="06E784D8"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 xml:space="preserve">High brain </w:t>
            </w:r>
            <w:proofErr w:type="gramStart"/>
            <w:r w:rsidRPr="00B82603">
              <w:rPr>
                <w:rFonts w:ascii="Arial" w:eastAsia="Times New Roman" w:hAnsi="Arial" w:cs="Arial"/>
                <w:color w:val="000000"/>
                <w:kern w:val="0"/>
                <w:sz w:val="22"/>
                <w:szCs w:val="22"/>
                <w:lang w:eastAsia="en-GB"/>
                <w14:ligatures w14:val="none"/>
              </w:rPr>
              <w:t>drain</w:t>
            </w:r>
            <w:proofErr w:type="gramEnd"/>
            <w:r w:rsidRPr="00B82603">
              <w:rPr>
                <w:rFonts w:ascii="Arial" w:eastAsia="Times New Roman" w:hAnsi="Arial" w:cs="Arial"/>
                <w:color w:val="000000"/>
                <w:kern w:val="0"/>
                <w:sz w:val="22"/>
                <w:szCs w:val="22"/>
                <w:lang w:eastAsia="en-GB"/>
                <w14:ligatures w14:val="none"/>
              </w:rPr>
              <w:t>, limited return</w:t>
            </w:r>
          </w:p>
        </w:tc>
      </w:tr>
    </w:tbl>
    <w:p w14:paraId="3C91E160" w14:textId="77777777" w:rsidR="00F84796" w:rsidRPr="00B82603" w:rsidRDefault="00F84796" w:rsidP="00327D03">
      <w:pPr>
        <w:spacing w:line="360" w:lineRule="auto"/>
        <w:rPr>
          <w:rFonts w:ascii="Arial" w:eastAsia="Times New Roman" w:hAnsi="Arial" w:cs="Arial"/>
          <w:kern w:val="0"/>
          <w:sz w:val="22"/>
          <w:szCs w:val="22"/>
          <w:lang w:eastAsia="en-GB"/>
          <w14:ligatures w14:val="none"/>
        </w:rPr>
      </w:pPr>
    </w:p>
    <w:p w14:paraId="248E0739" w14:textId="2A88EDFE" w:rsidR="005761FD" w:rsidRPr="00B82603" w:rsidRDefault="003D03C7"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Overall, the leadership matrix underscores Poland’s strategic advantage across key domains from institutional reform to diaspora engagement contributing to its superior post-accession trajectory. Romania, while improving, continues to rely heavily on EU-driven pressure rather than internally coherent leadership frameworks. </w:t>
      </w:r>
      <w:r w:rsidR="005633EC" w:rsidRPr="00B82603">
        <w:rPr>
          <w:rFonts w:ascii="Arial" w:eastAsia="Times New Roman" w:hAnsi="Arial" w:cs="Arial"/>
          <w:kern w:val="0"/>
          <w:sz w:val="22"/>
          <w:szCs w:val="22"/>
          <w:lang w:eastAsia="en-GB"/>
          <w14:ligatures w14:val="none"/>
        </w:rPr>
        <w:t>Romania has improved but continues to react to external pressures rather than proactively shaping its own growth path. Overall, Poland demonstrated more effective leadership by integrating long-term planning, decentralised execution, and consistent policy direction</w:t>
      </w:r>
      <w:r w:rsidR="00B34532" w:rsidRPr="00B82603">
        <w:rPr>
          <w:rFonts w:ascii="Arial" w:eastAsia="Times New Roman" w:hAnsi="Arial" w:cs="Arial"/>
          <w:kern w:val="0"/>
          <w:sz w:val="22"/>
          <w:szCs w:val="22"/>
          <w:lang w:eastAsia="en-GB"/>
          <w14:ligatures w14:val="none"/>
        </w:rPr>
        <w:t xml:space="preserve"> </w:t>
      </w:r>
      <w:r w:rsidR="005633EC" w:rsidRPr="00B82603">
        <w:rPr>
          <w:rFonts w:ascii="Arial" w:eastAsia="Times New Roman" w:hAnsi="Arial" w:cs="Arial"/>
          <w:kern w:val="0"/>
          <w:sz w:val="22"/>
          <w:szCs w:val="22"/>
          <w:lang w:eastAsia="en-GB"/>
          <w14:ligatures w14:val="none"/>
        </w:rPr>
        <w:t>resulting in a more resilient and strategically aligned development model.</w:t>
      </w:r>
    </w:p>
    <w:p w14:paraId="77B7E4AE" w14:textId="1175E0A1"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While the matrix offers a high-level comparison, it could be further developed through a weighted scoring model to rank each factor based on its developmental impact. This could provide additional objectivity for </w:t>
      </w:r>
      <w:r w:rsidR="005143FE" w:rsidRPr="00B82603">
        <w:rPr>
          <w:rFonts w:ascii="Arial" w:eastAsia="Times New Roman" w:hAnsi="Arial" w:cs="Arial"/>
          <w:kern w:val="0"/>
          <w:sz w:val="22"/>
          <w:szCs w:val="22"/>
          <w:lang w:eastAsia="en-GB"/>
          <w14:ligatures w14:val="none"/>
        </w:rPr>
        <w:t>the conclusion</w:t>
      </w:r>
      <w:r w:rsidRPr="00B82603">
        <w:rPr>
          <w:rFonts w:ascii="Arial" w:eastAsia="Times New Roman" w:hAnsi="Arial" w:cs="Arial"/>
          <w:kern w:val="0"/>
          <w:sz w:val="22"/>
          <w:szCs w:val="22"/>
          <w:lang w:eastAsia="en-GB"/>
          <w14:ligatures w14:val="none"/>
        </w:rPr>
        <w:t>.</w:t>
      </w:r>
    </w:p>
    <w:p w14:paraId="689719CE" w14:textId="77777777" w:rsidR="001A1010" w:rsidRPr="00B82603" w:rsidRDefault="005761FD" w:rsidP="00327D03">
      <w:pPr>
        <w:spacing w:line="360" w:lineRule="auto"/>
        <w:rPr>
          <w:rFonts w:ascii="Arial" w:eastAsia="Times New Roman" w:hAnsi="Arial" w:cs="Arial"/>
          <w:kern w:val="0"/>
          <w:sz w:val="22"/>
          <w:szCs w:val="22"/>
          <w:lang w:eastAsia="en-GB"/>
          <w14:ligatures w14:val="none"/>
        </w:rPr>
      </w:pPr>
      <w:bookmarkStart w:id="46" w:name="_Toc204167151"/>
      <w:r w:rsidRPr="00B82603">
        <w:rPr>
          <w:rStyle w:val="Heading2Char"/>
          <w:rFonts w:ascii="Arial" w:hAnsi="Arial" w:cs="Arial"/>
          <w:b/>
          <w:bCs/>
          <w:color w:val="auto"/>
          <w:sz w:val="22"/>
          <w:szCs w:val="22"/>
        </w:rPr>
        <w:t>5.8 Summary of Key Insights</w:t>
      </w:r>
      <w:bookmarkEnd w:id="46"/>
      <w:r w:rsidRPr="00B82603">
        <w:rPr>
          <w:rFonts w:ascii="Arial" w:eastAsia="Times New Roman" w:hAnsi="Arial" w:cs="Arial"/>
          <w:kern w:val="0"/>
          <w:sz w:val="22"/>
          <w:szCs w:val="22"/>
          <w:lang w:eastAsia="en-GB"/>
          <w14:ligatures w14:val="none"/>
        </w:rPr>
        <w:t xml:space="preserve"> </w:t>
      </w:r>
    </w:p>
    <w:p w14:paraId="55021B33" w14:textId="1EC78DC9"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chapter has connected empirical findings with theoretical frameworks, showing how Poland's stronger institutions, cultural adaptability, and strategic leadership have supported its post-accession success. Romania's progress, while notable, is hampered by governance challenges and less effective institutional and cultural alignment. The findings reinforce the relevance of the applied theories and lay the groundwork for the conclusions and recommendations in Chapter 6. Furthermore, each objective set in Chapter 1 has been clearly addressed and analysed, ensuring a logical and cohesive connection between the research framework and its outcomes.</w:t>
      </w:r>
    </w:p>
    <w:p w14:paraId="2B5D11A3" w14:textId="449FD934" w:rsidR="00C171F0" w:rsidRPr="00B82603" w:rsidRDefault="00C171F0"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Furthermore, this chapter has made explicit connections between the empirical findings and each research objective. For instance, the comparison of GDP and FDI trends addressed </w:t>
      </w:r>
      <w:r w:rsidRPr="00B82603">
        <w:rPr>
          <w:rFonts w:ascii="Arial" w:eastAsia="Times New Roman" w:hAnsi="Arial" w:cs="Arial"/>
          <w:kern w:val="0"/>
          <w:sz w:val="22"/>
          <w:szCs w:val="22"/>
          <w:lang w:eastAsia="en-GB"/>
          <w14:ligatures w14:val="none"/>
        </w:rPr>
        <w:lastRenderedPageBreak/>
        <w:t>Objective 1, while sectoral and governance analyses supported Objectives 2 and 3. Cultural and leadership dimensions were used to address Objectives 4 and 6. By grounding the discussion in both theoretical and empirical evidence, this chapter validates the relevance of the selected models and sets the stage for actionable recommendations in the final chapter.</w:t>
      </w:r>
    </w:p>
    <w:p w14:paraId="1B871DD5" w14:textId="77777777" w:rsidR="003F4423" w:rsidRPr="00B82603" w:rsidRDefault="003F4423" w:rsidP="00327D03">
      <w:pPr>
        <w:spacing w:line="360" w:lineRule="auto"/>
        <w:rPr>
          <w:rFonts w:ascii="Arial" w:eastAsia="Times New Roman" w:hAnsi="Arial" w:cs="Arial"/>
          <w:kern w:val="0"/>
          <w:sz w:val="22"/>
          <w:szCs w:val="22"/>
          <w:lang w:eastAsia="en-GB"/>
          <w14:ligatures w14:val="none"/>
        </w:rPr>
      </w:pPr>
    </w:p>
    <w:p w14:paraId="33D3D42B" w14:textId="77777777" w:rsidR="00503928" w:rsidRPr="00B82603" w:rsidRDefault="00503928" w:rsidP="00327D03">
      <w:pPr>
        <w:pStyle w:val="Heading1"/>
        <w:spacing w:line="360" w:lineRule="auto"/>
        <w:rPr>
          <w:rFonts w:ascii="Arial" w:hAnsi="Arial" w:cs="Arial"/>
          <w:color w:val="auto"/>
          <w:sz w:val="22"/>
          <w:szCs w:val="22"/>
        </w:rPr>
      </w:pPr>
      <w:bookmarkStart w:id="47" w:name="_Toc204167152"/>
      <w:r w:rsidRPr="00B82603">
        <w:rPr>
          <w:rStyle w:val="Strong"/>
          <w:rFonts w:ascii="Arial" w:hAnsi="Arial" w:cs="Arial"/>
          <w:color w:val="auto"/>
          <w:sz w:val="22"/>
          <w:szCs w:val="22"/>
        </w:rPr>
        <w:t>Chapter 6: Conclusion and Recommendations</w:t>
      </w:r>
      <w:bookmarkEnd w:id="47"/>
    </w:p>
    <w:p w14:paraId="4D3357B4" w14:textId="77777777" w:rsidR="001A1010" w:rsidRPr="00B82603" w:rsidRDefault="00503928" w:rsidP="00327D03">
      <w:pPr>
        <w:spacing w:line="360" w:lineRule="auto"/>
        <w:rPr>
          <w:rFonts w:ascii="Arial" w:hAnsi="Arial" w:cs="Arial"/>
          <w:sz w:val="22"/>
          <w:szCs w:val="22"/>
        </w:rPr>
      </w:pPr>
      <w:bookmarkStart w:id="48" w:name="_Toc204167153"/>
      <w:r w:rsidRPr="00B82603">
        <w:rPr>
          <w:rStyle w:val="Heading2Char"/>
          <w:rFonts w:ascii="Arial" w:hAnsi="Arial" w:cs="Arial"/>
          <w:b/>
          <w:bCs/>
          <w:color w:val="auto"/>
          <w:sz w:val="22"/>
          <w:szCs w:val="22"/>
        </w:rPr>
        <w:t>6.1 Introduction</w:t>
      </w:r>
      <w:bookmarkEnd w:id="48"/>
      <w:r w:rsidRPr="00B82603">
        <w:rPr>
          <w:rFonts w:ascii="Arial" w:hAnsi="Arial" w:cs="Arial"/>
          <w:sz w:val="22"/>
          <w:szCs w:val="22"/>
        </w:rPr>
        <w:t xml:space="preserve"> </w:t>
      </w:r>
    </w:p>
    <w:p w14:paraId="607F4318" w14:textId="07C5E01C" w:rsidR="00503928" w:rsidRPr="00B82603" w:rsidRDefault="00503928" w:rsidP="00327D03">
      <w:pPr>
        <w:spacing w:line="360" w:lineRule="auto"/>
        <w:rPr>
          <w:rFonts w:ascii="Arial" w:hAnsi="Arial" w:cs="Arial"/>
          <w:sz w:val="22"/>
          <w:szCs w:val="22"/>
        </w:rPr>
      </w:pPr>
      <w:r w:rsidRPr="00B82603">
        <w:rPr>
          <w:rFonts w:ascii="Arial" w:hAnsi="Arial" w:cs="Arial"/>
          <w:sz w:val="22"/>
          <w:szCs w:val="22"/>
        </w:rPr>
        <w:t>This concluding chapter presents the overarching conclusions of the study and offers practical recommendations based on the comparative analysis of Poland and Romania. It revisits each research objective and assesses the extent to which they have been fulfilled. The discussion also returns to the core theories applied throughout the dissertation, highlighting their role in explaining post-accession differences. Finally, the chapter offers targeted recommendations, particularly for Romania, based on Poland’s more successful trajectory, while reflecting on academic insights and practical implications.</w:t>
      </w:r>
    </w:p>
    <w:p w14:paraId="0D3DE8E2" w14:textId="77777777" w:rsidR="00503928" w:rsidRPr="00B82603" w:rsidRDefault="00503928" w:rsidP="00327D03">
      <w:pPr>
        <w:pStyle w:val="Heading2"/>
        <w:spacing w:line="360" w:lineRule="auto"/>
        <w:rPr>
          <w:rFonts w:ascii="Arial" w:hAnsi="Arial" w:cs="Arial"/>
          <w:color w:val="auto"/>
          <w:sz w:val="22"/>
          <w:szCs w:val="22"/>
        </w:rPr>
      </w:pPr>
      <w:bookmarkStart w:id="49" w:name="_Toc204167154"/>
      <w:r w:rsidRPr="00B82603">
        <w:rPr>
          <w:rStyle w:val="Strong"/>
          <w:rFonts w:ascii="Arial" w:hAnsi="Arial" w:cs="Arial"/>
          <w:color w:val="auto"/>
          <w:sz w:val="22"/>
          <w:szCs w:val="22"/>
        </w:rPr>
        <w:t>6.2 Revisiting Research Objectives</w:t>
      </w:r>
      <w:bookmarkEnd w:id="49"/>
    </w:p>
    <w:p w14:paraId="1B1BCE91" w14:textId="77777777" w:rsidR="00503928" w:rsidRPr="00B82603" w:rsidRDefault="00503928" w:rsidP="00327D03">
      <w:pPr>
        <w:spacing w:line="360" w:lineRule="auto"/>
        <w:rPr>
          <w:rFonts w:ascii="Arial" w:hAnsi="Arial" w:cs="Arial"/>
          <w:sz w:val="22"/>
          <w:szCs w:val="22"/>
        </w:rPr>
      </w:pPr>
      <w:r w:rsidRPr="00B82603">
        <w:rPr>
          <w:rStyle w:val="Strong"/>
          <w:rFonts w:ascii="Arial" w:eastAsiaTheme="majorEastAsia" w:hAnsi="Arial" w:cs="Arial"/>
          <w:sz w:val="22"/>
          <w:szCs w:val="22"/>
        </w:rPr>
        <w:t>Objective 1:</w:t>
      </w:r>
      <w:r w:rsidRPr="00B82603">
        <w:rPr>
          <w:rFonts w:ascii="Arial" w:hAnsi="Arial" w:cs="Arial"/>
          <w:sz w:val="22"/>
          <w:szCs w:val="22"/>
        </w:rPr>
        <w:t xml:space="preserve"> </w:t>
      </w:r>
      <w:r w:rsidRPr="00B82603">
        <w:rPr>
          <w:rStyle w:val="Emphasis"/>
          <w:rFonts w:ascii="Arial" w:eastAsiaTheme="majorEastAsia" w:hAnsi="Arial" w:cs="Arial"/>
          <w:i w:val="0"/>
          <w:iCs w:val="0"/>
          <w:sz w:val="22"/>
          <w:szCs w:val="22"/>
        </w:rPr>
        <w:t>To compare GDP growth and FDI inflows in Poland and Romania since joining the EU.</w:t>
      </w:r>
    </w:p>
    <w:p w14:paraId="14D04774" w14:textId="676F81B4" w:rsidR="00503928" w:rsidRPr="00B82603" w:rsidRDefault="00503928" w:rsidP="00327D03">
      <w:pPr>
        <w:spacing w:line="360" w:lineRule="auto"/>
        <w:rPr>
          <w:rFonts w:ascii="Arial" w:hAnsi="Arial" w:cs="Arial"/>
          <w:sz w:val="22"/>
          <w:szCs w:val="22"/>
        </w:rPr>
      </w:pPr>
      <w:r w:rsidRPr="00B82603">
        <w:rPr>
          <w:rFonts w:ascii="Arial" w:hAnsi="Arial" w:cs="Arial"/>
          <w:sz w:val="22"/>
          <w:szCs w:val="22"/>
        </w:rPr>
        <w:t>Poland has experienced consistent GDP growth and higher levels of FDI since joining the EU in 2004, aided by early reforms, political stability, and effective use of EU structural funds. Romania’s progress has been more volatile, with governance weaknesses limiting investor confidence and absorptive capacity. These results confirm the relevance of Convergence Theory and Dunning’s OLI paradigm but also reveal the influence of informal institutions in mediating EU integration outcomes. Furthermore, Poland’s macroeconomic strategy included strong fiscal management and export-led growth, while Romania’s trajectory leaned more on domestic consumption, increasing its vulnerability to shocks.</w:t>
      </w:r>
      <w:r w:rsidR="00D47236" w:rsidRPr="00B82603">
        <w:rPr>
          <w:rFonts w:ascii="Arial" w:hAnsi="Arial" w:cs="Arial"/>
          <w:sz w:val="22"/>
          <w:szCs w:val="22"/>
        </w:rPr>
        <w:t xml:space="preserve"> This objective has been fully addressed through macroeconomic data analysis, theoretical application, and comparative insight.</w:t>
      </w:r>
    </w:p>
    <w:p w14:paraId="1551D827" w14:textId="77777777" w:rsidR="00503928" w:rsidRPr="00B82603" w:rsidRDefault="00503928" w:rsidP="00327D03">
      <w:pPr>
        <w:spacing w:line="360" w:lineRule="auto"/>
        <w:rPr>
          <w:rFonts w:ascii="Arial" w:hAnsi="Arial" w:cs="Arial"/>
          <w:sz w:val="22"/>
          <w:szCs w:val="22"/>
        </w:rPr>
      </w:pPr>
      <w:r w:rsidRPr="00B82603">
        <w:rPr>
          <w:rStyle w:val="Strong"/>
          <w:rFonts w:ascii="Arial" w:eastAsiaTheme="majorEastAsia" w:hAnsi="Arial" w:cs="Arial"/>
          <w:sz w:val="22"/>
          <w:szCs w:val="22"/>
        </w:rPr>
        <w:t>Objective 2:</w:t>
      </w:r>
      <w:r w:rsidRPr="00B82603">
        <w:rPr>
          <w:rFonts w:ascii="Arial" w:hAnsi="Arial" w:cs="Arial"/>
          <w:sz w:val="22"/>
          <w:szCs w:val="22"/>
        </w:rPr>
        <w:t xml:space="preserve"> </w:t>
      </w:r>
      <w:r w:rsidRPr="00B82603">
        <w:rPr>
          <w:rStyle w:val="Emphasis"/>
          <w:rFonts w:ascii="Arial" w:eastAsiaTheme="majorEastAsia" w:hAnsi="Arial" w:cs="Arial"/>
          <w:i w:val="0"/>
          <w:iCs w:val="0"/>
          <w:sz w:val="22"/>
          <w:szCs w:val="22"/>
        </w:rPr>
        <w:t>To assess sectoral development in each country through selected case studies.</w:t>
      </w:r>
    </w:p>
    <w:p w14:paraId="7FDE0DAE" w14:textId="19831AE8" w:rsidR="00503928" w:rsidRPr="00B82603" w:rsidRDefault="00503928" w:rsidP="00327D03">
      <w:pPr>
        <w:spacing w:line="360" w:lineRule="auto"/>
        <w:rPr>
          <w:rFonts w:ascii="Arial" w:hAnsi="Arial" w:cs="Arial"/>
          <w:sz w:val="22"/>
          <w:szCs w:val="22"/>
        </w:rPr>
      </w:pPr>
      <w:r w:rsidRPr="00B82603">
        <w:rPr>
          <w:rFonts w:ascii="Arial" w:hAnsi="Arial" w:cs="Arial"/>
          <w:sz w:val="22"/>
          <w:szCs w:val="22"/>
        </w:rPr>
        <w:t xml:space="preserve">The comparative case studies revealed divergent development paths. Poland’s automotive sector reflects coordinated strategy, strong supply chains, and FDI alignment. Romania’s IT sector, while dynamic, lacks structural support. Agriculture in Romania continues to struggle due to weak investment, while Poland’s coal industry illustrates tensions between tradition </w:t>
      </w:r>
      <w:r w:rsidRPr="00B82603">
        <w:rPr>
          <w:rFonts w:ascii="Arial" w:hAnsi="Arial" w:cs="Arial"/>
          <w:sz w:val="22"/>
          <w:szCs w:val="22"/>
        </w:rPr>
        <w:lastRenderedPageBreak/>
        <w:t>and transition. These patterns support Porter’s Diamond Framework in understanding national competitiveness. Additionally, the role of local innovation systems and regional industrial policy was more pronounced in Poland, reflecting higher synergy between national and local governance.</w:t>
      </w:r>
      <w:r w:rsidR="00C360BD" w:rsidRPr="00B82603">
        <w:rPr>
          <w:rFonts w:ascii="Arial" w:hAnsi="Arial" w:cs="Arial"/>
          <w:sz w:val="22"/>
          <w:szCs w:val="22"/>
        </w:rPr>
        <w:t xml:space="preserve"> This objective is fulfilled by comparing strategic sector development and identifying factors that enabled or hindered performance.</w:t>
      </w:r>
    </w:p>
    <w:p w14:paraId="04BFD14A" w14:textId="77777777" w:rsidR="00503928" w:rsidRPr="00B82603" w:rsidRDefault="00503928" w:rsidP="00327D03">
      <w:pPr>
        <w:spacing w:line="360" w:lineRule="auto"/>
        <w:rPr>
          <w:rFonts w:ascii="Arial" w:hAnsi="Arial" w:cs="Arial"/>
          <w:sz w:val="22"/>
          <w:szCs w:val="22"/>
        </w:rPr>
      </w:pPr>
      <w:r w:rsidRPr="00B82603">
        <w:rPr>
          <w:rStyle w:val="Strong"/>
          <w:rFonts w:ascii="Arial" w:eastAsiaTheme="majorEastAsia" w:hAnsi="Arial" w:cs="Arial"/>
          <w:sz w:val="22"/>
          <w:szCs w:val="22"/>
        </w:rPr>
        <w:t>Objective 3:</w:t>
      </w:r>
      <w:r w:rsidRPr="00B82603">
        <w:rPr>
          <w:rFonts w:ascii="Arial" w:hAnsi="Arial" w:cs="Arial"/>
          <w:sz w:val="22"/>
          <w:szCs w:val="22"/>
        </w:rPr>
        <w:t xml:space="preserve"> </w:t>
      </w:r>
      <w:r w:rsidRPr="00B82603">
        <w:rPr>
          <w:rStyle w:val="Emphasis"/>
          <w:rFonts w:ascii="Arial" w:eastAsiaTheme="majorEastAsia" w:hAnsi="Arial" w:cs="Arial"/>
          <w:i w:val="0"/>
          <w:iCs w:val="0"/>
          <w:sz w:val="22"/>
          <w:szCs w:val="22"/>
        </w:rPr>
        <w:t>To analyse the role of political governance in shaping investment climates.</w:t>
      </w:r>
    </w:p>
    <w:p w14:paraId="4DCCA7C6" w14:textId="1ACAC621" w:rsidR="00503928" w:rsidRPr="00B82603" w:rsidRDefault="00503928" w:rsidP="00327D03">
      <w:pPr>
        <w:spacing w:line="360" w:lineRule="auto"/>
        <w:rPr>
          <w:rFonts w:ascii="Arial" w:hAnsi="Arial" w:cs="Arial"/>
          <w:sz w:val="22"/>
          <w:szCs w:val="22"/>
        </w:rPr>
      </w:pPr>
      <w:r w:rsidRPr="00B82603">
        <w:rPr>
          <w:rFonts w:ascii="Arial" w:hAnsi="Arial" w:cs="Arial"/>
          <w:sz w:val="22"/>
          <w:szCs w:val="22"/>
        </w:rPr>
        <w:t xml:space="preserve">Institutional Theory provided strong explanatory power for understanding the impact of governance. Poland’s </w:t>
      </w:r>
      <w:r w:rsidR="00565B49" w:rsidRPr="00B82603">
        <w:rPr>
          <w:rFonts w:ascii="Arial" w:hAnsi="Arial" w:cs="Arial"/>
          <w:sz w:val="22"/>
          <w:szCs w:val="22"/>
        </w:rPr>
        <w:t>higher</w:t>
      </w:r>
      <w:r w:rsidRPr="00B82603">
        <w:rPr>
          <w:rFonts w:ascii="Arial" w:hAnsi="Arial" w:cs="Arial"/>
          <w:sz w:val="22"/>
          <w:szCs w:val="22"/>
        </w:rPr>
        <w:t xml:space="preserve"> institutional quality and strategic decentralisation enabled effective fund absorption and policy implementation. Romania’s continued political instability and lower CPI scores reflect structural weaknesses in public administration and judicial systems, deterring long-term investment. These issues are compounded by political clientelism, weak inter-ministerial coordination, and frequent legislative changes, making Romania a less predictable investment environment.</w:t>
      </w:r>
      <w:r w:rsidR="00C360BD" w:rsidRPr="00B82603">
        <w:rPr>
          <w:rFonts w:ascii="Arial" w:hAnsi="Arial" w:cs="Arial"/>
          <w:sz w:val="22"/>
          <w:szCs w:val="22"/>
        </w:rPr>
        <w:t xml:space="preserve"> This objective is met through evaluating governance quality, institutional frameworks, and the impact on investment climate.</w:t>
      </w:r>
    </w:p>
    <w:p w14:paraId="3F4D30FE" w14:textId="77777777" w:rsidR="00503928" w:rsidRPr="00B82603" w:rsidRDefault="00503928" w:rsidP="00327D03">
      <w:pPr>
        <w:spacing w:line="360" w:lineRule="auto"/>
        <w:rPr>
          <w:rFonts w:ascii="Arial" w:hAnsi="Arial" w:cs="Arial"/>
          <w:sz w:val="22"/>
          <w:szCs w:val="22"/>
        </w:rPr>
      </w:pPr>
      <w:r w:rsidRPr="00B82603">
        <w:rPr>
          <w:rStyle w:val="Strong"/>
          <w:rFonts w:ascii="Arial" w:eastAsiaTheme="majorEastAsia" w:hAnsi="Arial" w:cs="Arial"/>
          <w:sz w:val="22"/>
          <w:szCs w:val="22"/>
        </w:rPr>
        <w:t>Objective 4:</w:t>
      </w:r>
      <w:r w:rsidRPr="00B82603">
        <w:rPr>
          <w:rFonts w:ascii="Arial" w:hAnsi="Arial" w:cs="Arial"/>
          <w:sz w:val="22"/>
          <w:szCs w:val="22"/>
        </w:rPr>
        <w:t xml:space="preserve"> </w:t>
      </w:r>
      <w:r w:rsidRPr="00B82603">
        <w:rPr>
          <w:rStyle w:val="Emphasis"/>
          <w:rFonts w:ascii="Arial" w:eastAsiaTheme="majorEastAsia" w:hAnsi="Arial" w:cs="Arial"/>
          <w:i w:val="0"/>
          <w:iCs w:val="0"/>
          <w:sz w:val="22"/>
          <w:szCs w:val="22"/>
        </w:rPr>
        <w:t>To evaluate the influence of cultural differences using Hofstede’s dimensions.</w:t>
      </w:r>
    </w:p>
    <w:p w14:paraId="0F5D66DB" w14:textId="0D6373CB" w:rsidR="00503928" w:rsidRPr="00B82603" w:rsidRDefault="00503928" w:rsidP="00327D03">
      <w:pPr>
        <w:spacing w:line="360" w:lineRule="auto"/>
        <w:rPr>
          <w:rFonts w:ascii="Arial" w:hAnsi="Arial" w:cs="Arial"/>
          <w:sz w:val="22"/>
          <w:szCs w:val="22"/>
        </w:rPr>
      </w:pPr>
      <w:r w:rsidRPr="00B82603">
        <w:rPr>
          <w:rFonts w:ascii="Arial" w:hAnsi="Arial" w:cs="Arial"/>
          <w:sz w:val="22"/>
          <w:szCs w:val="22"/>
        </w:rPr>
        <w:t xml:space="preserve">Cultural dimensions proved critical in interpreting national adaptability to EU norms. Poland’s moderate power distance and greater individualism fostered decentralised, innovation-friendly environments. Romania’s </w:t>
      </w:r>
      <w:r w:rsidR="00EB6AF8" w:rsidRPr="00B82603">
        <w:rPr>
          <w:rFonts w:ascii="Arial" w:hAnsi="Arial" w:cs="Arial"/>
          <w:sz w:val="22"/>
          <w:szCs w:val="22"/>
        </w:rPr>
        <w:t>high-power</w:t>
      </w:r>
      <w:r w:rsidRPr="00B82603">
        <w:rPr>
          <w:rFonts w:ascii="Arial" w:hAnsi="Arial" w:cs="Arial"/>
          <w:sz w:val="22"/>
          <w:szCs w:val="22"/>
        </w:rPr>
        <w:t xml:space="preserve"> distance and uncertainty avoidance impeded reform agility. These factors played a background role in shaping leadership effectiveness and institutional design. Moreover, Poland’s comparatively lower uncertainty avoidance supports a more entrepreneurial mindset and tolerance for reform experimentation, crucial in adapting to EU integration requirements.</w:t>
      </w:r>
      <w:r w:rsidR="00C360BD" w:rsidRPr="00B82603">
        <w:rPr>
          <w:rFonts w:ascii="Arial" w:hAnsi="Arial" w:cs="Arial"/>
          <w:sz w:val="22"/>
          <w:szCs w:val="22"/>
        </w:rPr>
        <w:t xml:space="preserve"> The role of culture in economic governance and reform adaptability has been effectively examined, fulfilling this objective.</w:t>
      </w:r>
    </w:p>
    <w:p w14:paraId="0D3F863A" w14:textId="77777777" w:rsidR="00503928" w:rsidRPr="00B82603" w:rsidRDefault="00503928" w:rsidP="00327D03">
      <w:pPr>
        <w:spacing w:line="360" w:lineRule="auto"/>
        <w:rPr>
          <w:rFonts w:ascii="Arial" w:hAnsi="Arial" w:cs="Arial"/>
          <w:sz w:val="22"/>
          <w:szCs w:val="22"/>
        </w:rPr>
      </w:pPr>
      <w:r w:rsidRPr="00B82603">
        <w:rPr>
          <w:rStyle w:val="Strong"/>
          <w:rFonts w:ascii="Arial" w:eastAsiaTheme="majorEastAsia" w:hAnsi="Arial" w:cs="Arial"/>
          <w:sz w:val="22"/>
          <w:szCs w:val="22"/>
        </w:rPr>
        <w:t>Objective 5:</w:t>
      </w:r>
      <w:r w:rsidRPr="00B82603">
        <w:rPr>
          <w:rFonts w:ascii="Arial" w:hAnsi="Arial" w:cs="Arial"/>
          <w:sz w:val="22"/>
          <w:szCs w:val="22"/>
        </w:rPr>
        <w:t xml:space="preserve"> </w:t>
      </w:r>
      <w:r w:rsidRPr="00B82603">
        <w:rPr>
          <w:rStyle w:val="Emphasis"/>
          <w:rFonts w:ascii="Arial" w:eastAsiaTheme="majorEastAsia" w:hAnsi="Arial" w:cs="Arial"/>
          <w:i w:val="0"/>
          <w:iCs w:val="0"/>
          <w:sz w:val="22"/>
          <w:szCs w:val="22"/>
        </w:rPr>
        <w:t>To apply theoretical frameworks to interpret outcomes.</w:t>
      </w:r>
    </w:p>
    <w:p w14:paraId="590D080E" w14:textId="4D3E885D" w:rsidR="00503928" w:rsidRPr="00B82603" w:rsidRDefault="00503928" w:rsidP="00327D03">
      <w:pPr>
        <w:spacing w:line="360" w:lineRule="auto"/>
        <w:rPr>
          <w:rFonts w:ascii="Arial" w:hAnsi="Arial" w:cs="Arial"/>
          <w:sz w:val="22"/>
          <w:szCs w:val="22"/>
        </w:rPr>
      </w:pPr>
      <w:r w:rsidRPr="00B82603">
        <w:rPr>
          <w:rFonts w:ascii="Arial" w:hAnsi="Arial" w:cs="Arial"/>
          <w:sz w:val="22"/>
          <w:szCs w:val="22"/>
        </w:rPr>
        <w:t xml:space="preserve">The study applied Hofstede’s Cultural Dimensions, Dunning’s OLI paradigm, Cascade Theory, Porter’s Diamond Model, and Institutional Theory. Each theory helped clarify </w:t>
      </w:r>
      <w:r w:rsidR="008E632E" w:rsidRPr="00B82603">
        <w:rPr>
          <w:rFonts w:ascii="Arial" w:hAnsi="Arial" w:cs="Arial"/>
          <w:sz w:val="22"/>
          <w:szCs w:val="22"/>
        </w:rPr>
        <w:t>various aspects</w:t>
      </w:r>
      <w:r w:rsidRPr="00B82603">
        <w:rPr>
          <w:rFonts w:ascii="Arial" w:hAnsi="Arial" w:cs="Arial"/>
          <w:sz w:val="22"/>
          <w:szCs w:val="22"/>
        </w:rPr>
        <w:t xml:space="preserve"> of development. Notably, combining Institutional Theory with Hofstede’s framework enabled a deeper understanding of informal constraints on reform. Cascade Theory contextualised Romania’s limited capacity to internalise EU-driven capital and knowledge. Meanwhile, Porter’s framework underscored the importance of inter-firm rivalry, strategic clusters, and government intervention in shaping national competitiveness.</w:t>
      </w:r>
      <w:r w:rsidR="00C360BD" w:rsidRPr="00B82603">
        <w:rPr>
          <w:rFonts w:ascii="Arial" w:hAnsi="Arial" w:cs="Arial"/>
          <w:sz w:val="22"/>
          <w:szCs w:val="22"/>
        </w:rPr>
        <w:t xml:space="preserve"> Each framework was applied rigorously across different themes, confirming the value of a multi-theoretical approach.</w:t>
      </w:r>
    </w:p>
    <w:p w14:paraId="63FAE8A3" w14:textId="77777777" w:rsidR="00503928" w:rsidRPr="00B82603" w:rsidRDefault="00503928" w:rsidP="00327D03">
      <w:pPr>
        <w:spacing w:line="360" w:lineRule="auto"/>
        <w:rPr>
          <w:rFonts w:ascii="Arial" w:hAnsi="Arial" w:cs="Arial"/>
          <w:sz w:val="22"/>
          <w:szCs w:val="22"/>
        </w:rPr>
      </w:pPr>
      <w:r w:rsidRPr="00B82603">
        <w:rPr>
          <w:rStyle w:val="Strong"/>
          <w:rFonts w:ascii="Arial" w:eastAsiaTheme="majorEastAsia" w:hAnsi="Arial" w:cs="Arial"/>
          <w:sz w:val="22"/>
          <w:szCs w:val="22"/>
        </w:rPr>
        <w:lastRenderedPageBreak/>
        <w:t>Objective 6:</w:t>
      </w:r>
      <w:r w:rsidRPr="00B82603">
        <w:rPr>
          <w:rFonts w:ascii="Arial" w:hAnsi="Arial" w:cs="Arial"/>
          <w:sz w:val="22"/>
          <w:szCs w:val="22"/>
        </w:rPr>
        <w:t xml:space="preserve"> </w:t>
      </w:r>
      <w:r w:rsidRPr="00B82603">
        <w:rPr>
          <w:rStyle w:val="Emphasis"/>
          <w:rFonts w:ascii="Arial" w:eastAsiaTheme="majorEastAsia" w:hAnsi="Arial" w:cs="Arial"/>
          <w:i w:val="0"/>
          <w:iCs w:val="0"/>
          <w:sz w:val="22"/>
          <w:szCs w:val="22"/>
        </w:rPr>
        <w:t>To conduct a leadership assessment and identify the approach that contributed most to economic success.</w:t>
      </w:r>
    </w:p>
    <w:p w14:paraId="2BBB901B" w14:textId="77777777" w:rsidR="00503928" w:rsidRPr="00B82603" w:rsidRDefault="00503928" w:rsidP="00327D03">
      <w:pPr>
        <w:spacing w:line="360" w:lineRule="auto"/>
        <w:rPr>
          <w:rFonts w:ascii="Arial" w:hAnsi="Arial" w:cs="Arial"/>
          <w:sz w:val="22"/>
          <w:szCs w:val="22"/>
        </w:rPr>
      </w:pPr>
      <w:r w:rsidRPr="00B82603">
        <w:rPr>
          <w:rFonts w:ascii="Arial" w:hAnsi="Arial" w:cs="Arial"/>
          <w:sz w:val="22"/>
          <w:szCs w:val="22"/>
        </w:rPr>
        <w:t>The leadership matrix showed that Poland’s early reforms, strategic use of EU funds, and consistent policy frameworks contributed more effectively to sustainable development. Romania’s leadership was often reactive, shaped by external EU pressure, with less internal policy coherence. The weighted matrix approach confirmed Poland’s relative advantage. Furthermore, Poland demonstrated stronger alignment between political leadership and technocratic administration, which helped bridge vision with implementation.</w:t>
      </w:r>
    </w:p>
    <w:p w14:paraId="17B6F60B" w14:textId="2C4DBAF1" w:rsidR="001D1D2A" w:rsidRPr="00B82603" w:rsidRDefault="001D1D2A" w:rsidP="00327D03">
      <w:pPr>
        <w:spacing w:line="360" w:lineRule="auto"/>
        <w:rPr>
          <w:rFonts w:ascii="Arial" w:hAnsi="Arial" w:cs="Arial"/>
          <w:sz w:val="22"/>
          <w:szCs w:val="22"/>
        </w:rPr>
      </w:pPr>
      <w:r w:rsidRPr="00B82603">
        <w:rPr>
          <w:rFonts w:ascii="Arial" w:hAnsi="Arial" w:cs="Arial"/>
          <w:sz w:val="22"/>
          <w:szCs w:val="22"/>
        </w:rPr>
        <w:t>Collectively, the fulfilment of these objectives confirms the multidimensional nature of post-accession development. The integrated use of cultural, institutional, strategic, and leadership theories not only provided a comprehensive explanation for the divergent outcomes but also demonstrated the value of a multi-theoretical framework in international business research. These insights form the foundation for the targeted recommendations that follow.</w:t>
      </w:r>
      <w:r w:rsidR="00F95D7A" w:rsidRPr="00B82603">
        <w:rPr>
          <w:rFonts w:ascii="Arial" w:hAnsi="Arial" w:cs="Arial"/>
          <w:sz w:val="22"/>
          <w:szCs w:val="22"/>
        </w:rPr>
        <w:t xml:space="preserve"> The leadership matrix and analysis offered a clear assessment of both countries’ leadership efficacy, completing this objective.</w:t>
      </w:r>
    </w:p>
    <w:p w14:paraId="55941BF2" w14:textId="77777777" w:rsidR="00503928" w:rsidRPr="00B82603" w:rsidRDefault="00503928" w:rsidP="00327D03">
      <w:pPr>
        <w:pStyle w:val="Heading2"/>
        <w:spacing w:line="360" w:lineRule="auto"/>
        <w:rPr>
          <w:rFonts w:ascii="Arial" w:hAnsi="Arial" w:cs="Arial"/>
          <w:color w:val="auto"/>
          <w:sz w:val="22"/>
          <w:szCs w:val="22"/>
        </w:rPr>
      </w:pPr>
      <w:bookmarkStart w:id="50" w:name="_Toc204167155"/>
      <w:r w:rsidRPr="00B82603">
        <w:rPr>
          <w:rStyle w:val="Strong"/>
          <w:rFonts w:ascii="Arial" w:hAnsi="Arial" w:cs="Arial"/>
          <w:color w:val="auto"/>
          <w:sz w:val="22"/>
          <w:szCs w:val="22"/>
        </w:rPr>
        <w:t>6.3 Key Conclusions</w:t>
      </w:r>
      <w:bookmarkEnd w:id="50"/>
    </w:p>
    <w:p w14:paraId="2E00FF56" w14:textId="77777777" w:rsidR="00503928" w:rsidRPr="00DB5B79" w:rsidRDefault="00503928" w:rsidP="00DB5B79">
      <w:pPr>
        <w:pStyle w:val="ListParagraph"/>
        <w:numPr>
          <w:ilvl w:val="0"/>
          <w:numId w:val="16"/>
        </w:numPr>
        <w:spacing w:line="360" w:lineRule="auto"/>
        <w:rPr>
          <w:rFonts w:ascii="Arial" w:hAnsi="Arial" w:cs="Arial"/>
          <w:sz w:val="22"/>
          <w:szCs w:val="22"/>
        </w:rPr>
      </w:pPr>
      <w:r w:rsidRPr="00DB5B79">
        <w:rPr>
          <w:rStyle w:val="Strong"/>
          <w:rFonts w:ascii="Arial" w:eastAsiaTheme="majorEastAsia" w:hAnsi="Arial" w:cs="Arial"/>
          <w:sz w:val="22"/>
          <w:szCs w:val="22"/>
        </w:rPr>
        <w:t>Integrated reform is essential:</w:t>
      </w:r>
      <w:r w:rsidRPr="00DB5B79">
        <w:rPr>
          <w:rFonts w:ascii="Arial" w:hAnsi="Arial" w:cs="Arial"/>
          <w:sz w:val="22"/>
          <w:szCs w:val="22"/>
        </w:rPr>
        <w:t xml:space="preserve"> Poland’s proactive alignment with EU requirements and internal reform proved more effective than Romania’s reactive, compliance-based strategy.</w:t>
      </w:r>
    </w:p>
    <w:p w14:paraId="775059B6" w14:textId="77777777" w:rsidR="00503928" w:rsidRPr="00DB5B79" w:rsidRDefault="00503928" w:rsidP="00DB5B79">
      <w:pPr>
        <w:pStyle w:val="ListParagraph"/>
        <w:numPr>
          <w:ilvl w:val="0"/>
          <w:numId w:val="16"/>
        </w:numPr>
        <w:spacing w:line="360" w:lineRule="auto"/>
        <w:rPr>
          <w:rFonts w:ascii="Arial" w:hAnsi="Arial" w:cs="Arial"/>
          <w:sz w:val="22"/>
          <w:szCs w:val="22"/>
        </w:rPr>
      </w:pPr>
      <w:r w:rsidRPr="00DB5B79">
        <w:rPr>
          <w:rStyle w:val="Strong"/>
          <w:rFonts w:ascii="Arial" w:eastAsiaTheme="majorEastAsia" w:hAnsi="Arial" w:cs="Arial"/>
          <w:sz w:val="22"/>
          <w:szCs w:val="22"/>
        </w:rPr>
        <w:t>Culture shapes reform implementation:</w:t>
      </w:r>
      <w:r w:rsidRPr="00DB5B79">
        <w:rPr>
          <w:rFonts w:ascii="Arial" w:hAnsi="Arial" w:cs="Arial"/>
          <w:sz w:val="22"/>
          <w:szCs w:val="22"/>
        </w:rPr>
        <w:t xml:space="preserve"> Informal norms influence how institutions are built and sustained, affecting economic outcomes.</w:t>
      </w:r>
    </w:p>
    <w:p w14:paraId="608E824B" w14:textId="77777777" w:rsidR="00503928" w:rsidRPr="00DB5B79" w:rsidRDefault="00503928" w:rsidP="00DB5B79">
      <w:pPr>
        <w:pStyle w:val="ListParagraph"/>
        <w:numPr>
          <w:ilvl w:val="0"/>
          <w:numId w:val="16"/>
        </w:numPr>
        <w:spacing w:line="360" w:lineRule="auto"/>
        <w:rPr>
          <w:rFonts w:ascii="Arial" w:hAnsi="Arial" w:cs="Arial"/>
          <w:sz w:val="22"/>
          <w:szCs w:val="22"/>
        </w:rPr>
      </w:pPr>
      <w:r w:rsidRPr="00DB5B79">
        <w:rPr>
          <w:rStyle w:val="Strong"/>
          <w:rFonts w:ascii="Arial" w:eastAsiaTheme="majorEastAsia" w:hAnsi="Arial" w:cs="Arial"/>
          <w:sz w:val="22"/>
          <w:szCs w:val="22"/>
        </w:rPr>
        <w:t>Leadership matters:</w:t>
      </w:r>
      <w:r w:rsidRPr="00DB5B79">
        <w:rPr>
          <w:rFonts w:ascii="Arial" w:hAnsi="Arial" w:cs="Arial"/>
          <w:sz w:val="22"/>
          <w:szCs w:val="22"/>
        </w:rPr>
        <w:t xml:space="preserve"> Strategic vision and coherent execution enable countries to absorb external benefits and guide national development.</w:t>
      </w:r>
    </w:p>
    <w:p w14:paraId="562955BB" w14:textId="77777777" w:rsidR="00503928" w:rsidRPr="00DB5B79" w:rsidRDefault="00503928" w:rsidP="00DB5B79">
      <w:pPr>
        <w:pStyle w:val="ListParagraph"/>
        <w:numPr>
          <w:ilvl w:val="0"/>
          <w:numId w:val="16"/>
        </w:numPr>
        <w:spacing w:line="360" w:lineRule="auto"/>
        <w:rPr>
          <w:rFonts w:ascii="Arial" w:hAnsi="Arial" w:cs="Arial"/>
          <w:sz w:val="22"/>
          <w:szCs w:val="22"/>
        </w:rPr>
      </w:pPr>
      <w:r w:rsidRPr="00DB5B79">
        <w:rPr>
          <w:rStyle w:val="Strong"/>
          <w:rFonts w:ascii="Arial" w:eastAsiaTheme="majorEastAsia" w:hAnsi="Arial" w:cs="Arial"/>
          <w:sz w:val="22"/>
          <w:szCs w:val="22"/>
        </w:rPr>
        <w:t>Theory-informed analysis reveals structural gaps:</w:t>
      </w:r>
      <w:r w:rsidRPr="00DB5B79">
        <w:rPr>
          <w:rFonts w:ascii="Arial" w:hAnsi="Arial" w:cs="Arial"/>
          <w:sz w:val="22"/>
          <w:szCs w:val="22"/>
        </w:rPr>
        <w:t xml:space="preserve"> Institutional weaknesses and cultural rigidity limit convergence despite EU membership.</w:t>
      </w:r>
    </w:p>
    <w:p w14:paraId="0ACAC2A6" w14:textId="77777777" w:rsidR="00503928" w:rsidRPr="00DB5B79" w:rsidRDefault="00503928" w:rsidP="00DB5B79">
      <w:pPr>
        <w:pStyle w:val="ListParagraph"/>
        <w:numPr>
          <w:ilvl w:val="0"/>
          <w:numId w:val="16"/>
        </w:numPr>
        <w:spacing w:line="360" w:lineRule="auto"/>
        <w:rPr>
          <w:rFonts w:ascii="Arial" w:hAnsi="Arial" w:cs="Arial"/>
          <w:sz w:val="22"/>
          <w:szCs w:val="22"/>
        </w:rPr>
      </w:pPr>
      <w:r w:rsidRPr="00DB5B79">
        <w:rPr>
          <w:rStyle w:val="Strong"/>
          <w:rFonts w:ascii="Arial" w:eastAsiaTheme="majorEastAsia" w:hAnsi="Arial" w:cs="Arial"/>
          <w:sz w:val="22"/>
          <w:szCs w:val="22"/>
        </w:rPr>
        <w:t>Sector-specific approaches are crucial:</w:t>
      </w:r>
      <w:r w:rsidRPr="00DB5B79">
        <w:rPr>
          <w:rFonts w:ascii="Arial" w:hAnsi="Arial" w:cs="Arial"/>
          <w:sz w:val="22"/>
          <w:szCs w:val="22"/>
        </w:rPr>
        <w:t xml:space="preserve"> Success depends on targeted support, infrastructure development, and public–private alignment.</w:t>
      </w:r>
    </w:p>
    <w:p w14:paraId="18141785" w14:textId="73A91F9F" w:rsidR="00503928" w:rsidRPr="00B82603" w:rsidRDefault="00503928" w:rsidP="00327D03">
      <w:pPr>
        <w:pStyle w:val="Heading2"/>
        <w:spacing w:line="360" w:lineRule="auto"/>
        <w:rPr>
          <w:rFonts w:ascii="Arial" w:hAnsi="Arial" w:cs="Arial"/>
          <w:color w:val="auto"/>
          <w:sz w:val="22"/>
          <w:szCs w:val="22"/>
        </w:rPr>
      </w:pPr>
      <w:bookmarkStart w:id="51" w:name="_Toc204167156"/>
      <w:r w:rsidRPr="00B82603">
        <w:rPr>
          <w:rStyle w:val="Strong"/>
          <w:rFonts w:ascii="Arial" w:hAnsi="Arial" w:cs="Arial"/>
          <w:color w:val="auto"/>
          <w:sz w:val="22"/>
          <w:szCs w:val="22"/>
        </w:rPr>
        <w:t>6.4 Recommendations</w:t>
      </w:r>
      <w:bookmarkEnd w:id="51"/>
    </w:p>
    <w:p w14:paraId="436893B8" w14:textId="77777777" w:rsidR="00A12DC5" w:rsidRPr="00B82603" w:rsidRDefault="00A12DC5" w:rsidP="00327D03">
      <w:pPr>
        <w:spacing w:line="360" w:lineRule="auto"/>
        <w:rPr>
          <w:rFonts w:ascii="Arial" w:hAnsi="Arial" w:cs="Arial"/>
          <w:b/>
          <w:bCs/>
          <w:sz w:val="22"/>
          <w:szCs w:val="22"/>
        </w:rPr>
      </w:pPr>
      <w:r w:rsidRPr="00B82603">
        <w:rPr>
          <w:rFonts w:ascii="Arial" w:hAnsi="Arial" w:cs="Arial"/>
          <w:b/>
          <w:bCs/>
          <w:sz w:val="22"/>
          <w:szCs w:val="22"/>
        </w:rPr>
        <w:t>For Romania:</w:t>
      </w:r>
    </w:p>
    <w:p w14:paraId="1DF7C47A" w14:textId="77777777" w:rsidR="00A12DC5" w:rsidRPr="00B82603" w:rsidRDefault="00A12DC5" w:rsidP="00A6021A">
      <w:pPr>
        <w:pStyle w:val="ListParagraph"/>
        <w:numPr>
          <w:ilvl w:val="0"/>
          <w:numId w:val="11"/>
        </w:numPr>
        <w:spacing w:line="360" w:lineRule="auto"/>
        <w:rPr>
          <w:rFonts w:ascii="Arial" w:hAnsi="Arial" w:cs="Arial"/>
          <w:sz w:val="22"/>
          <w:szCs w:val="22"/>
        </w:rPr>
      </w:pPr>
      <w:r w:rsidRPr="00B82603">
        <w:rPr>
          <w:rFonts w:ascii="Arial" w:hAnsi="Arial" w:cs="Arial"/>
          <w:sz w:val="22"/>
          <w:szCs w:val="22"/>
        </w:rPr>
        <w:t>Enhance Local Governance and EU Fund Absorption:</w:t>
      </w:r>
      <w:r w:rsidRPr="00B82603">
        <w:rPr>
          <w:rFonts w:ascii="Arial" w:hAnsi="Arial" w:cs="Arial"/>
          <w:sz w:val="22"/>
          <w:szCs w:val="22"/>
        </w:rPr>
        <w:br/>
        <w:t>Invest in decentralised administrative capabilities, training local officials to manage and implement EU-funded programmes more efficiently. Simplify bureaucratic procedures to increase fund uptake, particularly in rural and infrastructurally weak regions.</w:t>
      </w:r>
    </w:p>
    <w:p w14:paraId="45392C80" w14:textId="77777777" w:rsidR="00A12DC5" w:rsidRPr="00B82603" w:rsidRDefault="00A12DC5" w:rsidP="00A6021A">
      <w:pPr>
        <w:pStyle w:val="ListParagraph"/>
        <w:numPr>
          <w:ilvl w:val="0"/>
          <w:numId w:val="11"/>
        </w:numPr>
        <w:spacing w:line="360" w:lineRule="auto"/>
        <w:rPr>
          <w:rFonts w:ascii="Arial" w:hAnsi="Arial" w:cs="Arial"/>
          <w:sz w:val="22"/>
          <w:szCs w:val="22"/>
        </w:rPr>
      </w:pPr>
      <w:r w:rsidRPr="00B82603">
        <w:rPr>
          <w:rFonts w:ascii="Arial" w:hAnsi="Arial" w:cs="Arial"/>
          <w:sz w:val="22"/>
          <w:szCs w:val="22"/>
        </w:rPr>
        <w:lastRenderedPageBreak/>
        <w:t>Strengthen Policy Continuity through Bipartisan Economic Planning:</w:t>
      </w:r>
      <w:r w:rsidRPr="00B82603">
        <w:rPr>
          <w:rFonts w:ascii="Arial" w:hAnsi="Arial" w:cs="Arial"/>
          <w:sz w:val="22"/>
          <w:szCs w:val="22"/>
        </w:rPr>
        <w:br/>
        <w:t>Establish long-term development strategies supported across political parties. This stability would increase investor confidence and reduce the disruptive impact of electoral cycles on economic policy.</w:t>
      </w:r>
    </w:p>
    <w:p w14:paraId="3D6CFC79" w14:textId="77777777" w:rsidR="00A12DC5" w:rsidRPr="00B82603" w:rsidRDefault="00A12DC5" w:rsidP="00A6021A">
      <w:pPr>
        <w:pStyle w:val="ListParagraph"/>
        <w:numPr>
          <w:ilvl w:val="0"/>
          <w:numId w:val="11"/>
        </w:numPr>
        <w:spacing w:line="360" w:lineRule="auto"/>
        <w:rPr>
          <w:rFonts w:ascii="Arial" w:hAnsi="Arial" w:cs="Arial"/>
          <w:sz w:val="22"/>
          <w:szCs w:val="22"/>
        </w:rPr>
      </w:pPr>
      <w:r w:rsidRPr="00B82603">
        <w:rPr>
          <w:rFonts w:ascii="Arial" w:hAnsi="Arial" w:cs="Arial"/>
          <w:sz w:val="22"/>
          <w:szCs w:val="22"/>
        </w:rPr>
        <w:t>Implement Comprehensive Diaspora Engagement Policies:</w:t>
      </w:r>
      <w:r w:rsidRPr="00B82603">
        <w:rPr>
          <w:rFonts w:ascii="Arial" w:hAnsi="Arial" w:cs="Arial"/>
          <w:sz w:val="22"/>
          <w:szCs w:val="22"/>
        </w:rPr>
        <w:br/>
        <w:t>Introduce incentives and reintegration support for returnees, including start-up grants, housing programmes, and recognition of foreign qualifications. Develop platforms to facilitate knowledge transfer and business networks between diaspora and domestic entrepreneurs.</w:t>
      </w:r>
    </w:p>
    <w:p w14:paraId="191E7CDC" w14:textId="77777777" w:rsidR="00A12DC5" w:rsidRPr="00B82603" w:rsidRDefault="00A12DC5" w:rsidP="00A6021A">
      <w:pPr>
        <w:pStyle w:val="ListParagraph"/>
        <w:numPr>
          <w:ilvl w:val="0"/>
          <w:numId w:val="11"/>
        </w:numPr>
        <w:spacing w:line="360" w:lineRule="auto"/>
        <w:rPr>
          <w:rFonts w:ascii="Arial" w:hAnsi="Arial" w:cs="Arial"/>
          <w:sz w:val="22"/>
          <w:szCs w:val="22"/>
        </w:rPr>
      </w:pPr>
      <w:r w:rsidRPr="00B82603">
        <w:rPr>
          <w:rFonts w:ascii="Arial" w:hAnsi="Arial" w:cs="Arial"/>
          <w:sz w:val="22"/>
          <w:szCs w:val="22"/>
        </w:rPr>
        <w:t>Modernise and Diversify the Agricultural Sector:</w:t>
      </w:r>
      <w:r w:rsidRPr="00B82603">
        <w:rPr>
          <w:rFonts w:ascii="Arial" w:hAnsi="Arial" w:cs="Arial"/>
          <w:sz w:val="22"/>
          <w:szCs w:val="22"/>
        </w:rPr>
        <w:br/>
        <w:t>Prioritise mechanisation, digitalisation, and land consolidation reforms in agriculture. Expand access to EU rural development funds through targeted outreach and technical assistance for smallholders.</w:t>
      </w:r>
    </w:p>
    <w:p w14:paraId="41A8C1AA" w14:textId="77777777" w:rsidR="00A12DC5" w:rsidRPr="00B82603" w:rsidRDefault="00A12DC5" w:rsidP="00A6021A">
      <w:pPr>
        <w:pStyle w:val="ListParagraph"/>
        <w:numPr>
          <w:ilvl w:val="0"/>
          <w:numId w:val="11"/>
        </w:numPr>
        <w:spacing w:line="360" w:lineRule="auto"/>
        <w:rPr>
          <w:rFonts w:ascii="Arial" w:hAnsi="Arial" w:cs="Arial"/>
          <w:sz w:val="22"/>
          <w:szCs w:val="22"/>
        </w:rPr>
      </w:pPr>
      <w:r w:rsidRPr="00B82603">
        <w:rPr>
          <w:rFonts w:ascii="Arial" w:hAnsi="Arial" w:cs="Arial"/>
          <w:sz w:val="22"/>
          <w:szCs w:val="22"/>
        </w:rPr>
        <w:t>Promote Organisational Culture Reform in the Public Sector:</w:t>
      </w:r>
      <w:r w:rsidRPr="00B82603">
        <w:rPr>
          <w:rFonts w:ascii="Arial" w:hAnsi="Arial" w:cs="Arial"/>
          <w:sz w:val="22"/>
          <w:szCs w:val="22"/>
        </w:rPr>
        <w:br/>
        <w:t>Address high power distance and bureaucratic rigidity by encouraging participatory management, transparency initiatives, and merit-based recruitment. These reforms will create a more responsive and innovation-friendly institutional environment.</w:t>
      </w:r>
    </w:p>
    <w:p w14:paraId="021A6403" w14:textId="77777777" w:rsidR="00A12DC5" w:rsidRPr="00B82603" w:rsidRDefault="00A12DC5" w:rsidP="00A6021A">
      <w:pPr>
        <w:pStyle w:val="ListParagraph"/>
        <w:numPr>
          <w:ilvl w:val="0"/>
          <w:numId w:val="11"/>
        </w:numPr>
        <w:spacing w:line="360" w:lineRule="auto"/>
        <w:rPr>
          <w:rFonts w:ascii="Arial" w:hAnsi="Arial" w:cs="Arial"/>
          <w:sz w:val="22"/>
          <w:szCs w:val="22"/>
        </w:rPr>
      </w:pPr>
      <w:r w:rsidRPr="00B82603">
        <w:rPr>
          <w:rFonts w:ascii="Arial" w:hAnsi="Arial" w:cs="Arial"/>
          <w:sz w:val="22"/>
          <w:szCs w:val="22"/>
        </w:rPr>
        <w:t>Adopt Strategic and Technocratic Leadership Models:</w:t>
      </w:r>
      <w:r w:rsidRPr="00B82603">
        <w:rPr>
          <w:rFonts w:ascii="Arial" w:hAnsi="Arial" w:cs="Arial"/>
          <w:sz w:val="22"/>
          <w:szCs w:val="22"/>
        </w:rPr>
        <w:br/>
        <w:t>Develop leadership pipelines that combine political vision with administrative expertise. Encourage public-private consultation and cross-sector collaboration to align policy goals with business needs.</w:t>
      </w:r>
    </w:p>
    <w:p w14:paraId="497B84FB" w14:textId="605F6B9B" w:rsidR="00A12DC5" w:rsidRPr="00B82603" w:rsidRDefault="00A12DC5" w:rsidP="00A6021A">
      <w:pPr>
        <w:pStyle w:val="ListParagraph"/>
        <w:numPr>
          <w:ilvl w:val="0"/>
          <w:numId w:val="11"/>
        </w:numPr>
        <w:spacing w:line="360" w:lineRule="auto"/>
        <w:rPr>
          <w:rFonts w:ascii="Arial" w:hAnsi="Arial" w:cs="Arial"/>
          <w:sz w:val="22"/>
          <w:szCs w:val="22"/>
        </w:rPr>
      </w:pPr>
      <w:r w:rsidRPr="00B82603">
        <w:rPr>
          <w:rFonts w:ascii="Arial" w:hAnsi="Arial" w:cs="Arial"/>
          <w:sz w:val="22"/>
          <w:szCs w:val="22"/>
        </w:rPr>
        <w:t>Ensure Judicial Independence and Regulatory Predictability:</w:t>
      </w:r>
      <w:r w:rsidRPr="00B82603">
        <w:rPr>
          <w:rFonts w:ascii="Arial" w:hAnsi="Arial" w:cs="Arial"/>
          <w:sz w:val="22"/>
          <w:szCs w:val="22"/>
        </w:rPr>
        <w:br/>
        <w:t xml:space="preserve">Continue strengthening the independence of the judiciary and </w:t>
      </w:r>
      <w:r w:rsidR="00565B49" w:rsidRPr="00B82603">
        <w:rPr>
          <w:rFonts w:ascii="Arial" w:hAnsi="Arial" w:cs="Arial"/>
          <w:sz w:val="22"/>
          <w:szCs w:val="22"/>
        </w:rPr>
        <w:t>depoliticization</w:t>
      </w:r>
      <w:r w:rsidRPr="00B82603">
        <w:rPr>
          <w:rFonts w:ascii="Arial" w:hAnsi="Arial" w:cs="Arial"/>
          <w:sz w:val="22"/>
          <w:szCs w:val="22"/>
        </w:rPr>
        <w:t xml:space="preserve"> of regulatory bodies to reassure investors and uphold the rule of law. Align reforms with EU benchmarks to maintain credibility.</w:t>
      </w:r>
    </w:p>
    <w:p w14:paraId="02AC3503" w14:textId="77777777" w:rsidR="002D357D" w:rsidRPr="00B82603" w:rsidRDefault="002D357D" w:rsidP="00327D03">
      <w:pPr>
        <w:spacing w:line="360" w:lineRule="auto"/>
        <w:rPr>
          <w:rFonts w:ascii="Arial" w:hAnsi="Arial" w:cs="Arial"/>
          <w:b/>
          <w:bCs/>
          <w:sz w:val="22"/>
          <w:szCs w:val="22"/>
        </w:rPr>
      </w:pPr>
      <w:r w:rsidRPr="00B82603">
        <w:rPr>
          <w:rFonts w:ascii="Arial" w:hAnsi="Arial" w:cs="Arial"/>
          <w:b/>
          <w:bCs/>
          <w:sz w:val="22"/>
          <w:szCs w:val="22"/>
        </w:rPr>
        <w:t>For EU Institutions:</w:t>
      </w:r>
    </w:p>
    <w:p w14:paraId="237A6C37" w14:textId="77777777" w:rsidR="002D357D" w:rsidRPr="00B82603" w:rsidRDefault="002D357D" w:rsidP="00A6021A">
      <w:pPr>
        <w:pStyle w:val="ListParagraph"/>
        <w:numPr>
          <w:ilvl w:val="0"/>
          <w:numId w:val="12"/>
        </w:numPr>
        <w:spacing w:line="360" w:lineRule="auto"/>
        <w:rPr>
          <w:rFonts w:ascii="Arial" w:hAnsi="Arial" w:cs="Arial"/>
          <w:sz w:val="22"/>
          <w:szCs w:val="22"/>
        </w:rPr>
      </w:pPr>
      <w:r w:rsidRPr="00B82603">
        <w:rPr>
          <w:rFonts w:ascii="Arial" w:hAnsi="Arial" w:cs="Arial"/>
          <w:sz w:val="22"/>
          <w:szCs w:val="22"/>
        </w:rPr>
        <w:t>Strengthen Conditionality with Long-Term Reform Monitoring:</w:t>
      </w:r>
      <w:r w:rsidRPr="00B82603">
        <w:rPr>
          <w:rFonts w:ascii="Arial" w:hAnsi="Arial" w:cs="Arial"/>
          <w:sz w:val="22"/>
          <w:szCs w:val="22"/>
        </w:rPr>
        <w:br/>
        <w:t>Go beyond pre-accession criteria by maintaining structured, post-accession reform benchmarks. Emphasise continuity and outcomes over formal compliance to ensure meaningful institutional transformation.</w:t>
      </w:r>
    </w:p>
    <w:p w14:paraId="2A962F55" w14:textId="7D4ECC05" w:rsidR="002D357D" w:rsidRPr="00B82603" w:rsidRDefault="002D357D" w:rsidP="00A6021A">
      <w:pPr>
        <w:pStyle w:val="ListParagraph"/>
        <w:numPr>
          <w:ilvl w:val="0"/>
          <w:numId w:val="12"/>
        </w:numPr>
        <w:spacing w:line="360" w:lineRule="auto"/>
        <w:rPr>
          <w:rFonts w:ascii="Arial" w:hAnsi="Arial" w:cs="Arial"/>
          <w:sz w:val="22"/>
          <w:szCs w:val="22"/>
        </w:rPr>
      </w:pPr>
      <w:r w:rsidRPr="00B82603">
        <w:rPr>
          <w:rFonts w:ascii="Arial" w:hAnsi="Arial" w:cs="Arial"/>
          <w:sz w:val="22"/>
          <w:szCs w:val="22"/>
        </w:rPr>
        <w:t>Provide Tailored Technical and Administrative Support:</w:t>
      </w:r>
      <w:r w:rsidRPr="00B82603">
        <w:rPr>
          <w:rFonts w:ascii="Arial" w:hAnsi="Arial" w:cs="Arial"/>
          <w:sz w:val="22"/>
          <w:szCs w:val="22"/>
        </w:rPr>
        <w:br/>
        <w:t xml:space="preserve">Deploy dedicated expert teams to assist countries like Romania with fund management, digitalisation of public services, and legal harmonisation. This </w:t>
      </w:r>
      <w:r w:rsidR="008E632E" w:rsidRPr="00B82603">
        <w:rPr>
          <w:rFonts w:ascii="Arial" w:hAnsi="Arial" w:cs="Arial"/>
          <w:sz w:val="22"/>
          <w:szCs w:val="22"/>
        </w:rPr>
        <w:t>direct</w:t>
      </w:r>
      <w:r w:rsidRPr="00B82603">
        <w:rPr>
          <w:rFonts w:ascii="Arial" w:hAnsi="Arial" w:cs="Arial"/>
          <w:sz w:val="22"/>
          <w:szCs w:val="22"/>
        </w:rPr>
        <w:t xml:space="preserve"> approach can improve absorptive capacity and reduce mismanagement risks.</w:t>
      </w:r>
    </w:p>
    <w:p w14:paraId="5EA2A6F2" w14:textId="77777777" w:rsidR="002D357D" w:rsidRPr="00B82603" w:rsidRDefault="002D357D" w:rsidP="00A6021A">
      <w:pPr>
        <w:pStyle w:val="ListParagraph"/>
        <w:numPr>
          <w:ilvl w:val="0"/>
          <w:numId w:val="12"/>
        </w:numPr>
        <w:spacing w:line="360" w:lineRule="auto"/>
        <w:rPr>
          <w:rFonts w:ascii="Arial" w:hAnsi="Arial" w:cs="Arial"/>
          <w:sz w:val="22"/>
          <w:szCs w:val="22"/>
        </w:rPr>
      </w:pPr>
      <w:r w:rsidRPr="00B82603">
        <w:rPr>
          <w:rFonts w:ascii="Arial" w:hAnsi="Arial" w:cs="Arial"/>
          <w:sz w:val="22"/>
          <w:szCs w:val="22"/>
        </w:rPr>
        <w:lastRenderedPageBreak/>
        <w:t>Facilitate Structured Peer-Learning Networks:</w:t>
      </w:r>
      <w:r w:rsidRPr="00B82603">
        <w:rPr>
          <w:rFonts w:ascii="Arial" w:hAnsi="Arial" w:cs="Arial"/>
          <w:sz w:val="22"/>
          <w:szCs w:val="22"/>
        </w:rPr>
        <w:br/>
        <w:t>Organise exchange programmes and policy labs between newer and older member states, focusing on best practices in decentralisation, innovation policy, and public administration reform.</w:t>
      </w:r>
    </w:p>
    <w:p w14:paraId="20EB6E4E" w14:textId="77777777" w:rsidR="002D357D" w:rsidRPr="00B82603" w:rsidRDefault="002D357D" w:rsidP="00A6021A">
      <w:pPr>
        <w:pStyle w:val="ListParagraph"/>
        <w:numPr>
          <w:ilvl w:val="0"/>
          <w:numId w:val="12"/>
        </w:numPr>
        <w:spacing w:line="360" w:lineRule="auto"/>
        <w:rPr>
          <w:rFonts w:ascii="Arial" w:hAnsi="Arial" w:cs="Arial"/>
          <w:sz w:val="22"/>
          <w:szCs w:val="22"/>
        </w:rPr>
      </w:pPr>
      <w:r w:rsidRPr="00B82603">
        <w:rPr>
          <w:rFonts w:ascii="Arial" w:hAnsi="Arial" w:cs="Arial"/>
          <w:sz w:val="22"/>
          <w:szCs w:val="22"/>
        </w:rPr>
        <w:t>Enhance Local Monitoring and Civil Society Involvement:</w:t>
      </w:r>
      <w:r w:rsidRPr="00B82603">
        <w:rPr>
          <w:rFonts w:ascii="Arial" w:hAnsi="Arial" w:cs="Arial"/>
          <w:sz w:val="22"/>
          <w:szCs w:val="22"/>
        </w:rPr>
        <w:br/>
        <w:t>Support independent watchdogs and NGOs that can monitor transparency, corruption, and policy implementation at the local level. Direct a portion of EU funding toward civic engagement and democratic participation projects.</w:t>
      </w:r>
    </w:p>
    <w:p w14:paraId="395D6CD3" w14:textId="198B77E2" w:rsidR="00A12DC5" w:rsidRPr="00B82603" w:rsidRDefault="002D357D" w:rsidP="00A6021A">
      <w:pPr>
        <w:pStyle w:val="ListParagraph"/>
        <w:numPr>
          <w:ilvl w:val="0"/>
          <w:numId w:val="12"/>
        </w:numPr>
        <w:spacing w:line="360" w:lineRule="auto"/>
        <w:rPr>
          <w:rFonts w:ascii="Arial" w:hAnsi="Arial" w:cs="Arial"/>
          <w:sz w:val="22"/>
          <w:szCs w:val="22"/>
        </w:rPr>
      </w:pPr>
      <w:r w:rsidRPr="00B82603">
        <w:rPr>
          <w:rFonts w:ascii="Arial" w:hAnsi="Arial" w:cs="Arial"/>
          <w:sz w:val="22"/>
          <w:szCs w:val="22"/>
        </w:rPr>
        <w:t>Develop Regional Smart Specialisation Strategies:</w:t>
      </w:r>
      <w:r w:rsidRPr="00B82603">
        <w:rPr>
          <w:rFonts w:ascii="Arial" w:hAnsi="Arial" w:cs="Arial"/>
          <w:sz w:val="22"/>
          <w:szCs w:val="22"/>
        </w:rPr>
        <w:br/>
        <w:t>Assist member states in identifying regional economic strengths and aligning them with EU-wide innovation and green transition goals. This can encourage balanced development and reduce regional disparities.</w:t>
      </w:r>
    </w:p>
    <w:p w14:paraId="79DCC89F" w14:textId="77777777" w:rsidR="001A1010" w:rsidRPr="00B82603" w:rsidRDefault="00503928" w:rsidP="00327D03">
      <w:pPr>
        <w:spacing w:line="360" w:lineRule="auto"/>
        <w:rPr>
          <w:rFonts w:ascii="Arial" w:hAnsi="Arial" w:cs="Arial"/>
          <w:sz w:val="22"/>
          <w:szCs w:val="22"/>
        </w:rPr>
      </w:pPr>
      <w:bookmarkStart w:id="52" w:name="_Toc204167157"/>
      <w:r w:rsidRPr="00B82603">
        <w:rPr>
          <w:rStyle w:val="Heading2Char"/>
          <w:rFonts w:ascii="Arial" w:hAnsi="Arial" w:cs="Arial"/>
          <w:b/>
          <w:bCs/>
          <w:color w:val="auto"/>
          <w:sz w:val="22"/>
          <w:szCs w:val="22"/>
        </w:rPr>
        <w:t>6.5 Personal Reflection and Academic Contribution</w:t>
      </w:r>
      <w:bookmarkEnd w:id="52"/>
      <w:r w:rsidRPr="00B82603">
        <w:rPr>
          <w:rFonts w:ascii="Arial" w:hAnsi="Arial" w:cs="Arial"/>
          <w:sz w:val="22"/>
          <w:szCs w:val="22"/>
        </w:rPr>
        <w:t xml:space="preserve"> </w:t>
      </w:r>
    </w:p>
    <w:p w14:paraId="392F04FB" w14:textId="2D7C96DE" w:rsidR="00503928" w:rsidRPr="00B82603" w:rsidRDefault="00D00B93" w:rsidP="00327D03">
      <w:pPr>
        <w:spacing w:line="360" w:lineRule="auto"/>
        <w:rPr>
          <w:rFonts w:ascii="Arial" w:hAnsi="Arial" w:cs="Arial"/>
          <w:sz w:val="22"/>
          <w:szCs w:val="22"/>
        </w:rPr>
      </w:pPr>
      <w:r w:rsidRPr="00B82603">
        <w:rPr>
          <w:rFonts w:ascii="Arial" w:hAnsi="Arial" w:cs="Arial"/>
          <w:sz w:val="22"/>
          <w:szCs w:val="22"/>
        </w:rPr>
        <w:t>This dissertation demonstrates how academic theory</w:t>
      </w:r>
      <w:r w:rsidR="00823BB1">
        <w:rPr>
          <w:rFonts w:ascii="Arial" w:hAnsi="Arial" w:cs="Arial"/>
          <w:sz w:val="22"/>
          <w:szCs w:val="22"/>
        </w:rPr>
        <w:t xml:space="preserve"> </w:t>
      </w:r>
      <w:r w:rsidRPr="00B82603">
        <w:rPr>
          <w:rFonts w:ascii="Arial" w:hAnsi="Arial" w:cs="Arial"/>
          <w:sz w:val="22"/>
          <w:szCs w:val="22"/>
        </w:rPr>
        <w:t>particularly from economics, strategic management, and organisational behaviour</w:t>
      </w:r>
      <w:r w:rsidR="00823BB1">
        <w:rPr>
          <w:rFonts w:ascii="Arial" w:hAnsi="Arial" w:cs="Arial"/>
          <w:sz w:val="22"/>
          <w:szCs w:val="22"/>
        </w:rPr>
        <w:t xml:space="preserve"> c</w:t>
      </w:r>
      <w:r w:rsidRPr="00B82603">
        <w:rPr>
          <w:rFonts w:ascii="Arial" w:hAnsi="Arial" w:cs="Arial"/>
          <w:sz w:val="22"/>
          <w:szCs w:val="22"/>
        </w:rPr>
        <w:t>an be applied to real-world international development contexts. Drawing from core modules such as International Financial Management, Managing People, and Strategic Management, the study shows that comparative political economy benefits from a multidisciplinary lens that includes culture, governance, and leadership. The research process deepened my ability to critically apply models to real data, identify causal relationships, and generate practical recommendations. This project has strengthened my capacity to bridge theoretical frameworks with empirical analysis</w:t>
      </w:r>
      <w:r w:rsidR="00823BB1">
        <w:rPr>
          <w:rFonts w:ascii="Arial" w:hAnsi="Arial" w:cs="Arial"/>
          <w:sz w:val="22"/>
          <w:szCs w:val="22"/>
        </w:rPr>
        <w:t xml:space="preserve"> </w:t>
      </w:r>
      <w:r w:rsidRPr="00B82603">
        <w:rPr>
          <w:rFonts w:ascii="Arial" w:hAnsi="Arial" w:cs="Arial"/>
          <w:sz w:val="22"/>
          <w:szCs w:val="22"/>
        </w:rPr>
        <w:t>skills I plan to build upon in both academic and professional contexts.</w:t>
      </w:r>
    </w:p>
    <w:p w14:paraId="54D72533" w14:textId="77777777" w:rsidR="001A1010" w:rsidRPr="00B82603" w:rsidRDefault="00503928" w:rsidP="00327D03">
      <w:pPr>
        <w:spacing w:line="360" w:lineRule="auto"/>
        <w:rPr>
          <w:rFonts w:ascii="Arial" w:hAnsi="Arial" w:cs="Arial"/>
          <w:sz w:val="22"/>
          <w:szCs w:val="22"/>
        </w:rPr>
      </w:pPr>
      <w:bookmarkStart w:id="53" w:name="_Toc204167158"/>
      <w:r w:rsidRPr="00B82603">
        <w:rPr>
          <w:rStyle w:val="Heading2Char"/>
          <w:rFonts w:ascii="Arial" w:hAnsi="Arial" w:cs="Arial"/>
          <w:b/>
          <w:bCs/>
          <w:color w:val="auto"/>
          <w:sz w:val="22"/>
          <w:szCs w:val="22"/>
        </w:rPr>
        <w:t>6.6 Final Thoughts</w:t>
      </w:r>
      <w:bookmarkEnd w:id="53"/>
      <w:r w:rsidRPr="00B82603">
        <w:rPr>
          <w:rFonts w:ascii="Arial" w:hAnsi="Arial" w:cs="Arial"/>
          <w:sz w:val="22"/>
          <w:szCs w:val="22"/>
        </w:rPr>
        <w:t xml:space="preserve"> </w:t>
      </w:r>
    </w:p>
    <w:p w14:paraId="23E5FE74" w14:textId="26097B97" w:rsidR="00D62AEB" w:rsidRPr="00B82603" w:rsidRDefault="00503928" w:rsidP="00327D03">
      <w:pPr>
        <w:spacing w:line="360" w:lineRule="auto"/>
        <w:rPr>
          <w:rFonts w:ascii="Arial" w:hAnsi="Arial" w:cs="Arial"/>
          <w:sz w:val="22"/>
          <w:szCs w:val="22"/>
        </w:rPr>
      </w:pPr>
      <w:r w:rsidRPr="00B82603">
        <w:rPr>
          <w:rFonts w:ascii="Arial" w:hAnsi="Arial" w:cs="Arial"/>
          <w:sz w:val="22"/>
          <w:szCs w:val="22"/>
        </w:rPr>
        <w:t>Poland and Romania illustrate the diverse outcomes of EU integration. While both countries benefited, Poland’s strategic reform, cultural alignment, and leadership strength enabled greater economic transformation. Romania’s challenges underscore the importance of institutional and informal readiness. As EU cohesion continues to evolve, member states must internalise reforms beyond formal adoption</w:t>
      </w:r>
      <w:r w:rsidR="00F02F5F" w:rsidRPr="00B82603">
        <w:rPr>
          <w:rFonts w:ascii="Arial" w:hAnsi="Arial" w:cs="Arial"/>
          <w:sz w:val="22"/>
          <w:szCs w:val="22"/>
        </w:rPr>
        <w:t xml:space="preserve"> </w:t>
      </w:r>
      <w:r w:rsidRPr="00B82603">
        <w:rPr>
          <w:rFonts w:ascii="Arial" w:hAnsi="Arial" w:cs="Arial"/>
          <w:sz w:val="22"/>
          <w:szCs w:val="22"/>
        </w:rPr>
        <w:t>embracing innovation, transparency, and inclusive leadership to drive lasting development.</w:t>
      </w:r>
    </w:p>
    <w:p w14:paraId="4485AAFE" w14:textId="2C22DFA3" w:rsidR="001A1010" w:rsidRPr="00B82603" w:rsidRDefault="003E5E99" w:rsidP="00327D03">
      <w:pPr>
        <w:spacing w:line="360" w:lineRule="auto"/>
        <w:rPr>
          <w:rFonts w:ascii="Arial" w:hAnsi="Arial" w:cs="Arial"/>
          <w:sz w:val="22"/>
          <w:szCs w:val="22"/>
        </w:rPr>
      </w:pPr>
      <w:r w:rsidRPr="00B82603">
        <w:rPr>
          <w:rFonts w:ascii="Arial" w:hAnsi="Arial" w:cs="Arial"/>
          <w:sz w:val="22"/>
          <w:szCs w:val="22"/>
        </w:rPr>
        <w:t>Ultimately, the comparative journey of Poland and Romania illustrates that while EU membership offers significant opportunities, it is the quality of internal leadership, cultural alignment, and institutional resilience that determines whether those opportunities translate into lasting economic transformation.</w:t>
      </w:r>
    </w:p>
    <w:p w14:paraId="2B5DEBBF" w14:textId="77777777" w:rsidR="005F46C1" w:rsidRPr="00B82603" w:rsidRDefault="005F46C1" w:rsidP="00327D03">
      <w:pPr>
        <w:pStyle w:val="Heading1"/>
        <w:spacing w:line="360" w:lineRule="auto"/>
        <w:rPr>
          <w:rFonts w:ascii="Arial" w:hAnsi="Arial" w:cs="Arial"/>
          <w:color w:val="auto"/>
          <w:sz w:val="22"/>
          <w:szCs w:val="22"/>
        </w:rPr>
      </w:pPr>
      <w:bookmarkStart w:id="54" w:name="_Toc204167159"/>
      <w:r w:rsidRPr="00B82603">
        <w:rPr>
          <w:rStyle w:val="Strong"/>
          <w:rFonts w:ascii="Arial" w:hAnsi="Arial" w:cs="Arial"/>
          <w:color w:val="auto"/>
          <w:sz w:val="22"/>
          <w:szCs w:val="22"/>
        </w:rPr>
        <w:lastRenderedPageBreak/>
        <w:t>Chapter 7: References</w:t>
      </w:r>
      <w:bookmarkEnd w:id="54"/>
    </w:p>
    <w:p w14:paraId="4D29C618"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Barro, R.J. and Sala-</w:t>
      </w:r>
      <w:proofErr w:type="spellStart"/>
      <w:r w:rsidRPr="00B82603">
        <w:rPr>
          <w:rFonts w:ascii="Arial" w:hAnsi="Arial" w:cs="Arial"/>
          <w:sz w:val="22"/>
          <w:szCs w:val="22"/>
        </w:rPr>
        <w:t>i</w:t>
      </w:r>
      <w:proofErr w:type="spellEnd"/>
      <w:r w:rsidRPr="00B82603">
        <w:rPr>
          <w:rFonts w:ascii="Arial" w:hAnsi="Arial" w:cs="Arial"/>
          <w:sz w:val="22"/>
          <w:szCs w:val="22"/>
        </w:rPr>
        <w:t xml:space="preserve">-Martin, X. (1992) ‘Convergence’, </w:t>
      </w:r>
      <w:r w:rsidRPr="00B82603">
        <w:rPr>
          <w:rStyle w:val="Emphasis"/>
          <w:rFonts w:ascii="Arial" w:eastAsiaTheme="majorEastAsia" w:hAnsi="Arial" w:cs="Arial"/>
          <w:i w:val="0"/>
          <w:iCs w:val="0"/>
          <w:sz w:val="22"/>
          <w:szCs w:val="22"/>
        </w:rPr>
        <w:t>Journal of Political Economy</w:t>
      </w:r>
      <w:r w:rsidRPr="00B82603">
        <w:rPr>
          <w:rFonts w:ascii="Arial" w:hAnsi="Arial" w:cs="Arial"/>
          <w:sz w:val="22"/>
          <w:szCs w:val="22"/>
        </w:rPr>
        <w:t>, 100(2), pp. 223–251.</w:t>
      </w:r>
    </w:p>
    <w:p w14:paraId="56A15A0A"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Bohle, D. and Greskovits, B. (2012) </w:t>
      </w:r>
      <w:r w:rsidRPr="00B82603">
        <w:rPr>
          <w:rStyle w:val="Emphasis"/>
          <w:rFonts w:ascii="Arial" w:eastAsiaTheme="majorEastAsia" w:hAnsi="Arial" w:cs="Arial"/>
          <w:i w:val="0"/>
          <w:iCs w:val="0"/>
          <w:sz w:val="22"/>
          <w:szCs w:val="22"/>
        </w:rPr>
        <w:t>Capitalist Diversity on Europe’s Periphery</w:t>
      </w:r>
      <w:r w:rsidRPr="00B82603">
        <w:rPr>
          <w:rFonts w:ascii="Arial" w:hAnsi="Arial" w:cs="Arial"/>
          <w:sz w:val="22"/>
          <w:szCs w:val="22"/>
        </w:rPr>
        <w:t>. Ithaca, NY: Cornell University Press.</w:t>
      </w:r>
    </w:p>
    <w:p w14:paraId="07080AE0"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Buch, C.M. (2017) ‘Economic convergence in the EU: The role of policy and institutions’, </w:t>
      </w:r>
      <w:r w:rsidRPr="00B82603">
        <w:rPr>
          <w:rStyle w:val="Emphasis"/>
          <w:rFonts w:ascii="Arial" w:eastAsiaTheme="majorEastAsia" w:hAnsi="Arial" w:cs="Arial"/>
          <w:i w:val="0"/>
          <w:iCs w:val="0"/>
          <w:sz w:val="22"/>
          <w:szCs w:val="22"/>
        </w:rPr>
        <w:t>Journal of European Integration</w:t>
      </w:r>
      <w:r w:rsidRPr="00B82603">
        <w:rPr>
          <w:rFonts w:ascii="Arial" w:hAnsi="Arial" w:cs="Arial"/>
          <w:sz w:val="22"/>
          <w:szCs w:val="22"/>
        </w:rPr>
        <w:t>, 39(5), pp. 603–618.</w:t>
      </w:r>
    </w:p>
    <w:p w14:paraId="5A95F3AA"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Dunning, J.H. (1981) </w:t>
      </w:r>
      <w:r w:rsidRPr="00B82603">
        <w:rPr>
          <w:rStyle w:val="Emphasis"/>
          <w:rFonts w:ascii="Arial" w:eastAsiaTheme="majorEastAsia" w:hAnsi="Arial" w:cs="Arial"/>
          <w:i w:val="0"/>
          <w:iCs w:val="0"/>
          <w:sz w:val="22"/>
          <w:szCs w:val="22"/>
        </w:rPr>
        <w:t>International Production and the Multinational Enterprise</w:t>
      </w:r>
      <w:r w:rsidRPr="00B82603">
        <w:rPr>
          <w:rFonts w:ascii="Arial" w:hAnsi="Arial" w:cs="Arial"/>
          <w:sz w:val="22"/>
          <w:szCs w:val="22"/>
        </w:rPr>
        <w:t>. London: Allen &amp; Unwin.</w:t>
      </w:r>
    </w:p>
    <w:p w14:paraId="45B194C1"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European Commission (2003) </w:t>
      </w:r>
      <w:r w:rsidRPr="00B82603">
        <w:rPr>
          <w:rStyle w:val="Emphasis"/>
          <w:rFonts w:ascii="Arial" w:eastAsiaTheme="majorEastAsia" w:hAnsi="Arial" w:cs="Arial"/>
          <w:i w:val="0"/>
          <w:iCs w:val="0"/>
          <w:sz w:val="22"/>
          <w:szCs w:val="22"/>
        </w:rPr>
        <w:t>Copenhagen Criteria</w:t>
      </w:r>
      <w:r w:rsidRPr="00B82603">
        <w:rPr>
          <w:rFonts w:ascii="Arial" w:hAnsi="Arial" w:cs="Arial"/>
          <w:sz w:val="22"/>
          <w:szCs w:val="22"/>
        </w:rPr>
        <w:t>. Available at: https://europa.eu (Accessed: 3 July 2024).</w:t>
      </w:r>
    </w:p>
    <w:p w14:paraId="48A47B57"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Eurostat (2023) </w:t>
      </w:r>
      <w:r w:rsidRPr="00B82603">
        <w:rPr>
          <w:rStyle w:val="Emphasis"/>
          <w:rFonts w:ascii="Arial" w:eastAsiaTheme="majorEastAsia" w:hAnsi="Arial" w:cs="Arial"/>
          <w:i w:val="0"/>
          <w:iCs w:val="0"/>
          <w:sz w:val="22"/>
          <w:szCs w:val="22"/>
        </w:rPr>
        <w:t>GDP and Migration Statistics</w:t>
      </w:r>
      <w:r w:rsidRPr="00B82603">
        <w:rPr>
          <w:rFonts w:ascii="Arial" w:hAnsi="Arial" w:cs="Arial"/>
          <w:sz w:val="22"/>
          <w:szCs w:val="22"/>
        </w:rPr>
        <w:t>. Available at: https://ec.europa.eu/eurostat (Accessed: 2 July 2024).</w:t>
      </w:r>
    </w:p>
    <w:p w14:paraId="691CA087"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Grabbe, H. (2006) </w:t>
      </w:r>
      <w:r w:rsidRPr="00B82603">
        <w:rPr>
          <w:rStyle w:val="Emphasis"/>
          <w:rFonts w:ascii="Arial" w:eastAsiaTheme="majorEastAsia" w:hAnsi="Arial" w:cs="Arial"/>
          <w:i w:val="0"/>
          <w:iCs w:val="0"/>
          <w:sz w:val="22"/>
          <w:szCs w:val="22"/>
        </w:rPr>
        <w:t>The EU’s Transformative Power: Europeanization through Conditionality in Central and Eastern Europe</w:t>
      </w:r>
      <w:r w:rsidRPr="00B82603">
        <w:rPr>
          <w:rFonts w:ascii="Arial" w:hAnsi="Arial" w:cs="Arial"/>
          <w:sz w:val="22"/>
          <w:szCs w:val="22"/>
        </w:rPr>
        <w:t>. Basingstoke: Palgrave Macmillan.</w:t>
      </w:r>
    </w:p>
    <w:p w14:paraId="0A4758C7"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Hofstede Insights (2024) </w:t>
      </w:r>
      <w:r w:rsidRPr="00B82603">
        <w:rPr>
          <w:rStyle w:val="Emphasis"/>
          <w:rFonts w:ascii="Arial" w:eastAsiaTheme="majorEastAsia" w:hAnsi="Arial" w:cs="Arial"/>
          <w:i w:val="0"/>
          <w:iCs w:val="0"/>
          <w:sz w:val="22"/>
          <w:szCs w:val="22"/>
        </w:rPr>
        <w:t>Country Comparison Tool</w:t>
      </w:r>
      <w:r w:rsidRPr="00B82603">
        <w:rPr>
          <w:rFonts w:ascii="Arial" w:hAnsi="Arial" w:cs="Arial"/>
          <w:sz w:val="22"/>
          <w:szCs w:val="22"/>
        </w:rPr>
        <w:t>. Available at: https://www.hofstede-insights.com (Accessed: 1 July 2024).</w:t>
      </w:r>
    </w:p>
    <w:p w14:paraId="6E2575D3"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Hughes, J. (2013) ‘EU conditionality and post-accession reform: The CVM and Romania’, </w:t>
      </w:r>
      <w:r w:rsidRPr="00B82603">
        <w:rPr>
          <w:rStyle w:val="Emphasis"/>
          <w:rFonts w:ascii="Arial" w:eastAsiaTheme="majorEastAsia" w:hAnsi="Arial" w:cs="Arial"/>
          <w:i w:val="0"/>
          <w:iCs w:val="0"/>
          <w:sz w:val="22"/>
          <w:szCs w:val="22"/>
        </w:rPr>
        <w:t>Policy Review</w:t>
      </w:r>
      <w:r w:rsidRPr="00B82603">
        <w:rPr>
          <w:rFonts w:ascii="Arial" w:hAnsi="Arial" w:cs="Arial"/>
          <w:sz w:val="22"/>
          <w:szCs w:val="22"/>
        </w:rPr>
        <w:t>, 48(3), pp. 45–60.</w:t>
      </w:r>
    </w:p>
    <w:p w14:paraId="2E260DF3"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Kovacs, J. (2019) ‘Challenges of economic transition in Eastern Europe’, </w:t>
      </w:r>
      <w:r w:rsidRPr="00B82603">
        <w:rPr>
          <w:rStyle w:val="Emphasis"/>
          <w:rFonts w:ascii="Arial" w:eastAsiaTheme="majorEastAsia" w:hAnsi="Arial" w:cs="Arial"/>
          <w:i w:val="0"/>
          <w:iCs w:val="0"/>
          <w:sz w:val="22"/>
          <w:szCs w:val="22"/>
        </w:rPr>
        <w:t>Eastern European Economics</w:t>
      </w:r>
      <w:r w:rsidRPr="00B82603">
        <w:rPr>
          <w:rFonts w:ascii="Arial" w:hAnsi="Arial" w:cs="Arial"/>
          <w:sz w:val="22"/>
          <w:szCs w:val="22"/>
        </w:rPr>
        <w:t>, 56(4), pp. 235–247.</w:t>
      </w:r>
    </w:p>
    <w:p w14:paraId="04F1E525"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McDonald, C. (2014) ‘Economic integration and convergence: An overview of Eastern Europe’, </w:t>
      </w:r>
      <w:r w:rsidRPr="00B82603">
        <w:rPr>
          <w:rStyle w:val="Emphasis"/>
          <w:rFonts w:ascii="Arial" w:eastAsiaTheme="majorEastAsia" w:hAnsi="Arial" w:cs="Arial"/>
          <w:i w:val="0"/>
          <w:iCs w:val="0"/>
          <w:sz w:val="22"/>
          <w:szCs w:val="22"/>
        </w:rPr>
        <w:t>Journal of International Economics</w:t>
      </w:r>
      <w:r w:rsidRPr="00B82603">
        <w:rPr>
          <w:rFonts w:ascii="Arial" w:hAnsi="Arial" w:cs="Arial"/>
          <w:sz w:val="22"/>
          <w:szCs w:val="22"/>
        </w:rPr>
        <w:t>, 11(1), pp. 52–68.</w:t>
      </w:r>
    </w:p>
    <w:p w14:paraId="4EF062F4"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North, D.C. (1990) </w:t>
      </w:r>
      <w:r w:rsidRPr="00B82603">
        <w:rPr>
          <w:rStyle w:val="Emphasis"/>
          <w:rFonts w:ascii="Arial" w:eastAsiaTheme="majorEastAsia" w:hAnsi="Arial" w:cs="Arial"/>
          <w:i w:val="0"/>
          <w:iCs w:val="0"/>
          <w:sz w:val="22"/>
          <w:szCs w:val="22"/>
        </w:rPr>
        <w:t>Institutions, Institutional Change and Economic Performance</w:t>
      </w:r>
      <w:r w:rsidRPr="00B82603">
        <w:rPr>
          <w:rFonts w:ascii="Arial" w:hAnsi="Arial" w:cs="Arial"/>
          <w:sz w:val="22"/>
          <w:szCs w:val="22"/>
        </w:rPr>
        <w:t>. Cambridge: Cambridge University Press.</w:t>
      </w:r>
    </w:p>
    <w:p w14:paraId="7711126A"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OECD (2020) </w:t>
      </w:r>
      <w:r w:rsidRPr="00B82603">
        <w:rPr>
          <w:rStyle w:val="Emphasis"/>
          <w:rFonts w:ascii="Arial" w:eastAsiaTheme="majorEastAsia" w:hAnsi="Arial" w:cs="Arial"/>
          <w:i w:val="0"/>
          <w:iCs w:val="0"/>
          <w:sz w:val="22"/>
          <w:szCs w:val="22"/>
        </w:rPr>
        <w:t>FDI Statistics by Country</w:t>
      </w:r>
      <w:r w:rsidRPr="00B82603">
        <w:rPr>
          <w:rFonts w:ascii="Arial" w:hAnsi="Arial" w:cs="Arial"/>
          <w:sz w:val="22"/>
          <w:szCs w:val="22"/>
        </w:rPr>
        <w:t>. Available at: https://www.oecd.org (Accessed: 3 July 2024).</w:t>
      </w:r>
    </w:p>
    <w:p w14:paraId="64FC5C4D"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OECD (2021) </w:t>
      </w:r>
      <w:r w:rsidRPr="00B82603">
        <w:rPr>
          <w:rStyle w:val="Emphasis"/>
          <w:rFonts w:ascii="Arial" w:eastAsiaTheme="majorEastAsia" w:hAnsi="Arial" w:cs="Arial"/>
          <w:i w:val="0"/>
          <w:iCs w:val="0"/>
          <w:sz w:val="22"/>
          <w:szCs w:val="22"/>
        </w:rPr>
        <w:t>Economic Surveys: Poland</w:t>
      </w:r>
      <w:r w:rsidRPr="00B82603">
        <w:rPr>
          <w:rFonts w:ascii="Arial" w:hAnsi="Arial" w:cs="Arial"/>
          <w:sz w:val="22"/>
          <w:szCs w:val="22"/>
        </w:rPr>
        <w:t>. Available at: https://www.oecd.org (Accessed: 1 July 2024).</w:t>
      </w:r>
    </w:p>
    <w:p w14:paraId="406DD01D"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Porter, M.E. (1990) </w:t>
      </w:r>
      <w:r w:rsidRPr="00B82603">
        <w:rPr>
          <w:rStyle w:val="Emphasis"/>
          <w:rFonts w:ascii="Arial" w:eastAsiaTheme="majorEastAsia" w:hAnsi="Arial" w:cs="Arial"/>
          <w:i w:val="0"/>
          <w:iCs w:val="0"/>
          <w:sz w:val="22"/>
          <w:szCs w:val="22"/>
        </w:rPr>
        <w:t>The Competitive Advantage of Nations</w:t>
      </w:r>
      <w:r w:rsidRPr="00B82603">
        <w:rPr>
          <w:rFonts w:ascii="Arial" w:hAnsi="Arial" w:cs="Arial"/>
          <w:sz w:val="22"/>
          <w:szCs w:val="22"/>
        </w:rPr>
        <w:t>. London: Macmillan.</w:t>
      </w:r>
    </w:p>
    <w:p w14:paraId="4FD5AFB7" w14:textId="77777777" w:rsidR="005F46C1" w:rsidRPr="00B82603" w:rsidRDefault="005F46C1" w:rsidP="00327D03">
      <w:pPr>
        <w:spacing w:line="360" w:lineRule="auto"/>
        <w:rPr>
          <w:rFonts w:ascii="Arial" w:hAnsi="Arial" w:cs="Arial"/>
          <w:sz w:val="22"/>
          <w:szCs w:val="22"/>
        </w:rPr>
      </w:pPr>
      <w:proofErr w:type="spellStart"/>
      <w:r w:rsidRPr="00B82603">
        <w:rPr>
          <w:rFonts w:ascii="Arial" w:hAnsi="Arial" w:cs="Arial"/>
          <w:sz w:val="22"/>
          <w:szCs w:val="22"/>
        </w:rPr>
        <w:lastRenderedPageBreak/>
        <w:t>Schimmelfennig</w:t>
      </w:r>
      <w:proofErr w:type="spellEnd"/>
      <w:r w:rsidRPr="00B82603">
        <w:rPr>
          <w:rFonts w:ascii="Arial" w:hAnsi="Arial" w:cs="Arial"/>
          <w:sz w:val="22"/>
          <w:szCs w:val="22"/>
        </w:rPr>
        <w:t xml:space="preserve">, F. and </w:t>
      </w:r>
      <w:proofErr w:type="spellStart"/>
      <w:r w:rsidRPr="00B82603">
        <w:rPr>
          <w:rFonts w:ascii="Arial" w:hAnsi="Arial" w:cs="Arial"/>
          <w:sz w:val="22"/>
          <w:szCs w:val="22"/>
        </w:rPr>
        <w:t>Sedelmeier</w:t>
      </w:r>
      <w:proofErr w:type="spellEnd"/>
      <w:r w:rsidRPr="00B82603">
        <w:rPr>
          <w:rFonts w:ascii="Arial" w:hAnsi="Arial" w:cs="Arial"/>
          <w:sz w:val="22"/>
          <w:szCs w:val="22"/>
        </w:rPr>
        <w:t xml:space="preserve">, U. (2005) </w:t>
      </w:r>
      <w:r w:rsidRPr="00B82603">
        <w:rPr>
          <w:rStyle w:val="Emphasis"/>
          <w:rFonts w:ascii="Arial" w:eastAsiaTheme="majorEastAsia" w:hAnsi="Arial" w:cs="Arial"/>
          <w:i w:val="0"/>
          <w:iCs w:val="0"/>
          <w:sz w:val="22"/>
          <w:szCs w:val="22"/>
        </w:rPr>
        <w:t>The Europeanization of Central and Eastern Europe</w:t>
      </w:r>
      <w:r w:rsidRPr="00B82603">
        <w:rPr>
          <w:rFonts w:ascii="Arial" w:hAnsi="Arial" w:cs="Arial"/>
          <w:sz w:val="22"/>
          <w:szCs w:val="22"/>
        </w:rPr>
        <w:t>. Ithaca, NY: Cornell University Press.</w:t>
      </w:r>
    </w:p>
    <w:p w14:paraId="53C2EEC0"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Transparency International (2023) </w:t>
      </w:r>
      <w:r w:rsidRPr="00B82603">
        <w:rPr>
          <w:rStyle w:val="Emphasis"/>
          <w:rFonts w:ascii="Arial" w:eastAsiaTheme="majorEastAsia" w:hAnsi="Arial" w:cs="Arial"/>
          <w:i w:val="0"/>
          <w:iCs w:val="0"/>
          <w:sz w:val="22"/>
          <w:szCs w:val="22"/>
        </w:rPr>
        <w:t>Corruption Perceptions Index</w:t>
      </w:r>
      <w:r w:rsidRPr="00B82603">
        <w:rPr>
          <w:rFonts w:ascii="Arial" w:hAnsi="Arial" w:cs="Arial"/>
          <w:sz w:val="22"/>
          <w:szCs w:val="22"/>
        </w:rPr>
        <w:t>. Available at: https://www.transparency.org (Accessed: 2 July 2024).</w:t>
      </w:r>
    </w:p>
    <w:p w14:paraId="784E0B78"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UNCTAD (2022) </w:t>
      </w:r>
      <w:r w:rsidRPr="00B82603">
        <w:rPr>
          <w:rStyle w:val="Emphasis"/>
          <w:rFonts w:ascii="Arial" w:eastAsiaTheme="majorEastAsia" w:hAnsi="Arial" w:cs="Arial"/>
          <w:i w:val="0"/>
          <w:iCs w:val="0"/>
          <w:sz w:val="22"/>
          <w:szCs w:val="22"/>
        </w:rPr>
        <w:t>World Investment Report</w:t>
      </w:r>
      <w:r w:rsidRPr="00B82603">
        <w:rPr>
          <w:rFonts w:ascii="Arial" w:hAnsi="Arial" w:cs="Arial"/>
          <w:sz w:val="22"/>
          <w:szCs w:val="22"/>
        </w:rPr>
        <w:t>. Geneva: United Nations.</w:t>
      </w:r>
    </w:p>
    <w:p w14:paraId="651B04FC"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World Bank (2020) </w:t>
      </w:r>
      <w:r w:rsidRPr="00B82603">
        <w:rPr>
          <w:rStyle w:val="Emphasis"/>
          <w:rFonts w:ascii="Arial" w:eastAsiaTheme="majorEastAsia" w:hAnsi="Arial" w:cs="Arial"/>
          <w:i w:val="0"/>
          <w:iCs w:val="0"/>
          <w:sz w:val="22"/>
          <w:szCs w:val="22"/>
        </w:rPr>
        <w:t>Doing Business 2020</w:t>
      </w:r>
      <w:r w:rsidRPr="00B82603">
        <w:rPr>
          <w:rFonts w:ascii="Arial" w:hAnsi="Arial" w:cs="Arial"/>
          <w:sz w:val="22"/>
          <w:szCs w:val="22"/>
        </w:rPr>
        <w:t>. Washington, DC: World Bank.</w:t>
      </w:r>
    </w:p>
    <w:p w14:paraId="7F155273" w14:textId="60B18F63" w:rsidR="00A14202" w:rsidRDefault="005F46C1" w:rsidP="00327D03">
      <w:pPr>
        <w:spacing w:line="360" w:lineRule="auto"/>
        <w:rPr>
          <w:rFonts w:ascii="Arial" w:hAnsi="Arial" w:cs="Arial"/>
          <w:sz w:val="22"/>
          <w:szCs w:val="22"/>
        </w:rPr>
      </w:pPr>
      <w:r w:rsidRPr="00B82603">
        <w:rPr>
          <w:rFonts w:ascii="Arial" w:hAnsi="Arial" w:cs="Arial"/>
          <w:sz w:val="22"/>
          <w:szCs w:val="22"/>
        </w:rPr>
        <w:t xml:space="preserve">World Bank (2021) </w:t>
      </w:r>
      <w:r w:rsidRPr="00B82603">
        <w:rPr>
          <w:rStyle w:val="Emphasis"/>
          <w:rFonts w:ascii="Arial" w:eastAsiaTheme="majorEastAsia" w:hAnsi="Arial" w:cs="Arial"/>
          <w:i w:val="0"/>
          <w:iCs w:val="0"/>
          <w:sz w:val="22"/>
          <w:szCs w:val="22"/>
        </w:rPr>
        <w:t>Romania Economic Update</w:t>
      </w:r>
      <w:r w:rsidRPr="00B82603">
        <w:rPr>
          <w:rFonts w:ascii="Arial" w:hAnsi="Arial" w:cs="Arial"/>
          <w:sz w:val="22"/>
          <w:szCs w:val="22"/>
        </w:rPr>
        <w:t>. Washington, DC: World Bank.</w:t>
      </w:r>
    </w:p>
    <w:p w14:paraId="5FF55F09" w14:textId="77777777" w:rsidR="00CB7455" w:rsidRPr="00B82603" w:rsidRDefault="00CB7455" w:rsidP="00327D03">
      <w:pPr>
        <w:spacing w:line="360" w:lineRule="auto"/>
        <w:rPr>
          <w:rFonts w:ascii="Arial" w:hAnsi="Arial" w:cs="Arial"/>
          <w:sz w:val="22"/>
          <w:szCs w:val="22"/>
        </w:rPr>
      </w:pPr>
    </w:p>
    <w:sectPr w:rsidR="00CB7455" w:rsidRPr="00B826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BB3910" w14:textId="77777777" w:rsidR="009A2ACE" w:rsidRDefault="009A2ACE" w:rsidP="0069566C">
      <w:pPr>
        <w:spacing w:after="0" w:line="240" w:lineRule="auto"/>
      </w:pPr>
      <w:r>
        <w:separator/>
      </w:r>
    </w:p>
  </w:endnote>
  <w:endnote w:type="continuationSeparator" w:id="0">
    <w:p w14:paraId="44E450E3" w14:textId="77777777" w:rsidR="009A2ACE" w:rsidRDefault="009A2ACE" w:rsidP="00695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3081108"/>
      <w:docPartObj>
        <w:docPartGallery w:val="Page Numbers (Bottom of Page)"/>
        <w:docPartUnique/>
      </w:docPartObj>
    </w:sdtPr>
    <w:sdtEndPr>
      <w:rPr>
        <w:noProof/>
      </w:rPr>
    </w:sdtEndPr>
    <w:sdtContent>
      <w:p w14:paraId="13C84BBA" w14:textId="7470498F" w:rsidR="0069566C" w:rsidRDefault="0069566C" w:rsidP="006828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928EB" w14:textId="77777777" w:rsidR="009A2ACE" w:rsidRDefault="009A2ACE" w:rsidP="0069566C">
      <w:pPr>
        <w:spacing w:after="0" w:line="240" w:lineRule="auto"/>
      </w:pPr>
      <w:r>
        <w:separator/>
      </w:r>
    </w:p>
  </w:footnote>
  <w:footnote w:type="continuationSeparator" w:id="0">
    <w:p w14:paraId="4C93F476" w14:textId="77777777" w:rsidR="009A2ACE" w:rsidRDefault="009A2ACE" w:rsidP="006956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4633B1" w14:textId="7390427F" w:rsidR="007D60FF" w:rsidRDefault="007D60FF" w:rsidP="009B3948">
    <w:pPr>
      <w:pStyle w:val="Header"/>
      <w:spacing w:line="360" w:lineRule="auto"/>
    </w:pPr>
    <w:r w:rsidRPr="004452BD">
      <w:rPr>
        <w:noProof/>
      </w:rPr>
      <w:drawing>
        <wp:inline distT="0" distB="0" distL="0" distR="0" wp14:anchorId="0053E9EB" wp14:editId="2E417F84">
          <wp:extent cx="1377950" cy="457200"/>
          <wp:effectExtent l="0" t="0" r="0" b="0"/>
          <wp:docPr id="2011623053" name="Picture 1" descr="A black and white tex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white text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77950" cy="4572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71A1A"/>
    <w:multiLevelType w:val="hybridMultilevel"/>
    <w:tmpl w:val="901AB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B9603B"/>
    <w:multiLevelType w:val="hybridMultilevel"/>
    <w:tmpl w:val="94703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6E3FE2"/>
    <w:multiLevelType w:val="hybridMultilevel"/>
    <w:tmpl w:val="2FB82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9C149F"/>
    <w:multiLevelType w:val="hybridMultilevel"/>
    <w:tmpl w:val="6BE46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B47EBD"/>
    <w:multiLevelType w:val="hybridMultilevel"/>
    <w:tmpl w:val="4BD49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7F4537"/>
    <w:multiLevelType w:val="hybridMultilevel"/>
    <w:tmpl w:val="FEE66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8307F3"/>
    <w:multiLevelType w:val="hybridMultilevel"/>
    <w:tmpl w:val="494E8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0644AB"/>
    <w:multiLevelType w:val="hybridMultilevel"/>
    <w:tmpl w:val="F26A7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8153B6"/>
    <w:multiLevelType w:val="hybridMultilevel"/>
    <w:tmpl w:val="45DA3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AB3A2B"/>
    <w:multiLevelType w:val="hybridMultilevel"/>
    <w:tmpl w:val="91A4C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6A3499"/>
    <w:multiLevelType w:val="hybridMultilevel"/>
    <w:tmpl w:val="1638A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3B0F0C"/>
    <w:multiLevelType w:val="hybridMultilevel"/>
    <w:tmpl w:val="91505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CF6E8B"/>
    <w:multiLevelType w:val="hybridMultilevel"/>
    <w:tmpl w:val="CBF04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041553"/>
    <w:multiLevelType w:val="hybridMultilevel"/>
    <w:tmpl w:val="1C483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485031"/>
    <w:multiLevelType w:val="hybridMultilevel"/>
    <w:tmpl w:val="CE169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8E3BC5"/>
    <w:multiLevelType w:val="hybridMultilevel"/>
    <w:tmpl w:val="15FCA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532610">
    <w:abstractNumId w:val="5"/>
  </w:num>
  <w:num w:numId="2" w16cid:durableId="1210874301">
    <w:abstractNumId w:val="4"/>
  </w:num>
  <w:num w:numId="3" w16cid:durableId="1886985487">
    <w:abstractNumId w:val="0"/>
  </w:num>
  <w:num w:numId="4" w16cid:durableId="59597826">
    <w:abstractNumId w:val="13"/>
  </w:num>
  <w:num w:numId="5" w16cid:durableId="741097692">
    <w:abstractNumId w:val="15"/>
  </w:num>
  <w:num w:numId="6" w16cid:durableId="646403188">
    <w:abstractNumId w:val="9"/>
  </w:num>
  <w:num w:numId="7" w16cid:durableId="1511915944">
    <w:abstractNumId w:val="8"/>
  </w:num>
  <w:num w:numId="8" w16cid:durableId="1543861860">
    <w:abstractNumId w:val="2"/>
  </w:num>
  <w:num w:numId="9" w16cid:durableId="73283985">
    <w:abstractNumId w:val="11"/>
  </w:num>
  <w:num w:numId="10" w16cid:durableId="1087309759">
    <w:abstractNumId w:val="12"/>
  </w:num>
  <w:num w:numId="11" w16cid:durableId="778913867">
    <w:abstractNumId w:val="7"/>
  </w:num>
  <w:num w:numId="12" w16cid:durableId="618342866">
    <w:abstractNumId w:val="3"/>
  </w:num>
  <w:num w:numId="13" w16cid:durableId="796410918">
    <w:abstractNumId w:val="6"/>
  </w:num>
  <w:num w:numId="14" w16cid:durableId="1577671811">
    <w:abstractNumId w:val="14"/>
  </w:num>
  <w:num w:numId="15" w16cid:durableId="370500682">
    <w:abstractNumId w:val="10"/>
  </w:num>
  <w:num w:numId="16" w16cid:durableId="1014846713">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617"/>
    <w:rsid w:val="0000111E"/>
    <w:rsid w:val="00003CB4"/>
    <w:rsid w:val="00015307"/>
    <w:rsid w:val="00042B33"/>
    <w:rsid w:val="00052EF1"/>
    <w:rsid w:val="00061A86"/>
    <w:rsid w:val="00064F80"/>
    <w:rsid w:val="00073C32"/>
    <w:rsid w:val="000C6A0D"/>
    <w:rsid w:val="000D0205"/>
    <w:rsid w:val="000D4434"/>
    <w:rsid w:val="000F1C3E"/>
    <w:rsid w:val="000F4272"/>
    <w:rsid w:val="00126C5A"/>
    <w:rsid w:val="00130789"/>
    <w:rsid w:val="001310A9"/>
    <w:rsid w:val="00141249"/>
    <w:rsid w:val="00151512"/>
    <w:rsid w:val="00160641"/>
    <w:rsid w:val="00162382"/>
    <w:rsid w:val="001930BD"/>
    <w:rsid w:val="001A04A3"/>
    <w:rsid w:val="001A1010"/>
    <w:rsid w:val="001A7D4A"/>
    <w:rsid w:val="001B08C5"/>
    <w:rsid w:val="001B2F17"/>
    <w:rsid w:val="001C62AB"/>
    <w:rsid w:val="001D1D2A"/>
    <w:rsid w:val="001D32A8"/>
    <w:rsid w:val="001D39F9"/>
    <w:rsid w:val="001E0392"/>
    <w:rsid w:val="001F0353"/>
    <w:rsid w:val="00200DBF"/>
    <w:rsid w:val="002039F6"/>
    <w:rsid w:val="00221007"/>
    <w:rsid w:val="00226BFF"/>
    <w:rsid w:val="0023456F"/>
    <w:rsid w:val="00240902"/>
    <w:rsid w:val="0024663E"/>
    <w:rsid w:val="00260F20"/>
    <w:rsid w:val="00277AB8"/>
    <w:rsid w:val="00284EFA"/>
    <w:rsid w:val="002B62D5"/>
    <w:rsid w:val="002B746B"/>
    <w:rsid w:val="002D357D"/>
    <w:rsid w:val="00313224"/>
    <w:rsid w:val="00327D02"/>
    <w:rsid w:val="00327D03"/>
    <w:rsid w:val="00333961"/>
    <w:rsid w:val="00345077"/>
    <w:rsid w:val="003815F4"/>
    <w:rsid w:val="003A5D79"/>
    <w:rsid w:val="003A746B"/>
    <w:rsid w:val="003D03C7"/>
    <w:rsid w:val="003E06C3"/>
    <w:rsid w:val="003E5E99"/>
    <w:rsid w:val="003F4423"/>
    <w:rsid w:val="00407705"/>
    <w:rsid w:val="00414BD3"/>
    <w:rsid w:val="00423401"/>
    <w:rsid w:val="00430E8C"/>
    <w:rsid w:val="00433BAC"/>
    <w:rsid w:val="00436DAC"/>
    <w:rsid w:val="00456E9E"/>
    <w:rsid w:val="004653EE"/>
    <w:rsid w:val="00483D4F"/>
    <w:rsid w:val="004843B5"/>
    <w:rsid w:val="00484853"/>
    <w:rsid w:val="00492971"/>
    <w:rsid w:val="004973E1"/>
    <w:rsid w:val="004B03C8"/>
    <w:rsid w:val="004B39D6"/>
    <w:rsid w:val="004B710D"/>
    <w:rsid w:val="004C0AB6"/>
    <w:rsid w:val="004E05CE"/>
    <w:rsid w:val="004F3A4C"/>
    <w:rsid w:val="00503928"/>
    <w:rsid w:val="00512A8D"/>
    <w:rsid w:val="005143FE"/>
    <w:rsid w:val="005633EC"/>
    <w:rsid w:val="00565B49"/>
    <w:rsid w:val="005761FD"/>
    <w:rsid w:val="00580BE9"/>
    <w:rsid w:val="00592617"/>
    <w:rsid w:val="005946CB"/>
    <w:rsid w:val="0059684E"/>
    <w:rsid w:val="005A00AB"/>
    <w:rsid w:val="005E343B"/>
    <w:rsid w:val="005F46C1"/>
    <w:rsid w:val="006771FA"/>
    <w:rsid w:val="00682814"/>
    <w:rsid w:val="00690035"/>
    <w:rsid w:val="006907C8"/>
    <w:rsid w:val="0069566C"/>
    <w:rsid w:val="006B31C7"/>
    <w:rsid w:val="006C0994"/>
    <w:rsid w:val="006D1B72"/>
    <w:rsid w:val="00702548"/>
    <w:rsid w:val="0070792C"/>
    <w:rsid w:val="00710C09"/>
    <w:rsid w:val="00714268"/>
    <w:rsid w:val="007212A3"/>
    <w:rsid w:val="00724ACA"/>
    <w:rsid w:val="00727D39"/>
    <w:rsid w:val="007303D3"/>
    <w:rsid w:val="0073055B"/>
    <w:rsid w:val="0073465D"/>
    <w:rsid w:val="007469CD"/>
    <w:rsid w:val="0075281C"/>
    <w:rsid w:val="007561A0"/>
    <w:rsid w:val="007600F3"/>
    <w:rsid w:val="00764837"/>
    <w:rsid w:val="00764EF8"/>
    <w:rsid w:val="0077340D"/>
    <w:rsid w:val="0077728E"/>
    <w:rsid w:val="00796DFC"/>
    <w:rsid w:val="007A58A6"/>
    <w:rsid w:val="007A7F3E"/>
    <w:rsid w:val="007C353E"/>
    <w:rsid w:val="007C5E32"/>
    <w:rsid w:val="007C70C4"/>
    <w:rsid w:val="007D60FF"/>
    <w:rsid w:val="007D7465"/>
    <w:rsid w:val="007F0076"/>
    <w:rsid w:val="0081439F"/>
    <w:rsid w:val="00823BB1"/>
    <w:rsid w:val="00836992"/>
    <w:rsid w:val="008422BF"/>
    <w:rsid w:val="00842C5A"/>
    <w:rsid w:val="00857BC4"/>
    <w:rsid w:val="00857CA0"/>
    <w:rsid w:val="008733A3"/>
    <w:rsid w:val="008775D6"/>
    <w:rsid w:val="00880666"/>
    <w:rsid w:val="00887D54"/>
    <w:rsid w:val="00887FB4"/>
    <w:rsid w:val="00892299"/>
    <w:rsid w:val="008924F4"/>
    <w:rsid w:val="00893F0B"/>
    <w:rsid w:val="00895E96"/>
    <w:rsid w:val="008A28F9"/>
    <w:rsid w:val="008D3F57"/>
    <w:rsid w:val="008D4ECE"/>
    <w:rsid w:val="008E632E"/>
    <w:rsid w:val="00910731"/>
    <w:rsid w:val="00925294"/>
    <w:rsid w:val="009417DA"/>
    <w:rsid w:val="00953668"/>
    <w:rsid w:val="009A1B0F"/>
    <w:rsid w:val="009A2ACE"/>
    <w:rsid w:val="009B2450"/>
    <w:rsid w:val="009B3948"/>
    <w:rsid w:val="009F05FB"/>
    <w:rsid w:val="00A028BC"/>
    <w:rsid w:val="00A12DC5"/>
    <w:rsid w:val="00A14202"/>
    <w:rsid w:val="00A17705"/>
    <w:rsid w:val="00A22CDB"/>
    <w:rsid w:val="00A24445"/>
    <w:rsid w:val="00A27962"/>
    <w:rsid w:val="00A555C0"/>
    <w:rsid w:val="00A6021A"/>
    <w:rsid w:val="00A912E8"/>
    <w:rsid w:val="00A9794B"/>
    <w:rsid w:val="00AA1473"/>
    <w:rsid w:val="00AA2026"/>
    <w:rsid w:val="00AA56ED"/>
    <w:rsid w:val="00AC3BD2"/>
    <w:rsid w:val="00AF14E0"/>
    <w:rsid w:val="00B153E7"/>
    <w:rsid w:val="00B201A4"/>
    <w:rsid w:val="00B34532"/>
    <w:rsid w:val="00B443D9"/>
    <w:rsid w:val="00B775B6"/>
    <w:rsid w:val="00B82603"/>
    <w:rsid w:val="00B84780"/>
    <w:rsid w:val="00B85280"/>
    <w:rsid w:val="00BA2EE8"/>
    <w:rsid w:val="00BB0BA3"/>
    <w:rsid w:val="00BC7B52"/>
    <w:rsid w:val="00BD39CB"/>
    <w:rsid w:val="00C104D5"/>
    <w:rsid w:val="00C13C5A"/>
    <w:rsid w:val="00C142CA"/>
    <w:rsid w:val="00C14DA1"/>
    <w:rsid w:val="00C171F0"/>
    <w:rsid w:val="00C360BD"/>
    <w:rsid w:val="00C42917"/>
    <w:rsid w:val="00C54943"/>
    <w:rsid w:val="00C70D3F"/>
    <w:rsid w:val="00C8234D"/>
    <w:rsid w:val="00C9662C"/>
    <w:rsid w:val="00C97C47"/>
    <w:rsid w:val="00CB3541"/>
    <w:rsid w:val="00CB7455"/>
    <w:rsid w:val="00CD7276"/>
    <w:rsid w:val="00CE7BAC"/>
    <w:rsid w:val="00CE7EF4"/>
    <w:rsid w:val="00CF6574"/>
    <w:rsid w:val="00D00B93"/>
    <w:rsid w:val="00D2328B"/>
    <w:rsid w:val="00D26FFF"/>
    <w:rsid w:val="00D34730"/>
    <w:rsid w:val="00D409A5"/>
    <w:rsid w:val="00D47036"/>
    <w:rsid w:val="00D47236"/>
    <w:rsid w:val="00D62AEB"/>
    <w:rsid w:val="00D6537B"/>
    <w:rsid w:val="00D804E1"/>
    <w:rsid w:val="00D947FD"/>
    <w:rsid w:val="00DA73A5"/>
    <w:rsid w:val="00DB5B79"/>
    <w:rsid w:val="00DD3929"/>
    <w:rsid w:val="00DF10DE"/>
    <w:rsid w:val="00E015BC"/>
    <w:rsid w:val="00E40028"/>
    <w:rsid w:val="00E4211A"/>
    <w:rsid w:val="00E44883"/>
    <w:rsid w:val="00E56769"/>
    <w:rsid w:val="00E805A4"/>
    <w:rsid w:val="00E80E95"/>
    <w:rsid w:val="00E95BE0"/>
    <w:rsid w:val="00EA164F"/>
    <w:rsid w:val="00EB36A7"/>
    <w:rsid w:val="00EB6AF8"/>
    <w:rsid w:val="00EC4729"/>
    <w:rsid w:val="00ED09B0"/>
    <w:rsid w:val="00EE07DE"/>
    <w:rsid w:val="00F02F5F"/>
    <w:rsid w:val="00F36755"/>
    <w:rsid w:val="00F74E11"/>
    <w:rsid w:val="00F77D8D"/>
    <w:rsid w:val="00F83B1E"/>
    <w:rsid w:val="00F84796"/>
    <w:rsid w:val="00F95D7A"/>
    <w:rsid w:val="00FA2B3C"/>
    <w:rsid w:val="00FB7201"/>
    <w:rsid w:val="00FD0E95"/>
    <w:rsid w:val="00FD2DB1"/>
    <w:rsid w:val="00FE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3FF94"/>
  <w15:chartTrackingRefBased/>
  <w15:docId w15:val="{438E05C1-0E20-4C87-8E8E-A77E12F59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6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26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26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26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26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26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26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26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26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6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26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26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26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26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26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26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26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2617"/>
    <w:rPr>
      <w:rFonts w:eastAsiaTheme="majorEastAsia" w:cstheme="majorBidi"/>
      <w:color w:val="272727" w:themeColor="text1" w:themeTint="D8"/>
    </w:rPr>
  </w:style>
  <w:style w:type="paragraph" w:styleId="Title">
    <w:name w:val="Title"/>
    <w:basedOn w:val="Normal"/>
    <w:next w:val="Normal"/>
    <w:link w:val="TitleChar"/>
    <w:uiPriority w:val="10"/>
    <w:qFormat/>
    <w:rsid w:val="005926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26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26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26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2617"/>
    <w:pPr>
      <w:spacing w:before="160"/>
      <w:jc w:val="center"/>
    </w:pPr>
    <w:rPr>
      <w:i/>
      <w:iCs/>
      <w:color w:val="404040" w:themeColor="text1" w:themeTint="BF"/>
    </w:rPr>
  </w:style>
  <w:style w:type="character" w:customStyle="1" w:styleId="QuoteChar">
    <w:name w:val="Quote Char"/>
    <w:basedOn w:val="DefaultParagraphFont"/>
    <w:link w:val="Quote"/>
    <w:uiPriority w:val="29"/>
    <w:rsid w:val="00592617"/>
    <w:rPr>
      <w:i/>
      <w:iCs/>
      <w:color w:val="404040" w:themeColor="text1" w:themeTint="BF"/>
    </w:rPr>
  </w:style>
  <w:style w:type="paragraph" w:styleId="ListParagraph">
    <w:name w:val="List Paragraph"/>
    <w:basedOn w:val="Normal"/>
    <w:uiPriority w:val="34"/>
    <w:qFormat/>
    <w:rsid w:val="00592617"/>
    <w:pPr>
      <w:ind w:left="720"/>
      <w:contextualSpacing/>
    </w:pPr>
  </w:style>
  <w:style w:type="character" w:styleId="IntenseEmphasis">
    <w:name w:val="Intense Emphasis"/>
    <w:basedOn w:val="DefaultParagraphFont"/>
    <w:uiPriority w:val="21"/>
    <w:qFormat/>
    <w:rsid w:val="00592617"/>
    <w:rPr>
      <w:i/>
      <w:iCs/>
      <w:color w:val="0F4761" w:themeColor="accent1" w:themeShade="BF"/>
    </w:rPr>
  </w:style>
  <w:style w:type="paragraph" w:styleId="IntenseQuote">
    <w:name w:val="Intense Quote"/>
    <w:basedOn w:val="Normal"/>
    <w:next w:val="Normal"/>
    <w:link w:val="IntenseQuoteChar"/>
    <w:uiPriority w:val="30"/>
    <w:qFormat/>
    <w:rsid w:val="005926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2617"/>
    <w:rPr>
      <w:i/>
      <w:iCs/>
      <w:color w:val="0F4761" w:themeColor="accent1" w:themeShade="BF"/>
    </w:rPr>
  </w:style>
  <w:style w:type="character" w:styleId="IntenseReference">
    <w:name w:val="Intense Reference"/>
    <w:basedOn w:val="DefaultParagraphFont"/>
    <w:uiPriority w:val="32"/>
    <w:qFormat/>
    <w:rsid w:val="00592617"/>
    <w:rPr>
      <w:b/>
      <w:bCs/>
      <w:smallCaps/>
      <w:color w:val="0F4761" w:themeColor="accent1" w:themeShade="BF"/>
      <w:spacing w:val="5"/>
    </w:rPr>
  </w:style>
  <w:style w:type="paragraph" w:styleId="Header">
    <w:name w:val="header"/>
    <w:basedOn w:val="Normal"/>
    <w:link w:val="HeaderChar"/>
    <w:uiPriority w:val="99"/>
    <w:unhideWhenUsed/>
    <w:rsid w:val="006956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66C"/>
  </w:style>
  <w:style w:type="paragraph" w:styleId="Footer">
    <w:name w:val="footer"/>
    <w:basedOn w:val="Normal"/>
    <w:link w:val="FooterChar"/>
    <w:uiPriority w:val="99"/>
    <w:unhideWhenUsed/>
    <w:rsid w:val="006956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66C"/>
  </w:style>
  <w:style w:type="paragraph" w:styleId="NormalWeb">
    <w:name w:val="Normal (Web)"/>
    <w:basedOn w:val="Normal"/>
    <w:uiPriority w:val="99"/>
    <w:unhideWhenUsed/>
    <w:rsid w:val="006771F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771FA"/>
    <w:rPr>
      <w:b/>
      <w:bCs/>
    </w:rPr>
  </w:style>
  <w:style w:type="character" w:styleId="Emphasis">
    <w:name w:val="Emphasis"/>
    <w:basedOn w:val="DefaultParagraphFont"/>
    <w:uiPriority w:val="20"/>
    <w:qFormat/>
    <w:rsid w:val="005F46C1"/>
    <w:rPr>
      <w:i/>
      <w:iCs/>
    </w:rPr>
  </w:style>
  <w:style w:type="paragraph" w:styleId="TOCHeading">
    <w:name w:val="TOC Heading"/>
    <w:basedOn w:val="Heading1"/>
    <w:next w:val="Normal"/>
    <w:uiPriority w:val="39"/>
    <w:unhideWhenUsed/>
    <w:qFormat/>
    <w:rsid w:val="00C104D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104D5"/>
    <w:pPr>
      <w:spacing w:after="100"/>
    </w:pPr>
  </w:style>
  <w:style w:type="paragraph" w:styleId="TOC2">
    <w:name w:val="toc 2"/>
    <w:basedOn w:val="Normal"/>
    <w:next w:val="Normal"/>
    <w:autoRedefine/>
    <w:uiPriority w:val="39"/>
    <w:unhideWhenUsed/>
    <w:rsid w:val="00C8234D"/>
    <w:pPr>
      <w:tabs>
        <w:tab w:val="right" w:leader="dot" w:pos="9016"/>
      </w:tabs>
      <w:spacing w:after="100"/>
      <w:ind w:left="240"/>
    </w:pPr>
    <w:rPr>
      <w:rFonts w:ascii="Arial" w:eastAsia="Times New Roman" w:hAnsi="Arial" w:cs="Arial"/>
      <w:b/>
      <w:bCs/>
      <w:noProof/>
      <w:sz w:val="22"/>
      <w:szCs w:val="22"/>
      <w:lang w:eastAsia="en-GB"/>
    </w:rPr>
  </w:style>
  <w:style w:type="paragraph" w:styleId="TOC3">
    <w:name w:val="toc 3"/>
    <w:basedOn w:val="Normal"/>
    <w:next w:val="Normal"/>
    <w:autoRedefine/>
    <w:uiPriority w:val="39"/>
    <w:unhideWhenUsed/>
    <w:rsid w:val="00C104D5"/>
    <w:pPr>
      <w:spacing w:after="100"/>
      <w:ind w:left="480"/>
    </w:pPr>
  </w:style>
  <w:style w:type="character" w:styleId="Hyperlink">
    <w:name w:val="Hyperlink"/>
    <w:basedOn w:val="DefaultParagraphFont"/>
    <w:uiPriority w:val="99"/>
    <w:unhideWhenUsed/>
    <w:rsid w:val="00C104D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290386">
      <w:bodyDiv w:val="1"/>
      <w:marLeft w:val="0"/>
      <w:marRight w:val="0"/>
      <w:marTop w:val="0"/>
      <w:marBottom w:val="0"/>
      <w:divBdr>
        <w:top w:val="none" w:sz="0" w:space="0" w:color="auto"/>
        <w:left w:val="none" w:sz="0" w:space="0" w:color="auto"/>
        <w:bottom w:val="none" w:sz="0" w:space="0" w:color="auto"/>
        <w:right w:val="none" w:sz="0" w:space="0" w:color="auto"/>
      </w:divBdr>
    </w:div>
    <w:div w:id="230581237">
      <w:bodyDiv w:val="1"/>
      <w:marLeft w:val="0"/>
      <w:marRight w:val="0"/>
      <w:marTop w:val="0"/>
      <w:marBottom w:val="0"/>
      <w:divBdr>
        <w:top w:val="none" w:sz="0" w:space="0" w:color="auto"/>
        <w:left w:val="none" w:sz="0" w:space="0" w:color="auto"/>
        <w:bottom w:val="none" w:sz="0" w:space="0" w:color="auto"/>
        <w:right w:val="none" w:sz="0" w:space="0" w:color="auto"/>
      </w:divBdr>
    </w:div>
    <w:div w:id="234632260">
      <w:bodyDiv w:val="1"/>
      <w:marLeft w:val="0"/>
      <w:marRight w:val="0"/>
      <w:marTop w:val="0"/>
      <w:marBottom w:val="0"/>
      <w:divBdr>
        <w:top w:val="none" w:sz="0" w:space="0" w:color="auto"/>
        <w:left w:val="none" w:sz="0" w:space="0" w:color="auto"/>
        <w:bottom w:val="none" w:sz="0" w:space="0" w:color="auto"/>
        <w:right w:val="none" w:sz="0" w:space="0" w:color="auto"/>
      </w:divBdr>
    </w:div>
    <w:div w:id="356977199">
      <w:bodyDiv w:val="1"/>
      <w:marLeft w:val="0"/>
      <w:marRight w:val="0"/>
      <w:marTop w:val="0"/>
      <w:marBottom w:val="0"/>
      <w:divBdr>
        <w:top w:val="none" w:sz="0" w:space="0" w:color="auto"/>
        <w:left w:val="none" w:sz="0" w:space="0" w:color="auto"/>
        <w:bottom w:val="none" w:sz="0" w:space="0" w:color="auto"/>
        <w:right w:val="none" w:sz="0" w:space="0" w:color="auto"/>
      </w:divBdr>
    </w:div>
    <w:div w:id="381557194">
      <w:bodyDiv w:val="1"/>
      <w:marLeft w:val="0"/>
      <w:marRight w:val="0"/>
      <w:marTop w:val="0"/>
      <w:marBottom w:val="0"/>
      <w:divBdr>
        <w:top w:val="none" w:sz="0" w:space="0" w:color="auto"/>
        <w:left w:val="none" w:sz="0" w:space="0" w:color="auto"/>
        <w:bottom w:val="none" w:sz="0" w:space="0" w:color="auto"/>
        <w:right w:val="none" w:sz="0" w:space="0" w:color="auto"/>
      </w:divBdr>
    </w:div>
    <w:div w:id="387608678">
      <w:bodyDiv w:val="1"/>
      <w:marLeft w:val="0"/>
      <w:marRight w:val="0"/>
      <w:marTop w:val="0"/>
      <w:marBottom w:val="0"/>
      <w:divBdr>
        <w:top w:val="none" w:sz="0" w:space="0" w:color="auto"/>
        <w:left w:val="none" w:sz="0" w:space="0" w:color="auto"/>
        <w:bottom w:val="none" w:sz="0" w:space="0" w:color="auto"/>
        <w:right w:val="none" w:sz="0" w:space="0" w:color="auto"/>
      </w:divBdr>
    </w:div>
    <w:div w:id="465780019">
      <w:bodyDiv w:val="1"/>
      <w:marLeft w:val="0"/>
      <w:marRight w:val="0"/>
      <w:marTop w:val="0"/>
      <w:marBottom w:val="0"/>
      <w:divBdr>
        <w:top w:val="none" w:sz="0" w:space="0" w:color="auto"/>
        <w:left w:val="none" w:sz="0" w:space="0" w:color="auto"/>
        <w:bottom w:val="none" w:sz="0" w:space="0" w:color="auto"/>
        <w:right w:val="none" w:sz="0" w:space="0" w:color="auto"/>
      </w:divBdr>
      <w:divsChild>
        <w:div w:id="21042571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94883949">
      <w:bodyDiv w:val="1"/>
      <w:marLeft w:val="0"/>
      <w:marRight w:val="0"/>
      <w:marTop w:val="0"/>
      <w:marBottom w:val="0"/>
      <w:divBdr>
        <w:top w:val="none" w:sz="0" w:space="0" w:color="auto"/>
        <w:left w:val="none" w:sz="0" w:space="0" w:color="auto"/>
        <w:bottom w:val="none" w:sz="0" w:space="0" w:color="auto"/>
        <w:right w:val="none" w:sz="0" w:space="0" w:color="auto"/>
      </w:divBdr>
    </w:div>
    <w:div w:id="534777385">
      <w:bodyDiv w:val="1"/>
      <w:marLeft w:val="0"/>
      <w:marRight w:val="0"/>
      <w:marTop w:val="0"/>
      <w:marBottom w:val="0"/>
      <w:divBdr>
        <w:top w:val="none" w:sz="0" w:space="0" w:color="auto"/>
        <w:left w:val="none" w:sz="0" w:space="0" w:color="auto"/>
        <w:bottom w:val="none" w:sz="0" w:space="0" w:color="auto"/>
        <w:right w:val="none" w:sz="0" w:space="0" w:color="auto"/>
      </w:divBdr>
    </w:div>
    <w:div w:id="539518943">
      <w:bodyDiv w:val="1"/>
      <w:marLeft w:val="0"/>
      <w:marRight w:val="0"/>
      <w:marTop w:val="0"/>
      <w:marBottom w:val="0"/>
      <w:divBdr>
        <w:top w:val="none" w:sz="0" w:space="0" w:color="auto"/>
        <w:left w:val="none" w:sz="0" w:space="0" w:color="auto"/>
        <w:bottom w:val="none" w:sz="0" w:space="0" w:color="auto"/>
        <w:right w:val="none" w:sz="0" w:space="0" w:color="auto"/>
      </w:divBdr>
    </w:div>
    <w:div w:id="588924154">
      <w:bodyDiv w:val="1"/>
      <w:marLeft w:val="0"/>
      <w:marRight w:val="0"/>
      <w:marTop w:val="0"/>
      <w:marBottom w:val="0"/>
      <w:divBdr>
        <w:top w:val="none" w:sz="0" w:space="0" w:color="auto"/>
        <w:left w:val="none" w:sz="0" w:space="0" w:color="auto"/>
        <w:bottom w:val="none" w:sz="0" w:space="0" w:color="auto"/>
        <w:right w:val="none" w:sz="0" w:space="0" w:color="auto"/>
      </w:divBdr>
    </w:div>
    <w:div w:id="720397424">
      <w:bodyDiv w:val="1"/>
      <w:marLeft w:val="0"/>
      <w:marRight w:val="0"/>
      <w:marTop w:val="0"/>
      <w:marBottom w:val="0"/>
      <w:divBdr>
        <w:top w:val="none" w:sz="0" w:space="0" w:color="auto"/>
        <w:left w:val="none" w:sz="0" w:space="0" w:color="auto"/>
        <w:bottom w:val="none" w:sz="0" w:space="0" w:color="auto"/>
        <w:right w:val="none" w:sz="0" w:space="0" w:color="auto"/>
      </w:divBdr>
      <w:divsChild>
        <w:div w:id="13252798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1948414">
      <w:bodyDiv w:val="1"/>
      <w:marLeft w:val="0"/>
      <w:marRight w:val="0"/>
      <w:marTop w:val="0"/>
      <w:marBottom w:val="0"/>
      <w:divBdr>
        <w:top w:val="none" w:sz="0" w:space="0" w:color="auto"/>
        <w:left w:val="none" w:sz="0" w:space="0" w:color="auto"/>
        <w:bottom w:val="none" w:sz="0" w:space="0" w:color="auto"/>
        <w:right w:val="none" w:sz="0" w:space="0" w:color="auto"/>
      </w:divBdr>
    </w:div>
    <w:div w:id="733047892">
      <w:bodyDiv w:val="1"/>
      <w:marLeft w:val="0"/>
      <w:marRight w:val="0"/>
      <w:marTop w:val="0"/>
      <w:marBottom w:val="0"/>
      <w:divBdr>
        <w:top w:val="none" w:sz="0" w:space="0" w:color="auto"/>
        <w:left w:val="none" w:sz="0" w:space="0" w:color="auto"/>
        <w:bottom w:val="none" w:sz="0" w:space="0" w:color="auto"/>
        <w:right w:val="none" w:sz="0" w:space="0" w:color="auto"/>
      </w:divBdr>
    </w:div>
    <w:div w:id="769157027">
      <w:bodyDiv w:val="1"/>
      <w:marLeft w:val="0"/>
      <w:marRight w:val="0"/>
      <w:marTop w:val="0"/>
      <w:marBottom w:val="0"/>
      <w:divBdr>
        <w:top w:val="none" w:sz="0" w:space="0" w:color="auto"/>
        <w:left w:val="none" w:sz="0" w:space="0" w:color="auto"/>
        <w:bottom w:val="none" w:sz="0" w:space="0" w:color="auto"/>
        <w:right w:val="none" w:sz="0" w:space="0" w:color="auto"/>
      </w:divBdr>
      <w:divsChild>
        <w:div w:id="171577154">
          <w:marLeft w:val="0"/>
          <w:marRight w:val="0"/>
          <w:marTop w:val="0"/>
          <w:marBottom w:val="0"/>
          <w:divBdr>
            <w:top w:val="none" w:sz="0" w:space="0" w:color="auto"/>
            <w:left w:val="none" w:sz="0" w:space="0" w:color="auto"/>
            <w:bottom w:val="none" w:sz="0" w:space="0" w:color="auto"/>
            <w:right w:val="none" w:sz="0" w:space="0" w:color="auto"/>
          </w:divBdr>
        </w:div>
      </w:divsChild>
    </w:div>
    <w:div w:id="772869528">
      <w:bodyDiv w:val="1"/>
      <w:marLeft w:val="0"/>
      <w:marRight w:val="0"/>
      <w:marTop w:val="0"/>
      <w:marBottom w:val="0"/>
      <w:divBdr>
        <w:top w:val="none" w:sz="0" w:space="0" w:color="auto"/>
        <w:left w:val="none" w:sz="0" w:space="0" w:color="auto"/>
        <w:bottom w:val="none" w:sz="0" w:space="0" w:color="auto"/>
        <w:right w:val="none" w:sz="0" w:space="0" w:color="auto"/>
      </w:divBdr>
    </w:div>
    <w:div w:id="783772109">
      <w:bodyDiv w:val="1"/>
      <w:marLeft w:val="0"/>
      <w:marRight w:val="0"/>
      <w:marTop w:val="0"/>
      <w:marBottom w:val="0"/>
      <w:divBdr>
        <w:top w:val="none" w:sz="0" w:space="0" w:color="auto"/>
        <w:left w:val="none" w:sz="0" w:space="0" w:color="auto"/>
        <w:bottom w:val="none" w:sz="0" w:space="0" w:color="auto"/>
        <w:right w:val="none" w:sz="0" w:space="0" w:color="auto"/>
      </w:divBdr>
    </w:div>
    <w:div w:id="830488736">
      <w:bodyDiv w:val="1"/>
      <w:marLeft w:val="0"/>
      <w:marRight w:val="0"/>
      <w:marTop w:val="0"/>
      <w:marBottom w:val="0"/>
      <w:divBdr>
        <w:top w:val="none" w:sz="0" w:space="0" w:color="auto"/>
        <w:left w:val="none" w:sz="0" w:space="0" w:color="auto"/>
        <w:bottom w:val="none" w:sz="0" w:space="0" w:color="auto"/>
        <w:right w:val="none" w:sz="0" w:space="0" w:color="auto"/>
      </w:divBdr>
    </w:div>
    <w:div w:id="839197737">
      <w:bodyDiv w:val="1"/>
      <w:marLeft w:val="0"/>
      <w:marRight w:val="0"/>
      <w:marTop w:val="0"/>
      <w:marBottom w:val="0"/>
      <w:divBdr>
        <w:top w:val="none" w:sz="0" w:space="0" w:color="auto"/>
        <w:left w:val="none" w:sz="0" w:space="0" w:color="auto"/>
        <w:bottom w:val="none" w:sz="0" w:space="0" w:color="auto"/>
        <w:right w:val="none" w:sz="0" w:space="0" w:color="auto"/>
      </w:divBdr>
    </w:div>
    <w:div w:id="844250167">
      <w:bodyDiv w:val="1"/>
      <w:marLeft w:val="0"/>
      <w:marRight w:val="0"/>
      <w:marTop w:val="0"/>
      <w:marBottom w:val="0"/>
      <w:divBdr>
        <w:top w:val="none" w:sz="0" w:space="0" w:color="auto"/>
        <w:left w:val="none" w:sz="0" w:space="0" w:color="auto"/>
        <w:bottom w:val="none" w:sz="0" w:space="0" w:color="auto"/>
        <w:right w:val="none" w:sz="0" w:space="0" w:color="auto"/>
      </w:divBdr>
    </w:div>
    <w:div w:id="1007485822">
      <w:bodyDiv w:val="1"/>
      <w:marLeft w:val="0"/>
      <w:marRight w:val="0"/>
      <w:marTop w:val="0"/>
      <w:marBottom w:val="0"/>
      <w:divBdr>
        <w:top w:val="none" w:sz="0" w:space="0" w:color="auto"/>
        <w:left w:val="none" w:sz="0" w:space="0" w:color="auto"/>
        <w:bottom w:val="none" w:sz="0" w:space="0" w:color="auto"/>
        <w:right w:val="none" w:sz="0" w:space="0" w:color="auto"/>
      </w:divBdr>
    </w:div>
    <w:div w:id="1158690508">
      <w:bodyDiv w:val="1"/>
      <w:marLeft w:val="0"/>
      <w:marRight w:val="0"/>
      <w:marTop w:val="0"/>
      <w:marBottom w:val="0"/>
      <w:divBdr>
        <w:top w:val="none" w:sz="0" w:space="0" w:color="auto"/>
        <w:left w:val="none" w:sz="0" w:space="0" w:color="auto"/>
        <w:bottom w:val="none" w:sz="0" w:space="0" w:color="auto"/>
        <w:right w:val="none" w:sz="0" w:space="0" w:color="auto"/>
      </w:divBdr>
    </w:div>
    <w:div w:id="1169634503">
      <w:bodyDiv w:val="1"/>
      <w:marLeft w:val="0"/>
      <w:marRight w:val="0"/>
      <w:marTop w:val="0"/>
      <w:marBottom w:val="0"/>
      <w:divBdr>
        <w:top w:val="none" w:sz="0" w:space="0" w:color="auto"/>
        <w:left w:val="none" w:sz="0" w:space="0" w:color="auto"/>
        <w:bottom w:val="none" w:sz="0" w:space="0" w:color="auto"/>
        <w:right w:val="none" w:sz="0" w:space="0" w:color="auto"/>
      </w:divBdr>
    </w:div>
    <w:div w:id="1266039706">
      <w:bodyDiv w:val="1"/>
      <w:marLeft w:val="0"/>
      <w:marRight w:val="0"/>
      <w:marTop w:val="0"/>
      <w:marBottom w:val="0"/>
      <w:divBdr>
        <w:top w:val="none" w:sz="0" w:space="0" w:color="auto"/>
        <w:left w:val="none" w:sz="0" w:space="0" w:color="auto"/>
        <w:bottom w:val="none" w:sz="0" w:space="0" w:color="auto"/>
        <w:right w:val="none" w:sz="0" w:space="0" w:color="auto"/>
      </w:divBdr>
    </w:div>
    <w:div w:id="1356882011">
      <w:bodyDiv w:val="1"/>
      <w:marLeft w:val="0"/>
      <w:marRight w:val="0"/>
      <w:marTop w:val="0"/>
      <w:marBottom w:val="0"/>
      <w:divBdr>
        <w:top w:val="none" w:sz="0" w:space="0" w:color="auto"/>
        <w:left w:val="none" w:sz="0" w:space="0" w:color="auto"/>
        <w:bottom w:val="none" w:sz="0" w:space="0" w:color="auto"/>
        <w:right w:val="none" w:sz="0" w:space="0" w:color="auto"/>
      </w:divBdr>
      <w:divsChild>
        <w:div w:id="2075884573">
          <w:marLeft w:val="0"/>
          <w:marRight w:val="0"/>
          <w:marTop w:val="0"/>
          <w:marBottom w:val="0"/>
          <w:divBdr>
            <w:top w:val="none" w:sz="0" w:space="0" w:color="auto"/>
            <w:left w:val="none" w:sz="0" w:space="0" w:color="auto"/>
            <w:bottom w:val="none" w:sz="0" w:space="0" w:color="auto"/>
            <w:right w:val="none" w:sz="0" w:space="0" w:color="auto"/>
          </w:divBdr>
          <w:divsChild>
            <w:div w:id="89905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506187">
      <w:bodyDiv w:val="1"/>
      <w:marLeft w:val="0"/>
      <w:marRight w:val="0"/>
      <w:marTop w:val="0"/>
      <w:marBottom w:val="0"/>
      <w:divBdr>
        <w:top w:val="none" w:sz="0" w:space="0" w:color="auto"/>
        <w:left w:val="none" w:sz="0" w:space="0" w:color="auto"/>
        <w:bottom w:val="none" w:sz="0" w:space="0" w:color="auto"/>
        <w:right w:val="none" w:sz="0" w:space="0" w:color="auto"/>
      </w:divBdr>
    </w:div>
    <w:div w:id="1417508560">
      <w:bodyDiv w:val="1"/>
      <w:marLeft w:val="0"/>
      <w:marRight w:val="0"/>
      <w:marTop w:val="0"/>
      <w:marBottom w:val="0"/>
      <w:divBdr>
        <w:top w:val="none" w:sz="0" w:space="0" w:color="auto"/>
        <w:left w:val="none" w:sz="0" w:space="0" w:color="auto"/>
        <w:bottom w:val="none" w:sz="0" w:space="0" w:color="auto"/>
        <w:right w:val="none" w:sz="0" w:space="0" w:color="auto"/>
      </w:divBdr>
    </w:div>
    <w:div w:id="1434670111">
      <w:bodyDiv w:val="1"/>
      <w:marLeft w:val="0"/>
      <w:marRight w:val="0"/>
      <w:marTop w:val="0"/>
      <w:marBottom w:val="0"/>
      <w:divBdr>
        <w:top w:val="none" w:sz="0" w:space="0" w:color="auto"/>
        <w:left w:val="none" w:sz="0" w:space="0" w:color="auto"/>
        <w:bottom w:val="none" w:sz="0" w:space="0" w:color="auto"/>
        <w:right w:val="none" w:sz="0" w:space="0" w:color="auto"/>
      </w:divBdr>
    </w:div>
    <w:div w:id="1494905142">
      <w:bodyDiv w:val="1"/>
      <w:marLeft w:val="0"/>
      <w:marRight w:val="0"/>
      <w:marTop w:val="0"/>
      <w:marBottom w:val="0"/>
      <w:divBdr>
        <w:top w:val="none" w:sz="0" w:space="0" w:color="auto"/>
        <w:left w:val="none" w:sz="0" w:space="0" w:color="auto"/>
        <w:bottom w:val="none" w:sz="0" w:space="0" w:color="auto"/>
        <w:right w:val="none" w:sz="0" w:space="0" w:color="auto"/>
      </w:divBdr>
    </w:div>
    <w:div w:id="1519614376">
      <w:bodyDiv w:val="1"/>
      <w:marLeft w:val="0"/>
      <w:marRight w:val="0"/>
      <w:marTop w:val="0"/>
      <w:marBottom w:val="0"/>
      <w:divBdr>
        <w:top w:val="none" w:sz="0" w:space="0" w:color="auto"/>
        <w:left w:val="none" w:sz="0" w:space="0" w:color="auto"/>
        <w:bottom w:val="none" w:sz="0" w:space="0" w:color="auto"/>
        <w:right w:val="none" w:sz="0" w:space="0" w:color="auto"/>
      </w:divBdr>
    </w:div>
    <w:div w:id="1539470583">
      <w:bodyDiv w:val="1"/>
      <w:marLeft w:val="0"/>
      <w:marRight w:val="0"/>
      <w:marTop w:val="0"/>
      <w:marBottom w:val="0"/>
      <w:divBdr>
        <w:top w:val="none" w:sz="0" w:space="0" w:color="auto"/>
        <w:left w:val="none" w:sz="0" w:space="0" w:color="auto"/>
        <w:bottom w:val="none" w:sz="0" w:space="0" w:color="auto"/>
        <w:right w:val="none" w:sz="0" w:space="0" w:color="auto"/>
      </w:divBdr>
    </w:div>
    <w:div w:id="1622347007">
      <w:bodyDiv w:val="1"/>
      <w:marLeft w:val="0"/>
      <w:marRight w:val="0"/>
      <w:marTop w:val="0"/>
      <w:marBottom w:val="0"/>
      <w:divBdr>
        <w:top w:val="none" w:sz="0" w:space="0" w:color="auto"/>
        <w:left w:val="none" w:sz="0" w:space="0" w:color="auto"/>
        <w:bottom w:val="none" w:sz="0" w:space="0" w:color="auto"/>
        <w:right w:val="none" w:sz="0" w:space="0" w:color="auto"/>
      </w:divBdr>
    </w:div>
    <w:div w:id="1645037426">
      <w:bodyDiv w:val="1"/>
      <w:marLeft w:val="0"/>
      <w:marRight w:val="0"/>
      <w:marTop w:val="0"/>
      <w:marBottom w:val="0"/>
      <w:divBdr>
        <w:top w:val="none" w:sz="0" w:space="0" w:color="auto"/>
        <w:left w:val="none" w:sz="0" w:space="0" w:color="auto"/>
        <w:bottom w:val="none" w:sz="0" w:space="0" w:color="auto"/>
        <w:right w:val="none" w:sz="0" w:space="0" w:color="auto"/>
      </w:divBdr>
    </w:div>
    <w:div w:id="1687512555">
      <w:bodyDiv w:val="1"/>
      <w:marLeft w:val="0"/>
      <w:marRight w:val="0"/>
      <w:marTop w:val="0"/>
      <w:marBottom w:val="0"/>
      <w:divBdr>
        <w:top w:val="none" w:sz="0" w:space="0" w:color="auto"/>
        <w:left w:val="none" w:sz="0" w:space="0" w:color="auto"/>
        <w:bottom w:val="none" w:sz="0" w:space="0" w:color="auto"/>
        <w:right w:val="none" w:sz="0" w:space="0" w:color="auto"/>
      </w:divBdr>
    </w:div>
    <w:div w:id="1690449005">
      <w:bodyDiv w:val="1"/>
      <w:marLeft w:val="0"/>
      <w:marRight w:val="0"/>
      <w:marTop w:val="0"/>
      <w:marBottom w:val="0"/>
      <w:divBdr>
        <w:top w:val="none" w:sz="0" w:space="0" w:color="auto"/>
        <w:left w:val="none" w:sz="0" w:space="0" w:color="auto"/>
        <w:bottom w:val="none" w:sz="0" w:space="0" w:color="auto"/>
        <w:right w:val="none" w:sz="0" w:space="0" w:color="auto"/>
      </w:divBdr>
    </w:div>
    <w:div w:id="1700547533">
      <w:bodyDiv w:val="1"/>
      <w:marLeft w:val="0"/>
      <w:marRight w:val="0"/>
      <w:marTop w:val="0"/>
      <w:marBottom w:val="0"/>
      <w:divBdr>
        <w:top w:val="none" w:sz="0" w:space="0" w:color="auto"/>
        <w:left w:val="none" w:sz="0" w:space="0" w:color="auto"/>
        <w:bottom w:val="none" w:sz="0" w:space="0" w:color="auto"/>
        <w:right w:val="none" w:sz="0" w:space="0" w:color="auto"/>
      </w:divBdr>
    </w:div>
    <w:div w:id="1740245359">
      <w:bodyDiv w:val="1"/>
      <w:marLeft w:val="0"/>
      <w:marRight w:val="0"/>
      <w:marTop w:val="0"/>
      <w:marBottom w:val="0"/>
      <w:divBdr>
        <w:top w:val="none" w:sz="0" w:space="0" w:color="auto"/>
        <w:left w:val="none" w:sz="0" w:space="0" w:color="auto"/>
        <w:bottom w:val="none" w:sz="0" w:space="0" w:color="auto"/>
        <w:right w:val="none" w:sz="0" w:space="0" w:color="auto"/>
      </w:divBdr>
    </w:div>
    <w:div w:id="1751464404">
      <w:bodyDiv w:val="1"/>
      <w:marLeft w:val="0"/>
      <w:marRight w:val="0"/>
      <w:marTop w:val="0"/>
      <w:marBottom w:val="0"/>
      <w:divBdr>
        <w:top w:val="none" w:sz="0" w:space="0" w:color="auto"/>
        <w:left w:val="none" w:sz="0" w:space="0" w:color="auto"/>
        <w:bottom w:val="none" w:sz="0" w:space="0" w:color="auto"/>
        <w:right w:val="none" w:sz="0" w:space="0" w:color="auto"/>
      </w:divBdr>
    </w:div>
    <w:div w:id="1841044682">
      <w:bodyDiv w:val="1"/>
      <w:marLeft w:val="0"/>
      <w:marRight w:val="0"/>
      <w:marTop w:val="0"/>
      <w:marBottom w:val="0"/>
      <w:divBdr>
        <w:top w:val="none" w:sz="0" w:space="0" w:color="auto"/>
        <w:left w:val="none" w:sz="0" w:space="0" w:color="auto"/>
        <w:bottom w:val="none" w:sz="0" w:space="0" w:color="auto"/>
        <w:right w:val="none" w:sz="0" w:space="0" w:color="auto"/>
      </w:divBdr>
      <w:divsChild>
        <w:div w:id="20176829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63742403">
      <w:bodyDiv w:val="1"/>
      <w:marLeft w:val="0"/>
      <w:marRight w:val="0"/>
      <w:marTop w:val="0"/>
      <w:marBottom w:val="0"/>
      <w:divBdr>
        <w:top w:val="none" w:sz="0" w:space="0" w:color="auto"/>
        <w:left w:val="none" w:sz="0" w:space="0" w:color="auto"/>
        <w:bottom w:val="none" w:sz="0" w:space="0" w:color="auto"/>
        <w:right w:val="none" w:sz="0" w:space="0" w:color="auto"/>
      </w:divBdr>
    </w:div>
    <w:div w:id="1919828005">
      <w:bodyDiv w:val="1"/>
      <w:marLeft w:val="0"/>
      <w:marRight w:val="0"/>
      <w:marTop w:val="0"/>
      <w:marBottom w:val="0"/>
      <w:divBdr>
        <w:top w:val="none" w:sz="0" w:space="0" w:color="auto"/>
        <w:left w:val="none" w:sz="0" w:space="0" w:color="auto"/>
        <w:bottom w:val="none" w:sz="0" w:space="0" w:color="auto"/>
        <w:right w:val="none" w:sz="0" w:space="0" w:color="auto"/>
      </w:divBdr>
    </w:div>
    <w:div w:id="1921332849">
      <w:bodyDiv w:val="1"/>
      <w:marLeft w:val="0"/>
      <w:marRight w:val="0"/>
      <w:marTop w:val="0"/>
      <w:marBottom w:val="0"/>
      <w:divBdr>
        <w:top w:val="none" w:sz="0" w:space="0" w:color="auto"/>
        <w:left w:val="none" w:sz="0" w:space="0" w:color="auto"/>
        <w:bottom w:val="none" w:sz="0" w:space="0" w:color="auto"/>
        <w:right w:val="none" w:sz="0" w:space="0" w:color="auto"/>
      </w:divBdr>
    </w:div>
    <w:div w:id="1934434443">
      <w:bodyDiv w:val="1"/>
      <w:marLeft w:val="0"/>
      <w:marRight w:val="0"/>
      <w:marTop w:val="0"/>
      <w:marBottom w:val="0"/>
      <w:divBdr>
        <w:top w:val="none" w:sz="0" w:space="0" w:color="auto"/>
        <w:left w:val="none" w:sz="0" w:space="0" w:color="auto"/>
        <w:bottom w:val="none" w:sz="0" w:space="0" w:color="auto"/>
        <w:right w:val="none" w:sz="0" w:space="0" w:color="auto"/>
      </w:divBdr>
    </w:div>
    <w:div w:id="1964535128">
      <w:bodyDiv w:val="1"/>
      <w:marLeft w:val="0"/>
      <w:marRight w:val="0"/>
      <w:marTop w:val="0"/>
      <w:marBottom w:val="0"/>
      <w:divBdr>
        <w:top w:val="none" w:sz="0" w:space="0" w:color="auto"/>
        <w:left w:val="none" w:sz="0" w:space="0" w:color="auto"/>
        <w:bottom w:val="none" w:sz="0" w:space="0" w:color="auto"/>
        <w:right w:val="none" w:sz="0" w:space="0" w:color="auto"/>
      </w:divBdr>
    </w:div>
    <w:div w:id="1998263854">
      <w:bodyDiv w:val="1"/>
      <w:marLeft w:val="0"/>
      <w:marRight w:val="0"/>
      <w:marTop w:val="0"/>
      <w:marBottom w:val="0"/>
      <w:divBdr>
        <w:top w:val="none" w:sz="0" w:space="0" w:color="auto"/>
        <w:left w:val="none" w:sz="0" w:space="0" w:color="auto"/>
        <w:bottom w:val="none" w:sz="0" w:space="0" w:color="auto"/>
        <w:right w:val="none" w:sz="0" w:space="0" w:color="auto"/>
      </w:divBdr>
    </w:div>
    <w:div w:id="2017219857">
      <w:bodyDiv w:val="1"/>
      <w:marLeft w:val="0"/>
      <w:marRight w:val="0"/>
      <w:marTop w:val="0"/>
      <w:marBottom w:val="0"/>
      <w:divBdr>
        <w:top w:val="none" w:sz="0" w:space="0" w:color="auto"/>
        <w:left w:val="none" w:sz="0" w:space="0" w:color="auto"/>
        <w:bottom w:val="none" w:sz="0" w:space="0" w:color="auto"/>
        <w:right w:val="none" w:sz="0" w:space="0" w:color="auto"/>
      </w:divBdr>
    </w:div>
    <w:div w:id="2062554894">
      <w:bodyDiv w:val="1"/>
      <w:marLeft w:val="0"/>
      <w:marRight w:val="0"/>
      <w:marTop w:val="0"/>
      <w:marBottom w:val="0"/>
      <w:divBdr>
        <w:top w:val="none" w:sz="0" w:space="0" w:color="auto"/>
        <w:left w:val="none" w:sz="0" w:space="0" w:color="auto"/>
        <w:bottom w:val="none" w:sz="0" w:space="0" w:color="auto"/>
        <w:right w:val="none" w:sz="0" w:space="0" w:color="auto"/>
      </w:divBdr>
    </w:div>
    <w:div w:id="2075007672">
      <w:bodyDiv w:val="1"/>
      <w:marLeft w:val="0"/>
      <w:marRight w:val="0"/>
      <w:marTop w:val="0"/>
      <w:marBottom w:val="0"/>
      <w:divBdr>
        <w:top w:val="none" w:sz="0" w:space="0" w:color="auto"/>
        <w:left w:val="none" w:sz="0" w:space="0" w:color="auto"/>
        <w:bottom w:val="none" w:sz="0" w:space="0" w:color="auto"/>
        <w:right w:val="none" w:sz="0" w:space="0" w:color="auto"/>
      </w:divBdr>
    </w:div>
    <w:div w:id="2100060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customXml" Target="ink/ink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7-23T11:25:09.866"/>
    </inkml:context>
    <inkml:brush xml:id="br0">
      <inkml:brushProperty name="width" value="0.025" units="cm"/>
      <inkml:brushProperty name="height" value="0.025" units="cm"/>
    </inkml:brush>
  </inkml:definitions>
  <inkml:trace contextRef="#ctx0" brushRef="#br0">1043 4369 19124 0 0,'6'-23'171'0'0,"-1"-1"1"0"0,-1 0-1 0 0,-1 0 0 0 0,-1-48 0 0 0,-16-98 337 0 0,12 150-329 0 0,-48-381 2557 0 0,-24 4-2166 0 0,-116-282 1332 0 0,81 261-872 0 0,-11-30-418 0 0,38 212-543 0 0,-39-122 14 0 0,117 337-45 0 0,1 1 1 0 0,0 0 0 0 0,2-1 0 0 0,0 1 0 0 0,1 0 0 0 0,4-25 0 0 0,-1-54-13 0 0,-5 80-255 0 0,-2 0 0 0 0,0 0 0 0 0,-1 1 0 0 0,0-1 0 0 0,-2 1 0 0 0,-12-24 0 0 0,10 22 142 0 0,0-1 0 0 0,2 0 1 0 0,0-1-1 0 0,-4-26 1 0 0,3 14 71 0 0,0 0 0 0 0,-23-56 0 0 0,17 49 23 0 0,8 27-54 0 0,1 1 0 0 0,-2 0 0 0 0,0 0 0 0 0,0 0 0 0 0,-2 1 0 0 0,1 0 1 0 0,-15-15-1 0 0,20 23 100 0 0,0 0 0 0 0,1 0 1 0 0,0 0-1 0 0,0-1 0 0 0,0 0 1 0 0,0 1-1 0 0,1-1 0 0 0,-1 0 0 0 0,1 1 1 0 0,0-1-1 0 0,1 0 0 0 0,-1 0 1 0 0,1 0-1 0 0,0 0 0 0 0,0 0 0 0 0,2-7 1 0 0,-2-9 426 0 0,0 18-518 0 0,0 1-1 0 0,-1-1 1 0 0,1 0-1 0 0,-1 0 0 0 0,0 0 1 0 0,0 0-1 0 0,0 1 1 0 0,-1-4-1 0 0,-25-36-4829 0 0,14 23 1808 0 0,6 8-1837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1170CC-5F5D-414E-949A-4BC2A5CB3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2228</TotalTime>
  <Pages>30</Pages>
  <Words>8749</Words>
  <Characters>49871</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Inasescu</dc:creator>
  <cp:keywords/>
  <dc:description/>
  <cp:lastModifiedBy>Alexandru Inasescu</cp:lastModifiedBy>
  <cp:revision>226</cp:revision>
  <dcterms:created xsi:type="dcterms:W3CDTF">2025-06-25T14:53:00Z</dcterms:created>
  <dcterms:modified xsi:type="dcterms:W3CDTF">2025-07-30T20:23:00Z</dcterms:modified>
</cp:coreProperties>
</file>