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24DCA" w14:textId="08205271" w:rsidR="00F7637B" w:rsidRPr="00EA70AD" w:rsidRDefault="000A5B4A" w:rsidP="005F01C3">
      <w:pPr>
        <w:spacing w:line="360" w:lineRule="auto"/>
        <w:jc w:val="center"/>
        <w:rPr>
          <w:rFonts w:ascii="Times New Roman" w:hAnsi="Times New Roman" w:cs="Times New Roman"/>
          <w:b/>
          <w:sz w:val="24"/>
          <w:u w:val="single"/>
        </w:rPr>
      </w:pPr>
      <w:r>
        <w:rPr>
          <w:rFonts w:ascii="Times New Roman" w:hAnsi="Times New Roman" w:cs="Times New Roman"/>
          <w:b/>
          <w:sz w:val="24"/>
          <w:u w:val="single"/>
        </w:rPr>
        <w:t xml:space="preserve">How </w:t>
      </w:r>
      <w:r w:rsidR="00EA70AD">
        <w:rPr>
          <w:rFonts w:ascii="Times New Roman" w:hAnsi="Times New Roman" w:cs="Times New Roman"/>
          <w:b/>
          <w:sz w:val="24"/>
          <w:u w:val="single"/>
        </w:rPr>
        <w:t xml:space="preserve">has </w:t>
      </w:r>
      <w:r w:rsidR="00EA70AD">
        <w:rPr>
          <w:rFonts w:ascii="Times New Roman" w:hAnsi="Times New Roman" w:cs="Times New Roman"/>
          <w:b/>
          <w:i/>
          <w:sz w:val="24"/>
          <w:u w:val="single"/>
        </w:rPr>
        <w:t>300</w:t>
      </w:r>
      <w:r w:rsidR="00EA70AD">
        <w:rPr>
          <w:rFonts w:ascii="Times New Roman" w:hAnsi="Times New Roman" w:cs="Times New Roman"/>
          <w:b/>
          <w:sz w:val="24"/>
          <w:u w:val="single"/>
        </w:rPr>
        <w:t xml:space="preserve"> and the Persian Wars been used in The West to create a ‘Clash of Civilizations’ with The East, and how has this contributed to the rise of the </w:t>
      </w:r>
      <w:proofErr w:type="spellStart"/>
      <w:r w:rsidR="00EA70AD">
        <w:rPr>
          <w:rFonts w:ascii="Times New Roman" w:hAnsi="Times New Roman" w:cs="Times New Roman"/>
          <w:b/>
          <w:sz w:val="24"/>
          <w:u w:val="single"/>
        </w:rPr>
        <w:t>Identitarian</w:t>
      </w:r>
      <w:proofErr w:type="spellEnd"/>
      <w:r w:rsidR="00EA70AD">
        <w:rPr>
          <w:rFonts w:ascii="Times New Roman" w:hAnsi="Times New Roman" w:cs="Times New Roman"/>
          <w:b/>
          <w:sz w:val="24"/>
          <w:u w:val="single"/>
        </w:rPr>
        <w:t xml:space="preserve"> movement?</w:t>
      </w:r>
    </w:p>
    <w:p w14:paraId="519F027E" w14:textId="0F65F5B1" w:rsidR="00020C1C" w:rsidRDefault="00020C1C" w:rsidP="00A1139D">
      <w:pPr>
        <w:spacing w:line="360" w:lineRule="auto"/>
        <w:rPr>
          <w:rFonts w:ascii="Times New Roman" w:hAnsi="Times New Roman" w:cs="Times New Roman"/>
          <w:b/>
          <w:sz w:val="24"/>
          <w:u w:val="single"/>
        </w:rPr>
      </w:pPr>
    </w:p>
    <w:p w14:paraId="558F524E" w14:textId="7E8BF0C0" w:rsidR="00A1139D" w:rsidRPr="00A1139D" w:rsidRDefault="00A1139D" w:rsidP="00A1139D">
      <w:pPr>
        <w:spacing w:line="360" w:lineRule="auto"/>
        <w:rPr>
          <w:rFonts w:ascii="Times New Roman" w:hAnsi="Times New Roman" w:cs="Times New Roman"/>
          <w:b/>
          <w:i/>
          <w:sz w:val="24"/>
        </w:rPr>
      </w:pPr>
      <w:r>
        <w:rPr>
          <w:rFonts w:ascii="Times New Roman" w:hAnsi="Times New Roman" w:cs="Times New Roman"/>
          <w:b/>
          <w:i/>
          <w:sz w:val="24"/>
        </w:rPr>
        <w:t>Introduction:</w:t>
      </w:r>
    </w:p>
    <w:p w14:paraId="619909D6" w14:textId="7CA98E06" w:rsidR="00020C1C" w:rsidRDefault="00020C1C" w:rsidP="005F01C3">
      <w:pPr>
        <w:spacing w:line="360" w:lineRule="auto"/>
        <w:rPr>
          <w:rFonts w:ascii="Times New Roman" w:hAnsi="Times New Roman" w:cs="Times New Roman"/>
          <w:sz w:val="24"/>
        </w:rPr>
      </w:pPr>
      <w:r>
        <w:rPr>
          <w:rFonts w:ascii="Times New Roman" w:hAnsi="Times New Roman" w:cs="Times New Roman"/>
          <w:sz w:val="24"/>
        </w:rPr>
        <w:t xml:space="preserve">In 1993, the journal </w:t>
      </w:r>
      <w:r>
        <w:rPr>
          <w:rFonts w:ascii="Times New Roman" w:hAnsi="Times New Roman" w:cs="Times New Roman"/>
          <w:i/>
          <w:sz w:val="24"/>
        </w:rPr>
        <w:t>Foreign Affairs</w:t>
      </w:r>
      <w:r>
        <w:rPr>
          <w:rFonts w:ascii="Times New Roman" w:hAnsi="Times New Roman" w:cs="Times New Roman"/>
          <w:sz w:val="24"/>
        </w:rPr>
        <w:t xml:space="preserve"> published an article by Samuel P. Huntingdon, entitle ‘The Clash of Civilizations’ in which he proposed that in a post</w:t>
      </w:r>
      <w:r w:rsidR="008936DB">
        <w:rPr>
          <w:rFonts w:ascii="Times New Roman" w:hAnsi="Times New Roman" w:cs="Times New Roman"/>
          <w:sz w:val="24"/>
        </w:rPr>
        <w:t>-C</w:t>
      </w:r>
      <w:r>
        <w:rPr>
          <w:rFonts w:ascii="Times New Roman" w:hAnsi="Times New Roman" w:cs="Times New Roman"/>
          <w:sz w:val="24"/>
        </w:rPr>
        <w:t xml:space="preserve">old </w:t>
      </w:r>
      <w:r w:rsidR="008936DB">
        <w:rPr>
          <w:rFonts w:ascii="Times New Roman" w:hAnsi="Times New Roman" w:cs="Times New Roman"/>
          <w:sz w:val="24"/>
        </w:rPr>
        <w:t>W</w:t>
      </w:r>
      <w:r>
        <w:rPr>
          <w:rFonts w:ascii="Times New Roman" w:hAnsi="Times New Roman" w:cs="Times New Roman"/>
          <w:sz w:val="24"/>
        </w:rPr>
        <w:t>ar world, the cause of conflict would be the clashing of cultural and religious ideas which he called civilisations.</w:t>
      </w:r>
      <w:r>
        <w:rPr>
          <w:rStyle w:val="FootnoteReference"/>
          <w:rFonts w:ascii="Times New Roman" w:hAnsi="Times New Roman" w:cs="Times New Roman"/>
          <w:sz w:val="24"/>
        </w:rPr>
        <w:footnoteReference w:id="1"/>
      </w:r>
      <w:r>
        <w:rPr>
          <w:rFonts w:ascii="Times New Roman" w:hAnsi="Times New Roman" w:cs="Times New Roman"/>
          <w:sz w:val="24"/>
        </w:rPr>
        <w:t xml:space="preserve"> The responses that he met with following this highly controversial article, prompted him to further develop his ideas which he the published three years later in his now highly infamous book, </w:t>
      </w:r>
      <w:r>
        <w:rPr>
          <w:rFonts w:ascii="Times New Roman" w:hAnsi="Times New Roman" w:cs="Times New Roman"/>
          <w:i/>
          <w:sz w:val="24"/>
        </w:rPr>
        <w:t>The Clash of Civilizations and the Remaking of World Order</w:t>
      </w:r>
      <w:r>
        <w:rPr>
          <w:rFonts w:ascii="Times New Roman" w:hAnsi="Times New Roman" w:cs="Times New Roman"/>
          <w:sz w:val="24"/>
        </w:rPr>
        <w:t xml:space="preserve">. The main argument that Huntingdon presented in this monograph, like in the article, was that following the </w:t>
      </w:r>
      <w:r w:rsidR="008936DB">
        <w:rPr>
          <w:rFonts w:ascii="Times New Roman" w:hAnsi="Times New Roman" w:cs="Times New Roman"/>
          <w:sz w:val="24"/>
        </w:rPr>
        <w:t>C</w:t>
      </w:r>
      <w:r>
        <w:rPr>
          <w:rFonts w:ascii="Times New Roman" w:hAnsi="Times New Roman" w:cs="Times New Roman"/>
          <w:sz w:val="24"/>
        </w:rPr>
        <w:t xml:space="preserve">old </w:t>
      </w:r>
      <w:r w:rsidR="008936DB">
        <w:rPr>
          <w:rFonts w:ascii="Times New Roman" w:hAnsi="Times New Roman" w:cs="Times New Roman"/>
          <w:sz w:val="24"/>
        </w:rPr>
        <w:t>W</w:t>
      </w:r>
      <w:r>
        <w:rPr>
          <w:rFonts w:ascii="Times New Roman" w:hAnsi="Times New Roman" w:cs="Times New Roman"/>
          <w:sz w:val="24"/>
        </w:rPr>
        <w:t>ar conflict would be fought throughout the world between groups from different civilisations.</w:t>
      </w:r>
      <w:r w:rsidR="008936DB">
        <w:rPr>
          <w:rStyle w:val="FootnoteReference"/>
          <w:rFonts w:ascii="Times New Roman" w:hAnsi="Times New Roman" w:cs="Times New Roman"/>
          <w:sz w:val="24"/>
        </w:rPr>
        <w:footnoteReference w:id="2"/>
      </w:r>
      <w:r w:rsidR="008936DB">
        <w:rPr>
          <w:rFonts w:ascii="Times New Roman" w:hAnsi="Times New Roman" w:cs="Times New Roman"/>
          <w:sz w:val="24"/>
        </w:rPr>
        <w:t xml:space="preserve"> Since the time of its publication the book has been a major focal point of discussion in the study of international relations and politics, with scholars both defending, and criticising the ideas he proposed.</w:t>
      </w:r>
      <w:r w:rsidR="008936DB">
        <w:rPr>
          <w:rStyle w:val="FootnoteReference"/>
          <w:rFonts w:ascii="Times New Roman" w:hAnsi="Times New Roman" w:cs="Times New Roman"/>
          <w:sz w:val="24"/>
        </w:rPr>
        <w:footnoteReference w:id="3"/>
      </w:r>
      <w:r w:rsidR="00DE6BE7">
        <w:rPr>
          <w:rFonts w:ascii="Times New Roman" w:hAnsi="Times New Roman" w:cs="Times New Roman"/>
          <w:sz w:val="24"/>
        </w:rPr>
        <w:t xml:space="preserve"> One of the most influential predictions Huntingdon made, based off of his proposed model, was that a major location for these civilizational conflicts would be between the Western and Islamic civilisations. The</w:t>
      </w:r>
      <w:r w:rsidR="008C4ABE">
        <w:rPr>
          <w:rFonts w:ascii="Times New Roman" w:hAnsi="Times New Roman" w:cs="Times New Roman"/>
          <w:sz w:val="24"/>
        </w:rPr>
        <w:t>re were</w:t>
      </w:r>
      <w:r w:rsidR="00DE6BE7">
        <w:rPr>
          <w:rFonts w:ascii="Times New Roman" w:hAnsi="Times New Roman" w:cs="Times New Roman"/>
          <w:sz w:val="24"/>
        </w:rPr>
        <w:t xml:space="preserve"> </w:t>
      </w:r>
      <w:r w:rsidR="003A229C">
        <w:rPr>
          <w:rFonts w:ascii="Times New Roman" w:hAnsi="Times New Roman" w:cs="Times New Roman"/>
          <w:sz w:val="24"/>
        </w:rPr>
        <w:t xml:space="preserve">two major </w:t>
      </w:r>
      <w:r w:rsidR="00DE6BE7">
        <w:rPr>
          <w:rFonts w:ascii="Times New Roman" w:hAnsi="Times New Roman" w:cs="Times New Roman"/>
          <w:sz w:val="24"/>
        </w:rPr>
        <w:t>reason</w:t>
      </w:r>
      <w:r w:rsidR="003A229C">
        <w:rPr>
          <w:rFonts w:ascii="Times New Roman" w:hAnsi="Times New Roman" w:cs="Times New Roman"/>
          <w:sz w:val="24"/>
        </w:rPr>
        <w:t>s</w:t>
      </w:r>
      <w:r w:rsidR="00DE6BE7">
        <w:rPr>
          <w:rFonts w:ascii="Times New Roman" w:hAnsi="Times New Roman" w:cs="Times New Roman"/>
          <w:sz w:val="24"/>
        </w:rPr>
        <w:t xml:space="preserve"> he </w:t>
      </w:r>
      <w:r w:rsidR="003A229C">
        <w:rPr>
          <w:rFonts w:ascii="Times New Roman" w:hAnsi="Times New Roman" w:cs="Times New Roman"/>
          <w:sz w:val="24"/>
        </w:rPr>
        <w:t>used to make</w:t>
      </w:r>
      <w:r w:rsidR="00DE6BE7">
        <w:rPr>
          <w:rFonts w:ascii="Times New Roman" w:hAnsi="Times New Roman" w:cs="Times New Roman"/>
          <w:sz w:val="24"/>
        </w:rPr>
        <w:t xml:space="preserve"> this prediction</w:t>
      </w:r>
      <w:r w:rsidR="008C4ABE">
        <w:rPr>
          <w:rFonts w:ascii="Times New Roman" w:hAnsi="Times New Roman" w:cs="Times New Roman"/>
          <w:sz w:val="24"/>
        </w:rPr>
        <w:t xml:space="preserve">, the first being that Islam and Western civilisation, based on Christianity, were so fundamentally different that the two were irreconcilable, and the second being that </w:t>
      </w:r>
      <w:r w:rsidR="003A229C">
        <w:rPr>
          <w:rFonts w:ascii="Times New Roman" w:hAnsi="Times New Roman" w:cs="Times New Roman"/>
          <w:sz w:val="24"/>
        </w:rPr>
        <w:t>after</w:t>
      </w:r>
      <w:r w:rsidR="00DE6BE7">
        <w:rPr>
          <w:rFonts w:ascii="Times New Roman" w:hAnsi="Times New Roman" w:cs="Times New Roman"/>
          <w:sz w:val="24"/>
        </w:rPr>
        <w:t xml:space="preserve"> the fall of the Soviet Union</w:t>
      </w:r>
      <w:r w:rsidR="003A229C">
        <w:rPr>
          <w:rFonts w:ascii="Times New Roman" w:hAnsi="Times New Roman" w:cs="Times New Roman"/>
          <w:sz w:val="24"/>
        </w:rPr>
        <w:t xml:space="preserve"> which had been a common enemy for both Western and Islamic countries, there would be increased tension between the two ‘civilisations’</w:t>
      </w:r>
      <w:r w:rsidR="008C4ABE">
        <w:rPr>
          <w:rFonts w:ascii="Times New Roman" w:hAnsi="Times New Roman" w:cs="Times New Roman"/>
          <w:sz w:val="24"/>
        </w:rPr>
        <w:t>.</w:t>
      </w:r>
      <w:r w:rsidR="008C4ABE">
        <w:rPr>
          <w:rStyle w:val="FootnoteReference"/>
          <w:rFonts w:ascii="Times New Roman" w:hAnsi="Times New Roman" w:cs="Times New Roman"/>
          <w:sz w:val="24"/>
        </w:rPr>
        <w:footnoteReference w:id="4"/>
      </w:r>
      <w:r w:rsidR="003A229C">
        <w:rPr>
          <w:rFonts w:ascii="Times New Roman" w:hAnsi="Times New Roman" w:cs="Times New Roman"/>
          <w:sz w:val="24"/>
        </w:rPr>
        <w:t xml:space="preserve"> </w:t>
      </w:r>
    </w:p>
    <w:p w14:paraId="0FBA6814" w14:textId="688BB6CF" w:rsidR="008C4ABE" w:rsidRDefault="008C4ABE" w:rsidP="005F01C3">
      <w:pPr>
        <w:spacing w:line="360" w:lineRule="auto"/>
        <w:rPr>
          <w:rFonts w:ascii="Times New Roman" w:hAnsi="Times New Roman" w:cs="Times New Roman"/>
          <w:sz w:val="24"/>
        </w:rPr>
      </w:pPr>
      <w:r>
        <w:rPr>
          <w:rFonts w:ascii="Times New Roman" w:hAnsi="Times New Roman" w:cs="Times New Roman"/>
          <w:sz w:val="24"/>
        </w:rPr>
        <w:lastRenderedPageBreak/>
        <w:t>This proved to be the most influential prediction Huntingdon made as with the attack of September 11</w:t>
      </w:r>
      <w:r w:rsidRPr="008C4ABE">
        <w:rPr>
          <w:rFonts w:ascii="Times New Roman" w:hAnsi="Times New Roman" w:cs="Times New Roman"/>
          <w:sz w:val="24"/>
          <w:vertAlign w:val="superscript"/>
        </w:rPr>
        <w:t>th</w:t>
      </w:r>
      <w:r>
        <w:rPr>
          <w:rFonts w:ascii="Times New Roman" w:hAnsi="Times New Roman" w:cs="Times New Roman"/>
          <w:sz w:val="24"/>
        </w:rPr>
        <w:t xml:space="preserve"> in 2001, many believed that Huntingdon’s thesis was being proven to be true,</w:t>
      </w:r>
      <w:r w:rsidR="002A2EC5">
        <w:rPr>
          <w:rStyle w:val="FootnoteReference"/>
          <w:rFonts w:ascii="Times New Roman" w:hAnsi="Times New Roman" w:cs="Times New Roman"/>
          <w:sz w:val="24"/>
        </w:rPr>
        <w:footnoteReference w:id="5"/>
      </w:r>
      <w:r>
        <w:rPr>
          <w:rFonts w:ascii="Times New Roman" w:hAnsi="Times New Roman" w:cs="Times New Roman"/>
          <w:sz w:val="24"/>
        </w:rPr>
        <w:t xml:space="preserve"> and it is not entirely wrong to say so.</w:t>
      </w:r>
      <w:r w:rsidR="002A2EC5">
        <w:rPr>
          <w:rFonts w:ascii="Times New Roman" w:hAnsi="Times New Roman" w:cs="Times New Roman"/>
          <w:sz w:val="24"/>
        </w:rPr>
        <w:t xml:space="preserve"> Since the publication the rise in conflict between The West and the Islamic World is undeniable. The number of high profile terror attacks in Western countries that were perpetrated by Islamists has undeniably increased since the end of the Cold War,</w:t>
      </w:r>
      <w:r w:rsidR="002A2EC5">
        <w:rPr>
          <w:rStyle w:val="FootnoteReference"/>
          <w:rFonts w:ascii="Times New Roman" w:hAnsi="Times New Roman" w:cs="Times New Roman"/>
          <w:sz w:val="24"/>
        </w:rPr>
        <w:footnoteReference w:id="6"/>
      </w:r>
      <w:r w:rsidR="002A2EC5">
        <w:rPr>
          <w:rFonts w:ascii="Times New Roman" w:hAnsi="Times New Roman" w:cs="Times New Roman"/>
          <w:sz w:val="24"/>
        </w:rPr>
        <w:t xml:space="preserve"> and Western intervention in the Islamic World h</w:t>
      </w:r>
      <w:r w:rsidR="001E0192">
        <w:rPr>
          <w:rFonts w:ascii="Times New Roman" w:hAnsi="Times New Roman" w:cs="Times New Roman"/>
          <w:sz w:val="24"/>
        </w:rPr>
        <w:t xml:space="preserve">as increased, with the ‘war on terror’ having been used as a means to justify the wars in Afghanistan in 2001, and the Iraq War in 2003. As a result of these wars and the rise in Islamist terrorism, the Clash of Civilizations thesis has been </w:t>
      </w:r>
      <w:r w:rsidR="00014F52">
        <w:rPr>
          <w:rFonts w:ascii="Times New Roman" w:hAnsi="Times New Roman" w:cs="Times New Roman"/>
          <w:sz w:val="24"/>
        </w:rPr>
        <w:t>picked up by media outlets in both The West and the Islamic World as a way to describe current geopolitical trends, and as a result the ideas that Huntingdon presented, about the nature of conflict between Islam and The West, have gained increasing traction in popular opinion.</w:t>
      </w:r>
      <w:r w:rsidR="00014F52">
        <w:rPr>
          <w:rStyle w:val="FootnoteReference"/>
          <w:rFonts w:ascii="Times New Roman" w:hAnsi="Times New Roman" w:cs="Times New Roman"/>
          <w:sz w:val="24"/>
        </w:rPr>
        <w:footnoteReference w:id="7"/>
      </w:r>
      <w:r w:rsidR="00014F52">
        <w:rPr>
          <w:rFonts w:ascii="Times New Roman" w:hAnsi="Times New Roman" w:cs="Times New Roman"/>
          <w:sz w:val="24"/>
        </w:rPr>
        <w:t xml:space="preserve"> In The West this increasing conflict has led to a rise in anti-Islamic sentiment, and recently in Europe this has led to the creation of various groups that unite as part of the </w:t>
      </w:r>
      <w:proofErr w:type="spellStart"/>
      <w:r w:rsidR="00014F52">
        <w:rPr>
          <w:rFonts w:ascii="Times New Roman" w:hAnsi="Times New Roman" w:cs="Times New Roman"/>
          <w:sz w:val="24"/>
        </w:rPr>
        <w:t>Identitarian</w:t>
      </w:r>
      <w:proofErr w:type="spellEnd"/>
      <w:r w:rsidR="00014F52">
        <w:rPr>
          <w:rFonts w:ascii="Times New Roman" w:hAnsi="Times New Roman" w:cs="Times New Roman"/>
          <w:sz w:val="24"/>
        </w:rPr>
        <w:t xml:space="preserve"> Movement</w:t>
      </w:r>
      <w:r w:rsidR="00FA6316">
        <w:rPr>
          <w:rFonts w:ascii="Times New Roman" w:hAnsi="Times New Roman" w:cs="Times New Roman"/>
          <w:sz w:val="24"/>
        </w:rPr>
        <w:t>.</w:t>
      </w:r>
    </w:p>
    <w:p w14:paraId="630D7564" w14:textId="7508D0D3" w:rsidR="00DA519D" w:rsidRDefault="003B1180" w:rsidP="005F01C3">
      <w:pPr>
        <w:spacing w:line="360" w:lineRule="auto"/>
        <w:rPr>
          <w:rFonts w:ascii="Times New Roman" w:hAnsi="Times New Roman" w:cs="Times New Roman"/>
          <w:sz w:val="24"/>
        </w:rPr>
      </w:pPr>
      <w:r>
        <w:rPr>
          <w:rFonts w:ascii="Times New Roman" w:hAnsi="Times New Roman" w:cs="Times New Roman"/>
          <w:sz w:val="24"/>
        </w:rPr>
        <w:t xml:space="preserve">These groups such as the </w:t>
      </w:r>
      <w:proofErr w:type="spellStart"/>
      <w:r w:rsidR="00A01D41">
        <w:rPr>
          <w:rFonts w:ascii="Times New Roman" w:hAnsi="Times New Roman" w:cs="Times New Roman"/>
          <w:i/>
          <w:sz w:val="24"/>
        </w:rPr>
        <w:t>Génération</w:t>
      </w:r>
      <w:proofErr w:type="spellEnd"/>
      <w:r w:rsidR="00A01D41">
        <w:rPr>
          <w:rFonts w:ascii="Times New Roman" w:hAnsi="Times New Roman" w:cs="Times New Roman"/>
          <w:i/>
          <w:sz w:val="24"/>
        </w:rPr>
        <w:t xml:space="preserve"> </w:t>
      </w:r>
      <w:proofErr w:type="spellStart"/>
      <w:r w:rsidR="00A01D41">
        <w:rPr>
          <w:rFonts w:ascii="Times New Roman" w:hAnsi="Times New Roman" w:cs="Times New Roman"/>
          <w:i/>
          <w:sz w:val="24"/>
        </w:rPr>
        <w:t>Identitaire</w:t>
      </w:r>
      <w:proofErr w:type="spellEnd"/>
      <w:r w:rsidR="00A01D41">
        <w:rPr>
          <w:rFonts w:ascii="Times New Roman" w:hAnsi="Times New Roman" w:cs="Times New Roman"/>
          <w:sz w:val="24"/>
        </w:rPr>
        <w:t xml:space="preserve"> in France, and </w:t>
      </w:r>
      <w:proofErr w:type="spellStart"/>
      <w:r w:rsidR="00A01D41">
        <w:rPr>
          <w:rFonts w:ascii="Times New Roman" w:hAnsi="Times New Roman" w:cs="Times New Roman"/>
          <w:i/>
          <w:sz w:val="24"/>
        </w:rPr>
        <w:t>Identitäre</w:t>
      </w:r>
      <w:proofErr w:type="spellEnd"/>
      <w:r w:rsidR="00A01D41">
        <w:rPr>
          <w:rFonts w:ascii="Times New Roman" w:hAnsi="Times New Roman" w:cs="Times New Roman"/>
          <w:i/>
          <w:sz w:val="24"/>
        </w:rPr>
        <w:t xml:space="preserve"> </w:t>
      </w:r>
      <w:proofErr w:type="spellStart"/>
      <w:r w:rsidR="00A01D41">
        <w:rPr>
          <w:rFonts w:ascii="Times New Roman" w:hAnsi="Times New Roman" w:cs="Times New Roman"/>
          <w:i/>
          <w:sz w:val="24"/>
        </w:rPr>
        <w:t>Bewegung</w:t>
      </w:r>
      <w:proofErr w:type="spellEnd"/>
      <w:r w:rsidR="00A01D41">
        <w:rPr>
          <w:rFonts w:ascii="Times New Roman" w:hAnsi="Times New Roman" w:cs="Times New Roman"/>
          <w:i/>
          <w:sz w:val="24"/>
        </w:rPr>
        <w:t xml:space="preserve"> </w:t>
      </w:r>
      <w:proofErr w:type="spellStart"/>
      <w:r w:rsidR="00A01D41">
        <w:rPr>
          <w:rFonts w:ascii="Times New Roman" w:hAnsi="Times New Roman" w:cs="Times New Roman"/>
          <w:i/>
          <w:sz w:val="24"/>
        </w:rPr>
        <w:t>Österreichs</w:t>
      </w:r>
      <w:proofErr w:type="spellEnd"/>
      <w:r w:rsidR="00A01D41">
        <w:rPr>
          <w:rFonts w:ascii="Times New Roman" w:hAnsi="Times New Roman" w:cs="Times New Roman"/>
          <w:sz w:val="24"/>
        </w:rPr>
        <w:t xml:space="preserve"> in Austria, were formed to fight against what they perceive as the invasion of Islamic culture into Europe and seek to defend their traditional European history and culture from this perceived external threat to their way of life. The </w:t>
      </w:r>
      <w:proofErr w:type="spellStart"/>
      <w:r w:rsidR="00A01D41">
        <w:rPr>
          <w:rFonts w:ascii="Times New Roman" w:hAnsi="Times New Roman" w:cs="Times New Roman"/>
          <w:i/>
          <w:sz w:val="24"/>
        </w:rPr>
        <w:t>Génération</w:t>
      </w:r>
      <w:proofErr w:type="spellEnd"/>
      <w:r w:rsidR="00A01D41">
        <w:rPr>
          <w:rFonts w:ascii="Times New Roman" w:hAnsi="Times New Roman" w:cs="Times New Roman"/>
          <w:i/>
          <w:sz w:val="24"/>
        </w:rPr>
        <w:t xml:space="preserve"> </w:t>
      </w:r>
      <w:proofErr w:type="spellStart"/>
      <w:r w:rsidR="00A01D41">
        <w:rPr>
          <w:rFonts w:ascii="Times New Roman" w:hAnsi="Times New Roman" w:cs="Times New Roman"/>
          <w:i/>
          <w:sz w:val="24"/>
        </w:rPr>
        <w:t>Identitaire</w:t>
      </w:r>
      <w:proofErr w:type="spellEnd"/>
      <w:r w:rsidR="00A01D41">
        <w:rPr>
          <w:rFonts w:ascii="Times New Roman" w:hAnsi="Times New Roman" w:cs="Times New Roman"/>
          <w:sz w:val="24"/>
        </w:rPr>
        <w:t xml:space="preserve"> on their website describe their mission statement as being to fight ‘the standardisation of peoples and cultures</w:t>
      </w:r>
      <w:r w:rsidR="00502EE6">
        <w:rPr>
          <w:rFonts w:ascii="Times New Roman" w:hAnsi="Times New Roman" w:cs="Times New Roman"/>
          <w:sz w:val="24"/>
        </w:rPr>
        <w:t>, in the face of the tidal wave of mass immigration’,</w:t>
      </w:r>
      <w:r w:rsidR="00502EE6">
        <w:rPr>
          <w:rStyle w:val="FootnoteReference"/>
          <w:rFonts w:ascii="Times New Roman" w:hAnsi="Times New Roman" w:cs="Times New Roman"/>
          <w:sz w:val="24"/>
        </w:rPr>
        <w:footnoteReference w:id="8"/>
      </w:r>
      <w:r w:rsidR="00A01D41">
        <w:rPr>
          <w:rFonts w:ascii="Times New Roman" w:hAnsi="Times New Roman" w:cs="Times New Roman"/>
          <w:sz w:val="24"/>
        </w:rPr>
        <w:t xml:space="preserve"> </w:t>
      </w:r>
      <w:r w:rsidR="00502EE6">
        <w:rPr>
          <w:rFonts w:ascii="Times New Roman" w:hAnsi="Times New Roman" w:cs="Times New Roman"/>
          <w:sz w:val="24"/>
        </w:rPr>
        <w:t>and they call themselves ‘the first line of resistance’</w:t>
      </w:r>
      <w:r w:rsidR="00502EE6">
        <w:rPr>
          <w:rStyle w:val="FootnoteReference"/>
          <w:rFonts w:ascii="Times New Roman" w:hAnsi="Times New Roman" w:cs="Times New Roman"/>
          <w:sz w:val="24"/>
        </w:rPr>
        <w:footnoteReference w:id="9"/>
      </w:r>
      <w:r w:rsidR="00502EE6">
        <w:rPr>
          <w:rFonts w:ascii="Times New Roman" w:hAnsi="Times New Roman" w:cs="Times New Roman"/>
          <w:sz w:val="24"/>
        </w:rPr>
        <w:t xml:space="preserve"> against these </w:t>
      </w:r>
      <w:r w:rsidR="00E303A4">
        <w:rPr>
          <w:rFonts w:ascii="Times New Roman" w:hAnsi="Times New Roman" w:cs="Times New Roman"/>
          <w:sz w:val="24"/>
        </w:rPr>
        <w:t xml:space="preserve">perceived </w:t>
      </w:r>
      <w:r w:rsidR="00502EE6">
        <w:rPr>
          <w:rFonts w:ascii="Times New Roman" w:hAnsi="Times New Roman" w:cs="Times New Roman"/>
          <w:sz w:val="24"/>
        </w:rPr>
        <w:t>threats. Their website also makes it starkly clear that it is not simply immigration and cultures from the wider world which they are against, but</w:t>
      </w:r>
      <w:r w:rsidR="00E303A4">
        <w:rPr>
          <w:rFonts w:ascii="Times New Roman" w:hAnsi="Times New Roman" w:cs="Times New Roman"/>
          <w:sz w:val="24"/>
        </w:rPr>
        <w:t xml:space="preserve"> the group primary objective is to combat specifically Islamic influence in Europe.</w:t>
      </w:r>
      <w:r w:rsidR="00502EE6">
        <w:rPr>
          <w:rFonts w:ascii="Times New Roman" w:hAnsi="Times New Roman" w:cs="Times New Roman"/>
          <w:sz w:val="24"/>
        </w:rPr>
        <w:t xml:space="preserve"> </w:t>
      </w:r>
      <w:r w:rsidR="00E303A4">
        <w:rPr>
          <w:rFonts w:ascii="Times New Roman" w:hAnsi="Times New Roman" w:cs="Times New Roman"/>
          <w:sz w:val="24"/>
        </w:rPr>
        <w:t>I</w:t>
      </w:r>
      <w:r w:rsidR="00502EE6">
        <w:rPr>
          <w:rFonts w:ascii="Times New Roman" w:hAnsi="Times New Roman" w:cs="Times New Roman"/>
          <w:sz w:val="24"/>
        </w:rPr>
        <w:t xml:space="preserve">n their advertising for a campaign this year titled ‘Defend Europe’, the slogan </w:t>
      </w:r>
      <w:proofErr w:type="spellStart"/>
      <w:r w:rsidR="00502EE6">
        <w:rPr>
          <w:rFonts w:ascii="Times New Roman" w:hAnsi="Times New Roman" w:cs="Times New Roman"/>
          <w:i/>
          <w:sz w:val="24"/>
        </w:rPr>
        <w:t>Génération</w:t>
      </w:r>
      <w:proofErr w:type="spellEnd"/>
      <w:r w:rsidR="00502EE6">
        <w:rPr>
          <w:rFonts w:ascii="Times New Roman" w:hAnsi="Times New Roman" w:cs="Times New Roman"/>
          <w:i/>
          <w:sz w:val="24"/>
        </w:rPr>
        <w:t xml:space="preserve"> </w:t>
      </w:r>
      <w:proofErr w:type="spellStart"/>
      <w:r w:rsidR="00502EE6">
        <w:rPr>
          <w:rFonts w:ascii="Times New Roman" w:hAnsi="Times New Roman" w:cs="Times New Roman"/>
          <w:i/>
          <w:sz w:val="24"/>
        </w:rPr>
        <w:t>Identitaire</w:t>
      </w:r>
      <w:proofErr w:type="spellEnd"/>
      <w:r w:rsidR="00502EE6">
        <w:rPr>
          <w:rFonts w:ascii="Times New Roman" w:hAnsi="Times New Roman" w:cs="Times New Roman"/>
          <w:i/>
          <w:sz w:val="24"/>
        </w:rPr>
        <w:t xml:space="preserve"> </w:t>
      </w:r>
      <w:r w:rsidR="00502EE6">
        <w:rPr>
          <w:rFonts w:ascii="Times New Roman" w:hAnsi="Times New Roman" w:cs="Times New Roman"/>
          <w:sz w:val="24"/>
        </w:rPr>
        <w:t>used was ‘</w:t>
      </w:r>
      <w:r w:rsidR="00502EE6">
        <w:rPr>
          <w:rFonts w:ascii="Times New Roman" w:hAnsi="Times New Roman" w:cs="Times New Roman"/>
          <w:i/>
          <w:sz w:val="24"/>
        </w:rPr>
        <w:t xml:space="preserve">Face á </w:t>
      </w:r>
      <w:proofErr w:type="spellStart"/>
      <w:r w:rsidR="00502EE6">
        <w:rPr>
          <w:rFonts w:ascii="Times New Roman" w:hAnsi="Times New Roman" w:cs="Times New Roman"/>
          <w:i/>
          <w:sz w:val="24"/>
        </w:rPr>
        <w:t>L’Islamisme</w:t>
      </w:r>
      <w:proofErr w:type="spellEnd"/>
      <w:r w:rsidR="00502EE6">
        <w:rPr>
          <w:rFonts w:ascii="Times New Roman" w:hAnsi="Times New Roman" w:cs="Times New Roman"/>
          <w:i/>
          <w:sz w:val="24"/>
        </w:rPr>
        <w:t xml:space="preserve">, Face á </w:t>
      </w:r>
      <w:proofErr w:type="spellStart"/>
      <w:r w:rsidR="00502EE6">
        <w:rPr>
          <w:rFonts w:ascii="Times New Roman" w:hAnsi="Times New Roman" w:cs="Times New Roman"/>
          <w:i/>
          <w:sz w:val="24"/>
        </w:rPr>
        <w:t>L’Invasion</w:t>
      </w:r>
      <w:proofErr w:type="spellEnd"/>
      <w:r w:rsidR="00502EE6">
        <w:rPr>
          <w:rFonts w:ascii="Times New Roman" w:hAnsi="Times New Roman" w:cs="Times New Roman"/>
          <w:i/>
          <w:sz w:val="24"/>
        </w:rPr>
        <w:t xml:space="preserve">, </w:t>
      </w:r>
      <w:proofErr w:type="spellStart"/>
      <w:r w:rsidR="00502EE6">
        <w:rPr>
          <w:rFonts w:ascii="Times New Roman" w:hAnsi="Times New Roman" w:cs="Times New Roman"/>
          <w:i/>
          <w:sz w:val="24"/>
        </w:rPr>
        <w:t>Défendons</w:t>
      </w:r>
      <w:proofErr w:type="spellEnd"/>
      <w:r w:rsidR="00502EE6">
        <w:rPr>
          <w:rFonts w:ascii="Times New Roman" w:hAnsi="Times New Roman" w:cs="Times New Roman"/>
          <w:i/>
          <w:sz w:val="24"/>
        </w:rPr>
        <w:t xml:space="preserve"> </w:t>
      </w:r>
      <w:proofErr w:type="spellStart"/>
      <w:r w:rsidR="00502EE6">
        <w:rPr>
          <w:rFonts w:ascii="Times New Roman" w:hAnsi="Times New Roman" w:cs="Times New Roman"/>
          <w:i/>
          <w:sz w:val="24"/>
        </w:rPr>
        <w:t>L’Europe</w:t>
      </w:r>
      <w:proofErr w:type="spellEnd"/>
      <w:r w:rsidR="00502EE6">
        <w:rPr>
          <w:rFonts w:ascii="Times New Roman" w:hAnsi="Times New Roman" w:cs="Times New Roman"/>
          <w:sz w:val="24"/>
        </w:rPr>
        <w:t>’</w:t>
      </w:r>
      <w:r w:rsidR="00DA519D">
        <w:rPr>
          <w:rFonts w:ascii="Times New Roman" w:hAnsi="Times New Roman" w:cs="Times New Roman"/>
          <w:sz w:val="24"/>
        </w:rPr>
        <w:t>,</w:t>
      </w:r>
      <w:r w:rsidR="00502EE6">
        <w:rPr>
          <w:rStyle w:val="FootnoteReference"/>
          <w:rFonts w:ascii="Times New Roman" w:hAnsi="Times New Roman" w:cs="Times New Roman"/>
          <w:sz w:val="24"/>
        </w:rPr>
        <w:footnoteReference w:id="10"/>
      </w:r>
      <w:r w:rsidR="00DA519D">
        <w:rPr>
          <w:rFonts w:ascii="Times New Roman" w:hAnsi="Times New Roman" w:cs="Times New Roman"/>
          <w:sz w:val="24"/>
        </w:rPr>
        <w:t xml:space="preserve"> clearly showing that the movement is specifically in opposition to Islam, and Islamic ideas. </w:t>
      </w:r>
    </w:p>
    <w:p w14:paraId="31061F52" w14:textId="2815051A" w:rsidR="00F06BFD" w:rsidRDefault="00DA519D" w:rsidP="005F01C3">
      <w:pPr>
        <w:spacing w:line="360" w:lineRule="auto"/>
        <w:rPr>
          <w:rFonts w:ascii="Times New Roman" w:hAnsi="Times New Roman" w:cs="Times New Roman"/>
          <w:sz w:val="24"/>
        </w:rPr>
      </w:pPr>
      <w:r>
        <w:rPr>
          <w:rFonts w:ascii="Times New Roman" w:hAnsi="Times New Roman" w:cs="Times New Roman"/>
          <w:sz w:val="24"/>
        </w:rPr>
        <w:lastRenderedPageBreak/>
        <w:t xml:space="preserve">The movement also seems to have bought into the Clash of Civilisations idea of Huntingdon as well as they seek to portray this as a continuation of clashes between The East and The West that have been going on for centuries. The primary way they do this is through the movements use of imagery in their protests, and particularly for the purposes of this essay, the use of a capital </w:t>
      </w:r>
      <w:r>
        <w:rPr>
          <w:rFonts w:ascii="Times New Roman" w:hAnsi="Times New Roman" w:cs="Times New Roman"/>
          <w:i/>
          <w:sz w:val="24"/>
        </w:rPr>
        <w:t>lambda</w:t>
      </w:r>
      <w:r>
        <w:rPr>
          <w:rFonts w:ascii="Times New Roman" w:hAnsi="Times New Roman" w:cs="Times New Roman"/>
          <w:sz w:val="24"/>
        </w:rPr>
        <w:t>. This symbol serves as the logo for many of these individual organisations that make up the movement,</w:t>
      </w:r>
      <w:r>
        <w:rPr>
          <w:rStyle w:val="FootnoteReference"/>
          <w:rFonts w:ascii="Times New Roman" w:hAnsi="Times New Roman" w:cs="Times New Roman"/>
          <w:sz w:val="24"/>
        </w:rPr>
        <w:footnoteReference w:id="11"/>
      </w:r>
      <w:r>
        <w:rPr>
          <w:rFonts w:ascii="Times New Roman" w:hAnsi="Times New Roman" w:cs="Times New Roman"/>
          <w:sz w:val="24"/>
        </w:rPr>
        <w:t xml:space="preserve"> and according to German writer Volker </w:t>
      </w:r>
      <w:proofErr w:type="spellStart"/>
      <w:r>
        <w:rPr>
          <w:rFonts w:ascii="Times New Roman" w:hAnsi="Times New Roman" w:cs="Times New Roman"/>
          <w:sz w:val="24"/>
        </w:rPr>
        <w:t>Weiß</w:t>
      </w:r>
      <w:proofErr w:type="spellEnd"/>
      <w:r>
        <w:rPr>
          <w:rFonts w:ascii="Times New Roman" w:hAnsi="Times New Roman" w:cs="Times New Roman"/>
          <w:sz w:val="24"/>
        </w:rPr>
        <w:t xml:space="preserve">, this is in reference to </w:t>
      </w:r>
      <w:r w:rsidR="002810FC">
        <w:rPr>
          <w:rFonts w:ascii="Times New Roman" w:hAnsi="Times New Roman" w:cs="Times New Roman"/>
          <w:sz w:val="24"/>
        </w:rPr>
        <w:t>t</w:t>
      </w:r>
      <w:r>
        <w:rPr>
          <w:rFonts w:ascii="Times New Roman" w:hAnsi="Times New Roman" w:cs="Times New Roman"/>
          <w:sz w:val="24"/>
        </w:rPr>
        <w:t xml:space="preserve">he Battle of Thermopylae during </w:t>
      </w:r>
      <w:r w:rsidR="002810FC">
        <w:rPr>
          <w:rFonts w:ascii="Times New Roman" w:hAnsi="Times New Roman" w:cs="Times New Roman"/>
          <w:sz w:val="24"/>
        </w:rPr>
        <w:t>t</w:t>
      </w:r>
      <w:r>
        <w:rPr>
          <w:rFonts w:ascii="Times New Roman" w:hAnsi="Times New Roman" w:cs="Times New Roman"/>
          <w:sz w:val="24"/>
        </w:rPr>
        <w:t>he Persian Wars in the fifth century BC</w:t>
      </w:r>
      <w:r w:rsidR="007D099A">
        <w:rPr>
          <w:rFonts w:ascii="Times New Roman" w:hAnsi="Times New Roman" w:cs="Times New Roman"/>
          <w:sz w:val="24"/>
        </w:rPr>
        <w:t>,</w:t>
      </w:r>
      <w:r w:rsidR="00C46F5C">
        <w:rPr>
          <w:rStyle w:val="FootnoteReference"/>
          <w:rFonts w:ascii="Times New Roman" w:hAnsi="Times New Roman" w:cs="Times New Roman"/>
          <w:sz w:val="24"/>
        </w:rPr>
        <w:footnoteReference w:id="12"/>
      </w:r>
      <w:r w:rsidR="007D099A">
        <w:rPr>
          <w:rFonts w:ascii="Times New Roman" w:hAnsi="Times New Roman" w:cs="Times New Roman"/>
          <w:sz w:val="24"/>
        </w:rPr>
        <w:t xml:space="preserve"> which has long been seen as the beginning of conflict between The East and West.</w:t>
      </w:r>
      <w:r w:rsidR="00D47857">
        <w:rPr>
          <w:rFonts w:ascii="Times New Roman" w:hAnsi="Times New Roman" w:cs="Times New Roman"/>
          <w:sz w:val="24"/>
        </w:rPr>
        <w:t xml:space="preserve"> This adoption of iconography </w:t>
      </w:r>
      <w:r w:rsidR="00E303A4">
        <w:rPr>
          <w:rFonts w:ascii="Times New Roman" w:hAnsi="Times New Roman" w:cs="Times New Roman"/>
          <w:sz w:val="24"/>
        </w:rPr>
        <w:t>relating to</w:t>
      </w:r>
      <w:r w:rsidR="00D47857">
        <w:rPr>
          <w:rFonts w:ascii="Times New Roman" w:hAnsi="Times New Roman" w:cs="Times New Roman"/>
          <w:sz w:val="24"/>
        </w:rPr>
        <w:t xml:space="preserve"> </w:t>
      </w:r>
      <w:r w:rsidR="002810FC">
        <w:rPr>
          <w:rFonts w:ascii="Times New Roman" w:hAnsi="Times New Roman" w:cs="Times New Roman"/>
          <w:sz w:val="24"/>
        </w:rPr>
        <w:t>t</w:t>
      </w:r>
      <w:r w:rsidR="00D47857">
        <w:rPr>
          <w:rFonts w:ascii="Times New Roman" w:hAnsi="Times New Roman" w:cs="Times New Roman"/>
          <w:sz w:val="24"/>
        </w:rPr>
        <w:t xml:space="preserve">he Persian Wars into the </w:t>
      </w:r>
      <w:proofErr w:type="spellStart"/>
      <w:r w:rsidR="00D47857">
        <w:rPr>
          <w:rFonts w:ascii="Times New Roman" w:hAnsi="Times New Roman" w:cs="Times New Roman"/>
          <w:sz w:val="24"/>
        </w:rPr>
        <w:t>Indentitarian</w:t>
      </w:r>
      <w:proofErr w:type="spellEnd"/>
      <w:r w:rsidR="00D47857">
        <w:rPr>
          <w:rFonts w:ascii="Times New Roman" w:hAnsi="Times New Roman" w:cs="Times New Roman"/>
          <w:sz w:val="24"/>
        </w:rPr>
        <w:t xml:space="preserve"> movement at first seems strange as the movement seems to be primarily concerned with the influence of Islam in Western culture, rather than The East in general. However, </w:t>
      </w:r>
      <w:r w:rsidR="002810FC">
        <w:rPr>
          <w:rFonts w:ascii="Times New Roman" w:hAnsi="Times New Roman" w:cs="Times New Roman"/>
          <w:sz w:val="24"/>
        </w:rPr>
        <w:t>the</w:t>
      </w:r>
      <w:r w:rsidR="00D47857">
        <w:rPr>
          <w:rFonts w:ascii="Times New Roman" w:hAnsi="Times New Roman" w:cs="Times New Roman"/>
          <w:sz w:val="24"/>
        </w:rPr>
        <w:t xml:space="preserve"> Persian Wars throughout history have been used as a symbol</w:t>
      </w:r>
      <w:r w:rsidR="00E303A4">
        <w:rPr>
          <w:rFonts w:ascii="Times New Roman" w:hAnsi="Times New Roman" w:cs="Times New Roman"/>
          <w:sz w:val="24"/>
        </w:rPr>
        <w:t>,</w:t>
      </w:r>
      <w:r w:rsidR="00D47857">
        <w:rPr>
          <w:rFonts w:ascii="Times New Roman" w:hAnsi="Times New Roman" w:cs="Times New Roman"/>
          <w:sz w:val="24"/>
        </w:rPr>
        <w:t xml:space="preserve"> in </w:t>
      </w:r>
      <w:r w:rsidR="00E303A4">
        <w:rPr>
          <w:rFonts w:ascii="Times New Roman" w:hAnsi="Times New Roman" w:cs="Times New Roman"/>
          <w:sz w:val="24"/>
        </w:rPr>
        <w:t>The West,</w:t>
      </w:r>
      <w:r w:rsidR="00D47857">
        <w:rPr>
          <w:rFonts w:ascii="Times New Roman" w:hAnsi="Times New Roman" w:cs="Times New Roman"/>
          <w:sz w:val="24"/>
        </w:rPr>
        <w:t xml:space="preserve"> of the beginning of conflict with </w:t>
      </w:r>
      <w:r w:rsidR="002810FC">
        <w:rPr>
          <w:rFonts w:ascii="Times New Roman" w:hAnsi="Times New Roman" w:cs="Times New Roman"/>
          <w:sz w:val="24"/>
        </w:rPr>
        <w:t>T</w:t>
      </w:r>
      <w:r w:rsidR="00D47857">
        <w:rPr>
          <w:rFonts w:ascii="Times New Roman" w:hAnsi="Times New Roman" w:cs="Times New Roman"/>
          <w:sz w:val="24"/>
        </w:rPr>
        <w:t>he East</w:t>
      </w:r>
      <w:r w:rsidR="00E303A4">
        <w:rPr>
          <w:rFonts w:ascii="Times New Roman" w:hAnsi="Times New Roman" w:cs="Times New Roman"/>
          <w:sz w:val="24"/>
        </w:rPr>
        <w:t xml:space="preserve"> which in Western European tradition has become almost synonymous with </w:t>
      </w:r>
      <w:proofErr w:type="spellStart"/>
      <w:r w:rsidR="00E303A4">
        <w:rPr>
          <w:rFonts w:ascii="Times New Roman" w:hAnsi="Times New Roman" w:cs="Times New Roman"/>
          <w:sz w:val="24"/>
        </w:rPr>
        <w:t>Islam.I</w:t>
      </w:r>
      <w:r w:rsidR="00D47857">
        <w:rPr>
          <w:rFonts w:ascii="Times New Roman" w:hAnsi="Times New Roman" w:cs="Times New Roman"/>
          <w:sz w:val="24"/>
        </w:rPr>
        <w:t>n</w:t>
      </w:r>
      <w:proofErr w:type="spellEnd"/>
      <w:r w:rsidR="00D47857">
        <w:rPr>
          <w:rFonts w:ascii="Times New Roman" w:hAnsi="Times New Roman" w:cs="Times New Roman"/>
          <w:sz w:val="24"/>
        </w:rPr>
        <w:t xml:space="preserve"> recent years these ideas of the Persian Wars</w:t>
      </w:r>
      <w:r w:rsidR="002810FC">
        <w:rPr>
          <w:rFonts w:ascii="Times New Roman" w:hAnsi="Times New Roman" w:cs="Times New Roman"/>
          <w:sz w:val="24"/>
        </w:rPr>
        <w:t xml:space="preserve"> being the beginning of a “Clash of Civilizations” have </w:t>
      </w:r>
      <w:r w:rsidR="00E303A4">
        <w:rPr>
          <w:rFonts w:ascii="Times New Roman" w:hAnsi="Times New Roman" w:cs="Times New Roman"/>
          <w:sz w:val="24"/>
        </w:rPr>
        <w:t>returned</w:t>
      </w:r>
      <w:r w:rsidR="002810FC">
        <w:rPr>
          <w:rFonts w:ascii="Times New Roman" w:hAnsi="Times New Roman" w:cs="Times New Roman"/>
          <w:sz w:val="24"/>
        </w:rPr>
        <w:t xml:space="preserve"> to the forefront of the public </w:t>
      </w:r>
      <w:r w:rsidR="00E303A4">
        <w:rPr>
          <w:rFonts w:ascii="Times New Roman" w:hAnsi="Times New Roman" w:cs="Times New Roman"/>
          <w:sz w:val="24"/>
        </w:rPr>
        <w:t>thought through</w:t>
      </w:r>
      <w:r w:rsidR="002810FC">
        <w:rPr>
          <w:rFonts w:ascii="Times New Roman" w:hAnsi="Times New Roman" w:cs="Times New Roman"/>
          <w:sz w:val="24"/>
        </w:rPr>
        <w:t xml:space="preserve"> the film </w:t>
      </w:r>
      <w:r w:rsidR="002810FC" w:rsidRPr="00F06BFD">
        <w:rPr>
          <w:rFonts w:ascii="Times New Roman" w:hAnsi="Times New Roman" w:cs="Times New Roman"/>
          <w:i/>
          <w:sz w:val="24"/>
        </w:rPr>
        <w:t>300</w:t>
      </w:r>
      <w:r w:rsidR="002810FC">
        <w:rPr>
          <w:rFonts w:ascii="Times New Roman" w:hAnsi="Times New Roman" w:cs="Times New Roman"/>
          <w:sz w:val="24"/>
        </w:rPr>
        <w:t xml:space="preserve">. </w:t>
      </w:r>
    </w:p>
    <w:p w14:paraId="01BFD8C6" w14:textId="4206BBB8" w:rsidR="00933127" w:rsidRDefault="002810FC" w:rsidP="005F01C3">
      <w:pPr>
        <w:spacing w:line="360" w:lineRule="auto"/>
        <w:rPr>
          <w:rFonts w:ascii="Times New Roman" w:hAnsi="Times New Roman" w:cs="Times New Roman"/>
          <w:sz w:val="24"/>
        </w:rPr>
      </w:pPr>
      <w:r>
        <w:rPr>
          <w:rFonts w:ascii="Times New Roman" w:hAnsi="Times New Roman" w:cs="Times New Roman"/>
          <w:sz w:val="24"/>
        </w:rPr>
        <w:t>The film, directed by Zac</w:t>
      </w:r>
      <w:r w:rsidR="00AE1DF8">
        <w:rPr>
          <w:rFonts w:ascii="Times New Roman" w:hAnsi="Times New Roman" w:cs="Times New Roman"/>
          <w:sz w:val="24"/>
        </w:rPr>
        <w:t>k</w:t>
      </w:r>
      <w:r>
        <w:rPr>
          <w:rFonts w:ascii="Times New Roman" w:hAnsi="Times New Roman" w:cs="Times New Roman"/>
          <w:sz w:val="24"/>
        </w:rPr>
        <w:t xml:space="preserve"> Snyder, came out in 200</w:t>
      </w:r>
      <w:r w:rsidR="00E303A4">
        <w:rPr>
          <w:rFonts w:ascii="Times New Roman" w:hAnsi="Times New Roman" w:cs="Times New Roman"/>
          <w:sz w:val="24"/>
        </w:rPr>
        <w:t>7</w:t>
      </w:r>
      <w:r>
        <w:rPr>
          <w:rFonts w:ascii="Times New Roman" w:hAnsi="Times New Roman" w:cs="Times New Roman"/>
          <w:sz w:val="24"/>
        </w:rPr>
        <w:t xml:space="preserve"> and was based on the graphic novel of the same name by Frank Miller, and retells the story of the </w:t>
      </w:r>
      <w:r w:rsidR="00F06BFD">
        <w:rPr>
          <w:rFonts w:ascii="Times New Roman" w:hAnsi="Times New Roman" w:cs="Times New Roman"/>
          <w:sz w:val="24"/>
        </w:rPr>
        <w:t xml:space="preserve">three hundred Spartans who fought and died fighting the Persian army at the Battle of Thermopylae. However, instead of being a historical retelling of the battle, the film is certainly closer to historical fantasy, </w:t>
      </w:r>
      <w:r w:rsidR="00650AAB">
        <w:rPr>
          <w:rFonts w:ascii="Times New Roman" w:hAnsi="Times New Roman" w:cs="Times New Roman"/>
          <w:sz w:val="24"/>
        </w:rPr>
        <w:t>due to the monstrous representations of various characters,</w:t>
      </w:r>
      <w:r w:rsidR="00F06BFD">
        <w:rPr>
          <w:rFonts w:ascii="Times New Roman" w:hAnsi="Times New Roman" w:cs="Times New Roman"/>
          <w:sz w:val="24"/>
        </w:rPr>
        <w:t xml:space="preserve"> notably those on the Persian side of the story.</w:t>
      </w:r>
      <w:r w:rsidR="00F06BFD">
        <w:rPr>
          <w:rStyle w:val="FootnoteReference"/>
          <w:rFonts w:ascii="Times New Roman" w:hAnsi="Times New Roman" w:cs="Times New Roman"/>
          <w:sz w:val="24"/>
        </w:rPr>
        <w:footnoteReference w:id="13"/>
      </w:r>
      <w:r w:rsidR="00F06BFD">
        <w:rPr>
          <w:rFonts w:ascii="Times New Roman" w:hAnsi="Times New Roman" w:cs="Times New Roman"/>
          <w:sz w:val="24"/>
        </w:rPr>
        <w:t xml:space="preserve"> Th</w:t>
      </w:r>
      <w:r w:rsidR="00933127">
        <w:rPr>
          <w:rFonts w:ascii="Times New Roman" w:hAnsi="Times New Roman" w:cs="Times New Roman"/>
          <w:sz w:val="24"/>
        </w:rPr>
        <w:t>is has caused the</w:t>
      </w:r>
      <w:r w:rsidR="00F06BFD">
        <w:rPr>
          <w:rFonts w:ascii="Times New Roman" w:hAnsi="Times New Roman" w:cs="Times New Roman"/>
          <w:sz w:val="24"/>
        </w:rPr>
        <w:t xml:space="preserve"> fil</w:t>
      </w:r>
      <w:r w:rsidR="00933127">
        <w:rPr>
          <w:rFonts w:ascii="Times New Roman" w:hAnsi="Times New Roman" w:cs="Times New Roman"/>
          <w:sz w:val="24"/>
        </w:rPr>
        <w:t>m</w:t>
      </w:r>
      <w:r w:rsidR="00F06BFD">
        <w:rPr>
          <w:rFonts w:ascii="Times New Roman" w:hAnsi="Times New Roman" w:cs="Times New Roman"/>
          <w:sz w:val="24"/>
        </w:rPr>
        <w:t xml:space="preserve"> </w:t>
      </w:r>
      <w:r w:rsidR="00933127">
        <w:rPr>
          <w:rFonts w:ascii="Times New Roman" w:hAnsi="Times New Roman" w:cs="Times New Roman"/>
          <w:sz w:val="24"/>
        </w:rPr>
        <w:t xml:space="preserve">to </w:t>
      </w:r>
      <w:r w:rsidR="00F06BFD">
        <w:rPr>
          <w:rFonts w:ascii="Times New Roman" w:hAnsi="Times New Roman" w:cs="Times New Roman"/>
          <w:sz w:val="24"/>
        </w:rPr>
        <w:t>be heavily criticised for its portrayal of the Persians with many labelling the film as racist</w:t>
      </w:r>
      <w:r w:rsidR="00F06BFD">
        <w:rPr>
          <w:rStyle w:val="FootnoteReference"/>
          <w:rFonts w:ascii="Times New Roman" w:hAnsi="Times New Roman" w:cs="Times New Roman"/>
          <w:sz w:val="24"/>
        </w:rPr>
        <w:footnoteReference w:id="14"/>
      </w:r>
      <w:r w:rsidR="00545A67">
        <w:rPr>
          <w:rFonts w:ascii="Times New Roman" w:hAnsi="Times New Roman" w:cs="Times New Roman"/>
          <w:sz w:val="24"/>
        </w:rPr>
        <w:t xml:space="preserve"> and the Iranian government at the time openly condemned the film as anti-Iranian.</w:t>
      </w:r>
      <w:r w:rsidR="00545A67">
        <w:rPr>
          <w:rStyle w:val="FootnoteReference"/>
          <w:rFonts w:ascii="Times New Roman" w:hAnsi="Times New Roman" w:cs="Times New Roman"/>
          <w:sz w:val="24"/>
        </w:rPr>
        <w:footnoteReference w:id="15"/>
      </w:r>
      <w:r w:rsidR="00120EBA">
        <w:rPr>
          <w:rFonts w:ascii="Times New Roman" w:hAnsi="Times New Roman" w:cs="Times New Roman"/>
          <w:sz w:val="24"/>
        </w:rPr>
        <w:t xml:space="preserve"> </w:t>
      </w:r>
      <w:r w:rsidR="00933127">
        <w:rPr>
          <w:rFonts w:ascii="Times New Roman" w:hAnsi="Times New Roman" w:cs="Times New Roman"/>
          <w:sz w:val="24"/>
        </w:rPr>
        <w:t>The film portray</w:t>
      </w:r>
      <w:r w:rsidR="00E303A4">
        <w:rPr>
          <w:rFonts w:ascii="Times New Roman" w:hAnsi="Times New Roman" w:cs="Times New Roman"/>
          <w:sz w:val="24"/>
        </w:rPr>
        <w:t>s</w:t>
      </w:r>
      <w:r w:rsidR="00933127">
        <w:rPr>
          <w:rFonts w:ascii="Times New Roman" w:hAnsi="Times New Roman" w:cs="Times New Roman"/>
          <w:sz w:val="24"/>
        </w:rPr>
        <w:t xml:space="preserve"> the two competing </w:t>
      </w:r>
      <w:r w:rsidR="00E303A4">
        <w:rPr>
          <w:rFonts w:ascii="Times New Roman" w:hAnsi="Times New Roman" w:cs="Times New Roman"/>
          <w:sz w:val="24"/>
        </w:rPr>
        <w:t>groups</w:t>
      </w:r>
      <w:r w:rsidR="00933127">
        <w:rPr>
          <w:rFonts w:ascii="Times New Roman" w:hAnsi="Times New Roman" w:cs="Times New Roman"/>
          <w:sz w:val="24"/>
        </w:rPr>
        <w:t xml:space="preserve"> in the war as distinctly different and to hold different cultural values that would meet the description of differing civilizations proposed by Huntingdon.</w:t>
      </w:r>
      <w:r w:rsidR="00933127">
        <w:rPr>
          <w:rStyle w:val="FootnoteReference"/>
          <w:rFonts w:ascii="Times New Roman" w:hAnsi="Times New Roman" w:cs="Times New Roman"/>
          <w:sz w:val="24"/>
        </w:rPr>
        <w:footnoteReference w:id="16"/>
      </w:r>
      <w:r w:rsidR="00933127">
        <w:rPr>
          <w:rFonts w:ascii="Times New Roman" w:hAnsi="Times New Roman" w:cs="Times New Roman"/>
          <w:sz w:val="24"/>
        </w:rPr>
        <w:t xml:space="preserve"> However, it does not simply portray the Greeks and </w:t>
      </w:r>
      <w:r w:rsidR="00933127">
        <w:rPr>
          <w:rFonts w:ascii="Times New Roman" w:hAnsi="Times New Roman" w:cs="Times New Roman"/>
          <w:sz w:val="24"/>
        </w:rPr>
        <w:lastRenderedPageBreak/>
        <w:t>Persians as two competing civilizations, but goes further to openly portray the Persians as subhuman, and inferior to the Greeks</w:t>
      </w:r>
      <w:r w:rsidR="00650AAB">
        <w:rPr>
          <w:rFonts w:ascii="Times New Roman" w:hAnsi="Times New Roman" w:cs="Times New Roman"/>
          <w:sz w:val="24"/>
        </w:rPr>
        <w:t xml:space="preserve"> showing them to be monstrous, and more effeminate in contrast to the masculinity of the Spartans</w:t>
      </w:r>
      <w:r w:rsidR="00933127">
        <w:rPr>
          <w:rFonts w:ascii="Times New Roman" w:hAnsi="Times New Roman" w:cs="Times New Roman"/>
          <w:sz w:val="24"/>
        </w:rPr>
        <w:t>.</w:t>
      </w:r>
      <w:r w:rsidR="00933127">
        <w:rPr>
          <w:rStyle w:val="FootnoteReference"/>
          <w:rFonts w:ascii="Times New Roman" w:hAnsi="Times New Roman" w:cs="Times New Roman"/>
          <w:sz w:val="24"/>
        </w:rPr>
        <w:footnoteReference w:id="17"/>
      </w:r>
      <w:r w:rsidR="00933127">
        <w:rPr>
          <w:rFonts w:ascii="Times New Roman" w:hAnsi="Times New Roman" w:cs="Times New Roman"/>
          <w:sz w:val="24"/>
        </w:rPr>
        <w:t xml:space="preserve"> This </w:t>
      </w:r>
      <w:r w:rsidR="008A2010">
        <w:rPr>
          <w:rFonts w:ascii="Times New Roman" w:hAnsi="Times New Roman" w:cs="Times New Roman"/>
          <w:sz w:val="24"/>
        </w:rPr>
        <w:t>is</w:t>
      </w:r>
      <w:r w:rsidR="00933127">
        <w:rPr>
          <w:rFonts w:ascii="Times New Roman" w:hAnsi="Times New Roman" w:cs="Times New Roman"/>
          <w:sz w:val="24"/>
        </w:rPr>
        <w:t xml:space="preserve"> part of a long tradition surrounding the Persian Wars, that established the narrative</w:t>
      </w:r>
      <w:r w:rsidR="008A2010">
        <w:rPr>
          <w:rFonts w:ascii="Times New Roman" w:hAnsi="Times New Roman" w:cs="Times New Roman"/>
          <w:sz w:val="24"/>
        </w:rPr>
        <w:t xml:space="preserve"> of the Persian Wars</w:t>
      </w:r>
      <w:r w:rsidR="00933127">
        <w:rPr>
          <w:rFonts w:ascii="Times New Roman" w:hAnsi="Times New Roman" w:cs="Times New Roman"/>
          <w:sz w:val="24"/>
        </w:rPr>
        <w:t xml:space="preserve"> as the defence of Western civilization</w:t>
      </w:r>
      <w:r w:rsidR="008A2010">
        <w:rPr>
          <w:rFonts w:ascii="Times New Roman" w:hAnsi="Times New Roman" w:cs="Times New Roman"/>
          <w:sz w:val="24"/>
        </w:rPr>
        <w:t xml:space="preserve"> against the barbaric threat of The East. However, with </w:t>
      </w:r>
      <w:r w:rsidR="008A2010">
        <w:rPr>
          <w:rFonts w:ascii="Times New Roman" w:hAnsi="Times New Roman" w:cs="Times New Roman"/>
          <w:i/>
          <w:sz w:val="24"/>
        </w:rPr>
        <w:t>300’s</w:t>
      </w:r>
      <w:r w:rsidR="008A2010">
        <w:rPr>
          <w:rFonts w:ascii="Times New Roman" w:hAnsi="Times New Roman" w:cs="Times New Roman"/>
          <w:sz w:val="24"/>
        </w:rPr>
        <w:t xml:space="preserve"> incredible popularity, this narrative has once again been popularised in Europe, and the idolisation of Leonidas and his army’s sacrifice at Thermopylae has seemingly - with the use of imagery commemorating the battle in </w:t>
      </w:r>
      <w:proofErr w:type="spellStart"/>
      <w:r w:rsidR="008A2010">
        <w:rPr>
          <w:rFonts w:ascii="Times New Roman" w:hAnsi="Times New Roman" w:cs="Times New Roman"/>
          <w:sz w:val="24"/>
        </w:rPr>
        <w:t>Identitarian</w:t>
      </w:r>
      <w:proofErr w:type="spellEnd"/>
      <w:r w:rsidR="008A2010">
        <w:rPr>
          <w:rFonts w:ascii="Times New Roman" w:hAnsi="Times New Roman" w:cs="Times New Roman"/>
          <w:sz w:val="24"/>
        </w:rPr>
        <w:t xml:space="preserve"> movements in The West – </w:t>
      </w:r>
      <w:r w:rsidR="00603475">
        <w:rPr>
          <w:rFonts w:ascii="Times New Roman" w:hAnsi="Times New Roman" w:cs="Times New Roman"/>
          <w:sz w:val="24"/>
        </w:rPr>
        <w:t xml:space="preserve">has </w:t>
      </w:r>
      <w:r w:rsidR="008A2010">
        <w:rPr>
          <w:rFonts w:ascii="Times New Roman" w:hAnsi="Times New Roman" w:cs="Times New Roman"/>
          <w:sz w:val="24"/>
        </w:rPr>
        <w:t xml:space="preserve">once again become a symbol of the defence of Western civilisation against the “barbaric” East. Thus, for the remainder of this essay I will show how </w:t>
      </w:r>
      <w:r w:rsidR="008A2010">
        <w:rPr>
          <w:rFonts w:ascii="Times New Roman" w:hAnsi="Times New Roman" w:cs="Times New Roman"/>
          <w:i/>
          <w:sz w:val="24"/>
        </w:rPr>
        <w:t>300</w:t>
      </w:r>
      <w:r w:rsidR="008A2010">
        <w:rPr>
          <w:rFonts w:ascii="Times New Roman" w:hAnsi="Times New Roman" w:cs="Times New Roman"/>
          <w:sz w:val="24"/>
        </w:rPr>
        <w:t xml:space="preserve"> fits into this historical tradition of </w:t>
      </w:r>
      <w:r w:rsidR="00603475">
        <w:rPr>
          <w:rFonts w:ascii="Times New Roman" w:hAnsi="Times New Roman" w:cs="Times New Roman"/>
          <w:sz w:val="24"/>
        </w:rPr>
        <w:t xml:space="preserve">West vs East narratives surrounding </w:t>
      </w:r>
      <w:r w:rsidR="008A2010">
        <w:rPr>
          <w:rFonts w:ascii="Times New Roman" w:hAnsi="Times New Roman" w:cs="Times New Roman"/>
          <w:sz w:val="24"/>
        </w:rPr>
        <w:t>the Persian Wars and will argue that the film</w:t>
      </w:r>
      <w:r w:rsidR="00D00F18">
        <w:rPr>
          <w:rFonts w:ascii="Times New Roman" w:hAnsi="Times New Roman" w:cs="Times New Roman"/>
          <w:sz w:val="24"/>
        </w:rPr>
        <w:t xml:space="preserve"> continues this tradition by seeking to </w:t>
      </w:r>
      <w:r w:rsidR="00603475">
        <w:rPr>
          <w:rFonts w:ascii="Times New Roman" w:hAnsi="Times New Roman" w:cs="Times New Roman"/>
          <w:sz w:val="24"/>
        </w:rPr>
        <w:t>show</w:t>
      </w:r>
      <w:r w:rsidR="00D00F18">
        <w:rPr>
          <w:rFonts w:ascii="Times New Roman" w:hAnsi="Times New Roman" w:cs="Times New Roman"/>
          <w:sz w:val="24"/>
        </w:rPr>
        <w:t xml:space="preserve"> The East</w:t>
      </w:r>
      <w:r w:rsidR="00603475">
        <w:rPr>
          <w:rFonts w:ascii="Times New Roman" w:hAnsi="Times New Roman" w:cs="Times New Roman"/>
          <w:sz w:val="24"/>
        </w:rPr>
        <w:t xml:space="preserve"> as corrupted and the anti-thesis of Western cultural values</w:t>
      </w:r>
      <w:r w:rsidR="00D00F18">
        <w:rPr>
          <w:rFonts w:ascii="Times New Roman" w:hAnsi="Times New Roman" w:cs="Times New Roman"/>
          <w:sz w:val="24"/>
        </w:rPr>
        <w:t xml:space="preserve">, providing the basis for why the </w:t>
      </w:r>
      <w:proofErr w:type="spellStart"/>
      <w:r w:rsidR="00D00F18">
        <w:rPr>
          <w:rFonts w:ascii="Times New Roman" w:hAnsi="Times New Roman" w:cs="Times New Roman"/>
          <w:sz w:val="24"/>
        </w:rPr>
        <w:t>Identitarian</w:t>
      </w:r>
      <w:proofErr w:type="spellEnd"/>
      <w:r w:rsidR="00D00F18">
        <w:rPr>
          <w:rFonts w:ascii="Times New Roman" w:hAnsi="Times New Roman" w:cs="Times New Roman"/>
          <w:sz w:val="24"/>
        </w:rPr>
        <w:t xml:space="preserve"> movement uses iconography associated with the war.</w:t>
      </w:r>
    </w:p>
    <w:p w14:paraId="58B3F2DC" w14:textId="77777777" w:rsidR="00C83850" w:rsidRDefault="00C83850" w:rsidP="005F01C3">
      <w:pPr>
        <w:spacing w:line="360" w:lineRule="auto"/>
        <w:rPr>
          <w:rFonts w:ascii="Times New Roman" w:hAnsi="Times New Roman" w:cs="Times New Roman"/>
          <w:sz w:val="24"/>
        </w:rPr>
      </w:pPr>
    </w:p>
    <w:p w14:paraId="45EE051A" w14:textId="7BEFED95" w:rsidR="00762D09" w:rsidRPr="00C83850" w:rsidRDefault="00C83850" w:rsidP="005F01C3">
      <w:pPr>
        <w:spacing w:line="360" w:lineRule="auto"/>
        <w:rPr>
          <w:rFonts w:ascii="Times New Roman" w:hAnsi="Times New Roman" w:cs="Times New Roman"/>
          <w:b/>
          <w:i/>
          <w:sz w:val="24"/>
        </w:rPr>
      </w:pPr>
      <w:r w:rsidRPr="00C83850">
        <w:rPr>
          <w:rFonts w:ascii="Times New Roman" w:hAnsi="Times New Roman" w:cs="Times New Roman"/>
          <w:b/>
          <w:i/>
          <w:sz w:val="24"/>
        </w:rPr>
        <w:t>The Persian Wars and the “Clash of Civilizations” throughout history:</w:t>
      </w:r>
    </w:p>
    <w:p w14:paraId="3E7A6F21" w14:textId="43417C12" w:rsidR="00C83850" w:rsidRDefault="00C83850" w:rsidP="005F01C3">
      <w:pPr>
        <w:spacing w:line="360" w:lineRule="auto"/>
        <w:rPr>
          <w:rFonts w:ascii="Times New Roman" w:hAnsi="Times New Roman" w:cs="Times New Roman"/>
          <w:sz w:val="24"/>
        </w:rPr>
      </w:pPr>
      <w:r>
        <w:rPr>
          <w:rFonts w:ascii="Times New Roman" w:hAnsi="Times New Roman" w:cs="Times New Roman"/>
          <w:sz w:val="24"/>
        </w:rPr>
        <w:t>As I have previously mentioned, the</w:t>
      </w:r>
      <w:r w:rsidR="00AB4D7F">
        <w:rPr>
          <w:rFonts w:ascii="Times New Roman" w:hAnsi="Times New Roman" w:cs="Times New Roman"/>
          <w:sz w:val="24"/>
        </w:rPr>
        <w:t xml:space="preserve"> idea of the Persian Wars being thought of as the clashing of two “civilizations” is nothing new in The West. Even from Herodotus’ own account we can see that the Greeks at the time considered the conflict as one to defend their culture and values from being overthrown by the Persian. Rhodes in his article</w:t>
      </w:r>
      <w:r w:rsidR="00591AF7">
        <w:rPr>
          <w:rFonts w:ascii="Times New Roman" w:hAnsi="Times New Roman" w:cs="Times New Roman"/>
          <w:sz w:val="24"/>
        </w:rPr>
        <w:t xml:space="preserve"> ‘The Impact of the Persian Wars on Classical Greece’ describes the war as being Greece’s ‘Great Patriotic War’, as Greeks that did not join the fight against Persia under Spartan leadership were branded traitors by those who did.</w:t>
      </w:r>
      <w:r w:rsidR="00591AF7">
        <w:rPr>
          <w:rStyle w:val="FootnoteReference"/>
          <w:rFonts w:ascii="Times New Roman" w:hAnsi="Times New Roman" w:cs="Times New Roman"/>
          <w:sz w:val="24"/>
        </w:rPr>
        <w:footnoteReference w:id="18"/>
      </w:r>
      <w:r w:rsidR="00591AF7">
        <w:rPr>
          <w:rFonts w:ascii="Times New Roman" w:hAnsi="Times New Roman" w:cs="Times New Roman"/>
          <w:sz w:val="24"/>
        </w:rPr>
        <w:t xml:space="preserve"> Rhodes does point out though, that not all the Greeks did join the war, and note Herodotus’ claim that without Athens the majority of the Greeks would not have fought</w:t>
      </w:r>
      <w:r w:rsidR="00337741">
        <w:rPr>
          <w:rFonts w:ascii="Times New Roman" w:hAnsi="Times New Roman" w:cs="Times New Roman"/>
          <w:sz w:val="24"/>
        </w:rPr>
        <w:t>, as Argos would not have submitted to Spartan leadership, and the Thessalians were indecisive as to whether to join the Greek resistance</w:t>
      </w:r>
      <w:r w:rsidR="00591AF7">
        <w:rPr>
          <w:rFonts w:ascii="Times New Roman" w:hAnsi="Times New Roman" w:cs="Times New Roman"/>
          <w:sz w:val="24"/>
        </w:rPr>
        <w:t>.</w:t>
      </w:r>
      <w:r w:rsidR="00591AF7">
        <w:rPr>
          <w:rStyle w:val="FootnoteReference"/>
          <w:rFonts w:ascii="Times New Roman" w:hAnsi="Times New Roman" w:cs="Times New Roman"/>
          <w:sz w:val="24"/>
        </w:rPr>
        <w:footnoteReference w:id="19"/>
      </w:r>
      <w:r w:rsidR="00591AF7">
        <w:rPr>
          <w:rFonts w:ascii="Times New Roman" w:hAnsi="Times New Roman" w:cs="Times New Roman"/>
          <w:sz w:val="24"/>
        </w:rPr>
        <w:t xml:space="preserve"> </w:t>
      </w:r>
      <w:r w:rsidR="00337741">
        <w:rPr>
          <w:rFonts w:ascii="Times New Roman" w:hAnsi="Times New Roman" w:cs="Times New Roman"/>
          <w:sz w:val="24"/>
        </w:rPr>
        <w:t>The Thebans after Thermopylae went over to the Persians assuming defeat was certain,</w:t>
      </w:r>
      <w:r w:rsidR="00337741">
        <w:rPr>
          <w:rStyle w:val="FootnoteReference"/>
          <w:rFonts w:ascii="Times New Roman" w:hAnsi="Times New Roman" w:cs="Times New Roman"/>
          <w:sz w:val="24"/>
        </w:rPr>
        <w:footnoteReference w:id="20"/>
      </w:r>
      <w:r w:rsidR="00337741">
        <w:rPr>
          <w:rFonts w:ascii="Times New Roman" w:hAnsi="Times New Roman" w:cs="Times New Roman"/>
          <w:sz w:val="24"/>
        </w:rPr>
        <w:t xml:space="preserve"> and Elis and Mantinea were late to </w:t>
      </w:r>
      <w:r w:rsidR="00337741">
        <w:rPr>
          <w:rFonts w:ascii="Times New Roman" w:hAnsi="Times New Roman" w:cs="Times New Roman"/>
          <w:sz w:val="24"/>
        </w:rPr>
        <w:lastRenderedPageBreak/>
        <w:t>Plataea which Rhodes suggests could have been because they feared defeat.</w:t>
      </w:r>
      <w:r w:rsidR="00337741">
        <w:rPr>
          <w:rStyle w:val="FootnoteReference"/>
          <w:rFonts w:ascii="Times New Roman" w:hAnsi="Times New Roman" w:cs="Times New Roman"/>
          <w:sz w:val="24"/>
        </w:rPr>
        <w:footnoteReference w:id="21"/>
      </w:r>
      <w:r w:rsidR="00591AF7">
        <w:rPr>
          <w:rFonts w:ascii="Times New Roman" w:hAnsi="Times New Roman" w:cs="Times New Roman"/>
          <w:sz w:val="24"/>
        </w:rPr>
        <w:t xml:space="preserve">However, </w:t>
      </w:r>
      <w:r w:rsidR="00164EDC">
        <w:rPr>
          <w:rFonts w:ascii="Times New Roman" w:hAnsi="Times New Roman" w:cs="Times New Roman"/>
          <w:sz w:val="24"/>
        </w:rPr>
        <w:t xml:space="preserve">despite the lack of total unity among the Greeks, </w:t>
      </w:r>
      <w:r w:rsidR="00591AF7">
        <w:rPr>
          <w:rFonts w:ascii="Times New Roman" w:hAnsi="Times New Roman" w:cs="Times New Roman"/>
          <w:sz w:val="24"/>
        </w:rPr>
        <w:t>Rhodes argues, and with this I would agree, that the Greeks saw this defeat of the Persians as a primarily Greek victory</w:t>
      </w:r>
      <w:r w:rsidR="00ED7862">
        <w:rPr>
          <w:rFonts w:ascii="Times New Roman" w:hAnsi="Times New Roman" w:cs="Times New Roman"/>
          <w:sz w:val="24"/>
        </w:rPr>
        <w:t xml:space="preserve"> over the barbarous Eastern threat</w:t>
      </w:r>
      <w:r w:rsidR="00591AF7">
        <w:rPr>
          <w:rFonts w:ascii="Times New Roman" w:hAnsi="Times New Roman" w:cs="Times New Roman"/>
          <w:sz w:val="24"/>
        </w:rPr>
        <w:t xml:space="preserve">, rather than that of a group of, or individual </w:t>
      </w:r>
      <w:r w:rsidR="00591AF7">
        <w:rPr>
          <w:rFonts w:ascii="Times New Roman" w:hAnsi="Times New Roman" w:cs="Times New Roman"/>
          <w:i/>
          <w:sz w:val="24"/>
        </w:rPr>
        <w:t>poleis</w:t>
      </w:r>
      <w:r w:rsidR="00591AF7">
        <w:rPr>
          <w:rFonts w:ascii="Times New Roman" w:hAnsi="Times New Roman" w:cs="Times New Roman"/>
          <w:sz w:val="24"/>
        </w:rPr>
        <w:t>.</w:t>
      </w:r>
      <w:r w:rsidR="00ED7862">
        <w:rPr>
          <w:rStyle w:val="FootnoteReference"/>
          <w:rFonts w:ascii="Times New Roman" w:hAnsi="Times New Roman" w:cs="Times New Roman"/>
          <w:sz w:val="24"/>
        </w:rPr>
        <w:footnoteReference w:id="22"/>
      </w:r>
      <w:r w:rsidR="00ED7862">
        <w:rPr>
          <w:rFonts w:ascii="Times New Roman" w:hAnsi="Times New Roman" w:cs="Times New Roman"/>
          <w:sz w:val="24"/>
        </w:rPr>
        <w:t xml:space="preserve"> This narrative established through Herodotus</w:t>
      </w:r>
      <w:r w:rsidR="0057444F">
        <w:rPr>
          <w:rFonts w:ascii="Times New Roman" w:hAnsi="Times New Roman" w:cs="Times New Roman"/>
          <w:sz w:val="24"/>
        </w:rPr>
        <w:t xml:space="preserve"> clearly shows a mentality that the Greeks had regarding the Persian Wars that caused it to be seen as a civilizational conflict.</w:t>
      </w:r>
    </w:p>
    <w:p w14:paraId="2EB9E7A6" w14:textId="7C2FB765" w:rsidR="00337741" w:rsidRDefault="00337741" w:rsidP="005F01C3">
      <w:pPr>
        <w:spacing w:line="360" w:lineRule="auto"/>
        <w:rPr>
          <w:rFonts w:ascii="Times New Roman" w:hAnsi="Times New Roman" w:cs="Times New Roman"/>
          <w:sz w:val="24"/>
        </w:rPr>
      </w:pPr>
      <w:r>
        <w:rPr>
          <w:rFonts w:ascii="Times New Roman" w:hAnsi="Times New Roman" w:cs="Times New Roman"/>
          <w:sz w:val="24"/>
        </w:rPr>
        <w:t>We see this as a theme that continues in Western traditions of the Persian Wars.</w:t>
      </w:r>
      <w:r w:rsidR="00164EDC">
        <w:rPr>
          <w:rFonts w:ascii="Times New Roman" w:hAnsi="Times New Roman" w:cs="Times New Roman"/>
          <w:sz w:val="24"/>
        </w:rPr>
        <w:t xml:space="preserve"> </w:t>
      </w:r>
      <w:r w:rsidR="00120027">
        <w:rPr>
          <w:rFonts w:ascii="Times New Roman" w:hAnsi="Times New Roman" w:cs="Times New Roman"/>
          <w:sz w:val="24"/>
        </w:rPr>
        <w:t xml:space="preserve">Hall argues that depending on if </w:t>
      </w:r>
      <w:r w:rsidR="00120027">
        <w:rPr>
          <w:rFonts w:ascii="Times New Roman" w:hAnsi="Times New Roman" w:cs="Times New Roman"/>
          <w:i/>
          <w:sz w:val="24"/>
        </w:rPr>
        <w:t xml:space="preserve">The Letters of </w:t>
      </w:r>
      <w:r w:rsidR="00120027" w:rsidRPr="00120027">
        <w:rPr>
          <w:rFonts w:ascii="Times New Roman" w:hAnsi="Times New Roman" w:cs="Times New Roman"/>
          <w:i/>
          <w:sz w:val="24"/>
        </w:rPr>
        <w:t>Themistocles</w:t>
      </w:r>
      <w:r w:rsidR="00120027">
        <w:rPr>
          <w:rFonts w:ascii="Times New Roman" w:hAnsi="Times New Roman" w:cs="Times New Roman"/>
          <w:i/>
          <w:sz w:val="24"/>
        </w:rPr>
        <w:t xml:space="preserve"> </w:t>
      </w:r>
      <w:r w:rsidR="00120027">
        <w:rPr>
          <w:rFonts w:ascii="Times New Roman" w:hAnsi="Times New Roman" w:cs="Times New Roman"/>
          <w:sz w:val="24"/>
        </w:rPr>
        <w:t>is actually a Byzantine text, then we can see through this, the fact that the maintenance of a ‘Greek’ identity was an issue during the Byzantine period and how the Persian Wars was used at the time to help define this.</w:t>
      </w:r>
      <w:r w:rsidR="00011CBD">
        <w:rPr>
          <w:rStyle w:val="FootnoteReference"/>
          <w:rFonts w:ascii="Times New Roman" w:hAnsi="Times New Roman" w:cs="Times New Roman"/>
          <w:sz w:val="24"/>
        </w:rPr>
        <w:footnoteReference w:id="23"/>
      </w:r>
      <w:r w:rsidR="00A63A0D" w:rsidRPr="00A63A0D">
        <w:rPr>
          <w:rFonts w:ascii="Times New Roman" w:hAnsi="Times New Roman" w:cs="Times New Roman"/>
          <w:sz w:val="24"/>
        </w:rPr>
        <w:t xml:space="preserve"> </w:t>
      </w:r>
      <w:r w:rsidR="00A63A0D">
        <w:rPr>
          <w:rFonts w:ascii="Times New Roman" w:hAnsi="Times New Roman" w:cs="Times New Roman"/>
          <w:sz w:val="24"/>
        </w:rPr>
        <w:t xml:space="preserve">And from the writings of Anna </w:t>
      </w:r>
      <w:proofErr w:type="spellStart"/>
      <w:r w:rsidR="00A63A0D">
        <w:rPr>
          <w:rFonts w:ascii="Times New Roman" w:hAnsi="Times New Roman" w:cs="Times New Roman"/>
          <w:sz w:val="24"/>
        </w:rPr>
        <w:t>Comnena</w:t>
      </w:r>
      <w:proofErr w:type="spellEnd"/>
      <w:r w:rsidR="00A63A0D">
        <w:rPr>
          <w:rFonts w:ascii="Times New Roman" w:hAnsi="Times New Roman" w:cs="Times New Roman"/>
          <w:sz w:val="24"/>
        </w:rPr>
        <w:t xml:space="preserve"> we see a Byzantine literary tradition that sought to defend itself from outside influences as following an invasion of Byzantine lands by Normans, </w:t>
      </w:r>
      <w:proofErr w:type="spellStart"/>
      <w:r w:rsidR="00A63A0D">
        <w:rPr>
          <w:rFonts w:ascii="Times New Roman" w:hAnsi="Times New Roman" w:cs="Times New Roman"/>
          <w:sz w:val="24"/>
        </w:rPr>
        <w:t>Comnena</w:t>
      </w:r>
      <w:proofErr w:type="spellEnd"/>
      <w:r w:rsidR="00A63A0D">
        <w:rPr>
          <w:rFonts w:ascii="Times New Roman" w:hAnsi="Times New Roman" w:cs="Times New Roman"/>
          <w:sz w:val="24"/>
        </w:rPr>
        <w:t xml:space="preserve"> refers to them as </w:t>
      </w:r>
      <w:proofErr w:type="spellStart"/>
      <w:r w:rsidR="00A63A0D">
        <w:rPr>
          <w:rFonts w:ascii="Times New Roman" w:hAnsi="Times New Roman" w:cs="Times New Roman"/>
          <w:i/>
          <w:sz w:val="24"/>
        </w:rPr>
        <w:t>barbaroi</w:t>
      </w:r>
      <w:proofErr w:type="spellEnd"/>
      <w:r w:rsidR="009B4C04">
        <w:rPr>
          <w:rFonts w:ascii="Times New Roman" w:hAnsi="Times New Roman" w:cs="Times New Roman"/>
          <w:sz w:val="24"/>
        </w:rPr>
        <w:t>.</w:t>
      </w:r>
      <w:r w:rsidR="00182CF2">
        <w:rPr>
          <w:rStyle w:val="FootnoteReference"/>
          <w:rFonts w:ascii="Times New Roman" w:hAnsi="Times New Roman" w:cs="Times New Roman"/>
          <w:i/>
          <w:sz w:val="24"/>
        </w:rPr>
        <w:footnoteReference w:id="24"/>
      </w:r>
      <w:r w:rsidR="00182CF2">
        <w:rPr>
          <w:rFonts w:ascii="Times New Roman" w:hAnsi="Times New Roman" w:cs="Times New Roman"/>
          <w:sz w:val="24"/>
        </w:rPr>
        <w:t xml:space="preserve"> </w:t>
      </w:r>
      <w:r w:rsidR="009B4C04">
        <w:rPr>
          <w:rFonts w:ascii="Times New Roman" w:hAnsi="Times New Roman" w:cs="Times New Roman"/>
          <w:sz w:val="24"/>
        </w:rPr>
        <w:t xml:space="preserve">This further shows the presence of a society that was seeking to define itself against the presence of outside threats. The use of the term </w:t>
      </w:r>
      <w:proofErr w:type="spellStart"/>
      <w:r w:rsidR="009B4C04" w:rsidRPr="009B4C04">
        <w:rPr>
          <w:rFonts w:ascii="Times New Roman" w:hAnsi="Times New Roman" w:cs="Times New Roman"/>
          <w:i/>
          <w:sz w:val="24"/>
        </w:rPr>
        <w:t>barboroi</w:t>
      </w:r>
      <w:proofErr w:type="spellEnd"/>
      <w:r w:rsidR="009B4C04">
        <w:rPr>
          <w:rFonts w:ascii="Times New Roman" w:hAnsi="Times New Roman" w:cs="Times New Roman"/>
          <w:i/>
          <w:sz w:val="24"/>
        </w:rPr>
        <w:t xml:space="preserve"> </w:t>
      </w:r>
      <w:r w:rsidR="009B4C04">
        <w:rPr>
          <w:rFonts w:ascii="Times New Roman" w:hAnsi="Times New Roman" w:cs="Times New Roman"/>
          <w:sz w:val="24"/>
        </w:rPr>
        <w:t>in a Greek Byzantine context</w:t>
      </w:r>
      <w:r w:rsidR="00182CF2">
        <w:rPr>
          <w:rFonts w:ascii="Times New Roman" w:hAnsi="Times New Roman" w:cs="Times New Roman"/>
          <w:sz w:val="24"/>
        </w:rPr>
        <w:t xml:space="preserve"> </w:t>
      </w:r>
      <w:r w:rsidR="009B4C04">
        <w:rPr>
          <w:rFonts w:ascii="Times New Roman" w:hAnsi="Times New Roman" w:cs="Times New Roman"/>
          <w:sz w:val="24"/>
        </w:rPr>
        <w:t xml:space="preserve">evokes </w:t>
      </w:r>
      <w:r w:rsidR="00182CF2">
        <w:rPr>
          <w:rFonts w:ascii="Times New Roman" w:hAnsi="Times New Roman" w:cs="Times New Roman"/>
          <w:sz w:val="24"/>
        </w:rPr>
        <w:t xml:space="preserve">a picture of the defence of Greece in the Persian Wars, </w:t>
      </w:r>
      <w:r w:rsidR="009B4C04">
        <w:rPr>
          <w:rFonts w:ascii="Times New Roman" w:hAnsi="Times New Roman" w:cs="Times New Roman"/>
          <w:sz w:val="24"/>
        </w:rPr>
        <w:t>as</w:t>
      </w:r>
      <w:r w:rsidR="00182CF2">
        <w:rPr>
          <w:rFonts w:ascii="Times New Roman" w:hAnsi="Times New Roman" w:cs="Times New Roman"/>
          <w:sz w:val="24"/>
        </w:rPr>
        <w:t xml:space="preserve"> the Persians being the stereotypical barbarian in Greek art</w:t>
      </w:r>
      <w:r w:rsidR="00A63A0D">
        <w:rPr>
          <w:rFonts w:ascii="Times New Roman" w:hAnsi="Times New Roman" w:cs="Times New Roman"/>
          <w:sz w:val="24"/>
        </w:rPr>
        <w:t>.</w:t>
      </w:r>
      <w:r w:rsidR="00011CBD">
        <w:rPr>
          <w:rStyle w:val="FootnoteReference"/>
          <w:rFonts w:ascii="Times New Roman" w:hAnsi="Times New Roman" w:cs="Times New Roman"/>
          <w:sz w:val="24"/>
        </w:rPr>
        <w:footnoteReference w:id="25"/>
      </w:r>
      <w:r w:rsidR="00120027">
        <w:rPr>
          <w:rFonts w:ascii="Times New Roman" w:hAnsi="Times New Roman" w:cs="Times New Roman"/>
          <w:i/>
          <w:sz w:val="24"/>
        </w:rPr>
        <w:t xml:space="preserve"> </w:t>
      </w:r>
      <w:r w:rsidR="00AF4ACE" w:rsidRPr="00120027">
        <w:rPr>
          <w:rFonts w:ascii="Times New Roman" w:hAnsi="Times New Roman" w:cs="Times New Roman"/>
          <w:sz w:val="24"/>
        </w:rPr>
        <w:t>Hall</w:t>
      </w:r>
      <w:r w:rsidR="00120027">
        <w:rPr>
          <w:rFonts w:ascii="Times New Roman" w:hAnsi="Times New Roman" w:cs="Times New Roman"/>
          <w:sz w:val="24"/>
        </w:rPr>
        <w:t xml:space="preserve"> also</w:t>
      </w:r>
      <w:r w:rsidR="00AF4ACE">
        <w:rPr>
          <w:rFonts w:ascii="Times New Roman" w:hAnsi="Times New Roman" w:cs="Times New Roman"/>
          <w:sz w:val="24"/>
        </w:rPr>
        <w:t xml:space="preserve"> notes that the Byzantines </w:t>
      </w:r>
      <w:r w:rsidR="00120027">
        <w:rPr>
          <w:rFonts w:ascii="Times New Roman" w:hAnsi="Times New Roman" w:cs="Times New Roman"/>
          <w:sz w:val="24"/>
        </w:rPr>
        <w:t xml:space="preserve">may have used the story of the Persian Wars from Aeschylus’ </w:t>
      </w:r>
      <w:r w:rsidR="00120027">
        <w:rPr>
          <w:rFonts w:ascii="Times New Roman" w:hAnsi="Times New Roman" w:cs="Times New Roman"/>
          <w:i/>
          <w:sz w:val="24"/>
        </w:rPr>
        <w:t>Persians</w:t>
      </w:r>
      <w:r w:rsidR="00120027">
        <w:rPr>
          <w:rFonts w:ascii="Times New Roman" w:hAnsi="Times New Roman" w:cs="Times New Roman"/>
          <w:sz w:val="24"/>
        </w:rPr>
        <w:t xml:space="preserve"> to help reinforce ‘their own ethnic self-definitions’.</w:t>
      </w:r>
      <w:r w:rsidR="00120027">
        <w:rPr>
          <w:rStyle w:val="FootnoteReference"/>
          <w:rFonts w:ascii="Times New Roman" w:hAnsi="Times New Roman" w:cs="Times New Roman"/>
          <w:sz w:val="24"/>
        </w:rPr>
        <w:footnoteReference w:id="26"/>
      </w:r>
      <w:r w:rsidR="00A63A0D">
        <w:rPr>
          <w:rFonts w:ascii="Times New Roman" w:hAnsi="Times New Roman" w:cs="Times New Roman"/>
          <w:sz w:val="24"/>
        </w:rPr>
        <w:t xml:space="preserve"> </w:t>
      </w:r>
    </w:p>
    <w:p w14:paraId="1AB794DC" w14:textId="4B1B21EC" w:rsidR="0087383D" w:rsidRDefault="0087383D" w:rsidP="005F01C3">
      <w:pPr>
        <w:spacing w:line="360" w:lineRule="auto"/>
        <w:rPr>
          <w:rFonts w:ascii="Times New Roman" w:hAnsi="Times New Roman" w:cs="Times New Roman"/>
          <w:sz w:val="24"/>
        </w:rPr>
      </w:pPr>
      <w:r>
        <w:rPr>
          <w:rFonts w:ascii="Times New Roman" w:hAnsi="Times New Roman" w:cs="Times New Roman"/>
          <w:sz w:val="24"/>
        </w:rPr>
        <w:t xml:space="preserve">We also see from Classical Greece, how the Greeks sought to separate their culture and </w:t>
      </w:r>
      <w:r w:rsidR="009B4C04">
        <w:rPr>
          <w:rFonts w:ascii="Times New Roman" w:hAnsi="Times New Roman" w:cs="Times New Roman"/>
          <w:sz w:val="24"/>
        </w:rPr>
        <w:t>ethnic identity</w:t>
      </w:r>
      <w:r>
        <w:rPr>
          <w:rFonts w:ascii="Times New Roman" w:hAnsi="Times New Roman" w:cs="Times New Roman"/>
          <w:sz w:val="24"/>
        </w:rPr>
        <w:t xml:space="preserve"> from</w:t>
      </w:r>
      <w:r w:rsidR="00ED3857">
        <w:rPr>
          <w:rFonts w:ascii="Times New Roman" w:hAnsi="Times New Roman" w:cs="Times New Roman"/>
          <w:sz w:val="24"/>
        </w:rPr>
        <w:t xml:space="preserve"> that of the</w:t>
      </w:r>
      <w:r>
        <w:rPr>
          <w:rFonts w:ascii="Times New Roman" w:hAnsi="Times New Roman" w:cs="Times New Roman"/>
          <w:sz w:val="24"/>
        </w:rPr>
        <w:t xml:space="preserve"> Persia</w:t>
      </w:r>
      <w:r w:rsidR="00ED3857">
        <w:rPr>
          <w:rFonts w:ascii="Times New Roman" w:hAnsi="Times New Roman" w:cs="Times New Roman"/>
          <w:sz w:val="24"/>
        </w:rPr>
        <w:t>ns</w:t>
      </w:r>
      <w:r>
        <w:rPr>
          <w:rFonts w:ascii="Times New Roman" w:hAnsi="Times New Roman" w:cs="Times New Roman"/>
          <w:sz w:val="24"/>
        </w:rPr>
        <w:t xml:space="preserve">. This was done primarily by portraying the Persian Empire and its system of government as inherently flawed and inferior to Greek values of liberty and </w:t>
      </w:r>
      <w:r>
        <w:rPr>
          <w:rFonts w:ascii="Times New Roman" w:hAnsi="Times New Roman" w:cs="Times New Roman"/>
          <w:i/>
          <w:sz w:val="24"/>
        </w:rPr>
        <w:t xml:space="preserve">Polis </w:t>
      </w:r>
      <w:r>
        <w:rPr>
          <w:rFonts w:ascii="Times New Roman" w:hAnsi="Times New Roman" w:cs="Times New Roman"/>
          <w:sz w:val="24"/>
        </w:rPr>
        <w:t xml:space="preserve">autonomy. We have numerous examples of this, such as in Plato’s </w:t>
      </w:r>
      <w:r>
        <w:rPr>
          <w:rFonts w:ascii="Times New Roman" w:hAnsi="Times New Roman" w:cs="Times New Roman"/>
          <w:i/>
          <w:sz w:val="24"/>
        </w:rPr>
        <w:t>Laws</w:t>
      </w:r>
      <w:r>
        <w:rPr>
          <w:rFonts w:ascii="Times New Roman" w:hAnsi="Times New Roman" w:cs="Times New Roman"/>
          <w:sz w:val="24"/>
        </w:rPr>
        <w:t>.</w:t>
      </w:r>
      <w:r w:rsidR="009234F1">
        <w:rPr>
          <w:rFonts w:ascii="Times New Roman" w:hAnsi="Times New Roman" w:cs="Times New Roman"/>
          <w:sz w:val="24"/>
        </w:rPr>
        <w:t xml:space="preserve"> According to Plato in book three of </w:t>
      </w:r>
      <w:r w:rsidR="009234F1">
        <w:rPr>
          <w:rFonts w:ascii="Times New Roman" w:hAnsi="Times New Roman" w:cs="Times New Roman"/>
          <w:i/>
          <w:sz w:val="24"/>
        </w:rPr>
        <w:t>The Laws</w:t>
      </w:r>
      <w:r w:rsidR="009234F1">
        <w:rPr>
          <w:rFonts w:ascii="Times New Roman" w:hAnsi="Times New Roman" w:cs="Times New Roman"/>
          <w:sz w:val="24"/>
        </w:rPr>
        <w:t xml:space="preserve"> the Persian government under Cyrus, was ‘a judicious blend of liberty and subjection’.</w:t>
      </w:r>
      <w:r w:rsidR="009234F1">
        <w:rPr>
          <w:rStyle w:val="FootnoteReference"/>
          <w:rFonts w:ascii="Times New Roman" w:hAnsi="Times New Roman" w:cs="Times New Roman"/>
          <w:sz w:val="24"/>
        </w:rPr>
        <w:footnoteReference w:id="27"/>
      </w:r>
      <w:r w:rsidR="009234F1">
        <w:rPr>
          <w:rFonts w:ascii="Times New Roman" w:hAnsi="Times New Roman" w:cs="Times New Roman"/>
          <w:sz w:val="24"/>
        </w:rPr>
        <w:t xml:space="preserve"> However, because Cyrus was so successful a campaigner, he was always on campaign, meaning that instead of </w:t>
      </w:r>
      <w:r w:rsidR="00DF0AFE">
        <w:rPr>
          <w:rFonts w:ascii="Times New Roman" w:hAnsi="Times New Roman" w:cs="Times New Roman"/>
          <w:sz w:val="24"/>
        </w:rPr>
        <w:t>receiving an education in ‘traditional Persian discipline’,</w:t>
      </w:r>
      <w:r w:rsidR="00DF0AFE">
        <w:rPr>
          <w:rStyle w:val="FootnoteReference"/>
          <w:rFonts w:ascii="Times New Roman" w:hAnsi="Times New Roman" w:cs="Times New Roman"/>
          <w:sz w:val="24"/>
        </w:rPr>
        <w:footnoteReference w:id="28"/>
      </w:r>
      <w:r w:rsidR="00DF0AFE">
        <w:rPr>
          <w:rFonts w:ascii="Times New Roman" w:hAnsi="Times New Roman" w:cs="Times New Roman"/>
          <w:sz w:val="24"/>
        </w:rPr>
        <w:t xml:space="preserve"> his children instead received a Median education from the </w:t>
      </w:r>
      <w:r w:rsidR="00DF0AFE">
        <w:rPr>
          <w:rFonts w:ascii="Times New Roman" w:hAnsi="Times New Roman" w:cs="Times New Roman"/>
          <w:sz w:val="24"/>
        </w:rPr>
        <w:lastRenderedPageBreak/>
        <w:t>women and eunuchs in the royal harem.</w:t>
      </w:r>
      <w:r w:rsidR="00DF0AFE">
        <w:rPr>
          <w:rStyle w:val="FootnoteReference"/>
          <w:rFonts w:ascii="Times New Roman" w:hAnsi="Times New Roman" w:cs="Times New Roman"/>
          <w:sz w:val="24"/>
        </w:rPr>
        <w:footnoteReference w:id="29"/>
      </w:r>
      <w:r w:rsidR="00DF0AFE">
        <w:rPr>
          <w:rFonts w:ascii="Times New Roman" w:hAnsi="Times New Roman" w:cs="Times New Roman"/>
          <w:sz w:val="24"/>
        </w:rPr>
        <w:t xml:space="preserve"> This, Plato writes, caused the children of Cyrus were corrupted by the wealth and excess of palace life, and they lived a life</w:t>
      </w:r>
      <w:r w:rsidR="00B441FF">
        <w:rPr>
          <w:rFonts w:ascii="Times New Roman" w:hAnsi="Times New Roman" w:cs="Times New Roman"/>
          <w:sz w:val="24"/>
        </w:rPr>
        <w:t xml:space="preserve"> ‘of unrestrained debauchery’.</w:t>
      </w:r>
      <w:r w:rsidR="00B441FF">
        <w:rPr>
          <w:rStyle w:val="FootnoteReference"/>
          <w:rFonts w:ascii="Times New Roman" w:hAnsi="Times New Roman" w:cs="Times New Roman"/>
          <w:sz w:val="24"/>
        </w:rPr>
        <w:footnoteReference w:id="30"/>
      </w:r>
      <w:r w:rsidR="00DF0AFE">
        <w:rPr>
          <w:rFonts w:ascii="Times New Roman" w:hAnsi="Times New Roman" w:cs="Times New Roman"/>
          <w:sz w:val="24"/>
        </w:rPr>
        <w:t xml:space="preserve"> </w:t>
      </w:r>
      <w:r w:rsidR="009F52D7">
        <w:rPr>
          <w:rFonts w:ascii="Times New Roman" w:hAnsi="Times New Roman" w:cs="Times New Roman"/>
          <w:sz w:val="24"/>
        </w:rPr>
        <w:t>This then caused an obsession with power and authoritarianism that deprived the Persian subjects of their liberty which they had under Cyrus, and so Persian society became debauched and immoral</w:t>
      </w:r>
      <w:r w:rsidR="00F7637B">
        <w:rPr>
          <w:rFonts w:ascii="Times New Roman" w:hAnsi="Times New Roman" w:cs="Times New Roman"/>
          <w:sz w:val="24"/>
        </w:rPr>
        <w:t>.</w:t>
      </w:r>
      <w:r w:rsidR="00F7637B">
        <w:rPr>
          <w:rStyle w:val="FootnoteReference"/>
          <w:rFonts w:ascii="Times New Roman" w:hAnsi="Times New Roman" w:cs="Times New Roman"/>
          <w:sz w:val="24"/>
        </w:rPr>
        <w:footnoteReference w:id="31"/>
      </w:r>
    </w:p>
    <w:p w14:paraId="41DA40E6" w14:textId="136EBC54" w:rsidR="00F7637B" w:rsidRDefault="00F7637B" w:rsidP="005F01C3">
      <w:pPr>
        <w:spacing w:line="360" w:lineRule="auto"/>
        <w:rPr>
          <w:rFonts w:ascii="Times New Roman" w:hAnsi="Times New Roman" w:cs="Times New Roman"/>
          <w:sz w:val="24"/>
        </w:rPr>
      </w:pPr>
      <w:r>
        <w:rPr>
          <w:rFonts w:ascii="Times New Roman" w:hAnsi="Times New Roman" w:cs="Times New Roman"/>
          <w:sz w:val="24"/>
        </w:rPr>
        <w:t xml:space="preserve">We see this theme of a lack of good rulers following the death of Cyrus as a cause for Persian decadence in Xenophon’s </w:t>
      </w:r>
      <w:proofErr w:type="spellStart"/>
      <w:r>
        <w:rPr>
          <w:rFonts w:ascii="Times New Roman" w:hAnsi="Times New Roman" w:cs="Times New Roman"/>
          <w:i/>
          <w:sz w:val="24"/>
        </w:rPr>
        <w:t>Cyropaedia</w:t>
      </w:r>
      <w:proofErr w:type="spellEnd"/>
      <w:r>
        <w:rPr>
          <w:rFonts w:ascii="Times New Roman" w:hAnsi="Times New Roman" w:cs="Times New Roman"/>
          <w:sz w:val="24"/>
        </w:rPr>
        <w:t>. Xenophon writes, that because of his successors immoral ways, the Persian Empire fell into moral decline. He notes several examples, such as that because the Persians began to reward those who had committed immoral acts, the people of Persia also began to become impious and immoral because subjects typically act like their leaders.</w:t>
      </w:r>
      <w:r>
        <w:rPr>
          <w:rStyle w:val="FootnoteReference"/>
          <w:rFonts w:ascii="Times New Roman" w:hAnsi="Times New Roman" w:cs="Times New Roman"/>
          <w:sz w:val="24"/>
        </w:rPr>
        <w:footnoteReference w:id="32"/>
      </w:r>
      <w:r>
        <w:rPr>
          <w:rFonts w:ascii="Times New Roman" w:hAnsi="Times New Roman" w:cs="Times New Roman"/>
          <w:sz w:val="24"/>
        </w:rPr>
        <w:t xml:space="preserve"> And </w:t>
      </w:r>
      <w:r w:rsidR="001209C7">
        <w:rPr>
          <w:rFonts w:ascii="Times New Roman" w:hAnsi="Times New Roman" w:cs="Times New Roman"/>
          <w:sz w:val="24"/>
        </w:rPr>
        <w:t>due to innocent men being frequently arrested and fined, the people of Persia became afraid to enlist for military service,</w:t>
      </w:r>
      <w:r w:rsidR="001209C7">
        <w:rPr>
          <w:rStyle w:val="FootnoteReference"/>
          <w:rFonts w:ascii="Times New Roman" w:hAnsi="Times New Roman" w:cs="Times New Roman"/>
          <w:sz w:val="24"/>
        </w:rPr>
        <w:footnoteReference w:id="33"/>
      </w:r>
      <w:r w:rsidR="001209C7">
        <w:rPr>
          <w:rFonts w:ascii="Times New Roman" w:hAnsi="Times New Roman" w:cs="Times New Roman"/>
          <w:sz w:val="24"/>
        </w:rPr>
        <w:t xml:space="preserve"> and so Xenophon writes that ‘an enemy can move about their country more freely than the inhabitants themselves’.</w:t>
      </w:r>
      <w:r w:rsidR="001209C7">
        <w:rPr>
          <w:rStyle w:val="FootnoteReference"/>
          <w:rFonts w:ascii="Times New Roman" w:hAnsi="Times New Roman" w:cs="Times New Roman"/>
          <w:sz w:val="24"/>
        </w:rPr>
        <w:footnoteReference w:id="34"/>
      </w:r>
      <w:r w:rsidR="001209C7">
        <w:rPr>
          <w:rFonts w:ascii="Times New Roman" w:hAnsi="Times New Roman" w:cs="Times New Roman"/>
          <w:sz w:val="24"/>
        </w:rPr>
        <w:t xml:space="preserve"> This then according to Xenophon has made the people weak and ill-equipped for war</w:t>
      </w:r>
      <w:r w:rsidR="00C30F7A">
        <w:rPr>
          <w:rFonts w:ascii="Times New Roman" w:hAnsi="Times New Roman" w:cs="Times New Roman"/>
          <w:sz w:val="24"/>
        </w:rPr>
        <w:t xml:space="preserve"> overcome with cowardice</w:t>
      </w:r>
      <w:r w:rsidR="001209C7">
        <w:rPr>
          <w:rFonts w:ascii="Times New Roman" w:hAnsi="Times New Roman" w:cs="Times New Roman"/>
          <w:sz w:val="24"/>
        </w:rPr>
        <w:t>.</w:t>
      </w:r>
      <w:r w:rsidR="001209C7">
        <w:rPr>
          <w:rStyle w:val="FootnoteReference"/>
          <w:rFonts w:ascii="Times New Roman" w:hAnsi="Times New Roman" w:cs="Times New Roman"/>
          <w:sz w:val="24"/>
        </w:rPr>
        <w:footnoteReference w:id="35"/>
      </w:r>
    </w:p>
    <w:p w14:paraId="1A3B9B3D" w14:textId="6958D776" w:rsidR="00676C57" w:rsidRPr="00676C57" w:rsidRDefault="00676C57" w:rsidP="005F01C3">
      <w:pPr>
        <w:spacing w:line="360" w:lineRule="auto"/>
        <w:rPr>
          <w:rFonts w:ascii="Times New Roman" w:hAnsi="Times New Roman" w:cs="Times New Roman"/>
          <w:sz w:val="24"/>
        </w:rPr>
      </w:pPr>
      <w:r>
        <w:rPr>
          <w:rFonts w:ascii="Times New Roman" w:hAnsi="Times New Roman" w:cs="Times New Roman"/>
          <w:sz w:val="24"/>
        </w:rPr>
        <w:t xml:space="preserve">This theme of the Greeks being more masculine and brave in battle, compared to Persian femininity and cowardice appears again in </w:t>
      </w:r>
      <w:proofErr w:type="spellStart"/>
      <w:r>
        <w:rPr>
          <w:rFonts w:ascii="Times New Roman" w:hAnsi="Times New Roman" w:cs="Times New Roman"/>
          <w:sz w:val="24"/>
        </w:rPr>
        <w:t>Arrian’s</w:t>
      </w:r>
      <w:proofErr w:type="spellEnd"/>
      <w:r>
        <w:rPr>
          <w:rFonts w:ascii="Times New Roman" w:hAnsi="Times New Roman" w:cs="Times New Roman"/>
          <w:sz w:val="24"/>
        </w:rPr>
        <w:t xml:space="preserve"> account of Alexander’s </w:t>
      </w:r>
      <w:r>
        <w:rPr>
          <w:rFonts w:ascii="Times New Roman" w:hAnsi="Times New Roman" w:cs="Times New Roman"/>
          <w:i/>
          <w:sz w:val="24"/>
        </w:rPr>
        <w:t>Anabasis</w:t>
      </w:r>
      <w:r>
        <w:rPr>
          <w:rFonts w:ascii="Times New Roman" w:hAnsi="Times New Roman" w:cs="Times New Roman"/>
          <w:sz w:val="24"/>
        </w:rPr>
        <w:t>.</w:t>
      </w:r>
      <w:r w:rsidR="001F5C4D">
        <w:rPr>
          <w:rFonts w:ascii="Times New Roman" w:hAnsi="Times New Roman" w:cs="Times New Roman"/>
          <w:sz w:val="24"/>
        </w:rPr>
        <w:t xml:space="preserve"> In the speech that </w:t>
      </w:r>
      <w:proofErr w:type="spellStart"/>
      <w:r w:rsidR="001F5C4D">
        <w:rPr>
          <w:rFonts w:ascii="Times New Roman" w:hAnsi="Times New Roman" w:cs="Times New Roman"/>
          <w:sz w:val="24"/>
        </w:rPr>
        <w:t>Arrian</w:t>
      </w:r>
      <w:proofErr w:type="spellEnd"/>
      <w:r w:rsidR="001F5C4D">
        <w:rPr>
          <w:rFonts w:ascii="Times New Roman" w:hAnsi="Times New Roman" w:cs="Times New Roman"/>
          <w:sz w:val="24"/>
        </w:rPr>
        <w:t xml:space="preserve"> gives Alexander before the Battle of Issus this is something that is heavily played upon. Alexander, through </w:t>
      </w:r>
      <w:proofErr w:type="spellStart"/>
      <w:r w:rsidR="001F5C4D">
        <w:rPr>
          <w:rFonts w:ascii="Times New Roman" w:hAnsi="Times New Roman" w:cs="Times New Roman"/>
          <w:sz w:val="24"/>
        </w:rPr>
        <w:t>Arrian</w:t>
      </w:r>
      <w:proofErr w:type="spellEnd"/>
      <w:r w:rsidR="001F5C4D">
        <w:rPr>
          <w:rFonts w:ascii="Times New Roman" w:hAnsi="Times New Roman" w:cs="Times New Roman"/>
          <w:sz w:val="24"/>
        </w:rPr>
        <w:t xml:space="preserve">, describes the Persians as being ‘no match’ for </w:t>
      </w:r>
      <w:proofErr w:type="spellStart"/>
      <w:r w:rsidR="001F5C4D">
        <w:rPr>
          <w:rFonts w:ascii="Times New Roman" w:hAnsi="Times New Roman" w:cs="Times New Roman"/>
          <w:sz w:val="24"/>
        </w:rPr>
        <w:t>hs</w:t>
      </w:r>
      <w:proofErr w:type="spellEnd"/>
      <w:r w:rsidR="001F5C4D">
        <w:rPr>
          <w:rFonts w:ascii="Times New Roman" w:hAnsi="Times New Roman" w:cs="Times New Roman"/>
          <w:sz w:val="24"/>
        </w:rPr>
        <w:t xml:space="preserve"> army in ‘bodily strength or resolution.’</w:t>
      </w:r>
      <w:r w:rsidR="001F5C4D">
        <w:rPr>
          <w:rStyle w:val="FootnoteReference"/>
          <w:rFonts w:ascii="Times New Roman" w:hAnsi="Times New Roman" w:cs="Times New Roman"/>
          <w:sz w:val="24"/>
        </w:rPr>
        <w:footnoteReference w:id="36"/>
      </w:r>
      <w:r w:rsidR="001F5C4D">
        <w:rPr>
          <w:rFonts w:ascii="Times New Roman" w:hAnsi="Times New Roman" w:cs="Times New Roman"/>
          <w:sz w:val="24"/>
        </w:rPr>
        <w:t xml:space="preserve"> He also describes their enemies as ‘Medes and Persians, men who for centuries have lived soft and luxurious lives’ in contrast to his own Macedonian men, who had ‘for generations past’, were trained for war.</w:t>
      </w:r>
      <w:r w:rsidR="001F5C4D">
        <w:rPr>
          <w:rStyle w:val="FootnoteReference"/>
          <w:rFonts w:ascii="Times New Roman" w:hAnsi="Times New Roman" w:cs="Times New Roman"/>
          <w:sz w:val="24"/>
        </w:rPr>
        <w:footnoteReference w:id="37"/>
      </w:r>
      <w:r w:rsidR="001F5C4D">
        <w:rPr>
          <w:rFonts w:ascii="Times New Roman" w:hAnsi="Times New Roman" w:cs="Times New Roman"/>
          <w:sz w:val="24"/>
        </w:rPr>
        <w:t xml:space="preserve"> </w:t>
      </w:r>
      <w:proofErr w:type="spellStart"/>
      <w:r w:rsidR="001F5C4D">
        <w:rPr>
          <w:rFonts w:ascii="Times New Roman" w:hAnsi="Times New Roman" w:cs="Times New Roman"/>
          <w:sz w:val="24"/>
        </w:rPr>
        <w:t>Arrian’s</w:t>
      </w:r>
      <w:proofErr w:type="spellEnd"/>
      <w:r w:rsidR="001F5C4D">
        <w:rPr>
          <w:rFonts w:ascii="Times New Roman" w:hAnsi="Times New Roman" w:cs="Times New Roman"/>
          <w:sz w:val="24"/>
        </w:rPr>
        <w:t xml:space="preserve"> account also shows that the perception of Persian rulers as corrupted by power had persisted into his </w:t>
      </w:r>
      <w:r w:rsidR="001F5C4D">
        <w:rPr>
          <w:rFonts w:ascii="Times New Roman" w:hAnsi="Times New Roman" w:cs="Times New Roman"/>
          <w:sz w:val="24"/>
        </w:rPr>
        <w:lastRenderedPageBreak/>
        <w:t xml:space="preserve">own time, as he describes Darius according to </w:t>
      </w:r>
      <w:proofErr w:type="spellStart"/>
      <w:r w:rsidR="001F5C4D">
        <w:rPr>
          <w:rFonts w:ascii="Times New Roman" w:hAnsi="Times New Roman" w:cs="Times New Roman"/>
          <w:sz w:val="24"/>
        </w:rPr>
        <w:t>Briant</w:t>
      </w:r>
      <w:proofErr w:type="spellEnd"/>
      <w:r w:rsidR="001F5C4D">
        <w:rPr>
          <w:rFonts w:ascii="Times New Roman" w:hAnsi="Times New Roman" w:cs="Times New Roman"/>
          <w:sz w:val="24"/>
        </w:rPr>
        <w:t>, was</w:t>
      </w:r>
      <w:r w:rsidR="00FD0549">
        <w:rPr>
          <w:rFonts w:ascii="Times New Roman" w:hAnsi="Times New Roman" w:cs="Times New Roman"/>
          <w:sz w:val="24"/>
        </w:rPr>
        <w:t xml:space="preserve"> ‘the archetype of a power that has lost all substance’.</w:t>
      </w:r>
      <w:r w:rsidR="00FD0549">
        <w:rPr>
          <w:rStyle w:val="FootnoteReference"/>
          <w:rFonts w:ascii="Times New Roman" w:hAnsi="Times New Roman" w:cs="Times New Roman"/>
          <w:sz w:val="24"/>
        </w:rPr>
        <w:footnoteReference w:id="38"/>
      </w:r>
    </w:p>
    <w:p w14:paraId="7B8DE62E" w14:textId="5E405D97" w:rsidR="004C6BD8" w:rsidRDefault="00FD0549" w:rsidP="005F01C3">
      <w:pPr>
        <w:spacing w:line="360" w:lineRule="auto"/>
        <w:rPr>
          <w:rFonts w:ascii="Times New Roman" w:hAnsi="Times New Roman" w:cs="Times New Roman"/>
          <w:sz w:val="24"/>
        </w:rPr>
      </w:pPr>
      <w:r>
        <w:rPr>
          <w:rFonts w:ascii="Times New Roman" w:hAnsi="Times New Roman" w:cs="Times New Roman"/>
          <w:sz w:val="24"/>
        </w:rPr>
        <w:t>Theses perceptions of Persia as decadent and immoral ar</w:t>
      </w:r>
      <w:r w:rsidR="004C6BD8">
        <w:rPr>
          <w:rFonts w:ascii="Times New Roman" w:hAnsi="Times New Roman" w:cs="Times New Roman"/>
          <w:sz w:val="24"/>
        </w:rPr>
        <w:t>e also see</w:t>
      </w:r>
      <w:r>
        <w:rPr>
          <w:rFonts w:ascii="Times New Roman" w:hAnsi="Times New Roman" w:cs="Times New Roman"/>
          <w:sz w:val="24"/>
        </w:rPr>
        <w:t>n</w:t>
      </w:r>
      <w:r w:rsidR="004C6BD8">
        <w:rPr>
          <w:rFonts w:ascii="Times New Roman" w:hAnsi="Times New Roman" w:cs="Times New Roman"/>
          <w:sz w:val="24"/>
        </w:rPr>
        <w:t xml:space="preserve"> through the Medieval and Early Modern period the equating of </w:t>
      </w:r>
      <w:r w:rsidR="009844FF">
        <w:rPr>
          <w:rFonts w:ascii="Times New Roman" w:hAnsi="Times New Roman" w:cs="Times New Roman"/>
          <w:sz w:val="24"/>
        </w:rPr>
        <w:t xml:space="preserve">the eastern Persians to the Islamic kingdoms and states that came into contact with Western Europe following the beginning of the crusades. </w:t>
      </w:r>
      <w:r w:rsidR="00182CF2">
        <w:rPr>
          <w:rFonts w:ascii="Times New Roman" w:hAnsi="Times New Roman" w:cs="Times New Roman"/>
          <w:sz w:val="24"/>
        </w:rPr>
        <w:t xml:space="preserve">In surviving written accounts from the Medieval </w:t>
      </w:r>
      <w:r w:rsidR="00AD2E28">
        <w:rPr>
          <w:rFonts w:ascii="Times New Roman" w:hAnsi="Times New Roman" w:cs="Times New Roman"/>
          <w:sz w:val="24"/>
        </w:rPr>
        <w:t>period,</w:t>
      </w:r>
      <w:r w:rsidR="00182CF2">
        <w:rPr>
          <w:rFonts w:ascii="Times New Roman" w:hAnsi="Times New Roman" w:cs="Times New Roman"/>
          <w:sz w:val="24"/>
        </w:rPr>
        <w:t xml:space="preserve"> we see that in European traditions at the time, Islam was often associated with </w:t>
      </w:r>
      <w:r w:rsidR="0087383D">
        <w:rPr>
          <w:rFonts w:ascii="Times New Roman" w:hAnsi="Times New Roman" w:cs="Times New Roman"/>
          <w:sz w:val="24"/>
        </w:rPr>
        <w:t>excess and decadence that the Greeks associated with Persia</w:t>
      </w:r>
      <w:r w:rsidR="00182CF2">
        <w:rPr>
          <w:rFonts w:ascii="Times New Roman" w:hAnsi="Times New Roman" w:cs="Times New Roman"/>
          <w:sz w:val="24"/>
        </w:rPr>
        <w:t>.</w:t>
      </w:r>
      <w:r w:rsidR="00AD2E28">
        <w:rPr>
          <w:rFonts w:ascii="Times New Roman" w:hAnsi="Times New Roman" w:cs="Times New Roman"/>
          <w:sz w:val="24"/>
        </w:rPr>
        <w:t xml:space="preserve"> One example of this is the medieval poem, </w:t>
      </w:r>
      <w:r w:rsidR="00AD2E28">
        <w:rPr>
          <w:rFonts w:ascii="Times New Roman" w:hAnsi="Times New Roman" w:cs="Times New Roman"/>
          <w:i/>
          <w:sz w:val="24"/>
        </w:rPr>
        <w:t xml:space="preserve">Vita </w:t>
      </w:r>
      <w:proofErr w:type="spellStart"/>
      <w:r w:rsidR="00AD2E28">
        <w:rPr>
          <w:rFonts w:ascii="Times New Roman" w:hAnsi="Times New Roman" w:cs="Times New Roman"/>
          <w:i/>
          <w:sz w:val="24"/>
        </w:rPr>
        <w:t>Mahumeti</w:t>
      </w:r>
      <w:proofErr w:type="spellEnd"/>
      <w:r w:rsidR="00AD2E28">
        <w:rPr>
          <w:rFonts w:ascii="Times New Roman" w:hAnsi="Times New Roman" w:cs="Times New Roman"/>
          <w:sz w:val="24"/>
        </w:rPr>
        <w:t xml:space="preserve"> which tells the story of how </w:t>
      </w:r>
      <w:proofErr w:type="spellStart"/>
      <w:r w:rsidR="00AD2E28">
        <w:rPr>
          <w:rFonts w:ascii="Times New Roman" w:hAnsi="Times New Roman" w:cs="Times New Roman"/>
          <w:sz w:val="24"/>
        </w:rPr>
        <w:t>Mamucius</w:t>
      </w:r>
      <w:proofErr w:type="spellEnd"/>
      <w:r w:rsidR="00AD2E28">
        <w:rPr>
          <w:rFonts w:ascii="Times New Roman" w:hAnsi="Times New Roman" w:cs="Times New Roman"/>
          <w:sz w:val="24"/>
        </w:rPr>
        <w:t>, who Hall argues is supposed to be the prophet Mohammed,</w:t>
      </w:r>
      <w:r w:rsidR="00AD2E28">
        <w:rPr>
          <w:rStyle w:val="FootnoteReference"/>
          <w:rFonts w:ascii="Times New Roman" w:hAnsi="Times New Roman" w:cs="Times New Roman"/>
          <w:sz w:val="24"/>
        </w:rPr>
        <w:footnoteReference w:id="39"/>
      </w:r>
      <w:r w:rsidR="00AD2E28">
        <w:rPr>
          <w:rFonts w:ascii="Times New Roman" w:hAnsi="Times New Roman" w:cs="Times New Roman"/>
          <w:sz w:val="24"/>
        </w:rPr>
        <w:t xml:space="preserve"> and a </w:t>
      </w:r>
      <w:r w:rsidR="00AD2E28">
        <w:rPr>
          <w:rFonts w:ascii="Times New Roman" w:hAnsi="Times New Roman" w:cs="Times New Roman"/>
          <w:i/>
          <w:sz w:val="24"/>
        </w:rPr>
        <w:t>magus</w:t>
      </w:r>
      <w:r w:rsidR="00AD2E28">
        <w:rPr>
          <w:rFonts w:ascii="Times New Roman" w:hAnsi="Times New Roman" w:cs="Times New Roman"/>
          <w:sz w:val="24"/>
        </w:rPr>
        <w:t xml:space="preserve"> forced to flee Jerusalem, manage to, through the use of the </w:t>
      </w:r>
      <w:r w:rsidR="00AD2E28">
        <w:rPr>
          <w:rFonts w:ascii="Times New Roman" w:hAnsi="Times New Roman" w:cs="Times New Roman"/>
          <w:i/>
          <w:sz w:val="24"/>
        </w:rPr>
        <w:t>magus’</w:t>
      </w:r>
      <w:r w:rsidR="00AD2E28">
        <w:rPr>
          <w:rFonts w:ascii="Times New Roman" w:hAnsi="Times New Roman" w:cs="Times New Roman"/>
          <w:sz w:val="24"/>
        </w:rPr>
        <w:t xml:space="preserve"> ‘erotic magic’,</w:t>
      </w:r>
      <w:r w:rsidR="00AD2E28">
        <w:rPr>
          <w:rStyle w:val="FootnoteReference"/>
          <w:rFonts w:ascii="Times New Roman" w:hAnsi="Times New Roman" w:cs="Times New Roman"/>
          <w:sz w:val="24"/>
        </w:rPr>
        <w:footnoteReference w:id="40"/>
      </w:r>
      <w:r w:rsidR="00AD2E28">
        <w:rPr>
          <w:rFonts w:ascii="Times New Roman" w:hAnsi="Times New Roman" w:cs="Times New Roman"/>
          <w:sz w:val="24"/>
        </w:rPr>
        <w:t xml:space="preserve"> overthrow the Libyan consul and make </w:t>
      </w:r>
      <w:proofErr w:type="spellStart"/>
      <w:r w:rsidR="00AD2E28">
        <w:rPr>
          <w:rFonts w:ascii="Times New Roman" w:hAnsi="Times New Roman" w:cs="Times New Roman"/>
          <w:sz w:val="24"/>
        </w:rPr>
        <w:t>Mamucius</w:t>
      </w:r>
      <w:proofErr w:type="spellEnd"/>
      <w:r w:rsidR="00AD2E28">
        <w:rPr>
          <w:rFonts w:ascii="Times New Roman" w:hAnsi="Times New Roman" w:cs="Times New Roman"/>
          <w:sz w:val="24"/>
        </w:rPr>
        <w:t xml:space="preserve"> the ruler of Libya, while the </w:t>
      </w:r>
      <w:r w:rsidR="00AD2E28">
        <w:rPr>
          <w:rFonts w:ascii="Times New Roman" w:hAnsi="Times New Roman" w:cs="Times New Roman"/>
          <w:i/>
          <w:sz w:val="24"/>
        </w:rPr>
        <w:t>magus</w:t>
      </w:r>
      <w:r w:rsidR="00AD2E28">
        <w:rPr>
          <w:rFonts w:ascii="Times New Roman" w:hAnsi="Times New Roman" w:cs="Times New Roman"/>
          <w:sz w:val="24"/>
        </w:rPr>
        <w:t xml:space="preserve"> introduces the ‘corrupting religion which threatens the Christian Church’; Islam.</w:t>
      </w:r>
      <w:r w:rsidR="00AD2E28">
        <w:rPr>
          <w:rStyle w:val="FootnoteReference"/>
          <w:rFonts w:ascii="Times New Roman" w:hAnsi="Times New Roman" w:cs="Times New Roman"/>
          <w:sz w:val="24"/>
        </w:rPr>
        <w:footnoteReference w:id="41"/>
      </w:r>
      <w:r w:rsidR="00AD2E28">
        <w:rPr>
          <w:rFonts w:ascii="Times New Roman" w:hAnsi="Times New Roman" w:cs="Times New Roman"/>
          <w:sz w:val="24"/>
        </w:rPr>
        <w:t xml:space="preserve"> This </w:t>
      </w:r>
      <w:r w:rsidR="000B16CF">
        <w:rPr>
          <w:rFonts w:ascii="Times New Roman" w:hAnsi="Times New Roman" w:cs="Times New Roman"/>
          <w:sz w:val="24"/>
        </w:rPr>
        <w:t xml:space="preserve">poem directly links the rise of Islam to Persian imagery, as the </w:t>
      </w:r>
      <w:r w:rsidR="000B16CF">
        <w:rPr>
          <w:rFonts w:ascii="Times New Roman" w:hAnsi="Times New Roman" w:cs="Times New Roman"/>
          <w:i/>
          <w:sz w:val="24"/>
        </w:rPr>
        <w:t>magus</w:t>
      </w:r>
      <w:r w:rsidR="000B16CF">
        <w:rPr>
          <w:rFonts w:ascii="Times New Roman" w:hAnsi="Times New Roman" w:cs="Times New Roman"/>
          <w:sz w:val="24"/>
        </w:rPr>
        <w:t xml:space="preserve"> is something typically associated with Persia</w:t>
      </w:r>
      <w:r>
        <w:rPr>
          <w:rFonts w:ascii="Times New Roman" w:hAnsi="Times New Roman" w:cs="Times New Roman"/>
          <w:sz w:val="24"/>
        </w:rPr>
        <w:t>n and Asiatic kingdoms, and the ‘erotic magic’ that he uses is something that evokes the image of corrupting power, which as we have seen from the ancient traditions was characteristic of Eastern rulers.</w:t>
      </w:r>
      <w:r w:rsidR="000B16CF">
        <w:rPr>
          <w:rFonts w:ascii="Times New Roman" w:hAnsi="Times New Roman" w:cs="Times New Roman"/>
          <w:sz w:val="24"/>
        </w:rPr>
        <w:t xml:space="preserve"> </w:t>
      </w:r>
      <w:r>
        <w:rPr>
          <w:rFonts w:ascii="Times New Roman" w:hAnsi="Times New Roman" w:cs="Times New Roman"/>
          <w:sz w:val="24"/>
        </w:rPr>
        <w:t>So here, d</w:t>
      </w:r>
      <w:r w:rsidR="000B16CF">
        <w:rPr>
          <w:rFonts w:ascii="Times New Roman" w:hAnsi="Times New Roman" w:cs="Times New Roman"/>
          <w:sz w:val="24"/>
        </w:rPr>
        <w:t>espite the story being utterly incorrect, we see that in Western European literary tradition at the time, there is a clear association between Islam and the</w:t>
      </w:r>
      <w:r>
        <w:rPr>
          <w:rFonts w:ascii="Times New Roman" w:hAnsi="Times New Roman" w:cs="Times New Roman"/>
          <w:sz w:val="24"/>
        </w:rPr>
        <w:t xml:space="preserve"> traditional views of Eastern corruption that began in the Greek literary tradition of the</w:t>
      </w:r>
      <w:r w:rsidR="000B16CF">
        <w:rPr>
          <w:rFonts w:ascii="Times New Roman" w:hAnsi="Times New Roman" w:cs="Times New Roman"/>
          <w:sz w:val="24"/>
        </w:rPr>
        <w:t xml:space="preserve"> Persian Empire.</w:t>
      </w:r>
    </w:p>
    <w:p w14:paraId="64C768AC" w14:textId="3B73653E" w:rsidR="000B16CF" w:rsidRDefault="000B16CF" w:rsidP="005F01C3">
      <w:pPr>
        <w:spacing w:line="360" w:lineRule="auto"/>
        <w:rPr>
          <w:rFonts w:ascii="Times New Roman" w:hAnsi="Times New Roman" w:cs="Times New Roman"/>
          <w:sz w:val="24"/>
        </w:rPr>
      </w:pPr>
      <w:r>
        <w:rPr>
          <w:rFonts w:ascii="Times New Roman" w:hAnsi="Times New Roman" w:cs="Times New Roman"/>
          <w:sz w:val="24"/>
        </w:rPr>
        <w:t xml:space="preserve">And in the </w:t>
      </w:r>
      <w:r w:rsidR="00D45A95">
        <w:rPr>
          <w:rFonts w:ascii="Times New Roman" w:hAnsi="Times New Roman" w:cs="Times New Roman"/>
          <w:sz w:val="24"/>
        </w:rPr>
        <w:t>E</w:t>
      </w:r>
      <w:r>
        <w:rPr>
          <w:rFonts w:ascii="Times New Roman" w:hAnsi="Times New Roman" w:cs="Times New Roman"/>
          <w:sz w:val="24"/>
        </w:rPr>
        <w:t xml:space="preserve">arly </w:t>
      </w:r>
      <w:r w:rsidR="00D45A95">
        <w:rPr>
          <w:rFonts w:ascii="Times New Roman" w:hAnsi="Times New Roman" w:cs="Times New Roman"/>
          <w:sz w:val="24"/>
        </w:rPr>
        <w:t>M</w:t>
      </w:r>
      <w:r>
        <w:rPr>
          <w:rFonts w:ascii="Times New Roman" w:hAnsi="Times New Roman" w:cs="Times New Roman"/>
          <w:sz w:val="24"/>
        </w:rPr>
        <w:t xml:space="preserve">odern period Hall argues that through the use of Aeschylus’ </w:t>
      </w:r>
      <w:r>
        <w:rPr>
          <w:rFonts w:ascii="Times New Roman" w:hAnsi="Times New Roman" w:cs="Times New Roman"/>
          <w:i/>
          <w:sz w:val="24"/>
        </w:rPr>
        <w:t>Persians</w:t>
      </w:r>
      <w:r>
        <w:rPr>
          <w:rFonts w:ascii="Times New Roman" w:hAnsi="Times New Roman" w:cs="Times New Roman"/>
          <w:sz w:val="24"/>
        </w:rPr>
        <w:t xml:space="preserve"> the Ottoman Turks were also equated to the Achaemenid Persians.</w:t>
      </w:r>
      <w:r w:rsidR="006E3875">
        <w:rPr>
          <w:rFonts w:ascii="Times New Roman" w:hAnsi="Times New Roman" w:cs="Times New Roman"/>
          <w:sz w:val="24"/>
        </w:rPr>
        <w:t xml:space="preserve"> According to Hall, </w:t>
      </w:r>
      <w:r w:rsidR="006E3875">
        <w:rPr>
          <w:rFonts w:ascii="Times New Roman" w:hAnsi="Times New Roman" w:cs="Times New Roman"/>
          <w:i/>
          <w:sz w:val="24"/>
        </w:rPr>
        <w:t>The Persians</w:t>
      </w:r>
      <w:r w:rsidR="006E3875">
        <w:rPr>
          <w:rFonts w:ascii="Times New Roman" w:hAnsi="Times New Roman" w:cs="Times New Roman"/>
          <w:sz w:val="24"/>
        </w:rPr>
        <w:t xml:space="preserve"> was the first Greek play to have been widely shown during the Renaissance,</w:t>
      </w:r>
      <w:r w:rsidR="006E3875">
        <w:rPr>
          <w:rStyle w:val="FootnoteReference"/>
          <w:rFonts w:ascii="Times New Roman" w:hAnsi="Times New Roman" w:cs="Times New Roman"/>
          <w:sz w:val="24"/>
        </w:rPr>
        <w:footnoteReference w:id="42"/>
      </w:r>
      <w:r w:rsidR="006E3875">
        <w:rPr>
          <w:rFonts w:ascii="Times New Roman" w:hAnsi="Times New Roman" w:cs="Times New Roman"/>
          <w:sz w:val="24"/>
        </w:rPr>
        <w:t xml:space="preserve"> and because of the European tradition that linked Islam to the </w:t>
      </w:r>
      <w:r w:rsidR="001106CB">
        <w:rPr>
          <w:rFonts w:ascii="Times New Roman" w:hAnsi="Times New Roman" w:cs="Times New Roman"/>
          <w:sz w:val="24"/>
        </w:rPr>
        <w:t>decadence</w:t>
      </w:r>
      <w:r w:rsidR="006E3875">
        <w:rPr>
          <w:rFonts w:ascii="Times New Roman" w:hAnsi="Times New Roman" w:cs="Times New Roman"/>
          <w:sz w:val="24"/>
        </w:rPr>
        <w:t xml:space="preserve"> of the Persian Empire, this would have made it easy audiences to make the connection between the Persians as an existential Eastern threat to the Greeks, and the Ottomans being the same for themselves.</w:t>
      </w:r>
      <w:r w:rsidR="006E3875">
        <w:rPr>
          <w:rStyle w:val="FootnoteReference"/>
          <w:rFonts w:ascii="Times New Roman" w:hAnsi="Times New Roman" w:cs="Times New Roman"/>
          <w:sz w:val="24"/>
        </w:rPr>
        <w:footnoteReference w:id="43"/>
      </w:r>
      <w:r w:rsidR="00882C8F">
        <w:rPr>
          <w:rFonts w:ascii="Times New Roman" w:hAnsi="Times New Roman" w:cs="Times New Roman"/>
          <w:sz w:val="24"/>
        </w:rPr>
        <w:t xml:space="preserve"> Hall also notes that the stereotypical Islamic Turk in the abduction plays written in the eighteenth century may also have been inspired by Aeschylus’ </w:t>
      </w:r>
      <w:r w:rsidR="00882C8F">
        <w:rPr>
          <w:rFonts w:ascii="Times New Roman" w:hAnsi="Times New Roman" w:cs="Times New Roman"/>
          <w:i/>
          <w:sz w:val="24"/>
        </w:rPr>
        <w:t>Persians</w:t>
      </w:r>
      <w:r w:rsidR="00882C8F">
        <w:rPr>
          <w:rFonts w:ascii="Times New Roman" w:hAnsi="Times New Roman" w:cs="Times New Roman"/>
          <w:sz w:val="24"/>
        </w:rPr>
        <w:t xml:space="preserve"> and ideas about the </w:t>
      </w:r>
      <w:r w:rsidR="00882C8F">
        <w:rPr>
          <w:rFonts w:ascii="Times New Roman" w:hAnsi="Times New Roman" w:cs="Times New Roman"/>
          <w:sz w:val="24"/>
        </w:rPr>
        <w:lastRenderedPageBreak/>
        <w:t>Persians that passed down from the Persian wars</w:t>
      </w:r>
      <w:r w:rsidR="0087725C">
        <w:rPr>
          <w:rFonts w:ascii="Times New Roman" w:hAnsi="Times New Roman" w:cs="Times New Roman"/>
          <w:sz w:val="24"/>
        </w:rPr>
        <w:t>.</w:t>
      </w:r>
      <w:r w:rsidR="0087725C">
        <w:rPr>
          <w:rStyle w:val="FootnoteReference"/>
          <w:rFonts w:ascii="Times New Roman" w:hAnsi="Times New Roman" w:cs="Times New Roman"/>
          <w:sz w:val="24"/>
        </w:rPr>
        <w:footnoteReference w:id="44"/>
      </w:r>
      <w:r w:rsidR="0087725C">
        <w:rPr>
          <w:rFonts w:ascii="Times New Roman" w:hAnsi="Times New Roman" w:cs="Times New Roman"/>
          <w:sz w:val="24"/>
        </w:rPr>
        <w:t xml:space="preserve"> This</w:t>
      </w:r>
      <w:r w:rsidR="001106CB">
        <w:rPr>
          <w:rFonts w:ascii="Times New Roman" w:hAnsi="Times New Roman" w:cs="Times New Roman"/>
          <w:sz w:val="24"/>
        </w:rPr>
        <w:t xml:space="preserve"> is</w:t>
      </w:r>
      <w:r w:rsidR="0087725C">
        <w:rPr>
          <w:rFonts w:ascii="Times New Roman" w:hAnsi="Times New Roman" w:cs="Times New Roman"/>
          <w:sz w:val="24"/>
        </w:rPr>
        <w:t xml:space="preserve"> because the character of the Islamic abductor in these plays was often portrayed as sadistic and would often threaten the female abductees with sexual slavery, linking back to the view of the Persians as immoral and </w:t>
      </w:r>
      <w:r w:rsidR="00646A7A">
        <w:rPr>
          <w:rFonts w:ascii="Times New Roman" w:hAnsi="Times New Roman" w:cs="Times New Roman"/>
          <w:sz w:val="24"/>
        </w:rPr>
        <w:t>decadent</w:t>
      </w:r>
      <w:r w:rsidR="0087725C">
        <w:rPr>
          <w:rFonts w:ascii="Times New Roman" w:hAnsi="Times New Roman" w:cs="Times New Roman"/>
          <w:sz w:val="24"/>
        </w:rPr>
        <w:t>.</w:t>
      </w:r>
      <w:r w:rsidR="0087725C">
        <w:rPr>
          <w:rStyle w:val="FootnoteReference"/>
          <w:rFonts w:ascii="Times New Roman" w:hAnsi="Times New Roman" w:cs="Times New Roman"/>
          <w:sz w:val="24"/>
        </w:rPr>
        <w:footnoteReference w:id="45"/>
      </w:r>
    </w:p>
    <w:p w14:paraId="10BDACF6" w14:textId="79461ED1" w:rsidR="00650AAB" w:rsidRDefault="00650AAB" w:rsidP="005F01C3">
      <w:pPr>
        <w:spacing w:line="360" w:lineRule="auto"/>
        <w:rPr>
          <w:rFonts w:ascii="Times New Roman" w:hAnsi="Times New Roman" w:cs="Times New Roman"/>
          <w:sz w:val="24"/>
        </w:rPr>
      </w:pPr>
      <w:r>
        <w:rPr>
          <w:rFonts w:ascii="Times New Roman" w:hAnsi="Times New Roman" w:cs="Times New Roman"/>
          <w:sz w:val="24"/>
        </w:rPr>
        <w:t>Finally,</w:t>
      </w:r>
      <w:r>
        <w:rPr>
          <w:rStyle w:val="FootnoteReference"/>
          <w:rFonts w:ascii="Times New Roman" w:hAnsi="Times New Roman" w:cs="Times New Roman"/>
          <w:sz w:val="24"/>
        </w:rPr>
        <w:footnoteReference w:id="46"/>
      </w:r>
      <w:r>
        <w:rPr>
          <w:rFonts w:ascii="Times New Roman" w:hAnsi="Times New Roman" w:cs="Times New Roman"/>
          <w:sz w:val="24"/>
        </w:rPr>
        <w:t xml:space="preserve"> Hall notes that even as recently as 1993, during the gulf war</w:t>
      </w:r>
      <w:r w:rsidR="001106CB">
        <w:rPr>
          <w:rFonts w:ascii="Times New Roman" w:hAnsi="Times New Roman" w:cs="Times New Roman"/>
          <w:sz w:val="24"/>
        </w:rPr>
        <w:t>,</w:t>
      </w:r>
      <w:r>
        <w:rPr>
          <w:rFonts w:ascii="Times New Roman" w:hAnsi="Times New Roman" w:cs="Times New Roman"/>
          <w:sz w:val="24"/>
        </w:rPr>
        <w:t xml:space="preserve"> that Aeschylus’ </w:t>
      </w:r>
      <w:r>
        <w:rPr>
          <w:rFonts w:ascii="Times New Roman" w:hAnsi="Times New Roman" w:cs="Times New Roman"/>
          <w:i/>
          <w:sz w:val="24"/>
        </w:rPr>
        <w:t>Persians</w:t>
      </w:r>
      <w:r>
        <w:rPr>
          <w:rFonts w:ascii="Times New Roman" w:hAnsi="Times New Roman" w:cs="Times New Roman"/>
          <w:sz w:val="24"/>
        </w:rPr>
        <w:t xml:space="preserve"> has been used to portray Islam and The East as less than Western civilisation in similar ways to had been done throughout history. This being done through Peter </w:t>
      </w:r>
      <w:proofErr w:type="spellStart"/>
      <w:r>
        <w:rPr>
          <w:rFonts w:ascii="Times New Roman" w:hAnsi="Times New Roman" w:cs="Times New Roman"/>
          <w:sz w:val="24"/>
        </w:rPr>
        <w:t>Sellar’s</w:t>
      </w:r>
      <w:proofErr w:type="spellEnd"/>
      <w:r>
        <w:rPr>
          <w:rFonts w:ascii="Times New Roman" w:hAnsi="Times New Roman" w:cs="Times New Roman"/>
          <w:sz w:val="24"/>
        </w:rPr>
        <w:t xml:space="preserve"> more recent version of Aeschylus’ play</w:t>
      </w:r>
      <w:r w:rsidR="00324232">
        <w:rPr>
          <w:rFonts w:ascii="Times New Roman" w:hAnsi="Times New Roman" w:cs="Times New Roman"/>
          <w:sz w:val="24"/>
        </w:rPr>
        <w:t>, which drew large and obvious comparison between Xerxes and Saddam Hussein, and the Iraqi people with Persians</w:t>
      </w:r>
      <w:r>
        <w:rPr>
          <w:rFonts w:ascii="Times New Roman" w:hAnsi="Times New Roman" w:cs="Times New Roman"/>
          <w:sz w:val="24"/>
        </w:rPr>
        <w:t>. This play however changes the portrayal of The East from how it had been traditionally. The typical Eastern stereotypes of ‘sensuality, effeminacy, and irrationality’ had bee</w:t>
      </w:r>
      <w:r w:rsidR="00324232">
        <w:rPr>
          <w:rFonts w:ascii="Times New Roman" w:hAnsi="Times New Roman" w:cs="Times New Roman"/>
          <w:sz w:val="24"/>
        </w:rPr>
        <w:t xml:space="preserve">n challenged in The West at the time with Said’s </w:t>
      </w:r>
      <w:r w:rsidR="00324232">
        <w:rPr>
          <w:rFonts w:ascii="Times New Roman" w:hAnsi="Times New Roman" w:cs="Times New Roman"/>
          <w:i/>
          <w:sz w:val="24"/>
        </w:rPr>
        <w:t>Orientalism</w:t>
      </w:r>
      <w:r w:rsidR="00324232">
        <w:rPr>
          <w:rFonts w:ascii="Times New Roman" w:hAnsi="Times New Roman" w:cs="Times New Roman"/>
          <w:sz w:val="24"/>
        </w:rPr>
        <w:t xml:space="preserve"> labelling them as outdated and fictitious tools of an imperialist ideology.</w:t>
      </w:r>
      <w:r w:rsidR="00324232">
        <w:rPr>
          <w:rStyle w:val="FootnoteReference"/>
          <w:rFonts w:ascii="Times New Roman" w:hAnsi="Times New Roman" w:cs="Times New Roman"/>
          <w:sz w:val="24"/>
        </w:rPr>
        <w:footnoteReference w:id="47"/>
      </w:r>
      <w:r w:rsidR="00324232">
        <w:rPr>
          <w:rFonts w:ascii="Times New Roman" w:hAnsi="Times New Roman" w:cs="Times New Roman"/>
          <w:sz w:val="24"/>
        </w:rPr>
        <w:t xml:space="preserve"> This version of </w:t>
      </w:r>
      <w:r w:rsidR="00324232">
        <w:rPr>
          <w:rFonts w:ascii="Times New Roman" w:hAnsi="Times New Roman" w:cs="Times New Roman"/>
          <w:i/>
          <w:sz w:val="24"/>
        </w:rPr>
        <w:t xml:space="preserve">The Persians </w:t>
      </w:r>
      <w:r w:rsidR="00324232">
        <w:rPr>
          <w:rFonts w:ascii="Times New Roman" w:hAnsi="Times New Roman" w:cs="Times New Roman"/>
          <w:sz w:val="24"/>
        </w:rPr>
        <w:t>however, still portrayed The East in an unfavourable light as the Iraqi still made out to be a typical Eastern threat to Western culture, but instead of the previously mentioned tropes, they are instead shown to be tyrannical and militaristic, yet crucially, as Hall notes, distinguishably different to The West.</w:t>
      </w:r>
      <w:r w:rsidR="00324232">
        <w:rPr>
          <w:rStyle w:val="FootnoteReference"/>
          <w:rFonts w:ascii="Times New Roman" w:hAnsi="Times New Roman" w:cs="Times New Roman"/>
          <w:sz w:val="24"/>
        </w:rPr>
        <w:footnoteReference w:id="48"/>
      </w:r>
      <w:r w:rsidR="00AB48D7">
        <w:rPr>
          <w:rFonts w:ascii="Times New Roman" w:hAnsi="Times New Roman" w:cs="Times New Roman"/>
          <w:sz w:val="24"/>
        </w:rPr>
        <w:t xml:space="preserve"> </w:t>
      </w:r>
      <w:r w:rsidR="001106CB">
        <w:rPr>
          <w:rFonts w:ascii="Times New Roman" w:hAnsi="Times New Roman" w:cs="Times New Roman"/>
          <w:sz w:val="24"/>
        </w:rPr>
        <w:t>These themes of tyranny and autocracy are as we have seen still typical stereotypes of The East that date back to Classical Greece.</w:t>
      </w:r>
    </w:p>
    <w:p w14:paraId="121932BD" w14:textId="6EF3C638" w:rsidR="001106CB" w:rsidRPr="001106CB" w:rsidRDefault="00162D20" w:rsidP="005F01C3">
      <w:pPr>
        <w:spacing w:line="360" w:lineRule="auto"/>
        <w:rPr>
          <w:rFonts w:ascii="Times New Roman" w:hAnsi="Times New Roman" w:cs="Times New Roman"/>
          <w:b/>
          <w:i/>
          <w:sz w:val="24"/>
        </w:rPr>
      </w:pPr>
      <w:r>
        <w:rPr>
          <w:rFonts w:ascii="Times New Roman" w:hAnsi="Times New Roman" w:cs="Times New Roman"/>
          <w:b/>
          <w:i/>
          <w:sz w:val="24"/>
        </w:rPr>
        <w:t xml:space="preserve">A Continuation of </w:t>
      </w:r>
      <w:r w:rsidR="001106CB">
        <w:rPr>
          <w:rFonts w:ascii="Times New Roman" w:hAnsi="Times New Roman" w:cs="Times New Roman"/>
          <w:b/>
          <w:i/>
          <w:sz w:val="24"/>
        </w:rPr>
        <w:t>Eastern Stereotypes in 300</w:t>
      </w:r>
      <w:r>
        <w:rPr>
          <w:rFonts w:ascii="Times New Roman" w:hAnsi="Times New Roman" w:cs="Times New Roman"/>
          <w:b/>
          <w:i/>
          <w:sz w:val="24"/>
        </w:rPr>
        <w:t>:</w:t>
      </w:r>
    </w:p>
    <w:p w14:paraId="4EC8AD69" w14:textId="5B4DE9FE" w:rsidR="009320E6" w:rsidRDefault="001106CB" w:rsidP="005F01C3">
      <w:pPr>
        <w:spacing w:line="360" w:lineRule="auto"/>
        <w:rPr>
          <w:rFonts w:ascii="Times New Roman" w:hAnsi="Times New Roman" w:cs="Times New Roman"/>
          <w:sz w:val="24"/>
        </w:rPr>
      </w:pPr>
      <w:r>
        <w:rPr>
          <w:rFonts w:ascii="Times New Roman" w:hAnsi="Times New Roman" w:cs="Times New Roman"/>
          <w:sz w:val="24"/>
        </w:rPr>
        <w:t xml:space="preserve">This brings us up most of the way to the present day, and </w:t>
      </w:r>
      <w:r w:rsidR="00AE1DF8">
        <w:rPr>
          <w:rFonts w:ascii="Times New Roman" w:hAnsi="Times New Roman" w:cs="Times New Roman"/>
          <w:sz w:val="24"/>
        </w:rPr>
        <w:t xml:space="preserve">perhaps rather unfortunately I am able to say that these traditions of portraying Western superiority of The East still continue today, and in this section, I will discuss how </w:t>
      </w:r>
      <w:r w:rsidR="00AE1DF8">
        <w:rPr>
          <w:rFonts w:ascii="Times New Roman" w:hAnsi="Times New Roman" w:cs="Times New Roman"/>
          <w:i/>
          <w:sz w:val="24"/>
        </w:rPr>
        <w:t>300</w:t>
      </w:r>
      <w:r w:rsidR="00AE1DF8">
        <w:rPr>
          <w:rFonts w:ascii="Times New Roman" w:hAnsi="Times New Roman" w:cs="Times New Roman"/>
          <w:sz w:val="24"/>
        </w:rPr>
        <w:t xml:space="preserve"> follows the traditions outlined previous</w:t>
      </w:r>
      <w:r>
        <w:rPr>
          <w:rFonts w:ascii="Times New Roman" w:hAnsi="Times New Roman" w:cs="Times New Roman"/>
          <w:sz w:val="24"/>
        </w:rPr>
        <w:t xml:space="preserve">. </w:t>
      </w:r>
      <w:r w:rsidR="00AE1DF8">
        <w:rPr>
          <w:rFonts w:ascii="Times New Roman" w:hAnsi="Times New Roman" w:cs="Times New Roman"/>
          <w:i/>
          <w:sz w:val="24"/>
        </w:rPr>
        <w:t>300</w:t>
      </w:r>
      <w:r w:rsidR="00AE1DF8">
        <w:rPr>
          <w:rFonts w:ascii="Times New Roman" w:hAnsi="Times New Roman" w:cs="Times New Roman"/>
          <w:sz w:val="24"/>
        </w:rPr>
        <w:t xml:space="preserve">, as I previously mentioned, </w:t>
      </w:r>
      <w:r w:rsidR="00603475">
        <w:rPr>
          <w:rFonts w:ascii="Times New Roman" w:hAnsi="Times New Roman" w:cs="Times New Roman"/>
          <w:sz w:val="24"/>
        </w:rPr>
        <w:t>was released</w:t>
      </w:r>
      <w:r w:rsidR="00AE1DF8">
        <w:rPr>
          <w:rFonts w:ascii="Times New Roman" w:hAnsi="Times New Roman" w:cs="Times New Roman"/>
          <w:sz w:val="24"/>
        </w:rPr>
        <w:t xml:space="preserve"> in 200</w:t>
      </w:r>
      <w:r w:rsidR="00603475">
        <w:rPr>
          <w:rFonts w:ascii="Times New Roman" w:hAnsi="Times New Roman" w:cs="Times New Roman"/>
          <w:sz w:val="24"/>
        </w:rPr>
        <w:t>7</w:t>
      </w:r>
      <w:r w:rsidR="00AE1DF8">
        <w:rPr>
          <w:rFonts w:ascii="Times New Roman" w:hAnsi="Times New Roman" w:cs="Times New Roman"/>
          <w:sz w:val="24"/>
        </w:rPr>
        <w:t xml:space="preserve"> and was directed by Zack Snyder. The film was based on the graphic novel of the same name, written by Frank Miller in 1998. The film is centred around arguably the most famous battle of the Persian Wars, the defence of </w:t>
      </w:r>
      <w:r w:rsidR="00AE1DF8">
        <w:rPr>
          <w:rFonts w:ascii="Times New Roman" w:hAnsi="Times New Roman" w:cs="Times New Roman"/>
          <w:sz w:val="24"/>
        </w:rPr>
        <w:lastRenderedPageBreak/>
        <w:t>the path at Thermopylae by three hundred Spartans, as well as a number of Greek allies.</w:t>
      </w:r>
      <w:r w:rsidR="009320E6">
        <w:rPr>
          <w:rStyle w:val="FootnoteReference"/>
          <w:rFonts w:ascii="Times New Roman" w:hAnsi="Times New Roman" w:cs="Times New Roman"/>
          <w:sz w:val="24"/>
        </w:rPr>
        <w:footnoteReference w:id="49"/>
      </w:r>
      <w:r w:rsidR="009320E6">
        <w:rPr>
          <w:rFonts w:ascii="Times New Roman" w:hAnsi="Times New Roman" w:cs="Times New Roman"/>
          <w:sz w:val="24"/>
        </w:rPr>
        <w:t xml:space="preserve"> The film however is heavily fantasised and rather than pitting the Greeks, primarily the Spartans, against the Persian army as one would expect from an actual historical retelling, the Spartans and their allies end up fighting a horde of fantastical and monstrous creatures that resemble less the Persian army, and more the armies of Mordor from </w:t>
      </w:r>
      <w:r w:rsidR="009320E6">
        <w:rPr>
          <w:rFonts w:ascii="Times New Roman" w:hAnsi="Times New Roman" w:cs="Times New Roman"/>
          <w:i/>
          <w:sz w:val="24"/>
        </w:rPr>
        <w:t>The Lord of the Rings</w:t>
      </w:r>
      <w:r w:rsidR="009320E6">
        <w:rPr>
          <w:rFonts w:ascii="Times New Roman" w:hAnsi="Times New Roman" w:cs="Times New Roman"/>
          <w:sz w:val="24"/>
        </w:rPr>
        <w:t>.</w:t>
      </w:r>
      <w:r w:rsidR="00D44C73">
        <w:rPr>
          <w:rStyle w:val="FootnoteReference"/>
          <w:rFonts w:ascii="Times New Roman" w:hAnsi="Times New Roman" w:cs="Times New Roman"/>
          <w:sz w:val="24"/>
        </w:rPr>
        <w:footnoteReference w:id="50"/>
      </w:r>
      <w:r w:rsidR="009320E6">
        <w:rPr>
          <w:rFonts w:ascii="Times New Roman" w:hAnsi="Times New Roman" w:cs="Times New Roman"/>
          <w:sz w:val="24"/>
        </w:rPr>
        <w:t xml:space="preserve"> The film also heavily plays upon the Western stereotypes of Eastern civilisation as it references the debauched sensuality and femininity associated with The East, as well as ideas of corrupting power and overbearing tyranny.</w:t>
      </w:r>
    </w:p>
    <w:p w14:paraId="198EF0A0" w14:textId="3C8EF8CC" w:rsidR="00650AAB" w:rsidRDefault="009320E6" w:rsidP="005F01C3">
      <w:pPr>
        <w:spacing w:line="360" w:lineRule="auto"/>
        <w:rPr>
          <w:rFonts w:ascii="Times New Roman" w:hAnsi="Times New Roman" w:cs="Times New Roman"/>
          <w:sz w:val="24"/>
        </w:rPr>
      </w:pPr>
      <w:r>
        <w:rPr>
          <w:rFonts w:ascii="Times New Roman" w:hAnsi="Times New Roman" w:cs="Times New Roman"/>
          <w:sz w:val="24"/>
        </w:rPr>
        <w:t xml:space="preserve">These traditional stereotypes of Persia are retold in the film primarily through the character of the Persian king </w:t>
      </w:r>
      <w:r>
        <w:rPr>
          <w:rFonts w:ascii="Times New Roman" w:hAnsi="Times New Roman" w:cs="Times New Roman"/>
          <w:i/>
          <w:sz w:val="24"/>
        </w:rPr>
        <w:t>Xerxes</w:t>
      </w:r>
      <w:r>
        <w:rPr>
          <w:rFonts w:ascii="Times New Roman" w:hAnsi="Times New Roman" w:cs="Times New Roman"/>
          <w:sz w:val="24"/>
        </w:rPr>
        <w:t>.</w:t>
      </w:r>
      <w:r w:rsidR="007348A2">
        <w:rPr>
          <w:rFonts w:ascii="Times New Roman" w:hAnsi="Times New Roman" w:cs="Times New Roman"/>
          <w:sz w:val="24"/>
        </w:rPr>
        <w:t xml:space="preserve"> In the film instead of being a typical Persian or Asiatic king that one might expect, Xerxes in </w:t>
      </w:r>
      <w:r w:rsidR="007348A2">
        <w:rPr>
          <w:rFonts w:ascii="Times New Roman" w:hAnsi="Times New Roman" w:cs="Times New Roman"/>
          <w:i/>
          <w:sz w:val="24"/>
        </w:rPr>
        <w:t>300</w:t>
      </w:r>
      <w:r w:rsidR="007348A2">
        <w:rPr>
          <w:rFonts w:ascii="Times New Roman" w:hAnsi="Times New Roman" w:cs="Times New Roman"/>
          <w:sz w:val="24"/>
        </w:rPr>
        <w:t xml:space="preserve"> is instead a looming giant of a man with very sexually ambiguous undertones. Depictions of him in the film, despite being this incredibly tall and imposing figure, often show him to be very feminine in nature.</w:t>
      </w:r>
      <w:r w:rsidR="009C5A94">
        <w:rPr>
          <w:rStyle w:val="FootnoteReference"/>
          <w:rFonts w:ascii="Times New Roman" w:hAnsi="Times New Roman" w:cs="Times New Roman"/>
          <w:sz w:val="24"/>
        </w:rPr>
        <w:footnoteReference w:id="51"/>
      </w:r>
      <w:r w:rsidR="007348A2">
        <w:rPr>
          <w:rFonts w:ascii="Times New Roman" w:hAnsi="Times New Roman" w:cs="Times New Roman"/>
          <w:sz w:val="24"/>
        </w:rPr>
        <w:t xml:space="preserve"> And his offers of peace to Leonidas in exchange for submission often have a clearly sexual undertone,</w:t>
      </w:r>
      <w:r w:rsidR="009C5A94">
        <w:rPr>
          <w:rStyle w:val="FootnoteReference"/>
          <w:rFonts w:ascii="Times New Roman" w:hAnsi="Times New Roman" w:cs="Times New Roman"/>
          <w:sz w:val="24"/>
        </w:rPr>
        <w:footnoteReference w:id="52"/>
      </w:r>
      <w:r w:rsidR="007348A2">
        <w:rPr>
          <w:rFonts w:ascii="Times New Roman" w:hAnsi="Times New Roman" w:cs="Times New Roman"/>
          <w:sz w:val="24"/>
        </w:rPr>
        <w:t xml:space="preserve"> and these ideas of femininity and sensuality are very clearly intentional from the director. In an interview with </w:t>
      </w:r>
      <w:r w:rsidR="007348A2">
        <w:rPr>
          <w:rFonts w:ascii="Times New Roman" w:hAnsi="Times New Roman" w:cs="Times New Roman"/>
          <w:i/>
          <w:sz w:val="24"/>
        </w:rPr>
        <w:t>Entertainment</w:t>
      </w:r>
      <w:r w:rsidR="007348A2">
        <w:rPr>
          <w:rFonts w:ascii="Times New Roman" w:hAnsi="Times New Roman" w:cs="Times New Roman"/>
          <w:sz w:val="24"/>
        </w:rPr>
        <w:t xml:space="preserve"> Snyder said of Xerxes, ‘What’s </w:t>
      </w:r>
      <w:proofErr w:type="gramStart"/>
      <w:r w:rsidR="007348A2">
        <w:rPr>
          <w:rFonts w:ascii="Times New Roman" w:hAnsi="Times New Roman" w:cs="Times New Roman"/>
          <w:sz w:val="24"/>
        </w:rPr>
        <w:t>more scary</w:t>
      </w:r>
      <w:proofErr w:type="gramEnd"/>
      <w:r w:rsidR="007348A2">
        <w:rPr>
          <w:rFonts w:ascii="Times New Roman" w:hAnsi="Times New Roman" w:cs="Times New Roman"/>
          <w:sz w:val="24"/>
        </w:rPr>
        <w:t xml:space="preserve"> to a twenty-year-old boy than a giant god-king who wants to have his way with you?’</w:t>
      </w:r>
      <w:r w:rsidR="007348A2">
        <w:rPr>
          <w:rStyle w:val="FootnoteReference"/>
          <w:rFonts w:ascii="Times New Roman" w:hAnsi="Times New Roman" w:cs="Times New Roman"/>
          <w:sz w:val="24"/>
        </w:rPr>
        <w:footnoteReference w:id="53"/>
      </w:r>
      <w:r>
        <w:rPr>
          <w:rFonts w:ascii="Times New Roman" w:hAnsi="Times New Roman" w:cs="Times New Roman"/>
          <w:sz w:val="24"/>
        </w:rPr>
        <w:t xml:space="preserve"> </w:t>
      </w:r>
      <w:r w:rsidR="007348A2">
        <w:rPr>
          <w:rFonts w:ascii="Times New Roman" w:hAnsi="Times New Roman" w:cs="Times New Roman"/>
          <w:sz w:val="24"/>
        </w:rPr>
        <w:t>This clearly shows that there is an attempt on behalf of the director to make Xerxes out to be so strange and starkly different to Western male audiences</w:t>
      </w:r>
      <w:r w:rsidR="009C5A94">
        <w:rPr>
          <w:rFonts w:ascii="Times New Roman" w:hAnsi="Times New Roman" w:cs="Times New Roman"/>
          <w:sz w:val="24"/>
        </w:rPr>
        <w:t>. This would cause</w:t>
      </w:r>
      <w:r w:rsidR="007348A2">
        <w:rPr>
          <w:rFonts w:ascii="Times New Roman" w:hAnsi="Times New Roman" w:cs="Times New Roman"/>
          <w:sz w:val="24"/>
        </w:rPr>
        <w:t xml:space="preserve"> them to not only identify further with the protagonists of the story, Leonidas and the Spartans, but it also serves to</w:t>
      </w:r>
      <w:r w:rsidR="009C5A94">
        <w:rPr>
          <w:rFonts w:ascii="Times New Roman" w:hAnsi="Times New Roman" w:cs="Times New Roman"/>
          <w:sz w:val="24"/>
        </w:rPr>
        <w:t xml:space="preserve"> show Xerxes, who is the primary representative of The East in the film, as effeminate and sexually ambiguous. </w:t>
      </w:r>
      <w:proofErr w:type="gramStart"/>
      <w:r w:rsidR="009C5A94">
        <w:rPr>
          <w:rFonts w:ascii="Times New Roman" w:hAnsi="Times New Roman" w:cs="Times New Roman"/>
          <w:sz w:val="24"/>
        </w:rPr>
        <w:t>Oh</w:t>
      </w:r>
      <w:proofErr w:type="gramEnd"/>
      <w:r w:rsidR="009C5A94">
        <w:rPr>
          <w:rFonts w:ascii="Times New Roman" w:hAnsi="Times New Roman" w:cs="Times New Roman"/>
          <w:sz w:val="24"/>
        </w:rPr>
        <w:t xml:space="preserve"> and </w:t>
      </w:r>
      <w:proofErr w:type="spellStart"/>
      <w:r w:rsidR="009C5A94">
        <w:rPr>
          <w:rFonts w:ascii="Times New Roman" w:hAnsi="Times New Roman" w:cs="Times New Roman"/>
          <w:sz w:val="24"/>
        </w:rPr>
        <w:t>Kutufam</w:t>
      </w:r>
      <w:proofErr w:type="spellEnd"/>
      <w:r w:rsidR="009C5A94">
        <w:rPr>
          <w:rFonts w:ascii="Times New Roman" w:hAnsi="Times New Roman" w:cs="Times New Roman"/>
          <w:sz w:val="24"/>
        </w:rPr>
        <w:t xml:space="preserve"> argue, that this idea of Xerxes as the “Other” compared to Western male audiences resonated so much with the this demographic as it plays into what they call ‘White backlash culture’.</w:t>
      </w:r>
      <w:r w:rsidR="009C5A94">
        <w:rPr>
          <w:rStyle w:val="FootnoteReference"/>
          <w:rFonts w:ascii="Times New Roman" w:hAnsi="Times New Roman" w:cs="Times New Roman"/>
          <w:sz w:val="24"/>
        </w:rPr>
        <w:footnoteReference w:id="54"/>
      </w:r>
    </w:p>
    <w:p w14:paraId="2520539D" w14:textId="22455DF5" w:rsidR="00B01B57" w:rsidRDefault="00C207A0" w:rsidP="005F01C3">
      <w:pPr>
        <w:spacing w:line="360" w:lineRule="auto"/>
        <w:rPr>
          <w:rFonts w:ascii="Times New Roman" w:hAnsi="Times New Roman" w:cs="Times New Roman"/>
          <w:sz w:val="24"/>
        </w:rPr>
      </w:pPr>
      <w:r>
        <w:rPr>
          <w:rFonts w:ascii="Times New Roman" w:hAnsi="Times New Roman" w:cs="Times New Roman"/>
          <w:sz w:val="24"/>
        </w:rPr>
        <w:t xml:space="preserve">Oh and </w:t>
      </w:r>
      <w:proofErr w:type="spellStart"/>
      <w:r>
        <w:rPr>
          <w:rFonts w:ascii="Times New Roman" w:hAnsi="Times New Roman" w:cs="Times New Roman"/>
          <w:sz w:val="24"/>
        </w:rPr>
        <w:t>Kutufam</w:t>
      </w:r>
      <w:proofErr w:type="spellEnd"/>
      <w:r>
        <w:rPr>
          <w:rFonts w:ascii="Times New Roman" w:hAnsi="Times New Roman" w:cs="Times New Roman"/>
          <w:sz w:val="24"/>
        </w:rPr>
        <w:t xml:space="preserve"> describe this idea of ‘backlash culture’ as ‘framing Whiteness as victimized identity’ to provide ‘moral justification to defend Whiteness against racial and cultural </w:t>
      </w:r>
      <w:r>
        <w:rPr>
          <w:rFonts w:ascii="Times New Roman" w:hAnsi="Times New Roman" w:cs="Times New Roman"/>
          <w:sz w:val="24"/>
        </w:rPr>
        <w:lastRenderedPageBreak/>
        <w:t>diversity’ and they emphasise that it emerged as a response to increasing multiculturalism in Western society.</w:t>
      </w:r>
      <w:r>
        <w:rPr>
          <w:rStyle w:val="FootnoteReference"/>
          <w:rFonts w:ascii="Times New Roman" w:hAnsi="Times New Roman" w:cs="Times New Roman"/>
          <w:sz w:val="24"/>
        </w:rPr>
        <w:footnoteReference w:id="55"/>
      </w:r>
      <w:r>
        <w:rPr>
          <w:rFonts w:ascii="Times New Roman" w:hAnsi="Times New Roman" w:cs="Times New Roman"/>
          <w:sz w:val="24"/>
        </w:rPr>
        <w:t xml:space="preserve"> This they argue in their article is the reason why the film was so popular</w:t>
      </w:r>
      <w:r w:rsidR="00D44C73">
        <w:rPr>
          <w:rFonts w:ascii="Times New Roman" w:hAnsi="Times New Roman" w:cs="Times New Roman"/>
          <w:sz w:val="24"/>
        </w:rPr>
        <w:t>, as the corrupting threat of Persian decadence represented in the film can be seen as in direct contrast to the ‘family values’ of ‘conservative Whites’</w:t>
      </w:r>
      <w:r w:rsidR="005362F6">
        <w:rPr>
          <w:rFonts w:ascii="Times New Roman" w:hAnsi="Times New Roman" w:cs="Times New Roman"/>
          <w:sz w:val="24"/>
        </w:rPr>
        <w:t xml:space="preserve">, and when those people </w:t>
      </w:r>
      <w:r w:rsidR="00D44C73">
        <w:rPr>
          <w:rFonts w:ascii="Times New Roman" w:hAnsi="Times New Roman" w:cs="Times New Roman"/>
          <w:sz w:val="24"/>
        </w:rPr>
        <w:t>watched the film</w:t>
      </w:r>
      <w:r w:rsidR="002B6D89">
        <w:rPr>
          <w:rFonts w:ascii="Times New Roman" w:hAnsi="Times New Roman" w:cs="Times New Roman"/>
          <w:sz w:val="24"/>
        </w:rPr>
        <w:t xml:space="preserve"> they</w:t>
      </w:r>
      <w:r w:rsidR="00D44C73">
        <w:rPr>
          <w:rFonts w:ascii="Times New Roman" w:hAnsi="Times New Roman" w:cs="Times New Roman"/>
          <w:sz w:val="24"/>
        </w:rPr>
        <w:t xml:space="preserve"> would have associated this with </w:t>
      </w:r>
      <w:r w:rsidR="002B6D89">
        <w:rPr>
          <w:rFonts w:ascii="Times New Roman" w:hAnsi="Times New Roman" w:cs="Times New Roman"/>
          <w:sz w:val="24"/>
        </w:rPr>
        <w:t>all the corruption and decadence with the</w:t>
      </w:r>
      <w:r w:rsidR="00D44C73">
        <w:rPr>
          <w:rFonts w:ascii="Times New Roman" w:hAnsi="Times New Roman" w:cs="Times New Roman"/>
          <w:sz w:val="24"/>
        </w:rPr>
        <w:t xml:space="preserve"> invasion of multiculturalism that they feared</w:t>
      </w:r>
      <w:r w:rsidR="002B6D89">
        <w:rPr>
          <w:rFonts w:ascii="Times New Roman" w:hAnsi="Times New Roman" w:cs="Times New Roman"/>
          <w:sz w:val="24"/>
        </w:rPr>
        <w:t>.</w:t>
      </w:r>
      <w:r w:rsidR="00D44C73">
        <w:rPr>
          <w:rStyle w:val="FootnoteReference"/>
          <w:rFonts w:ascii="Times New Roman" w:hAnsi="Times New Roman" w:cs="Times New Roman"/>
          <w:sz w:val="24"/>
        </w:rPr>
        <w:footnoteReference w:id="56"/>
      </w:r>
      <w:r w:rsidR="0086263B">
        <w:rPr>
          <w:rFonts w:ascii="Times New Roman" w:hAnsi="Times New Roman" w:cs="Times New Roman"/>
          <w:sz w:val="24"/>
        </w:rPr>
        <w:t xml:space="preserve"> </w:t>
      </w:r>
      <w:r w:rsidR="002B6D89">
        <w:rPr>
          <w:rFonts w:ascii="Times New Roman" w:hAnsi="Times New Roman" w:cs="Times New Roman"/>
          <w:sz w:val="24"/>
        </w:rPr>
        <w:t>It is worth pointing out that this</w:t>
      </w:r>
      <w:r w:rsidR="0086263B">
        <w:rPr>
          <w:rFonts w:ascii="Times New Roman" w:hAnsi="Times New Roman" w:cs="Times New Roman"/>
          <w:sz w:val="24"/>
        </w:rPr>
        <w:t xml:space="preserve"> ‘backlash’ against multiculturalism </w:t>
      </w:r>
      <w:r w:rsidR="002B6D89">
        <w:rPr>
          <w:rFonts w:ascii="Times New Roman" w:hAnsi="Times New Roman" w:cs="Times New Roman"/>
          <w:sz w:val="24"/>
        </w:rPr>
        <w:t>in The West</w:t>
      </w:r>
      <w:r w:rsidR="0086263B">
        <w:rPr>
          <w:rFonts w:ascii="Times New Roman" w:hAnsi="Times New Roman" w:cs="Times New Roman"/>
          <w:sz w:val="24"/>
        </w:rPr>
        <w:t xml:space="preserve"> is the main reason for the rise of the </w:t>
      </w:r>
      <w:proofErr w:type="spellStart"/>
      <w:r w:rsidR="0086263B">
        <w:rPr>
          <w:rFonts w:ascii="Times New Roman" w:hAnsi="Times New Roman" w:cs="Times New Roman"/>
          <w:sz w:val="24"/>
        </w:rPr>
        <w:t>Identitarian</w:t>
      </w:r>
      <w:proofErr w:type="spellEnd"/>
      <w:r w:rsidR="0086263B">
        <w:rPr>
          <w:rFonts w:ascii="Times New Roman" w:hAnsi="Times New Roman" w:cs="Times New Roman"/>
          <w:sz w:val="24"/>
        </w:rPr>
        <w:t xml:space="preserve"> movement</w:t>
      </w:r>
      <w:r w:rsidR="002B6D89">
        <w:rPr>
          <w:rFonts w:ascii="Times New Roman" w:hAnsi="Times New Roman" w:cs="Times New Roman"/>
          <w:sz w:val="24"/>
        </w:rPr>
        <w:t xml:space="preserve">, and the ability to draw parallels between the Greeks defending against Eastern corruption in the form of the Persian Empire, and their own perceived fight against Islam is I would argue, the reason for the use of the </w:t>
      </w:r>
      <w:r w:rsidR="002B6D89">
        <w:rPr>
          <w:rFonts w:ascii="Times New Roman" w:hAnsi="Times New Roman" w:cs="Times New Roman"/>
          <w:i/>
          <w:sz w:val="24"/>
        </w:rPr>
        <w:t>lambda</w:t>
      </w:r>
      <w:r w:rsidR="002B6D89">
        <w:rPr>
          <w:rFonts w:ascii="Times New Roman" w:hAnsi="Times New Roman" w:cs="Times New Roman"/>
          <w:sz w:val="24"/>
        </w:rPr>
        <w:t xml:space="preserve"> as a symbol for the movement</w:t>
      </w:r>
      <w:r w:rsidR="0086263B">
        <w:rPr>
          <w:rFonts w:ascii="Times New Roman" w:hAnsi="Times New Roman" w:cs="Times New Roman"/>
          <w:sz w:val="24"/>
        </w:rPr>
        <w:t>.</w:t>
      </w:r>
      <w:r w:rsidR="00B01B57">
        <w:rPr>
          <w:rFonts w:ascii="Times New Roman" w:hAnsi="Times New Roman" w:cs="Times New Roman"/>
          <w:sz w:val="24"/>
        </w:rPr>
        <w:t xml:space="preserve"> </w:t>
      </w:r>
      <w:r w:rsidR="00D44C73">
        <w:rPr>
          <w:rFonts w:ascii="Times New Roman" w:hAnsi="Times New Roman" w:cs="Times New Roman"/>
          <w:sz w:val="24"/>
        </w:rPr>
        <w:t xml:space="preserve">There are more examples in </w:t>
      </w:r>
      <w:r w:rsidR="00D44C73">
        <w:rPr>
          <w:rFonts w:ascii="Times New Roman" w:hAnsi="Times New Roman" w:cs="Times New Roman"/>
          <w:i/>
          <w:sz w:val="24"/>
        </w:rPr>
        <w:t>300</w:t>
      </w:r>
      <w:r w:rsidR="00D44C73">
        <w:rPr>
          <w:rFonts w:ascii="Times New Roman" w:hAnsi="Times New Roman" w:cs="Times New Roman"/>
          <w:sz w:val="24"/>
        </w:rPr>
        <w:t xml:space="preserve"> where stereotypical tropes of The East </w:t>
      </w:r>
      <w:r w:rsidR="00B01B57">
        <w:rPr>
          <w:rFonts w:ascii="Times New Roman" w:hAnsi="Times New Roman" w:cs="Times New Roman"/>
          <w:sz w:val="24"/>
        </w:rPr>
        <w:t xml:space="preserve">and its inhabitants are used to show the difference between Persia and Sparta. The two major examples being the monstrosity of Xerxes army, and the other being the juxtaposition of freedom and slavery under an autocratic government. </w:t>
      </w:r>
    </w:p>
    <w:p w14:paraId="3073DD64" w14:textId="637596A6" w:rsidR="00D44C73" w:rsidRDefault="00B01B57" w:rsidP="005F01C3">
      <w:pPr>
        <w:spacing w:line="360" w:lineRule="auto"/>
        <w:rPr>
          <w:rFonts w:ascii="Times New Roman" w:hAnsi="Times New Roman" w:cs="Times New Roman"/>
          <w:sz w:val="24"/>
        </w:rPr>
      </w:pPr>
      <w:r>
        <w:rPr>
          <w:rFonts w:ascii="Times New Roman" w:hAnsi="Times New Roman" w:cs="Times New Roman"/>
          <w:sz w:val="24"/>
        </w:rPr>
        <w:t xml:space="preserve">Firstly, the monstrous nature of Xerxes army serves to </w:t>
      </w:r>
      <w:r w:rsidR="005D6A8C">
        <w:rPr>
          <w:rFonts w:ascii="Times New Roman" w:hAnsi="Times New Roman" w:cs="Times New Roman"/>
          <w:sz w:val="24"/>
        </w:rPr>
        <w:t>show the visual representation of the decay caused by the corrupting influence of Persian and Eastern decadence. The immortals, who were in actuality, an elite core unit of soldiers who were considered to be the best soldiers in the empire whose name was given to them by Herodotus as whenever one died, they were immediately replaced so that there were always ten thousand of them.</w:t>
      </w:r>
      <w:r w:rsidR="005D6A8C">
        <w:rPr>
          <w:rStyle w:val="FootnoteReference"/>
          <w:rFonts w:ascii="Times New Roman" w:hAnsi="Times New Roman" w:cs="Times New Roman"/>
          <w:sz w:val="24"/>
        </w:rPr>
        <w:footnoteReference w:id="57"/>
      </w:r>
      <w:r w:rsidR="005D6A8C">
        <w:rPr>
          <w:rFonts w:ascii="Times New Roman" w:hAnsi="Times New Roman" w:cs="Times New Roman"/>
          <w:sz w:val="24"/>
        </w:rPr>
        <w:t xml:space="preserve"> In </w:t>
      </w:r>
      <w:r w:rsidR="005D6A8C">
        <w:rPr>
          <w:rFonts w:ascii="Times New Roman" w:hAnsi="Times New Roman" w:cs="Times New Roman"/>
          <w:i/>
          <w:sz w:val="24"/>
        </w:rPr>
        <w:t>300</w:t>
      </w:r>
      <w:r w:rsidR="005D6A8C">
        <w:rPr>
          <w:rFonts w:ascii="Times New Roman" w:hAnsi="Times New Roman" w:cs="Times New Roman"/>
          <w:sz w:val="24"/>
        </w:rPr>
        <w:t xml:space="preserve"> however, they are shown to be monsters at the total control of Xerxes,</w:t>
      </w:r>
      <w:r w:rsidR="00FA3513">
        <w:rPr>
          <w:rFonts w:ascii="Times New Roman" w:hAnsi="Times New Roman" w:cs="Times New Roman"/>
          <w:sz w:val="24"/>
        </w:rPr>
        <w:t xml:space="preserve"> and they are the embodiment of corruption at the heart of the Persian army.</w:t>
      </w:r>
      <w:r w:rsidR="00FA3513">
        <w:rPr>
          <w:rStyle w:val="FootnoteReference"/>
          <w:rFonts w:ascii="Times New Roman" w:hAnsi="Times New Roman" w:cs="Times New Roman"/>
          <w:sz w:val="24"/>
        </w:rPr>
        <w:footnoteReference w:id="58"/>
      </w:r>
      <w:r w:rsidR="00FA3513">
        <w:rPr>
          <w:rFonts w:ascii="Times New Roman" w:hAnsi="Times New Roman" w:cs="Times New Roman"/>
          <w:sz w:val="24"/>
        </w:rPr>
        <w:t xml:space="preserve"> Their depiction as being something that can no longer be considered human I would argue, shows them to be the image of the corrupting influence of The East, and the end result of allowing the corruption to spread through society. As the soldiers who it is suggested have served Xerxes the longest,</w:t>
      </w:r>
      <w:r w:rsidR="00FA3513">
        <w:rPr>
          <w:rStyle w:val="FootnoteReference"/>
          <w:rFonts w:ascii="Times New Roman" w:hAnsi="Times New Roman" w:cs="Times New Roman"/>
          <w:sz w:val="24"/>
        </w:rPr>
        <w:footnoteReference w:id="59"/>
      </w:r>
      <w:r w:rsidR="00FA3513">
        <w:rPr>
          <w:rFonts w:ascii="Times New Roman" w:hAnsi="Times New Roman" w:cs="Times New Roman"/>
          <w:sz w:val="24"/>
        </w:rPr>
        <w:t xml:space="preserve"> they would be the most likely to become corrupted by the decadence of his regime. This then I would argue, means that in the eyes of those watching it who would align themselves with the previously mentioned ‘White backlash culture’, they are the product of Eastern influence, </w:t>
      </w:r>
      <w:r w:rsidR="00FA3513">
        <w:rPr>
          <w:rFonts w:ascii="Times New Roman" w:hAnsi="Times New Roman" w:cs="Times New Roman"/>
          <w:sz w:val="24"/>
        </w:rPr>
        <w:lastRenderedPageBreak/>
        <w:t xml:space="preserve">thus strengthening resolve against multiculturalism as the end result of too much Eastern influence causes the decay of people into </w:t>
      </w:r>
      <w:r w:rsidR="00A449AF">
        <w:rPr>
          <w:rFonts w:ascii="Times New Roman" w:hAnsi="Times New Roman" w:cs="Times New Roman"/>
          <w:sz w:val="24"/>
        </w:rPr>
        <w:t xml:space="preserve">something that is visibly </w:t>
      </w:r>
      <w:r w:rsidR="0086263B">
        <w:rPr>
          <w:rFonts w:ascii="Times New Roman" w:hAnsi="Times New Roman" w:cs="Times New Roman"/>
          <w:sz w:val="24"/>
        </w:rPr>
        <w:t>sub human</w:t>
      </w:r>
      <w:r w:rsidR="00FA3513">
        <w:rPr>
          <w:rFonts w:ascii="Times New Roman" w:hAnsi="Times New Roman" w:cs="Times New Roman"/>
          <w:sz w:val="24"/>
        </w:rPr>
        <w:t>.</w:t>
      </w:r>
    </w:p>
    <w:p w14:paraId="45C1F95B" w14:textId="5B076C00" w:rsidR="009A5886" w:rsidRDefault="00F3473E" w:rsidP="005F01C3">
      <w:pPr>
        <w:spacing w:line="360" w:lineRule="auto"/>
        <w:rPr>
          <w:rFonts w:ascii="Times New Roman" w:hAnsi="Times New Roman" w:cs="Times New Roman"/>
          <w:sz w:val="24"/>
        </w:rPr>
      </w:pPr>
      <w:r>
        <w:rPr>
          <w:rFonts w:ascii="Times New Roman" w:hAnsi="Times New Roman" w:cs="Times New Roman"/>
          <w:sz w:val="24"/>
        </w:rPr>
        <w:t xml:space="preserve">The second example also </w:t>
      </w:r>
      <w:r w:rsidR="00ED3857">
        <w:rPr>
          <w:rFonts w:ascii="Times New Roman" w:hAnsi="Times New Roman" w:cs="Times New Roman"/>
          <w:sz w:val="24"/>
        </w:rPr>
        <w:t>continues many of the Western traditions of the perceived corruption of Eastern civilisation by emphasising the tyrannical nature of Xerxes’ rule, which is contrasted by the very Americanised Spartans who are portrayed as protectors of freedom. There is also a juxtaposition set up between the two sides, where on one hand the Persians are wholly submissive to the will of their ‘god-king’</w:t>
      </w:r>
      <w:r w:rsidR="0041445D">
        <w:rPr>
          <w:rFonts w:ascii="Times New Roman" w:hAnsi="Times New Roman" w:cs="Times New Roman"/>
          <w:sz w:val="24"/>
        </w:rPr>
        <w:t>;</w:t>
      </w:r>
      <w:r w:rsidR="00ED3857">
        <w:rPr>
          <w:rFonts w:ascii="Times New Roman" w:hAnsi="Times New Roman" w:cs="Times New Roman"/>
          <w:sz w:val="24"/>
        </w:rPr>
        <w:t xml:space="preserve"> the Spartans emphasise the rule of law above men, which is a tra</w:t>
      </w:r>
      <w:r w:rsidR="0041445D">
        <w:rPr>
          <w:rFonts w:ascii="Times New Roman" w:hAnsi="Times New Roman" w:cs="Times New Roman"/>
          <w:sz w:val="24"/>
        </w:rPr>
        <w:t xml:space="preserve">ditional value </w:t>
      </w:r>
      <w:r w:rsidR="00ED3857">
        <w:rPr>
          <w:rFonts w:ascii="Times New Roman" w:hAnsi="Times New Roman" w:cs="Times New Roman"/>
          <w:sz w:val="24"/>
        </w:rPr>
        <w:t>f</w:t>
      </w:r>
      <w:r w:rsidR="0041445D">
        <w:rPr>
          <w:rFonts w:ascii="Times New Roman" w:hAnsi="Times New Roman" w:cs="Times New Roman"/>
          <w:sz w:val="24"/>
        </w:rPr>
        <w:t>or</w:t>
      </w:r>
      <w:r w:rsidR="00ED3857">
        <w:rPr>
          <w:rFonts w:ascii="Times New Roman" w:hAnsi="Times New Roman" w:cs="Times New Roman"/>
          <w:sz w:val="24"/>
        </w:rPr>
        <w:t xml:space="preserve"> modern Western governments.</w:t>
      </w:r>
      <w:r w:rsidR="00ED3857">
        <w:rPr>
          <w:rStyle w:val="FootnoteReference"/>
          <w:rFonts w:ascii="Times New Roman" w:hAnsi="Times New Roman" w:cs="Times New Roman"/>
          <w:sz w:val="24"/>
        </w:rPr>
        <w:footnoteReference w:id="60"/>
      </w:r>
      <w:r w:rsidR="00ED3857">
        <w:rPr>
          <w:rFonts w:ascii="Times New Roman" w:hAnsi="Times New Roman" w:cs="Times New Roman"/>
          <w:sz w:val="24"/>
        </w:rPr>
        <w:t xml:space="preserve"> This idea of overbearing Persian autocracy is as I have previously mentioned, an idea that began in Classical Greece</w:t>
      </w:r>
      <w:r w:rsidR="0041445D">
        <w:rPr>
          <w:rFonts w:ascii="Times New Roman" w:hAnsi="Times New Roman" w:cs="Times New Roman"/>
          <w:sz w:val="24"/>
        </w:rPr>
        <w:t>,</w:t>
      </w:r>
      <w:r w:rsidR="0041445D">
        <w:rPr>
          <w:rStyle w:val="FootnoteReference"/>
          <w:rFonts w:ascii="Times New Roman" w:hAnsi="Times New Roman" w:cs="Times New Roman"/>
          <w:sz w:val="24"/>
        </w:rPr>
        <w:footnoteReference w:id="61"/>
      </w:r>
      <w:r w:rsidR="0041445D">
        <w:rPr>
          <w:rFonts w:ascii="Times New Roman" w:hAnsi="Times New Roman" w:cs="Times New Roman"/>
          <w:sz w:val="24"/>
        </w:rPr>
        <w:t xml:space="preserve"> and given the interactions between The West and East in recent time, the idea of Eastern dictatorship and tyranny is one that viewers would have been familiar with.</w:t>
      </w:r>
      <w:r w:rsidR="0041445D">
        <w:rPr>
          <w:rStyle w:val="FootnoteReference"/>
          <w:rFonts w:ascii="Times New Roman" w:hAnsi="Times New Roman" w:cs="Times New Roman"/>
          <w:sz w:val="24"/>
        </w:rPr>
        <w:footnoteReference w:id="62"/>
      </w:r>
      <w:r w:rsidR="0041445D">
        <w:rPr>
          <w:rFonts w:ascii="Times New Roman" w:hAnsi="Times New Roman" w:cs="Times New Roman"/>
          <w:sz w:val="24"/>
        </w:rPr>
        <w:t xml:space="preserve"> This helps to further create an image of the stark difference in Eastern and Western culture and civilisation</w:t>
      </w:r>
      <w:r w:rsidR="009A5886">
        <w:rPr>
          <w:rFonts w:ascii="Times New Roman" w:hAnsi="Times New Roman" w:cs="Times New Roman"/>
          <w:sz w:val="24"/>
        </w:rPr>
        <w:t>. It also resonates further with those who identify with ‘White backlash culture’ as the Spartans are portrayed as the defenders of freedom, which is a key aspect of ‘backlash culture’.</w:t>
      </w:r>
      <w:r w:rsidR="009A5886">
        <w:rPr>
          <w:rStyle w:val="FootnoteReference"/>
          <w:rFonts w:ascii="Times New Roman" w:hAnsi="Times New Roman" w:cs="Times New Roman"/>
          <w:sz w:val="24"/>
        </w:rPr>
        <w:footnoteReference w:id="63"/>
      </w:r>
      <w:r w:rsidR="009A5886">
        <w:rPr>
          <w:rFonts w:ascii="Times New Roman" w:hAnsi="Times New Roman" w:cs="Times New Roman"/>
          <w:sz w:val="24"/>
        </w:rPr>
        <w:t xml:space="preserve"> This idea of defending Western freedom against Eastern autocracy has also been picked up on by the </w:t>
      </w:r>
      <w:proofErr w:type="spellStart"/>
      <w:r w:rsidR="009A5886">
        <w:rPr>
          <w:rFonts w:ascii="Times New Roman" w:hAnsi="Times New Roman" w:cs="Times New Roman"/>
          <w:sz w:val="24"/>
        </w:rPr>
        <w:t>Identitarian</w:t>
      </w:r>
      <w:proofErr w:type="spellEnd"/>
      <w:r w:rsidR="009A5886">
        <w:rPr>
          <w:rFonts w:ascii="Times New Roman" w:hAnsi="Times New Roman" w:cs="Times New Roman"/>
          <w:sz w:val="24"/>
        </w:rPr>
        <w:t xml:space="preserve"> movement as I mentioned previously, as they seek to identify themselves with the Spartans at Thermopylae </w:t>
      </w:r>
      <w:r w:rsidR="0036580F">
        <w:rPr>
          <w:rFonts w:ascii="Times New Roman" w:hAnsi="Times New Roman" w:cs="Times New Roman"/>
          <w:sz w:val="24"/>
        </w:rPr>
        <w:t xml:space="preserve">as defenders of </w:t>
      </w:r>
      <w:r w:rsidR="000E0A97">
        <w:rPr>
          <w:rFonts w:ascii="Times New Roman" w:hAnsi="Times New Roman" w:cs="Times New Roman"/>
          <w:sz w:val="24"/>
        </w:rPr>
        <w:t>Western freedom and liberty</w:t>
      </w:r>
      <w:r w:rsidR="009A5886">
        <w:rPr>
          <w:rFonts w:ascii="Times New Roman" w:hAnsi="Times New Roman" w:cs="Times New Roman"/>
          <w:sz w:val="24"/>
        </w:rPr>
        <w:t>.</w:t>
      </w:r>
      <w:r w:rsidR="009A5886">
        <w:rPr>
          <w:rStyle w:val="FootnoteReference"/>
          <w:rFonts w:ascii="Times New Roman" w:hAnsi="Times New Roman" w:cs="Times New Roman"/>
          <w:sz w:val="24"/>
        </w:rPr>
        <w:footnoteReference w:id="64"/>
      </w:r>
    </w:p>
    <w:p w14:paraId="46C7299F" w14:textId="715B1DA7" w:rsidR="00EA70AD" w:rsidRDefault="00EA70AD" w:rsidP="005F01C3">
      <w:pPr>
        <w:spacing w:line="360" w:lineRule="auto"/>
        <w:rPr>
          <w:rFonts w:ascii="Times New Roman" w:hAnsi="Times New Roman" w:cs="Times New Roman"/>
          <w:sz w:val="24"/>
        </w:rPr>
      </w:pPr>
      <w:r>
        <w:rPr>
          <w:rFonts w:ascii="Times New Roman" w:hAnsi="Times New Roman" w:cs="Times New Roman"/>
          <w:sz w:val="24"/>
        </w:rPr>
        <w:t xml:space="preserve">These then, are the major ways in which </w:t>
      </w:r>
      <w:r>
        <w:rPr>
          <w:rFonts w:ascii="Times New Roman" w:hAnsi="Times New Roman" w:cs="Times New Roman"/>
          <w:i/>
          <w:sz w:val="24"/>
        </w:rPr>
        <w:t>300</w:t>
      </w:r>
      <w:r>
        <w:rPr>
          <w:rFonts w:ascii="Times New Roman" w:hAnsi="Times New Roman" w:cs="Times New Roman"/>
          <w:sz w:val="24"/>
        </w:rPr>
        <w:t xml:space="preserve"> creates an image of The East and West as two fundamentally different civilizations. The juxtaposition between Western masculinity and Eastern femininity, Eastern corruption and decadence </w:t>
      </w:r>
      <w:r w:rsidR="0091578F">
        <w:rPr>
          <w:rFonts w:ascii="Times New Roman" w:hAnsi="Times New Roman" w:cs="Times New Roman"/>
          <w:sz w:val="24"/>
        </w:rPr>
        <w:t>versus</w:t>
      </w:r>
      <w:r>
        <w:rPr>
          <w:rFonts w:ascii="Times New Roman" w:hAnsi="Times New Roman" w:cs="Times New Roman"/>
          <w:sz w:val="24"/>
        </w:rPr>
        <w:t xml:space="preserve"> Western purity, and Western freedom versus Eastern tyranny. It is these three points that separate the Spartans from the Persians, and </w:t>
      </w:r>
      <w:r w:rsidR="0091578F">
        <w:rPr>
          <w:rFonts w:ascii="Times New Roman" w:hAnsi="Times New Roman" w:cs="Times New Roman"/>
          <w:sz w:val="24"/>
        </w:rPr>
        <w:t xml:space="preserve">it is these three points that are shown to be irreconcilable differences. Thus in </w:t>
      </w:r>
      <w:r w:rsidR="0091578F">
        <w:rPr>
          <w:rFonts w:ascii="Times New Roman" w:hAnsi="Times New Roman" w:cs="Times New Roman"/>
          <w:i/>
          <w:sz w:val="24"/>
        </w:rPr>
        <w:t>300</w:t>
      </w:r>
      <w:r w:rsidR="0091578F">
        <w:rPr>
          <w:rFonts w:ascii="Times New Roman" w:hAnsi="Times New Roman" w:cs="Times New Roman"/>
          <w:sz w:val="24"/>
        </w:rPr>
        <w:t xml:space="preserve"> we do not see simply a war between Greeks and Persians over land or resources. The conflict is instead portrayed as being a clashing of competing civilizations and ideologies. This then supports in the mind of the viewer the idea of Western clashes with The East as </w:t>
      </w:r>
      <w:r w:rsidR="0091578F">
        <w:rPr>
          <w:rFonts w:ascii="Times New Roman" w:hAnsi="Times New Roman" w:cs="Times New Roman"/>
          <w:sz w:val="24"/>
        </w:rPr>
        <w:lastRenderedPageBreak/>
        <w:t>inevitable as Huntingdon argued</w:t>
      </w:r>
      <w:r w:rsidR="009B4C04">
        <w:rPr>
          <w:rFonts w:ascii="Times New Roman" w:hAnsi="Times New Roman" w:cs="Times New Roman"/>
          <w:sz w:val="24"/>
        </w:rPr>
        <w:t xml:space="preserve">, and if this idea were true as </w:t>
      </w:r>
      <w:r w:rsidR="009B4C04">
        <w:rPr>
          <w:rFonts w:ascii="Times New Roman" w:hAnsi="Times New Roman" w:cs="Times New Roman"/>
          <w:i/>
          <w:sz w:val="24"/>
        </w:rPr>
        <w:t>300</w:t>
      </w:r>
      <w:r w:rsidR="009B4C04">
        <w:rPr>
          <w:rFonts w:ascii="Times New Roman" w:hAnsi="Times New Roman" w:cs="Times New Roman"/>
          <w:sz w:val="24"/>
        </w:rPr>
        <w:t xml:space="preserve"> suggests, it would justify the fear of multiculturalism held by many in The West.</w:t>
      </w:r>
    </w:p>
    <w:p w14:paraId="4F8D7D10" w14:textId="7D9E33CC" w:rsidR="009B4C04" w:rsidRDefault="009B4C04" w:rsidP="005F01C3">
      <w:pPr>
        <w:spacing w:line="360" w:lineRule="auto"/>
        <w:rPr>
          <w:rFonts w:ascii="Times New Roman" w:hAnsi="Times New Roman" w:cs="Times New Roman"/>
          <w:b/>
          <w:sz w:val="24"/>
        </w:rPr>
      </w:pPr>
      <w:r>
        <w:rPr>
          <w:rFonts w:ascii="Times New Roman" w:hAnsi="Times New Roman" w:cs="Times New Roman"/>
          <w:b/>
          <w:i/>
          <w:sz w:val="24"/>
        </w:rPr>
        <w:t>Conclusion:</w:t>
      </w:r>
    </w:p>
    <w:p w14:paraId="39360E13" w14:textId="7893CDDF" w:rsidR="009B4C04" w:rsidRDefault="009B4C04" w:rsidP="005F01C3">
      <w:pPr>
        <w:spacing w:line="360" w:lineRule="auto"/>
        <w:rPr>
          <w:rFonts w:ascii="Times New Roman" w:hAnsi="Times New Roman" w:cs="Times New Roman"/>
          <w:sz w:val="24"/>
        </w:rPr>
      </w:pPr>
      <w:r>
        <w:rPr>
          <w:rFonts w:ascii="Times New Roman" w:hAnsi="Times New Roman" w:cs="Times New Roman"/>
          <w:sz w:val="24"/>
        </w:rPr>
        <w:t xml:space="preserve">In conclusion then, I would argue that the film </w:t>
      </w:r>
      <w:r>
        <w:rPr>
          <w:rFonts w:ascii="Times New Roman" w:hAnsi="Times New Roman" w:cs="Times New Roman"/>
          <w:i/>
          <w:sz w:val="24"/>
        </w:rPr>
        <w:t>300</w:t>
      </w:r>
      <w:r>
        <w:rPr>
          <w:rFonts w:ascii="Times New Roman" w:hAnsi="Times New Roman" w:cs="Times New Roman"/>
          <w:sz w:val="24"/>
        </w:rPr>
        <w:t xml:space="preserve"> is a continuation of a Western tradition that sought to separate the West and East in order to strengthen </w:t>
      </w:r>
      <w:r w:rsidR="007176CF">
        <w:rPr>
          <w:rFonts w:ascii="Times New Roman" w:hAnsi="Times New Roman" w:cs="Times New Roman"/>
          <w:sz w:val="24"/>
        </w:rPr>
        <w:t xml:space="preserve">Western </w:t>
      </w:r>
      <w:r>
        <w:rPr>
          <w:rFonts w:ascii="Times New Roman" w:hAnsi="Times New Roman" w:cs="Times New Roman"/>
          <w:sz w:val="24"/>
        </w:rPr>
        <w:t>cultural identity</w:t>
      </w:r>
      <w:r w:rsidR="007176CF">
        <w:rPr>
          <w:rFonts w:ascii="Times New Roman" w:hAnsi="Times New Roman" w:cs="Times New Roman"/>
          <w:sz w:val="24"/>
        </w:rPr>
        <w:t xml:space="preserve"> and degrade that of The East</w:t>
      </w:r>
      <w:r>
        <w:rPr>
          <w:rFonts w:ascii="Times New Roman" w:hAnsi="Times New Roman" w:cs="Times New Roman"/>
          <w:sz w:val="24"/>
        </w:rPr>
        <w:t>. The film plays upon and makes use of many stereotypes used in Western European literature over the years to demean Eastern and Islamic culture</w:t>
      </w:r>
      <w:r w:rsidR="007176CF">
        <w:rPr>
          <w:rFonts w:ascii="Times New Roman" w:hAnsi="Times New Roman" w:cs="Times New Roman"/>
          <w:sz w:val="24"/>
        </w:rPr>
        <w:t>, such as excessive and corrosive femininity.</w:t>
      </w:r>
      <w:r w:rsidR="007176CF">
        <w:rPr>
          <w:rStyle w:val="FootnoteReference"/>
          <w:rFonts w:ascii="Times New Roman" w:hAnsi="Times New Roman" w:cs="Times New Roman"/>
          <w:sz w:val="24"/>
        </w:rPr>
        <w:footnoteReference w:id="65"/>
      </w:r>
      <w:r w:rsidR="007176CF">
        <w:rPr>
          <w:rFonts w:ascii="Times New Roman" w:hAnsi="Times New Roman" w:cs="Times New Roman"/>
          <w:sz w:val="24"/>
        </w:rPr>
        <w:t xml:space="preserve"> This would have resonated with viewers in The West who were feeling threatened by the increasing multiculturalism of their societies, as the film portrays The East and its values as being the cultural opposite of the traditional Western world. Now, it is impossible to say with any certainty that the culture of ‘White backlash’ gained popularity because of the portrayal of Persia in </w:t>
      </w:r>
      <w:r w:rsidR="007176CF">
        <w:rPr>
          <w:rFonts w:ascii="Times New Roman" w:hAnsi="Times New Roman" w:cs="Times New Roman"/>
          <w:i/>
          <w:sz w:val="24"/>
        </w:rPr>
        <w:t>300</w:t>
      </w:r>
      <w:r w:rsidR="007176CF">
        <w:rPr>
          <w:rFonts w:ascii="Times New Roman" w:hAnsi="Times New Roman" w:cs="Times New Roman"/>
          <w:sz w:val="24"/>
        </w:rPr>
        <w:t>, however the film did resurrect a narrative of Western superiority over The East which many in The West felt needed to be defended, and this narrative I would argue</w:t>
      </w:r>
      <w:r w:rsidR="00343CAD">
        <w:rPr>
          <w:rFonts w:ascii="Times New Roman" w:hAnsi="Times New Roman" w:cs="Times New Roman"/>
          <w:sz w:val="24"/>
        </w:rPr>
        <w:t>,</w:t>
      </w:r>
      <w:r w:rsidR="007176CF">
        <w:rPr>
          <w:rFonts w:ascii="Times New Roman" w:hAnsi="Times New Roman" w:cs="Times New Roman"/>
          <w:sz w:val="24"/>
        </w:rPr>
        <w:t xml:space="preserve"> helped fuel the growth of ‘White backlash culture’ and its opposition to multiculturalism, which in turn laid the foundation for the </w:t>
      </w:r>
      <w:proofErr w:type="spellStart"/>
      <w:r w:rsidR="007176CF">
        <w:rPr>
          <w:rFonts w:ascii="Times New Roman" w:hAnsi="Times New Roman" w:cs="Times New Roman"/>
          <w:sz w:val="24"/>
        </w:rPr>
        <w:t>Identitarian</w:t>
      </w:r>
      <w:proofErr w:type="spellEnd"/>
      <w:r w:rsidR="007176CF">
        <w:rPr>
          <w:rFonts w:ascii="Times New Roman" w:hAnsi="Times New Roman" w:cs="Times New Roman"/>
          <w:sz w:val="24"/>
        </w:rPr>
        <w:t xml:space="preserve"> movements rise across </w:t>
      </w:r>
      <w:r w:rsidR="00343CAD">
        <w:rPr>
          <w:rFonts w:ascii="Times New Roman" w:hAnsi="Times New Roman" w:cs="Times New Roman"/>
          <w:sz w:val="24"/>
        </w:rPr>
        <w:t>Europe.</w:t>
      </w:r>
    </w:p>
    <w:p w14:paraId="594DE1BD" w14:textId="1BDA0813" w:rsidR="00C25A2F" w:rsidRDefault="00C25A2F" w:rsidP="005F01C3">
      <w:pPr>
        <w:spacing w:line="360" w:lineRule="auto"/>
        <w:rPr>
          <w:rFonts w:ascii="Times New Roman" w:hAnsi="Times New Roman" w:cs="Times New Roman"/>
          <w:sz w:val="24"/>
        </w:rPr>
      </w:pPr>
    </w:p>
    <w:p w14:paraId="16747069" w14:textId="1B8EA538" w:rsidR="00C25A2F" w:rsidRDefault="00C25A2F" w:rsidP="005F01C3">
      <w:pPr>
        <w:spacing w:line="360" w:lineRule="auto"/>
        <w:rPr>
          <w:rFonts w:ascii="Times New Roman" w:hAnsi="Times New Roman" w:cs="Times New Roman"/>
          <w:sz w:val="24"/>
        </w:rPr>
      </w:pPr>
      <w:r>
        <w:rPr>
          <w:rFonts w:ascii="Times New Roman" w:hAnsi="Times New Roman" w:cs="Times New Roman"/>
          <w:b/>
          <w:sz w:val="24"/>
        </w:rPr>
        <w:t>Word Count: 534</w:t>
      </w:r>
      <w:r w:rsidR="00A1139D">
        <w:rPr>
          <w:rFonts w:ascii="Times New Roman" w:hAnsi="Times New Roman" w:cs="Times New Roman"/>
          <w:b/>
          <w:sz w:val="24"/>
        </w:rPr>
        <w:t>8</w:t>
      </w:r>
      <w:bookmarkStart w:id="0" w:name="_GoBack"/>
      <w:bookmarkEnd w:id="0"/>
    </w:p>
    <w:p w14:paraId="724C4E82" w14:textId="746CB52E" w:rsidR="00C25A2F" w:rsidRDefault="00C25A2F" w:rsidP="00020C1C">
      <w:pPr>
        <w:rPr>
          <w:rFonts w:ascii="Times New Roman" w:hAnsi="Times New Roman" w:cs="Times New Roman"/>
          <w:sz w:val="24"/>
        </w:rPr>
      </w:pPr>
    </w:p>
    <w:p w14:paraId="6AB37BBD" w14:textId="77777777" w:rsidR="00A1139D" w:rsidRDefault="00A1139D" w:rsidP="005F01C3">
      <w:pPr>
        <w:spacing w:line="480" w:lineRule="auto"/>
        <w:rPr>
          <w:rFonts w:ascii="Times New Roman" w:hAnsi="Times New Roman" w:cs="Times New Roman"/>
          <w:b/>
          <w:sz w:val="24"/>
          <w:u w:val="single"/>
        </w:rPr>
      </w:pPr>
    </w:p>
    <w:p w14:paraId="25D5B277" w14:textId="77777777" w:rsidR="00A1139D" w:rsidRDefault="00A1139D" w:rsidP="005F01C3">
      <w:pPr>
        <w:spacing w:line="480" w:lineRule="auto"/>
        <w:rPr>
          <w:rFonts w:ascii="Times New Roman" w:hAnsi="Times New Roman" w:cs="Times New Roman"/>
          <w:b/>
          <w:sz w:val="24"/>
          <w:u w:val="single"/>
        </w:rPr>
      </w:pPr>
    </w:p>
    <w:p w14:paraId="4571291E" w14:textId="77777777" w:rsidR="00A1139D" w:rsidRDefault="00A1139D" w:rsidP="005F01C3">
      <w:pPr>
        <w:spacing w:line="480" w:lineRule="auto"/>
        <w:rPr>
          <w:rFonts w:ascii="Times New Roman" w:hAnsi="Times New Roman" w:cs="Times New Roman"/>
          <w:b/>
          <w:sz w:val="24"/>
          <w:u w:val="single"/>
        </w:rPr>
      </w:pPr>
    </w:p>
    <w:p w14:paraId="2BBE2C2B" w14:textId="77777777" w:rsidR="00A1139D" w:rsidRDefault="00A1139D" w:rsidP="005F01C3">
      <w:pPr>
        <w:spacing w:line="480" w:lineRule="auto"/>
        <w:rPr>
          <w:rFonts w:ascii="Times New Roman" w:hAnsi="Times New Roman" w:cs="Times New Roman"/>
          <w:b/>
          <w:sz w:val="24"/>
          <w:u w:val="single"/>
        </w:rPr>
      </w:pPr>
    </w:p>
    <w:p w14:paraId="612EEA1D" w14:textId="77777777" w:rsidR="00A1139D" w:rsidRDefault="00A1139D" w:rsidP="005F01C3">
      <w:pPr>
        <w:spacing w:line="480" w:lineRule="auto"/>
        <w:rPr>
          <w:rFonts w:ascii="Times New Roman" w:hAnsi="Times New Roman" w:cs="Times New Roman"/>
          <w:b/>
          <w:sz w:val="24"/>
          <w:u w:val="single"/>
        </w:rPr>
      </w:pPr>
    </w:p>
    <w:p w14:paraId="09014324" w14:textId="77777777" w:rsidR="00A1139D" w:rsidRDefault="00A1139D" w:rsidP="005F01C3">
      <w:pPr>
        <w:spacing w:line="480" w:lineRule="auto"/>
        <w:rPr>
          <w:rFonts w:ascii="Times New Roman" w:hAnsi="Times New Roman" w:cs="Times New Roman"/>
          <w:b/>
          <w:sz w:val="24"/>
          <w:u w:val="single"/>
        </w:rPr>
      </w:pPr>
    </w:p>
    <w:p w14:paraId="0F5D5A52" w14:textId="5FD85351" w:rsidR="00C25A2F" w:rsidRDefault="00C25A2F" w:rsidP="005F01C3">
      <w:pPr>
        <w:spacing w:line="480" w:lineRule="auto"/>
        <w:rPr>
          <w:rFonts w:ascii="Times New Roman" w:hAnsi="Times New Roman" w:cs="Times New Roman"/>
          <w:b/>
          <w:sz w:val="24"/>
          <w:u w:val="single"/>
        </w:rPr>
      </w:pPr>
      <w:r>
        <w:rPr>
          <w:rFonts w:ascii="Times New Roman" w:hAnsi="Times New Roman" w:cs="Times New Roman"/>
          <w:b/>
          <w:sz w:val="24"/>
          <w:u w:val="single"/>
        </w:rPr>
        <w:lastRenderedPageBreak/>
        <w:t>Bibliography</w:t>
      </w:r>
    </w:p>
    <w:p w14:paraId="4A6B15E4" w14:textId="17786548" w:rsidR="00C25A2F" w:rsidRDefault="00C25A2F" w:rsidP="005F01C3">
      <w:pPr>
        <w:spacing w:line="480" w:lineRule="auto"/>
        <w:rPr>
          <w:rFonts w:ascii="Times New Roman" w:hAnsi="Times New Roman" w:cs="Times New Roman"/>
          <w:b/>
          <w:sz w:val="24"/>
        </w:rPr>
      </w:pPr>
      <w:r>
        <w:rPr>
          <w:rFonts w:ascii="Times New Roman" w:hAnsi="Times New Roman" w:cs="Times New Roman"/>
          <w:b/>
          <w:sz w:val="24"/>
        </w:rPr>
        <w:t>Ancient Sources:</w:t>
      </w:r>
    </w:p>
    <w:p w14:paraId="00D241B5" w14:textId="124FED5A" w:rsidR="00C25A2F" w:rsidRDefault="00C25A2F" w:rsidP="005F01C3">
      <w:pPr>
        <w:spacing w:line="480" w:lineRule="auto"/>
        <w:rPr>
          <w:rFonts w:ascii="Times New Roman" w:hAnsi="Times New Roman" w:cs="Times New Roman"/>
          <w:sz w:val="24"/>
        </w:rPr>
      </w:pPr>
      <w:proofErr w:type="spellStart"/>
      <w:r>
        <w:rPr>
          <w:rFonts w:ascii="Times New Roman" w:hAnsi="Times New Roman" w:cs="Times New Roman"/>
          <w:sz w:val="24"/>
        </w:rPr>
        <w:t>Arrian</w:t>
      </w:r>
      <w:proofErr w:type="spellEnd"/>
      <w:r>
        <w:rPr>
          <w:rFonts w:ascii="Times New Roman" w:hAnsi="Times New Roman" w:cs="Times New Roman"/>
          <w:sz w:val="24"/>
        </w:rPr>
        <w:t xml:space="preserve">, </w:t>
      </w:r>
      <w:r>
        <w:rPr>
          <w:rFonts w:ascii="Times New Roman" w:hAnsi="Times New Roman" w:cs="Times New Roman"/>
          <w:i/>
          <w:sz w:val="24"/>
        </w:rPr>
        <w:t>The Campaigns of Alexander</w:t>
      </w:r>
      <w:r>
        <w:rPr>
          <w:rFonts w:ascii="Times New Roman" w:hAnsi="Times New Roman" w:cs="Times New Roman"/>
          <w:sz w:val="24"/>
        </w:rPr>
        <w:t xml:space="preserve">. A. De </w:t>
      </w:r>
      <w:proofErr w:type="spellStart"/>
      <w:r>
        <w:rPr>
          <w:rFonts w:ascii="Times New Roman" w:hAnsi="Times New Roman" w:cs="Times New Roman"/>
          <w:sz w:val="24"/>
        </w:rPr>
        <w:t>Sélincourt</w:t>
      </w:r>
      <w:proofErr w:type="spellEnd"/>
      <w:r>
        <w:rPr>
          <w:rFonts w:ascii="Times New Roman" w:hAnsi="Times New Roman" w:cs="Times New Roman"/>
          <w:sz w:val="24"/>
        </w:rPr>
        <w:t xml:space="preserve"> (trans.). 1958. Harmondsworth: </w:t>
      </w:r>
      <w:r>
        <w:rPr>
          <w:rFonts w:ascii="Times New Roman" w:hAnsi="Times New Roman" w:cs="Times New Roman"/>
          <w:sz w:val="24"/>
        </w:rPr>
        <w:tab/>
        <w:t>Penguin Books Ltd.</w:t>
      </w:r>
    </w:p>
    <w:p w14:paraId="1F516366" w14:textId="377FBB6B" w:rsidR="007658A3" w:rsidRPr="007658A3" w:rsidRDefault="007658A3" w:rsidP="005F01C3">
      <w:pPr>
        <w:spacing w:line="480" w:lineRule="auto"/>
        <w:rPr>
          <w:rFonts w:ascii="Times New Roman" w:hAnsi="Times New Roman" w:cs="Times New Roman"/>
          <w:sz w:val="24"/>
        </w:rPr>
      </w:pPr>
      <w:r>
        <w:rPr>
          <w:rFonts w:ascii="Times New Roman" w:hAnsi="Times New Roman" w:cs="Times New Roman"/>
          <w:sz w:val="24"/>
        </w:rPr>
        <w:t xml:space="preserve">Herodotus, </w:t>
      </w:r>
      <w:r>
        <w:rPr>
          <w:rFonts w:ascii="Times New Roman" w:hAnsi="Times New Roman" w:cs="Times New Roman"/>
          <w:i/>
          <w:sz w:val="24"/>
        </w:rPr>
        <w:t>The Histories</w:t>
      </w:r>
      <w:r>
        <w:rPr>
          <w:rFonts w:ascii="Times New Roman" w:hAnsi="Times New Roman" w:cs="Times New Roman"/>
          <w:sz w:val="24"/>
        </w:rPr>
        <w:t xml:space="preserve">. A.D. Godley (trans.). 1920. Cambridge, MA: Harvard University </w:t>
      </w:r>
      <w:r>
        <w:rPr>
          <w:rFonts w:ascii="Times New Roman" w:hAnsi="Times New Roman" w:cs="Times New Roman"/>
          <w:sz w:val="24"/>
        </w:rPr>
        <w:tab/>
        <w:t>Press.</w:t>
      </w:r>
    </w:p>
    <w:p w14:paraId="2C008200" w14:textId="3EB52D88" w:rsidR="00C25A2F" w:rsidRDefault="00C25A2F" w:rsidP="005F01C3">
      <w:pPr>
        <w:spacing w:line="480" w:lineRule="auto"/>
        <w:rPr>
          <w:rFonts w:ascii="Times New Roman" w:hAnsi="Times New Roman" w:cs="Times New Roman"/>
          <w:sz w:val="24"/>
        </w:rPr>
      </w:pPr>
      <w:r>
        <w:rPr>
          <w:rFonts w:ascii="Times New Roman" w:hAnsi="Times New Roman" w:cs="Times New Roman"/>
          <w:sz w:val="24"/>
        </w:rPr>
        <w:t xml:space="preserve">Plato, </w:t>
      </w:r>
      <w:r>
        <w:rPr>
          <w:rFonts w:ascii="Times New Roman" w:hAnsi="Times New Roman" w:cs="Times New Roman"/>
          <w:i/>
          <w:sz w:val="24"/>
        </w:rPr>
        <w:t>The Laws</w:t>
      </w:r>
      <w:r>
        <w:rPr>
          <w:rFonts w:ascii="Times New Roman" w:hAnsi="Times New Roman" w:cs="Times New Roman"/>
          <w:sz w:val="24"/>
        </w:rPr>
        <w:t>. T.J. Saunders (trans.). 1970. Harmondsworth: Penguin Books Ltd.</w:t>
      </w:r>
    </w:p>
    <w:p w14:paraId="47A0966B" w14:textId="358D22AF" w:rsidR="00C25A2F" w:rsidRDefault="00C25A2F" w:rsidP="005F01C3">
      <w:pPr>
        <w:spacing w:line="480" w:lineRule="auto"/>
        <w:rPr>
          <w:rFonts w:ascii="Times New Roman" w:hAnsi="Times New Roman" w:cs="Times New Roman"/>
          <w:sz w:val="24"/>
        </w:rPr>
      </w:pPr>
      <w:r>
        <w:rPr>
          <w:rFonts w:ascii="Times New Roman" w:hAnsi="Times New Roman" w:cs="Times New Roman"/>
          <w:sz w:val="24"/>
        </w:rPr>
        <w:t xml:space="preserve">Xenophon, </w:t>
      </w:r>
      <w:r>
        <w:rPr>
          <w:rFonts w:ascii="Times New Roman" w:hAnsi="Times New Roman" w:cs="Times New Roman"/>
          <w:i/>
          <w:sz w:val="24"/>
        </w:rPr>
        <w:t>The Education of Cyrus</w:t>
      </w:r>
      <w:r>
        <w:rPr>
          <w:rFonts w:ascii="Times New Roman" w:hAnsi="Times New Roman" w:cs="Times New Roman"/>
          <w:sz w:val="24"/>
        </w:rPr>
        <w:t>. E. Rhys (trans.). 1914. London: J.M. Dent and Sons Ltd.</w:t>
      </w:r>
    </w:p>
    <w:p w14:paraId="02785A3C" w14:textId="5E2A6E49" w:rsidR="00C25A2F" w:rsidRDefault="00C25A2F" w:rsidP="005F01C3">
      <w:pPr>
        <w:spacing w:line="480" w:lineRule="auto"/>
        <w:rPr>
          <w:rFonts w:ascii="Times New Roman" w:hAnsi="Times New Roman" w:cs="Times New Roman"/>
          <w:b/>
          <w:sz w:val="24"/>
        </w:rPr>
      </w:pPr>
    </w:p>
    <w:p w14:paraId="1CD5D318" w14:textId="2C8FD53F" w:rsidR="00C25A2F" w:rsidRDefault="00C25A2F" w:rsidP="005F01C3">
      <w:pPr>
        <w:spacing w:line="480" w:lineRule="auto"/>
        <w:rPr>
          <w:rFonts w:ascii="Times New Roman" w:hAnsi="Times New Roman" w:cs="Times New Roman"/>
          <w:b/>
          <w:sz w:val="24"/>
        </w:rPr>
      </w:pPr>
      <w:r>
        <w:rPr>
          <w:rFonts w:ascii="Times New Roman" w:hAnsi="Times New Roman" w:cs="Times New Roman"/>
          <w:b/>
          <w:sz w:val="24"/>
        </w:rPr>
        <w:t>Modern Sources:</w:t>
      </w:r>
    </w:p>
    <w:p w14:paraId="76416508" w14:textId="3E474775" w:rsidR="007658A3" w:rsidRDefault="007658A3" w:rsidP="005F01C3">
      <w:pPr>
        <w:spacing w:line="480" w:lineRule="auto"/>
        <w:rPr>
          <w:rFonts w:ascii="Times New Roman" w:hAnsi="Times New Roman" w:cs="Times New Roman"/>
          <w:sz w:val="24"/>
        </w:rPr>
      </w:pPr>
      <w:r>
        <w:rPr>
          <w:rFonts w:ascii="Times New Roman" w:hAnsi="Times New Roman" w:cs="Times New Roman"/>
          <w:i/>
          <w:sz w:val="24"/>
        </w:rPr>
        <w:t>300</w:t>
      </w:r>
      <w:r>
        <w:rPr>
          <w:rFonts w:ascii="Times New Roman" w:hAnsi="Times New Roman" w:cs="Times New Roman"/>
          <w:sz w:val="24"/>
        </w:rPr>
        <w:t>. Zack Snyder. 2007. USA: Warner Brothers.</w:t>
      </w:r>
    </w:p>
    <w:p w14:paraId="4F8D191D" w14:textId="6675A971" w:rsidR="00006B47" w:rsidRPr="007658A3" w:rsidRDefault="00006B47" w:rsidP="005F01C3">
      <w:pPr>
        <w:spacing w:line="480" w:lineRule="auto"/>
        <w:rPr>
          <w:rFonts w:ascii="Times New Roman" w:hAnsi="Times New Roman" w:cs="Times New Roman"/>
          <w:sz w:val="24"/>
        </w:rPr>
      </w:pPr>
      <w:r>
        <w:rPr>
          <w:rFonts w:ascii="Times New Roman" w:hAnsi="Times New Roman" w:cs="Times New Roman"/>
          <w:sz w:val="24"/>
        </w:rPr>
        <w:t xml:space="preserve">BBC ‘Iran Condemns Hollywood War Epic’ 2007. </w:t>
      </w:r>
      <w:r>
        <w:rPr>
          <w:rFonts w:ascii="Times New Roman" w:hAnsi="Times New Roman" w:cs="Times New Roman"/>
          <w:sz w:val="24"/>
        </w:rPr>
        <w:tab/>
      </w:r>
      <w:hyperlink r:id="rId6" w:history="1">
        <w:r w:rsidRPr="002D7E6C">
          <w:rPr>
            <w:rStyle w:val="Hyperlink"/>
            <w:rFonts w:ascii="Times New Roman" w:hAnsi="Times New Roman" w:cs="Times New Roman"/>
            <w:sz w:val="24"/>
          </w:rPr>
          <w:t>http://news.bbc.co.uk/1/hi/entertainment/6446183.stm</w:t>
        </w:r>
      </w:hyperlink>
      <w:r>
        <w:rPr>
          <w:rFonts w:ascii="Times New Roman" w:hAnsi="Times New Roman" w:cs="Times New Roman"/>
          <w:sz w:val="24"/>
        </w:rPr>
        <w:t>. [Accessed 15</w:t>
      </w:r>
      <w:proofErr w:type="gramStart"/>
      <w:r w:rsidRPr="00006B47">
        <w:rPr>
          <w:rFonts w:ascii="Times New Roman" w:hAnsi="Times New Roman" w:cs="Times New Roman"/>
          <w:sz w:val="24"/>
          <w:vertAlign w:val="superscript"/>
        </w:rPr>
        <w:t>th</w:t>
      </w:r>
      <w:r>
        <w:rPr>
          <w:rFonts w:ascii="Times New Roman" w:hAnsi="Times New Roman" w:cs="Times New Roman"/>
          <w:sz w:val="24"/>
        </w:rPr>
        <w:t xml:space="preserve">  May</w:t>
      </w:r>
      <w:proofErr w:type="gramEnd"/>
      <w:r>
        <w:rPr>
          <w:rFonts w:ascii="Times New Roman" w:hAnsi="Times New Roman" w:cs="Times New Roman"/>
          <w:sz w:val="24"/>
        </w:rPr>
        <w:t xml:space="preserve"> 2018]</w:t>
      </w:r>
    </w:p>
    <w:p w14:paraId="24F4A8F5" w14:textId="7A942B00" w:rsidR="00C25A2F" w:rsidRDefault="00F6020E" w:rsidP="005F01C3">
      <w:pPr>
        <w:spacing w:line="480" w:lineRule="auto"/>
        <w:rPr>
          <w:rFonts w:ascii="Times New Roman" w:hAnsi="Times New Roman" w:cs="Times New Roman"/>
          <w:sz w:val="24"/>
        </w:rPr>
      </w:pPr>
      <w:proofErr w:type="spellStart"/>
      <w:r>
        <w:rPr>
          <w:rFonts w:ascii="Times New Roman" w:hAnsi="Times New Roman" w:cs="Times New Roman"/>
          <w:sz w:val="24"/>
        </w:rPr>
        <w:t>Briant</w:t>
      </w:r>
      <w:proofErr w:type="spellEnd"/>
      <w:r>
        <w:rPr>
          <w:rFonts w:ascii="Times New Roman" w:hAnsi="Times New Roman" w:cs="Times New Roman"/>
          <w:sz w:val="24"/>
        </w:rPr>
        <w:t xml:space="preserve">, P., </w:t>
      </w:r>
      <w:proofErr w:type="spellStart"/>
      <w:r>
        <w:rPr>
          <w:rFonts w:ascii="Times New Roman" w:hAnsi="Times New Roman" w:cs="Times New Roman"/>
          <w:sz w:val="24"/>
        </w:rPr>
        <w:t>Nevill</w:t>
      </w:r>
      <w:proofErr w:type="spellEnd"/>
      <w:r>
        <w:rPr>
          <w:rFonts w:ascii="Times New Roman" w:hAnsi="Times New Roman" w:cs="Times New Roman"/>
          <w:sz w:val="24"/>
        </w:rPr>
        <w:t xml:space="preserve">, A. (trans.). 2002. ‘History and Ideology: The Greeks and Persian </w:t>
      </w:r>
      <w:r>
        <w:rPr>
          <w:rFonts w:ascii="Times New Roman" w:hAnsi="Times New Roman" w:cs="Times New Roman"/>
          <w:sz w:val="24"/>
        </w:rPr>
        <w:tab/>
      </w:r>
      <w:proofErr w:type="spellStart"/>
      <w:r>
        <w:rPr>
          <w:rFonts w:ascii="Times New Roman" w:hAnsi="Times New Roman" w:cs="Times New Roman"/>
          <w:sz w:val="24"/>
        </w:rPr>
        <w:t>Decedance</w:t>
      </w:r>
      <w:proofErr w:type="spellEnd"/>
      <w:r>
        <w:rPr>
          <w:rFonts w:ascii="Times New Roman" w:hAnsi="Times New Roman" w:cs="Times New Roman"/>
          <w:sz w:val="24"/>
        </w:rPr>
        <w:t xml:space="preserve">’, in T. Harrison (ed.), </w:t>
      </w:r>
      <w:r>
        <w:rPr>
          <w:rFonts w:ascii="Times New Roman" w:hAnsi="Times New Roman" w:cs="Times New Roman"/>
          <w:i/>
          <w:sz w:val="24"/>
        </w:rPr>
        <w:t>Greeks and Barbarians</w:t>
      </w:r>
      <w:r>
        <w:rPr>
          <w:rFonts w:ascii="Times New Roman" w:hAnsi="Times New Roman" w:cs="Times New Roman"/>
          <w:sz w:val="24"/>
        </w:rPr>
        <w:t xml:space="preserve">. Edinburgh: Edinburgh </w:t>
      </w:r>
      <w:r>
        <w:rPr>
          <w:rFonts w:ascii="Times New Roman" w:hAnsi="Times New Roman" w:cs="Times New Roman"/>
          <w:sz w:val="24"/>
        </w:rPr>
        <w:tab/>
        <w:t>University Press. 193-210.</w:t>
      </w:r>
    </w:p>
    <w:p w14:paraId="21428CFF" w14:textId="661C763B" w:rsidR="00EC5FC9" w:rsidRDefault="00EC5FC9" w:rsidP="005F01C3">
      <w:pPr>
        <w:spacing w:line="480" w:lineRule="auto"/>
        <w:rPr>
          <w:rFonts w:ascii="Times New Roman" w:hAnsi="Times New Roman" w:cs="Times New Roman"/>
          <w:sz w:val="24"/>
        </w:rPr>
      </w:pPr>
      <w:r>
        <w:rPr>
          <w:rFonts w:ascii="Times New Roman" w:hAnsi="Times New Roman" w:cs="Times New Roman"/>
          <w:sz w:val="24"/>
        </w:rPr>
        <w:t>Charon, N. 2010. ‘</w:t>
      </w:r>
      <w:proofErr w:type="spellStart"/>
      <w:r>
        <w:rPr>
          <w:rFonts w:ascii="Times New Roman" w:hAnsi="Times New Roman" w:cs="Times New Roman"/>
          <w:sz w:val="24"/>
        </w:rPr>
        <w:t>Déjá</w:t>
      </w:r>
      <w:proofErr w:type="spellEnd"/>
      <w:r>
        <w:rPr>
          <w:rFonts w:ascii="Times New Roman" w:hAnsi="Times New Roman" w:cs="Times New Roman"/>
          <w:sz w:val="24"/>
        </w:rPr>
        <w:t xml:space="preserve"> vu all over again; a post-cold war analysis of Samuel Huntingdon’s “Clash of Civilizations” theory’, </w:t>
      </w:r>
      <w:r>
        <w:rPr>
          <w:rFonts w:ascii="Times New Roman" w:hAnsi="Times New Roman" w:cs="Times New Roman"/>
          <w:i/>
          <w:sz w:val="24"/>
        </w:rPr>
        <w:t>Cooperation and Conflict</w:t>
      </w:r>
      <w:r>
        <w:rPr>
          <w:rFonts w:ascii="Times New Roman" w:hAnsi="Times New Roman" w:cs="Times New Roman"/>
          <w:sz w:val="24"/>
        </w:rPr>
        <w:t xml:space="preserve">, 45. 1, 107-127. </w:t>
      </w:r>
    </w:p>
    <w:p w14:paraId="67100ADE" w14:textId="4AF24E7C" w:rsidR="007658A3" w:rsidRDefault="007658A3" w:rsidP="005F01C3">
      <w:pPr>
        <w:spacing w:line="480" w:lineRule="auto"/>
        <w:rPr>
          <w:rFonts w:ascii="Times New Roman" w:hAnsi="Times New Roman" w:cs="Times New Roman"/>
          <w:sz w:val="24"/>
        </w:rPr>
      </w:pPr>
      <w:r>
        <w:rPr>
          <w:rFonts w:ascii="Times New Roman" w:hAnsi="Times New Roman" w:cs="Times New Roman"/>
          <w:sz w:val="24"/>
        </w:rPr>
        <w:t>Dal</w:t>
      </w:r>
      <w:r w:rsidR="00006B47">
        <w:rPr>
          <w:rFonts w:ascii="Times New Roman" w:hAnsi="Times New Roman" w:cs="Times New Roman"/>
          <w:sz w:val="24"/>
        </w:rPr>
        <w:t xml:space="preserve">y, S. ‘Double-Edged Sword: How </w:t>
      </w:r>
      <w:r w:rsidR="00006B47">
        <w:rPr>
          <w:rFonts w:ascii="Times New Roman" w:hAnsi="Times New Roman" w:cs="Times New Roman"/>
          <w:i/>
          <w:sz w:val="24"/>
        </w:rPr>
        <w:t>300</w:t>
      </w:r>
      <w:r w:rsidR="00006B47">
        <w:rPr>
          <w:rFonts w:ascii="Times New Roman" w:hAnsi="Times New Roman" w:cs="Times New Roman"/>
          <w:sz w:val="24"/>
        </w:rPr>
        <w:t xml:space="preserve"> was Positioned to be a Box Office Hit’ 2007. </w:t>
      </w:r>
      <w:r w:rsidR="00006B47">
        <w:rPr>
          <w:rFonts w:ascii="Times New Roman" w:hAnsi="Times New Roman" w:cs="Times New Roman"/>
          <w:sz w:val="24"/>
        </w:rPr>
        <w:tab/>
        <w:t xml:space="preserve">Entertainment. </w:t>
      </w:r>
      <w:hyperlink r:id="rId7" w:history="1">
        <w:r w:rsidR="00006B47" w:rsidRPr="002D7E6C">
          <w:rPr>
            <w:rStyle w:val="Hyperlink"/>
            <w:rFonts w:ascii="Times New Roman" w:hAnsi="Times New Roman" w:cs="Times New Roman"/>
            <w:sz w:val="24"/>
          </w:rPr>
          <w:t>http://ew.com/article/2007/03/11/how-300-was-positioned-be-box-</w:t>
        </w:r>
        <w:r w:rsidR="00006B47" w:rsidRPr="002D7E6C">
          <w:rPr>
            <w:rStyle w:val="Hyperlink"/>
            <w:rFonts w:ascii="Times New Roman" w:hAnsi="Times New Roman" w:cs="Times New Roman"/>
            <w:sz w:val="24"/>
          </w:rPr>
          <w:tab/>
          <w:t>office-hit/</w:t>
        </w:r>
      </w:hyperlink>
      <w:r w:rsidR="00006B47">
        <w:rPr>
          <w:rFonts w:ascii="Times New Roman" w:hAnsi="Times New Roman" w:cs="Times New Roman"/>
          <w:sz w:val="24"/>
        </w:rPr>
        <w:t>. [Accessed 17</w:t>
      </w:r>
      <w:r w:rsidR="00006B47" w:rsidRPr="00006B47">
        <w:rPr>
          <w:rFonts w:ascii="Times New Roman" w:hAnsi="Times New Roman" w:cs="Times New Roman"/>
          <w:sz w:val="24"/>
          <w:vertAlign w:val="superscript"/>
        </w:rPr>
        <w:t>th</w:t>
      </w:r>
      <w:r w:rsidR="00006B47">
        <w:rPr>
          <w:rFonts w:ascii="Times New Roman" w:hAnsi="Times New Roman" w:cs="Times New Roman"/>
          <w:sz w:val="24"/>
        </w:rPr>
        <w:t xml:space="preserve"> May 2018] </w:t>
      </w:r>
    </w:p>
    <w:p w14:paraId="4CB9BD3E" w14:textId="2392E204" w:rsidR="00006B47" w:rsidRDefault="00006B47" w:rsidP="005F01C3">
      <w:pPr>
        <w:spacing w:line="480" w:lineRule="auto"/>
        <w:rPr>
          <w:rFonts w:ascii="Times New Roman" w:hAnsi="Times New Roman" w:cs="Times New Roman"/>
          <w:sz w:val="24"/>
        </w:rPr>
      </w:pPr>
      <w:proofErr w:type="spellStart"/>
      <w:r>
        <w:rPr>
          <w:rFonts w:ascii="Times New Roman" w:hAnsi="Times New Roman" w:cs="Times New Roman"/>
          <w:sz w:val="24"/>
        </w:rPr>
        <w:lastRenderedPageBreak/>
        <w:t>Génération</w:t>
      </w:r>
      <w:proofErr w:type="spellEnd"/>
      <w:r>
        <w:rPr>
          <w:rFonts w:ascii="Times New Roman" w:hAnsi="Times New Roman" w:cs="Times New Roman"/>
          <w:sz w:val="24"/>
        </w:rPr>
        <w:t xml:space="preserve"> </w:t>
      </w:r>
      <w:proofErr w:type="spellStart"/>
      <w:r>
        <w:rPr>
          <w:rFonts w:ascii="Times New Roman" w:hAnsi="Times New Roman" w:cs="Times New Roman"/>
          <w:sz w:val="24"/>
        </w:rPr>
        <w:t>Identitaire</w:t>
      </w:r>
      <w:proofErr w:type="spellEnd"/>
      <w:r>
        <w:rPr>
          <w:rFonts w:ascii="Times New Roman" w:hAnsi="Times New Roman" w:cs="Times New Roman"/>
          <w:sz w:val="24"/>
        </w:rPr>
        <w:t xml:space="preserve"> ‘</w:t>
      </w:r>
      <w:proofErr w:type="spellStart"/>
      <w:r>
        <w:rPr>
          <w:rFonts w:ascii="Times New Roman" w:hAnsi="Times New Roman" w:cs="Times New Roman"/>
          <w:sz w:val="24"/>
        </w:rPr>
        <w:t>Génération</w:t>
      </w:r>
      <w:proofErr w:type="spellEnd"/>
      <w:r>
        <w:rPr>
          <w:rFonts w:ascii="Times New Roman" w:hAnsi="Times New Roman" w:cs="Times New Roman"/>
          <w:sz w:val="24"/>
        </w:rPr>
        <w:t xml:space="preserve"> </w:t>
      </w:r>
      <w:proofErr w:type="spellStart"/>
      <w:r>
        <w:rPr>
          <w:rFonts w:ascii="Times New Roman" w:hAnsi="Times New Roman" w:cs="Times New Roman"/>
          <w:sz w:val="24"/>
        </w:rPr>
        <w:t>Identitaire</w:t>
      </w:r>
      <w:proofErr w:type="spellEnd"/>
      <w:r>
        <w:rPr>
          <w:rFonts w:ascii="Times New Roman" w:hAnsi="Times New Roman" w:cs="Times New Roman"/>
          <w:sz w:val="24"/>
        </w:rPr>
        <w:t xml:space="preserve">’ 2018. </w:t>
      </w:r>
      <w:hyperlink r:id="rId8" w:history="1">
        <w:r w:rsidRPr="002D7E6C">
          <w:rPr>
            <w:rStyle w:val="Hyperlink"/>
            <w:rFonts w:ascii="Times New Roman" w:hAnsi="Times New Roman" w:cs="Times New Roman"/>
            <w:sz w:val="24"/>
          </w:rPr>
          <w:t>https://generationidentitaire.org/</w:t>
        </w:r>
      </w:hyperlink>
      <w:r>
        <w:rPr>
          <w:rFonts w:ascii="Times New Roman" w:hAnsi="Times New Roman" w:cs="Times New Roman"/>
          <w:sz w:val="24"/>
        </w:rPr>
        <w:t xml:space="preserve">. </w:t>
      </w:r>
      <w:r>
        <w:rPr>
          <w:rFonts w:ascii="Times New Roman" w:hAnsi="Times New Roman" w:cs="Times New Roman"/>
          <w:sz w:val="24"/>
        </w:rPr>
        <w:tab/>
        <w:t>[Accessed 15</w:t>
      </w:r>
      <w:r w:rsidRPr="00006B47">
        <w:rPr>
          <w:rFonts w:ascii="Times New Roman" w:hAnsi="Times New Roman" w:cs="Times New Roman"/>
          <w:sz w:val="24"/>
          <w:vertAlign w:val="superscript"/>
        </w:rPr>
        <w:t>th</w:t>
      </w:r>
      <w:r>
        <w:rPr>
          <w:rFonts w:ascii="Times New Roman" w:hAnsi="Times New Roman" w:cs="Times New Roman"/>
          <w:sz w:val="24"/>
        </w:rPr>
        <w:t xml:space="preserve"> May 2018]</w:t>
      </w:r>
    </w:p>
    <w:p w14:paraId="5767745A" w14:textId="0378BA35" w:rsidR="00F6020E" w:rsidRPr="00F6020E" w:rsidRDefault="00F6020E" w:rsidP="005F01C3">
      <w:pPr>
        <w:spacing w:line="480" w:lineRule="auto"/>
        <w:rPr>
          <w:rFonts w:ascii="Times New Roman" w:hAnsi="Times New Roman" w:cs="Times New Roman"/>
          <w:sz w:val="24"/>
        </w:rPr>
      </w:pPr>
      <w:r>
        <w:rPr>
          <w:rFonts w:ascii="Times New Roman" w:hAnsi="Times New Roman" w:cs="Times New Roman"/>
          <w:sz w:val="24"/>
        </w:rPr>
        <w:t xml:space="preserve">Hall, E. 2007. ‘Aeschylus’ </w:t>
      </w:r>
      <w:r>
        <w:rPr>
          <w:rFonts w:ascii="Times New Roman" w:hAnsi="Times New Roman" w:cs="Times New Roman"/>
          <w:i/>
          <w:sz w:val="24"/>
        </w:rPr>
        <w:t>Persians</w:t>
      </w:r>
      <w:r>
        <w:rPr>
          <w:rFonts w:ascii="Times New Roman" w:hAnsi="Times New Roman" w:cs="Times New Roman"/>
          <w:sz w:val="24"/>
        </w:rPr>
        <w:t xml:space="preserve"> via the Ottoman Empire to Saddam Hussein’, in E. </w:t>
      </w:r>
      <w:r w:rsidR="007658A3">
        <w:rPr>
          <w:rFonts w:ascii="Times New Roman" w:hAnsi="Times New Roman" w:cs="Times New Roman"/>
          <w:sz w:val="24"/>
        </w:rPr>
        <w:tab/>
      </w:r>
      <w:r>
        <w:rPr>
          <w:rFonts w:ascii="Times New Roman" w:hAnsi="Times New Roman" w:cs="Times New Roman"/>
          <w:sz w:val="24"/>
        </w:rPr>
        <w:t xml:space="preserve">Bridges, E. Hall, P.J. Rhodes (eds.), </w:t>
      </w:r>
      <w:r>
        <w:rPr>
          <w:rFonts w:ascii="Times New Roman" w:hAnsi="Times New Roman" w:cs="Times New Roman"/>
          <w:i/>
          <w:sz w:val="24"/>
        </w:rPr>
        <w:t xml:space="preserve">Cultural Responses to the Persian Wars: </w:t>
      </w:r>
      <w:r w:rsidR="007658A3">
        <w:rPr>
          <w:rFonts w:ascii="Times New Roman" w:hAnsi="Times New Roman" w:cs="Times New Roman"/>
          <w:i/>
          <w:sz w:val="24"/>
        </w:rPr>
        <w:tab/>
      </w:r>
      <w:r>
        <w:rPr>
          <w:rFonts w:ascii="Times New Roman" w:hAnsi="Times New Roman" w:cs="Times New Roman"/>
          <w:i/>
          <w:sz w:val="24"/>
        </w:rPr>
        <w:t>Antiquity to the Third Millennium</w:t>
      </w:r>
      <w:r>
        <w:rPr>
          <w:rFonts w:ascii="Times New Roman" w:hAnsi="Times New Roman" w:cs="Times New Roman"/>
          <w:sz w:val="24"/>
        </w:rPr>
        <w:t>. Oxford: Oxford University Press.</w:t>
      </w:r>
    </w:p>
    <w:p w14:paraId="4359E698" w14:textId="71BBF726" w:rsidR="00F6020E" w:rsidRDefault="00F6020E" w:rsidP="005F01C3">
      <w:pPr>
        <w:spacing w:line="480" w:lineRule="auto"/>
        <w:rPr>
          <w:rFonts w:ascii="Times New Roman" w:hAnsi="Times New Roman" w:cs="Times New Roman"/>
          <w:sz w:val="24"/>
        </w:rPr>
      </w:pPr>
      <w:r>
        <w:rPr>
          <w:rFonts w:ascii="Times New Roman" w:hAnsi="Times New Roman" w:cs="Times New Roman"/>
          <w:sz w:val="24"/>
        </w:rPr>
        <w:t xml:space="preserve">Huntingdon, S.P. 1997. </w:t>
      </w:r>
      <w:r>
        <w:rPr>
          <w:rFonts w:ascii="Times New Roman" w:hAnsi="Times New Roman" w:cs="Times New Roman"/>
          <w:i/>
          <w:sz w:val="24"/>
        </w:rPr>
        <w:t>The Clash of Civilizations and the Remaking of World Order</w:t>
      </w:r>
      <w:r>
        <w:rPr>
          <w:rFonts w:ascii="Times New Roman" w:hAnsi="Times New Roman" w:cs="Times New Roman"/>
          <w:sz w:val="24"/>
        </w:rPr>
        <w:t xml:space="preserve">. </w:t>
      </w:r>
      <w:r>
        <w:rPr>
          <w:rFonts w:ascii="Times New Roman" w:hAnsi="Times New Roman" w:cs="Times New Roman"/>
          <w:sz w:val="24"/>
        </w:rPr>
        <w:tab/>
        <w:t>London: Simon and Schuster UK Ltd.</w:t>
      </w:r>
    </w:p>
    <w:p w14:paraId="530563CA" w14:textId="20D7CFBB" w:rsidR="00F6020E" w:rsidRDefault="00F6020E" w:rsidP="005F01C3">
      <w:pPr>
        <w:spacing w:line="480" w:lineRule="auto"/>
        <w:rPr>
          <w:rFonts w:ascii="Times New Roman" w:hAnsi="Times New Roman" w:cs="Times New Roman"/>
          <w:sz w:val="24"/>
        </w:rPr>
      </w:pPr>
      <w:r>
        <w:rPr>
          <w:rFonts w:ascii="Times New Roman" w:hAnsi="Times New Roman" w:cs="Times New Roman"/>
          <w:sz w:val="24"/>
        </w:rPr>
        <w:t xml:space="preserve">Oh, D.C., </w:t>
      </w:r>
      <w:proofErr w:type="spellStart"/>
      <w:r>
        <w:rPr>
          <w:rFonts w:ascii="Times New Roman" w:hAnsi="Times New Roman" w:cs="Times New Roman"/>
          <w:sz w:val="24"/>
        </w:rPr>
        <w:t>Kutufam</w:t>
      </w:r>
      <w:proofErr w:type="spellEnd"/>
      <w:r>
        <w:rPr>
          <w:rFonts w:ascii="Times New Roman" w:hAnsi="Times New Roman" w:cs="Times New Roman"/>
          <w:sz w:val="24"/>
        </w:rPr>
        <w:t xml:space="preserve">, D.V. 2014. ‘The Orientalized “Other” and Corrosive Femininity: Threats </w:t>
      </w:r>
      <w:r>
        <w:rPr>
          <w:rFonts w:ascii="Times New Roman" w:hAnsi="Times New Roman" w:cs="Times New Roman"/>
          <w:sz w:val="24"/>
        </w:rPr>
        <w:tab/>
        <w:t xml:space="preserve">to White Masculinity in </w:t>
      </w:r>
      <w:r>
        <w:rPr>
          <w:rFonts w:ascii="Times New Roman" w:hAnsi="Times New Roman" w:cs="Times New Roman"/>
          <w:i/>
          <w:sz w:val="24"/>
        </w:rPr>
        <w:t>300</w:t>
      </w:r>
      <w:r>
        <w:rPr>
          <w:rFonts w:ascii="Times New Roman" w:hAnsi="Times New Roman" w:cs="Times New Roman"/>
          <w:sz w:val="24"/>
        </w:rPr>
        <w:t xml:space="preserve">’, </w:t>
      </w:r>
      <w:r>
        <w:rPr>
          <w:rFonts w:ascii="Times New Roman" w:hAnsi="Times New Roman" w:cs="Times New Roman"/>
          <w:i/>
          <w:sz w:val="24"/>
        </w:rPr>
        <w:t>Journal of Communication Inquiry</w:t>
      </w:r>
      <w:r>
        <w:rPr>
          <w:rFonts w:ascii="Times New Roman" w:hAnsi="Times New Roman" w:cs="Times New Roman"/>
          <w:sz w:val="24"/>
        </w:rPr>
        <w:t>, 38. 2, 149-165.</w:t>
      </w:r>
    </w:p>
    <w:p w14:paraId="124906CA" w14:textId="54F58978" w:rsidR="007658A3" w:rsidRDefault="007658A3" w:rsidP="005F01C3">
      <w:pPr>
        <w:spacing w:line="480" w:lineRule="auto"/>
        <w:rPr>
          <w:rFonts w:ascii="Times New Roman" w:hAnsi="Times New Roman" w:cs="Times New Roman"/>
          <w:sz w:val="24"/>
        </w:rPr>
      </w:pPr>
      <w:r>
        <w:rPr>
          <w:rFonts w:ascii="Times New Roman" w:hAnsi="Times New Roman" w:cs="Times New Roman"/>
          <w:sz w:val="24"/>
        </w:rPr>
        <w:t xml:space="preserve">Rhodes, P.J. 2014. ‘The Impact of the Persian Wars on Classical Greece’, in E. Bridges, E. </w:t>
      </w:r>
      <w:r>
        <w:rPr>
          <w:rFonts w:ascii="Times New Roman" w:hAnsi="Times New Roman" w:cs="Times New Roman"/>
          <w:sz w:val="24"/>
        </w:rPr>
        <w:tab/>
        <w:t xml:space="preserve">Hall, P.J. Rhodes (eds.), </w:t>
      </w:r>
      <w:r>
        <w:rPr>
          <w:rFonts w:ascii="Times New Roman" w:hAnsi="Times New Roman" w:cs="Times New Roman"/>
          <w:i/>
          <w:sz w:val="24"/>
        </w:rPr>
        <w:t xml:space="preserve">Cultural Responses to the Persian Wars: Antiquity to the </w:t>
      </w:r>
      <w:r>
        <w:rPr>
          <w:rFonts w:ascii="Times New Roman" w:hAnsi="Times New Roman" w:cs="Times New Roman"/>
          <w:i/>
          <w:sz w:val="24"/>
        </w:rPr>
        <w:tab/>
        <w:t>Third Millennium</w:t>
      </w:r>
      <w:r>
        <w:rPr>
          <w:rFonts w:ascii="Times New Roman" w:hAnsi="Times New Roman" w:cs="Times New Roman"/>
          <w:sz w:val="24"/>
        </w:rPr>
        <w:t>. Oxford: Oxford University Press.</w:t>
      </w:r>
    </w:p>
    <w:p w14:paraId="6AA7AE83" w14:textId="4987D21B" w:rsidR="00006B47" w:rsidRPr="00EC5FC9" w:rsidRDefault="00006B47" w:rsidP="005F01C3">
      <w:pPr>
        <w:spacing w:line="480" w:lineRule="auto"/>
        <w:rPr>
          <w:rFonts w:ascii="Times New Roman" w:hAnsi="Times New Roman" w:cs="Times New Roman"/>
          <w:sz w:val="24"/>
        </w:rPr>
      </w:pPr>
      <w:r>
        <w:rPr>
          <w:rFonts w:ascii="Times New Roman" w:hAnsi="Times New Roman" w:cs="Times New Roman"/>
          <w:sz w:val="24"/>
        </w:rPr>
        <w:t>Rizvi, F. 2011. ‘Beyond the Social Imaginary of “Clash of Civilizations”’</w:t>
      </w:r>
      <w:r w:rsidR="00EC5FC9">
        <w:rPr>
          <w:rFonts w:ascii="Times New Roman" w:hAnsi="Times New Roman" w:cs="Times New Roman"/>
          <w:sz w:val="24"/>
        </w:rPr>
        <w:t xml:space="preserve">, </w:t>
      </w:r>
      <w:r w:rsidR="00EC5FC9">
        <w:rPr>
          <w:rFonts w:ascii="Times New Roman" w:hAnsi="Times New Roman" w:cs="Times New Roman"/>
          <w:i/>
          <w:sz w:val="24"/>
        </w:rPr>
        <w:t xml:space="preserve">Educational </w:t>
      </w:r>
      <w:r w:rsidR="00EC5FC9">
        <w:rPr>
          <w:rFonts w:ascii="Times New Roman" w:hAnsi="Times New Roman" w:cs="Times New Roman"/>
          <w:i/>
          <w:sz w:val="24"/>
        </w:rPr>
        <w:tab/>
        <w:t>Philosophy and Theory</w:t>
      </w:r>
      <w:r w:rsidR="00EC5FC9">
        <w:rPr>
          <w:rFonts w:ascii="Times New Roman" w:hAnsi="Times New Roman" w:cs="Times New Roman"/>
          <w:sz w:val="24"/>
        </w:rPr>
        <w:t>, 43. 3, 225-236.</w:t>
      </w:r>
    </w:p>
    <w:p w14:paraId="21FE56A3" w14:textId="15AB2D32" w:rsidR="007658A3" w:rsidRPr="00F6020E" w:rsidRDefault="007658A3" w:rsidP="005F01C3">
      <w:pPr>
        <w:spacing w:line="480" w:lineRule="auto"/>
        <w:rPr>
          <w:rFonts w:ascii="Times New Roman" w:hAnsi="Times New Roman" w:cs="Times New Roman"/>
          <w:sz w:val="24"/>
        </w:rPr>
      </w:pPr>
      <w:proofErr w:type="spellStart"/>
      <w:r>
        <w:rPr>
          <w:rFonts w:ascii="Times New Roman" w:hAnsi="Times New Roman" w:cs="Times New Roman"/>
          <w:sz w:val="24"/>
        </w:rPr>
        <w:t>Weiß</w:t>
      </w:r>
      <w:proofErr w:type="spellEnd"/>
      <w:r>
        <w:rPr>
          <w:rFonts w:ascii="Times New Roman" w:hAnsi="Times New Roman" w:cs="Times New Roman"/>
          <w:sz w:val="24"/>
        </w:rPr>
        <w:t>, V. ‘</w:t>
      </w:r>
      <w:proofErr w:type="spellStart"/>
      <w:r>
        <w:rPr>
          <w:rFonts w:ascii="Times New Roman" w:hAnsi="Times New Roman" w:cs="Times New Roman"/>
          <w:sz w:val="24"/>
        </w:rPr>
        <w:t>Nicht</w:t>
      </w:r>
      <w:proofErr w:type="spellEnd"/>
      <w:r>
        <w:rPr>
          <w:rFonts w:ascii="Times New Roman" w:hAnsi="Times New Roman" w:cs="Times New Roman"/>
          <w:sz w:val="24"/>
        </w:rPr>
        <w:t xml:space="preserve"> Links, </w:t>
      </w:r>
      <w:proofErr w:type="spellStart"/>
      <w:r>
        <w:rPr>
          <w:rFonts w:ascii="Times New Roman" w:hAnsi="Times New Roman" w:cs="Times New Roman"/>
          <w:sz w:val="24"/>
        </w:rPr>
        <w:t>Nicht</w:t>
      </w:r>
      <w:proofErr w:type="spellEnd"/>
      <w:r>
        <w:rPr>
          <w:rFonts w:ascii="Times New Roman" w:hAnsi="Times New Roman" w:cs="Times New Roman"/>
          <w:sz w:val="24"/>
        </w:rPr>
        <w:t xml:space="preserve"> </w:t>
      </w:r>
      <w:proofErr w:type="spellStart"/>
      <w:r>
        <w:rPr>
          <w:rFonts w:ascii="Times New Roman" w:hAnsi="Times New Roman" w:cs="Times New Roman"/>
          <w:sz w:val="24"/>
        </w:rPr>
        <w:t>rechts</w:t>
      </w:r>
      <w:proofErr w:type="spellEnd"/>
      <w:r>
        <w:rPr>
          <w:rFonts w:ascii="Times New Roman" w:hAnsi="Times New Roman" w:cs="Times New Roman"/>
          <w:sz w:val="24"/>
        </w:rPr>
        <w:t xml:space="preserve"> – </w:t>
      </w:r>
      <w:proofErr w:type="spellStart"/>
      <w:r>
        <w:rPr>
          <w:rFonts w:ascii="Times New Roman" w:hAnsi="Times New Roman" w:cs="Times New Roman"/>
          <w:sz w:val="24"/>
        </w:rPr>
        <w:t>nur</w:t>
      </w:r>
      <w:proofErr w:type="spellEnd"/>
      <w:r>
        <w:rPr>
          <w:rFonts w:ascii="Times New Roman" w:hAnsi="Times New Roman" w:cs="Times New Roman"/>
          <w:sz w:val="24"/>
        </w:rPr>
        <w:t xml:space="preserve"> national: Heimat, </w:t>
      </w:r>
      <w:proofErr w:type="spellStart"/>
      <w:r>
        <w:rPr>
          <w:rFonts w:ascii="Times New Roman" w:hAnsi="Times New Roman" w:cs="Times New Roman"/>
          <w:sz w:val="24"/>
        </w:rPr>
        <w:t>Familie</w:t>
      </w:r>
      <w:proofErr w:type="spellEnd"/>
      <w:r>
        <w:rPr>
          <w:rFonts w:ascii="Times New Roman" w:hAnsi="Times New Roman" w:cs="Times New Roman"/>
          <w:sz w:val="24"/>
        </w:rPr>
        <w:t xml:space="preserve">, </w:t>
      </w:r>
      <w:proofErr w:type="spellStart"/>
      <w:r>
        <w:rPr>
          <w:rFonts w:ascii="Times New Roman" w:hAnsi="Times New Roman" w:cs="Times New Roman"/>
          <w:sz w:val="24"/>
        </w:rPr>
        <w:t>Kultur</w:t>
      </w:r>
      <w:proofErr w:type="spellEnd"/>
      <w:r>
        <w:rPr>
          <w:rFonts w:ascii="Times New Roman" w:hAnsi="Times New Roman" w:cs="Times New Roman"/>
          <w:sz w:val="24"/>
        </w:rPr>
        <w:t xml:space="preserve">, Volk, </w:t>
      </w:r>
      <w:proofErr w:type="spellStart"/>
      <w:r>
        <w:rPr>
          <w:rFonts w:ascii="Times New Roman" w:hAnsi="Times New Roman" w:cs="Times New Roman"/>
          <w:sz w:val="24"/>
        </w:rPr>
        <w:t>Staat</w:t>
      </w:r>
      <w:proofErr w:type="spellEnd"/>
      <w:r>
        <w:rPr>
          <w:rFonts w:ascii="Times New Roman" w:hAnsi="Times New Roman" w:cs="Times New Roman"/>
          <w:sz w:val="24"/>
        </w:rPr>
        <w:t xml:space="preserve">: </w:t>
      </w:r>
      <w:proofErr w:type="spellStart"/>
      <w:r>
        <w:rPr>
          <w:rFonts w:ascii="Times New Roman" w:hAnsi="Times New Roman" w:cs="Times New Roman"/>
          <w:sz w:val="24"/>
        </w:rPr>
        <w:t>Mit</w:t>
      </w:r>
      <w:proofErr w:type="spellEnd"/>
      <w:r>
        <w:rPr>
          <w:rFonts w:ascii="Times New Roman" w:hAnsi="Times New Roman" w:cs="Times New Roman"/>
          <w:sz w:val="24"/>
        </w:rPr>
        <w:t xml:space="preserve"> </w:t>
      </w:r>
      <w:r>
        <w:rPr>
          <w:rFonts w:ascii="Times New Roman" w:hAnsi="Times New Roman" w:cs="Times New Roman"/>
          <w:sz w:val="24"/>
        </w:rPr>
        <w:tab/>
        <w:t>den “</w:t>
      </w:r>
      <w:proofErr w:type="spellStart"/>
      <w:r>
        <w:rPr>
          <w:rFonts w:ascii="Times New Roman" w:hAnsi="Times New Roman" w:cs="Times New Roman"/>
          <w:sz w:val="24"/>
        </w:rPr>
        <w:t>Identitären</w:t>
      </w:r>
      <w:proofErr w:type="spellEnd"/>
      <w:r>
        <w:rPr>
          <w:rFonts w:ascii="Times New Roman" w:hAnsi="Times New Roman" w:cs="Times New Roman"/>
          <w:sz w:val="24"/>
        </w:rPr>
        <w:t xml:space="preserve">” </w:t>
      </w:r>
      <w:proofErr w:type="spellStart"/>
      <w:r>
        <w:rPr>
          <w:rFonts w:ascii="Times New Roman" w:hAnsi="Times New Roman" w:cs="Times New Roman"/>
          <w:sz w:val="24"/>
        </w:rPr>
        <w:t>entsteht</w:t>
      </w:r>
      <w:proofErr w:type="spellEnd"/>
      <w:r>
        <w:rPr>
          <w:rFonts w:ascii="Times New Roman" w:hAnsi="Times New Roman" w:cs="Times New Roman"/>
          <w:sz w:val="24"/>
        </w:rPr>
        <w:t xml:space="preserve"> </w:t>
      </w:r>
      <w:proofErr w:type="spellStart"/>
      <w:r>
        <w:rPr>
          <w:rFonts w:ascii="Times New Roman" w:hAnsi="Times New Roman" w:cs="Times New Roman"/>
          <w:sz w:val="24"/>
        </w:rPr>
        <w:t>eine</w:t>
      </w:r>
      <w:proofErr w:type="spellEnd"/>
      <w:r>
        <w:rPr>
          <w:rFonts w:ascii="Times New Roman" w:hAnsi="Times New Roman" w:cs="Times New Roman"/>
          <w:sz w:val="24"/>
        </w:rPr>
        <w:t xml:space="preserve"> </w:t>
      </w:r>
      <w:proofErr w:type="spellStart"/>
      <w:r>
        <w:rPr>
          <w:rFonts w:ascii="Times New Roman" w:hAnsi="Times New Roman" w:cs="Times New Roman"/>
          <w:sz w:val="24"/>
        </w:rPr>
        <w:t>neue</w:t>
      </w:r>
      <w:proofErr w:type="spellEnd"/>
      <w:r>
        <w:rPr>
          <w:rFonts w:ascii="Times New Roman" w:hAnsi="Times New Roman" w:cs="Times New Roman"/>
          <w:sz w:val="24"/>
        </w:rPr>
        <w:t xml:space="preserve"> </w:t>
      </w:r>
      <w:proofErr w:type="spellStart"/>
      <w:r>
        <w:rPr>
          <w:rFonts w:ascii="Times New Roman" w:hAnsi="Times New Roman" w:cs="Times New Roman"/>
          <w:sz w:val="24"/>
        </w:rPr>
        <w:t>Bewegung</w:t>
      </w:r>
      <w:proofErr w:type="spellEnd"/>
      <w:r>
        <w:rPr>
          <w:rFonts w:ascii="Times New Roman" w:hAnsi="Times New Roman" w:cs="Times New Roman"/>
          <w:sz w:val="24"/>
        </w:rPr>
        <w:t xml:space="preserve"> am </w:t>
      </w:r>
      <w:proofErr w:type="spellStart"/>
      <w:r>
        <w:rPr>
          <w:rFonts w:ascii="Times New Roman" w:hAnsi="Times New Roman" w:cs="Times New Roman"/>
          <w:sz w:val="24"/>
        </w:rPr>
        <w:t>rechten</w:t>
      </w:r>
      <w:proofErr w:type="spellEnd"/>
      <w:r>
        <w:rPr>
          <w:rFonts w:ascii="Times New Roman" w:hAnsi="Times New Roman" w:cs="Times New Roman"/>
          <w:sz w:val="24"/>
        </w:rPr>
        <w:t xml:space="preserve"> Rand.’ 2013. Zeit Online. </w:t>
      </w:r>
      <w:r>
        <w:rPr>
          <w:rFonts w:ascii="Times New Roman" w:hAnsi="Times New Roman" w:cs="Times New Roman"/>
          <w:sz w:val="24"/>
        </w:rPr>
        <w:tab/>
      </w:r>
      <w:hyperlink r:id="rId9" w:history="1">
        <w:r w:rsidRPr="002D7E6C">
          <w:rPr>
            <w:rStyle w:val="Hyperlink"/>
            <w:rFonts w:ascii="Times New Roman" w:hAnsi="Times New Roman" w:cs="Times New Roman"/>
            <w:sz w:val="24"/>
          </w:rPr>
          <w:t>https://www.zeit.de/2013/13/Die-Identitaeren</w:t>
        </w:r>
      </w:hyperlink>
      <w:r>
        <w:rPr>
          <w:rFonts w:ascii="Times New Roman" w:hAnsi="Times New Roman" w:cs="Times New Roman"/>
          <w:sz w:val="24"/>
        </w:rPr>
        <w:t>. [Accessed 14</w:t>
      </w:r>
      <w:r w:rsidRPr="007658A3">
        <w:rPr>
          <w:rFonts w:ascii="Times New Roman" w:hAnsi="Times New Roman" w:cs="Times New Roman"/>
          <w:sz w:val="24"/>
          <w:vertAlign w:val="superscript"/>
        </w:rPr>
        <w:t>th</w:t>
      </w:r>
      <w:r>
        <w:rPr>
          <w:rFonts w:ascii="Times New Roman" w:hAnsi="Times New Roman" w:cs="Times New Roman"/>
          <w:sz w:val="24"/>
        </w:rPr>
        <w:t xml:space="preserve"> May 2018] </w:t>
      </w:r>
    </w:p>
    <w:sectPr w:rsidR="007658A3" w:rsidRPr="00F6020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B4A64" w14:textId="77777777" w:rsidR="00721B84" w:rsidRDefault="00721B84" w:rsidP="00020C1C">
      <w:pPr>
        <w:spacing w:after="0" w:line="240" w:lineRule="auto"/>
      </w:pPr>
      <w:r>
        <w:separator/>
      </w:r>
    </w:p>
  </w:endnote>
  <w:endnote w:type="continuationSeparator" w:id="0">
    <w:p w14:paraId="4D5144BC" w14:textId="77777777" w:rsidR="00721B84" w:rsidRDefault="00721B84" w:rsidP="00020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2807808"/>
      <w:docPartObj>
        <w:docPartGallery w:val="Page Numbers (Bottom of Page)"/>
        <w:docPartUnique/>
      </w:docPartObj>
    </w:sdtPr>
    <w:sdtEndPr>
      <w:rPr>
        <w:noProof/>
      </w:rPr>
    </w:sdtEndPr>
    <w:sdtContent>
      <w:p w14:paraId="309F56C0" w14:textId="1F18EB2E" w:rsidR="003D5209" w:rsidRDefault="003D52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A6BAA9" w14:textId="77777777" w:rsidR="003D5209" w:rsidRDefault="003D5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4E7A3" w14:textId="77777777" w:rsidR="00721B84" w:rsidRDefault="00721B84" w:rsidP="00020C1C">
      <w:pPr>
        <w:spacing w:after="0" w:line="240" w:lineRule="auto"/>
      </w:pPr>
      <w:r>
        <w:separator/>
      </w:r>
    </w:p>
  </w:footnote>
  <w:footnote w:type="continuationSeparator" w:id="0">
    <w:p w14:paraId="1A909344" w14:textId="77777777" w:rsidR="00721B84" w:rsidRDefault="00721B84" w:rsidP="00020C1C">
      <w:pPr>
        <w:spacing w:after="0" w:line="240" w:lineRule="auto"/>
      </w:pPr>
      <w:r>
        <w:continuationSeparator/>
      </w:r>
    </w:p>
  </w:footnote>
  <w:footnote w:id="1">
    <w:p w14:paraId="47581493" w14:textId="668538C6" w:rsidR="009B4C04" w:rsidRDefault="009B4C04">
      <w:pPr>
        <w:pStyle w:val="FootnoteText"/>
      </w:pPr>
      <w:r>
        <w:rPr>
          <w:rStyle w:val="FootnoteReference"/>
        </w:rPr>
        <w:footnoteRef/>
      </w:r>
      <w:r>
        <w:t xml:space="preserve"> Huntingdon 199</w:t>
      </w:r>
      <w:r w:rsidR="00D25B13">
        <w:t>7</w:t>
      </w:r>
      <w:r>
        <w:t>: 13. It should be noted that in this essay I will continue to use the term ‘civilisation’ to describe the areas of the world I discuss. I do this in order to present my ideas more in line with Huntingdon’s thesis despite the problematic nature of the term, and the way he uses it.</w:t>
      </w:r>
    </w:p>
  </w:footnote>
  <w:footnote w:id="2">
    <w:p w14:paraId="12D8F92C" w14:textId="6E0E94E9" w:rsidR="009B4C04" w:rsidRDefault="009B4C04">
      <w:pPr>
        <w:pStyle w:val="FootnoteText"/>
      </w:pPr>
      <w:r>
        <w:rPr>
          <w:rStyle w:val="FootnoteReference"/>
        </w:rPr>
        <w:footnoteRef/>
      </w:r>
      <w:r>
        <w:t xml:space="preserve"> Huntingdon 199</w:t>
      </w:r>
      <w:r w:rsidR="00D25B13">
        <w:t>7</w:t>
      </w:r>
      <w:r>
        <w:t xml:space="preserve">: 21-28. Huntingdon argues that this is due to the backlash from many different cultures or ‘civilizations’ towards The West after their supposed exploitation of the regions and imposition of Western values on these other cultures. The nine civilisations that he describes are Western, Orthodox, Latin American, African, Islamic, </w:t>
      </w:r>
      <w:proofErr w:type="spellStart"/>
      <w:r>
        <w:t>Sinic</w:t>
      </w:r>
      <w:proofErr w:type="spellEnd"/>
      <w:r>
        <w:t>, Hindu, Buddhist and Japanese.</w:t>
      </w:r>
    </w:p>
  </w:footnote>
  <w:footnote w:id="3">
    <w:p w14:paraId="7EB44F96" w14:textId="0567020A" w:rsidR="009B4C04" w:rsidRDefault="009B4C04">
      <w:pPr>
        <w:pStyle w:val="FootnoteText"/>
      </w:pPr>
      <w:r>
        <w:rPr>
          <w:rStyle w:val="FootnoteReference"/>
        </w:rPr>
        <w:footnoteRef/>
      </w:r>
      <w:r>
        <w:t xml:space="preserve"> Rizvi (2011) argues in his article ‘Beyond the Social Imaginary of ‘Clash of Civilizations’’, that the view presented by Huntingdon was too narrow and binary.  However, Charron (2010) argued that the empirical data for the causes of conflict since the end of the Cold War largely supports the Clash of Civilizations model.</w:t>
      </w:r>
    </w:p>
  </w:footnote>
  <w:footnote w:id="4">
    <w:p w14:paraId="387AE966" w14:textId="45307E0B" w:rsidR="009B4C04" w:rsidRDefault="009B4C04">
      <w:pPr>
        <w:pStyle w:val="FootnoteText"/>
      </w:pPr>
      <w:r>
        <w:rPr>
          <w:rStyle w:val="FootnoteReference"/>
        </w:rPr>
        <w:footnoteRef/>
      </w:r>
      <w:r>
        <w:t xml:space="preserve"> Huntingdon 199</w:t>
      </w:r>
      <w:r w:rsidR="00D25B13">
        <w:t>7</w:t>
      </w:r>
      <w:r>
        <w:t>: 211. Huntingdon reinforces this idea by outlining the history of conflict between Islam and Christianity, however unlike many historians, he dismisses ‘transitory phenomena such as twelfth century Christian passion or twentieth century Muslim fundamentalism’ as the causes of these past conflicts, and instead argues that it is just the inherent differences in ideas and values that the two civilisations hold. Huntingdon 199</w:t>
      </w:r>
      <w:r w:rsidR="00D25B13">
        <w:t>7</w:t>
      </w:r>
      <w:r>
        <w:t>: 210.</w:t>
      </w:r>
    </w:p>
  </w:footnote>
  <w:footnote w:id="5">
    <w:p w14:paraId="40D7C32F" w14:textId="07AACB22" w:rsidR="009B4C04" w:rsidRDefault="009B4C04">
      <w:pPr>
        <w:pStyle w:val="FootnoteText"/>
      </w:pPr>
      <w:r>
        <w:rPr>
          <w:rStyle w:val="FootnoteReference"/>
        </w:rPr>
        <w:footnoteRef/>
      </w:r>
      <w:r>
        <w:t xml:space="preserve"> Rizvi 2011: 228.</w:t>
      </w:r>
    </w:p>
  </w:footnote>
  <w:footnote w:id="6">
    <w:p w14:paraId="0D71420C" w14:textId="41688ECF" w:rsidR="009B4C04" w:rsidRDefault="009B4C04">
      <w:pPr>
        <w:pStyle w:val="FootnoteText"/>
      </w:pPr>
      <w:r>
        <w:rPr>
          <w:rStyle w:val="FootnoteReference"/>
        </w:rPr>
        <w:footnoteRef/>
      </w:r>
      <w:r>
        <w:t xml:space="preserve"> The attacks of 9/11, the 7/7 bombings in the UK and more recent attacks in Paris all had the responsibility for them, claimed by Islamist terrorist groups; namely ISIS and Al-Qaeda. </w:t>
      </w:r>
    </w:p>
  </w:footnote>
  <w:footnote w:id="7">
    <w:p w14:paraId="62914CF6" w14:textId="443A386D" w:rsidR="009B4C04" w:rsidRDefault="009B4C04">
      <w:pPr>
        <w:pStyle w:val="FootnoteText"/>
      </w:pPr>
      <w:r>
        <w:rPr>
          <w:rStyle w:val="FootnoteReference"/>
        </w:rPr>
        <w:footnoteRef/>
      </w:r>
      <w:r>
        <w:t xml:space="preserve"> Rizvi (2011) notes that the Clash of Civilisations model has become increasingly popular in public opinion. Rizvi 2011: </w:t>
      </w:r>
      <w:r w:rsidR="00EC5FC9">
        <w:t>225</w:t>
      </w:r>
      <w:r>
        <w:t>.; and Charron (2010) attributes this largely to the media’s role in spreading the idea. Charron 2010: 1</w:t>
      </w:r>
      <w:r w:rsidR="00EC5FC9">
        <w:t>01</w:t>
      </w:r>
      <w:r>
        <w:t>.</w:t>
      </w:r>
    </w:p>
  </w:footnote>
  <w:footnote w:id="8">
    <w:p w14:paraId="3E2A9005" w14:textId="28AE283C" w:rsidR="009B4C04" w:rsidRDefault="009B4C04">
      <w:pPr>
        <w:pStyle w:val="FootnoteText"/>
      </w:pPr>
      <w:r>
        <w:rPr>
          <w:rStyle w:val="FootnoteReference"/>
        </w:rPr>
        <w:footnoteRef/>
      </w:r>
      <w:r>
        <w:t xml:space="preserve"> </w:t>
      </w:r>
      <w:proofErr w:type="spellStart"/>
      <w:r>
        <w:t>Génération</w:t>
      </w:r>
      <w:proofErr w:type="spellEnd"/>
      <w:r>
        <w:t xml:space="preserve"> </w:t>
      </w:r>
      <w:proofErr w:type="spellStart"/>
      <w:r>
        <w:t>Identitaire</w:t>
      </w:r>
      <w:proofErr w:type="spellEnd"/>
      <w:r>
        <w:t xml:space="preserve">: 2018. </w:t>
      </w:r>
      <w:r w:rsidRPr="009A5886">
        <w:rPr>
          <w:i/>
        </w:rPr>
        <w:t>‘</w:t>
      </w:r>
      <w:r w:rsidRPr="009A5886">
        <w:rPr>
          <w:rFonts w:cstheme="minorHAnsi"/>
          <w:bCs/>
          <w:i/>
          <w:szCs w:val="24"/>
          <w:shd w:val="clear" w:color="auto" w:fill="FFFFFF"/>
        </w:rPr>
        <w:t xml:space="preserve">face à </w:t>
      </w:r>
      <w:proofErr w:type="spellStart"/>
      <w:r w:rsidRPr="009A5886">
        <w:rPr>
          <w:rFonts w:cstheme="minorHAnsi"/>
          <w:bCs/>
          <w:i/>
          <w:szCs w:val="24"/>
          <w:shd w:val="clear" w:color="auto" w:fill="FFFFFF"/>
        </w:rPr>
        <w:t>l’uniformisation</w:t>
      </w:r>
      <w:proofErr w:type="spellEnd"/>
      <w:r w:rsidRPr="009A5886">
        <w:rPr>
          <w:rFonts w:cstheme="minorHAnsi"/>
          <w:bCs/>
          <w:i/>
          <w:szCs w:val="24"/>
          <w:shd w:val="clear" w:color="auto" w:fill="FFFFFF"/>
        </w:rPr>
        <w:t xml:space="preserve"> des </w:t>
      </w:r>
      <w:proofErr w:type="spellStart"/>
      <w:r w:rsidRPr="009A5886">
        <w:rPr>
          <w:rFonts w:cstheme="minorHAnsi"/>
          <w:bCs/>
          <w:i/>
          <w:szCs w:val="24"/>
          <w:shd w:val="clear" w:color="auto" w:fill="FFFFFF"/>
        </w:rPr>
        <w:t>peuples</w:t>
      </w:r>
      <w:proofErr w:type="spellEnd"/>
      <w:r w:rsidRPr="009A5886">
        <w:rPr>
          <w:rFonts w:cstheme="minorHAnsi"/>
          <w:bCs/>
          <w:i/>
          <w:szCs w:val="24"/>
          <w:shd w:val="clear" w:color="auto" w:fill="FFFFFF"/>
        </w:rPr>
        <w:t xml:space="preserve"> et des cultures, face au </w:t>
      </w:r>
      <w:proofErr w:type="spellStart"/>
      <w:r w:rsidRPr="009A5886">
        <w:rPr>
          <w:rFonts w:cstheme="minorHAnsi"/>
          <w:bCs/>
          <w:i/>
          <w:szCs w:val="24"/>
          <w:shd w:val="clear" w:color="auto" w:fill="FFFFFF"/>
        </w:rPr>
        <w:t>raz</w:t>
      </w:r>
      <w:proofErr w:type="spellEnd"/>
      <w:r w:rsidRPr="009A5886">
        <w:rPr>
          <w:rFonts w:cstheme="minorHAnsi"/>
          <w:bCs/>
          <w:i/>
          <w:szCs w:val="24"/>
          <w:shd w:val="clear" w:color="auto" w:fill="FFFFFF"/>
        </w:rPr>
        <w:t xml:space="preserve"> de marée de </w:t>
      </w:r>
      <w:proofErr w:type="spellStart"/>
      <w:r w:rsidRPr="009A5886">
        <w:rPr>
          <w:rFonts w:cstheme="minorHAnsi"/>
          <w:bCs/>
          <w:i/>
          <w:szCs w:val="24"/>
          <w:shd w:val="clear" w:color="auto" w:fill="FFFFFF"/>
        </w:rPr>
        <w:t>l’immigration</w:t>
      </w:r>
      <w:proofErr w:type="spellEnd"/>
      <w:r w:rsidRPr="009A5886">
        <w:rPr>
          <w:rFonts w:cstheme="minorHAnsi"/>
          <w:bCs/>
          <w:i/>
          <w:szCs w:val="24"/>
          <w:shd w:val="clear" w:color="auto" w:fill="FFFFFF"/>
        </w:rPr>
        <w:t xml:space="preserve"> massive’.</w:t>
      </w:r>
    </w:p>
  </w:footnote>
  <w:footnote w:id="9">
    <w:p w14:paraId="0BF3E22D" w14:textId="0D8A1850" w:rsidR="009B4C04" w:rsidRDefault="009B4C04">
      <w:pPr>
        <w:pStyle w:val="FootnoteText"/>
      </w:pPr>
      <w:r>
        <w:rPr>
          <w:rStyle w:val="FootnoteReference"/>
        </w:rPr>
        <w:footnoteRef/>
      </w:r>
      <w:r>
        <w:t xml:space="preserve"> </w:t>
      </w:r>
      <w:proofErr w:type="spellStart"/>
      <w:r>
        <w:t>Génération</w:t>
      </w:r>
      <w:proofErr w:type="spellEnd"/>
      <w:r>
        <w:t xml:space="preserve"> </w:t>
      </w:r>
      <w:proofErr w:type="spellStart"/>
      <w:r>
        <w:t>Identitaire</w:t>
      </w:r>
      <w:proofErr w:type="spellEnd"/>
      <w:r>
        <w:t xml:space="preserve">: 2018. </w:t>
      </w:r>
      <w:r w:rsidRPr="009A5886">
        <w:rPr>
          <w:i/>
        </w:rPr>
        <w:t xml:space="preserve">‘la </w:t>
      </w:r>
      <w:proofErr w:type="spellStart"/>
      <w:r w:rsidRPr="009A5886">
        <w:rPr>
          <w:i/>
        </w:rPr>
        <w:t>premiére</w:t>
      </w:r>
      <w:proofErr w:type="spellEnd"/>
      <w:r w:rsidRPr="009A5886">
        <w:rPr>
          <w:i/>
        </w:rPr>
        <w:t xml:space="preserve"> </w:t>
      </w:r>
      <w:proofErr w:type="spellStart"/>
      <w:r w:rsidRPr="009A5886">
        <w:rPr>
          <w:i/>
        </w:rPr>
        <w:t>ligne</w:t>
      </w:r>
      <w:proofErr w:type="spellEnd"/>
      <w:r w:rsidRPr="009A5886">
        <w:rPr>
          <w:i/>
        </w:rPr>
        <w:t xml:space="preserve"> de la résistance’.</w:t>
      </w:r>
    </w:p>
  </w:footnote>
  <w:footnote w:id="10">
    <w:p w14:paraId="359C5F82" w14:textId="13BC6A54" w:rsidR="009B4C04" w:rsidRDefault="009B4C04">
      <w:pPr>
        <w:pStyle w:val="FootnoteText"/>
      </w:pPr>
      <w:r>
        <w:rPr>
          <w:rStyle w:val="FootnoteReference"/>
        </w:rPr>
        <w:footnoteRef/>
      </w:r>
      <w:r>
        <w:t xml:space="preserve"> </w:t>
      </w:r>
      <w:proofErr w:type="spellStart"/>
      <w:r>
        <w:t>Génération</w:t>
      </w:r>
      <w:proofErr w:type="spellEnd"/>
      <w:r>
        <w:t xml:space="preserve"> </w:t>
      </w:r>
      <w:proofErr w:type="spellStart"/>
      <w:r>
        <w:t>Identitaire</w:t>
      </w:r>
      <w:proofErr w:type="spellEnd"/>
      <w:r>
        <w:t xml:space="preserve">: 2018. </w:t>
      </w:r>
    </w:p>
  </w:footnote>
  <w:footnote w:id="11">
    <w:p w14:paraId="3D602AA8" w14:textId="7740EF24" w:rsidR="009B4C04" w:rsidRDefault="009B4C04">
      <w:pPr>
        <w:pStyle w:val="FootnoteText"/>
      </w:pPr>
      <w:r>
        <w:rPr>
          <w:rStyle w:val="FootnoteReference"/>
        </w:rPr>
        <w:footnoteRef/>
      </w:r>
      <w:r>
        <w:t xml:space="preserve"> </w:t>
      </w:r>
      <w:proofErr w:type="spellStart"/>
      <w:r>
        <w:t>Génération</w:t>
      </w:r>
      <w:proofErr w:type="spellEnd"/>
      <w:r>
        <w:t xml:space="preserve"> </w:t>
      </w:r>
      <w:proofErr w:type="spellStart"/>
      <w:r>
        <w:t>Identitaire</w:t>
      </w:r>
      <w:proofErr w:type="spellEnd"/>
      <w:r>
        <w:t>: 2018. The symbol can be seen as the organisations logo all over their website.</w:t>
      </w:r>
    </w:p>
  </w:footnote>
  <w:footnote w:id="12">
    <w:p w14:paraId="245FFF25" w14:textId="5FBF50AD" w:rsidR="009B4C04" w:rsidRPr="00D47857" w:rsidRDefault="009B4C04">
      <w:pPr>
        <w:pStyle w:val="FootnoteText"/>
      </w:pPr>
      <w:r>
        <w:rPr>
          <w:rStyle w:val="FootnoteReference"/>
        </w:rPr>
        <w:footnoteRef/>
      </w:r>
      <w:r>
        <w:t xml:space="preserve"> </w:t>
      </w:r>
      <w:proofErr w:type="spellStart"/>
      <w:r>
        <w:t>Wei</w:t>
      </w:r>
      <w:r>
        <w:rPr>
          <w:rFonts w:ascii="Times New Roman" w:hAnsi="Times New Roman" w:cs="Times New Roman"/>
        </w:rPr>
        <w:t>ß</w:t>
      </w:r>
      <w:proofErr w:type="spellEnd"/>
      <w:r>
        <w:t xml:space="preserve"> 2013. The capital </w:t>
      </w:r>
      <w:r>
        <w:rPr>
          <w:i/>
        </w:rPr>
        <w:t>lambda</w:t>
      </w:r>
      <w:r>
        <w:t xml:space="preserve"> would have been the image on the front of the shields of Spartan hoplites.</w:t>
      </w:r>
    </w:p>
  </w:footnote>
  <w:footnote w:id="13">
    <w:p w14:paraId="72B1124E" w14:textId="4A23B513" w:rsidR="009B4C04" w:rsidRPr="007A309D" w:rsidRDefault="009B4C04">
      <w:pPr>
        <w:pStyle w:val="FootnoteText"/>
      </w:pPr>
      <w:r>
        <w:rPr>
          <w:rStyle w:val="FootnoteReference"/>
        </w:rPr>
        <w:footnoteRef/>
      </w:r>
      <w:r>
        <w:t xml:space="preserve"> For example, the fight between the Spartans and the Immortals in Xerxes army. The Immortals are seen to be less than human, and they are given very monstrous features to show the corrupted nature of Persian culture. </w:t>
      </w:r>
      <w:r>
        <w:rPr>
          <w:i/>
        </w:rPr>
        <w:t>300</w:t>
      </w:r>
      <w:r>
        <w:t xml:space="preserve">, Zach Snyder 2007: 1:02:00-1:08:36. </w:t>
      </w:r>
    </w:p>
  </w:footnote>
  <w:footnote w:id="14">
    <w:p w14:paraId="7BC0E20A" w14:textId="7AB1AA9A" w:rsidR="009B4C04" w:rsidRPr="00545A67" w:rsidRDefault="009B4C04">
      <w:pPr>
        <w:pStyle w:val="FootnoteText"/>
      </w:pPr>
      <w:r>
        <w:rPr>
          <w:rStyle w:val="FootnoteReference"/>
        </w:rPr>
        <w:footnoteRef/>
      </w:r>
      <w:r>
        <w:t xml:space="preserve"> See Oh and </w:t>
      </w:r>
      <w:proofErr w:type="spellStart"/>
      <w:r>
        <w:t>Kutufam’s</w:t>
      </w:r>
      <w:proofErr w:type="spellEnd"/>
      <w:r>
        <w:t xml:space="preserve"> 2014 article ‘The Orientalized “Other” and Corrosive Femininity: Threats to White Masculinity in </w:t>
      </w:r>
      <w:r>
        <w:rPr>
          <w:i/>
        </w:rPr>
        <w:t>300</w:t>
      </w:r>
      <w:r>
        <w:t>’.</w:t>
      </w:r>
    </w:p>
  </w:footnote>
  <w:footnote w:id="15">
    <w:p w14:paraId="754337A8" w14:textId="4D3ABA01" w:rsidR="009B4C04" w:rsidRDefault="009B4C04">
      <w:pPr>
        <w:pStyle w:val="FootnoteText"/>
      </w:pPr>
      <w:r>
        <w:rPr>
          <w:rStyle w:val="FootnoteReference"/>
        </w:rPr>
        <w:footnoteRef/>
      </w:r>
      <w:r>
        <w:t xml:space="preserve"> BBC, 2007.</w:t>
      </w:r>
    </w:p>
  </w:footnote>
  <w:footnote w:id="16">
    <w:p w14:paraId="6E8A45B1" w14:textId="23CF0E5E" w:rsidR="009B4C04" w:rsidRDefault="009B4C04">
      <w:pPr>
        <w:pStyle w:val="FootnoteText"/>
      </w:pPr>
      <w:r>
        <w:rPr>
          <w:rStyle w:val="FootnoteReference"/>
        </w:rPr>
        <w:footnoteRef/>
      </w:r>
      <w:r>
        <w:t xml:space="preserve">See again, the fight between the Spartans and the Immortals in Xerxes army. </w:t>
      </w:r>
      <w:r>
        <w:rPr>
          <w:i/>
        </w:rPr>
        <w:t>300</w:t>
      </w:r>
      <w:r>
        <w:t xml:space="preserve">, Zach Snyder 2007: 1:02:00-1:08:36. There is also an emphasis placed on the corrupting excess of Persian life in contrast to the Spartans. </w:t>
      </w:r>
      <w:r>
        <w:rPr>
          <w:i/>
        </w:rPr>
        <w:t>300</w:t>
      </w:r>
      <w:r>
        <w:t xml:space="preserve">, Zach Snyder 2007: 1:15:50-1:18:36. The difference in political ideology is seen as well where the Spartans place emphasis on the rule of law, Xerxes is constantly referred to as the ‘god-king’ and his people referred to as slaves. This highlights a difference between West and East, as the West typically values liberty and the rule of law, whereas the East is seen as typically tyrannical and authoritarian. ‘The man, who fancies himself a god, feels a very human chill crawl up his spine.’ </w:t>
      </w:r>
      <w:r>
        <w:rPr>
          <w:i/>
        </w:rPr>
        <w:t>300</w:t>
      </w:r>
      <w:r>
        <w:t xml:space="preserve">, Zach Snyder 2007: 1:08:24-1:08:36. ‘No Spartan, subject or citizen, man or woman, slave or king, is above the law.’ </w:t>
      </w:r>
      <w:r>
        <w:rPr>
          <w:i/>
        </w:rPr>
        <w:t>300</w:t>
      </w:r>
      <w:r>
        <w:t xml:space="preserve"> Zach Snyder 2007: 0:17:18-0:17:26.</w:t>
      </w:r>
    </w:p>
  </w:footnote>
  <w:footnote w:id="17">
    <w:p w14:paraId="777AE21E" w14:textId="43CA2C7C" w:rsidR="009B4C04" w:rsidRDefault="009B4C04">
      <w:pPr>
        <w:pStyle w:val="FootnoteText"/>
      </w:pPr>
      <w:r>
        <w:rPr>
          <w:rStyle w:val="FootnoteReference"/>
        </w:rPr>
        <w:footnoteRef/>
      </w:r>
      <w:r>
        <w:t xml:space="preserve"> See Oh and </w:t>
      </w:r>
      <w:proofErr w:type="spellStart"/>
      <w:r>
        <w:t>Kutufam</w:t>
      </w:r>
      <w:proofErr w:type="spellEnd"/>
      <w:r>
        <w:t xml:space="preserve"> (2014).</w:t>
      </w:r>
    </w:p>
  </w:footnote>
  <w:footnote w:id="18">
    <w:p w14:paraId="24D5BEBD" w14:textId="77E46BE9" w:rsidR="009B4C04" w:rsidRDefault="009B4C04">
      <w:pPr>
        <w:pStyle w:val="FootnoteText"/>
      </w:pPr>
      <w:r>
        <w:rPr>
          <w:rStyle w:val="FootnoteReference"/>
        </w:rPr>
        <w:footnoteRef/>
      </w:r>
      <w:r>
        <w:t xml:space="preserve"> Rhodes 2007: 33-34. See </w:t>
      </w:r>
      <w:proofErr w:type="spellStart"/>
      <w:r>
        <w:t>Hdt</w:t>
      </w:r>
      <w:proofErr w:type="spellEnd"/>
      <w:r>
        <w:t xml:space="preserve">. 7.132; </w:t>
      </w:r>
      <w:proofErr w:type="spellStart"/>
      <w:r>
        <w:t>Hdt</w:t>
      </w:r>
      <w:proofErr w:type="spellEnd"/>
      <w:r>
        <w:t>. 8.136, 140-144; 9.4-7.</w:t>
      </w:r>
    </w:p>
  </w:footnote>
  <w:footnote w:id="19">
    <w:p w14:paraId="528EA588" w14:textId="723600FA" w:rsidR="009B4C04" w:rsidRDefault="009B4C04">
      <w:pPr>
        <w:pStyle w:val="FootnoteText"/>
      </w:pPr>
      <w:r>
        <w:rPr>
          <w:rStyle w:val="FootnoteReference"/>
        </w:rPr>
        <w:footnoteRef/>
      </w:r>
      <w:r>
        <w:t xml:space="preserve"> Rhodes 2007: 34. </w:t>
      </w:r>
      <w:proofErr w:type="spellStart"/>
      <w:r>
        <w:t>Hdt</w:t>
      </w:r>
      <w:proofErr w:type="spellEnd"/>
      <w:r>
        <w:t xml:space="preserve">. 7.139; </w:t>
      </w:r>
      <w:proofErr w:type="spellStart"/>
      <w:r>
        <w:t>Hdt</w:t>
      </w:r>
      <w:proofErr w:type="spellEnd"/>
      <w:r>
        <w:t xml:space="preserve">. 7.149.3; </w:t>
      </w:r>
      <w:proofErr w:type="spellStart"/>
      <w:r>
        <w:t>Hdt</w:t>
      </w:r>
      <w:proofErr w:type="spellEnd"/>
      <w:r>
        <w:t>. 7.6.2, 7.172.1, 7.174.</w:t>
      </w:r>
    </w:p>
  </w:footnote>
  <w:footnote w:id="20">
    <w:p w14:paraId="4EA31C39" w14:textId="793D8D1B" w:rsidR="009B4C04" w:rsidRDefault="009B4C04">
      <w:pPr>
        <w:pStyle w:val="FootnoteText"/>
      </w:pPr>
      <w:r>
        <w:rPr>
          <w:rStyle w:val="FootnoteReference"/>
        </w:rPr>
        <w:footnoteRef/>
      </w:r>
      <w:r>
        <w:t xml:space="preserve"> </w:t>
      </w:r>
      <w:proofErr w:type="spellStart"/>
      <w:r>
        <w:t>Hdt</w:t>
      </w:r>
      <w:proofErr w:type="spellEnd"/>
      <w:r>
        <w:t>. 7.223.</w:t>
      </w:r>
    </w:p>
  </w:footnote>
  <w:footnote w:id="21">
    <w:p w14:paraId="79898554" w14:textId="5102C32D" w:rsidR="009B4C04" w:rsidRDefault="009B4C04">
      <w:pPr>
        <w:pStyle w:val="FootnoteText"/>
      </w:pPr>
      <w:r>
        <w:rPr>
          <w:rStyle w:val="FootnoteReference"/>
        </w:rPr>
        <w:footnoteRef/>
      </w:r>
      <w:r>
        <w:t xml:space="preserve"> </w:t>
      </w:r>
      <w:proofErr w:type="spellStart"/>
      <w:r>
        <w:t>Hdt</w:t>
      </w:r>
      <w:proofErr w:type="spellEnd"/>
      <w:r>
        <w:t>. 9.77; Rhodes 2007: 34.</w:t>
      </w:r>
    </w:p>
  </w:footnote>
  <w:footnote w:id="22">
    <w:p w14:paraId="1A39862C" w14:textId="1378B2BD" w:rsidR="009B4C04" w:rsidRDefault="009B4C04">
      <w:pPr>
        <w:pStyle w:val="FootnoteText"/>
      </w:pPr>
      <w:r>
        <w:rPr>
          <w:rStyle w:val="FootnoteReference"/>
        </w:rPr>
        <w:footnoteRef/>
      </w:r>
      <w:r>
        <w:t xml:space="preserve"> Rhodes 2007: 34.</w:t>
      </w:r>
    </w:p>
  </w:footnote>
  <w:footnote w:id="23">
    <w:p w14:paraId="6A6083C4" w14:textId="1DE56B47" w:rsidR="009B4C04" w:rsidRDefault="009B4C04">
      <w:pPr>
        <w:pStyle w:val="FootnoteText"/>
      </w:pPr>
      <w:r>
        <w:rPr>
          <w:rStyle w:val="FootnoteReference"/>
        </w:rPr>
        <w:footnoteRef/>
      </w:r>
      <w:r>
        <w:t xml:space="preserve"> Hall 2007: 174.</w:t>
      </w:r>
    </w:p>
  </w:footnote>
  <w:footnote w:id="24">
    <w:p w14:paraId="5C6704A8" w14:textId="2F122EEE" w:rsidR="009B4C04" w:rsidRDefault="009B4C04">
      <w:pPr>
        <w:pStyle w:val="FootnoteText"/>
      </w:pPr>
      <w:r>
        <w:rPr>
          <w:rStyle w:val="FootnoteReference"/>
        </w:rPr>
        <w:footnoteRef/>
      </w:r>
      <w:r>
        <w:t xml:space="preserve"> Hall 2007: 174.</w:t>
      </w:r>
    </w:p>
  </w:footnote>
  <w:footnote w:id="25">
    <w:p w14:paraId="27E97B6D" w14:textId="6410E3C1" w:rsidR="009B4C04" w:rsidRDefault="009B4C04">
      <w:pPr>
        <w:pStyle w:val="FootnoteText"/>
      </w:pPr>
      <w:r>
        <w:rPr>
          <w:rStyle w:val="FootnoteReference"/>
        </w:rPr>
        <w:footnoteRef/>
      </w:r>
      <w:r>
        <w:t xml:space="preserve"> Rhodes 2007: 37.</w:t>
      </w:r>
    </w:p>
  </w:footnote>
  <w:footnote w:id="26">
    <w:p w14:paraId="27895B49" w14:textId="6DE63C41" w:rsidR="009B4C04" w:rsidRDefault="009B4C04">
      <w:pPr>
        <w:pStyle w:val="FootnoteText"/>
      </w:pPr>
      <w:r>
        <w:rPr>
          <w:rStyle w:val="FootnoteReference"/>
        </w:rPr>
        <w:footnoteRef/>
      </w:r>
      <w:r>
        <w:t xml:space="preserve"> Hall 2007: 174-175.</w:t>
      </w:r>
    </w:p>
  </w:footnote>
  <w:footnote w:id="27">
    <w:p w14:paraId="3F56EB53" w14:textId="6DE021C0" w:rsidR="009B4C04" w:rsidRDefault="009B4C04">
      <w:pPr>
        <w:pStyle w:val="FootnoteText"/>
      </w:pPr>
      <w:r>
        <w:rPr>
          <w:rStyle w:val="FootnoteReference"/>
        </w:rPr>
        <w:footnoteRef/>
      </w:r>
      <w:r>
        <w:t xml:space="preserve"> Pl. Leg. 694.</w:t>
      </w:r>
    </w:p>
  </w:footnote>
  <w:footnote w:id="28">
    <w:p w14:paraId="5575B541" w14:textId="5950D62A" w:rsidR="009B4C04" w:rsidRDefault="009B4C04">
      <w:pPr>
        <w:pStyle w:val="FootnoteText"/>
      </w:pPr>
      <w:r>
        <w:rPr>
          <w:rStyle w:val="FootnoteReference"/>
        </w:rPr>
        <w:footnoteRef/>
      </w:r>
      <w:r>
        <w:t xml:space="preserve"> Pl. Leg. 695.</w:t>
      </w:r>
    </w:p>
  </w:footnote>
  <w:footnote w:id="29">
    <w:p w14:paraId="637577CF" w14:textId="35528AA2" w:rsidR="009B4C04" w:rsidRDefault="009B4C04">
      <w:pPr>
        <w:pStyle w:val="FootnoteText"/>
      </w:pPr>
      <w:r>
        <w:rPr>
          <w:rStyle w:val="FootnoteReference"/>
        </w:rPr>
        <w:footnoteRef/>
      </w:r>
      <w:r>
        <w:t xml:space="preserve"> Pl. Leg. 694. Plato describes this as a ‘womanish education’.</w:t>
      </w:r>
    </w:p>
  </w:footnote>
  <w:footnote w:id="30">
    <w:p w14:paraId="2540D380" w14:textId="4B837301" w:rsidR="009B4C04" w:rsidRDefault="009B4C04">
      <w:pPr>
        <w:pStyle w:val="FootnoteText"/>
      </w:pPr>
      <w:r>
        <w:rPr>
          <w:rStyle w:val="FootnoteReference"/>
        </w:rPr>
        <w:footnoteRef/>
      </w:r>
      <w:r>
        <w:t xml:space="preserve"> Pl. Leg. 694-695.</w:t>
      </w:r>
    </w:p>
  </w:footnote>
  <w:footnote w:id="31">
    <w:p w14:paraId="68C27B06" w14:textId="38D13072" w:rsidR="009B4C04" w:rsidRDefault="009B4C04">
      <w:pPr>
        <w:pStyle w:val="FootnoteText"/>
      </w:pPr>
      <w:r>
        <w:rPr>
          <w:rStyle w:val="FootnoteReference"/>
        </w:rPr>
        <w:footnoteRef/>
      </w:r>
      <w:r>
        <w:t xml:space="preserve"> Pl. Leg. 697.</w:t>
      </w:r>
    </w:p>
  </w:footnote>
  <w:footnote w:id="32">
    <w:p w14:paraId="11CB3FDF" w14:textId="03724848" w:rsidR="009B4C04" w:rsidRDefault="009B4C04">
      <w:pPr>
        <w:pStyle w:val="FootnoteText"/>
      </w:pPr>
      <w:r>
        <w:rPr>
          <w:rStyle w:val="FootnoteReference"/>
        </w:rPr>
        <w:footnoteRef/>
      </w:r>
      <w:r>
        <w:t xml:space="preserve"> Xen. Cyr. 8.8.4-5.</w:t>
      </w:r>
    </w:p>
  </w:footnote>
  <w:footnote w:id="33">
    <w:p w14:paraId="314726CA" w14:textId="2E764528" w:rsidR="009B4C04" w:rsidRDefault="009B4C04">
      <w:pPr>
        <w:pStyle w:val="FootnoteText"/>
      </w:pPr>
      <w:r>
        <w:rPr>
          <w:rStyle w:val="FootnoteReference"/>
        </w:rPr>
        <w:footnoteRef/>
      </w:r>
      <w:r>
        <w:t xml:space="preserve"> Xen. Cyr. 8.8.6-7.</w:t>
      </w:r>
    </w:p>
  </w:footnote>
  <w:footnote w:id="34">
    <w:p w14:paraId="284FBD7E" w14:textId="7D66BA18" w:rsidR="009B4C04" w:rsidRDefault="009B4C04">
      <w:pPr>
        <w:pStyle w:val="FootnoteText"/>
      </w:pPr>
      <w:r>
        <w:rPr>
          <w:rStyle w:val="FootnoteReference"/>
        </w:rPr>
        <w:footnoteRef/>
      </w:r>
      <w:r>
        <w:t xml:space="preserve"> Xen. Cyr. 8.8.21.</w:t>
      </w:r>
    </w:p>
  </w:footnote>
  <w:footnote w:id="35">
    <w:p w14:paraId="0F8E5E83" w14:textId="658050D9" w:rsidR="009B4C04" w:rsidRDefault="009B4C04">
      <w:pPr>
        <w:pStyle w:val="FootnoteText"/>
      </w:pPr>
      <w:r>
        <w:rPr>
          <w:rStyle w:val="FootnoteReference"/>
        </w:rPr>
        <w:footnoteRef/>
      </w:r>
      <w:r>
        <w:t xml:space="preserve"> Xen. Cyr. 8.8.22-24. Here Xenophon notes that the infantry despite having trained to fight in close quarters by Cyrus they now avoid hand to hand combat. The cavalry having been also trained to fight in close quarters rather than at range now according to Xenophon ‘fight in neither one style nor the other’.; Xen. Cyr. 8.8. 24-25. He notes similar lack of training and cowardice for the famed Persian scythed chariots, which now upon charging the enemy the charioteers would jump off and flee.; Xen. Cyr. 8.8.26. Because of this the Persians themselves became aware of their lack of martial might and so were always quick to surrender and would not go to battle without help from the Greeks. </w:t>
      </w:r>
    </w:p>
  </w:footnote>
  <w:footnote w:id="36">
    <w:p w14:paraId="42B3F74C" w14:textId="0665E838" w:rsidR="009B4C04" w:rsidRDefault="009B4C04">
      <w:pPr>
        <w:pStyle w:val="FootnoteText"/>
      </w:pPr>
      <w:r>
        <w:rPr>
          <w:rStyle w:val="FootnoteReference"/>
        </w:rPr>
        <w:footnoteRef/>
      </w:r>
      <w:r>
        <w:t xml:space="preserve"> Arr. </w:t>
      </w:r>
      <w:proofErr w:type="spellStart"/>
      <w:r>
        <w:t>Anab</w:t>
      </w:r>
      <w:proofErr w:type="spellEnd"/>
      <w:r>
        <w:t>. 2.7.</w:t>
      </w:r>
    </w:p>
  </w:footnote>
  <w:footnote w:id="37">
    <w:p w14:paraId="1D6184C2" w14:textId="619219C2" w:rsidR="009B4C04" w:rsidRDefault="009B4C04">
      <w:pPr>
        <w:pStyle w:val="FootnoteText"/>
      </w:pPr>
      <w:r>
        <w:rPr>
          <w:rStyle w:val="FootnoteReference"/>
        </w:rPr>
        <w:footnoteRef/>
      </w:r>
      <w:r>
        <w:t xml:space="preserve"> Arr. </w:t>
      </w:r>
      <w:proofErr w:type="spellStart"/>
      <w:r>
        <w:t>Anab</w:t>
      </w:r>
      <w:proofErr w:type="spellEnd"/>
      <w:r>
        <w:t>. 2.7.</w:t>
      </w:r>
    </w:p>
  </w:footnote>
  <w:footnote w:id="38">
    <w:p w14:paraId="104EABA7" w14:textId="6A5F6035" w:rsidR="009B4C04" w:rsidRDefault="009B4C04">
      <w:pPr>
        <w:pStyle w:val="FootnoteText"/>
      </w:pPr>
      <w:r>
        <w:rPr>
          <w:rStyle w:val="FootnoteReference"/>
        </w:rPr>
        <w:footnoteRef/>
      </w:r>
      <w:r>
        <w:t xml:space="preserve"> Arr. </w:t>
      </w:r>
      <w:proofErr w:type="spellStart"/>
      <w:r>
        <w:t>Anab</w:t>
      </w:r>
      <w:proofErr w:type="spellEnd"/>
      <w:r>
        <w:t xml:space="preserve">. 3.22.; </w:t>
      </w:r>
      <w:proofErr w:type="spellStart"/>
      <w:r>
        <w:t>Briant</w:t>
      </w:r>
      <w:proofErr w:type="spellEnd"/>
      <w:r>
        <w:t xml:space="preserve"> 2002: 198.</w:t>
      </w:r>
    </w:p>
  </w:footnote>
  <w:footnote w:id="39">
    <w:p w14:paraId="54989B6C" w14:textId="1E907763" w:rsidR="009B4C04" w:rsidRDefault="009B4C04">
      <w:pPr>
        <w:pStyle w:val="FootnoteText"/>
      </w:pPr>
      <w:r>
        <w:rPr>
          <w:rStyle w:val="FootnoteReference"/>
        </w:rPr>
        <w:footnoteRef/>
      </w:r>
      <w:r>
        <w:t xml:space="preserve"> Hall 2007: 176.</w:t>
      </w:r>
    </w:p>
  </w:footnote>
  <w:footnote w:id="40">
    <w:p w14:paraId="521DB988" w14:textId="0AE6FD9B" w:rsidR="009B4C04" w:rsidRDefault="009B4C04">
      <w:pPr>
        <w:pStyle w:val="FootnoteText"/>
      </w:pPr>
      <w:r>
        <w:rPr>
          <w:rStyle w:val="FootnoteReference"/>
        </w:rPr>
        <w:footnoteRef/>
      </w:r>
      <w:r>
        <w:t xml:space="preserve"> Hall 2007: 176.</w:t>
      </w:r>
    </w:p>
  </w:footnote>
  <w:footnote w:id="41">
    <w:p w14:paraId="25D14B00" w14:textId="4C2CDA7B" w:rsidR="009B4C04" w:rsidRDefault="009B4C04">
      <w:pPr>
        <w:pStyle w:val="FootnoteText"/>
      </w:pPr>
      <w:r>
        <w:rPr>
          <w:rStyle w:val="FootnoteReference"/>
        </w:rPr>
        <w:footnoteRef/>
      </w:r>
      <w:r>
        <w:t xml:space="preserve"> Hall 2007: 176.</w:t>
      </w:r>
    </w:p>
  </w:footnote>
  <w:footnote w:id="42">
    <w:p w14:paraId="00AD3F8B" w14:textId="2ECC3F00" w:rsidR="009B4C04" w:rsidRDefault="009B4C04">
      <w:pPr>
        <w:pStyle w:val="FootnoteText"/>
      </w:pPr>
      <w:r>
        <w:rPr>
          <w:rStyle w:val="FootnoteReference"/>
        </w:rPr>
        <w:footnoteRef/>
      </w:r>
      <w:r>
        <w:t xml:space="preserve"> Hall 2007: 177.</w:t>
      </w:r>
    </w:p>
  </w:footnote>
  <w:footnote w:id="43">
    <w:p w14:paraId="683CE84E" w14:textId="4838C341" w:rsidR="009B4C04" w:rsidRDefault="009B4C04">
      <w:pPr>
        <w:pStyle w:val="FootnoteText"/>
      </w:pPr>
      <w:r>
        <w:rPr>
          <w:rStyle w:val="FootnoteReference"/>
        </w:rPr>
        <w:footnoteRef/>
      </w:r>
      <w:r>
        <w:t xml:space="preserve"> Hall 2007: 177-178. This is due to the fact that it was performed at an event to commemorate the victory of the Venetian fleet led by John of Austria over the Ottoman fleet at the Battle of Lepanto.</w:t>
      </w:r>
    </w:p>
  </w:footnote>
  <w:footnote w:id="44">
    <w:p w14:paraId="77BD879D" w14:textId="22988C8C" w:rsidR="009B4C04" w:rsidRPr="0087725C" w:rsidRDefault="009B4C04">
      <w:pPr>
        <w:pStyle w:val="FootnoteText"/>
      </w:pPr>
      <w:r>
        <w:rPr>
          <w:rStyle w:val="FootnoteReference"/>
        </w:rPr>
        <w:footnoteRef/>
      </w:r>
      <w:r>
        <w:t xml:space="preserve"> Hall 2007: 180. The example that Hall uses is Mozart’s </w:t>
      </w:r>
      <w:r>
        <w:rPr>
          <w:i/>
        </w:rPr>
        <w:t xml:space="preserve">Die </w:t>
      </w:r>
      <w:proofErr w:type="spellStart"/>
      <w:r>
        <w:rPr>
          <w:i/>
        </w:rPr>
        <w:t>Entf</w:t>
      </w:r>
      <w:r>
        <w:rPr>
          <w:rFonts w:ascii="Times New Roman" w:hAnsi="Times New Roman" w:cs="Times New Roman"/>
          <w:i/>
        </w:rPr>
        <w:t>ü</w:t>
      </w:r>
      <w:r>
        <w:rPr>
          <w:i/>
        </w:rPr>
        <w:t>hrung</w:t>
      </w:r>
      <w:proofErr w:type="spellEnd"/>
      <w:r>
        <w:rPr>
          <w:i/>
        </w:rPr>
        <w:t xml:space="preserve"> </w:t>
      </w:r>
      <w:proofErr w:type="spellStart"/>
      <w:r>
        <w:rPr>
          <w:i/>
        </w:rPr>
        <w:t>aus</w:t>
      </w:r>
      <w:proofErr w:type="spellEnd"/>
      <w:r>
        <w:rPr>
          <w:i/>
        </w:rPr>
        <w:t xml:space="preserve"> </w:t>
      </w:r>
      <w:proofErr w:type="spellStart"/>
      <w:r>
        <w:rPr>
          <w:i/>
        </w:rPr>
        <w:t>dem</w:t>
      </w:r>
      <w:proofErr w:type="spellEnd"/>
      <w:r>
        <w:rPr>
          <w:i/>
        </w:rPr>
        <w:t xml:space="preserve"> </w:t>
      </w:r>
      <w:proofErr w:type="spellStart"/>
      <w:r>
        <w:rPr>
          <w:i/>
        </w:rPr>
        <w:t>Serail</w:t>
      </w:r>
      <w:proofErr w:type="spellEnd"/>
      <w:r>
        <w:t xml:space="preserve">, in which the Ottoman janissary </w:t>
      </w:r>
      <w:proofErr w:type="spellStart"/>
      <w:r>
        <w:t>Osmin</w:t>
      </w:r>
      <w:proofErr w:type="spellEnd"/>
      <w:r>
        <w:t xml:space="preserve"> is portrayed, according to Hall as a ‘greedy, gullible, sadistic and lecherous Muslim stereotype’. </w:t>
      </w:r>
    </w:p>
  </w:footnote>
  <w:footnote w:id="45">
    <w:p w14:paraId="233A31EB" w14:textId="0780E942" w:rsidR="009B4C04" w:rsidRDefault="009B4C04">
      <w:pPr>
        <w:pStyle w:val="FootnoteText"/>
      </w:pPr>
      <w:r>
        <w:rPr>
          <w:rStyle w:val="FootnoteReference"/>
        </w:rPr>
        <w:footnoteRef/>
      </w:r>
      <w:r>
        <w:t xml:space="preserve"> Hall 2007: 180.</w:t>
      </w:r>
    </w:p>
  </w:footnote>
  <w:footnote w:id="46">
    <w:p w14:paraId="07FA072E" w14:textId="5C7D836A" w:rsidR="009B4C04" w:rsidRPr="00650AAB" w:rsidRDefault="009B4C04">
      <w:pPr>
        <w:pStyle w:val="FootnoteText"/>
      </w:pPr>
      <w:r>
        <w:rPr>
          <w:rStyle w:val="FootnoteReference"/>
        </w:rPr>
        <w:footnoteRef/>
      </w:r>
      <w:r>
        <w:t xml:space="preserve"> Unfortunately, space does not allow me to explore all the different ways in which the Persian Wars and the surviving narratives of them have shaped European views on Islam and the East. For more on this Hall’s (2007) article ‘Aeschylus’ </w:t>
      </w:r>
      <w:r>
        <w:rPr>
          <w:i/>
        </w:rPr>
        <w:t>Persians</w:t>
      </w:r>
      <w:r>
        <w:t xml:space="preserve"> via the Ottoman Empire to Saddam Hussein’.</w:t>
      </w:r>
    </w:p>
  </w:footnote>
  <w:footnote w:id="47">
    <w:p w14:paraId="3C3DB502" w14:textId="07364AF3" w:rsidR="009B4C04" w:rsidRDefault="009B4C04">
      <w:pPr>
        <w:pStyle w:val="FootnoteText"/>
      </w:pPr>
      <w:r>
        <w:rPr>
          <w:rStyle w:val="FootnoteReference"/>
        </w:rPr>
        <w:footnoteRef/>
      </w:r>
      <w:r>
        <w:t xml:space="preserve"> Hall 2007: 191. </w:t>
      </w:r>
    </w:p>
  </w:footnote>
  <w:footnote w:id="48">
    <w:p w14:paraId="177F0D7A" w14:textId="660A86C4" w:rsidR="009B4C04" w:rsidRPr="00646A7A" w:rsidRDefault="009B4C04">
      <w:pPr>
        <w:pStyle w:val="FootnoteText"/>
      </w:pPr>
      <w:r>
        <w:rPr>
          <w:rStyle w:val="FootnoteReference"/>
        </w:rPr>
        <w:footnoteRef/>
      </w:r>
      <w:r>
        <w:t xml:space="preserve"> Hall 2007: 191-192. Hall argues that this was possible because of the lack of on the ground journalists in the Gulf War. As a result, despite Said’s work breaking down many cultural stereotypes surrounding The East, there was still a void in Western minds as to the nature of their enemy in the Gulf War. Thus, this was filled with the new stereotypes from </w:t>
      </w:r>
      <w:proofErr w:type="spellStart"/>
      <w:r>
        <w:t>Sellar’s</w:t>
      </w:r>
      <w:proofErr w:type="spellEnd"/>
      <w:r>
        <w:t xml:space="preserve"> adaptation of </w:t>
      </w:r>
      <w:r>
        <w:rPr>
          <w:i/>
        </w:rPr>
        <w:t>The Persians</w:t>
      </w:r>
      <w:r>
        <w:t>.</w:t>
      </w:r>
    </w:p>
  </w:footnote>
  <w:footnote w:id="49">
    <w:p w14:paraId="23BB65EF" w14:textId="1A685615" w:rsidR="009B4C04" w:rsidRDefault="009B4C04">
      <w:pPr>
        <w:pStyle w:val="FootnoteText"/>
      </w:pPr>
      <w:r>
        <w:rPr>
          <w:rStyle w:val="FootnoteReference"/>
        </w:rPr>
        <w:footnoteRef/>
      </w:r>
      <w:r>
        <w:t xml:space="preserve"> </w:t>
      </w:r>
      <w:proofErr w:type="spellStart"/>
      <w:r>
        <w:t>Hdt</w:t>
      </w:r>
      <w:proofErr w:type="spellEnd"/>
      <w:r>
        <w:t>. 7.202.</w:t>
      </w:r>
    </w:p>
  </w:footnote>
  <w:footnote w:id="50">
    <w:p w14:paraId="57169F85" w14:textId="368B3D25" w:rsidR="009B4C04" w:rsidRPr="00D44C73" w:rsidRDefault="009B4C04">
      <w:pPr>
        <w:pStyle w:val="FootnoteText"/>
      </w:pPr>
      <w:r>
        <w:rPr>
          <w:rStyle w:val="FootnoteReference"/>
        </w:rPr>
        <w:footnoteRef/>
      </w:r>
      <w:r>
        <w:t xml:space="preserve"> The immortals, after having their masks removed, look very similar to the orcs from </w:t>
      </w:r>
      <w:r>
        <w:rPr>
          <w:i/>
        </w:rPr>
        <w:t xml:space="preserve">The Lord of the Rings </w:t>
      </w:r>
      <w:r>
        <w:t>films, and the giant, so called “</w:t>
      </w:r>
      <w:proofErr w:type="spellStart"/>
      <w:r w:rsidRPr="00D44C73">
        <w:rPr>
          <w:rFonts w:cstheme="minorHAnsi"/>
        </w:rPr>
        <w:t>ü</w:t>
      </w:r>
      <w:r>
        <w:t>ber</w:t>
      </w:r>
      <w:proofErr w:type="spellEnd"/>
      <w:r>
        <w:t xml:space="preserve">” immortal, is reminiscent of the trolls and other monsters from fantasy series like </w:t>
      </w:r>
      <w:r>
        <w:rPr>
          <w:i/>
        </w:rPr>
        <w:t>The Lord of the Rings</w:t>
      </w:r>
      <w:r>
        <w:t xml:space="preserve">. </w:t>
      </w:r>
      <w:r>
        <w:rPr>
          <w:i/>
        </w:rPr>
        <w:t>300</w:t>
      </w:r>
      <w:r>
        <w:t>, Zach Snyder 2007: 1:02:00-1:08:36.</w:t>
      </w:r>
    </w:p>
  </w:footnote>
  <w:footnote w:id="51">
    <w:p w14:paraId="32B212EB" w14:textId="23F2CDB7" w:rsidR="009B4C04" w:rsidRPr="00603475" w:rsidRDefault="009B4C04">
      <w:pPr>
        <w:pStyle w:val="FootnoteText"/>
      </w:pPr>
      <w:r>
        <w:rPr>
          <w:rStyle w:val="FootnoteReference"/>
        </w:rPr>
        <w:footnoteRef/>
      </w:r>
      <w:r>
        <w:t xml:space="preserve"> The long fingernails and his body being covered in gold jewellery portray a more feminine character than would be expected of an eight-foot-tall invading king. </w:t>
      </w:r>
      <w:r>
        <w:rPr>
          <w:i/>
        </w:rPr>
        <w:t>300</w:t>
      </w:r>
      <w:r>
        <w:t>, Zach Snyder 2007: 0:57:52.</w:t>
      </w:r>
    </w:p>
  </w:footnote>
  <w:footnote w:id="52">
    <w:p w14:paraId="521F16E5" w14:textId="38B743C5" w:rsidR="009B4C04" w:rsidRPr="00603475" w:rsidRDefault="009B4C04">
      <w:pPr>
        <w:pStyle w:val="FootnoteText"/>
      </w:pPr>
      <w:r>
        <w:rPr>
          <w:rStyle w:val="FootnoteReference"/>
        </w:rPr>
        <w:footnoteRef/>
      </w:r>
      <w:r>
        <w:t xml:space="preserve"> </w:t>
      </w:r>
      <w:r>
        <w:rPr>
          <w:i/>
        </w:rPr>
        <w:t>300</w:t>
      </w:r>
      <w:r>
        <w:t>, Zach Snyder 2007: 0:57:20-1:00:43.</w:t>
      </w:r>
    </w:p>
  </w:footnote>
  <w:footnote w:id="53">
    <w:p w14:paraId="2820ABF7" w14:textId="65702038" w:rsidR="009B4C04" w:rsidRDefault="009B4C04">
      <w:pPr>
        <w:pStyle w:val="FootnoteText"/>
      </w:pPr>
      <w:r>
        <w:rPr>
          <w:rStyle w:val="FootnoteReference"/>
        </w:rPr>
        <w:footnoteRef/>
      </w:r>
      <w:r>
        <w:t xml:space="preserve"> Daly 2007.</w:t>
      </w:r>
    </w:p>
  </w:footnote>
  <w:footnote w:id="54">
    <w:p w14:paraId="0FA23359" w14:textId="749E8EBE" w:rsidR="009B4C04" w:rsidRDefault="009B4C04">
      <w:pPr>
        <w:pStyle w:val="FootnoteText"/>
      </w:pPr>
      <w:r>
        <w:rPr>
          <w:rStyle w:val="FootnoteReference"/>
        </w:rPr>
        <w:footnoteRef/>
      </w:r>
      <w:r>
        <w:t xml:space="preserve"> Oh, </w:t>
      </w:r>
      <w:proofErr w:type="spellStart"/>
      <w:r>
        <w:t>Kutufam</w:t>
      </w:r>
      <w:proofErr w:type="spellEnd"/>
      <w:r>
        <w:t xml:space="preserve"> 2014: 158.</w:t>
      </w:r>
    </w:p>
  </w:footnote>
  <w:footnote w:id="55">
    <w:p w14:paraId="2734F5AB" w14:textId="67B46521" w:rsidR="009B4C04" w:rsidRDefault="009B4C04">
      <w:pPr>
        <w:pStyle w:val="FootnoteText"/>
      </w:pPr>
      <w:r>
        <w:rPr>
          <w:rStyle w:val="FootnoteReference"/>
        </w:rPr>
        <w:footnoteRef/>
      </w:r>
      <w:r>
        <w:t xml:space="preserve"> Oh, </w:t>
      </w:r>
      <w:proofErr w:type="spellStart"/>
      <w:r>
        <w:t>Kutufam</w:t>
      </w:r>
      <w:proofErr w:type="spellEnd"/>
      <w:r>
        <w:t xml:space="preserve"> 2014: 152.</w:t>
      </w:r>
    </w:p>
  </w:footnote>
  <w:footnote w:id="56">
    <w:p w14:paraId="79387A4E" w14:textId="7F2B0B76" w:rsidR="009B4C04" w:rsidRDefault="009B4C04">
      <w:pPr>
        <w:pStyle w:val="FootnoteText"/>
      </w:pPr>
      <w:r>
        <w:rPr>
          <w:rStyle w:val="FootnoteReference"/>
        </w:rPr>
        <w:footnoteRef/>
      </w:r>
      <w:r>
        <w:t xml:space="preserve"> Oh, </w:t>
      </w:r>
      <w:proofErr w:type="spellStart"/>
      <w:r>
        <w:t>Kutufam</w:t>
      </w:r>
      <w:proofErr w:type="spellEnd"/>
      <w:r>
        <w:t xml:space="preserve"> 2014: 152.</w:t>
      </w:r>
    </w:p>
  </w:footnote>
  <w:footnote w:id="57">
    <w:p w14:paraId="0656FC7C" w14:textId="43D1D6F7" w:rsidR="009B4C04" w:rsidRDefault="009B4C04">
      <w:pPr>
        <w:pStyle w:val="FootnoteText"/>
      </w:pPr>
      <w:r>
        <w:rPr>
          <w:rStyle w:val="FootnoteReference"/>
        </w:rPr>
        <w:footnoteRef/>
      </w:r>
      <w:r>
        <w:t xml:space="preserve"> </w:t>
      </w:r>
      <w:proofErr w:type="spellStart"/>
      <w:r>
        <w:t>Hdt</w:t>
      </w:r>
      <w:proofErr w:type="spellEnd"/>
      <w:r>
        <w:t>. 7.83.</w:t>
      </w:r>
    </w:p>
  </w:footnote>
  <w:footnote w:id="58">
    <w:p w14:paraId="578884AA" w14:textId="72FE4EC7" w:rsidR="009B4C04" w:rsidRPr="00FA3513" w:rsidRDefault="009B4C04" w:rsidP="00FA3513">
      <w:pPr>
        <w:pStyle w:val="FootnoteText"/>
        <w:spacing w:before="240"/>
      </w:pPr>
      <w:r>
        <w:rPr>
          <w:rStyle w:val="FootnoteReference"/>
        </w:rPr>
        <w:footnoteRef/>
      </w:r>
      <w:r>
        <w:t xml:space="preserve"> </w:t>
      </w:r>
      <w:r>
        <w:rPr>
          <w:i/>
        </w:rPr>
        <w:t>300</w:t>
      </w:r>
      <w:r>
        <w:t xml:space="preserve">, Zach Snyder 2007: 1:02:00-1:08:36. They are described by </w:t>
      </w:r>
      <w:proofErr w:type="spellStart"/>
      <w:r>
        <w:t>Dilios</w:t>
      </w:r>
      <w:proofErr w:type="spellEnd"/>
      <w:r>
        <w:t xml:space="preserve"> in his narration as being ‘soulless’ and having served the ‘dark will of Persian kings for five hundred years’.  </w:t>
      </w:r>
    </w:p>
  </w:footnote>
  <w:footnote w:id="59">
    <w:p w14:paraId="4E7E3A13" w14:textId="1CEB33BE" w:rsidR="009B4C04" w:rsidRPr="00FA3513" w:rsidRDefault="009B4C04">
      <w:pPr>
        <w:pStyle w:val="FootnoteText"/>
      </w:pPr>
      <w:r>
        <w:rPr>
          <w:rStyle w:val="FootnoteReference"/>
        </w:rPr>
        <w:footnoteRef/>
      </w:r>
      <w:r>
        <w:t xml:space="preserve"> </w:t>
      </w:r>
      <w:r>
        <w:rPr>
          <w:i/>
        </w:rPr>
        <w:t>300</w:t>
      </w:r>
      <w:r>
        <w:t>, Zach Snyder 2007: 1:02:00-1:08:36. Their description as having served Persian kings for five hundred years.</w:t>
      </w:r>
    </w:p>
  </w:footnote>
  <w:footnote w:id="60">
    <w:p w14:paraId="7A1DF385" w14:textId="089F9DB8" w:rsidR="009B4C04" w:rsidRDefault="009B4C04">
      <w:pPr>
        <w:pStyle w:val="FootnoteText"/>
      </w:pPr>
      <w:r>
        <w:rPr>
          <w:rStyle w:val="FootnoteReference"/>
        </w:rPr>
        <w:footnoteRef/>
      </w:r>
      <w:r>
        <w:t xml:space="preserve"> ‘No Spartan, subject or citizen, man or woman, slave or king, is above the law.’ </w:t>
      </w:r>
      <w:r>
        <w:rPr>
          <w:i/>
        </w:rPr>
        <w:t>300</w:t>
      </w:r>
      <w:r>
        <w:t xml:space="preserve"> Zach Snyder 2007: 0:17:18-0:17:26.; Oh, </w:t>
      </w:r>
      <w:proofErr w:type="spellStart"/>
      <w:r>
        <w:t>Kutufam</w:t>
      </w:r>
      <w:proofErr w:type="spellEnd"/>
      <w:r>
        <w:t xml:space="preserve"> 2014: 152, 158.</w:t>
      </w:r>
    </w:p>
  </w:footnote>
  <w:footnote w:id="61">
    <w:p w14:paraId="17F4C1C3" w14:textId="6D5DB211" w:rsidR="009B4C04" w:rsidRDefault="009B4C04">
      <w:pPr>
        <w:pStyle w:val="FootnoteText"/>
      </w:pPr>
      <w:r>
        <w:rPr>
          <w:rStyle w:val="FootnoteReference"/>
        </w:rPr>
        <w:footnoteRef/>
      </w:r>
      <w:r>
        <w:t xml:space="preserve"> Pl. Leg. 694-697.</w:t>
      </w:r>
    </w:p>
  </w:footnote>
  <w:footnote w:id="62">
    <w:p w14:paraId="54610BE1" w14:textId="3DC63772" w:rsidR="009B4C04" w:rsidRPr="0041445D" w:rsidRDefault="009B4C04">
      <w:pPr>
        <w:pStyle w:val="FootnoteText"/>
      </w:pPr>
      <w:r>
        <w:rPr>
          <w:rStyle w:val="FootnoteReference"/>
        </w:rPr>
        <w:footnoteRef/>
      </w:r>
      <w:r>
        <w:t xml:space="preserve"> Peter </w:t>
      </w:r>
      <w:proofErr w:type="spellStart"/>
      <w:r>
        <w:t>Sellar’s</w:t>
      </w:r>
      <w:proofErr w:type="spellEnd"/>
      <w:r>
        <w:t xml:space="preserve"> version of Aeschylus’ </w:t>
      </w:r>
      <w:r>
        <w:rPr>
          <w:i/>
        </w:rPr>
        <w:t>Persians</w:t>
      </w:r>
      <w:r>
        <w:t>. Hall 2007: 191-192.</w:t>
      </w:r>
    </w:p>
  </w:footnote>
  <w:footnote w:id="63">
    <w:p w14:paraId="313634DF" w14:textId="62CAF7C5" w:rsidR="009B4C04" w:rsidRDefault="009B4C04">
      <w:pPr>
        <w:pStyle w:val="FootnoteText"/>
      </w:pPr>
      <w:r>
        <w:rPr>
          <w:rStyle w:val="FootnoteReference"/>
        </w:rPr>
        <w:footnoteRef/>
      </w:r>
      <w:r>
        <w:t xml:space="preserve"> Oh, </w:t>
      </w:r>
      <w:proofErr w:type="spellStart"/>
      <w:r>
        <w:t>Kutufam</w:t>
      </w:r>
      <w:proofErr w:type="spellEnd"/>
      <w:r>
        <w:t xml:space="preserve"> 2014: 158.</w:t>
      </w:r>
    </w:p>
  </w:footnote>
  <w:footnote w:id="64">
    <w:p w14:paraId="44BA67EC" w14:textId="77777777" w:rsidR="009B4C04" w:rsidRDefault="009B4C04" w:rsidP="009A5886">
      <w:pPr>
        <w:pStyle w:val="FootnoteText"/>
      </w:pPr>
      <w:r>
        <w:rPr>
          <w:rStyle w:val="FootnoteReference"/>
        </w:rPr>
        <w:footnoteRef/>
      </w:r>
      <w:r>
        <w:t xml:space="preserve"> </w:t>
      </w:r>
      <w:proofErr w:type="spellStart"/>
      <w:r>
        <w:t>Wei</w:t>
      </w:r>
      <w:r>
        <w:rPr>
          <w:rFonts w:ascii="Times New Roman" w:hAnsi="Times New Roman" w:cs="Times New Roman"/>
        </w:rPr>
        <w:t>ß</w:t>
      </w:r>
      <w:proofErr w:type="spellEnd"/>
      <w:r>
        <w:t xml:space="preserve"> 2013.; </w:t>
      </w:r>
      <w:proofErr w:type="spellStart"/>
      <w:r>
        <w:t>Génération</w:t>
      </w:r>
      <w:proofErr w:type="spellEnd"/>
      <w:r>
        <w:t xml:space="preserve"> </w:t>
      </w:r>
      <w:proofErr w:type="spellStart"/>
      <w:r>
        <w:t>Identitaire</w:t>
      </w:r>
      <w:proofErr w:type="spellEnd"/>
      <w:r>
        <w:t xml:space="preserve">: 2018. </w:t>
      </w:r>
      <w:r w:rsidRPr="009A5886">
        <w:rPr>
          <w:i/>
        </w:rPr>
        <w:t xml:space="preserve">‘la </w:t>
      </w:r>
      <w:proofErr w:type="spellStart"/>
      <w:r w:rsidRPr="009A5886">
        <w:rPr>
          <w:i/>
        </w:rPr>
        <w:t>premiére</w:t>
      </w:r>
      <w:proofErr w:type="spellEnd"/>
      <w:r w:rsidRPr="009A5886">
        <w:rPr>
          <w:i/>
        </w:rPr>
        <w:t xml:space="preserve"> </w:t>
      </w:r>
      <w:proofErr w:type="spellStart"/>
      <w:r w:rsidRPr="009A5886">
        <w:rPr>
          <w:i/>
        </w:rPr>
        <w:t>ligne</w:t>
      </w:r>
      <w:proofErr w:type="spellEnd"/>
      <w:r w:rsidRPr="009A5886">
        <w:rPr>
          <w:i/>
        </w:rPr>
        <w:t xml:space="preserve"> de la résistance’.</w:t>
      </w:r>
    </w:p>
    <w:p w14:paraId="3CA70643" w14:textId="6833BCA3" w:rsidR="009B4C04" w:rsidRDefault="009B4C04">
      <w:pPr>
        <w:pStyle w:val="FootnoteText"/>
      </w:pPr>
    </w:p>
  </w:footnote>
  <w:footnote w:id="65">
    <w:p w14:paraId="30909AD3" w14:textId="1436CF6E" w:rsidR="007176CF" w:rsidRDefault="007176CF">
      <w:pPr>
        <w:pStyle w:val="FootnoteText"/>
      </w:pPr>
      <w:r>
        <w:rPr>
          <w:rStyle w:val="FootnoteReference"/>
        </w:rPr>
        <w:footnoteRef/>
      </w:r>
      <w:r>
        <w:t xml:space="preserve"> Oh, </w:t>
      </w:r>
      <w:proofErr w:type="spellStart"/>
      <w:r>
        <w:t>Kutufam</w:t>
      </w:r>
      <w:proofErr w:type="spellEnd"/>
      <w:r>
        <w:t xml:space="preserve"> 2014: 150.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EE1FB" w14:textId="26EC556D" w:rsidR="003D5209" w:rsidRDefault="003D5209">
    <w:pPr>
      <w:pStyle w:val="Header"/>
    </w:pPr>
    <w:r>
      <w:t>Chris Kearney 1400107 CLCS7001</w:t>
    </w:r>
  </w:p>
  <w:p w14:paraId="5386016D" w14:textId="77777777" w:rsidR="003D5209" w:rsidRDefault="003D52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D75"/>
    <w:rsid w:val="00006B47"/>
    <w:rsid w:val="00011CBD"/>
    <w:rsid w:val="00014F52"/>
    <w:rsid w:val="00020C1C"/>
    <w:rsid w:val="00033602"/>
    <w:rsid w:val="000A3D75"/>
    <w:rsid w:val="000A5B4A"/>
    <w:rsid w:val="000B16CF"/>
    <w:rsid w:val="000E0A97"/>
    <w:rsid w:val="001106CB"/>
    <w:rsid w:val="00120027"/>
    <w:rsid w:val="001209C7"/>
    <w:rsid w:val="00120EBA"/>
    <w:rsid w:val="00162D20"/>
    <w:rsid w:val="00164EDC"/>
    <w:rsid w:val="00182CF2"/>
    <w:rsid w:val="001E0192"/>
    <w:rsid w:val="001F5C4D"/>
    <w:rsid w:val="002810FC"/>
    <w:rsid w:val="00284FEF"/>
    <w:rsid w:val="002A2EC5"/>
    <w:rsid w:val="002B6D89"/>
    <w:rsid w:val="002C6979"/>
    <w:rsid w:val="00324232"/>
    <w:rsid w:val="00337741"/>
    <w:rsid w:val="00343CAD"/>
    <w:rsid w:val="0036580F"/>
    <w:rsid w:val="003A229C"/>
    <w:rsid w:val="003B1180"/>
    <w:rsid w:val="003D5209"/>
    <w:rsid w:val="00413F58"/>
    <w:rsid w:val="0041445D"/>
    <w:rsid w:val="00450143"/>
    <w:rsid w:val="00496249"/>
    <w:rsid w:val="004C6BD8"/>
    <w:rsid w:val="00502EE6"/>
    <w:rsid w:val="005262D3"/>
    <w:rsid w:val="005362F6"/>
    <w:rsid w:val="00545A67"/>
    <w:rsid w:val="0057444F"/>
    <w:rsid w:val="00591AF7"/>
    <w:rsid w:val="005D6A8C"/>
    <w:rsid w:val="005F01C3"/>
    <w:rsid w:val="00603475"/>
    <w:rsid w:val="00646A7A"/>
    <w:rsid w:val="00650AAB"/>
    <w:rsid w:val="00652DBC"/>
    <w:rsid w:val="00676C57"/>
    <w:rsid w:val="006B4B5B"/>
    <w:rsid w:val="006E3875"/>
    <w:rsid w:val="0071083A"/>
    <w:rsid w:val="007176CF"/>
    <w:rsid w:val="00721B84"/>
    <w:rsid w:val="007348A2"/>
    <w:rsid w:val="00762D09"/>
    <w:rsid w:val="007658A3"/>
    <w:rsid w:val="007A309D"/>
    <w:rsid w:val="007A6ED3"/>
    <w:rsid w:val="007D099A"/>
    <w:rsid w:val="0086263B"/>
    <w:rsid w:val="0087383D"/>
    <w:rsid w:val="0087725C"/>
    <w:rsid w:val="00882C8F"/>
    <w:rsid w:val="008936DB"/>
    <w:rsid w:val="008A2010"/>
    <w:rsid w:val="008C4ABE"/>
    <w:rsid w:val="0091578F"/>
    <w:rsid w:val="009234F1"/>
    <w:rsid w:val="009320E6"/>
    <w:rsid w:val="00933127"/>
    <w:rsid w:val="00954749"/>
    <w:rsid w:val="009844FF"/>
    <w:rsid w:val="009A5886"/>
    <w:rsid w:val="009B4C04"/>
    <w:rsid w:val="009C5A94"/>
    <w:rsid w:val="009F52D7"/>
    <w:rsid w:val="00A01D41"/>
    <w:rsid w:val="00A1139D"/>
    <w:rsid w:val="00A449AF"/>
    <w:rsid w:val="00A63A0D"/>
    <w:rsid w:val="00A81CEF"/>
    <w:rsid w:val="00AB48D7"/>
    <w:rsid w:val="00AB4D7F"/>
    <w:rsid w:val="00AD19F3"/>
    <w:rsid w:val="00AD2E28"/>
    <w:rsid w:val="00AE1DF8"/>
    <w:rsid w:val="00AE4DED"/>
    <w:rsid w:val="00AF4ACE"/>
    <w:rsid w:val="00B01B57"/>
    <w:rsid w:val="00B441FF"/>
    <w:rsid w:val="00C139C0"/>
    <w:rsid w:val="00C207A0"/>
    <w:rsid w:val="00C25A2F"/>
    <w:rsid w:val="00C30F7A"/>
    <w:rsid w:val="00C46F5C"/>
    <w:rsid w:val="00C83850"/>
    <w:rsid w:val="00D00F18"/>
    <w:rsid w:val="00D25B13"/>
    <w:rsid w:val="00D44C73"/>
    <w:rsid w:val="00D45A95"/>
    <w:rsid w:val="00D47857"/>
    <w:rsid w:val="00DA519D"/>
    <w:rsid w:val="00DE6BE7"/>
    <w:rsid w:val="00DF0AFE"/>
    <w:rsid w:val="00E303A4"/>
    <w:rsid w:val="00EA70AD"/>
    <w:rsid w:val="00EC5FC9"/>
    <w:rsid w:val="00ED3857"/>
    <w:rsid w:val="00ED7862"/>
    <w:rsid w:val="00F06BFD"/>
    <w:rsid w:val="00F3473E"/>
    <w:rsid w:val="00F6020E"/>
    <w:rsid w:val="00F7637B"/>
    <w:rsid w:val="00F85757"/>
    <w:rsid w:val="00FA3513"/>
    <w:rsid w:val="00FA6316"/>
    <w:rsid w:val="00FD0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1E61"/>
  <w15:chartTrackingRefBased/>
  <w15:docId w15:val="{938298FD-5D73-486E-91A1-F307D3CF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0C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C1C"/>
    <w:rPr>
      <w:sz w:val="20"/>
      <w:szCs w:val="20"/>
    </w:rPr>
  </w:style>
  <w:style w:type="character" w:styleId="FootnoteReference">
    <w:name w:val="footnote reference"/>
    <w:basedOn w:val="DefaultParagraphFont"/>
    <w:uiPriority w:val="99"/>
    <w:semiHidden/>
    <w:unhideWhenUsed/>
    <w:rsid w:val="00020C1C"/>
    <w:rPr>
      <w:vertAlign w:val="superscript"/>
    </w:rPr>
  </w:style>
  <w:style w:type="character" w:styleId="Hyperlink">
    <w:name w:val="Hyperlink"/>
    <w:basedOn w:val="DefaultParagraphFont"/>
    <w:uiPriority w:val="99"/>
    <w:unhideWhenUsed/>
    <w:rsid w:val="007658A3"/>
    <w:rPr>
      <w:color w:val="0563C1" w:themeColor="hyperlink"/>
      <w:u w:val="single"/>
    </w:rPr>
  </w:style>
  <w:style w:type="character" w:styleId="UnresolvedMention">
    <w:name w:val="Unresolved Mention"/>
    <w:basedOn w:val="DefaultParagraphFont"/>
    <w:uiPriority w:val="99"/>
    <w:semiHidden/>
    <w:unhideWhenUsed/>
    <w:rsid w:val="007658A3"/>
    <w:rPr>
      <w:color w:val="808080"/>
      <w:shd w:val="clear" w:color="auto" w:fill="E6E6E6"/>
    </w:rPr>
  </w:style>
  <w:style w:type="paragraph" w:styleId="Header">
    <w:name w:val="header"/>
    <w:basedOn w:val="Normal"/>
    <w:link w:val="HeaderChar"/>
    <w:uiPriority w:val="99"/>
    <w:unhideWhenUsed/>
    <w:rsid w:val="003D5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209"/>
  </w:style>
  <w:style w:type="paragraph" w:styleId="Footer">
    <w:name w:val="footer"/>
    <w:basedOn w:val="Normal"/>
    <w:link w:val="FooterChar"/>
    <w:uiPriority w:val="99"/>
    <w:unhideWhenUsed/>
    <w:rsid w:val="003D5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nerationidentitaire.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ew.com/article/2007/03/11/how-300-was-positioned-be-box-%09office-hi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bbc.co.uk/1/hi/entertainment/6446183.st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zeit.de/2013/13/Die-Identitae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7641</TotalTime>
  <Pages>14</Pages>
  <Words>4199</Words>
  <Characters>23939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Kearney</dc:creator>
  <cp:keywords/>
  <dc:description/>
  <cp:lastModifiedBy>Andrea Kearney</cp:lastModifiedBy>
  <cp:revision>47</cp:revision>
  <dcterms:created xsi:type="dcterms:W3CDTF">2018-05-15T14:12:00Z</dcterms:created>
  <dcterms:modified xsi:type="dcterms:W3CDTF">2018-05-24T21:41:00Z</dcterms:modified>
</cp:coreProperties>
</file>