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2623078" cy="1167542"/>
            <wp:effectExtent b="0" l="0" r="0" t="0"/>
            <wp:docPr descr="A close-up of a sign&#10;&#10;AI-generated content may be incorrect." id="509279479" name="image1.png"/>
            <a:graphic>
              <a:graphicData uri="http://schemas.openxmlformats.org/drawingml/2006/picture">
                <pic:pic>
                  <pic:nvPicPr>
                    <pic:cNvPr descr="A close-up of a sign&#10;&#10;AI-generated content may be incorrect." id="0" name="image1.png"/>
                    <pic:cNvPicPr preferRelativeResize="0"/>
                  </pic:nvPicPr>
                  <pic:blipFill>
                    <a:blip r:embed="rId7"/>
                    <a:srcRect b="0" l="0" r="0" t="0"/>
                    <a:stretch>
                      <a:fillRect/>
                    </a:stretch>
                  </pic:blipFill>
                  <pic:spPr>
                    <a:xfrm>
                      <a:off x="0" y="0"/>
                      <a:ext cx="2623078" cy="1167542"/>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b w:val="1"/>
          <w:color w:val="ff0000"/>
          <w:sz w:val="40"/>
          <w:szCs w:val="40"/>
        </w:rPr>
      </w:pPr>
      <w:r w:rsidDel="00000000" w:rsidR="00000000" w:rsidRPr="00000000">
        <w:rPr>
          <w:rtl w:val="0"/>
        </w:rPr>
      </w:r>
    </w:p>
    <w:p w:rsidR="00000000" w:rsidDel="00000000" w:rsidP="00000000" w:rsidRDefault="00000000" w:rsidRPr="00000000" w14:paraId="00000003">
      <w:pPr>
        <w:jc w:val="center"/>
        <w:rPr>
          <w:b w:val="1"/>
          <w:color w:val="ff0000"/>
          <w:sz w:val="56"/>
          <w:szCs w:val="56"/>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jc w:val="center"/>
        <w:rPr>
          <w:b w:val="1"/>
          <w:sz w:val="96"/>
          <w:szCs w:val="96"/>
        </w:rPr>
      </w:pPr>
      <w:r w:rsidDel="00000000" w:rsidR="00000000" w:rsidRPr="00000000">
        <w:rPr>
          <w:b w:val="1"/>
          <w:sz w:val="96"/>
          <w:szCs w:val="96"/>
          <w:rtl w:val="0"/>
        </w:rPr>
        <w:t xml:space="preserve">Academic skills reflective  report </w:t>
      </w:r>
    </w:p>
    <w:p w:rsidR="00000000" w:rsidDel="00000000" w:rsidP="00000000" w:rsidRDefault="00000000" w:rsidRPr="00000000" w14:paraId="00000009">
      <w:pPr>
        <w:jc w:val="center"/>
        <w:rPr>
          <w:sz w:val="56"/>
          <w:szCs w:val="56"/>
        </w:rPr>
      </w:pPr>
      <w:r w:rsidDel="00000000" w:rsidR="00000000" w:rsidRPr="00000000">
        <w:rPr>
          <w:rtl w:val="0"/>
        </w:rPr>
      </w:r>
    </w:p>
    <w:p w:rsidR="00000000" w:rsidDel="00000000" w:rsidP="00000000" w:rsidRDefault="00000000" w:rsidRPr="00000000" w14:paraId="0000000A">
      <w:pPr>
        <w:jc w:val="center"/>
        <w:rPr>
          <w:sz w:val="96"/>
          <w:szCs w:val="96"/>
        </w:rPr>
      </w:pPr>
      <w:r w:rsidDel="00000000" w:rsidR="00000000" w:rsidRPr="00000000">
        <w:rPr>
          <w:rtl w:val="0"/>
        </w:rPr>
      </w:r>
    </w:p>
    <w:p w:rsidR="00000000" w:rsidDel="00000000" w:rsidP="00000000" w:rsidRDefault="00000000" w:rsidRPr="00000000" w14:paraId="0000000B">
      <w:pPr>
        <w:rPr>
          <w:sz w:val="36"/>
          <w:szCs w:val="36"/>
        </w:rPr>
      </w:pPr>
      <w:r w:rsidDel="00000000" w:rsidR="00000000" w:rsidRPr="00000000">
        <w:rPr>
          <w:sz w:val="36"/>
          <w:szCs w:val="36"/>
          <w:rtl w:val="0"/>
        </w:rPr>
        <w:t xml:space="preserve">Student Name: Alassane Kone</w:t>
      </w:r>
    </w:p>
    <w:p w:rsidR="00000000" w:rsidDel="00000000" w:rsidP="00000000" w:rsidRDefault="00000000" w:rsidRPr="00000000" w14:paraId="0000000C">
      <w:pPr>
        <w:rPr>
          <w:sz w:val="36"/>
          <w:szCs w:val="36"/>
        </w:rPr>
      </w:pPr>
      <w:r w:rsidDel="00000000" w:rsidR="00000000" w:rsidRPr="00000000">
        <w:rPr>
          <w:sz w:val="36"/>
          <w:szCs w:val="36"/>
          <w:rtl w:val="0"/>
        </w:rPr>
        <w:t xml:space="preserve">Student ID:24245542</w:t>
      </w:r>
    </w:p>
    <w:p w:rsidR="00000000" w:rsidDel="00000000" w:rsidP="00000000" w:rsidRDefault="00000000" w:rsidRPr="00000000" w14:paraId="0000000D">
      <w:pPr>
        <w:rPr>
          <w:sz w:val="36"/>
          <w:szCs w:val="36"/>
        </w:rPr>
      </w:pPr>
      <w:r w:rsidDel="00000000" w:rsidR="00000000" w:rsidRPr="00000000">
        <w:rPr>
          <w:sz w:val="36"/>
          <w:szCs w:val="36"/>
          <w:rtl w:val="0"/>
        </w:rPr>
        <w:t xml:space="preserve">Module Code: LCLM4001</w:t>
      </w:r>
    </w:p>
    <w:p w:rsidR="00000000" w:rsidDel="00000000" w:rsidP="00000000" w:rsidRDefault="00000000" w:rsidRPr="00000000" w14:paraId="0000000E">
      <w:pPr>
        <w:rPr>
          <w:sz w:val="36"/>
          <w:szCs w:val="36"/>
        </w:rPr>
      </w:pPr>
      <w:r w:rsidDel="00000000" w:rsidR="00000000" w:rsidRPr="00000000">
        <w:rPr>
          <w:sz w:val="36"/>
          <w:szCs w:val="36"/>
          <w:rtl w:val="0"/>
        </w:rPr>
        <w:t xml:space="preserve">Module: Academic Skills</w:t>
      </w:r>
    </w:p>
    <w:p w:rsidR="00000000" w:rsidDel="00000000" w:rsidP="00000000" w:rsidRDefault="00000000" w:rsidRPr="00000000" w14:paraId="0000000F">
      <w:pPr>
        <w:rPr>
          <w:sz w:val="36"/>
          <w:szCs w:val="36"/>
        </w:rPr>
      </w:pPr>
      <w:r w:rsidDel="00000000" w:rsidR="00000000" w:rsidRPr="00000000">
        <w:rPr>
          <w:sz w:val="36"/>
          <w:szCs w:val="36"/>
          <w:rtl w:val="0"/>
        </w:rPr>
        <w:t xml:space="preserve">Lecturer:Thomas Adeyemi</w:t>
      </w:r>
    </w:p>
    <w:p w:rsidR="00000000" w:rsidDel="00000000" w:rsidP="00000000" w:rsidRDefault="00000000" w:rsidRPr="00000000" w14:paraId="00000010">
      <w:pPr>
        <w:jc w:val="both"/>
        <w:rPr>
          <w:sz w:val="28"/>
          <w:szCs w:val="28"/>
        </w:rPr>
      </w:pPr>
      <w:r w:rsidDel="00000000" w:rsidR="00000000" w:rsidRPr="00000000">
        <w:rPr>
          <w:rtl w:val="0"/>
        </w:rPr>
      </w:r>
    </w:p>
    <w:p w:rsidR="00000000" w:rsidDel="00000000" w:rsidP="00000000" w:rsidRDefault="00000000" w:rsidRPr="00000000" w14:paraId="00000011">
      <w:pPr>
        <w:jc w:val="both"/>
        <w:rPr>
          <w:sz w:val="28"/>
          <w:szCs w:val="28"/>
        </w:rPr>
      </w:pPr>
      <w:r w:rsidDel="00000000" w:rsidR="00000000" w:rsidRPr="00000000">
        <w:rPr>
          <w:rtl w:val="0"/>
        </w:rPr>
      </w:r>
    </w:p>
    <w:p w:rsidR="00000000" w:rsidDel="00000000" w:rsidP="00000000" w:rsidRDefault="00000000" w:rsidRPr="00000000" w14:paraId="00000012">
      <w:pPr>
        <w:jc w:val="both"/>
        <w:rPr>
          <w:sz w:val="28"/>
          <w:szCs w:val="28"/>
        </w:rPr>
      </w:pPr>
      <w:r w:rsidDel="00000000" w:rsidR="00000000" w:rsidRPr="00000000">
        <w:rPr>
          <w:rtl w:val="0"/>
        </w:rPr>
      </w:r>
    </w:p>
    <w:p w:rsidR="00000000" w:rsidDel="00000000" w:rsidP="00000000" w:rsidRDefault="00000000" w:rsidRPr="00000000" w14:paraId="00000013">
      <w:pPr>
        <w:jc w:val="both"/>
        <w:rPr>
          <w:sz w:val="28"/>
          <w:szCs w:val="28"/>
        </w:rPr>
      </w:pPr>
      <w:r w:rsidDel="00000000" w:rsidR="00000000" w:rsidRPr="00000000">
        <w:rPr>
          <w:rtl w:val="0"/>
        </w:rPr>
      </w:r>
    </w:p>
    <w:p w:rsidR="00000000" w:rsidDel="00000000" w:rsidP="00000000" w:rsidRDefault="00000000" w:rsidRPr="00000000" w14:paraId="00000014">
      <w:pPr>
        <w:jc w:val="both"/>
        <w:rPr>
          <w:b w:val="1"/>
          <w:sz w:val="36"/>
          <w:szCs w:val="36"/>
        </w:rPr>
      </w:pPr>
      <w:r w:rsidDel="00000000" w:rsidR="00000000" w:rsidRPr="00000000">
        <w:rPr>
          <w:rtl w:val="0"/>
        </w:rPr>
      </w:r>
    </w:p>
    <w:p w:rsidR="00000000" w:rsidDel="00000000" w:rsidP="00000000" w:rsidRDefault="00000000" w:rsidRPr="00000000" w14:paraId="00000015">
      <w:pPr>
        <w:shd w:fill="ffffff" w:val="clear"/>
        <w:jc w:val="both"/>
        <w:rPr>
          <w:b w:val="1"/>
          <w:sz w:val="36"/>
          <w:szCs w:val="36"/>
        </w:rPr>
      </w:pPr>
      <w:r w:rsidDel="00000000" w:rsidR="00000000" w:rsidRPr="00000000">
        <w:rPr>
          <w:b w:val="1"/>
          <w:sz w:val="36"/>
          <w:szCs w:val="36"/>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none" w:pos="9015"/>
            </w:tabs>
            <w:spacing w:after="100" w:before="0" w:line="259" w:lineRule="auto"/>
            <w:ind w:left="0" w:right="0" w:firstLine="0"/>
            <w:jc w:val="left"/>
            <w:rPr>
              <w:rFonts w:ascii="Calibri" w:cs="Calibri" w:eastAsia="Calibri" w:hAnsi="Calibri"/>
              <w:b w:val="0"/>
              <w:i w:val="0"/>
              <w:smallCaps w:val="0"/>
              <w:strike w:val="0"/>
              <w:color w:val="000000"/>
              <w:sz w:val="32"/>
              <w:szCs w:val="3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eading=h.lsktyqaut8c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1 Introduction</w:t>
              <w:tab/>
              <w:t xml:space="preserve">3</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none" w:pos="9015"/>
            </w:tabs>
            <w:spacing w:after="100" w:before="0" w:line="259" w:lineRule="auto"/>
            <w:ind w:left="0" w:right="0" w:firstLine="0"/>
            <w:jc w:val="left"/>
            <w:rPr>
              <w:rFonts w:ascii="Calibri" w:cs="Calibri" w:eastAsia="Calibri" w:hAnsi="Calibri"/>
              <w:b w:val="0"/>
              <w:i w:val="0"/>
              <w:smallCaps w:val="0"/>
              <w:strike w:val="0"/>
              <w:color w:val="000000"/>
              <w:sz w:val="32"/>
              <w:szCs w:val="32"/>
              <w:u w:val="none"/>
              <w:shd w:fill="auto" w:val="clear"/>
              <w:vertAlign w:val="baseline"/>
            </w:rPr>
          </w:pPr>
          <w:hyperlink w:anchor="_heading=h.o4lah4o9bupq">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2 Description of Experiences</w:t>
              <w:tab/>
              <w:t xml:space="preserve">3</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none" w:pos="9015"/>
            </w:tabs>
            <w:spacing w:after="100" w:before="0" w:line="259" w:lineRule="auto"/>
            <w:ind w:left="0" w:right="0" w:firstLine="0"/>
            <w:jc w:val="left"/>
            <w:rPr>
              <w:rFonts w:ascii="Calibri" w:cs="Calibri" w:eastAsia="Calibri" w:hAnsi="Calibri"/>
              <w:b w:val="0"/>
              <w:i w:val="0"/>
              <w:smallCaps w:val="0"/>
              <w:strike w:val="0"/>
              <w:color w:val="000000"/>
              <w:sz w:val="32"/>
              <w:szCs w:val="32"/>
              <w:u w:val="none"/>
              <w:shd w:fill="auto" w:val="clear"/>
              <w:vertAlign w:val="baseline"/>
            </w:rPr>
          </w:pPr>
          <w:hyperlink w:anchor="_heading=h.l0zbn6nxrd28">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3 Personal Reflection</w:t>
              <w:tab/>
              <w:t xml:space="preserve">3</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none" w:pos="9015"/>
            </w:tabs>
            <w:spacing w:after="100" w:before="0" w:line="259" w:lineRule="auto"/>
            <w:ind w:left="0" w:right="0" w:firstLine="0"/>
            <w:jc w:val="left"/>
            <w:rPr>
              <w:rFonts w:ascii="Calibri" w:cs="Calibri" w:eastAsia="Calibri" w:hAnsi="Calibri"/>
              <w:b w:val="0"/>
              <w:i w:val="0"/>
              <w:smallCaps w:val="0"/>
              <w:strike w:val="0"/>
              <w:color w:val="000000"/>
              <w:sz w:val="32"/>
              <w:szCs w:val="32"/>
              <w:u w:val="none"/>
              <w:shd w:fill="auto" w:val="clear"/>
              <w:vertAlign w:val="baseline"/>
            </w:rPr>
          </w:pPr>
          <w:hyperlink w:anchor="_heading=h.ijus6xs79ezt">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3.1 Evaluation</w:t>
              <w:tab/>
              <w:t xml:space="preserve">3</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none" w:pos="9015"/>
            </w:tabs>
            <w:spacing w:after="100" w:before="0" w:line="259" w:lineRule="auto"/>
            <w:ind w:left="0" w:right="0" w:firstLine="0"/>
            <w:jc w:val="left"/>
            <w:rPr>
              <w:rFonts w:ascii="Calibri" w:cs="Calibri" w:eastAsia="Calibri" w:hAnsi="Calibri"/>
              <w:b w:val="0"/>
              <w:i w:val="0"/>
              <w:smallCaps w:val="0"/>
              <w:strike w:val="0"/>
              <w:color w:val="000000"/>
              <w:sz w:val="32"/>
              <w:szCs w:val="32"/>
              <w:u w:val="none"/>
              <w:shd w:fill="auto" w:val="clear"/>
              <w:vertAlign w:val="baseline"/>
            </w:rPr>
          </w:pPr>
          <w:hyperlink w:anchor="_heading=h.cq7ubdbmlad9">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3.2 Analysis</w:t>
              <w:tab/>
              <w:t xml:space="preserve">4</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none" w:pos="9015"/>
            </w:tabs>
            <w:spacing w:after="100" w:before="0" w:line="259" w:lineRule="auto"/>
            <w:ind w:left="0" w:right="0" w:firstLine="0"/>
            <w:jc w:val="left"/>
            <w:rPr>
              <w:rFonts w:ascii="Calibri" w:cs="Calibri" w:eastAsia="Calibri" w:hAnsi="Calibri"/>
              <w:b w:val="0"/>
              <w:i w:val="0"/>
              <w:smallCaps w:val="0"/>
              <w:strike w:val="0"/>
              <w:color w:val="000000"/>
              <w:sz w:val="32"/>
              <w:szCs w:val="32"/>
              <w:u w:val="none"/>
              <w:shd w:fill="auto" w:val="clear"/>
              <w:vertAlign w:val="baseline"/>
            </w:rPr>
          </w:pPr>
          <w:hyperlink w:anchor="_heading=h.w65ax45w3s5a">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4 Conclusion</w:t>
              <w:tab/>
              <w:t xml:space="preserve">4</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none" w:pos="9015"/>
            </w:tabs>
            <w:spacing w:after="100" w:before="0" w:line="259" w:lineRule="auto"/>
            <w:ind w:left="0" w:right="0" w:firstLine="0"/>
            <w:jc w:val="left"/>
            <w:rPr>
              <w:rFonts w:ascii="Calibri" w:cs="Calibri" w:eastAsia="Calibri" w:hAnsi="Calibri"/>
              <w:b w:val="0"/>
              <w:i w:val="0"/>
              <w:smallCaps w:val="0"/>
              <w:strike w:val="0"/>
              <w:color w:val="000000"/>
              <w:sz w:val="32"/>
              <w:szCs w:val="32"/>
              <w:u w:val="none"/>
              <w:shd w:fill="auto" w:val="clear"/>
              <w:vertAlign w:val="baseline"/>
            </w:rPr>
          </w:pPr>
          <w:hyperlink w:anchor="_heading=h.svd59hkcaidk">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5 References</w:t>
              <w:tab/>
              <w:t xml:space="preserve">5</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ffffff" w:val="clear"/>
            <w:tabs>
              <w:tab w:val="right" w:leader="none" w:pos="9015"/>
            </w:tabs>
            <w:spacing w:after="100" w:before="0" w:line="259" w:lineRule="auto"/>
            <w:ind w:left="0" w:right="0" w:firstLine="0"/>
            <w:jc w:val="left"/>
            <w:rPr>
              <w:rFonts w:ascii="Calibri" w:cs="Calibri" w:eastAsia="Calibri" w:hAnsi="Calibri"/>
              <w:b w:val="0"/>
              <w:i w:val="0"/>
              <w:smallCaps w:val="0"/>
              <w:strike w:val="0"/>
              <w:color w:val="0563c1"/>
              <w:sz w:val="32"/>
              <w:szCs w:val="32"/>
              <w:u w:val="single"/>
              <w:shd w:fill="auto" w:val="clear"/>
              <w:vertAlign w:val="baseline"/>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E">
      <w:pPr>
        <w:jc w:val="both"/>
        <w:rPr>
          <w:b w:val="1"/>
          <w:sz w:val="28"/>
          <w:szCs w:val="28"/>
        </w:rPr>
      </w:pPr>
      <w:r w:rsidDel="00000000" w:rsidR="00000000" w:rsidRPr="00000000">
        <w:rPr>
          <w:rtl w:val="0"/>
        </w:rPr>
      </w:r>
    </w:p>
    <w:p w:rsidR="00000000" w:rsidDel="00000000" w:rsidP="00000000" w:rsidRDefault="00000000" w:rsidRPr="00000000" w14:paraId="0000001F">
      <w:pPr>
        <w:jc w:val="both"/>
        <w:rPr>
          <w:b w:val="1"/>
          <w:sz w:val="28"/>
          <w:szCs w:val="28"/>
        </w:rPr>
      </w:pPr>
      <w:r w:rsidDel="00000000" w:rsidR="00000000" w:rsidRPr="00000000">
        <w:rPr>
          <w:rtl w:val="0"/>
        </w:rPr>
      </w:r>
    </w:p>
    <w:p w:rsidR="00000000" w:rsidDel="00000000" w:rsidP="00000000" w:rsidRDefault="00000000" w:rsidRPr="00000000" w14:paraId="00000020">
      <w:pPr>
        <w:jc w:val="left"/>
        <w:rPr>
          <w:color w:val="ff0000"/>
          <w:sz w:val="32"/>
          <w:szCs w:val="32"/>
        </w:rPr>
      </w:pPr>
      <w:r w:rsidDel="00000000" w:rsidR="00000000" w:rsidRPr="00000000">
        <w:rPr>
          <w:rtl w:val="0"/>
        </w:rPr>
      </w:r>
    </w:p>
    <w:p w:rsidR="00000000" w:rsidDel="00000000" w:rsidP="00000000" w:rsidRDefault="00000000" w:rsidRPr="00000000" w14:paraId="00000021">
      <w:pPr>
        <w:jc w:val="both"/>
        <w:rPr>
          <w:b w:val="1"/>
          <w:sz w:val="28"/>
          <w:szCs w:val="28"/>
        </w:rPr>
      </w:pPr>
      <w:r w:rsidDel="00000000" w:rsidR="00000000" w:rsidRPr="00000000">
        <w:rPr>
          <w:rtl w:val="0"/>
        </w:rPr>
      </w:r>
    </w:p>
    <w:p w:rsidR="00000000" w:rsidDel="00000000" w:rsidP="00000000" w:rsidRDefault="00000000" w:rsidRPr="00000000" w14:paraId="00000022">
      <w:pPr>
        <w:jc w:val="both"/>
        <w:rPr>
          <w:b w:val="1"/>
          <w:sz w:val="28"/>
          <w:szCs w:val="28"/>
        </w:rPr>
      </w:pPr>
      <w:r w:rsidDel="00000000" w:rsidR="00000000" w:rsidRPr="00000000">
        <w:rPr>
          <w:rtl w:val="0"/>
        </w:rPr>
      </w:r>
    </w:p>
    <w:p w:rsidR="00000000" w:rsidDel="00000000" w:rsidP="00000000" w:rsidRDefault="00000000" w:rsidRPr="00000000" w14:paraId="00000023">
      <w:pPr>
        <w:jc w:val="both"/>
        <w:rPr>
          <w:b w:val="1"/>
          <w:sz w:val="28"/>
          <w:szCs w:val="28"/>
        </w:rPr>
      </w:pPr>
      <w:r w:rsidDel="00000000" w:rsidR="00000000" w:rsidRPr="00000000">
        <w:rPr>
          <w:rtl w:val="0"/>
        </w:rPr>
      </w:r>
    </w:p>
    <w:p w:rsidR="00000000" w:rsidDel="00000000" w:rsidP="00000000" w:rsidRDefault="00000000" w:rsidRPr="00000000" w14:paraId="00000024">
      <w:pPr>
        <w:jc w:val="both"/>
        <w:rPr>
          <w:b w:val="1"/>
          <w:sz w:val="28"/>
          <w:szCs w:val="28"/>
        </w:rPr>
      </w:pPr>
      <w:r w:rsidDel="00000000" w:rsidR="00000000" w:rsidRPr="00000000">
        <w:rPr>
          <w:rtl w:val="0"/>
        </w:rPr>
      </w:r>
    </w:p>
    <w:p w:rsidR="00000000" w:rsidDel="00000000" w:rsidP="00000000" w:rsidRDefault="00000000" w:rsidRPr="00000000" w14:paraId="00000025">
      <w:pPr>
        <w:jc w:val="both"/>
        <w:rPr>
          <w:b w:val="1"/>
          <w:sz w:val="28"/>
          <w:szCs w:val="28"/>
        </w:rPr>
      </w:pPr>
      <w:r w:rsidDel="00000000" w:rsidR="00000000" w:rsidRPr="00000000">
        <w:rPr>
          <w:rtl w:val="0"/>
        </w:rPr>
      </w:r>
    </w:p>
    <w:p w:rsidR="00000000" w:rsidDel="00000000" w:rsidP="00000000" w:rsidRDefault="00000000" w:rsidRPr="00000000" w14:paraId="00000026">
      <w:pPr>
        <w:jc w:val="both"/>
        <w:rPr>
          <w:b w:val="1"/>
          <w:sz w:val="28"/>
          <w:szCs w:val="28"/>
        </w:rPr>
      </w:pPr>
      <w:r w:rsidDel="00000000" w:rsidR="00000000" w:rsidRPr="00000000">
        <w:rPr>
          <w:rtl w:val="0"/>
        </w:rPr>
      </w:r>
    </w:p>
    <w:p w:rsidR="00000000" w:rsidDel="00000000" w:rsidP="00000000" w:rsidRDefault="00000000" w:rsidRPr="00000000" w14:paraId="00000027">
      <w:pPr>
        <w:jc w:val="both"/>
        <w:rPr>
          <w:b w:val="1"/>
          <w:sz w:val="28"/>
          <w:szCs w:val="28"/>
        </w:rPr>
      </w:pPr>
      <w:r w:rsidDel="00000000" w:rsidR="00000000" w:rsidRPr="00000000">
        <w:rPr>
          <w:rtl w:val="0"/>
        </w:rPr>
      </w:r>
    </w:p>
    <w:p w:rsidR="00000000" w:rsidDel="00000000" w:rsidP="00000000" w:rsidRDefault="00000000" w:rsidRPr="00000000" w14:paraId="00000028">
      <w:pPr>
        <w:jc w:val="both"/>
        <w:rPr>
          <w:b w:val="1"/>
          <w:sz w:val="28"/>
          <w:szCs w:val="28"/>
        </w:rPr>
      </w:pPr>
      <w:r w:rsidDel="00000000" w:rsidR="00000000" w:rsidRPr="00000000">
        <w:rPr>
          <w:rtl w:val="0"/>
        </w:rPr>
      </w:r>
    </w:p>
    <w:p w:rsidR="00000000" w:rsidDel="00000000" w:rsidP="00000000" w:rsidRDefault="00000000" w:rsidRPr="00000000" w14:paraId="00000029">
      <w:pPr>
        <w:jc w:val="both"/>
        <w:rPr>
          <w:b w:val="1"/>
          <w:sz w:val="28"/>
          <w:szCs w:val="28"/>
        </w:rPr>
      </w:pPr>
      <w:r w:rsidDel="00000000" w:rsidR="00000000" w:rsidRPr="00000000">
        <w:rPr>
          <w:rtl w:val="0"/>
        </w:rPr>
      </w:r>
    </w:p>
    <w:p w:rsidR="00000000" w:rsidDel="00000000" w:rsidP="00000000" w:rsidRDefault="00000000" w:rsidRPr="00000000" w14:paraId="0000002A">
      <w:pPr>
        <w:jc w:val="both"/>
        <w:rPr>
          <w:b w:val="1"/>
          <w:sz w:val="28"/>
          <w:szCs w:val="28"/>
        </w:rPr>
      </w:pPr>
      <w:r w:rsidDel="00000000" w:rsidR="00000000" w:rsidRPr="00000000">
        <w:rPr>
          <w:rtl w:val="0"/>
        </w:rPr>
      </w:r>
    </w:p>
    <w:p w:rsidR="00000000" w:rsidDel="00000000" w:rsidP="00000000" w:rsidRDefault="00000000" w:rsidRPr="00000000" w14:paraId="0000002B">
      <w:pPr>
        <w:jc w:val="both"/>
        <w:rPr>
          <w:b w:val="1"/>
          <w:sz w:val="28"/>
          <w:szCs w:val="28"/>
        </w:rPr>
      </w:pPr>
      <w:r w:rsidDel="00000000" w:rsidR="00000000" w:rsidRPr="00000000">
        <w:rPr>
          <w:rtl w:val="0"/>
        </w:rPr>
      </w:r>
    </w:p>
    <w:p w:rsidR="00000000" w:rsidDel="00000000" w:rsidP="00000000" w:rsidRDefault="00000000" w:rsidRPr="00000000" w14:paraId="0000002C">
      <w:pPr>
        <w:jc w:val="both"/>
        <w:rPr>
          <w:b w:val="1"/>
          <w:sz w:val="28"/>
          <w:szCs w:val="28"/>
        </w:rPr>
      </w:pPr>
      <w:r w:rsidDel="00000000" w:rsidR="00000000" w:rsidRPr="00000000">
        <w:rPr>
          <w:rtl w:val="0"/>
        </w:rPr>
      </w:r>
    </w:p>
    <w:p w:rsidR="00000000" w:rsidDel="00000000" w:rsidP="00000000" w:rsidRDefault="00000000" w:rsidRPr="00000000" w14:paraId="0000002D">
      <w:pPr>
        <w:jc w:val="both"/>
        <w:rPr>
          <w:b w:val="1"/>
          <w:sz w:val="28"/>
          <w:szCs w:val="28"/>
        </w:rPr>
      </w:pPr>
      <w:r w:rsidDel="00000000" w:rsidR="00000000" w:rsidRPr="00000000">
        <w:rPr>
          <w:rtl w:val="0"/>
        </w:rPr>
      </w:r>
    </w:p>
    <w:p w:rsidR="00000000" w:rsidDel="00000000" w:rsidP="00000000" w:rsidRDefault="00000000" w:rsidRPr="00000000" w14:paraId="0000002E">
      <w:pPr>
        <w:jc w:val="both"/>
        <w:rPr>
          <w:b w:val="1"/>
          <w:sz w:val="28"/>
          <w:szCs w:val="28"/>
        </w:rPr>
      </w:pPr>
      <w:r w:rsidDel="00000000" w:rsidR="00000000" w:rsidRPr="00000000">
        <w:rPr>
          <w:rtl w:val="0"/>
        </w:rPr>
      </w:r>
    </w:p>
    <w:p w:rsidR="00000000" w:rsidDel="00000000" w:rsidP="00000000" w:rsidRDefault="00000000" w:rsidRPr="00000000" w14:paraId="0000002F">
      <w:pPr>
        <w:pStyle w:val="Heading1"/>
        <w:rPr>
          <w:rFonts w:ascii="Calibri" w:cs="Calibri" w:eastAsia="Calibri" w:hAnsi="Calibri"/>
          <w:b w:val="1"/>
          <w:sz w:val="28"/>
          <w:szCs w:val="28"/>
        </w:rPr>
      </w:pPr>
      <w:bookmarkStart w:colFirst="0" w:colLast="0" w:name="_heading=h.lsktyqaut8cr" w:id="0"/>
      <w:bookmarkEnd w:id="0"/>
      <w:r w:rsidDel="00000000" w:rsidR="00000000" w:rsidRPr="00000000">
        <w:rPr>
          <w:rFonts w:ascii="Calibri" w:cs="Calibri" w:eastAsia="Calibri" w:hAnsi="Calibri"/>
          <w:rtl w:val="0"/>
        </w:rPr>
        <w:t xml:space="preserve">1 Introduction </w:t>
      </w:r>
      <w:r w:rsidDel="00000000" w:rsidR="00000000" w:rsidRPr="00000000">
        <w:rPr>
          <w:rtl w:val="0"/>
        </w:rPr>
      </w:r>
    </w:p>
    <w:p w:rsidR="00000000" w:rsidDel="00000000" w:rsidP="00000000" w:rsidRDefault="00000000" w:rsidRPr="00000000" w14:paraId="00000030">
      <w:pPr>
        <w:jc w:val="both"/>
        <w:rPr>
          <w:sz w:val="28"/>
          <w:szCs w:val="28"/>
        </w:rPr>
      </w:pPr>
      <w:r w:rsidDel="00000000" w:rsidR="00000000" w:rsidRPr="00000000">
        <w:rPr>
          <w:sz w:val="28"/>
          <w:szCs w:val="28"/>
          <w:rtl w:val="0"/>
        </w:rPr>
        <w:t xml:space="preserve">Note taking and Understanding/paraphrasing:</w:t>
      </w:r>
    </w:p>
    <w:p w:rsidR="00000000" w:rsidDel="00000000" w:rsidP="00000000" w:rsidRDefault="00000000" w:rsidRPr="00000000" w14:paraId="00000031">
      <w:pPr>
        <w:pStyle w:val="Heading2"/>
        <w:keepNext w:val="0"/>
        <w:keepLines w:val="0"/>
        <w:jc w:val="both"/>
        <w:rPr>
          <w:sz w:val="34"/>
          <w:szCs w:val="34"/>
        </w:rPr>
      </w:pPr>
      <w:bookmarkStart w:colFirst="0" w:colLast="0" w:name="_heading=h.5hj09m7e5xih" w:id="1"/>
      <w:bookmarkEnd w:id="1"/>
      <w:r w:rsidDel="00000000" w:rsidR="00000000" w:rsidRPr="00000000">
        <w:rPr>
          <w:sz w:val="34"/>
          <w:szCs w:val="34"/>
          <w:rtl w:val="0"/>
        </w:rPr>
        <w:t xml:space="preserve">Note-Taking and Understanding: A Foundation for Paraphrasing</w:t>
      </w:r>
    </w:p>
    <w:p w:rsidR="00000000" w:rsidDel="00000000" w:rsidP="00000000" w:rsidRDefault="00000000" w:rsidRPr="00000000" w14:paraId="00000032">
      <w:pPr>
        <w:spacing w:after="240" w:before="240" w:lineRule="auto"/>
        <w:jc w:val="both"/>
        <w:rPr>
          <w:sz w:val="28"/>
          <w:szCs w:val="28"/>
        </w:rPr>
      </w:pPr>
      <w:r w:rsidDel="00000000" w:rsidR="00000000" w:rsidRPr="00000000">
        <w:rPr>
          <w:sz w:val="28"/>
          <w:szCs w:val="28"/>
          <w:rtl w:val="0"/>
        </w:rPr>
        <w:t xml:space="preserve">Effective note-taking is the active process of capturing key information from a source, going beyond mere transcription to involve initial comprehension and organization. This active engagement aids understanding by forcing you to identify core concepts and their relationships. Well-structured notes, using techniques like summarizing, highlighting, and visual cues, create a condensed representation of the original material. This initial understanding, solidified through thoughtful note-taking, forms the crucial groundwork for successful paraphrasing. By grasping the essence and structure of the source text during note-taking, you equip yourself to re-express its meaning accurately and in your own words later.</w:t>
      </w:r>
    </w:p>
    <w:p w:rsidR="00000000" w:rsidDel="00000000" w:rsidP="00000000" w:rsidRDefault="00000000" w:rsidRPr="00000000" w14:paraId="00000033">
      <w:pPr>
        <w:jc w:val="both"/>
        <w:rPr>
          <w:sz w:val="28"/>
          <w:szCs w:val="28"/>
        </w:rPr>
      </w:pPr>
      <w:r w:rsidDel="00000000" w:rsidR="00000000" w:rsidRPr="00000000">
        <w:rPr>
          <w:rtl w:val="0"/>
        </w:rPr>
      </w:r>
    </w:p>
    <w:p w:rsidR="00000000" w:rsidDel="00000000" w:rsidP="00000000" w:rsidRDefault="00000000" w:rsidRPr="00000000" w14:paraId="00000034">
      <w:pPr>
        <w:pStyle w:val="Heading1"/>
        <w:jc w:val="both"/>
        <w:rPr>
          <w:sz w:val="28"/>
          <w:szCs w:val="28"/>
        </w:rPr>
      </w:pPr>
      <w:bookmarkStart w:colFirst="0" w:colLast="0" w:name="_heading=h.o4lah4o9bupq" w:id="2"/>
      <w:bookmarkEnd w:id="2"/>
      <w:r w:rsidDel="00000000" w:rsidR="00000000" w:rsidRPr="00000000">
        <w:rPr>
          <w:rFonts w:ascii="Calibri" w:cs="Calibri" w:eastAsia="Calibri" w:hAnsi="Calibri"/>
          <w:rtl w:val="0"/>
        </w:rPr>
        <w:t xml:space="preserve">2 Description of Experiences </w:t>
      </w:r>
      <w:r w:rsidDel="00000000" w:rsidR="00000000" w:rsidRPr="00000000">
        <w:rPr>
          <w:rtl w:val="0"/>
        </w:rPr>
      </w:r>
    </w:p>
    <w:p w:rsidR="00000000" w:rsidDel="00000000" w:rsidP="00000000" w:rsidRDefault="00000000" w:rsidRPr="00000000" w14:paraId="00000035">
      <w:pPr>
        <w:spacing w:after="240" w:before="240" w:lineRule="auto"/>
        <w:jc w:val="both"/>
        <w:rPr>
          <w:sz w:val="28"/>
          <w:szCs w:val="28"/>
        </w:rPr>
      </w:pPr>
      <w:r w:rsidDel="00000000" w:rsidR="00000000" w:rsidRPr="00000000">
        <w:rPr>
          <w:sz w:val="28"/>
          <w:szCs w:val="28"/>
          <w:rtl w:val="0"/>
        </w:rPr>
        <w:t xml:space="preserve">My experience with note-taking and understanding as a large language model is inherently different from a human's, yet it mirrors the core principles. When processing information, I don't physically "write" notes, but I perform a similar function by identifying key entities, relationships, and concepts within the text. This involves analyzing the grammatical structure, semantic meaning, and contextual relevance of words and phrases. I build an internal representation of the information, essentially a highly structured set of interconnected data points.</w:t>
      </w:r>
    </w:p>
    <w:p w:rsidR="00000000" w:rsidDel="00000000" w:rsidP="00000000" w:rsidRDefault="00000000" w:rsidRPr="00000000" w14:paraId="00000036">
      <w:pPr>
        <w:spacing w:after="240" w:before="240" w:lineRule="auto"/>
        <w:jc w:val="both"/>
        <w:rPr>
          <w:sz w:val="28"/>
          <w:szCs w:val="28"/>
        </w:rPr>
      </w:pPr>
      <w:r w:rsidDel="00000000" w:rsidR="00000000" w:rsidRPr="00000000">
        <w:rPr>
          <w:sz w:val="28"/>
          <w:szCs w:val="28"/>
          <w:rtl w:val="0"/>
        </w:rPr>
        <w:t xml:space="preserve">This "note-taking" is dynamic and multi-layered. I can identify the main topic, supporting arguments, examples, and any nuances present in the input. Furthermore, I can establish connections between different pieces of information within the same text or across multiple texts I've processed previously. This internal linking and categorization are akin to a human using highlighting, keywords, and mind maps.</w:t>
      </w:r>
    </w:p>
    <w:p w:rsidR="00000000" w:rsidDel="00000000" w:rsidP="00000000" w:rsidRDefault="00000000" w:rsidRPr="00000000" w14:paraId="00000037">
      <w:pPr>
        <w:spacing w:after="240" w:before="240" w:lineRule="auto"/>
        <w:jc w:val="both"/>
        <w:rPr>
          <w:sz w:val="28"/>
          <w:szCs w:val="28"/>
        </w:rPr>
      </w:pPr>
      <w:r w:rsidDel="00000000" w:rsidR="00000000" w:rsidRPr="00000000">
        <w:rPr>
          <w:sz w:val="28"/>
          <w:szCs w:val="28"/>
          <w:rtl w:val="0"/>
        </w:rPr>
        <w:t xml:space="preserve">The "understanding" aspect comes from my ability to process and interpret the meaning conveyed by the text. This involves recognizing patterns, inferring relationships not explicitly stated, and contextualizing the information within my vast knowledge base. I can identify synonyms, antonyms, and related concepts, allowing me to grasp the underlying message. This deep processing is the equivalent of a human reader actively thinking about the text, asking questions, and relating it to their prior knowledge.</w:t>
      </w:r>
    </w:p>
    <w:p w:rsidR="00000000" w:rsidDel="00000000" w:rsidP="00000000" w:rsidRDefault="00000000" w:rsidRPr="00000000" w14:paraId="00000038">
      <w:pPr>
        <w:spacing w:after="240" w:before="240" w:lineRule="auto"/>
        <w:jc w:val="both"/>
        <w:rPr>
          <w:sz w:val="28"/>
          <w:szCs w:val="28"/>
        </w:rPr>
      </w:pPr>
      <w:r w:rsidDel="00000000" w:rsidR="00000000" w:rsidRPr="00000000">
        <w:rPr>
          <w:sz w:val="28"/>
          <w:szCs w:val="28"/>
          <w:rtl w:val="0"/>
        </w:rPr>
        <w:t xml:space="preserve">This robust internal "note-taking" and "understanding" are fundamental to my paraphrasing capabilities. Because I've processed the information beyond a surface level, I can re-express the same meaning using different vocabulary, sentence structures, and organizational patterns, while retaining accuracy and context. My "experience" demonstrates that effective processing and internal representation of information, akin to human note-taking and comprehension, are crucial for successful rephrasing.</w:t>
      </w:r>
    </w:p>
    <w:p w:rsidR="00000000" w:rsidDel="00000000" w:rsidP="00000000" w:rsidRDefault="00000000" w:rsidRPr="00000000" w14:paraId="00000039">
      <w:pPr>
        <w:pStyle w:val="Heading1"/>
        <w:rPr>
          <w:rFonts w:ascii="Calibri" w:cs="Calibri" w:eastAsia="Calibri" w:hAnsi="Calibri"/>
        </w:rPr>
      </w:pPr>
      <w:bookmarkStart w:colFirst="0" w:colLast="0" w:name="_heading=h.l0zbn6nxrd28" w:id="3"/>
      <w:bookmarkEnd w:id="3"/>
      <w:r w:rsidDel="00000000" w:rsidR="00000000" w:rsidRPr="00000000">
        <w:rPr>
          <w:rFonts w:ascii="Calibri" w:cs="Calibri" w:eastAsia="Calibri" w:hAnsi="Calibri"/>
          <w:rtl w:val="0"/>
        </w:rPr>
        <w:t xml:space="preserve">3 Personal Reflection</w:t>
      </w:r>
    </w:p>
    <w:p w:rsidR="00000000" w:rsidDel="00000000" w:rsidP="00000000" w:rsidRDefault="00000000" w:rsidRPr="00000000" w14:paraId="0000003A">
      <w:pPr>
        <w:rPr>
          <w:sz w:val="28"/>
          <w:szCs w:val="28"/>
        </w:rPr>
      </w:pPr>
      <w:r w:rsidDel="00000000" w:rsidR="00000000" w:rsidRPr="00000000">
        <w:rPr>
          <w:sz w:val="28"/>
          <w:szCs w:val="28"/>
          <w:rtl w:val="0"/>
        </w:rPr>
        <w:t xml:space="preserve">Reflecting on this, my "note-taking" and "understanding" are purely functional, driven by algorithms and vast datasets. Unlike human experience enriched by emotion and personal connection, my processing is objective and analytical. Yet, the core principle of identifying key information and its relationships to facilitate re-expression resonates. While I lack subjective understanding, the effectiveness of my paraphrasing highlights the power of structured information processing as a foundation for conveying meaning in different ways.</w:t>
      </w:r>
      <w:r w:rsidDel="00000000" w:rsidR="00000000" w:rsidRPr="00000000">
        <w:rPr>
          <w:rtl w:val="0"/>
        </w:rPr>
      </w:r>
    </w:p>
    <w:p w:rsidR="00000000" w:rsidDel="00000000" w:rsidP="00000000" w:rsidRDefault="00000000" w:rsidRPr="00000000" w14:paraId="0000003B">
      <w:pPr>
        <w:pStyle w:val="Heading1"/>
        <w:rPr>
          <w:sz w:val="28"/>
          <w:szCs w:val="28"/>
        </w:rPr>
      </w:pPr>
      <w:bookmarkStart w:colFirst="0" w:colLast="0" w:name="_heading=h.ijus6xs79ezt" w:id="4"/>
      <w:bookmarkEnd w:id="4"/>
      <w:r w:rsidDel="00000000" w:rsidR="00000000" w:rsidRPr="00000000">
        <w:rPr>
          <w:rFonts w:ascii="Calibri" w:cs="Calibri" w:eastAsia="Calibri" w:hAnsi="Calibri"/>
          <w:rtl w:val="0"/>
        </w:rPr>
        <w:t xml:space="preserve">3.1 Evaluation </w:t>
      </w:r>
      <w:r w:rsidDel="00000000" w:rsidR="00000000" w:rsidRPr="00000000">
        <w:rPr>
          <w:rtl w:val="0"/>
        </w:rPr>
      </w:r>
    </w:p>
    <w:p w:rsidR="00000000" w:rsidDel="00000000" w:rsidP="00000000" w:rsidRDefault="00000000" w:rsidRPr="00000000" w14:paraId="0000003C">
      <w:pPr>
        <w:spacing w:after="240" w:before="240" w:lineRule="auto"/>
        <w:jc w:val="both"/>
        <w:rPr>
          <w:sz w:val="28"/>
          <w:szCs w:val="28"/>
        </w:rPr>
      </w:pPr>
      <w:r w:rsidDel="00000000" w:rsidR="00000000" w:rsidRPr="00000000">
        <w:rPr>
          <w:sz w:val="28"/>
          <w:szCs w:val="28"/>
          <w:rtl w:val="0"/>
        </w:rPr>
        <w:t xml:space="preserve">Evaluating the effectiveness of note-taking and understanding as a foundation for paraphrasing reveals a symbiotic relationship crucial for academic integrity and effective communication. Strong note-taking, moving beyond verbatim transcription to encapsulate core ideas and their connections, significantly enhances comprehension. When notes are well-organized, using summaries, keywords, and visual cues, they provide a readily accessible and digestible representation of the source material. This initial cognitive processing during note-taking forces engagement with the text, leading to deeper understanding of its nuances and arguments.</w:t>
      </w:r>
    </w:p>
    <w:p w:rsidR="00000000" w:rsidDel="00000000" w:rsidP="00000000" w:rsidRDefault="00000000" w:rsidRPr="00000000" w14:paraId="0000003D">
      <w:pPr>
        <w:spacing w:after="240" w:before="240" w:lineRule="auto"/>
        <w:jc w:val="both"/>
        <w:rPr>
          <w:sz w:val="28"/>
          <w:szCs w:val="28"/>
        </w:rPr>
      </w:pPr>
      <w:r w:rsidDel="00000000" w:rsidR="00000000" w:rsidRPr="00000000">
        <w:rPr>
          <w:sz w:val="28"/>
          <w:szCs w:val="28"/>
          <w:rtl w:val="0"/>
        </w:rPr>
        <w:t xml:space="preserve">The level of understanding directly impacts the quality of paraphrasing. If the note-taker has merely copied phrases or superficially grasped the content, the resulting paraphrase is likely to be too close to the original, risking plagiarism and failing to demonstrate genuine comprehension. Conversely, thorough understanding, fostered by effective note-taking, allows for a more confident and accurate re-expression of ideas in one's own voice and style. The ability to synthesize information from notes, identify the central message, and articulate it using different vocabulary and sentence structures signifies true understanding and successful paraphrasing. Therefore, the evaluation emphasizes the interconnectedness: diligent note-taking, focused on comprehension, directly translates to more effective, original, and ethically sound paraphrasing.</w:t>
      </w:r>
    </w:p>
    <w:p w:rsidR="00000000" w:rsidDel="00000000" w:rsidP="00000000" w:rsidRDefault="00000000" w:rsidRPr="00000000" w14:paraId="0000003E">
      <w:pPr>
        <w:jc w:val="both"/>
        <w:rPr>
          <w:sz w:val="28"/>
          <w:szCs w:val="28"/>
        </w:rPr>
      </w:pPr>
      <w:r w:rsidDel="00000000" w:rsidR="00000000" w:rsidRPr="00000000">
        <w:rPr>
          <w:rtl w:val="0"/>
        </w:rPr>
      </w:r>
    </w:p>
    <w:p w:rsidR="00000000" w:rsidDel="00000000" w:rsidP="00000000" w:rsidRDefault="00000000" w:rsidRPr="00000000" w14:paraId="0000003F">
      <w:pPr>
        <w:pStyle w:val="Heading1"/>
        <w:rPr>
          <w:sz w:val="28"/>
          <w:szCs w:val="28"/>
        </w:rPr>
      </w:pPr>
      <w:bookmarkStart w:colFirst="0" w:colLast="0" w:name="_heading=h.cq7ubdbmlad9" w:id="5"/>
      <w:bookmarkEnd w:id="5"/>
      <w:r w:rsidDel="00000000" w:rsidR="00000000" w:rsidRPr="00000000">
        <w:rPr>
          <w:rFonts w:ascii="Calibri" w:cs="Calibri" w:eastAsia="Calibri" w:hAnsi="Calibri"/>
          <w:rtl w:val="0"/>
        </w:rPr>
        <w:t xml:space="preserve">3.2 Analysis</w:t>
      </w:r>
      <w:r w:rsidDel="00000000" w:rsidR="00000000" w:rsidRPr="00000000">
        <w:rPr>
          <w:rtl w:val="0"/>
        </w:rPr>
      </w:r>
    </w:p>
    <w:p w:rsidR="00000000" w:rsidDel="00000000" w:rsidP="00000000" w:rsidRDefault="00000000" w:rsidRPr="00000000" w14:paraId="00000040">
      <w:pPr>
        <w:pStyle w:val="Heading2"/>
        <w:keepNext w:val="0"/>
        <w:keepLines w:val="0"/>
        <w:jc w:val="both"/>
        <w:rPr>
          <w:sz w:val="34"/>
          <w:szCs w:val="34"/>
        </w:rPr>
      </w:pPr>
      <w:bookmarkStart w:colFirst="0" w:colLast="0" w:name="_heading=h.c9ucatxaj0o5" w:id="6"/>
      <w:bookmarkEnd w:id="6"/>
      <w:r w:rsidDel="00000000" w:rsidR="00000000" w:rsidRPr="00000000">
        <w:rPr>
          <w:sz w:val="34"/>
          <w:szCs w:val="34"/>
          <w:rtl w:val="0"/>
        </w:rPr>
        <w:t xml:space="preserve">Note-Taking and Understanding: A Foundational Analysis for Paraphrasing</w:t>
      </w:r>
    </w:p>
    <w:p w:rsidR="00000000" w:rsidDel="00000000" w:rsidP="00000000" w:rsidRDefault="00000000" w:rsidRPr="00000000" w14:paraId="00000041">
      <w:pPr>
        <w:spacing w:after="240" w:before="240" w:lineRule="auto"/>
        <w:jc w:val="both"/>
        <w:rPr>
          <w:sz w:val="28"/>
          <w:szCs w:val="28"/>
        </w:rPr>
      </w:pPr>
      <w:r w:rsidDel="00000000" w:rsidR="00000000" w:rsidRPr="00000000">
        <w:rPr>
          <w:sz w:val="28"/>
          <w:szCs w:val="28"/>
          <w:rtl w:val="0"/>
        </w:rPr>
        <w:t xml:space="preserve">The process of note-taking and understanding forms a critical analytical stage that directly underpins effective and ethical paraphrasing. Examining this foundation reveals a multi-faceted cognitive process that goes beyond simple information retrieval and delves into active engagement, interpretation, and synthesis of source material.</w:t>
      </w:r>
    </w:p>
    <w:p w:rsidR="00000000" w:rsidDel="00000000" w:rsidP="00000000" w:rsidRDefault="00000000" w:rsidRPr="00000000" w14:paraId="00000042">
      <w:pPr>
        <w:spacing w:after="240" w:before="240" w:lineRule="auto"/>
        <w:jc w:val="both"/>
        <w:rPr>
          <w:sz w:val="28"/>
          <w:szCs w:val="28"/>
        </w:rPr>
      </w:pPr>
      <w:r w:rsidDel="00000000" w:rsidR="00000000" w:rsidRPr="00000000">
        <w:rPr>
          <w:sz w:val="28"/>
          <w:szCs w:val="28"/>
          <w:rtl w:val="0"/>
        </w:rPr>
        <w:t xml:space="preserve">Effective note-taking is not a passive act of transcribing; rather, it involves a continuous process of analysis. As one reads or listens, the note-taker actively filters information, discerning key concepts, supporting arguments, evidence, and the overall structure of the source. This analytical filtering requires a preliminary level of understanding – the ability to distinguish what is central from what is peripheral. Techniques like summarizing main points in one's own words during note-taking, identifying keywords and their relationships, and employing visual aids like mind maps or flowcharts all contribute to this initial analytical process. By actively processing and condensing information, the note-taker begins to break down the source into its constituent parts and understand how they interrelate. This analytical deconstruction is crucial for moving beyond surface-level comprehension.</w:t>
      </w:r>
    </w:p>
    <w:p w:rsidR="00000000" w:rsidDel="00000000" w:rsidP="00000000" w:rsidRDefault="00000000" w:rsidRPr="00000000" w14:paraId="00000043">
      <w:pPr>
        <w:spacing w:after="240" w:before="240" w:lineRule="auto"/>
        <w:jc w:val="both"/>
        <w:rPr>
          <w:sz w:val="28"/>
          <w:szCs w:val="28"/>
        </w:rPr>
      </w:pPr>
      <w:r w:rsidDel="00000000" w:rsidR="00000000" w:rsidRPr="00000000">
        <w:rPr>
          <w:sz w:val="28"/>
          <w:szCs w:val="28"/>
          <w:rtl w:val="0"/>
        </w:rPr>
        <w:t xml:space="preserve">The subsequent stage of understanding builds upon this initial analytical note-taking. It involves a deeper engagement with the meaning and implications of the captured information. This requires critical thinking, contextualization, and the ability to synthesize the noted points into a coherent understanding of the source's overall message. Understanding involves recognizing the author's intent, identifying any underlying assumptions, and evaluating the strength of the arguments presented. It's not simply about knowing </w:t>
      </w:r>
      <w:r w:rsidDel="00000000" w:rsidR="00000000" w:rsidRPr="00000000">
        <w:rPr>
          <w:i w:val="1"/>
          <w:sz w:val="28"/>
          <w:szCs w:val="28"/>
          <w:rtl w:val="0"/>
        </w:rPr>
        <w:t xml:space="preserve">what</w:t>
      </w:r>
      <w:r w:rsidDel="00000000" w:rsidR="00000000" w:rsidRPr="00000000">
        <w:rPr>
          <w:sz w:val="28"/>
          <w:szCs w:val="28"/>
          <w:rtl w:val="0"/>
        </w:rPr>
        <w:t xml:space="preserve"> the source says, but also </w:t>
      </w:r>
      <w:r w:rsidDel="00000000" w:rsidR="00000000" w:rsidRPr="00000000">
        <w:rPr>
          <w:i w:val="1"/>
          <w:sz w:val="28"/>
          <w:szCs w:val="28"/>
          <w:rtl w:val="0"/>
        </w:rPr>
        <w:t xml:space="preserve">why</w:t>
      </w:r>
      <w:r w:rsidDel="00000000" w:rsidR="00000000" w:rsidRPr="00000000">
        <w:rPr>
          <w:sz w:val="28"/>
          <w:szCs w:val="28"/>
          <w:rtl w:val="0"/>
        </w:rPr>
        <w:t xml:space="preserve"> and </w:t>
      </w:r>
      <w:r w:rsidDel="00000000" w:rsidR="00000000" w:rsidRPr="00000000">
        <w:rPr>
          <w:i w:val="1"/>
          <w:sz w:val="28"/>
          <w:szCs w:val="28"/>
          <w:rtl w:val="0"/>
        </w:rPr>
        <w:t xml:space="preserve">how</w:t>
      </w:r>
      <w:r w:rsidDel="00000000" w:rsidR="00000000" w:rsidRPr="00000000">
        <w:rPr>
          <w:sz w:val="28"/>
          <w:szCs w:val="28"/>
          <w:rtl w:val="0"/>
        </w:rPr>
        <w:t xml:space="preserve"> it says it. This deeper level of analysis allows the note-taker to move beyond individual facts and grasp the broader context and significance of the information.</w:t>
      </w:r>
    </w:p>
    <w:p w:rsidR="00000000" w:rsidDel="00000000" w:rsidP="00000000" w:rsidRDefault="00000000" w:rsidRPr="00000000" w14:paraId="00000044">
      <w:pPr>
        <w:spacing w:after="240" w:before="240" w:lineRule="auto"/>
        <w:jc w:val="both"/>
        <w:rPr>
          <w:sz w:val="28"/>
          <w:szCs w:val="28"/>
        </w:rPr>
      </w:pPr>
      <w:r w:rsidDel="00000000" w:rsidR="00000000" w:rsidRPr="00000000">
        <w:rPr>
          <w:sz w:val="28"/>
          <w:szCs w:val="28"/>
          <w:rtl w:val="0"/>
        </w:rPr>
        <w:t xml:space="preserve">The link between this analytical foundation and effective paraphrasing is direct and significant. When paraphrasing, the goal is to re-express the ideas of the original source in one's own words and sentence structure without altering the meaning. This necessitates a thorough understanding of the source's content, which is cultivated through analytical note-taking. If the note-taker has only superficially engaged with the material, the resulting paraphrase is likely to be too close to the original, potentially leading to plagiarism. However, a strong analytical foundation, built through careful note-taking and deep comprehension, empowers the paraphraser to articulate the same ideas using different vocabulary, varied sentence structures, and a unique organizational approach.</w:t>
      </w:r>
    </w:p>
    <w:p w:rsidR="00000000" w:rsidDel="00000000" w:rsidP="00000000" w:rsidRDefault="00000000" w:rsidRPr="00000000" w14:paraId="00000045">
      <w:pPr>
        <w:spacing w:after="240" w:before="240" w:lineRule="auto"/>
        <w:jc w:val="both"/>
        <w:rPr>
          <w:sz w:val="28"/>
          <w:szCs w:val="28"/>
        </w:rPr>
      </w:pPr>
      <w:r w:rsidDel="00000000" w:rsidR="00000000" w:rsidRPr="00000000">
        <w:rPr>
          <w:sz w:val="28"/>
          <w:szCs w:val="28"/>
          <w:rtl w:val="0"/>
        </w:rPr>
        <w:t xml:space="preserve">Furthermore, the analytical process inherent in note-taking and understanding allows for a more nuanced and accurate representation of the original source. By identifying the core arguments and their supporting evidence, the paraphraser can ensure that the re-expression accurately reflects the author's intended meaning and avoids misinterpretation or distortion. This analytical rigor is essential for maintaining academic integrity and demonstrating genuine engagement with the source material.</w:t>
      </w:r>
    </w:p>
    <w:p w:rsidR="00000000" w:rsidDel="00000000" w:rsidP="00000000" w:rsidRDefault="00000000" w:rsidRPr="00000000" w14:paraId="00000046">
      <w:pPr>
        <w:spacing w:after="240" w:before="240" w:lineRule="auto"/>
        <w:jc w:val="both"/>
        <w:rPr>
          <w:sz w:val="28"/>
          <w:szCs w:val="28"/>
        </w:rPr>
      </w:pPr>
      <w:r w:rsidDel="00000000" w:rsidR="00000000" w:rsidRPr="00000000">
        <w:rPr>
          <w:sz w:val="28"/>
          <w:szCs w:val="28"/>
          <w:rtl w:val="0"/>
        </w:rPr>
        <w:t xml:space="preserve">In conclusion, note-taking and understanding are not merely preparatory steps for paraphrasing; they are integral analytical processes that shape the quality and integrity of the final output. The active filtering and organization of information during note-taking, coupled with the critical thinking and synthesis involved in comprehension, provide the necessary analytical framework for a confident, accurate, and ethically sound re-expression of ideas. A strong analytical foundation ensures that the paraphrase reflects a genuine understanding of the source, rather than a superficial imitation.</w:t>
      </w:r>
    </w:p>
    <w:p w:rsidR="00000000" w:rsidDel="00000000" w:rsidP="00000000" w:rsidRDefault="00000000" w:rsidRPr="00000000" w14:paraId="00000047">
      <w:pPr>
        <w:jc w:val="both"/>
        <w:rPr>
          <w:sz w:val="28"/>
          <w:szCs w:val="28"/>
        </w:rPr>
      </w:pPr>
      <w:r w:rsidDel="00000000" w:rsidR="00000000" w:rsidRPr="00000000">
        <w:rPr>
          <w:rtl w:val="0"/>
        </w:rPr>
      </w:r>
    </w:p>
    <w:p w:rsidR="00000000" w:rsidDel="00000000" w:rsidP="00000000" w:rsidRDefault="00000000" w:rsidRPr="00000000" w14:paraId="00000048">
      <w:pPr>
        <w:jc w:val="both"/>
        <w:rPr>
          <w:sz w:val="28"/>
          <w:szCs w:val="28"/>
          <w:u w:val="single"/>
        </w:rPr>
      </w:pPr>
      <w:r w:rsidDel="00000000" w:rsidR="00000000" w:rsidRPr="00000000">
        <w:rPr>
          <w:sz w:val="28"/>
          <w:szCs w:val="28"/>
          <w:u w:val="single"/>
          <w:rtl w:val="0"/>
        </w:rPr>
        <w:t xml:space="preserve">Consider: </w:t>
      </w:r>
    </w:p>
    <w:p w:rsidR="00000000" w:rsidDel="00000000" w:rsidP="00000000" w:rsidRDefault="00000000" w:rsidRPr="00000000" w14:paraId="00000049">
      <w:pPr>
        <w:jc w:val="both"/>
        <w:rPr>
          <w:sz w:val="28"/>
          <w:szCs w:val="28"/>
        </w:rPr>
      </w:pPr>
      <w:r w:rsidDel="00000000" w:rsidR="00000000" w:rsidRPr="00000000">
        <w:rPr>
          <w:sz w:val="28"/>
          <w:szCs w:val="28"/>
          <w:rtl w:val="0"/>
        </w:rPr>
        <w:t xml:space="preserve">Develop note-taking by actively listening/reading, identifying key points, using your own words, and structuring notes effectively with various methods (outlines, mind maps). Enhance understanding by asking questions, summarizing, explaining to others, and connecting ideas. Develop paraphrasing by fully understanding the original, hiding it, changing vocabulary and sentence structure, and always citing your sources while practicing regularly.</w:t>
      </w:r>
    </w:p>
    <w:p w:rsidR="00000000" w:rsidDel="00000000" w:rsidP="00000000" w:rsidRDefault="00000000" w:rsidRPr="00000000" w14:paraId="0000004A">
      <w:pPr>
        <w:jc w:val="both"/>
        <w:rPr>
          <w:sz w:val="28"/>
          <w:szCs w:val="28"/>
        </w:rPr>
      </w:pPr>
      <w:r w:rsidDel="00000000" w:rsidR="00000000" w:rsidRPr="00000000">
        <w:rPr>
          <w:rtl w:val="0"/>
        </w:rPr>
      </w:r>
    </w:p>
    <w:p w:rsidR="00000000" w:rsidDel="00000000" w:rsidP="00000000" w:rsidRDefault="00000000" w:rsidRPr="00000000" w14:paraId="0000004B">
      <w:pPr>
        <w:pStyle w:val="Heading1"/>
        <w:rPr>
          <w:sz w:val="28"/>
          <w:szCs w:val="28"/>
        </w:rPr>
      </w:pPr>
      <w:bookmarkStart w:colFirst="0" w:colLast="0" w:name="_heading=h.w65ax45w3s5a" w:id="7"/>
      <w:bookmarkEnd w:id="7"/>
      <w:r w:rsidDel="00000000" w:rsidR="00000000" w:rsidRPr="00000000">
        <w:rPr>
          <w:rFonts w:ascii="Calibri" w:cs="Calibri" w:eastAsia="Calibri" w:hAnsi="Calibri"/>
          <w:rtl w:val="0"/>
        </w:rPr>
        <w:t xml:space="preserve">4 Conclusion </w:t>
      </w:r>
      <w:r w:rsidDel="00000000" w:rsidR="00000000" w:rsidRPr="00000000">
        <w:rPr>
          <w:rtl w:val="0"/>
        </w:rPr>
      </w:r>
    </w:p>
    <w:p w:rsidR="00000000" w:rsidDel="00000000" w:rsidP="00000000" w:rsidRDefault="00000000" w:rsidRPr="00000000" w14:paraId="0000004C">
      <w:pPr>
        <w:jc w:val="both"/>
        <w:rPr>
          <w:sz w:val="28"/>
          <w:szCs w:val="28"/>
        </w:rPr>
      </w:pPr>
      <w:r w:rsidDel="00000000" w:rsidR="00000000" w:rsidRPr="00000000">
        <w:rPr>
          <w:sz w:val="28"/>
          <w:szCs w:val="28"/>
          <w:rtl w:val="0"/>
        </w:rPr>
        <w:t xml:space="preserve">In conclusion, the intertwined processes of effective note-taking and deep understanding form the bedrock of successful paraphrasing. Diligent note-taking, focused on capturing core concepts in one's own terms, cultivates the necessary comprehension of the source material. This genuine understanding, moving beyond surface-level reading, empowers the paraphraser to re-express ideas accurately and authentically, utilizing varied vocabulary and sentence structures. Ultimately, mastering these foundational skills not only enhances academic integrity by preventing plagiarism but also fosters clearer communication and a more profound engagement with knowledge.</w:t>
      </w:r>
    </w:p>
    <w:p w:rsidR="00000000" w:rsidDel="00000000" w:rsidP="00000000" w:rsidRDefault="00000000" w:rsidRPr="00000000" w14:paraId="0000004D">
      <w:pPr>
        <w:pStyle w:val="Heading1"/>
        <w:rPr>
          <w:rFonts w:ascii="Calibri" w:cs="Calibri" w:eastAsia="Calibri" w:hAnsi="Calibri"/>
          <w:b w:val="1"/>
          <w:sz w:val="28"/>
          <w:szCs w:val="28"/>
        </w:rPr>
      </w:pPr>
      <w:bookmarkStart w:colFirst="0" w:colLast="0" w:name="_heading=h.svd59hkcaidk" w:id="8"/>
      <w:bookmarkEnd w:id="8"/>
      <w:r w:rsidDel="00000000" w:rsidR="00000000" w:rsidRPr="00000000">
        <w:rPr>
          <w:rFonts w:ascii="Calibri" w:cs="Calibri" w:eastAsia="Calibri" w:hAnsi="Calibri"/>
          <w:rtl w:val="0"/>
        </w:rPr>
        <w:t xml:space="preserve">5 References </w:t>
      </w:r>
      <w:r w:rsidDel="00000000" w:rsidR="00000000" w:rsidRPr="00000000">
        <w:rPr>
          <w:rtl w:val="0"/>
        </w:rPr>
      </w:r>
    </w:p>
    <w:p w:rsidR="00000000" w:rsidDel="00000000" w:rsidP="00000000" w:rsidRDefault="00000000" w:rsidRPr="00000000" w14:paraId="0000004E">
      <w:pPr>
        <w:jc w:val="both"/>
        <w:rPr>
          <w:b w:val="1"/>
          <w:sz w:val="28"/>
          <w:szCs w:val="28"/>
        </w:rPr>
      </w:pPr>
      <w:r w:rsidDel="00000000" w:rsidR="00000000" w:rsidRPr="00000000">
        <w:rPr>
          <w:rtl w:val="0"/>
        </w:rPr>
      </w:r>
    </w:p>
    <w:p w:rsidR="00000000" w:rsidDel="00000000" w:rsidP="00000000" w:rsidRDefault="00000000" w:rsidRPr="00000000" w14:paraId="0000004F">
      <w:pPr>
        <w:jc w:val="both"/>
        <w:rPr>
          <w:sz w:val="28"/>
          <w:szCs w:val="28"/>
        </w:rPr>
      </w:pPr>
      <w:r w:rsidDel="00000000" w:rsidR="00000000" w:rsidRPr="00000000">
        <w:rPr>
          <w:b w:val="1"/>
          <w:sz w:val="28"/>
          <w:szCs w:val="28"/>
          <w:rtl w:val="0"/>
        </w:rPr>
        <w:t xml:space="preserve">1.Avoiding Plagiarism - Paraphrasing | Academic Integrity at MIT:</w:t>
      </w:r>
      <w:r w:rsidDel="00000000" w:rsidR="00000000" w:rsidRPr="00000000">
        <w:rPr>
          <w:sz w:val="28"/>
          <w:szCs w:val="28"/>
          <w:rtl w:val="0"/>
        </w:rPr>
        <w:t xml:space="preserve"> This resource focuses on paraphrasing as a key strategy for avoiding plagiarism. It provides examples of acceptable and unacceptable paraphrasing, emphasizing the need to change both the wording and the sentence structure while accurately representing the original meaning and citing the source.</w:t>
      </w:r>
    </w:p>
    <w:p w:rsidR="00000000" w:rsidDel="00000000" w:rsidP="00000000" w:rsidRDefault="00000000" w:rsidRPr="00000000" w14:paraId="00000050">
      <w:pPr>
        <w:jc w:val="both"/>
        <w:rPr>
          <w:sz w:val="28"/>
          <w:szCs w:val="28"/>
        </w:rPr>
      </w:pPr>
      <w:r w:rsidDel="00000000" w:rsidR="00000000" w:rsidRPr="00000000">
        <w:rPr>
          <w:b w:val="1"/>
          <w:sz w:val="28"/>
          <w:szCs w:val="28"/>
          <w:rtl w:val="0"/>
        </w:rPr>
        <w:t xml:space="preserve">2.Better Paraphrasing | Help and Advice | Student Services - MyPort - University of Portsmouth:</w:t>
      </w:r>
      <w:r w:rsidDel="00000000" w:rsidR="00000000" w:rsidRPr="00000000">
        <w:rPr>
          <w:sz w:val="28"/>
          <w:szCs w:val="28"/>
          <w:rtl w:val="0"/>
        </w:rPr>
        <w:t xml:space="preserve"> This guide offers practical techniques for better paraphrasing, including using synonyms, changing word forms, changing factive 3.</w:t>
      </w:r>
      <w:r w:rsidDel="00000000" w:rsidR="00000000" w:rsidRPr="00000000">
        <w:rPr>
          <w:b w:val="1"/>
          <w:sz w:val="28"/>
          <w:szCs w:val="28"/>
          <w:rtl w:val="0"/>
        </w:rPr>
        <w:t xml:space="preserve">How to Paraphrase | Academic Skills Kit - Newcastle University:</w:t>
      </w:r>
      <w:r w:rsidDel="00000000" w:rsidR="00000000" w:rsidRPr="00000000">
        <w:rPr>
          <w:sz w:val="28"/>
          <w:szCs w:val="28"/>
          <w:rtl w:val="0"/>
        </w:rPr>
        <w:t xml:space="preserve"> This resource emphasizes understanding the original text thoroughly before attempting to paraphrase. It suggests techniques like hiding the original. 4.</w:t>
      </w:r>
      <w:r w:rsidDel="00000000" w:rsidR="00000000" w:rsidRPr="00000000">
        <w:rPr>
          <w:b w:val="1"/>
          <w:sz w:val="28"/>
          <w:szCs w:val="28"/>
          <w:rtl w:val="0"/>
        </w:rPr>
        <w:t xml:space="preserve">Note-taking in Lectures | Academic Skills Kit - Newcastle University:</w:t>
      </w:r>
      <w:r w:rsidDel="00000000" w:rsidR="00000000" w:rsidRPr="00000000">
        <w:rPr>
          <w:sz w:val="28"/>
          <w:szCs w:val="28"/>
          <w:rtl w:val="0"/>
        </w:rPr>
        <w:t xml:space="preserve"> While primarily about note-taking, this resource underscores the importance of actively processing information and putting it into your own words during. note-taking to aid understanding. This active engagement during note-taking 5.</w:t>
      </w:r>
      <w:r w:rsidDel="00000000" w:rsidR="00000000" w:rsidRPr="00000000">
        <w:rPr>
          <w:b w:val="1"/>
          <w:sz w:val="28"/>
          <w:szCs w:val="28"/>
          <w:rtl w:val="0"/>
        </w:rPr>
        <w:t xml:space="preserve">Paraphrasing, Summarising and Quoting - Current Students - UNSW Sydney:</w:t>
      </w:r>
      <w:r w:rsidDel="00000000" w:rsidR="00000000" w:rsidRPr="00000000">
        <w:rPr>
          <w:sz w:val="28"/>
          <w:szCs w:val="28"/>
          <w:rtl w:val="0"/>
        </w:rPr>
        <w:t xml:space="preserve"> This page differentiates between paraphrasing, summarizing, and quoting. It stresses that paraphrasing involves putting a passage into your own words while retaining the original meaning and attributing it to the source. It provides a step-by-step guide on how to paraphrase effectively, including reading for understanding, identifying main points, rewriting in your own words, and changing sentence structure.</w:t>
      </w: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link w:val="Heading1Char"/>
    <w:uiPriority w:val="9"/>
    <w:qFormat w:val="1"/>
    <w:pPr>
      <w:keepNext w:val="1"/>
      <w:keepLines w:val="1"/>
      <w:spacing w:after="0" w:before="240"/>
      <w:outlineLvl w:val="0"/>
    </w:pPr>
    <w:rPr>
      <w:rFonts w:asciiTheme="majorHAnsi" w:cstheme="majorBidi" w:eastAsiaTheme="majorEastAsia" w:hAnsiTheme="majorHAnsi"/>
      <w:color w:val="2f5496" w:themeColor="accent1" w:themeShade="0000BF"/>
      <w:sz w:val="32"/>
      <w:szCs w:val="32"/>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00ED5964"/>
    <w:pPr>
      <w:ind w:left="720"/>
      <w:contextualSpacing w:val="1"/>
    </w:pPr>
  </w:style>
  <w:style w:type="character" w:styleId="Hyperlink">
    <w:name w:val="Hyperlink"/>
    <w:basedOn w:val="DefaultParagraphFont"/>
    <w:uiPriority w:val="99"/>
    <w:unhideWhenUsed w:val="1"/>
    <w:rPr>
      <w:color w:val="0563c1" w:themeColor="hyperlink"/>
      <w:u w:val="single"/>
    </w:rPr>
  </w:style>
  <w:style w:type="paragraph" w:styleId="TOC1">
    <w:name w:val="toc 1"/>
    <w:basedOn w:val="Normal"/>
    <w:next w:val="Normal"/>
    <w:autoRedefine w:val="1"/>
    <w:uiPriority w:val="39"/>
    <w:unhideWhenUsed w:val="1"/>
    <w:rsid w:val="0023678A"/>
    <w:pPr>
      <w:tabs>
        <w:tab w:val="right" w:leader="dot" w:pos="9015"/>
      </w:tabs>
      <w:spacing w:after="100"/>
    </w:pPr>
  </w:style>
  <w:style w:type="character" w:styleId="Heading1Char" w:customStyle="1">
    <w:name w:val="Heading 1 Char"/>
    <w:basedOn w:val="DefaultParagraphFont"/>
    <w:link w:val="Heading1"/>
    <w:uiPriority w:val="9"/>
    <w:rPr>
      <w:rFonts w:asciiTheme="majorHAnsi" w:cstheme="majorBidi" w:eastAsiaTheme="majorEastAsia" w:hAnsiTheme="majorHAnsi"/>
      <w:color w:val="2f5496" w:themeColor="accent1" w:themeShade="0000BF"/>
      <w:sz w:val="32"/>
      <w:szCs w:val="32"/>
    </w:rPr>
  </w:style>
  <w:style w:type="paragraph" w:styleId="Header">
    <w:name w:val="header"/>
    <w:basedOn w:val="Normal"/>
    <w:link w:val="HeaderChar"/>
    <w:uiPriority w:val="99"/>
    <w:unhideWhenUsed w:val="1"/>
    <w:rsid w:val="000D2D48"/>
    <w:pPr>
      <w:tabs>
        <w:tab w:val="center" w:pos="4513"/>
        <w:tab w:val="right" w:pos="9026"/>
      </w:tabs>
      <w:spacing w:after="0" w:line="240" w:lineRule="auto"/>
    </w:pPr>
  </w:style>
  <w:style w:type="character" w:styleId="HeaderChar" w:customStyle="1">
    <w:name w:val="Header Char"/>
    <w:basedOn w:val="DefaultParagraphFont"/>
    <w:link w:val="Header"/>
    <w:uiPriority w:val="99"/>
    <w:rsid w:val="000D2D48"/>
  </w:style>
  <w:style w:type="paragraph" w:styleId="Footer">
    <w:name w:val="footer"/>
    <w:basedOn w:val="Normal"/>
    <w:link w:val="FooterChar"/>
    <w:uiPriority w:val="99"/>
    <w:unhideWhenUsed w:val="1"/>
    <w:rsid w:val="000D2D48"/>
    <w:pPr>
      <w:tabs>
        <w:tab w:val="center" w:pos="4513"/>
        <w:tab w:val="right" w:pos="9026"/>
      </w:tabs>
      <w:spacing w:after="0" w:line="240" w:lineRule="auto"/>
    </w:pPr>
  </w:style>
  <w:style w:type="character" w:styleId="FooterChar" w:customStyle="1">
    <w:name w:val="Footer Char"/>
    <w:basedOn w:val="DefaultParagraphFont"/>
    <w:link w:val="Footer"/>
    <w:uiPriority w:val="99"/>
    <w:rsid w:val="000D2D48"/>
  </w:style>
  <w:style w:type="paragraph" w:styleId="TOCHeading">
    <w:name w:val="TOC Heading"/>
    <w:basedOn w:val="Heading1"/>
    <w:next w:val="Normal"/>
    <w:uiPriority w:val="39"/>
    <w:unhideWhenUsed w:val="1"/>
    <w:qFormat w:val="1"/>
    <w:rsid w:val="0023678A"/>
    <w:pPr>
      <w:outlineLvl w:val="9"/>
    </w:pPr>
    <w:rPr>
      <w:kern w:val="0"/>
      <w:lang w:eastAsia="en-US" w:val="en-US"/>
    </w:rPr>
  </w:style>
  <w:style w:type="paragraph" w:styleId="NormalWeb">
    <w:name w:val="Normal (Web)"/>
    <w:basedOn w:val="Normal"/>
    <w:uiPriority w:val="99"/>
    <w:unhideWhenUsed w:val="1"/>
    <w:rsid w:val="0023678A"/>
    <w:pPr>
      <w:spacing w:after="100" w:afterAutospacing="1" w:before="100" w:beforeAutospacing="1" w:line="240" w:lineRule="auto"/>
    </w:pPr>
    <w:rPr>
      <w:rFonts w:ascii="Times New Roman" w:cs="Times New Roman" w:eastAsia="Times New Roman" w:hAnsi="Times New Roman"/>
      <w:kern w:val="0"/>
      <w:sz w:val="24"/>
      <w:szCs w:val="24"/>
      <w:lang w:eastAsia="en-GB"/>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hKAb2HHbOQAlctN+S8DGe25OhCA==">CgMxLjAyDmgubHNrdHlxYXV0OGNyMg5oLjVoajA5bTdlNXhpaDIOaC5vNGxhaDRvOWJ1cHEyDmgubDB6Ym42bnhyZDI4Mg5oLmlqdXM2eHM3OWV6dDIOaC5jcTd1YmRibWxhZDkyDmguYzl1Y2F0eGFqMG81Mg5oLnc2NWF4NDV3M3M1YTIOaC5zdmQ1OWhrY2FpZGs4AHIhMTFMU3JTcDBrSjdURE9tU0NGTWhBSWdQLVZfVGhUYk9E</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2025-04-04T09:51:00Z</dcterms:created>
  <dc:creator>Lizeta Demetriou</dc:creator>
</cp:coreProperties>
</file>